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D5D1D74" w:rsidP="12822FFE" w:rsidRDefault="3D5D1D74" w14:paraId="4C080798" w14:textId="3BED4EB1">
      <w:pPr>
        <w:jc w:val="center"/>
        <w:rPr>
          <w:rFonts w:cs="Arial"/>
          <w:b w:val="1"/>
          <w:bCs w:val="1"/>
          <w:sz w:val="36"/>
          <w:szCs w:val="36"/>
        </w:rPr>
      </w:pPr>
      <w:r w:rsidRPr="6C055355" w:rsidR="6BCCAAA2">
        <w:rPr>
          <w:rFonts w:cs="Arial"/>
          <w:b w:val="1"/>
          <w:bCs w:val="1"/>
          <w:sz w:val="40"/>
          <w:szCs w:val="40"/>
        </w:rPr>
        <w:t xml:space="preserve">Student </w:t>
      </w:r>
      <w:r w:rsidRPr="6C055355" w:rsidR="2BE0DE18">
        <w:rPr>
          <w:rFonts w:cs="Arial"/>
          <w:b w:val="1"/>
          <w:bCs w:val="1"/>
          <w:sz w:val="40"/>
          <w:szCs w:val="40"/>
        </w:rPr>
        <w:t>name:</w:t>
      </w:r>
      <w:r w:rsidRPr="6C055355" w:rsidR="6BCCAAA2">
        <w:rPr>
          <w:rFonts w:cs="Arial"/>
          <w:b w:val="1"/>
          <w:bCs w:val="1"/>
          <w:sz w:val="40"/>
          <w:szCs w:val="40"/>
        </w:rPr>
        <w:t xml:space="preserve"> Ismot </w:t>
      </w:r>
      <w:r w:rsidRPr="6C055355" w:rsidR="1DC4FD4B">
        <w:rPr>
          <w:rFonts w:cs="Arial"/>
          <w:b w:val="1"/>
          <w:bCs w:val="1"/>
          <w:sz w:val="40"/>
          <w:szCs w:val="40"/>
        </w:rPr>
        <w:t>A</w:t>
      </w:r>
      <w:r w:rsidRPr="6C055355" w:rsidR="6BCCAAA2">
        <w:rPr>
          <w:rFonts w:cs="Arial"/>
          <w:b w:val="1"/>
          <w:bCs w:val="1"/>
          <w:sz w:val="40"/>
          <w:szCs w:val="40"/>
        </w:rPr>
        <w:t xml:space="preserve">ra </w:t>
      </w:r>
      <w:r w:rsidRPr="6C055355" w:rsidR="7F3B8F2E">
        <w:rPr>
          <w:rFonts w:cs="Arial"/>
          <w:b w:val="1"/>
          <w:bCs w:val="1"/>
          <w:sz w:val="40"/>
          <w:szCs w:val="40"/>
        </w:rPr>
        <w:t>S</w:t>
      </w:r>
      <w:r w:rsidRPr="6C055355" w:rsidR="6BCCAAA2">
        <w:rPr>
          <w:rFonts w:cs="Arial"/>
          <w:b w:val="1"/>
          <w:bCs w:val="1"/>
          <w:sz w:val="40"/>
          <w:szCs w:val="40"/>
        </w:rPr>
        <w:t xml:space="preserve">hammi </w:t>
      </w:r>
      <w:r w:rsidRPr="6C055355" w:rsidR="0F0AE91B">
        <w:rPr>
          <w:rFonts w:cs="Arial"/>
          <w:b w:val="1"/>
          <w:bCs w:val="1"/>
          <w:sz w:val="40"/>
          <w:szCs w:val="40"/>
        </w:rPr>
        <w:t>C</w:t>
      </w:r>
      <w:r w:rsidRPr="6C055355" w:rsidR="6BCCAAA2">
        <w:rPr>
          <w:rFonts w:cs="Arial"/>
          <w:b w:val="1"/>
          <w:bCs w:val="1"/>
          <w:sz w:val="40"/>
          <w:szCs w:val="40"/>
        </w:rPr>
        <w:t>howdhu</w:t>
      </w:r>
      <w:r w:rsidRPr="6C055355" w:rsidR="2BD1E2A3">
        <w:rPr>
          <w:rFonts w:cs="Arial"/>
          <w:b w:val="1"/>
          <w:bCs w:val="1"/>
          <w:sz w:val="36"/>
          <w:szCs w:val="36"/>
        </w:rPr>
        <w:t xml:space="preserve"> </w:t>
      </w:r>
    </w:p>
    <w:p w:rsidRPr="00BB140B" w:rsidR="00180F13" w:rsidP="00BB140B" w:rsidRDefault="00180F13" w14:paraId="7442F21A" w14:textId="5D66BEFE">
      <w:pPr>
        <w:jc w:val="center"/>
        <w:rPr>
          <w:sz w:val="44"/>
          <w:szCs w:val="40"/>
        </w:rPr>
      </w:pPr>
      <w:r w:rsidRPr="00BB140B">
        <w:rPr>
          <w:rFonts w:cs="Arial"/>
          <w:b/>
          <w:sz w:val="40"/>
          <w:szCs w:val="40"/>
        </w:rPr>
        <w:t>Cotemporary Challenges: Making a Difference</w:t>
      </w:r>
    </w:p>
    <w:p w:rsidR="00BB140B" w:rsidRDefault="00BB140B" w14:paraId="0E44FE05" w14:textId="571522FB">
      <w:pPr>
        <w:spacing w:line="259" w:lineRule="auto"/>
        <w:jc w:val="left"/>
      </w:pPr>
      <w:r>
        <w:br w:type="page"/>
      </w:r>
    </w:p>
    <w:sdt>
      <w:sdtPr>
        <w:rPr>
          <w:rFonts w:ascii="Times New Roman" w:hAnsi="Times New Roman" w:eastAsiaTheme="minorHAnsi" w:cstheme="minorBidi"/>
          <w:color w:val="auto"/>
          <w:sz w:val="24"/>
          <w:szCs w:val="22"/>
          <w:lang w:val="en-GB"/>
        </w:rPr>
        <w:id w:val="720555344"/>
        <w:docPartObj>
          <w:docPartGallery w:val="Table of Contents"/>
          <w:docPartUnique/>
        </w:docPartObj>
      </w:sdtPr>
      <w:sdtEndPr>
        <w:rPr>
          <w:b/>
          <w:bCs/>
          <w:noProof/>
        </w:rPr>
      </w:sdtEndPr>
      <w:sdtContent>
        <w:p w:rsidR="00BA2531" w:rsidRDefault="00BA2531" w14:paraId="33D66077" w14:textId="095B7A8D">
          <w:pPr>
            <w:pStyle w:val="TOCHeading"/>
          </w:pPr>
          <w:r>
            <w:t>Table of Contents</w:t>
          </w:r>
        </w:p>
        <w:p w:rsidR="00BA2531" w:rsidRDefault="00BA2531" w14:paraId="0558DA01" w14:textId="26E3CB83">
          <w:pPr>
            <w:pStyle w:val="TOC1"/>
            <w:tabs>
              <w:tab w:val="right" w:leader="dot" w:pos="9016"/>
            </w:tabs>
            <w:rPr>
              <w:rFonts w:asciiTheme="minorHAnsi" w:hAnsiTheme="minorHAnsi" w:eastAsiaTheme="minorEastAsia"/>
              <w:noProof/>
              <w:sz w:val="22"/>
              <w:lang w:val="en-SG" w:eastAsia="en-SG"/>
            </w:rPr>
          </w:pPr>
          <w:r>
            <w:fldChar w:fldCharType="begin"/>
          </w:r>
          <w:r>
            <w:instrText xml:space="preserve"> TOC \o "1-3" \h \z \u </w:instrText>
          </w:r>
          <w:r>
            <w:fldChar w:fldCharType="separate"/>
          </w:r>
          <w:hyperlink w:history="1" w:anchor="_Toc130581319">
            <w:r w:rsidRPr="003D72C0">
              <w:rPr>
                <w:rStyle w:val="Hyperlink"/>
                <w:noProof/>
              </w:rPr>
              <w:t>Introduction</w:t>
            </w:r>
            <w:r>
              <w:rPr>
                <w:noProof/>
                <w:webHidden/>
              </w:rPr>
              <w:tab/>
            </w:r>
            <w:r>
              <w:rPr>
                <w:noProof/>
                <w:webHidden/>
              </w:rPr>
              <w:fldChar w:fldCharType="begin"/>
            </w:r>
            <w:r>
              <w:rPr>
                <w:noProof/>
                <w:webHidden/>
              </w:rPr>
              <w:instrText xml:space="preserve"> PAGEREF _Toc130581319 \h </w:instrText>
            </w:r>
            <w:r>
              <w:rPr>
                <w:noProof/>
                <w:webHidden/>
              </w:rPr>
            </w:r>
            <w:r>
              <w:rPr>
                <w:noProof/>
                <w:webHidden/>
              </w:rPr>
              <w:fldChar w:fldCharType="separate"/>
            </w:r>
            <w:r>
              <w:rPr>
                <w:noProof/>
                <w:webHidden/>
              </w:rPr>
              <w:t>3</w:t>
            </w:r>
            <w:r>
              <w:rPr>
                <w:noProof/>
                <w:webHidden/>
              </w:rPr>
              <w:fldChar w:fldCharType="end"/>
            </w:r>
          </w:hyperlink>
        </w:p>
        <w:p w:rsidR="00BA2531" w:rsidRDefault="002B30AB" w14:paraId="3CB012CF" w14:textId="04380756">
          <w:pPr>
            <w:pStyle w:val="TOC1"/>
            <w:tabs>
              <w:tab w:val="right" w:leader="dot" w:pos="9016"/>
            </w:tabs>
            <w:rPr>
              <w:rFonts w:asciiTheme="minorHAnsi" w:hAnsiTheme="minorHAnsi" w:eastAsiaTheme="minorEastAsia"/>
              <w:noProof/>
              <w:sz w:val="22"/>
              <w:lang w:val="en-SG" w:eastAsia="en-SG"/>
            </w:rPr>
          </w:pPr>
          <w:hyperlink w:history="1" w:anchor="_Toc130581320">
            <w:r w:rsidRPr="003D72C0" w:rsidR="00BA2531">
              <w:rPr>
                <w:rStyle w:val="Hyperlink"/>
                <w:noProof/>
              </w:rPr>
              <w:t>Findings on “Define” stage</w:t>
            </w:r>
            <w:r w:rsidR="00BA2531">
              <w:rPr>
                <w:noProof/>
                <w:webHidden/>
              </w:rPr>
              <w:tab/>
            </w:r>
            <w:r w:rsidR="00BA2531">
              <w:rPr>
                <w:noProof/>
                <w:webHidden/>
              </w:rPr>
              <w:fldChar w:fldCharType="begin"/>
            </w:r>
            <w:r w:rsidR="00BA2531">
              <w:rPr>
                <w:noProof/>
                <w:webHidden/>
              </w:rPr>
              <w:instrText xml:space="preserve"> PAGEREF _Toc130581320 \h </w:instrText>
            </w:r>
            <w:r w:rsidR="00BA2531">
              <w:rPr>
                <w:noProof/>
                <w:webHidden/>
              </w:rPr>
            </w:r>
            <w:r w:rsidR="00BA2531">
              <w:rPr>
                <w:noProof/>
                <w:webHidden/>
              </w:rPr>
              <w:fldChar w:fldCharType="separate"/>
            </w:r>
            <w:r w:rsidR="00BA2531">
              <w:rPr>
                <w:noProof/>
                <w:webHidden/>
              </w:rPr>
              <w:t>3</w:t>
            </w:r>
            <w:r w:rsidR="00BA2531">
              <w:rPr>
                <w:noProof/>
                <w:webHidden/>
              </w:rPr>
              <w:fldChar w:fldCharType="end"/>
            </w:r>
          </w:hyperlink>
        </w:p>
        <w:p w:rsidR="00BA2531" w:rsidRDefault="002B30AB" w14:paraId="49CE5CC0" w14:textId="00BCE7CF">
          <w:pPr>
            <w:pStyle w:val="TOC1"/>
            <w:tabs>
              <w:tab w:val="right" w:leader="dot" w:pos="9016"/>
            </w:tabs>
            <w:rPr>
              <w:rFonts w:asciiTheme="minorHAnsi" w:hAnsiTheme="minorHAnsi" w:eastAsiaTheme="minorEastAsia"/>
              <w:noProof/>
              <w:sz w:val="22"/>
              <w:lang w:val="en-SG" w:eastAsia="en-SG"/>
            </w:rPr>
          </w:pPr>
          <w:hyperlink w:history="1" w:anchor="_Toc130581321">
            <w:r w:rsidRPr="003D72C0" w:rsidR="00BA2531">
              <w:rPr>
                <w:rStyle w:val="Hyperlink"/>
                <w:noProof/>
              </w:rPr>
              <w:t>Conclusion</w:t>
            </w:r>
            <w:r w:rsidR="00BA2531">
              <w:rPr>
                <w:noProof/>
                <w:webHidden/>
              </w:rPr>
              <w:tab/>
            </w:r>
            <w:r w:rsidR="00BA2531">
              <w:rPr>
                <w:noProof/>
                <w:webHidden/>
              </w:rPr>
              <w:fldChar w:fldCharType="begin"/>
            </w:r>
            <w:r w:rsidR="00BA2531">
              <w:rPr>
                <w:noProof/>
                <w:webHidden/>
              </w:rPr>
              <w:instrText xml:space="preserve"> PAGEREF _Toc130581321 \h </w:instrText>
            </w:r>
            <w:r w:rsidR="00BA2531">
              <w:rPr>
                <w:noProof/>
                <w:webHidden/>
              </w:rPr>
            </w:r>
            <w:r w:rsidR="00BA2531">
              <w:rPr>
                <w:noProof/>
                <w:webHidden/>
              </w:rPr>
              <w:fldChar w:fldCharType="separate"/>
            </w:r>
            <w:r w:rsidR="00BA2531">
              <w:rPr>
                <w:noProof/>
                <w:webHidden/>
              </w:rPr>
              <w:t>6</w:t>
            </w:r>
            <w:r w:rsidR="00BA2531">
              <w:rPr>
                <w:noProof/>
                <w:webHidden/>
              </w:rPr>
              <w:fldChar w:fldCharType="end"/>
            </w:r>
          </w:hyperlink>
        </w:p>
        <w:p w:rsidR="00BA2531" w:rsidRDefault="002B30AB" w14:paraId="0CC90B84" w14:textId="1BC1D558">
          <w:pPr>
            <w:pStyle w:val="TOC1"/>
            <w:tabs>
              <w:tab w:val="right" w:leader="dot" w:pos="9016"/>
            </w:tabs>
            <w:rPr>
              <w:rFonts w:asciiTheme="minorHAnsi" w:hAnsiTheme="minorHAnsi" w:eastAsiaTheme="minorEastAsia"/>
              <w:noProof/>
              <w:sz w:val="22"/>
              <w:lang w:val="en-SG" w:eastAsia="en-SG"/>
            </w:rPr>
          </w:pPr>
          <w:hyperlink w:history="1" w:anchor="_Toc130581322">
            <w:r w:rsidRPr="003D72C0" w:rsidR="00BA2531">
              <w:rPr>
                <w:rStyle w:val="Hyperlink"/>
                <w:noProof/>
              </w:rPr>
              <w:t>References</w:t>
            </w:r>
            <w:r w:rsidR="00BA2531">
              <w:rPr>
                <w:noProof/>
                <w:webHidden/>
              </w:rPr>
              <w:tab/>
            </w:r>
            <w:r w:rsidR="00BA2531">
              <w:rPr>
                <w:noProof/>
                <w:webHidden/>
              </w:rPr>
              <w:fldChar w:fldCharType="begin"/>
            </w:r>
            <w:r w:rsidR="00BA2531">
              <w:rPr>
                <w:noProof/>
                <w:webHidden/>
              </w:rPr>
              <w:instrText xml:space="preserve"> PAGEREF _Toc130581322 \h </w:instrText>
            </w:r>
            <w:r w:rsidR="00BA2531">
              <w:rPr>
                <w:noProof/>
                <w:webHidden/>
              </w:rPr>
            </w:r>
            <w:r w:rsidR="00BA2531">
              <w:rPr>
                <w:noProof/>
                <w:webHidden/>
              </w:rPr>
              <w:fldChar w:fldCharType="separate"/>
            </w:r>
            <w:r w:rsidR="00BA2531">
              <w:rPr>
                <w:noProof/>
                <w:webHidden/>
              </w:rPr>
              <w:t>7</w:t>
            </w:r>
            <w:r w:rsidR="00BA2531">
              <w:rPr>
                <w:noProof/>
                <w:webHidden/>
              </w:rPr>
              <w:fldChar w:fldCharType="end"/>
            </w:r>
          </w:hyperlink>
        </w:p>
        <w:p w:rsidR="00BA2531" w:rsidRDefault="00BA2531" w14:paraId="423F7179" w14:textId="17CB91A9">
          <w:r>
            <w:rPr>
              <w:b/>
              <w:bCs/>
              <w:noProof/>
            </w:rPr>
            <w:fldChar w:fldCharType="end"/>
          </w:r>
        </w:p>
      </w:sdtContent>
    </w:sdt>
    <w:p w:rsidR="00BA2531" w:rsidRDefault="00BA2531" w14:paraId="77076899" w14:textId="77777777">
      <w:pPr>
        <w:spacing w:line="259" w:lineRule="auto"/>
        <w:jc w:val="left"/>
        <w:rPr>
          <w:rFonts w:asciiTheme="majorHAnsi" w:hAnsiTheme="majorHAnsi" w:eastAsiaTheme="majorEastAsia" w:cstheme="majorBidi"/>
          <w:b/>
          <w:bCs/>
          <w:color w:val="000000" w:themeColor="text1"/>
          <w:kern w:val="2"/>
          <w:sz w:val="28"/>
          <w:szCs w:val="28"/>
          <w:lang w:val="en-SG"/>
          <w14:ligatures w14:val="standardContextual"/>
        </w:rPr>
      </w:pPr>
      <w:r>
        <w:br w:type="page"/>
      </w:r>
    </w:p>
    <w:p w:rsidR="00856332" w:rsidP="00180F13" w:rsidRDefault="00856332" w14:paraId="337D4436" w14:textId="6BF026A5">
      <w:pPr>
        <w:pStyle w:val="Heading1"/>
      </w:pPr>
      <w:bookmarkStart w:name="_Toc130581319" w:id="0"/>
      <w:r>
        <w:t>Introduction</w:t>
      </w:r>
      <w:bookmarkEnd w:id="0"/>
      <w:r>
        <w:t xml:space="preserve"> </w:t>
      </w:r>
    </w:p>
    <w:p w:rsidR="00EA6CC5" w:rsidP="00856332" w:rsidRDefault="00CC739C" w14:paraId="66E2971E" w14:textId="2019E504">
      <w:r w:rsidRPr="00CC739C">
        <w:t>The technique of problem-solving that is known as "design thinking" places an emphasis on "human-centered design." It entails empathizing with users in order to get an understanding of their experiences and requirements, describing the issue, conceiving of possible solutions, developing and evaluating those ideas, and iterating depending on feedback received from those tests</w:t>
      </w:r>
      <w:sdt>
        <w:sdtPr>
          <w:id w:val="392164668"/>
          <w:citation/>
        </w:sdtPr>
        <w:sdtContent>
          <w:r w:rsidR="005D0693">
            <w:fldChar w:fldCharType="begin"/>
          </w:r>
          <w:r w:rsidR="005D0693">
            <w:rPr>
              <w:lang w:val="en-SG"/>
            </w:rPr>
            <w:instrText xml:space="preserve"> CITATION Han10 \l 18441 </w:instrText>
          </w:r>
          <w:r w:rsidR="005D0693">
            <w:fldChar w:fldCharType="separate"/>
          </w:r>
          <w:r w:rsidR="005D0693">
            <w:rPr>
              <w:noProof/>
              <w:lang w:val="en-SG"/>
            </w:rPr>
            <w:t xml:space="preserve"> </w:t>
          </w:r>
          <w:r w:rsidRPr="005D0693" w:rsidR="005D0693">
            <w:rPr>
              <w:noProof/>
              <w:lang w:val="en-SG"/>
            </w:rPr>
            <w:t>(Han, et al., 2010)</w:t>
          </w:r>
          <w:r w:rsidR="005D0693">
            <w:fldChar w:fldCharType="end"/>
          </w:r>
        </w:sdtContent>
      </w:sdt>
      <w:r w:rsidRPr="00CC739C">
        <w:t>. The objective is to come up with creative and useful solutions that are tailored to the requirements of the user. It is a creative and iterative process that may be used to a broad variety of difficulties and problems, ranging from the design of products to the provision of services to societal concerns</w:t>
      </w:r>
      <w:sdt>
        <w:sdtPr>
          <w:id w:val="739370706"/>
          <w:citation/>
        </w:sdtPr>
        <w:sdtContent>
          <w:r w:rsidR="005D0693">
            <w:fldChar w:fldCharType="begin"/>
          </w:r>
          <w:r w:rsidR="005D0693">
            <w:rPr>
              <w:lang w:val="en-SG"/>
            </w:rPr>
            <w:instrText xml:space="preserve"> CITATION Lak12 \l 18441 </w:instrText>
          </w:r>
          <w:r w:rsidR="005D0693">
            <w:fldChar w:fldCharType="separate"/>
          </w:r>
          <w:r w:rsidR="005D0693">
            <w:rPr>
              <w:noProof/>
              <w:lang w:val="en-SG"/>
            </w:rPr>
            <w:t xml:space="preserve"> </w:t>
          </w:r>
          <w:r w:rsidRPr="005D0693" w:rsidR="005D0693">
            <w:rPr>
              <w:noProof/>
              <w:lang w:val="en-SG"/>
            </w:rPr>
            <w:t>(Lakshman, et al., 2012)</w:t>
          </w:r>
          <w:r w:rsidR="005D0693">
            <w:fldChar w:fldCharType="end"/>
          </w:r>
        </w:sdtContent>
      </w:sdt>
      <w:r w:rsidRPr="00CC739C">
        <w:t>.</w:t>
      </w:r>
      <w:r w:rsidR="00EA6CC5">
        <w:t xml:space="preserve"> In this report, The Design thinking process is used for Childhood obesity. The Report has presented the “Define</w:t>
      </w:r>
      <w:r w:rsidR="00934C29">
        <w:t>”</w:t>
      </w:r>
      <w:r w:rsidR="00EA6CC5">
        <w:t xml:space="preserve"> Stage. </w:t>
      </w:r>
    </w:p>
    <w:p w:rsidR="00856332" w:rsidP="00180F13" w:rsidRDefault="00EA6CC5" w14:paraId="2EF707B5" w14:textId="7F185A32">
      <w:pPr>
        <w:pStyle w:val="Heading1"/>
      </w:pPr>
      <w:bookmarkStart w:name="_Toc130581320" w:id="1"/>
      <w:r>
        <w:t>Findings on “Define” stage</w:t>
      </w:r>
      <w:bookmarkEnd w:id="1"/>
      <w:r>
        <w:t xml:space="preserve"> </w:t>
      </w:r>
    </w:p>
    <w:p w:rsidR="00D146F9" w:rsidP="00D146F9" w:rsidRDefault="00D146F9" w14:paraId="19B66ADE" w14:textId="7731603E">
      <w:r w:rsidR="6F1BC6BA">
        <w:rPr/>
        <w:t>The issue of childhood obesity is a growing problem that affects the public health of millions of children all over the globe. If a child is highly overweight or obese, which means they have excess body fat and are at risk for a range of health difficulties, then that child is diagnosed with this condition</w:t>
      </w:r>
      <w:sdt>
        <w:sdtPr>
          <w:id w:val="-372002973"/>
          <w:lock w:val="contentLocked"/>
          <w:placeholder>
            <w:docPart w:val="7328096071305F4C8446E84AE77DF01D"/>
          </w:placeholder>
          <w:citation/>
        </w:sdtPr>
        <w:sdtContent>
          <w:r w:rsidR="005D0693">
            <w:fldChar w:fldCharType="begin"/>
          </w:r>
          <w:r w:rsidR="005D0693">
            <w:rPr>
              <w:lang w:val="en-SG"/>
            </w:rPr>
            <w:instrText xml:space="preserve"> CITATION Mil14 \l 18441 </w:instrText>
          </w:r>
          <w:r w:rsidR="005D0693">
            <w:fldChar w:fldCharType="separate"/>
          </w:r>
          <w:r w:rsidR="7B239CF6">
            <w:rPr>
              <w:noProof/>
              <w:lang w:val="en-SG"/>
            </w:rPr>
            <w:t xml:space="preserve"> </w:t>
          </w:r>
          <w:r w:rsidRPr="005D0693" w:rsidR="7B239CF6">
            <w:rPr>
              <w:noProof/>
              <w:lang w:val="en-SG"/>
            </w:rPr>
            <w:t>(Miller, et al., 2014)</w:t>
          </w:r>
          <w:r w:rsidR="005D0693">
            <w:fldChar w:fldCharType="end"/>
          </w:r>
        </w:sdtContent>
      </w:sdt>
      <w:r w:rsidR="6F1BC6BA">
        <w:rPr/>
        <w:t>. When the group has gained a better</w:t>
      </w:r>
      <w:r w:rsidR="14BB9965">
        <w:rPr/>
        <w:t>l,;?</w:t>
      </w:r>
      <w:r w:rsidR="6F1BC6BA">
        <w:rPr/>
        <w:t xml:space="preserve"> understanding of the situation at hand, they may decide to define the problem statement. The problem statement may be phrased as follows: "How can we build a program that helps families adopt appropriate eating habits and promote physical activity?" This would be done with the goal of reducing the risk of juvenile obesity</w:t>
      </w:r>
      <w:sdt>
        <w:sdtPr>
          <w:id w:val="1474954898"/>
          <w:lock w:val="contentLocked"/>
          <w:placeholder>
            <w:docPart w:val="7328096071305F4C8446E84AE77DF01D"/>
          </w:placeholder>
          <w:citation/>
        </w:sdtPr>
        <w:sdtContent>
          <w:r w:rsidR="005D0693">
            <w:fldChar w:fldCharType="begin"/>
          </w:r>
          <w:r w:rsidR="005D0693">
            <w:rPr>
              <w:lang w:val="en-SG"/>
            </w:rPr>
            <w:instrText xml:space="preserve"> CITATION Tsc12 \l 18441 </w:instrText>
          </w:r>
          <w:r w:rsidR="005D0693">
            <w:fldChar w:fldCharType="separate"/>
          </w:r>
          <w:r w:rsidR="7B239CF6">
            <w:rPr>
              <w:noProof/>
              <w:lang w:val="en-SG"/>
            </w:rPr>
            <w:t xml:space="preserve"> </w:t>
          </w:r>
          <w:r w:rsidRPr="005D0693" w:rsidR="7B239CF6">
            <w:rPr>
              <w:noProof/>
              <w:lang w:val="en-SG"/>
            </w:rPr>
            <w:t>(Tschimmel, 2012)</w:t>
          </w:r>
          <w:r w:rsidR="005D0693">
            <w:fldChar w:fldCharType="end"/>
          </w:r>
        </w:sdtContent>
      </w:sdt>
      <w:r w:rsidR="6F1BC6BA">
        <w:rPr/>
        <w:t xml:space="preserve">. </w:t>
      </w:r>
    </w:p>
    <w:p w:rsidR="00856332" w:rsidP="00D146F9" w:rsidRDefault="00D146F9" w14:paraId="12FF6165" w14:textId="26D55F7E">
      <w:r>
        <w:t>The development of overweight and obese children and adolescents is impacted by a wide range of elements, such as genetics, way of life, and environmental influences</w:t>
      </w:r>
      <w:sdt>
        <w:sdtPr>
          <w:id w:val="-567801621"/>
          <w:citation/>
        </w:sdtPr>
        <w:sdtContent>
          <w:r w:rsidR="005D0693">
            <w:fldChar w:fldCharType="begin"/>
          </w:r>
          <w:r w:rsidR="005D0693">
            <w:rPr>
              <w:lang w:val="en-SG"/>
            </w:rPr>
            <w:instrText xml:space="preserve"> CITATION Han10 \l 18441 </w:instrText>
          </w:r>
          <w:r w:rsidR="005D0693">
            <w:fldChar w:fldCharType="separate"/>
          </w:r>
          <w:r w:rsidR="005D0693">
            <w:rPr>
              <w:noProof/>
              <w:lang w:val="en-SG"/>
            </w:rPr>
            <w:t xml:space="preserve"> </w:t>
          </w:r>
          <w:r w:rsidRPr="005D0693" w:rsidR="005D0693">
            <w:rPr>
              <w:noProof/>
              <w:lang w:val="en-SG"/>
            </w:rPr>
            <w:t>(Han, et al., 2010)</w:t>
          </w:r>
          <w:r w:rsidR="005D0693">
            <w:fldChar w:fldCharType="end"/>
          </w:r>
        </w:sdtContent>
      </w:sdt>
      <w:r>
        <w:t>. The following are some of the most common causes:</w:t>
      </w:r>
    </w:p>
    <w:p w:rsidR="00856332" w:rsidP="00BB140B" w:rsidRDefault="00856332" w14:paraId="6DAC00E8" w14:textId="6DF602DF">
      <w:pPr>
        <w:pStyle w:val="ListParagraph"/>
        <w:numPr>
          <w:ilvl w:val="0"/>
          <w:numId w:val="8"/>
        </w:numPr>
      </w:pPr>
      <w:r>
        <w:t>Poor diet: Eating a diet that is high in calories, fat, and sugar can contribute to obesity. Children who consume a lot of fast food, sugary drinks, and processed snacks are at higher risk of becoming overweight or obese</w:t>
      </w:r>
      <w:sdt>
        <w:sdtPr>
          <w:id w:val="1786924577"/>
          <w:citation/>
        </w:sdtPr>
        <w:sdtContent>
          <w:r w:rsidR="005D0693">
            <w:fldChar w:fldCharType="begin"/>
          </w:r>
          <w:r w:rsidR="005D0693">
            <w:rPr>
              <w:lang w:val="en-SG"/>
            </w:rPr>
            <w:instrText xml:space="preserve"> CITATION Lak12 \l 18441 </w:instrText>
          </w:r>
          <w:r w:rsidR="005D0693">
            <w:fldChar w:fldCharType="separate"/>
          </w:r>
          <w:r w:rsidR="005D0693">
            <w:rPr>
              <w:noProof/>
              <w:lang w:val="en-SG"/>
            </w:rPr>
            <w:t xml:space="preserve"> </w:t>
          </w:r>
          <w:r w:rsidRPr="005D0693" w:rsidR="005D0693">
            <w:rPr>
              <w:noProof/>
              <w:lang w:val="en-SG"/>
            </w:rPr>
            <w:t>(Lakshman, et al., 2012)</w:t>
          </w:r>
          <w:r w:rsidR="005D0693">
            <w:fldChar w:fldCharType="end"/>
          </w:r>
        </w:sdtContent>
      </w:sdt>
      <w:r>
        <w:t>.</w:t>
      </w:r>
    </w:p>
    <w:p w:rsidR="00856332" w:rsidP="00BB140B" w:rsidRDefault="00856332" w14:paraId="28647467" w14:textId="2382BC05">
      <w:pPr>
        <w:pStyle w:val="ListParagraph"/>
        <w:numPr>
          <w:ilvl w:val="0"/>
          <w:numId w:val="8"/>
        </w:numPr>
      </w:pPr>
      <w:r>
        <w:t xml:space="preserve">Lack of physical activity: </w:t>
      </w:r>
      <w:r w:rsidR="00D146F9">
        <w:t xml:space="preserve"> </w:t>
      </w:r>
      <w:r w:rsidRPr="00D146F9" w:rsidR="00D146F9">
        <w:t>An unhealthy amount of sedentary activity, such as watching too much television or spending too much time playing video games, has been linked to obesity. Youngsters who do not participate in regular physical exercise have an increased likelihood of becoming overweight or obesity in adulthood</w:t>
      </w:r>
      <w:sdt>
        <w:sdtPr>
          <w:id w:val="1824844837"/>
          <w:citation/>
        </w:sdtPr>
        <w:sdtContent>
          <w:r w:rsidR="005D0693">
            <w:fldChar w:fldCharType="begin"/>
          </w:r>
          <w:r w:rsidR="005D0693">
            <w:rPr>
              <w:lang w:val="en-SG"/>
            </w:rPr>
            <w:instrText xml:space="preserve"> CITATION Nag13 \l 18441 </w:instrText>
          </w:r>
          <w:r w:rsidR="005D0693">
            <w:fldChar w:fldCharType="separate"/>
          </w:r>
          <w:r w:rsidR="005D0693">
            <w:rPr>
              <w:noProof/>
              <w:lang w:val="en-SG"/>
            </w:rPr>
            <w:t xml:space="preserve"> </w:t>
          </w:r>
          <w:r w:rsidRPr="005D0693" w:rsidR="005D0693">
            <w:rPr>
              <w:noProof/>
              <w:lang w:val="en-SG"/>
            </w:rPr>
            <w:t>(Nagai, 2013)</w:t>
          </w:r>
          <w:r w:rsidR="005D0693">
            <w:fldChar w:fldCharType="end"/>
          </w:r>
        </w:sdtContent>
      </w:sdt>
      <w:r w:rsidRPr="00D146F9" w:rsidR="00D146F9">
        <w:t>.</w:t>
      </w:r>
    </w:p>
    <w:p w:rsidR="00856332" w:rsidP="00BB140B" w:rsidRDefault="00856332" w14:paraId="108033A4" w14:textId="68934220">
      <w:pPr>
        <w:pStyle w:val="ListParagraph"/>
        <w:numPr>
          <w:ilvl w:val="0"/>
          <w:numId w:val="8"/>
        </w:numPr>
      </w:pPr>
      <w:r>
        <w:t>Genetics: Some children are more predisposed to obesity due to genetic factors. This can include a family history of obesity, as well as inherited genetic mutations that affect metabolism and appetite</w:t>
      </w:r>
      <w:sdt>
        <w:sdtPr>
          <w:id w:val="600314155"/>
          <w:citation/>
        </w:sdtPr>
        <w:sdtContent>
          <w:r w:rsidR="005D0693">
            <w:fldChar w:fldCharType="begin"/>
          </w:r>
          <w:r w:rsidR="005D0693">
            <w:rPr>
              <w:lang w:val="en-SG"/>
            </w:rPr>
            <w:instrText xml:space="preserve"> CITATION Tsc12 \l 18441 </w:instrText>
          </w:r>
          <w:r w:rsidR="005D0693">
            <w:fldChar w:fldCharType="separate"/>
          </w:r>
          <w:r w:rsidR="005D0693">
            <w:rPr>
              <w:noProof/>
              <w:lang w:val="en-SG"/>
            </w:rPr>
            <w:t xml:space="preserve"> </w:t>
          </w:r>
          <w:r w:rsidRPr="005D0693" w:rsidR="005D0693">
            <w:rPr>
              <w:noProof/>
              <w:lang w:val="en-SG"/>
            </w:rPr>
            <w:t>(Tschimmel, 2012)</w:t>
          </w:r>
          <w:r w:rsidR="005D0693">
            <w:fldChar w:fldCharType="end"/>
          </w:r>
        </w:sdtContent>
      </w:sdt>
      <w:r>
        <w:t>.</w:t>
      </w:r>
    </w:p>
    <w:p w:rsidR="00856332" w:rsidP="00BB140B" w:rsidRDefault="00856332" w14:paraId="25C953E6" w14:textId="3EF78D13">
      <w:pPr>
        <w:pStyle w:val="ListParagraph"/>
        <w:numPr>
          <w:ilvl w:val="0"/>
          <w:numId w:val="8"/>
        </w:numPr>
      </w:pPr>
      <w:r>
        <w:t xml:space="preserve">Environmental factors: The environment in which children live can also contribute to obesity. </w:t>
      </w:r>
      <w:r w:rsidR="00B56C8F">
        <w:t xml:space="preserve"> </w:t>
      </w:r>
      <w:r w:rsidRPr="00B56C8F" w:rsidR="00B56C8F">
        <w:t>A lack of access to healthy food alternatives, living in hazardous neighbourhoods, and having few chances to engage in physical exercise are all factors that may contribute to the development of obesity</w:t>
      </w:r>
      <w:sdt>
        <w:sdtPr>
          <w:id w:val="-1848622581"/>
          <w:citation/>
        </w:sdtPr>
        <w:sdtContent>
          <w:r w:rsidR="005D0693">
            <w:fldChar w:fldCharType="begin"/>
          </w:r>
          <w:r w:rsidR="005D0693">
            <w:rPr>
              <w:lang w:val="en-SG"/>
            </w:rPr>
            <w:instrText xml:space="preserve"> CITATION Lak12 \l 18441 </w:instrText>
          </w:r>
          <w:r w:rsidR="005D0693">
            <w:fldChar w:fldCharType="separate"/>
          </w:r>
          <w:r w:rsidR="005D0693">
            <w:rPr>
              <w:noProof/>
              <w:lang w:val="en-SG"/>
            </w:rPr>
            <w:t xml:space="preserve"> </w:t>
          </w:r>
          <w:r w:rsidRPr="005D0693" w:rsidR="005D0693">
            <w:rPr>
              <w:noProof/>
              <w:lang w:val="en-SG"/>
            </w:rPr>
            <w:t>(Lakshman, et al., 2012)</w:t>
          </w:r>
          <w:r w:rsidR="005D0693">
            <w:fldChar w:fldCharType="end"/>
          </w:r>
        </w:sdtContent>
      </w:sdt>
      <w:r w:rsidRPr="00B56C8F" w:rsidR="00B56C8F">
        <w:t>.</w:t>
      </w:r>
    </w:p>
    <w:p w:rsidR="00856332" w:rsidP="00856332" w:rsidRDefault="00B56C8F" w14:paraId="3B04D3DD" w14:textId="49C42FF3">
      <w:r w:rsidRPr="00B56C8F">
        <w:t>Obesity in children is linked to a variety of health issues, which may manifest itself throughout childhood as well as later in life.</w:t>
      </w:r>
      <w:r>
        <w:t xml:space="preserve"> </w:t>
      </w:r>
      <w:r w:rsidR="00856332">
        <w:t>These can include:</w:t>
      </w:r>
    </w:p>
    <w:p w:rsidR="00856332" w:rsidP="00BB140B" w:rsidRDefault="00856332" w14:paraId="3B846DF0" w14:textId="31C8FD44">
      <w:pPr>
        <w:pStyle w:val="ListParagraph"/>
        <w:numPr>
          <w:ilvl w:val="0"/>
          <w:numId w:val="9"/>
        </w:numPr>
      </w:pPr>
      <w:r>
        <w:t xml:space="preserve">Heart disease: </w:t>
      </w:r>
      <w:r w:rsidR="00346750">
        <w:t xml:space="preserve"> </w:t>
      </w:r>
      <w:r w:rsidRPr="00346750" w:rsidR="00346750">
        <w:t xml:space="preserve">Obesity children have an increased likelihood of having heart disease later in life, which may include high blood pressure and elevated cholesterol levels. Children who are at a greater risk of having a variety of health problems, including type 2 diabetes, high blood pressure, joint difficulties, heart </w:t>
      </w:r>
      <w:r w:rsidRPr="00346750" w:rsidR="00CB28EB">
        <w:t>disease, and</w:t>
      </w:r>
      <w:r w:rsidRPr="00346750" w:rsidR="00346750">
        <w:t xml:space="preserve"> mental health concerns, are those who are overweight or obese</w:t>
      </w:r>
      <w:sdt>
        <w:sdtPr>
          <w:id w:val="-898443695"/>
          <w:citation/>
        </w:sdtPr>
        <w:sdtContent>
          <w:r w:rsidR="005D0693">
            <w:fldChar w:fldCharType="begin"/>
          </w:r>
          <w:r w:rsidR="005D0693">
            <w:rPr>
              <w:lang w:val="en-SG"/>
            </w:rPr>
            <w:instrText xml:space="preserve"> CITATION Tsc12 \l 18441 </w:instrText>
          </w:r>
          <w:r w:rsidR="005D0693">
            <w:fldChar w:fldCharType="separate"/>
          </w:r>
          <w:r w:rsidR="005D0693">
            <w:rPr>
              <w:noProof/>
              <w:lang w:val="en-SG"/>
            </w:rPr>
            <w:t xml:space="preserve"> </w:t>
          </w:r>
          <w:r w:rsidRPr="005D0693" w:rsidR="005D0693">
            <w:rPr>
              <w:noProof/>
              <w:lang w:val="en-SG"/>
            </w:rPr>
            <w:t>(Tschimmel, 2012)</w:t>
          </w:r>
          <w:r w:rsidR="005D0693">
            <w:fldChar w:fldCharType="end"/>
          </w:r>
        </w:sdtContent>
      </w:sdt>
      <w:r w:rsidRPr="00346750" w:rsidR="00346750">
        <w:t>.</w:t>
      </w:r>
    </w:p>
    <w:p w:rsidR="00856332" w:rsidP="00BB140B" w:rsidRDefault="00856332" w14:paraId="09880B28" w14:textId="60D7B69D">
      <w:pPr>
        <w:pStyle w:val="ListParagraph"/>
        <w:numPr>
          <w:ilvl w:val="0"/>
          <w:numId w:val="9"/>
        </w:numPr>
      </w:pPr>
      <w:r>
        <w:t>Joint problems</w:t>
      </w:r>
      <w:r w:rsidR="00CB28EB">
        <w:t xml:space="preserve">: </w:t>
      </w:r>
      <w:r w:rsidRPr="00CB28EB" w:rsidR="00CB28EB">
        <w:t>Excess weight may place stress on the joints, which can contribute to pain and inflammation in the joints. Because of this, one's chances of acquiring arthritis later in life are increased</w:t>
      </w:r>
      <w:sdt>
        <w:sdtPr>
          <w:id w:val="1168674823"/>
          <w:citation/>
        </w:sdtPr>
        <w:sdtContent>
          <w:r w:rsidR="005D0693">
            <w:fldChar w:fldCharType="begin"/>
          </w:r>
          <w:r w:rsidR="005D0693">
            <w:rPr>
              <w:lang w:val="en-SG"/>
            </w:rPr>
            <w:instrText xml:space="preserve"> CITATION Lak12 \l 18441 </w:instrText>
          </w:r>
          <w:r w:rsidR="005D0693">
            <w:fldChar w:fldCharType="separate"/>
          </w:r>
          <w:r w:rsidR="005D0693">
            <w:rPr>
              <w:noProof/>
              <w:lang w:val="en-SG"/>
            </w:rPr>
            <w:t xml:space="preserve"> </w:t>
          </w:r>
          <w:r w:rsidRPr="005D0693" w:rsidR="005D0693">
            <w:rPr>
              <w:noProof/>
              <w:lang w:val="en-SG"/>
            </w:rPr>
            <w:t>(Lakshman, et al., 2012)</w:t>
          </w:r>
          <w:r w:rsidR="005D0693">
            <w:fldChar w:fldCharType="end"/>
          </w:r>
        </w:sdtContent>
      </w:sdt>
      <w:r w:rsidRPr="00CB28EB" w:rsidR="00CB28EB">
        <w:t>.</w:t>
      </w:r>
    </w:p>
    <w:p w:rsidR="00180F13" w:rsidP="00BB140B" w:rsidRDefault="00180F13" w14:paraId="1C66F44A" w14:textId="53279BC3">
      <w:pPr>
        <w:pStyle w:val="ListParagraph"/>
        <w:numPr>
          <w:ilvl w:val="0"/>
          <w:numId w:val="9"/>
        </w:numPr>
      </w:pPr>
      <w:r>
        <w:t xml:space="preserve">Economic costs: </w:t>
      </w:r>
      <w:r w:rsidR="00346750">
        <w:t xml:space="preserve"> </w:t>
      </w:r>
      <w:r w:rsidRPr="00CB28EB" w:rsidR="00CB28EB">
        <w:t>Obesity in children imposes enormous economic costs on society, including expenditures for healthcare, lost productivity, and higher absence from school. These costs include increased absenteeism from school</w:t>
      </w:r>
      <w:sdt>
        <w:sdtPr>
          <w:id w:val="1993295693"/>
          <w:citation/>
        </w:sdtPr>
        <w:sdtContent>
          <w:r w:rsidR="005D0693">
            <w:fldChar w:fldCharType="begin"/>
          </w:r>
          <w:r w:rsidR="005D0693">
            <w:rPr>
              <w:lang w:val="en-SG"/>
            </w:rPr>
            <w:instrText xml:space="preserve"> CITATION Sah15 \l 18441 </w:instrText>
          </w:r>
          <w:r w:rsidR="005D0693">
            <w:fldChar w:fldCharType="separate"/>
          </w:r>
          <w:r w:rsidR="005D0693">
            <w:rPr>
              <w:noProof/>
              <w:lang w:val="en-SG"/>
            </w:rPr>
            <w:t xml:space="preserve"> </w:t>
          </w:r>
          <w:r w:rsidRPr="005D0693" w:rsidR="005D0693">
            <w:rPr>
              <w:noProof/>
              <w:lang w:val="en-SG"/>
            </w:rPr>
            <w:t>(Sahoo, et al., 2015)</w:t>
          </w:r>
          <w:r w:rsidR="005D0693">
            <w:fldChar w:fldCharType="end"/>
          </w:r>
        </w:sdtContent>
      </w:sdt>
      <w:r w:rsidRPr="00CB28EB" w:rsidR="00CB28EB">
        <w:t>.</w:t>
      </w:r>
    </w:p>
    <w:p w:rsidR="00180F13" w:rsidP="00BB140B" w:rsidRDefault="00180F13" w14:paraId="5A5A9B8D" w14:textId="3944F3EE">
      <w:pPr>
        <w:pStyle w:val="ListParagraph"/>
        <w:numPr>
          <w:ilvl w:val="0"/>
          <w:numId w:val="9"/>
        </w:numPr>
      </w:pPr>
      <w:r>
        <w:t xml:space="preserve">Social stigma: </w:t>
      </w:r>
      <w:r w:rsidR="00346750">
        <w:t xml:space="preserve"> </w:t>
      </w:r>
      <w:r w:rsidRPr="00CB28EB" w:rsidR="00CB28EB">
        <w:t>Children who are overweight or obese may also encounter social stigma and prejudice, which may result in low self-esteem and an unfavourable body image. This can be a contributing factor in the development of these problems</w:t>
      </w:r>
      <w:sdt>
        <w:sdtPr>
          <w:id w:val="1397784446"/>
          <w:citation/>
        </w:sdtPr>
        <w:sdtContent>
          <w:r w:rsidR="005D0693">
            <w:fldChar w:fldCharType="begin"/>
          </w:r>
          <w:r w:rsidR="005D0693">
            <w:rPr>
              <w:lang w:val="en-SG"/>
            </w:rPr>
            <w:instrText xml:space="preserve"> CITATION Tsc12 \l 18441 </w:instrText>
          </w:r>
          <w:r w:rsidR="005D0693">
            <w:fldChar w:fldCharType="separate"/>
          </w:r>
          <w:r w:rsidR="005D0693">
            <w:rPr>
              <w:noProof/>
              <w:lang w:val="en-SG"/>
            </w:rPr>
            <w:t xml:space="preserve"> </w:t>
          </w:r>
          <w:r w:rsidRPr="005D0693" w:rsidR="005D0693">
            <w:rPr>
              <w:noProof/>
              <w:lang w:val="en-SG"/>
            </w:rPr>
            <w:t>(Tschimmel, 2012)</w:t>
          </w:r>
          <w:r w:rsidR="005D0693">
            <w:fldChar w:fldCharType="end"/>
          </w:r>
        </w:sdtContent>
      </w:sdt>
      <w:r w:rsidRPr="00CB28EB" w:rsidR="00CB28EB">
        <w:t>.</w:t>
      </w:r>
    </w:p>
    <w:p w:rsidR="00F736E0" w:rsidP="00BB140B" w:rsidRDefault="00180F13" w14:paraId="54912E45" w14:textId="79141802">
      <w:pPr>
        <w:pStyle w:val="ListParagraph"/>
        <w:numPr>
          <w:ilvl w:val="0"/>
          <w:numId w:val="9"/>
        </w:numPr>
      </w:pPr>
      <w:r>
        <w:t xml:space="preserve">Inequities: </w:t>
      </w:r>
      <w:r w:rsidR="00346750">
        <w:t xml:space="preserve"> </w:t>
      </w:r>
      <w:r w:rsidRPr="00CB28EB" w:rsidR="00CB28EB">
        <w:t>Children from low-income and minority groups are disproportionately affected by childhood obesity. These children may have limited access to healthy food alternatives as well as safe areas to play and exercise</w:t>
      </w:r>
      <w:sdt>
        <w:sdtPr>
          <w:id w:val="421064945"/>
          <w:citation/>
        </w:sdtPr>
        <w:sdtContent>
          <w:r w:rsidR="005D0693">
            <w:fldChar w:fldCharType="begin"/>
          </w:r>
          <w:r w:rsidR="005D0693">
            <w:rPr>
              <w:lang w:val="en-SG"/>
            </w:rPr>
            <w:instrText xml:space="preserve"> CITATION Mil14 \l 18441 </w:instrText>
          </w:r>
          <w:r w:rsidR="005D0693">
            <w:fldChar w:fldCharType="separate"/>
          </w:r>
          <w:r w:rsidR="005D0693">
            <w:rPr>
              <w:noProof/>
              <w:lang w:val="en-SG"/>
            </w:rPr>
            <w:t xml:space="preserve"> </w:t>
          </w:r>
          <w:r w:rsidRPr="005D0693" w:rsidR="005D0693">
            <w:rPr>
              <w:noProof/>
              <w:lang w:val="en-SG"/>
            </w:rPr>
            <w:t>(Miller, et al., 2014)</w:t>
          </w:r>
          <w:r w:rsidR="005D0693">
            <w:fldChar w:fldCharType="end"/>
          </w:r>
        </w:sdtContent>
      </w:sdt>
      <w:r w:rsidRPr="00CB28EB" w:rsidR="00CB28EB">
        <w:t>.</w:t>
      </w:r>
    </w:p>
    <w:p w:rsidR="00B40493" w:rsidP="00856332" w:rsidRDefault="00B40493" w14:paraId="5E299368" w14:textId="77777777"/>
    <w:p w:rsidR="00B40493" w:rsidP="00856332" w:rsidRDefault="00B40493" w14:paraId="7A3E0202" w14:textId="77777777"/>
    <w:p w:rsidR="00B40493" w:rsidP="00856332" w:rsidRDefault="00B40493" w14:paraId="275CF6E2" w14:textId="77777777"/>
    <w:p w:rsidR="00856332" w:rsidP="00856332" w:rsidRDefault="005002FA" w14:paraId="61B07C8C" w14:textId="37DFFF96">
      <w:r>
        <w:t xml:space="preserve"> </w:t>
      </w:r>
      <w:r w:rsidR="00C132FB">
        <w:t>Effective</w:t>
      </w:r>
      <w:r w:rsidRPr="005002FA">
        <w:t xml:space="preserve"> </w:t>
      </w:r>
      <w:r w:rsidRPr="005002FA" w:rsidR="00C132FB">
        <w:t>strateg</w:t>
      </w:r>
      <w:r w:rsidR="00C132FB">
        <w:t>ies</w:t>
      </w:r>
      <w:r w:rsidRPr="005002FA">
        <w:t xml:space="preserve"> that take into account the multiple elements that contribute to the issue of childhood obesity is necessary for both preventing and treating the condition.</w:t>
      </w:r>
      <w:r w:rsidR="00856332">
        <w:t xml:space="preserve"> This can include:</w:t>
      </w:r>
    </w:p>
    <w:p w:rsidR="00856332" w:rsidP="00BB140B" w:rsidRDefault="00856332" w14:paraId="7EDEC682" w14:textId="24AEB54D">
      <w:pPr>
        <w:pStyle w:val="ListParagraph"/>
        <w:numPr>
          <w:ilvl w:val="0"/>
          <w:numId w:val="10"/>
        </w:numPr>
      </w:pPr>
      <w:r>
        <w:t xml:space="preserve">Encouraging healthy eating habits: </w:t>
      </w:r>
      <w:r w:rsidR="00F17BF9">
        <w:t xml:space="preserve"> </w:t>
      </w:r>
      <w:r w:rsidRPr="00F17BF9" w:rsidR="00F17BF9">
        <w:t>It is important to encourage children to consume a diet that is full of healthy foods including fruits, vegetables, whole grains, and lean proteins. Refined foods, sugary beverages, and fast meals should all be consumed in moderation</w:t>
      </w:r>
      <w:sdt>
        <w:sdtPr>
          <w:id w:val="1396937518"/>
          <w:citation/>
        </w:sdtPr>
        <w:sdtContent>
          <w:r w:rsidR="005D0693">
            <w:fldChar w:fldCharType="begin"/>
          </w:r>
          <w:r w:rsidR="005D0693">
            <w:rPr>
              <w:lang w:val="en-SG"/>
            </w:rPr>
            <w:instrText xml:space="preserve"> CITATION Spe05 \l 18441 </w:instrText>
          </w:r>
          <w:r w:rsidR="005D0693">
            <w:fldChar w:fldCharType="separate"/>
          </w:r>
          <w:r w:rsidR="005D0693">
            <w:rPr>
              <w:noProof/>
              <w:lang w:val="en-SG"/>
            </w:rPr>
            <w:t xml:space="preserve"> </w:t>
          </w:r>
          <w:r w:rsidRPr="005D0693" w:rsidR="005D0693">
            <w:rPr>
              <w:noProof/>
              <w:lang w:val="en-SG"/>
            </w:rPr>
            <w:t>(Speiser, 2005)</w:t>
          </w:r>
          <w:r w:rsidR="005D0693">
            <w:fldChar w:fldCharType="end"/>
          </w:r>
        </w:sdtContent>
      </w:sdt>
      <w:r w:rsidRPr="00F17BF9" w:rsidR="00F17BF9">
        <w:t>.</w:t>
      </w:r>
    </w:p>
    <w:p w:rsidR="00856332" w:rsidP="00BB140B" w:rsidRDefault="00856332" w14:paraId="14581456" w14:textId="42187246">
      <w:pPr>
        <w:pStyle w:val="ListParagraph"/>
        <w:numPr>
          <w:ilvl w:val="0"/>
          <w:numId w:val="10"/>
        </w:numPr>
      </w:pPr>
      <w:r>
        <w:t xml:space="preserve">Promoting physical activity: </w:t>
      </w:r>
      <w:r w:rsidR="00B40493">
        <w:t xml:space="preserve"> </w:t>
      </w:r>
      <w:r w:rsidRPr="00B40493" w:rsidR="00B40493">
        <w:t>It is important to encourage kids to exercise regularly, whether it's via sports or strolls. No more than two hours should be spent on screens every day (Tschimmel, 2012).</w:t>
      </w:r>
    </w:p>
    <w:p w:rsidR="00856332" w:rsidP="00BB140B" w:rsidRDefault="00856332" w14:paraId="2C362FEC" w14:textId="01ED43BD">
      <w:pPr>
        <w:pStyle w:val="ListParagraph"/>
        <w:numPr>
          <w:ilvl w:val="0"/>
          <w:numId w:val="10"/>
        </w:numPr>
      </w:pPr>
      <w:r>
        <w:t xml:space="preserve">Addressing environmental factors: </w:t>
      </w:r>
      <w:r w:rsidR="00B40493">
        <w:t xml:space="preserve"> </w:t>
      </w:r>
      <w:r w:rsidRPr="00B40493" w:rsidR="00B40493">
        <w:t>Local governments should seek to improve access to healthy food alternatives and secure playgrounds and sports facilities for kids. Schools may contribute by providing programs for physical exercise and healthy nutrition alternatives (Tschimmel, 2012).</w:t>
      </w:r>
    </w:p>
    <w:p w:rsidR="00856332" w:rsidP="00BB140B" w:rsidRDefault="00856332" w14:paraId="693D3B88" w14:textId="47E39871">
      <w:pPr>
        <w:pStyle w:val="ListParagraph"/>
        <w:numPr>
          <w:ilvl w:val="0"/>
          <w:numId w:val="10"/>
        </w:numPr>
      </w:pPr>
      <w:r>
        <w:t xml:space="preserve">Providing support and resources: Families may need support and resources to make healthy lifestyle changes, such as access to nutrition </w:t>
      </w:r>
      <w:r w:rsidR="00180F13">
        <w:t>counselling</w:t>
      </w:r>
      <w:r>
        <w:t xml:space="preserve"> or exercise programs</w:t>
      </w:r>
      <w:sdt>
        <w:sdtPr>
          <w:id w:val="177927861"/>
          <w:citation/>
        </w:sdtPr>
        <w:sdtContent>
          <w:r w:rsidR="005D0693">
            <w:fldChar w:fldCharType="begin"/>
          </w:r>
          <w:r w:rsidR="005D0693">
            <w:rPr>
              <w:lang w:val="en-SG"/>
            </w:rPr>
            <w:instrText xml:space="preserve"> CITATION Tsc12 \l 18441 </w:instrText>
          </w:r>
          <w:r w:rsidR="005D0693">
            <w:fldChar w:fldCharType="separate"/>
          </w:r>
          <w:r w:rsidR="005D0693">
            <w:rPr>
              <w:noProof/>
              <w:lang w:val="en-SG"/>
            </w:rPr>
            <w:t xml:space="preserve"> </w:t>
          </w:r>
          <w:r w:rsidRPr="005D0693" w:rsidR="005D0693">
            <w:rPr>
              <w:noProof/>
              <w:lang w:val="en-SG"/>
            </w:rPr>
            <w:t>(Tschimmel, 2012)</w:t>
          </w:r>
          <w:r w:rsidR="005D0693">
            <w:fldChar w:fldCharType="end"/>
          </w:r>
        </w:sdtContent>
      </w:sdt>
      <w:r>
        <w:t>.</w:t>
      </w:r>
    </w:p>
    <w:p w:rsidR="00F17BF9" w:rsidRDefault="00F17BF9" w14:paraId="165A7127" w14:textId="77777777">
      <w:pPr>
        <w:spacing w:line="259" w:lineRule="auto"/>
        <w:jc w:val="left"/>
        <w:rPr>
          <w:rFonts w:asciiTheme="majorHAnsi" w:hAnsiTheme="majorHAnsi" w:eastAsiaTheme="majorEastAsia" w:cstheme="majorBidi"/>
          <w:b/>
          <w:bCs/>
          <w:color w:val="000000" w:themeColor="text1"/>
          <w:kern w:val="2"/>
          <w:sz w:val="28"/>
          <w:szCs w:val="28"/>
          <w:lang w:val="en-SG"/>
          <w14:ligatures w14:val="standardContextual"/>
        </w:rPr>
      </w:pPr>
      <w:r>
        <w:br w:type="page"/>
      </w:r>
    </w:p>
    <w:p w:rsidR="00180F13" w:rsidP="00180F13" w:rsidRDefault="00180F13" w14:paraId="3FC25BC9" w14:textId="0539D2D9">
      <w:pPr>
        <w:pStyle w:val="Heading1"/>
      </w:pPr>
      <w:bookmarkStart w:name="_Toc130581321" w:id="2"/>
      <w:r>
        <w:t>Conclusion</w:t>
      </w:r>
      <w:bookmarkEnd w:id="2"/>
      <w:r>
        <w:t xml:space="preserve"> </w:t>
      </w:r>
    </w:p>
    <w:p w:rsidR="00A367F6" w:rsidP="00856332" w:rsidRDefault="00F17BF9" w14:paraId="4AA62B1C" w14:textId="14D074D1">
      <w:r w:rsidRPr="00F17BF9">
        <w:t>In conclusion, paediatric obesity is a multifaceted issue that calls for a holistic strategy for both its prevention and treatment. We can help guarantee that our children have a healthy and happy childhood by focusing on the myriad of variables that play a role in the development of obesity</w:t>
      </w:r>
      <w:sdt>
        <w:sdtPr>
          <w:id w:val="-1600332523"/>
          <w:citation/>
        </w:sdtPr>
        <w:sdtContent>
          <w:r w:rsidR="008F701F">
            <w:fldChar w:fldCharType="begin"/>
          </w:r>
          <w:r w:rsidR="008F701F">
            <w:rPr>
              <w:lang w:val="en-SG"/>
            </w:rPr>
            <w:instrText xml:space="preserve"> CITATION Sah15 \l 18441 </w:instrText>
          </w:r>
          <w:r w:rsidR="008F701F">
            <w:fldChar w:fldCharType="separate"/>
          </w:r>
          <w:r w:rsidR="008F701F">
            <w:rPr>
              <w:noProof/>
              <w:lang w:val="en-SG"/>
            </w:rPr>
            <w:t xml:space="preserve"> </w:t>
          </w:r>
          <w:r w:rsidRPr="008F701F" w:rsidR="008F701F">
            <w:rPr>
              <w:noProof/>
              <w:lang w:val="en-SG"/>
            </w:rPr>
            <w:t>(Sahoo, et al., 2015)</w:t>
          </w:r>
          <w:r w:rsidR="008F701F">
            <w:fldChar w:fldCharType="end"/>
          </w:r>
        </w:sdtContent>
      </w:sdt>
      <w:r w:rsidRPr="00F17BF9">
        <w:t>. Diet, physical activity, genetics, and environmental variables are all contributors to the issue of kid obesity, and it is necessary to take a multipronged strategy in order to combat it. This approach must also address the underlying reasons that contribute to the problem</w:t>
      </w:r>
      <w:sdt>
        <w:sdtPr>
          <w:id w:val="69242973"/>
          <w:citation/>
        </w:sdtPr>
        <w:sdtContent>
          <w:r w:rsidR="008F701F">
            <w:fldChar w:fldCharType="begin"/>
          </w:r>
          <w:r w:rsidR="008F701F">
            <w:rPr>
              <w:lang w:val="en-SG"/>
            </w:rPr>
            <w:instrText xml:space="preserve"> CITATION Tsc12 \l 18441 </w:instrText>
          </w:r>
          <w:r w:rsidR="008F701F">
            <w:fldChar w:fldCharType="separate"/>
          </w:r>
          <w:r w:rsidR="008F701F">
            <w:rPr>
              <w:noProof/>
              <w:lang w:val="en-SG"/>
            </w:rPr>
            <w:t xml:space="preserve"> </w:t>
          </w:r>
          <w:r w:rsidRPr="008F701F" w:rsidR="008F701F">
            <w:rPr>
              <w:noProof/>
              <w:lang w:val="en-SG"/>
            </w:rPr>
            <w:t>(Tschimmel, 2012)</w:t>
          </w:r>
          <w:r w:rsidR="008F701F">
            <w:fldChar w:fldCharType="end"/>
          </w:r>
        </w:sdtContent>
      </w:sdt>
      <w:r w:rsidRPr="00F17BF9">
        <w:t>. People can make strides in preventing and reducing the prevalence of childhood obesity if we encourage children to make healthy lifestyle choices and if we provide nurturing environments in which children may live and play.</w:t>
      </w:r>
    </w:p>
    <w:p w:rsidR="00A367F6" w:rsidRDefault="00A367F6" w14:paraId="51B5ED31" w14:textId="77777777">
      <w:pPr>
        <w:spacing w:line="259" w:lineRule="auto"/>
        <w:jc w:val="left"/>
      </w:pPr>
      <w:r>
        <w:br w:type="page"/>
      </w:r>
    </w:p>
    <w:p w:rsidR="005916B3" w:rsidP="00A367F6" w:rsidRDefault="00A367F6" w14:paraId="31D1A221" w14:textId="26308DCE">
      <w:pPr>
        <w:pStyle w:val="Heading1"/>
      </w:pPr>
      <w:bookmarkStart w:name="_Toc130581322" w:id="3"/>
      <w:r>
        <w:t>References</w:t>
      </w:r>
      <w:bookmarkEnd w:id="3"/>
      <w:r>
        <w:t xml:space="preserve"> </w:t>
      </w:r>
    </w:p>
    <w:p w:rsidRPr="00A367F6" w:rsidR="009C08F0" w:rsidP="00204879" w:rsidRDefault="009C08F0" w14:paraId="15FD60A1" w14:textId="77777777">
      <w:pPr>
        <w:rPr>
          <w:lang w:val="en-SG"/>
        </w:rPr>
      </w:pPr>
      <w:r>
        <w:rPr>
          <w:shd w:val="clear" w:color="auto" w:fill="FFFFFF"/>
        </w:rPr>
        <w:t>Dehghan, M., Akhtar-Danesh, N. and Merchant, A.T., 2005. Childhood obesity, prevalence and prevention. </w:t>
      </w:r>
      <w:r>
        <w:rPr>
          <w:i/>
          <w:iCs/>
          <w:shd w:val="clear" w:color="auto" w:fill="FFFFFF"/>
        </w:rPr>
        <w:t>Nutrition journal</w:t>
      </w:r>
      <w:r>
        <w:rPr>
          <w:shd w:val="clear" w:color="auto" w:fill="FFFFFF"/>
        </w:rPr>
        <w:t>, </w:t>
      </w:r>
      <w:r>
        <w:rPr>
          <w:i/>
          <w:iCs/>
          <w:shd w:val="clear" w:color="auto" w:fill="FFFFFF"/>
        </w:rPr>
        <w:t>4</w:t>
      </w:r>
      <w:r>
        <w:rPr>
          <w:shd w:val="clear" w:color="auto" w:fill="FFFFFF"/>
        </w:rPr>
        <w:t>(1), pp.1-8.</w:t>
      </w:r>
    </w:p>
    <w:p w:rsidR="009C08F0" w:rsidP="00204879" w:rsidRDefault="009C08F0" w14:paraId="3470C307" w14:textId="77777777">
      <w:pPr>
        <w:rPr>
          <w:shd w:val="clear" w:color="auto" w:fill="FFFFFF"/>
        </w:rPr>
      </w:pPr>
      <w:r>
        <w:rPr>
          <w:shd w:val="clear" w:color="auto" w:fill="FFFFFF"/>
        </w:rPr>
        <w:t>Han, J.C., Lawlor, D.A. and Kimm, S.Y., 2010. Childhood obesity. </w:t>
      </w:r>
      <w:r>
        <w:rPr>
          <w:i/>
          <w:iCs/>
          <w:shd w:val="clear" w:color="auto" w:fill="FFFFFF"/>
        </w:rPr>
        <w:t>The lancet</w:t>
      </w:r>
      <w:r>
        <w:rPr>
          <w:shd w:val="clear" w:color="auto" w:fill="FFFFFF"/>
        </w:rPr>
        <w:t>, </w:t>
      </w:r>
      <w:r>
        <w:rPr>
          <w:i/>
          <w:iCs/>
          <w:shd w:val="clear" w:color="auto" w:fill="FFFFFF"/>
        </w:rPr>
        <w:t>375</w:t>
      </w:r>
      <w:r>
        <w:rPr>
          <w:shd w:val="clear" w:color="auto" w:fill="FFFFFF"/>
        </w:rPr>
        <w:t>(9727), pp.1737-1748.</w:t>
      </w:r>
    </w:p>
    <w:p w:rsidR="009C08F0" w:rsidP="00204879" w:rsidRDefault="009C08F0" w14:paraId="64F6B969" w14:textId="77777777">
      <w:pPr>
        <w:rPr>
          <w:shd w:val="clear" w:color="auto" w:fill="FFFFFF"/>
        </w:rPr>
      </w:pPr>
      <w:r>
        <w:rPr>
          <w:shd w:val="clear" w:color="auto" w:fill="FFFFFF"/>
        </w:rPr>
        <w:t>Lakshman, R., Elks, C.E. and Ong, K.K., 2012. Childhood obesity. </w:t>
      </w:r>
      <w:r>
        <w:rPr>
          <w:i/>
          <w:iCs/>
          <w:shd w:val="clear" w:color="auto" w:fill="FFFFFF"/>
        </w:rPr>
        <w:t>Circulation</w:t>
      </w:r>
      <w:r>
        <w:rPr>
          <w:shd w:val="clear" w:color="auto" w:fill="FFFFFF"/>
        </w:rPr>
        <w:t>, </w:t>
      </w:r>
      <w:r>
        <w:rPr>
          <w:i/>
          <w:iCs/>
          <w:shd w:val="clear" w:color="auto" w:fill="FFFFFF"/>
        </w:rPr>
        <w:t>126</w:t>
      </w:r>
      <w:r>
        <w:rPr>
          <w:shd w:val="clear" w:color="auto" w:fill="FFFFFF"/>
        </w:rPr>
        <w:t>(14), pp.1770-1779.</w:t>
      </w:r>
    </w:p>
    <w:p w:rsidR="009C08F0" w:rsidP="00204879" w:rsidRDefault="009C08F0" w14:paraId="6833D120" w14:textId="77777777">
      <w:pPr>
        <w:rPr>
          <w:shd w:val="clear" w:color="auto" w:fill="FFFFFF"/>
        </w:rPr>
      </w:pPr>
      <w:r>
        <w:rPr>
          <w:shd w:val="clear" w:color="auto" w:fill="FFFFFF"/>
        </w:rPr>
        <w:t>Miller, J., Rosenbloom, A. and Silverstein, J., 2014. Childhood obesity. </w:t>
      </w:r>
      <w:r>
        <w:rPr>
          <w:i/>
          <w:iCs/>
          <w:shd w:val="clear" w:color="auto" w:fill="FFFFFF"/>
        </w:rPr>
        <w:t>The Journal of Clinical Endocrinology &amp; Metabolism</w:t>
      </w:r>
      <w:r>
        <w:rPr>
          <w:shd w:val="clear" w:color="auto" w:fill="FFFFFF"/>
        </w:rPr>
        <w:t>, </w:t>
      </w:r>
      <w:r>
        <w:rPr>
          <w:i/>
          <w:iCs/>
          <w:shd w:val="clear" w:color="auto" w:fill="FFFFFF"/>
        </w:rPr>
        <w:t>89</w:t>
      </w:r>
      <w:r>
        <w:rPr>
          <w:shd w:val="clear" w:color="auto" w:fill="FFFFFF"/>
        </w:rPr>
        <w:t>(9), pp.4211-4218.</w:t>
      </w:r>
    </w:p>
    <w:p w:rsidR="009C08F0" w:rsidP="00204879" w:rsidRDefault="009C08F0" w14:paraId="26EAAC9E" w14:textId="77777777">
      <w:pPr>
        <w:rPr>
          <w:shd w:val="clear" w:color="auto" w:fill="FFFFFF"/>
        </w:rPr>
      </w:pPr>
      <w:r>
        <w:rPr>
          <w:shd w:val="clear" w:color="auto" w:fill="FFFFFF"/>
        </w:rPr>
        <w:t>Nagai, Y. and Noguchi, H., 2013. An experimental study on the design thinking process started from difficult keywords: Modeling the thinking process of creative design. </w:t>
      </w:r>
      <w:r>
        <w:rPr>
          <w:i/>
          <w:iCs/>
          <w:shd w:val="clear" w:color="auto" w:fill="FFFFFF"/>
        </w:rPr>
        <w:t>Journal of engineering design</w:t>
      </w:r>
      <w:r>
        <w:rPr>
          <w:shd w:val="clear" w:color="auto" w:fill="FFFFFF"/>
        </w:rPr>
        <w:t>, </w:t>
      </w:r>
      <w:r>
        <w:rPr>
          <w:i/>
          <w:iCs/>
          <w:shd w:val="clear" w:color="auto" w:fill="FFFFFF"/>
        </w:rPr>
        <w:t>14</w:t>
      </w:r>
      <w:r>
        <w:rPr>
          <w:shd w:val="clear" w:color="auto" w:fill="FFFFFF"/>
        </w:rPr>
        <w:t>(4), pp.429-437.</w:t>
      </w:r>
    </w:p>
    <w:p w:rsidR="009C08F0" w:rsidP="00204879" w:rsidRDefault="009C08F0" w14:paraId="13ECE3C5" w14:textId="77777777">
      <w:pPr>
        <w:rPr>
          <w:shd w:val="clear" w:color="auto" w:fill="FFFFFF"/>
        </w:rPr>
      </w:pPr>
      <w:r>
        <w:rPr>
          <w:shd w:val="clear" w:color="auto" w:fill="FFFFFF"/>
        </w:rPr>
        <w:t>Sahoo, K., Sahoo, B., Choudhury, A.K., Sofi, N.Y., Kumar, R. and Bhadoria, A.S., 2015. Childhood obesity: causes and consequences. </w:t>
      </w:r>
      <w:r>
        <w:rPr>
          <w:i/>
          <w:iCs/>
          <w:shd w:val="clear" w:color="auto" w:fill="FFFFFF"/>
        </w:rPr>
        <w:t>Journal of family medicine and primary care</w:t>
      </w:r>
      <w:r>
        <w:rPr>
          <w:shd w:val="clear" w:color="auto" w:fill="FFFFFF"/>
        </w:rPr>
        <w:t>, </w:t>
      </w:r>
      <w:r>
        <w:rPr>
          <w:i/>
          <w:iCs/>
          <w:shd w:val="clear" w:color="auto" w:fill="FFFFFF"/>
        </w:rPr>
        <w:t>4</w:t>
      </w:r>
      <w:r>
        <w:rPr>
          <w:shd w:val="clear" w:color="auto" w:fill="FFFFFF"/>
        </w:rPr>
        <w:t>(2), p.187.</w:t>
      </w:r>
    </w:p>
    <w:p w:rsidR="009C08F0" w:rsidP="00204879" w:rsidRDefault="009C08F0" w14:paraId="01EAC327" w14:textId="77777777">
      <w:pPr>
        <w:rPr>
          <w:shd w:val="clear" w:color="auto" w:fill="FFFFFF"/>
        </w:rPr>
      </w:pPr>
      <w:r>
        <w:rPr>
          <w:shd w:val="clear" w:color="auto" w:fill="FFFFFF"/>
        </w:rPr>
        <w:t>Speiser, P.W., Rudolf, M.C., Anhalt, H., Camacho-Hubner, C., Chiarelli, F., Eliakim, A., Freemark, M., Gruters, A., Hershkovitz, E., Iughetti, L. and Krude, H., 2005. Childhood obesity. </w:t>
      </w:r>
      <w:r>
        <w:rPr>
          <w:i/>
          <w:iCs/>
          <w:shd w:val="clear" w:color="auto" w:fill="FFFFFF"/>
        </w:rPr>
        <w:t>The journal of clinical endocrinology &amp; metabolism</w:t>
      </w:r>
      <w:r>
        <w:rPr>
          <w:shd w:val="clear" w:color="auto" w:fill="FFFFFF"/>
        </w:rPr>
        <w:t>, </w:t>
      </w:r>
      <w:r>
        <w:rPr>
          <w:i/>
          <w:iCs/>
          <w:shd w:val="clear" w:color="auto" w:fill="FFFFFF"/>
        </w:rPr>
        <w:t>90</w:t>
      </w:r>
      <w:r>
        <w:rPr>
          <w:shd w:val="clear" w:color="auto" w:fill="FFFFFF"/>
        </w:rPr>
        <w:t>(3), pp.1871-1887.</w:t>
      </w:r>
    </w:p>
    <w:p w:rsidR="009C08F0" w:rsidP="00204879" w:rsidRDefault="009C08F0" w14:paraId="264D66B1" w14:textId="77777777">
      <w:pPr>
        <w:rPr>
          <w:shd w:val="clear" w:color="auto" w:fill="FFFFFF"/>
        </w:rPr>
      </w:pPr>
      <w:r>
        <w:rPr>
          <w:shd w:val="clear" w:color="auto" w:fill="FFFFFF"/>
        </w:rPr>
        <w:t>Tschimmel, K., 2012. Design Thinking as an effective Toolkit for Innovation. In </w:t>
      </w:r>
      <w:r>
        <w:rPr>
          <w:i/>
          <w:iCs/>
          <w:shd w:val="clear" w:color="auto" w:fill="FFFFFF"/>
        </w:rPr>
        <w:t>ISPIM Conference Proceedings</w:t>
      </w:r>
      <w:r>
        <w:rPr>
          <w:shd w:val="clear" w:color="auto" w:fill="FFFFFF"/>
        </w:rPr>
        <w:t> (p. 1). The International Society for Professional Innovation Management (ISPIM).</w:t>
      </w:r>
    </w:p>
    <w:sectPr w:rsidR="009C08F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84EF3"/>
    <w:multiLevelType w:val="hybridMultilevel"/>
    <w:tmpl w:val="044C3E04"/>
    <w:lvl w:ilvl="0" w:tplc="48090001">
      <w:start w:val="1"/>
      <w:numFmt w:val="bullet"/>
      <w:lvlText w:val=""/>
      <w:lvlJc w:val="left"/>
      <w:pPr>
        <w:ind w:left="720" w:hanging="360"/>
      </w:pPr>
      <w:rPr>
        <w:rFonts w:hint="default" w:ascii="Symbol" w:hAnsi="Symbol"/>
      </w:rPr>
    </w:lvl>
    <w:lvl w:ilvl="1" w:tplc="48090003" w:tentative="1">
      <w:start w:val="1"/>
      <w:numFmt w:val="bullet"/>
      <w:lvlText w:val="o"/>
      <w:lvlJc w:val="left"/>
      <w:pPr>
        <w:ind w:left="1440" w:hanging="360"/>
      </w:pPr>
      <w:rPr>
        <w:rFonts w:hint="default" w:ascii="Courier New" w:hAnsi="Courier New" w:cs="Courier New"/>
      </w:rPr>
    </w:lvl>
    <w:lvl w:ilvl="2" w:tplc="48090005" w:tentative="1">
      <w:start w:val="1"/>
      <w:numFmt w:val="bullet"/>
      <w:lvlText w:val=""/>
      <w:lvlJc w:val="left"/>
      <w:pPr>
        <w:ind w:left="2160" w:hanging="360"/>
      </w:pPr>
      <w:rPr>
        <w:rFonts w:hint="default" w:ascii="Wingdings" w:hAnsi="Wingdings"/>
      </w:rPr>
    </w:lvl>
    <w:lvl w:ilvl="3" w:tplc="48090001" w:tentative="1">
      <w:start w:val="1"/>
      <w:numFmt w:val="bullet"/>
      <w:lvlText w:val=""/>
      <w:lvlJc w:val="left"/>
      <w:pPr>
        <w:ind w:left="2880" w:hanging="360"/>
      </w:pPr>
      <w:rPr>
        <w:rFonts w:hint="default" w:ascii="Symbol" w:hAnsi="Symbol"/>
      </w:rPr>
    </w:lvl>
    <w:lvl w:ilvl="4" w:tplc="48090003" w:tentative="1">
      <w:start w:val="1"/>
      <w:numFmt w:val="bullet"/>
      <w:lvlText w:val="o"/>
      <w:lvlJc w:val="left"/>
      <w:pPr>
        <w:ind w:left="3600" w:hanging="360"/>
      </w:pPr>
      <w:rPr>
        <w:rFonts w:hint="default" w:ascii="Courier New" w:hAnsi="Courier New" w:cs="Courier New"/>
      </w:rPr>
    </w:lvl>
    <w:lvl w:ilvl="5" w:tplc="48090005" w:tentative="1">
      <w:start w:val="1"/>
      <w:numFmt w:val="bullet"/>
      <w:lvlText w:val=""/>
      <w:lvlJc w:val="left"/>
      <w:pPr>
        <w:ind w:left="4320" w:hanging="360"/>
      </w:pPr>
      <w:rPr>
        <w:rFonts w:hint="default" w:ascii="Wingdings" w:hAnsi="Wingdings"/>
      </w:rPr>
    </w:lvl>
    <w:lvl w:ilvl="6" w:tplc="48090001" w:tentative="1">
      <w:start w:val="1"/>
      <w:numFmt w:val="bullet"/>
      <w:lvlText w:val=""/>
      <w:lvlJc w:val="left"/>
      <w:pPr>
        <w:ind w:left="5040" w:hanging="360"/>
      </w:pPr>
      <w:rPr>
        <w:rFonts w:hint="default" w:ascii="Symbol" w:hAnsi="Symbol"/>
      </w:rPr>
    </w:lvl>
    <w:lvl w:ilvl="7" w:tplc="48090003" w:tentative="1">
      <w:start w:val="1"/>
      <w:numFmt w:val="bullet"/>
      <w:lvlText w:val="o"/>
      <w:lvlJc w:val="left"/>
      <w:pPr>
        <w:ind w:left="5760" w:hanging="360"/>
      </w:pPr>
      <w:rPr>
        <w:rFonts w:hint="default" w:ascii="Courier New" w:hAnsi="Courier New" w:cs="Courier New"/>
      </w:rPr>
    </w:lvl>
    <w:lvl w:ilvl="8" w:tplc="48090005" w:tentative="1">
      <w:start w:val="1"/>
      <w:numFmt w:val="bullet"/>
      <w:lvlText w:val=""/>
      <w:lvlJc w:val="left"/>
      <w:pPr>
        <w:ind w:left="6480" w:hanging="360"/>
      </w:pPr>
      <w:rPr>
        <w:rFonts w:hint="default" w:ascii="Wingdings" w:hAnsi="Wingdings"/>
      </w:rPr>
    </w:lvl>
  </w:abstractNum>
  <w:abstractNum w:abstractNumId="1" w15:restartNumberingAfterBreak="0">
    <w:nsid w:val="3EFC7DBE"/>
    <w:multiLevelType w:val="hybridMultilevel"/>
    <w:tmpl w:val="5D90E1A0"/>
    <w:lvl w:ilvl="0" w:tplc="48090001">
      <w:start w:val="1"/>
      <w:numFmt w:val="bullet"/>
      <w:lvlText w:val=""/>
      <w:lvlJc w:val="left"/>
      <w:pPr>
        <w:ind w:left="720" w:hanging="360"/>
      </w:pPr>
      <w:rPr>
        <w:rFonts w:hint="default" w:ascii="Symbol" w:hAnsi="Symbol"/>
      </w:rPr>
    </w:lvl>
    <w:lvl w:ilvl="1" w:tplc="48090003" w:tentative="1">
      <w:start w:val="1"/>
      <w:numFmt w:val="bullet"/>
      <w:lvlText w:val="o"/>
      <w:lvlJc w:val="left"/>
      <w:pPr>
        <w:ind w:left="1440" w:hanging="360"/>
      </w:pPr>
      <w:rPr>
        <w:rFonts w:hint="default" w:ascii="Courier New" w:hAnsi="Courier New" w:cs="Courier New"/>
      </w:rPr>
    </w:lvl>
    <w:lvl w:ilvl="2" w:tplc="48090005" w:tentative="1">
      <w:start w:val="1"/>
      <w:numFmt w:val="bullet"/>
      <w:lvlText w:val=""/>
      <w:lvlJc w:val="left"/>
      <w:pPr>
        <w:ind w:left="2160" w:hanging="360"/>
      </w:pPr>
      <w:rPr>
        <w:rFonts w:hint="default" w:ascii="Wingdings" w:hAnsi="Wingdings"/>
      </w:rPr>
    </w:lvl>
    <w:lvl w:ilvl="3" w:tplc="48090001" w:tentative="1">
      <w:start w:val="1"/>
      <w:numFmt w:val="bullet"/>
      <w:lvlText w:val=""/>
      <w:lvlJc w:val="left"/>
      <w:pPr>
        <w:ind w:left="2880" w:hanging="360"/>
      </w:pPr>
      <w:rPr>
        <w:rFonts w:hint="default" w:ascii="Symbol" w:hAnsi="Symbol"/>
      </w:rPr>
    </w:lvl>
    <w:lvl w:ilvl="4" w:tplc="48090003" w:tentative="1">
      <w:start w:val="1"/>
      <w:numFmt w:val="bullet"/>
      <w:lvlText w:val="o"/>
      <w:lvlJc w:val="left"/>
      <w:pPr>
        <w:ind w:left="3600" w:hanging="360"/>
      </w:pPr>
      <w:rPr>
        <w:rFonts w:hint="default" w:ascii="Courier New" w:hAnsi="Courier New" w:cs="Courier New"/>
      </w:rPr>
    </w:lvl>
    <w:lvl w:ilvl="5" w:tplc="48090005" w:tentative="1">
      <w:start w:val="1"/>
      <w:numFmt w:val="bullet"/>
      <w:lvlText w:val=""/>
      <w:lvlJc w:val="left"/>
      <w:pPr>
        <w:ind w:left="4320" w:hanging="360"/>
      </w:pPr>
      <w:rPr>
        <w:rFonts w:hint="default" w:ascii="Wingdings" w:hAnsi="Wingdings"/>
      </w:rPr>
    </w:lvl>
    <w:lvl w:ilvl="6" w:tplc="48090001" w:tentative="1">
      <w:start w:val="1"/>
      <w:numFmt w:val="bullet"/>
      <w:lvlText w:val=""/>
      <w:lvlJc w:val="left"/>
      <w:pPr>
        <w:ind w:left="5040" w:hanging="360"/>
      </w:pPr>
      <w:rPr>
        <w:rFonts w:hint="default" w:ascii="Symbol" w:hAnsi="Symbol"/>
      </w:rPr>
    </w:lvl>
    <w:lvl w:ilvl="7" w:tplc="48090003" w:tentative="1">
      <w:start w:val="1"/>
      <w:numFmt w:val="bullet"/>
      <w:lvlText w:val="o"/>
      <w:lvlJc w:val="left"/>
      <w:pPr>
        <w:ind w:left="5760" w:hanging="360"/>
      </w:pPr>
      <w:rPr>
        <w:rFonts w:hint="default" w:ascii="Courier New" w:hAnsi="Courier New" w:cs="Courier New"/>
      </w:rPr>
    </w:lvl>
    <w:lvl w:ilvl="8" w:tplc="48090005" w:tentative="1">
      <w:start w:val="1"/>
      <w:numFmt w:val="bullet"/>
      <w:lvlText w:val=""/>
      <w:lvlJc w:val="left"/>
      <w:pPr>
        <w:ind w:left="6480" w:hanging="360"/>
      </w:pPr>
      <w:rPr>
        <w:rFonts w:hint="default" w:ascii="Wingdings" w:hAnsi="Wingdings"/>
      </w:rPr>
    </w:lvl>
  </w:abstractNum>
  <w:abstractNum w:abstractNumId="2" w15:restartNumberingAfterBreak="0">
    <w:nsid w:val="4D893E34"/>
    <w:multiLevelType w:val="multilevel"/>
    <w:tmpl w:val="01845D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538970A5"/>
    <w:multiLevelType w:val="hybridMultilevel"/>
    <w:tmpl w:val="7B968716"/>
    <w:lvl w:ilvl="0" w:tplc="48090001">
      <w:start w:val="1"/>
      <w:numFmt w:val="bullet"/>
      <w:lvlText w:val=""/>
      <w:lvlJc w:val="left"/>
      <w:pPr>
        <w:ind w:left="720" w:hanging="360"/>
      </w:pPr>
      <w:rPr>
        <w:rFonts w:hint="default" w:ascii="Symbol" w:hAnsi="Symbol"/>
      </w:rPr>
    </w:lvl>
    <w:lvl w:ilvl="1" w:tplc="48090003" w:tentative="1">
      <w:start w:val="1"/>
      <w:numFmt w:val="bullet"/>
      <w:lvlText w:val="o"/>
      <w:lvlJc w:val="left"/>
      <w:pPr>
        <w:ind w:left="1440" w:hanging="360"/>
      </w:pPr>
      <w:rPr>
        <w:rFonts w:hint="default" w:ascii="Courier New" w:hAnsi="Courier New" w:cs="Courier New"/>
      </w:rPr>
    </w:lvl>
    <w:lvl w:ilvl="2" w:tplc="48090005" w:tentative="1">
      <w:start w:val="1"/>
      <w:numFmt w:val="bullet"/>
      <w:lvlText w:val=""/>
      <w:lvlJc w:val="left"/>
      <w:pPr>
        <w:ind w:left="2160" w:hanging="360"/>
      </w:pPr>
      <w:rPr>
        <w:rFonts w:hint="default" w:ascii="Wingdings" w:hAnsi="Wingdings"/>
      </w:rPr>
    </w:lvl>
    <w:lvl w:ilvl="3" w:tplc="48090001" w:tentative="1">
      <w:start w:val="1"/>
      <w:numFmt w:val="bullet"/>
      <w:lvlText w:val=""/>
      <w:lvlJc w:val="left"/>
      <w:pPr>
        <w:ind w:left="2880" w:hanging="360"/>
      </w:pPr>
      <w:rPr>
        <w:rFonts w:hint="default" w:ascii="Symbol" w:hAnsi="Symbol"/>
      </w:rPr>
    </w:lvl>
    <w:lvl w:ilvl="4" w:tplc="48090003" w:tentative="1">
      <w:start w:val="1"/>
      <w:numFmt w:val="bullet"/>
      <w:lvlText w:val="o"/>
      <w:lvlJc w:val="left"/>
      <w:pPr>
        <w:ind w:left="3600" w:hanging="360"/>
      </w:pPr>
      <w:rPr>
        <w:rFonts w:hint="default" w:ascii="Courier New" w:hAnsi="Courier New" w:cs="Courier New"/>
      </w:rPr>
    </w:lvl>
    <w:lvl w:ilvl="5" w:tplc="48090005" w:tentative="1">
      <w:start w:val="1"/>
      <w:numFmt w:val="bullet"/>
      <w:lvlText w:val=""/>
      <w:lvlJc w:val="left"/>
      <w:pPr>
        <w:ind w:left="4320" w:hanging="360"/>
      </w:pPr>
      <w:rPr>
        <w:rFonts w:hint="default" w:ascii="Wingdings" w:hAnsi="Wingdings"/>
      </w:rPr>
    </w:lvl>
    <w:lvl w:ilvl="6" w:tplc="48090001" w:tentative="1">
      <w:start w:val="1"/>
      <w:numFmt w:val="bullet"/>
      <w:lvlText w:val=""/>
      <w:lvlJc w:val="left"/>
      <w:pPr>
        <w:ind w:left="5040" w:hanging="360"/>
      </w:pPr>
      <w:rPr>
        <w:rFonts w:hint="default" w:ascii="Symbol" w:hAnsi="Symbol"/>
      </w:rPr>
    </w:lvl>
    <w:lvl w:ilvl="7" w:tplc="48090003" w:tentative="1">
      <w:start w:val="1"/>
      <w:numFmt w:val="bullet"/>
      <w:lvlText w:val="o"/>
      <w:lvlJc w:val="left"/>
      <w:pPr>
        <w:ind w:left="5760" w:hanging="360"/>
      </w:pPr>
      <w:rPr>
        <w:rFonts w:hint="default" w:ascii="Courier New" w:hAnsi="Courier New" w:cs="Courier New"/>
      </w:rPr>
    </w:lvl>
    <w:lvl w:ilvl="8" w:tplc="48090005" w:tentative="1">
      <w:start w:val="1"/>
      <w:numFmt w:val="bullet"/>
      <w:lvlText w:val=""/>
      <w:lvlJc w:val="left"/>
      <w:pPr>
        <w:ind w:left="6480" w:hanging="360"/>
      </w:pPr>
      <w:rPr>
        <w:rFonts w:hint="default" w:ascii="Wingdings" w:hAnsi="Wingdings"/>
      </w:rPr>
    </w:lvl>
  </w:abstractNum>
  <w:abstractNum w:abstractNumId="4" w15:restartNumberingAfterBreak="0">
    <w:nsid w:val="72730379"/>
    <w:multiLevelType w:val="multilevel"/>
    <w:tmpl w:val="51328126"/>
    <w:lvl w:ilvl="0">
      <w:start w:val="1"/>
      <w:numFmt w:val="decimal"/>
      <w:lvlText w:val="%1"/>
      <w:lvlJc w:val="left"/>
      <w:pPr>
        <w:ind w:left="5819"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82101774">
    <w:abstractNumId w:val="4"/>
  </w:num>
  <w:num w:numId="2" w16cid:durableId="193424602">
    <w:abstractNumId w:val="4"/>
  </w:num>
  <w:num w:numId="3" w16cid:durableId="643780432">
    <w:abstractNumId w:val="4"/>
  </w:num>
  <w:num w:numId="4" w16cid:durableId="685595093">
    <w:abstractNumId w:val="4"/>
  </w:num>
  <w:num w:numId="5" w16cid:durableId="107748127">
    <w:abstractNumId w:val="4"/>
  </w:num>
  <w:num w:numId="6" w16cid:durableId="1400978851">
    <w:abstractNumId w:val="4"/>
  </w:num>
  <w:num w:numId="7" w16cid:durableId="906765316">
    <w:abstractNumId w:val="2"/>
  </w:num>
  <w:num w:numId="8" w16cid:durableId="1810243434">
    <w:abstractNumId w:val="3"/>
  </w:num>
  <w:num w:numId="9" w16cid:durableId="1272937917">
    <w:abstractNumId w:val="0"/>
  </w:num>
  <w:num w:numId="10" w16cid:durableId="999580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50C"/>
    <w:rsid w:val="00016A72"/>
    <w:rsid w:val="00026A38"/>
    <w:rsid w:val="00031112"/>
    <w:rsid w:val="00043213"/>
    <w:rsid w:val="0004321F"/>
    <w:rsid w:val="00062B3F"/>
    <w:rsid w:val="000675FD"/>
    <w:rsid w:val="00085DE1"/>
    <w:rsid w:val="0009075C"/>
    <w:rsid w:val="000B1CCA"/>
    <w:rsid w:val="000B1D32"/>
    <w:rsid w:val="000B7D03"/>
    <w:rsid w:val="000E638E"/>
    <w:rsid w:val="000F50A8"/>
    <w:rsid w:val="001557B6"/>
    <w:rsid w:val="00162068"/>
    <w:rsid w:val="001664F6"/>
    <w:rsid w:val="00176BC2"/>
    <w:rsid w:val="00180F13"/>
    <w:rsid w:val="0018584E"/>
    <w:rsid w:val="001A0E2C"/>
    <w:rsid w:val="001A5BB4"/>
    <w:rsid w:val="001C26D5"/>
    <w:rsid w:val="001F209D"/>
    <w:rsid w:val="001F3EA4"/>
    <w:rsid w:val="00204879"/>
    <w:rsid w:val="00213CDB"/>
    <w:rsid w:val="00222A03"/>
    <w:rsid w:val="00222D53"/>
    <w:rsid w:val="0024519B"/>
    <w:rsid w:val="0025061F"/>
    <w:rsid w:val="00256653"/>
    <w:rsid w:val="00276DC9"/>
    <w:rsid w:val="00293236"/>
    <w:rsid w:val="002A3F4F"/>
    <w:rsid w:val="002B30AB"/>
    <w:rsid w:val="002B7F36"/>
    <w:rsid w:val="002C4DBB"/>
    <w:rsid w:val="002C51D1"/>
    <w:rsid w:val="002D0574"/>
    <w:rsid w:val="002E11FA"/>
    <w:rsid w:val="002F7199"/>
    <w:rsid w:val="003078D7"/>
    <w:rsid w:val="00311240"/>
    <w:rsid w:val="0031523C"/>
    <w:rsid w:val="0032096A"/>
    <w:rsid w:val="00322EFF"/>
    <w:rsid w:val="003328AF"/>
    <w:rsid w:val="0033617B"/>
    <w:rsid w:val="00346750"/>
    <w:rsid w:val="003541AF"/>
    <w:rsid w:val="003620CC"/>
    <w:rsid w:val="0037225A"/>
    <w:rsid w:val="00386BC6"/>
    <w:rsid w:val="00391BF4"/>
    <w:rsid w:val="003941E2"/>
    <w:rsid w:val="003C0946"/>
    <w:rsid w:val="003C0B86"/>
    <w:rsid w:val="003E3789"/>
    <w:rsid w:val="003E68F1"/>
    <w:rsid w:val="003F0E2A"/>
    <w:rsid w:val="003F7952"/>
    <w:rsid w:val="0040083A"/>
    <w:rsid w:val="004073BD"/>
    <w:rsid w:val="0040777E"/>
    <w:rsid w:val="00413BB1"/>
    <w:rsid w:val="00415F37"/>
    <w:rsid w:val="00434442"/>
    <w:rsid w:val="00457778"/>
    <w:rsid w:val="00470624"/>
    <w:rsid w:val="004743B9"/>
    <w:rsid w:val="004A3F00"/>
    <w:rsid w:val="004A513C"/>
    <w:rsid w:val="004A650E"/>
    <w:rsid w:val="004B5EBB"/>
    <w:rsid w:val="004B70D8"/>
    <w:rsid w:val="004C16DD"/>
    <w:rsid w:val="004C38A8"/>
    <w:rsid w:val="004C43A2"/>
    <w:rsid w:val="004E4A9F"/>
    <w:rsid w:val="004E4DB0"/>
    <w:rsid w:val="004F0AC1"/>
    <w:rsid w:val="004F1AF0"/>
    <w:rsid w:val="004F6F8F"/>
    <w:rsid w:val="005002FA"/>
    <w:rsid w:val="00500526"/>
    <w:rsid w:val="0052676A"/>
    <w:rsid w:val="005442C3"/>
    <w:rsid w:val="00546D9C"/>
    <w:rsid w:val="00547029"/>
    <w:rsid w:val="00557612"/>
    <w:rsid w:val="0057024F"/>
    <w:rsid w:val="00575B93"/>
    <w:rsid w:val="00576221"/>
    <w:rsid w:val="005916B3"/>
    <w:rsid w:val="00594E1E"/>
    <w:rsid w:val="005974F8"/>
    <w:rsid w:val="005A04D2"/>
    <w:rsid w:val="005B3734"/>
    <w:rsid w:val="005C0EE4"/>
    <w:rsid w:val="005C2A87"/>
    <w:rsid w:val="005D0693"/>
    <w:rsid w:val="005D0E98"/>
    <w:rsid w:val="005D546C"/>
    <w:rsid w:val="005F732F"/>
    <w:rsid w:val="00601ACF"/>
    <w:rsid w:val="00612EF5"/>
    <w:rsid w:val="006460A3"/>
    <w:rsid w:val="006556A6"/>
    <w:rsid w:val="00664903"/>
    <w:rsid w:val="00682642"/>
    <w:rsid w:val="006D4047"/>
    <w:rsid w:val="006D7D9D"/>
    <w:rsid w:val="007062A0"/>
    <w:rsid w:val="00721F47"/>
    <w:rsid w:val="00726FE8"/>
    <w:rsid w:val="00727DAC"/>
    <w:rsid w:val="007474B4"/>
    <w:rsid w:val="007637EC"/>
    <w:rsid w:val="0076452D"/>
    <w:rsid w:val="007C0555"/>
    <w:rsid w:val="007C67A5"/>
    <w:rsid w:val="0080551F"/>
    <w:rsid w:val="00833137"/>
    <w:rsid w:val="00842F84"/>
    <w:rsid w:val="008455E6"/>
    <w:rsid w:val="008515B2"/>
    <w:rsid w:val="00856332"/>
    <w:rsid w:val="00874344"/>
    <w:rsid w:val="00880B03"/>
    <w:rsid w:val="00880B9C"/>
    <w:rsid w:val="00883CB2"/>
    <w:rsid w:val="008C427E"/>
    <w:rsid w:val="008D3CFE"/>
    <w:rsid w:val="008F701F"/>
    <w:rsid w:val="00934C29"/>
    <w:rsid w:val="00943107"/>
    <w:rsid w:val="00944B28"/>
    <w:rsid w:val="00945616"/>
    <w:rsid w:val="0094690D"/>
    <w:rsid w:val="009469F3"/>
    <w:rsid w:val="00954386"/>
    <w:rsid w:val="00956624"/>
    <w:rsid w:val="009C08F0"/>
    <w:rsid w:val="009C7972"/>
    <w:rsid w:val="009F3617"/>
    <w:rsid w:val="00A0052F"/>
    <w:rsid w:val="00A33BC0"/>
    <w:rsid w:val="00A367F6"/>
    <w:rsid w:val="00A67CB4"/>
    <w:rsid w:val="00A81170"/>
    <w:rsid w:val="00A925D8"/>
    <w:rsid w:val="00AA0CB3"/>
    <w:rsid w:val="00AB0089"/>
    <w:rsid w:val="00AC3738"/>
    <w:rsid w:val="00AC75A5"/>
    <w:rsid w:val="00AF4D26"/>
    <w:rsid w:val="00B137F5"/>
    <w:rsid w:val="00B14A49"/>
    <w:rsid w:val="00B179B9"/>
    <w:rsid w:val="00B31987"/>
    <w:rsid w:val="00B40493"/>
    <w:rsid w:val="00B50BFB"/>
    <w:rsid w:val="00B5599C"/>
    <w:rsid w:val="00B56C8F"/>
    <w:rsid w:val="00B72FB9"/>
    <w:rsid w:val="00B74291"/>
    <w:rsid w:val="00B82669"/>
    <w:rsid w:val="00B92965"/>
    <w:rsid w:val="00B94954"/>
    <w:rsid w:val="00B97040"/>
    <w:rsid w:val="00BA2531"/>
    <w:rsid w:val="00BA4755"/>
    <w:rsid w:val="00BB140B"/>
    <w:rsid w:val="00BB2DEF"/>
    <w:rsid w:val="00BD5B1A"/>
    <w:rsid w:val="00BD7AE9"/>
    <w:rsid w:val="00BE5B83"/>
    <w:rsid w:val="00BF2687"/>
    <w:rsid w:val="00BF2A98"/>
    <w:rsid w:val="00BF3679"/>
    <w:rsid w:val="00C029D0"/>
    <w:rsid w:val="00C1003C"/>
    <w:rsid w:val="00C132FB"/>
    <w:rsid w:val="00C15901"/>
    <w:rsid w:val="00C34187"/>
    <w:rsid w:val="00C40286"/>
    <w:rsid w:val="00C51679"/>
    <w:rsid w:val="00C5182C"/>
    <w:rsid w:val="00C55C39"/>
    <w:rsid w:val="00C56588"/>
    <w:rsid w:val="00C57BF1"/>
    <w:rsid w:val="00C61E28"/>
    <w:rsid w:val="00C63323"/>
    <w:rsid w:val="00C64796"/>
    <w:rsid w:val="00CB28EB"/>
    <w:rsid w:val="00CC04F5"/>
    <w:rsid w:val="00CC739C"/>
    <w:rsid w:val="00CD2484"/>
    <w:rsid w:val="00CE1C27"/>
    <w:rsid w:val="00CF550C"/>
    <w:rsid w:val="00D146F9"/>
    <w:rsid w:val="00D299B3"/>
    <w:rsid w:val="00D3412D"/>
    <w:rsid w:val="00D34CFE"/>
    <w:rsid w:val="00D466B2"/>
    <w:rsid w:val="00D7795D"/>
    <w:rsid w:val="00D823C8"/>
    <w:rsid w:val="00D914A6"/>
    <w:rsid w:val="00D950F0"/>
    <w:rsid w:val="00D97B5B"/>
    <w:rsid w:val="00DD556C"/>
    <w:rsid w:val="00DE110C"/>
    <w:rsid w:val="00DE204F"/>
    <w:rsid w:val="00E1034E"/>
    <w:rsid w:val="00E36B08"/>
    <w:rsid w:val="00E4159B"/>
    <w:rsid w:val="00E52F7E"/>
    <w:rsid w:val="00E5742E"/>
    <w:rsid w:val="00E611F8"/>
    <w:rsid w:val="00E62A07"/>
    <w:rsid w:val="00E76AF7"/>
    <w:rsid w:val="00E84B4C"/>
    <w:rsid w:val="00E9541B"/>
    <w:rsid w:val="00E956B7"/>
    <w:rsid w:val="00EA304E"/>
    <w:rsid w:val="00EA312F"/>
    <w:rsid w:val="00EA6CC5"/>
    <w:rsid w:val="00ED1C10"/>
    <w:rsid w:val="00ED1ED2"/>
    <w:rsid w:val="00ED2D7B"/>
    <w:rsid w:val="00EE01AD"/>
    <w:rsid w:val="00F017CC"/>
    <w:rsid w:val="00F13975"/>
    <w:rsid w:val="00F17BF9"/>
    <w:rsid w:val="00F27556"/>
    <w:rsid w:val="00F34F8B"/>
    <w:rsid w:val="00F43A60"/>
    <w:rsid w:val="00F43CF4"/>
    <w:rsid w:val="00F503F9"/>
    <w:rsid w:val="00F60483"/>
    <w:rsid w:val="00F63B2D"/>
    <w:rsid w:val="00F66AD4"/>
    <w:rsid w:val="00F736E0"/>
    <w:rsid w:val="00F83BF8"/>
    <w:rsid w:val="00F92955"/>
    <w:rsid w:val="00F93DC4"/>
    <w:rsid w:val="00FA4A76"/>
    <w:rsid w:val="00FC6135"/>
    <w:rsid w:val="00FE0DFD"/>
    <w:rsid w:val="00FF0D26"/>
    <w:rsid w:val="079D9CA3"/>
    <w:rsid w:val="0AB5D134"/>
    <w:rsid w:val="0D5C7E8C"/>
    <w:rsid w:val="0F0AE91B"/>
    <w:rsid w:val="0F332D47"/>
    <w:rsid w:val="0F901DA3"/>
    <w:rsid w:val="12822FFE"/>
    <w:rsid w:val="13FF1686"/>
    <w:rsid w:val="14BB9965"/>
    <w:rsid w:val="180C8C81"/>
    <w:rsid w:val="1AFE9EDC"/>
    <w:rsid w:val="1CC07C53"/>
    <w:rsid w:val="1D96E904"/>
    <w:rsid w:val="1DC4FD4B"/>
    <w:rsid w:val="21476EA3"/>
    <w:rsid w:val="2517994A"/>
    <w:rsid w:val="269D45C0"/>
    <w:rsid w:val="2BD1E2A3"/>
    <w:rsid w:val="2BE0DE18"/>
    <w:rsid w:val="2D2BAAF0"/>
    <w:rsid w:val="30969B26"/>
    <w:rsid w:val="37512C8D"/>
    <w:rsid w:val="3A2E6DA4"/>
    <w:rsid w:val="3A6CE05B"/>
    <w:rsid w:val="3D5D1D74"/>
    <w:rsid w:val="3EFA56E3"/>
    <w:rsid w:val="3FCD9B6B"/>
    <w:rsid w:val="4012925A"/>
    <w:rsid w:val="447559BC"/>
    <w:rsid w:val="478B9705"/>
    <w:rsid w:val="4A68D81C"/>
    <w:rsid w:val="4D639AA1"/>
    <w:rsid w:val="53E8B12D"/>
    <w:rsid w:val="563449B1"/>
    <w:rsid w:val="5CE89458"/>
    <w:rsid w:val="5D7EF014"/>
    <w:rsid w:val="5D8083AB"/>
    <w:rsid w:val="60729606"/>
    <w:rsid w:val="624C6CEA"/>
    <w:rsid w:val="62613E2E"/>
    <w:rsid w:val="69030DCF"/>
    <w:rsid w:val="694BF540"/>
    <w:rsid w:val="6A0A6884"/>
    <w:rsid w:val="6BCC45FB"/>
    <w:rsid w:val="6BCCAAA2"/>
    <w:rsid w:val="6C055355"/>
    <w:rsid w:val="6C3E079B"/>
    <w:rsid w:val="6F1BC6BA"/>
    <w:rsid w:val="6F94C507"/>
    <w:rsid w:val="70AD007E"/>
    <w:rsid w:val="74BA7679"/>
    <w:rsid w:val="751958F9"/>
    <w:rsid w:val="77AC88D4"/>
    <w:rsid w:val="7A71D07E"/>
    <w:rsid w:val="7B239CF6"/>
    <w:rsid w:val="7DF5589B"/>
    <w:rsid w:val="7F3B8F2E"/>
  </w:rsids>
  <m:mathPr>
    <m:mathFont m:val="Cambria Math"/>
    <m:brkBin m:val="before"/>
    <m:brkBinSub m:val="--"/>
    <m:smallFrac m:val="0"/>
    <m:dispDef/>
    <m:lMargin m:val="0"/>
    <m:rMargin m:val="0"/>
    <m:defJc m:val="centerGroup"/>
    <m:wrapIndent m:val="1440"/>
    <m:intLim m:val="subSup"/>
    <m:naryLim m:val="undOvr"/>
  </m:mathPr>
  <w:themeFontLang w:val="en-SG"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4E594"/>
  <w15:chartTrackingRefBased/>
  <w15:docId w15:val="{3A6C920D-92E3-42C1-A1A9-80A222BFA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5616"/>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F6F8F"/>
    <w:pPr>
      <w:keepNext/>
      <w:keepLines/>
      <w:spacing w:before="480" w:after="0"/>
      <w:jc w:val="center"/>
      <w:outlineLvl w:val="0"/>
    </w:pPr>
    <w:rPr>
      <w:rFonts w:asciiTheme="majorHAnsi" w:hAnsiTheme="majorHAnsi" w:eastAsiaTheme="majorEastAsia" w:cstheme="majorBidi"/>
      <w:b/>
      <w:bCs/>
      <w:color w:val="000000" w:themeColor="text1"/>
      <w:kern w:val="2"/>
      <w:sz w:val="28"/>
      <w:szCs w:val="28"/>
      <w:lang w:val="en-SG"/>
      <w14:ligatures w14:val="standardContextual"/>
    </w:rPr>
  </w:style>
  <w:style w:type="paragraph" w:styleId="Heading2">
    <w:name w:val="heading 2"/>
    <w:basedOn w:val="Normal"/>
    <w:next w:val="Normal"/>
    <w:link w:val="Heading2Char"/>
    <w:uiPriority w:val="9"/>
    <w:unhideWhenUsed/>
    <w:qFormat/>
    <w:rsid w:val="004F6F8F"/>
    <w:pPr>
      <w:keepNext/>
      <w:keepLines/>
      <w:spacing w:before="200" w:after="0"/>
      <w:outlineLvl w:val="1"/>
    </w:pPr>
    <w:rPr>
      <w:rFonts w:asciiTheme="majorHAnsi" w:hAnsiTheme="majorHAnsi" w:eastAsiaTheme="majorEastAsia" w:cstheme="majorBidi"/>
      <w:b/>
      <w:bCs/>
      <w:color w:val="1F4E79" w:themeColor="accent5" w:themeShade="80"/>
      <w:kern w:val="2"/>
      <w:sz w:val="28"/>
      <w:szCs w:val="26"/>
      <w:lang w:val="en-SG"/>
      <w14:ligatures w14:val="standardContextual"/>
    </w:rPr>
  </w:style>
  <w:style w:type="paragraph" w:styleId="Heading3">
    <w:name w:val="heading 3"/>
    <w:basedOn w:val="Normal"/>
    <w:next w:val="Normal"/>
    <w:link w:val="Heading3Char"/>
    <w:uiPriority w:val="9"/>
    <w:unhideWhenUsed/>
    <w:qFormat/>
    <w:rsid w:val="00E84B4C"/>
    <w:pPr>
      <w:keepNext/>
      <w:keepLines/>
      <w:spacing w:before="160"/>
      <w:outlineLvl w:val="2"/>
    </w:pPr>
    <w:rPr>
      <w:rFonts w:eastAsia="Times New Roman"/>
      <w:b/>
      <w:color w:val="0070C0"/>
      <w:sz w:val="28"/>
      <w:lang w:val="en-SG" w:eastAsia="en-SG"/>
    </w:rPr>
  </w:style>
  <w:style w:type="paragraph" w:styleId="Heading4">
    <w:name w:val="heading 4"/>
    <w:basedOn w:val="Normal"/>
    <w:next w:val="Normal"/>
    <w:link w:val="Heading4Char"/>
    <w:uiPriority w:val="9"/>
    <w:unhideWhenUsed/>
    <w:qFormat/>
    <w:rsid w:val="0033617B"/>
    <w:pPr>
      <w:keepNext/>
      <w:keepLines/>
      <w:spacing w:before="40" w:after="0"/>
      <w:outlineLvl w:val="3"/>
    </w:pPr>
    <w:rPr>
      <w:rFonts w:asciiTheme="majorHAnsi" w:hAnsiTheme="majorHAnsi" w:eastAsiaTheme="majorEastAsia" w:cstheme="majorBidi"/>
      <w:b/>
      <w:i/>
      <w:iCs/>
      <w:color w:val="2F5496" w:themeColor="accent1" w:themeShade="BF"/>
      <w:sz w:val="28"/>
      <w:lang w:val="en-SG"/>
    </w:rPr>
  </w:style>
  <w:style w:type="paragraph" w:styleId="Heading5">
    <w:name w:val="heading 5"/>
    <w:basedOn w:val="Normal"/>
    <w:next w:val="Normal"/>
    <w:link w:val="Heading5Char"/>
    <w:autoRedefine/>
    <w:uiPriority w:val="9"/>
    <w:unhideWhenUsed/>
    <w:qFormat/>
    <w:rsid w:val="00E611F8"/>
    <w:pPr>
      <w:keepNext/>
      <w:keepLines/>
      <w:spacing w:before="160" w:after="120"/>
      <w:outlineLvl w:val="4"/>
    </w:pPr>
    <w:rPr>
      <w:rFonts w:eastAsiaTheme="majorEastAsia" w:cstheme="majorBidi"/>
      <w:b/>
      <w:i/>
      <w:sz w:val="28"/>
      <w:lang w:val="en-SG"/>
    </w:rPr>
  </w:style>
  <w:style w:type="paragraph" w:styleId="Heading6">
    <w:name w:val="heading 6"/>
    <w:basedOn w:val="Normal"/>
    <w:next w:val="Normal"/>
    <w:link w:val="Heading6Char"/>
    <w:uiPriority w:val="9"/>
    <w:unhideWhenUsed/>
    <w:qFormat/>
    <w:rsid w:val="004743B9"/>
    <w:pPr>
      <w:keepNext/>
      <w:keepLines/>
      <w:spacing w:before="40"/>
      <w:outlineLvl w:val="5"/>
    </w:pPr>
    <w:rPr>
      <w:rFonts w:eastAsiaTheme="majorEastAsia" w:cstheme="majorBidi"/>
      <w:b/>
      <w:i/>
      <w:color w:val="0070C0"/>
      <w:sz w:val="28"/>
    </w:rPr>
  </w:style>
  <w:style w:type="paragraph" w:styleId="Heading7">
    <w:name w:val="heading 7"/>
    <w:basedOn w:val="Normal"/>
    <w:next w:val="Normal"/>
    <w:link w:val="Heading7Char"/>
    <w:uiPriority w:val="9"/>
    <w:unhideWhenUsed/>
    <w:qFormat/>
    <w:rsid w:val="00D914A6"/>
    <w:pPr>
      <w:keepNext/>
      <w:keepLines/>
      <w:spacing w:before="40"/>
      <w:outlineLvl w:val="6"/>
    </w:pPr>
    <w:rPr>
      <w:rFonts w:eastAsiaTheme="majorEastAsia" w:cstheme="majorBidi"/>
      <w:b/>
      <w:i/>
      <w:iCs/>
      <w:color w:val="0070C0"/>
      <w:sz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F6F8F"/>
    <w:rPr>
      <w:rFonts w:asciiTheme="majorHAnsi" w:hAnsiTheme="majorHAnsi" w:eastAsiaTheme="majorEastAsia" w:cstheme="majorBidi"/>
      <w:b/>
      <w:bCs/>
      <w:color w:val="1F4E79" w:themeColor="accent5" w:themeShade="80"/>
      <w:sz w:val="28"/>
      <w:szCs w:val="26"/>
    </w:rPr>
  </w:style>
  <w:style w:type="character" w:styleId="Heading1Char" w:customStyle="1">
    <w:name w:val="Heading 1 Char"/>
    <w:basedOn w:val="DefaultParagraphFont"/>
    <w:link w:val="Heading1"/>
    <w:uiPriority w:val="9"/>
    <w:rsid w:val="004F6F8F"/>
    <w:rPr>
      <w:rFonts w:asciiTheme="majorHAnsi" w:hAnsiTheme="majorHAnsi" w:eastAsiaTheme="majorEastAsia" w:cstheme="majorBidi"/>
      <w:b/>
      <w:bCs/>
      <w:color w:val="000000" w:themeColor="text1"/>
      <w:sz w:val="28"/>
      <w:szCs w:val="28"/>
    </w:rPr>
  </w:style>
  <w:style w:type="character" w:styleId="Heading3Char" w:customStyle="1">
    <w:name w:val="Heading 3 Char"/>
    <w:basedOn w:val="DefaultParagraphFont"/>
    <w:link w:val="Heading3"/>
    <w:uiPriority w:val="9"/>
    <w:rsid w:val="00E84B4C"/>
    <w:rPr>
      <w:rFonts w:ascii="Times New Roman" w:hAnsi="Times New Roman" w:eastAsia="Times New Roman" w:cs="Times New Roman"/>
      <w:b/>
      <w:color w:val="0070C0"/>
      <w:sz w:val="28"/>
      <w:szCs w:val="24"/>
      <w:lang w:eastAsia="en-SG"/>
    </w:rPr>
  </w:style>
  <w:style w:type="character" w:styleId="Heading4Char" w:customStyle="1">
    <w:name w:val="Heading 4 Char"/>
    <w:basedOn w:val="DefaultParagraphFont"/>
    <w:link w:val="Heading4"/>
    <w:uiPriority w:val="9"/>
    <w:rsid w:val="0033617B"/>
    <w:rPr>
      <w:rFonts w:asciiTheme="majorHAnsi" w:hAnsiTheme="majorHAnsi" w:eastAsiaTheme="majorEastAsia" w:cstheme="majorBidi"/>
      <w:b/>
      <w:i/>
      <w:iCs/>
      <w:color w:val="2F5496" w:themeColor="accent1" w:themeShade="BF"/>
      <w:sz w:val="28"/>
      <w:szCs w:val="24"/>
      <w:lang w:eastAsia="zh-CN"/>
    </w:rPr>
  </w:style>
  <w:style w:type="character" w:styleId="Heading5Char" w:customStyle="1">
    <w:name w:val="Heading 5 Char"/>
    <w:basedOn w:val="DefaultParagraphFont"/>
    <w:link w:val="Heading5"/>
    <w:uiPriority w:val="9"/>
    <w:rsid w:val="00E611F8"/>
    <w:rPr>
      <w:rFonts w:ascii="Times New Roman" w:hAnsi="Times New Roman" w:eastAsiaTheme="majorEastAsia" w:cstheme="majorBidi"/>
      <w:b/>
      <w:i/>
      <w:sz w:val="28"/>
    </w:rPr>
  </w:style>
  <w:style w:type="paragraph" w:styleId="NoSpacing">
    <w:name w:val="No Spacing"/>
    <w:uiPriority w:val="1"/>
    <w:qFormat/>
    <w:rsid w:val="00D914A6"/>
    <w:pPr>
      <w:spacing w:before="120" w:after="120" w:line="360" w:lineRule="auto"/>
      <w:jc w:val="both"/>
    </w:pPr>
    <w:rPr>
      <w:rFonts w:ascii="Times New Roman" w:hAnsi="Times New Roman" w:cs="Times New Roman"/>
      <w:sz w:val="24"/>
      <w:szCs w:val="24"/>
      <w:lang w:val="en-US"/>
    </w:rPr>
  </w:style>
  <w:style w:type="character" w:styleId="Heading6Char" w:customStyle="1">
    <w:name w:val="Heading 6 Char"/>
    <w:basedOn w:val="DefaultParagraphFont"/>
    <w:link w:val="Heading6"/>
    <w:uiPriority w:val="9"/>
    <w:rsid w:val="004743B9"/>
    <w:rPr>
      <w:rFonts w:ascii="Times New Roman" w:hAnsi="Times New Roman" w:eastAsiaTheme="majorEastAsia" w:cstheme="majorBidi"/>
      <w:b/>
      <w:i/>
      <w:color w:val="0070C0"/>
      <w:sz w:val="28"/>
      <w:lang w:val="en-US"/>
    </w:rPr>
  </w:style>
  <w:style w:type="character" w:styleId="Heading7Char" w:customStyle="1">
    <w:name w:val="Heading 7 Char"/>
    <w:basedOn w:val="DefaultParagraphFont"/>
    <w:link w:val="Heading7"/>
    <w:uiPriority w:val="9"/>
    <w:rsid w:val="00D914A6"/>
    <w:rPr>
      <w:rFonts w:eastAsiaTheme="majorEastAsia" w:cstheme="majorBidi"/>
      <w:b/>
      <w:i/>
      <w:iCs/>
      <w:color w:val="0070C0"/>
      <w:sz w:val="32"/>
    </w:rPr>
  </w:style>
  <w:style w:type="paragraph" w:styleId="ListParagraph">
    <w:name w:val="List Paragraph"/>
    <w:basedOn w:val="Normal"/>
    <w:uiPriority w:val="34"/>
    <w:qFormat/>
    <w:rsid w:val="00BB140B"/>
    <w:pPr>
      <w:ind w:left="720"/>
      <w:contextualSpacing/>
    </w:pPr>
  </w:style>
  <w:style w:type="paragraph" w:styleId="TOCHeading">
    <w:name w:val="TOC Heading"/>
    <w:basedOn w:val="Heading1"/>
    <w:next w:val="Normal"/>
    <w:uiPriority w:val="39"/>
    <w:unhideWhenUsed/>
    <w:qFormat/>
    <w:rsid w:val="00BA2531"/>
    <w:pPr>
      <w:spacing w:before="240" w:line="259" w:lineRule="auto"/>
      <w:jc w:val="left"/>
      <w:outlineLvl w:val="9"/>
    </w:pPr>
    <w:rPr>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A2531"/>
    <w:pPr>
      <w:spacing w:after="100"/>
    </w:pPr>
  </w:style>
  <w:style w:type="character" w:styleId="Hyperlink">
    <w:name w:val="Hyperlink"/>
    <w:basedOn w:val="DefaultParagraphFont"/>
    <w:uiPriority w:val="99"/>
    <w:unhideWhenUsed/>
    <w:rsid w:val="00BA25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50335">
      <w:bodyDiv w:val="1"/>
      <w:marLeft w:val="0"/>
      <w:marRight w:val="0"/>
      <w:marTop w:val="0"/>
      <w:marBottom w:val="0"/>
      <w:divBdr>
        <w:top w:val="none" w:sz="0" w:space="0" w:color="auto"/>
        <w:left w:val="none" w:sz="0" w:space="0" w:color="auto"/>
        <w:bottom w:val="none" w:sz="0" w:space="0" w:color="auto"/>
        <w:right w:val="none" w:sz="0" w:space="0" w:color="auto"/>
      </w:divBdr>
    </w:div>
    <w:div w:id="161312306">
      <w:bodyDiv w:val="1"/>
      <w:marLeft w:val="0"/>
      <w:marRight w:val="0"/>
      <w:marTop w:val="0"/>
      <w:marBottom w:val="0"/>
      <w:divBdr>
        <w:top w:val="none" w:sz="0" w:space="0" w:color="auto"/>
        <w:left w:val="none" w:sz="0" w:space="0" w:color="auto"/>
        <w:bottom w:val="none" w:sz="0" w:space="0" w:color="auto"/>
        <w:right w:val="none" w:sz="0" w:space="0" w:color="auto"/>
      </w:divBdr>
    </w:div>
    <w:div w:id="252856710">
      <w:bodyDiv w:val="1"/>
      <w:marLeft w:val="0"/>
      <w:marRight w:val="0"/>
      <w:marTop w:val="0"/>
      <w:marBottom w:val="0"/>
      <w:divBdr>
        <w:top w:val="none" w:sz="0" w:space="0" w:color="auto"/>
        <w:left w:val="none" w:sz="0" w:space="0" w:color="auto"/>
        <w:bottom w:val="none" w:sz="0" w:space="0" w:color="auto"/>
        <w:right w:val="none" w:sz="0" w:space="0" w:color="auto"/>
      </w:divBdr>
    </w:div>
    <w:div w:id="337075909">
      <w:bodyDiv w:val="1"/>
      <w:marLeft w:val="0"/>
      <w:marRight w:val="0"/>
      <w:marTop w:val="0"/>
      <w:marBottom w:val="0"/>
      <w:divBdr>
        <w:top w:val="none" w:sz="0" w:space="0" w:color="auto"/>
        <w:left w:val="none" w:sz="0" w:space="0" w:color="auto"/>
        <w:bottom w:val="none" w:sz="0" w:space="0" w:color="auto"/>
        <w:right w:val="none" w:sz="0" w:space="0" w:color="auto"/>
      </w:divBdr>
    </w:div>
    <w:div w:id="430588471">
      <w:bodyDiv w:val="1"/>
      <w:marLeft w:val="0"/>
      <w:marRight w:val="0"/>
      <w:marTop w:val="0"/>
      <w:marBottom w:val="0"/>
      <w:divBdr>
        <w:top w:val="none" w:sz="0" w:space="0" w:color="auto"/>
        <w:left w:val="none" w:sz="0" w:space="0" w:color="auto"/>
        <w:bottom w:val="none" w:sz="0" w:space="0" w:color="auto"/>
        <w:right w:val="none" w:sz="0" w:space="0" w:color="auto"/>
      </w:divBdr>
    </w:div>
    <w:div w:id="449712028">
      <w:bodyDiv w:val="1"/>
      <w:marLeft w:val="0"/>
      <w:marRight w:val="0"/>
      <w:marTop w:val="0"/>
      <w:marBottom w:val="0"/>
      <w:divBdr>
        <w:top w:val="none" w:sz="0" w:space="0" w:color="auto"/>
        <w:left w:val="none" w:sz="0" w:space="0" w:color="auto"/>
        <w:bottom w:val="none" w:sz="0" w:space="0" w:color="auto"/>
        <w:right w:val="none" w:sz="0" w:space="0" w:color="auto"/>
      </w:divBdr>
    </w:div>
    <w:div w:id="570772355">
      <w:bodyDiv w:val="1"/>
      <w:marLeft w:val="0"/>
      <w:marRight w:val="0"/>
      <w:marTop w:val="0"/>
      <w:marBottom w:val="0"/>
      <w:divBdr>
        <w:top w:val="none" w:sz="0" w:space="0" w:color="auto"/>
        <w:left w:val="none" w:sz="0" w:space="0" w:color="auto"/>
        <w:bottom w:val="none" w:sz="0" w:space="0" w:color="auto"/>
        <w:right w:val="none" w:sz="0" w:space="0" w:color="auto"/>
      </w:divBdr>
    </w:div>
    <w:div w:id="601842661">
      <w:bodyDiv w:val="1"/>
      <w:marLeft w:val="0"/>
      <w:marRight w:val="0"/>
      <w:marTop w:val="0"/>
      <w:marBottom w:val="0"/>
      <w:divBdr>
        <w:top w:val="none" w:sz="0" w:space="0" w:color="auto"/>
        <w:left w:val="none" w:sz="0" w:space="0" w:color="auto"/>
        <w:bottom w:val="none" w:sz="0" w:space="0" w:color="auto"/>
        <w:right w:val="none" w:sz="0" w:space="0" w:color="auto"/>
      </w:divBdr>
    </w:div>
    <w:div w:id="607390383">
      <w:bodyDiv w:val="1"/>
      <w:marLeft w:val="0"/>
      <w:marRight w:val="0"/>
      <w:marTop w:val="0"/>
      <w:marBottom w:val="0"/>
      <w:divBdr>
        <w:top w:val="none" w:sz="0" w:space="0" w:color="auto"/>
        <w:left w:val="none" w:sz="0" w:space="0" w:color="auto"/>
        <w:bottom w:val="none" w:sz="0" w:space="0" w:color="auto"/>
        <w:right w:val="none" w:sz="0" w:space="0" w:color="auto"/>
      </w:divBdr>
    </w:div>
    <w:div w:id="664865350">
      <w:bodyDiv w:val="1"/>
      <w:marLeft w:val="0"/>
      <w:marRight w:val="0"/>
      <w:marTop w:val="0"/>
      <w:marBottom w:val="0"/>
      <w:divBdr>
        <w:top w:val="none" w:sz="0" w:space="0" w:color="auto"/>
        <w:left w:val="none" w:sz="0" w:space="0" w:color="auto"/>
        <w:bottom w:val="none" w:sz="0" w:space="0" w:color="auto"/>
        <w:right w:val="none" w:sz="0" w:space="0" w:color="auto"/>
      </w:divBdr>
    </w:div>
    <w:div w:id="818503263">
      <w:bodyDiv w:val="1"/>
      <w:marLeft w:val="0"/>
      <w:marRight w:val="0"/>
      <w:marTop w:val="0"/>
      <w:marBottom w:val="0"/>
      <w:divBdr>
        <w:top w:val="none" w:sz="0" w:space="0" w:color="auto"/>
        <w:left w:val="none" w:sz="0" w:space="0" w:color="auto"/>
        <w:bottom w:val="none" w:sz="0" w:space="0" w:color="auto"/>
        <w:right w:val="none" w:sz="0" w:space="0" w:color="auto"/>
      </w:divBdr>
    </w:div>
    <w:div w:id="835002109">
      <w:bodyDiv w:val="1"/>
      <w:marLeft w:val="0"/>
      <w:marRight w:val="0"/>
      <w:marTop w:val="0"/>
      <w:marBottom w:val="0"/>
      <w:divBdr>
        <w:top w:val="none" w:sz="0" w:space="0" w:color="auto"/>
        <w:left w:val="none" w:sz="0" w:space="0" w:color="auto"/>
        <w:bottom w:val="none" w:sz="0" w:space="0" w:color="auto"/>
        <w:right w:val="none" w:sz="0" w:space="0" w:color="auto"/>
      </w:divBdr>
    </w:div>
    <w:div w:id="855459983">
      <w:bodyDiv w:val="1"/>
      <w:marLeft w:val="0"/>
      <w:marRight w:val="0"/>
      <w:marTop w:val="0"/>
      <w:marBottom w:val="0"/>
      <w:divBdr>
        <w:top w:val="none" w:sz="0" w:space="0" w:color="auto"/>
        <w:left w:val="none" w:sz="0" w:space="0" w:color="auto"/>
        <w:bottom w:val="none" w:sz="0" w:space="0" w:color="auto"/>
        <w:right w:val="none" w:sz="0" w:space="0" w:color="auto"/>
      </w:divBdr>
    </w:div>
    <w:div w:id="864756676">
      <w:bodyDiv w:val="1"/>
      <w:marLeft w:val="0"/>
      <w:marRight w:val="0"/>
      <w:marTop w:val="0"/>
      <w:marBottom w:val="0"/>
      <w:divBdr>
        <w:top w:val="none" w:sz="0" w:space="0" w:color="auto"/>
        <w:left w:val="none" w:sz="0" w:space="0" w:color="auto"/>
        <w:bottom w:val="none" w:sz="0" w:space="0" w:color="auto"/>
        <w:right w:val="none" w:sz="0" w:space="0" w:color="auto"/>
      </w:divBdr>
    </w:div>
    <w:div w:id="947466227">
      <w:bodyDiv w:val="1"/>
      <w:marLeft w:val="0"/>
      <w:marRight w:val="0"/>
      <w:marTop w:val="0"/>
      <w:marBottom w:val="0"/>
      <w:divBdr>
        <w:top w:val="none" w:sz="0" w:space="0" w:color="auto"/>
        <w:left w:val="none" w:sz="0" w:space="0" w:color="auto"/>
        <w:bottom w:val="none" w:sz="0" w:space="0" w:color="auto"/>
        <w:right w:val="none" w:sz="0" w:space="0" w:color="auto"/>
      </w:divBdr>
    </w:div>
    <w:div w:id="952638339">
      <w:bodyDiv w:val="1"/>
      <w:marLeft w:val="0"/>
      <w:marRight w:val="0"/>
      <w:marTop w:val="0"/>
      <w:marBottom w:val="0"/>
      <w:divBdr>
        <w:top w:val="none" w:sz="0" w:space="0" w:color="auto"/>
        <w:left w:val="none" w:sz="0" w:space="0" w:color="auto"/>
        <w:bottom w:val="none" w:sz="0" w:space="0" w:color="auto"/>
        <w:right w:val="none" w:sz="0" w:space="0" w:color="auto"/>
      </w:divBdr>
    </w:div>
    <w:div w:id="1076437091">
      <w:bodyDiv w:val="1"/>
      <w:marLeft w:val="0"/>
      <w:marRight w:val="0"/>
      <w:marTop w:val="0"/>
      <w:marBottom w:val="0"/>
      <w:divBdr>
        <w:top w:val="none" w:sz="0" w:space="0" w:color="auto"/>
        <w:left w:val="none" w:sz="0" w:space="0" w:color="auto"/>
        <w:bottom w:val="none" w:sz="0" w:space="0" w:color="auto"/>
        <w:right w:val="none" w:sz="0" w:space="0" w:color="auto"/>
      </w:divBdr>
    </w:div>
    <w:div w:id="1094134660">
      <w:bodyDiv w:val="1"/>
      <w:marLeft w:val="0"/>
      <w:marRight w:val="0"/>
      <w:marTop w:val="0"/>
      <w:marBottom w:val="0"/>
      <w:divBdr>
        <w:top w:val="none" w:sz="0" w:space="0" w:color="auto"/>
        <w:left w:val="none" w:sz="0" w:space="0" w:color="auto"/>
        <w:bottom w:val="none" w:sz="0" w:space="0" w:color="auto"/>
        <w:right w:val="none" w:sz="0" w:space="0" w:color="auto"/>
      </w:divBdr>
    </w:div>
    <w:div w:id="1109197316">
      <w:bodyDiv w:val="1"/>
      <w:marLeft w:val="0"/>
      <w:marRight w:val="0"/>
      <w:marTop w:val="0"/>
      <w:marBottom w:val="0"/>
      <w:divBdr>
        <w:top w:val="none" w:sz="0" w:space="0" w:color="auto"/>
        <w:left w:val="none" w:sz="0" w:space="0" w:color="auto"/>
        <w:bottom w:val="none" w:sz="0" w:space="0" w:color="auto"/>
        <w:right w:val="none" w:sz="0" w:space="0" w:color="auto"/>
      </w:divBdr>
    </w:div>
    <w:div w:id="1125154639">
      <w:bodyDiv w:val="1"/>
      <w:marLeft w:val="0"/>
      <w:marRight w:val="0"/>
      <w:marTop w:val="0"/>
      <w:marBottom w:val="0"/>
      <w:divBdr>
        <w:top w:val="none" w:sz="0" w:space="0" w:color="auto"/>
        <w:left w:val="none" w:sz="0" w:space="0" w:color="auto"/>
        <w:bottom w:val="none" w:sz="0" w:space="0" w:color="auto"/>
        <w:right w:val="none" w:sz="0" w:space="0" w:color="auto"/>
      </w:divBdr>
    </w:div>
    <w:div w:id="1142118931">
      <w:bodyDiv w:val="1"/>
      <w:marLeft w:val="0"/>
      <w:marRight w:val="0"/>
      <w:marTop w:val="0"/>
      <w:marBottom w:val="0"/>
      <w:divBdr>
        <w:top w:val="none" w:sz="0" w:space="0" w:color="auto"/>
        <w:left w:val="none" w:sz="0" w:space="0" w:color="auto"/>
        <w:bottom w:val="none" w:sz="0" w:space="0" w:color="auto"/>
        <w:right w:val="none" w:sz="0" w:space="0" w:color="auto"/>
      </w:divBdr>
    </w:div>
    <w:div w:id="1220440717">
      <w:bodyDiv w:val="1"/>
      <w:marLeft w:val="0"/>
      <w:marRight w:val="0"/>
      <w:marTop w:val="0"/>
      <w:marBottom w:val="0"/>
      <w:divBdr>
        <w:top w:val="none" w:sz="0" w:space="0" w:color="auto"/>
        <w:left w:val="none" w:sz="0" w:space="0" w:color="auto"/>
        <w:bottom w:val="none" w:sz="0" w:space="0" w:color="auto"/>
        <w:right w:val="none" w:sz="0" w:space="0" w:color="auto"/>
      </w:divBdr>
    </w:div>
    <w:div w:id="1430002526">
      <w:bodyDiv w:val="1"/>
      <w:marLeft w:val="0"/>
      <w:marRight w:val="0"/>
      <w:marTop w:val="0"/>
      <w:marBottom w:val="0"/>
      <w:divBdr>
        <w:top w:val="none" w:sz="0" w:space="0" w:color="auto"/>
        <w:left w:val="none" w:sz="0" w:space="0" w:color="auto"/>
        <w:bottom w:val="none" w:sz="0" w:space="0" w:color="auto"/>
        <w:right w:val="none" w:sz="0" w:space="0" w:color="auto"/>
      </w:divBdr>
    </w:div>
    <w:div w:id="1541166115">
      <w:bodyDiv w:val="1"/>
      <w:marLeft w:val="0"/>
      <w:marRight w:val="0"/>
      <w:marTop w:val="0"/>
      <w:marBottom w:val="0"/>
      <w:divBdr>
        <w:top w:val="none" w:sz="0" w:space="0" w:color="auto"/>
        <w:left w:val="none" w:sz="0" w:space="0" w:color="auto"/>
        <w:bottom w:val="none" w:sz="0" w:space="0" w:color="auto"/>
        <w:right w:val="none" w:sz="0" w:space="0" w:color="auto"/>
      </w:divBdr>
    </w:div>
    <w:div w:id="1683966790">
      <w:bodyDiv w:val="1"/>
      <w:marLeft w:val="0"/>
      <w:marRight w:val="0"/>
      <w:marTop w:val="0"/>
      <w:marBottom w:val="0"/>
      <w:divBdr>
        <w:top w:val="none" w:sz="0" w:space="0" w:color="auto"/>
        <w:left w:val="none" w:sz="0" w:space="0" w:color="auto"/>
        <w:bottom w:val="none" w:sz="0" w:space="0" w:color="auto"/>
        <w:right w:val="none" w:sz="0" w:space="0" w:color="auto"/>
      </w:divBdr>
    </w:div>
    <w:div w:id="1756241236">
      <w:bodyDiv w:val="1"/>
      <w:marLeft w:val="0"/>
      <w:marRight w:val="0"/>
      <w:marTop w:val="0"/>
      <w:marBottom w:val="0"/>
      <w:divBdr>
        <w:top w:val="none" w:sz="0" w:space="0" w:color="auto"/>
        <w:left w:val="none" w:sz="0" w:space="0" w:color="auto"/>
        <w:bottom w:val="none" w:sz="0" w:space="0" w:color="auto"/>
        <w:right w:val="none" w:sz="0" w:space="0" w:color="auto"/>
      </w:divBdr>
    </w:div>
    <w:div w:id="1762601324">
      <w:bodyDiv w:val="1"/>
      <w:marLeft w:val="0"/>
      <w:marRight w:val="0"/>
      <w:marTop w:val="0"/>
      <w:marBottom w:val="0"/>
      <w:divBdr>
        <w:top w:val="none" w:sz="0" w:space="0" w:color="auto"/>
        <w:left w:val="none" w:sz="0" w:space="0" w:color="auto"/>
        <w:bottom w:val="none" w:sz="0" w:space="0" w:color="auto"/>
        <w:right w:val="none" w:sz="0" w:space="0" w:color="auto"/>
      </w:divBdr>
    </w:div>
    <w:div w:id="1793287434">
      <w:bodyDiv w:val="1"/>
      <w:marLeft w:val="0"/>
      <w:marRight w:val="0"/>
      <w:marTop w:val="0"/>
      <w:marBottom w:val="0"/>
      <w:divBdr>
        <w:top w:val="none" w:sz="0" w:space="0" w:color="auto"/>
        <w:left w:val="none" w:sz="0" w:space="0" w:color="auto"/>
        <w:bottom w:val="none" w:sz="0" w:space="0" w:color="auto"/>
        <w:right w:val="none" w:sz="0" w:space="0" w:color="auto"/>
      </w:divBdr>
    </w:div>
    <w:div w:id="1874684925">
      <w:bodyDiv w:val="1"/>
      <w:marLeft w:val="0"/>
      <w:marRight w:val="0"/>
      <w:marTop w:val="0"/>
      <w:marBottom w:val="0"/>
      <w:divBdr>
        <w:top w:val="none" w:sz="0" w:space="0" w:color="auto"/>
        <w:left w:val="none" w:sz="0" w:space="0" w:color="auto"/>
        <w:bottom w:val="none" w:sz="0" w:space="0" w:color="auto"/>
        <w:right w:val="none" w:sz="0" w:space="0" w:color="auto"/>
      </w:divBdr>
    </w:div>
    <w:div w:id="1901357729">
      <w:bodyDiv w:val="1"/>
      <w:marLeft w:val="0"/>
      <w:marRight w:val="0"/>
      <w:marTop w:val="0"/>
      <w:marBottom w:val="0"/>
      <w:divBdr>
        <w:top w:val="none" w:sz="0" w:space="0" w:color="auto"/>
        <w:left w:val="none" w:sz="0" w:space="0" w:color="auto"/>
        <w:bottom w:val="none" w:sz="0" w:space="0" w:color="auto"/>
        <w:right w:val="none" w:sz="0" w:space="0" w:color="auto"/>
      </w:divBdr>
    </w:div>
    <w:div w:id="209381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glossaryDocument" Target="glossary/document.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28096071305F4C8446E84AE77DF01D"/>
        <w:category>
          <w:name w:val="General"/>
          <w:gallery w:val="placeholder"/>
        </w:category>
        <w:types>
          <w:type w:val="bbPlcHdr"/>
        </w:types>
        <w:behaviors>
          <w:behavior w:val="content"/>
        </w:behaviors>
        <w:guid w:val="{7F48A202-303B-B242-AE5A-AAC265F9374F}"/>
      </w:docPartPr>
      <w:docPartBody>
        <w:p w:rsidR="00E60FC8" w:rsidRDefault="00E60FC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45B"/>
    <w:rsid w:val="007A545B"/>
    <w:rsid w:val="00E60F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Nag13</b:Tag>
    <b:SourceType>JournalArticle</b:SourceType>
    <b:Guid>{A5E2874C-B57F-49A7-92D6-58B70603BAD3}</b:Guid>
    <b:Author>
      <b:Author>
        <b:NameList>
          <b:Person>
            <b:Last>Nagai</b:Last>
            <b:First>Y.</b:First>
            <b:Middle>and Noguchi, H., 2013. An experimental study on the design thinking process started from difficult keywords: Modeling the thinking process of creative design. Journal of engineering design, 14(4), pp.429-437.</b:Middle>
          </b:Person>
        </b:NameList>
      </b:Author>
    </b:Author>
    <b:Year>2013</b:Year>
    <b:RefOrder>5</b:RefOrder>
  </b:Source>
  <b:Source>
    <b:Tag>Tsc12</b:Tag>
    <b:SourceType>JournalArticle</b:SourceType>
    <b:Guid>{D877A342-E219-46BE-9DFB-F43FAAB1231E}</b:Guid>
    <b:Author>
      <b:Author>
        <b:NameList>
          <b:Person>
            <b:Last>Tschimmel</b:Last>
            <b:First>K.,</b:First>
            <b:Middle>2012. Design Thinking as an effective Toolkit for Innovation. In ISPIM Conference Proceedings (p. 1). The International Society for Professional Innovation Management (ISPIM).</b:Middle>
          </b:Person>
        </b:NameList>
      </b:Author>
    </b:Author>
    <b:Year>2012</b:Year>
    <b:RefOrder>4</b:RefOrder>
  </b:Source>
  <b:Source>
    <b:Tag>Han10</b:Tag>
    <b:SourceType>JournalArticle</b:SourceType>
    <b:Guid>{90F9A9EA-DC6B-497C-9CCE-5F475529EECB}</b:Guid>
    <b:Author>
      <b:Author>
        <b:NameList>
          <b:Person>
            <b:Last>Han</b:Last>
            <b:First>J.C.,</b:First>
            <b:Middle>Lawlor, D.A. and Kimm, S.Y., 2010. Childhood obesity. The lancet, 375(9727), pp.1737-1748.</b:Middle>
          </b:Person>
        </b:NameList>
      </b:Author>
    </b:Author>
    <b:Year>et al., 2010</b:Year>
    <b:RefOrder>1</b:RefOrder>
  </b:Source>
  <b:Source>
    <b:Tag>Spe05</b:Tag>
    <b:SourceType>JournalArticle</b:SourceType>
    <b:Guid>{8B6DE02C-17F8-4841-9E6D-4B0FF5FF063F}</b:Guid>
    <b:Author>
      <b:Author>
        <b:NameList>
          <b:Person>
            <b:Last>Speiser</b:Last>
            <b:First>P.W.,</b:First>
            <b:Middle>Rudolf, M.C., Anhalt, H., Camacho-Hubner, C., Chiarelli, F., Eliakim, A., Freemark, M., Gruters, A., Hershkovitz, E., Iughetti, L. and Krude, H., 2005. Childhood obesity. The journal of clinical endocrinology &amp; metabolism, 90(3), pp.1871-18</b:Middle>
          </b:Person>
        </b:NameList>
      </b:Author>
    </b:Author>
    <b:Year>2005</b:Year>
    <b:RefOrder>6</b:RefOrder>
  </b:Source>
  <b:Source>
    <b:Tag>Lak12</b:Tag>
    <b:SourceType>JournalArticle</b:SourceType>
    <b:Guid>{F24B5018-CA0D-455C-90B2-C3C2908B17D3}</b:Guid>
    <b:Author>
      <b:Author>
        <b:NameList>
          <b:Person>
            <b:Last>Lakshman</b:Last>
            <b:First>R.,</b:First>
            <b:Middle>Elks, C.E. and Ong, K.K., 2012. Childhood obesity. Circulation, 126(14), pp.1770-1779.</b:Middle>
          </b:Person>
        </b:NameList>
      </b:Author>
    </b:Author>
    <b:Year>et al., 2012</b:Year>
    <b:RefOrder>2</b:RefOrder>
  </b:Source>
  <b:Source>
    <b:Tag>Mil14</b:Tag>
    <b:SourceType>JournalArticle</b:SourceType>
    <b:Guid>{6AC52CDC-9E9C-4A7B-BBE3-2B23C2034EE4}</b:Guid>
    <b:Author>
      <b:Author>
        <b:NameList>
          <b:Person>
            <b:Last>Miller</b:Last>
            <b:First>J.,</b:First>
            <b:Middle>Rosenbloom, A. and Silverstein, J., 2004. Childhood obesity. The Journal of Clinical Endocrinology &amp; Metabolism, 89(9), pp.4211-4218.</b:Middle>
          </b:Person>
        </b:NameList>
      </b:Author>
    </b:Author>
    <b:Year>et al., 2014</b:Year>
    <b:RefOrder>3</b:RefOrder>
  </b:Source>
  <b:Source>
    <b:Tag>Sah15</b:Tag>
    <b:SourceType>JournalArticle</b:SourceType>
    <b:Guid>{5C013C79-9170-4A59-AFE1-6A1253401928}</b:Guid>
    <b:Author>
      <b:Author>
        <b:NameList>
          <b:Person>
            <b:Last>Sahoo</b:Last>
            <b:First>K.,</b:First>
            <b:Middle>Sahoo, B., Choudhury, A.K., Sofi, N.Y., Kumar, R. and Bhadoria, A.S., 2015. Childhood obesity: causes and consequences. Journal of family medicine and primary care, 4(2), p.187.</b:Middle>
          </b:Person>
        </b:NameList>
      </b:Author>
    </b:Author>
    <b:Year>et al., 2015</b:Year>
    <b:RefOrder>7</b:RefOrder>
  </b:Source>
</b:Sources>
</file>

<file path=customXml/itemProps1.xml><?xml version="1.0" encoding="utf-8"?>
<ds:datastoreItem xmlns:ds="http://schemas.openxmlformats.org/officeDocument/2006/customXml" ds:itemID="{4741AC92-82AD-4DF1-A00A-BE16F0885FB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Ismot Ara Shammi Chowdhury (2210487)</lastModifiedBy>
  <revision>6</revision>
  <dcterms:created xsi:type="dcterms:W3CDTF">2023-03-28T20:00:00.0000000Z</dcterms:created>
  <dcterms:modified xsi:type="dcterms:W3CDTF">2023-03-28T13:03:08.2234477Z</dcterms:modified>
</coreProperties>
</file>