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0D7649" w14:textId="044DD532" w:rsidR="008375B5" w:rsidRDefault="009334D8" w:rsidP="008375B5">
      <w:pPr>
        <w:spacing w:line="360" w:lineRule="auto"/>
      </w:pPr>
      <w:r>
        <w:rPr>
          <w:noProof/>
          <w:lang w:val="en-US"/>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433BC8E5"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7938F17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Student </w:t>
      </w:r>
      <w:proofErr w:type="spellStart"/>
      <w:proofErr w:type="gramStart"/>
      <w:r>
        <w:rPr>
          <w:rStyle w:val="Strong"/>
          <w:rFonts w:ascii="Arial" w:hAnsi="Arial" w:cs="Arial"/>
          <w:color w:val="1D2125"/>
          <w:sz w:val="32"/>
          <w:szCs w:val="32"/>
        </w:rPr>
        <w:t>name:</w:t>
      </w:r>
      <w:r w:rsidR="00C145BF">
        <w:rPr>
          <w:rStyle w:val="Strong"/>
          <w:rFonts w:ascii="Arial" w:hAnsi="Arial" w:cs="Arial"/>
          <w:color w:val="1D2125"/>
          <w:sz w:val="32"/>
          <w:szCs w:val="32"/>
        </w:rPr>
        <w:t>Tosin</w:t>
      </w:r>
      <w:proofErr w:type="spellEnd"/>
      <w:proofErr w:type="gramEnd"/>
      <w:r w:rsidR="00C145BF">
        <w:rPr>
          <w:rStyle w:val="Strong"/>
          <w:rFonts w:ascii="Arial" w:hAnsi="Arial" w:cs="Arial"/>
          <w:color w:val="1D2125"/>
          <w:sz w:val="32"/>
          <w:szCs w:val="32"/>
        </w:rPr>
        <w:t xml:space="preserve"> Yusuf</w:t>
      </w:r>
    </w:p>
    <w:p w14:paraId="227AC82E" w14:textId="5277609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C145BF">
        <w:rPr>
          <w:rStyle w:val="Strong"/>
          <w:rFonts w:ascii="Arial" w:hAnsi="Arial" w:cs="Arial"/>
          <w:color w:val="1D2125"/>
          <w:sz w:val="32"/>
          <w:szCs w:val="32"/>
        </w:rPr>
        <w:t>2334371</w:t>
      </w:r>
    </w:p>
    <w:p w14:paraId="5B5E64AD" w14:textId="3D2DA35B"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Lecturer’s </w:t>
      </w:r>
      <w:proofErr w:type="spellStart"/>
      <w:r>
        <w:rPr>
          <w:rStyle w:val="Strong"/>
          <w:rFonts w:ascii="Arial" w:hAnsi="Arial" w:cs="Arial"/>
          <w:color w:val="1D2125"/>
          <w:sz w:val="32"/>
          <w:szCs w:val="32"/>
        </w:rPr>
        <w:t>name:</w:t>
      </w:r>
      <w:r w:rsidR="00C145BF">
        <w:rPr>
          <w:rStyle w:val="Strong"/>
          <w:rFonts w:ascii="Arial" w:hAnsi="Arial" w:cs="Arial"/>
          <w:color w:val="1D2125"/>
          <w:sz w:val="32"/>
          <w:szCs w:val="32"/>
        </w:rPr>
        <w:t>Ping</w:t>
      </w:r>
      <w:proofErr w:type="spellEnd"/>
      <w:r w:rsidR="00C145BF">
        <w:rPr>
          <w:rStyle w:val="Strong"/>
          <w:rFonts w:ascii="Arial" w:hAnsi="Arial" w:cs="Arial"/>
          <w:color w:val="1D2125"/>
          <w:sz w:val="32"/>
          <w:szCs w:val="32"/>
        </w:rPr>
        <w:t xml:space="preserve"> Wu</w:t>
      </w:r>
    </w:p>
    <w:p w14:paraId="1FEE4E4C" w14:textId="7B2D257A" w:rsidR="008375B5" w:rsidRPr="00F35AD2" w:rsidRDefault="00F35AD2" w:rsidP="00F35AD2">
      <w:pPr>
        <w:spacing w:after="0" w:line="240" w:lineRule="auto"/>
        <w:rPr>
          <w:rFonts w:ascii="Arial" w:eastAsia="Times New Roman" w:hAnsi="Arial" w:cs="Arial"/>
          <w:b/>
          <w:bCs/>
          <w:color w:val="000000"/>
          <w:kern w:val="0"/>
          <w:lang w:eastAsia="en-GB"/>
        </w:rPr>
      </w:pPr>
      <w:r>
        <w:rPr>
          <w:rFonts w:ascii="Arial" w:hAnsi="Arial" w:cs="Arial"/>
          <w:b/>
          <w:bCs/>
          <w:color w:val="000000"/>
        </w:rPr>
        <w:br w:type="page"/>
      </w:r>
    </w:p>
    <w:sdt>
      <w:sdtPr>
        <w:rPr>
          <w:rFonts w:asciiTheme="minorBidi" w:eastAsia="Aptos" w:hAnsiTheme="minorBidi" w:cs="Times New Roman"/>
          <w:color w:val="auto"/>
          <w:kern w:val="2"/>
          <w:sz w:val="22"/>
          <w:szCs w:val="24"/>
          <w:lang w:val="en-GB"/>
        </w:rPr>
        <w:id w:val="731574352"/>
        <w:docPartObj>
          <w:docPartGallery w:val="Table of Contents"/>
          <w:docPartUnique/>
        </w:docPartObj>
      </w:sdtPr>
      <w:sdtEndPr>
        <w:rPr>
          <w:b/>
          <w:bCs/>
          <w:noProof/>
        </w:rPr>
      </w:sdtEndPr>
      <w:sdtContent>
        <w:p w14:paraId="6517EDC0" w14:textId="214F62D4" w:rsidR="00610D47" w:rsidRPr="00610D47" w:rsidRDefault="00610D47" w:rsidP="00F35AD2">
          <w:pPr>
            <w:pStyle w:val="TOCHeading"/>
            <w:jc w:val="center"/>
            <w:rPr>
              <w:b/>
              <w:bCs/>
              <w:color w:val="auto"/>
            </w:rPr>
          </w:pPr>
          <w:r w:rsidRPr="00610D47">
            <w:rPr>
              <w:b/>
              <w:bCs/>
              <w:color w:val="auto"/>
            </w:rPr>
            <w:t>Table of contents</w:t>
          </w:r>
        </w:p>
        <w:p w14:paraId="61D121C9" w14:textId="0EF7F049" w:rsidR="000271CA" w:rsidRDefault="00610D47">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r>
            <w:fldChar w:fldCharType="begin"/>
          </w:r>
          <w:r>
            <w:instrText xml:space="preserve"> TOC \o "1-3" \h \z \u </w:instrText>
          </w:r>
          <w:r>
            <w:fldChar w:fldCharType="separate"/>
          </w:r>
          <w:hyperlink w:anchor="_Toc234666965" w:history="1">
            <w:r w:rsidR="000271CA" w:rsidRPr="00406DD0">
              <w:rPr>
                <w:rStyle w:val="Hyperlink"/>
                <w:noProof/>
              </w:rPr>
              <w:t>1.</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Introduction</w:t>
            </w:r>
            <w:r w:rsidR="000271CA">
              <w:rPr>
                <w:noProof/>
                <w:webHidden/>
              </w:rPr>
              <w:tab/>
            </w:r>
            <w:r w:rsidR="000271CA">
              <w:rPr>
                <w:noProof/>
                <w:webHidden/>
              </w:rPr>
              <w:fldChar w:fldCharType="begin"/>
            </w:r>
            <w:r w:rsidR="000271CA">
              <w:rPr>
                <w:noProof/>
                <w:webHidden/>
              </w:rPr>
              <w:instrText xml:space="preserve"> PAGEREF _Toc234666965 \h </w:instrText>
            </w:r>
            <w:r w:rsidR="000271CA">
              <w:rPr>
                <w:noProof/>
                <w:webHidden/>
              </w:rPr>
            </w:r>
            <w:r w:rsidR="000271CA">
              <w:rPr>
                <w:noProof/>
                <w:webHidden/>
              </w:rPr>
              <w:fldChar w:fldCharType="separate"/>
            </w:r>
            <w:r w:rsidR="000271CA">
              <w:rPr>
                <w:noProof/>
                <w:webHidden/>
              </w:rPr>
              <w:t>3</w:t>
            </w:r>
            <w:r w:rsidR="000271CA">
              <w:rPr>
                <w:noProof/>
                <w:webHidden/>
              </w:rPr>
              <w:fldChar w:fldCharType="end"/>
            </w:r>
          </w:hyperlink>
        </w:p>
        <w:p w14:paraId="2F0A037F" w14:textId="4B404B2D" w:rsidR="000271CA" w:rsidRDefault="00000000">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hyperlink w:anchor="_Toc234666966" w:history="1">
            <w:r w:rsidR="000271CA" w:rsidRPr="00406DD0">
              <w:rPr>
                <w:rStyle w:val="Hyperlink"/>
                <w:noProof/>
              </w:rPr>
              <w:t>2.</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Impact on Work Force</w:t>
            </w:r>
            <w:r w:rsidR="000271CA">
              <w:rPr>
                <w:noProof/>
                <w:webHidden/>
              </w:rPr>
              <w:tab/>
            </w:r>
            <w:r w:rsidR="000271CA">
              <w:rPr>
                <w:noProof/>
                <w:webHidden/>
              </w:rPr>
              <w:fldChar w:fldCharType="begin"/>
            </w:r>
            <w:r w:rsidR="000271CA">
              <w:rPr>
                <w:noProof/>
                <w:webHidden/>
              </w:rPr>
              <w:instrText xml:space="preserve"> PAGEREF _Toc234666966 \h </w:instrText>
            </w:r>
            <w:r w:rsidR="000271CA">
              <w:rPr>
                <w:noProof/>
                <w:webHidden/>
              </w:rPr>
            </w:r>
            <w:r w:rsidR="000271CA">
              <w:rPr>
                <w:noProof/>
                <w:webHidden/>
              </w:rPr>
              <w:fldChar w:fldCharType="separate"/>
            </w:r>
            <w:r w:rsidR="000271CA">
              <w:rPr>
                <w:noProof/>
                <w:webHidden/>
              </w:rPr>
              <w:t>3</w:t>
            </w:r>
            <w:r w:rsidR="000271CA">
              <w:rPr>
                <w:noProof/>
                <w:webHidden/>
              </w:rPr>
              <w:fldChar w:fldCharType="end"/>
            </w:r>
          </w:hyperlink>
        </w:p>
        <w:p w14:paraId="2E34F30F" w14:textId="24E26CE8" w:rsidR="000271CA" w:rsidRDefault="00000000">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hyperlink w:anchor="_Toc234666967" w:history="1">
            <w:r w:rsidR="000271CA" w:rsidRPr="00406DD0">
              <w:rPr>
                <w:rStyle w:val="Hyperlink"/>
                <w:noProof/>
              </w:rPr>
              <w:t>3.</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Impact on Service Delivery</w:t>
            </w:r>
            <w:r w:rsidR="000271CA">
              <w:rPr>
                <w:noProof/>
                <w:webHidden/>
              </w:rPr>
              <w:tab/>
            </w:r>
            <w:r w:rsidR="000271CA">
              <w:rPr>
                <w:noProof/>
                <w:webHidden/>
              </w:rPr>
              <w:fldChar w:fldCharType="begin"/>
            </w:r>
            <w:r w:rsidR="000271CA">
              <w:rPr>
                <w:noProof/>
                <w:webHidden/>
              </w:rPr>
              <w:instrText xml:space="preserve"> PAGEREF _Toc234666967 \h </w:instrText>
            </w:r>
            <w:r w:rsidR="000271CA">
              <w:rPr>
                <w:noProof/>
                <w:webHidden/>
              </w:rPr>
            </w:r>
            <w:r w:rsidR="000271CA">
              <w:rPr>
                <w:noProof/>
                <w:webHidden/>
              </w:rPr>
              <w:fldChar w:fldCharType="separate"/>
            </w:r>
            <w:r w:rsidR="000271CA">
              <w:rPr>
                <w:noProof/>
                <w:webHidden/>
              </w:rPr>
              <w:t>4</w:t>
            </w:r>
            <w:r w:rsidR="000271CA">
              <w:rPr>
                <w:noProof/>
                <w:webHidden/>
              </w:rPr>
              <w:fldChar w:fldCharType="end"/>
            </w:r>
          </w:hyperlink>
        </w:p>
        <w:p w14:paraId="405D4AB6" w14:textId="327FFDE2" w:rsidR="000271CA" w:rsidRDefault="00000000">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hyperlink w:anchor="_Toc234666968" w:history="1">
            <w:r w:rsidR="000271CA" w:rsidRPr="00406DD0">
              <w:rPr>
                <w:rStyle w:val="Hyperlink"/>
                <w:noProof/>
              </w:rPr>
              <w:t>4.</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Impact on Patients</w:t>
            </w:r>
            <w:r w:rsidR="000271CA">
              <w:rPr>
                <w:noProof/>
                <w:webHidden/>
              </w:rPr>
              <w:tab/>
            </w:r>
            <w:r w:rsidR="000271CA">
              <w:rPr>
                <w:noProof/>
                <w:webHidden/>
              </w:rPr>
              <w:fldChar w:fldCharType="begin"/>
            </w:r>
            <w:r w:rsidR="000271CA">
              <w:rPr>
                <w:noProof/>
                <w:webHidden/>
              </w:rPr>
              <w:instrText xml:space="preserve"> PAGEREF _Toc234666968 \h </w:instrText>
            </w:r>
            <w:r w:rsidR="000271CA">
              <w:rPr>
                <w:noProof/>
                <w:webHidden/>
              </w:rPr>
            </w:r>
            <w:r w:rsidR="000271CA">
              <w:rPr>
                <w:noProof/>
                <w:webHidden/>
              </w:rPr>
              <w:fldChar w:fldCharType="separate"/>
            </w:r>
            <w:r w:rsidR="000271CA">
              <w:rPr>
                <w:noProof/>
                <w:webHidden/>
              </w:rPr>
              <w:t>5</w:t>
            </w:r>
            <w:r w:rsidR="000271CA">
              <w:rPr>
                <w:noProof/>
                <w:webHidden/>
              </w:rPr>
              <w:fldChar w:fldCharType="end"/>
            </w:r>
          </w:hyperlink>
        </w:p>
        <w:p w14:paraId="5607EDCD" w14:textId="2C8FFC66" w:rsidR="000271CA" w:rsidRDefault="00000000">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hyperlink w:anchor="_Toc234666969" w:history="1">
            <w:r w:rsidR="000271CA" w:rsidRPr="00406DD0">
              <w:rPr>
                <w:rStyle w:val="Hyperlink"/>
                <w:noProof/>
              </w:rPr>
              <w:t>5.</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Impact on Community</w:t>
            </w:r>
            <w:r w:rsidR="000271CA">
              <w:rPr>
                <w:noProof/>
                <w:webHidden/>
              </w:rPr>
              <w:tab/>
            </w:r>
            <w:r w:rsidR="000271CA">
              <w:rPr>
                <w:noProof/>
                <w:webHidden/>
              </w:rPr>
              <w:fldChar w:fldCharType="begin"/>
            </w:r>
            <w:r w:rsidR="000271CA">
              <w:rPr>
                <w:noProof/>
                <w:webHidden/>
              </w:rPr>
              <w:instrText xml:space="preserve"> PAGEREF _Toc234666969 \h </w:instrText>
            </w:r>
            <w:r w:rsidR="000271CA">
              <w:rPr>
                <w:noProof/>
                <w:webHidden/>
              </w:rPr>
            </w:r>
            <w:r w:rsidR="000271CA">
              <w:rPr>
                <w:noProof/>
                <w:webHidden/>
              </w:rPr>
              <w:fldChar w:fldCharType="separate"/>
            </w:r>
            <w:r w:rsidR="000271CA">
              <w:rPr>
                <w:noProof/>
                <w:webHidden/>
              </w:rPr>
              <w:t>7</w:t>
            </w:r>
            <w:r w:rsidR="000271CA">
              <w:rPr>
                <w:noProof/>
                <w:webHidden/>
              </w:rPr>
              <w:fldChar w:fldCharType="end"/>
            </w:r>
          </w:hyperlink>
        </w:p>
        <w:p w14:paraId="093AA878" w14:textId="1F80E532" w:rsidR="000271CA" w:rsidRDefault="00000000">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hyperlink w:anchor="_Toc234666970" w:history="1">
            <w:r w:rsidR="000271CA" w:rsidRPr="00406DD0">
              <w:rPr>
                <w:rStyle w:val="Hyperlink"/>
                <w:noProof/>
              </w:rPr>
              <w:t>6.</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Conclusion</w:t>
            </w:r>
            <w:r w:rsidR="000271CA">
              <w:rPr>
                <w:noProof/>
                <w:webHidden/>
              </w:rPr>
              <w:tab/>
            </w:r>
            <w:r w:rsidR="000271CA">
              <w:rPr>
                <w:noProof/>
                <w:webHidden/>
              </w:rPr>
              <w:fldChar w:fldCharType="begin"/>
            </w:r>
            <w:r w:rsidR="000271CA">
              <w:rPr>
                <w:noProof/>
                <w:webHidden/>
              </w:rPr>
              <w:instrText xml:space="preserve"> PAGEREF _Toc234666970 \h </w:instrText>
            </w:r>
            <w:r w:rsidR="000271CA">
              <w:rPr>
                <w:noProof/>
                <w:webHidden/>
              </w:rPr>
            </w:r>
            <w:r w:rsidR="000271CA">
              <w:rPr>
                <w:noProof/>
                <w:webHidden/>
              </w:rPr>
              <w:fldChar w:fldCharType="separate"/>
            </w:r>
            <w:r w:rsidR="000271CA">
              <w:rPr>
                <w:noProof/>
                <w:webHidden/>
              </w:rPr>
              <w:t>8</w:t>
            </w:r>
            <w:r w:rsidR="000271CA">
              <w:rPr>
                <w:noProof/>
                <w:webHidden/>
              </w:rPr>
              <w:fldChar w:fldCharType="end"/>
            </w:r>
          </w:hyperlink>
        </w:p>
        <w:p w14:paraId="2A5DB2A6" w14:textId="57DEC22C" w:rsidR="000271CA" w:rsidRDefault="00000000">
          <w:pPr>
            <w:pStyle w:val="TOC1"/>
            <w:tabs>
              <w:tab w:val="left" w:pos="480"/>
              <w:tab w:val="right" w:leader="dot" w:pos="9016"/>
            </w:tabs>
            <w:rPr>
              <w:rFonts w:asciiTheme="minorHAnsi" w:eastAsiaTheme="minorEastAsia" w:hAnsiTheme="minorHAnsi" w:cstheme="minorBidi"/>
              <w:noProof/>
              <w:sz w:val="24"/>
              <w:lang w:eastAsia="en-GB"/>
              <w14:ligatures w14:val="standardContextual"/>
            </w:rPr>
          </w:pPr>
          <w:hyperlink w:anchor="_Toc234666971" w:history="1">
            <w:r w:rsidR="000271CA" w:rsidRPr="00406DD0">
              <w:rPr>
                <w:rStyle w:val="Hyperlink"/>
                <w:noProof/>
              </w:rPr>
              <w:t>7.</w:t>
            </w:r>
            <w:r w:rsidR="000271CA">
              <w:rPr>
                <w:rFonts w:asciiTheme="minorHAnsi" w:eastAsiaTheme="minorEastAsia" w:hAnsiTheme="minorHAnsi" w:cstheme="minorBidi"/>
                <w:noProof/>
                <w:sz w:val="24"/>
                <w:lang w:eastAsia="en-GB"/>
                <w14:ligatures w14:val="standardContextual"/>
              </w:rPr>
              <w:tab/>
            </w:r>
            <w:r w:rsidR="000271CA" w:rsidRPr="00406DD0">
              <w:rPr>
                <w:rStyle w:val="Hyperlink"/>
                <w:noProof/>
              </w:rPr>
              <w:t>References</w:t>
            </w:r>
            <w:r w:rsidR="000271CA">
              <w:rPr>
                <w:noProof/>
                <w:webHidden/>
              </w:rPr>
              <w:tab/>
            </w:r>
            <w:r w:rsidR="000271CA">
              <w:rPr>
                <w:noProof/>
                <w:webHidden/>
              </w:rPr>
              <w:fldChar w:fldCharType="begin"/>
            </w:r>
            <w:r w:rsidR="000271CA">
              <w:rPr>
                <w:noProof/>
                <w:webHidden/>
              </w:rPr>
              <w:instrText xml:space="preserve"> PAGEREF _Toc234666971 \h </w:instrText>
            </w:r>
            <w:r w:rsidR="000271CA">
              <w:rPr>
                <w:noProof/>
                <w:webHidden/>
              </w:rPr>
            </w:r>
            <w:r w:rsidR="000271CA">
              <w:rPr>
                <w:noProof/>
                <w:webHidden/>
              </w:rPr>
              <w:fldChar w:fldCharType="separate"/>
            </w:r>
            <w:r w:rsidR="000271CA">
              <w:rPr>
                <w:noProof/>
                <w:webHidden/>
              </w:rPr>
              <w:t>8</w:t>
            </w:r>
            <w:r w:rsidR="000271CA">
              <w:rPr>
                <w:noProof/>
                <w:webHidden/>
              </w:rPr>
              <w:fldChar w:fldCharType="end"/>
            </w:r>
          </w:hyperlink>
        </w:p>
        <w:p w14:paraId="6208D1C3" w14:textId="679B66D7" w:rsidR="00610D47" w:rsidRDefault="00610D47">
          <w:r>
            <w:rPr>
              <w:b/>
              <w:bCs/>
              <w:noProof/>
            </w:rPr>
            <w:fldChar w:fldCharType="end"/>
          </w:r>
        </w:p>
      </w:sdtContent>
    </w:sdt>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6D010FBC" w14:textId="08BF33EC" w:rsidR="00A9474F" w:rsidRPr="008375B5" w:rsidRDefault="00A9474F" w:rsidP="00424A3B">
      <w:pPr>
        <w:pStyle w:val="Heading1"/>
        <w:numPr>
          <w:ilvl w:val="0"/>
          <w:numId w:val="9"/>
        </w:numPr>
      </w:pPr>
      <w:bookmarkStart w:id="0" w:name="_Toc234666965"/>
      <w:r w:rsidRPr="008375B5">
        <w:lastRenderedPageBreak/>
        <w:t>Introduction</w:t>
      </w:r>
      <w:bookmarkEnd w:id="0"/>
    </w:p>
    <w:p w14:paraId="232BD2C5" w14:textId="12346C0B" w:rsidR="00C80D0F" w:rsidRPr="00D51C49" w:rsidRDefault="0084690D" w:rsidP="00580F0B">
      <w:pPr>
        <w:spacing w:line="360" w:lineRule="auto"/>
        <w:jc w:val="both"/>
      </w:pPr>
      <w:r>
        <w:t xml:space="preserve">One of </w:t>
      </w:r>
      <w:r w:rsidR="004E79B2" w:rsidRPr="00050CF2">
        <w:t>the</w:t>
      </w:r>
      <w:r w:rsidR="00050CF2" w:rsidRPr="00050CF2">
        <w:t xml:space="preserve"> most notable digital transformation in the UK health sector over the </w:t>
      </w:r>
      <w:r w:rsidR="00E73F0F">
        <w:t xml:space="preserve">last </w:t>
      </w:r>
      <w:r w:rsidR="00050CF2" w:rsidRPr="00050CF2">
        <w:t>10 years is the rise of wearable health devices. These technologies include smartwatches, fitness trackers, biosensors</w:t>
      </w:r>
      <w:r w:rsidR="00B81715">
        <w:t>,</w:t>
      </w:r>
      <w:r w:rsidR="00050CF2" w:rsidRPr="00050CF2">
        <w:t xml:space="preserve"> and remote monitoring devices to collect physiological data like heart rate, oxygen saturation, blood pressure</w:t>
      </w:r>
      <w:r w:rsidR="00B81715">
        <w:t>,</w:t>
      </w:r>
      <w:r w:rsidR="00050CF2" w:rsidRPr="00050CF2">
        <w:t xml:space="preserve"> and physical activity levels (</w:t>
      </w:r>
      <w:proofErr w:type="spellStart"/>
      <w:r w:rsidR="00050CF2" w:rsidRPr="00050CF2">
        <w:t>Adeghe</w:t>
      </w:r>
      <w:proofErr w:type="spellEnd"/>
      <w:r w:rsidR="00050CF2" w:rsidRPr="00050CF2">
        <w:t xml:space="preserve">, Okolo, and </w:t>
      </w:r>
      <w:proofErr w:type="spellStart"/>
      <w:r w:rsidR="00050CF2" w:rsidRPr="00050CF2">
        <w:t>Ojeyinka</w:t>
      </w:r>
      <w:proofErr w:type="spellEnd"/>
      <w:r w:rsidR="00050CF2" w:rsidRPr="00050CF2">
        <w:t>, 2024, p.143). In the NHS</w:t>
      </w:r>
      <w:r w:rsidR="006803A9">
        <w:t>,</w:t>
      </w:r>
      <w:r w:rsidR="00050CF2" w:rsidRPr="00050CF2">
        <w:t xml:space="preserve"> these technologies </w:t>
      </w:r>
      <w:r w:rsidR="00050CF2">
        <w:t>are implemented</w:t>
      </w:r>
      <w:r w:rsidR="00050CF2" w:rsidRPr="00050CF2">
        <w:t xml:space="preserve"> into digital plans</w:t>
      </w:r>
      <w:r w:rsidR="00B81715">
        <w:t>,</w:t>
      </w:r>
      <w:r w:rsidR="004051F1">
        <w:t xml:space="preserve"> including </w:t>
      </w:r>
      <w:r w:rsidR="00050CF2" w:rsidRPr="00050CF2">
        <w:t xml:space="preserve">virtual ward and chronic disease management programmes, which prioritise community and home-based care over hospital care. Wearables </w:t>
      </w:r>
      <w:r w:rsidR="00554609" w:rsidRPr="00050CF2">
        <w:t>are</w:t>
      </w:r>
      <w:r w:rsidR="00050CF2" w:rsidRPr="00050CF2">
        <w:t xml:space="preserve"> relevant in the City of London, a populated urban and financial hub, because of the hig</w:t>
      </w:r>
      <w:r w:rsidR="00F624AC">
        <w:t xml:space="preserve">her </w:t>
      </w:r>
      <w:r w:rsidR="00050CF2" w:rsidRPr="00050CF2">
        <w:t>digital literacy, prevalence of lifestyle</w:t>
      </w:r>
      <w:r w:rsidR="00B81715">
        <w:t>-</w:t>
      </w:r>
      <w:r w:rsidR="00050CF2" w:rsidRPr="00050CF2">
        <w:t>related conditions</w:t>
      </w:r>
      <w:r w:rsidR="00B81715">
        <w:t>,</w:t>
      </w:r>
      <w:r w:rsidR="00050CF2" w:rsidRPr="00050CF2">
        <w:t xml:space="preserve"> and </w:t>
      </w:r>
      <w:r w:rsidR="00DF7049">
        <w:t>strong</w:t>
      </w:r>
      <w:r w:rsidR="00050CF2" w:rsidRPr="00050CF2">
        <w:t xml:space="preserve"> infrastructure to support digital health integration (LOTI, 2022). Cleveland Clinic London (2024) found that </w:t>
      </w:r>
      <w:r w:rsidR="004B4DF7">
        <w:t>46% of UK adults use health-monitoring technologies, with 76% reporting positive lifestyle changes (</w:t>
      </w:r>
      <w:r w:rsidR="004B4DF7" w:rsidRPr="00D029FB">
        <w:t>Cleveland Clinic London</w:t>
      </w:r>
      <w:r w:rsidR="004B4DF7">
        <w:t>, 2024)</w:t>
      </w:r>
      <w:r w:rsidR="00050CF2" w:rsidRPr="00050CF2">
        <w:t xml:space="preserve">. Despite these advantages, there are worries about </w:t>
      </w:r>
      <w:r w:rsidR="00E73F0F">
        <w:t xml:space="preserve">data accuracy, inequality of access, and regulatory challenges. </w:t>
      </w:r>
      <w:r w:rsidR="00820BCC">
        <w:t xml:space="preserve">Considering that, this report aims to examine </w:t>
      </w:r>
      <w:r w:rsidR="00B81715">
        <w:t xml:space="preserve">the </w:t>
      </w:r>
      <w:r w:rsidR="00820BCC">
        <w:t xml:space="preserve">implementation of wearable devices in UK health and social care, focusing on the City of London. It will examine </w:t>
      </w:r>
      <w:r w:rsidR="00B81715">
        <w:t xml:space="preserve">the </w:t>
      </w:r>
      <w:r w:rsidR="00820BCC">
        <w:t xml:space="preserve">impact of wearable devices on </w:t>
      </w:r>
      <w:r w:rsidR="00B81715">
        <w:t xml:space="preserve">the </w:t>
      </w:r>
      <w:r w:rsidR="00820BCC">
        <w:t>workforce, service delivery, patients</w:t>
      </w:r>
      <w:r w:rsidR="00B81715">
        <w:t>,</w:t>
      </w:r>
      <w:r w:rsidR="00820BCC">
        <w:t xml:space="preserve"> and </w:t>
      </w:r>
      <w:r w:rsidR="00B81715">
        <w:t xml:space="preserve">the </w:t>
      </w:r>
      <w:r w:rsidR="00820BCC">
        <w:t>overall community.</w:t>
      </w:r>
    </w:p>
    <w:p w14:paraId="095D43E1" w14:textId="621BDAB0" w:rsidR="009D1AB6" w:rsidRPr="00182F78" w:rsidRDefault="00C80D0F" w:rsidP="00182F78">
      <w:pPr>
        <w:pStyle w:val="Heading1"/>
        <w:numPr>
          <w:ilvl w:val="0"/>
          <w:numId w:val="9"/>
        </w:numPr>
      </w:pPr>
      <w:bookmarkStart w:id="1" w:name="_Toc234666966"/>
      <w:r w:rsidRPr="008375B5">
        <w:t xml:space="preserve">Impact on </w:t>
      </w:r>
      <w:r w:rsidR="00297129">
        <w:t>W</w:t>
      </w:r>
      <w:r w:rsidRPr="008375B5">
        <w:t xml:space="preserve">ork </w:t>
      </w:r>
      <w:r w:rsidR="00297129">
        <w:t>F</w:t>
      </w:r>
      <w:r w:rsidRPr="008375B5">
        <w:t>orce</w:t>
      </w:r>
      <w:bookmarkEnd w:id="1"/>
    </w:p>
    <w:p w14:paraId="7AAA29B9" w14:textId="77777777" w:rsidR="008118E7" w:rsidRDefault="009D1AB6" w:rsidP="00A20DF7">
      <w:pPr>
        <w:spacing w:line="360" w:lineRule="auto"/>
        <w:jc w:val="both"/>
        <w:rPr>
          <w:rFonts w:cstheme="minorBidi"/>
        </w:rPr>
      </w:pPr>
      <w:r w:rsidRPr="009D1AB6">
        <w:rPr>
          <w:rFonts w:cstheme="minorBidi"/>
        </w:rPr>
        <w:t>The adoption of wearable devices in UK healthcare in digitally advanced areas like the City of London</w:t>
      </w:r>
      <w:r w:rsidR="000C5460">
        <w:rPr>
          <w:rFonts w:cstheme="minorBidi"/>
        </w:rPr>
        <w:t xml:space="preserve"> </w:t>
      </w:r>
      <w:r w:rsidRPr="009D1AB6">
        <w:rPr>
          <w:rFonts w:cstheme="minorBidi"/>
        </w:rPr>
        <w:t xml:space="preserve">led to a significant transformation in job roles. </w:t>
      </w:r>
      <w:r>
        <w:rPr>
          <w:rFonts w:cstheme="minorBidi"/>
        </w:rPr>
        <w:t>Positive aspect</w:t>
      </w:r>
      <w:r w:rsidRPr="009D1AB6">
        <w:rPr>
          <w:rFonts w:cstheme="minorBidi"/>
        </w:rPr>
        <w:t xml:space="preserve"> is that traditional positions like GP or nurse</w:t>
      </w:r>
      <w:r>
        <w:rPr>
          <w:rFonts w:cstheme="minorBidi"/>
        </w:rPr>
        <w:t xml:space="preserve"> </w:t>
      </w:r>
      <w:r w:rsidRPr="009D1AB6">
        <w:rPr>
          <w:rFonts w:cstheme="minorBidi"/>
        </w:rPr>
        <w:t>were expanded with remote patient monitoring and data-driven decision making. Wearables allow for continuous monitoring of patient</w:t>
      </w:r>
      <w:r w:rsidR="00B81715">
        <w:rPr>
          <w:rFonts w:cstheme="minorBidi"/>
        </w:rPr>
        <w:t>s'</w:t>
      </w:r>
      <w:r w:rsidRPr="009D1AB6">
        <w:rPr>
          <w:rFonts w:cstheme="minorBidi"/>
        </w:rPr>
        <w:t xml:space="preserve"> vital signs, which help</w:t>
      </w:r>
      <w:r w:rsidR="00B81715">
        <w:rPr>
          <w:rFonts w:cstheme="minorBidi"/>
        </w:rPr>
        <w:t>s</w:t>
      </w:r>
      <w:r w:rsidRPr="009D1AB6">
        <w:rPr>
          <w:rFonts w:cstheme="minorBidi"/>
        </w:rPr>
        <w:t xml:space="preserve"> </w:t>
      </w:r>
      <w:r w:rsidR="004C72FD">
        <w:rPr>
          <w:rFonts w:cstheme="minorBidi"/>
        </w:rPr>
        <w:t>clinicians</w:t>
      </w:r>
      <w:r w:rsidRPr="009D1AB6">
        <w:rPr>
          <w:rFonts w:cstheme="minorBidi"/>
        </w:rPr>
        <w:t xml:space="preserve"> manage more patients and focus on high-risk individuals. This is important within a healthcare system that employs 1.4 million people in the NHS, where workforce optimisation is </w:t>
      </w:r>
      <w:r w:rsidR="00126F78">
        <w:rPr>
          <w:rFonts w:cstheme="minorBidi"/>
        </w:rPr>
        <w:t>important</w:t>
      </w:r>
      <w:r w:rsidRPr="009D1AB6">
        <w:rPr>
          <w:rFonts w:cstheme="minorBidi"/>
        </w:rPr>
        <w:t xml:space="preserve"> (NHS, 2024). Furthermore, roles like digital health coordinator, remote monitoring technician, and clinical data analyst are new and speciali</w:t>
      </w:r>
      <w:r w:rsidR="00BA6934">
        <w:rPr>
          <w:rFonts w:cstheme="minorBidi"/>
        </w:rPr>
        <w:t>s</w:t>
      </w:r>
      <w:r w:rsidRPr="009D1AB6">
        <w:rPr>
          <w:rFonts w:cstheme="minorBidi"/>
        </w:rPr>
        <w:t xml:space="preserve">ed, focusing on technology-based health care delivery. </w:t>
      </w:r>
      <w:r w:rsidR="00581F37">
        <w:rPr>
          <w:rFonts w:cstheme="minorBidi"/>
        </w:rPr>
        <w:t xml:space="preserve"> </w:t>
      </w:r>
    </w:p>
    <w:p w14:paraId="3063CB17" w14:textId="7298D5EB" w:rsidR="00157DCA" w:rsidRDefault="00157DCA" w:rsidP="00A20DF7">
      <w:pPr>
        <w:spacing w:line="360" w:lineRule="auto"/>
        <w:jc w:val="both"/>
        <w:rPr>
          <w:rFonts w:cstheme="minorBidi"/>
        </w:rPr>
      </w:pPr>
      <w:r w:rsidRPr="00D80693">
        <w:rPr>
          <w:rFonts w:cstheme="minorBidi"/>
        </w:rPr>
        <w:t xml:space="preserve">However, challenges arose due to changing nature of work, with increased time spent </w:t>
      </w:r>
      <w:r w:rsidR="00B81715">
        <w:rPr>
          <w:rFonts w:cstheme="minorBidi"/>
        </w:rPr>
        <w:t>by</w:t>
      </w:r>
      <w:r w:rsidRPr="00D80693">
        <w:rPr>
          <w:rFonts w:cstheme="minorBidi"/>
        </w:rPr>
        <w:t xml:space="preserve"> clinicians on data visualisation, alert handling</w:t>
      </w:r>
      <w:r w:rsidR="00B81715">
        <w:rPr>
          <w:rFonts w:cstheme="minorBidi"/>
        </w:rPr>
        <w:t>,</w:t>
      </w:r>
      <w:r w:rsidRPr="00D80693">
        <w:rPr>
          <w:rFonts w:cstheme="minorBidi"/>
        </w:rPr>
        <w:t xml:space="preserve"> and digital documentation, instead of </w:t>
      </w:r>
      <w:r w:rsidR="00E93DFE" w:rsidRPr="00D80693">
        <w:rPr>
          <w:rFonts w:cstheme="minorBidi"/>
        </w:rPr>
        <w:t>direct</w:t>
      </w:r>
      <w:r w:rsidRPr="00D80693">
        <w:rPr>
          <w:rFonts w:cstheme="minorBidi"/>
        </w:rPr>
        <w:t xml:space="preserve"> patient care.</w:t>
      </w:r>
      <w:r w:rsidR="00296056" w:rsidRPr="00D80693">
        <w:rPr>
          <w:rFonts w:cstheme="minorBidi"/>
        </w:rPr>
        <w:t xml:space="preserve"> </w:t>
      </w:r>
      <w:r w:rsidR="00E86E6C" w:rsidRPr="00D80693">
        <w:rPr>
          <w:rFonts w:cstheme="minorBidi"/>
          <w:szCs w:val="22"/>
        </w:rPr>
        <w:t>Healthcare professionals should review streams of patient-generated data, respond to automated alerts</w:t>
      </w:r>
      <w:r w:rsidR="00B81715">
        <w:rPr>
          <w:rFonts w:cstheme="minorBidi"/>
          <w:szCs w:val="22"/>
        </w:rPr>
        <w:t>,</w:t>
      </w:r>
      <w:r w:rsidR="00E86E6C" w:rsidRPr="00D80693">
        <w:rPr>
          <w:rFonts w:cstheme="minorBidi"/>
          <w:szCs w:val="22"/>
        </w:rPr>
        <w:t xml:space="preserve"> and document interventions, increasing administrative demands</w:t>
      </w:r>
      <w:r w:rsidR="00EB534A" w:rsidRPr="00D80693">
        <w:rPr>
          <w:rFonts w:cstheme="minorBidi"/>
        </w:rPr>
        <w:t xml:space="preserve">. </w:t>
      </w:r>
      <w:r w:rsidRPr="00D80693">
        <w:rPr>
          <w:rFonts w:cstheme="minorBidi"/>
        </w:rPr>
        <w:t xml:space="preserve">Brown (2026) noted shortage of workforce as one of the challenges for scaling virtual ward </w:t>
      </w:r>
      <w:r w:rsidRPr="00D80693">
        <w:rPr>
          <w:rFonts w:cstheme="minorBidi"/>
        </w:rPr>
        <w:lastRenderedPageBreak/>
        <w:t>services</w:t>
      </w:r>
      <w:r w:rsidR="00E86E6C" w:rsidRPr="00D80693">
        <w:rPr>
          <w:rFonts w:cstheme="minorBidi"/>
        </w:rPr>
        <w:t xml:space="preserve"> in NHS</w:t>
      </w:r>
      <w:r w:rsidRPr="00D80693">
        <w:rPr>
          <w:rFonts w:cstheme="minorBidi"/>
        </w:rPr>
        <w:t>. This indicates that new digital duties can be a source of increased pressure on staffing issues, rather than being a solution</w:t>
      </w:r>
      <w:r w:rsidR="00463A65">
        <w:rPr>
          <w:rFonts w:cstheme="minorBidi"/>
        </w:rPr>
        <w:t xml:space="preserve"> as </w:t>
      </w:r>
      <w:r w:rsidR="00092126" w:rsidRPr="00D80693">
        <w:rPr>
          <w:rFonts w:eastAsia="Times New Roman" w:cstheme="minorBidi"/>
          <w:kern w:val="0"/>
          <w:szCs w:val="22"/>
          <w:lang w:eastAsia="en-GB"/>
        </w:rPr>
        <w:t>clinicians manage additional tasks like data monitoring and alert response alongside existing clinical duties without increased staffing</w:t>
      </w:r>
      <w:r w:rsidRPr="00D80693">
        <w:rPr>
          <w:rFonts w:cstheme="minorBidi"/>
        </w:rPr>
        <w:t>. Besides, remote monitoring reduces risk of direct patient contact, which lower the relational aspects of care (</w:t>
      </w:r>
      <w:proofErr w:type="spellStart"/>
      <w:r w:rsidRPr="00D80693">
        <w:rPr>
          <w:rFonts w:cstheme="minorBidi"/>
        </w:rPr>
        <w:t>Granath</w:t>
      </w:r>
      <w:proofErr w:type="spellEnd"/>
      <w:r w:rsidRPr="00D80693">
        <w:rPr>
          <w:rFonts w:cstheme="minorBidi"/>
        </w:rPr>
        <w:t xml:space="preserve"> et al., 2025, p.12). So, although wearable devices open door</w:t>
      </w:r>
      <w:r w:rsidR="00F9346E">
        <w:rPr>
          <w:rFonts w:cstheme="minorBidi"/>
        </w:rPr>
        <w:t>s</w:t>
      </w:r>
      <w:r w:rsidRPr="00D80693">
        <w:rPr>
          <w:rFonts w:cstheme="minorBidi"/>
        </w:rPr>
        <w:t xml:space="preserve"> to career opportunities, they present workload challenges.</w:t>
      </w:r>
    </w:p>
    <w:p w14:paraId="2C29A27E" w14:textId="41C8AA33" w:rsidR="004E1965" w:rsidRDefault="001038EB" w:rsidP="00A20DF7">
      <w:pPr>
        <w:spacing w:line="360" w:lineRule="auto"/>
        <w:jc w:val="both"/>
        <w:rPr>
          <w:rFonts w:cstheme="minorBidi"/>
          <w:szCs w:val="22"/>
        </w:rPr>
      </w:pPr>
      <w:proofErr w:type="spellStart"/>
      <w:proofErr w:type="gramStart"/>
      <w:r>
        <w:rPr>
          <w:rFonts w:cstheme="minorBidi"/>
          <w:szCs w:val="22"/>
        </w:rPr>
        <w:t>Additionally,wearable</w:t>
      </w:r>
      <w:proofErr w:type="spellEnd"/>
      <w:proofErr w:type="gramEnd"/>
      <w:r>
        <w:rPr>
          <w:rFonts w:cstheme="minorBidi"/>
          <w:szCs w:val="22"/>
        </w:rPr>
        <w:t xml:space="preserve"> technology expanded the range of skills required of medical </w:t>
      </w:r>
      <w:r w:rsidR="00D80693" w:rsidRPr="00326745">
        <w:rPr>
          <w:rFonts w:cstheme="minorBidi"/>
          <w:szCs w:val="22"/>
        </w:rPr>
        <w:t xml:space="preserve">professionals in </w:t>
      </w:r>
      <w:r>
        <w:rPr>
          <w:rFonts w:cstheme="minorBidi"/>
          <w:szCs w:val="22"/>
        </w:rPr>
        <w:t xml:space="preserve">the </w:t>
      </w:r>
      <w:r w:rsidR="00D80693" w:rsidRPr="00326745">
        <w:rPr>
          <w:rFonts w:cstheme="minorBidi"/>
          <w:szCs w:val="22"/>
        </w:rPr>
        <w:t>London's healthcare system</w:t>
      </w:r>
      <w:r>
        <w:rPr>
          <w:rFonts w:cstheme="minorBidi"/>
          <w:szCs w:val="22"/>
        </w:rPr>
        <w:t>.</w:t>
      </w:r>
      <w:r w:rsidR="00D80693" w:rsidRPr="00D80693">
        <w:rPr>
          <w:rFonts w:cstheme="minorBidi"/>
          <w:szCs w:val="22"/>
        </w:rPr>
        <w:t xml:space="preserve"> </w:t>
      </w:r>
      <w:proofErr w:type="spellStart"/>
      <w:r w:rsidR="00D80693" w:rsidRPr="00B9661E">
        <w:t>Isidori</w:t>
      </w:r>
      <w:proofErr w:type="spellEnd"/>
      <w:r w:rsidR="00D80693">
        <w:t xml:space="preserve"> et al. </w:t>
      </w:r>
      <w:r w:rsidR="00D80693">
        <w:rPr>
          <w:rFonts w:cstheme="minorBidi"/>
          <w:szCs w:val="22"/>
        </w:rPr>
        <w:t>(2022, p. 2) stated that b</w:t>
      </w:r>
      <w:r w:rsidR="00D80693" w:rsidRPr="00326745">
        <w:rPr>
          <w:rFonts w:cstheme="minorBidi"/>
          <w:szCs w:val="22"/>
        </w:rPr>
        <w:t xml:space="preserve">eyond traditional clinical skills, nurses and clinicians </w:t>
      </w:r>
      <w:r w:rsidR="00F64E7F">
        <w:rPr>
          <w:rFonts w:cstheme="minorBidi"/>
          <w:szCs w:val="22"/>
        </w:rPr>
        <w:t>must have</w:t>
      </w:r>
      <w:r w:rsidR="00D80693" w:rsidRPr="00326745">
        <w:rPr>
          <w:rFonts w:cstheme="minorBidi"/>
          <w:szCs w:val="22"/>
        </w:rPr>
        <w:t xml:space="preserve"> digital literacy, data interpretation capabilities</w:t>
      </w:r>
      <w:r w:rsidR="00B81715">
        <w:rPr>
          <w:rFonts w:cstheme="minorBidi"/>
          <w:szCs w:val="22"/>
        </w:rPr>
        <w:t>,</w:t>
      </w:r>
      <w:r w:rsidR="00D80693" w:rsidRPr="00326745">
        <w:rPr>
          <w:rFonts w:cstheme="minorBidi"/>
          <w:szCs w:val="22"/>
        </w:rPr>
        <w:t xml:space="preserve"> and an understanding of remote monitoring technologies.</w:t>
      </w:r>
      <w:r w:rsidR="00D80693">
        <w:rPr>
          <w:rFonts w:cstheme="minorBidi"/>
          <w:szCs w:val="22"/>
        </w:rPr>
        <w:t xml:space="preserve"> </w:t>
      </w:r>
      <w:r w:rsidR="00D80693" w:rsidRPr="00D80693">
        <w:rPr>
          <w:rFonts w:cstheme="minorBidi"/>
          <w:szCs w:val="22"/>
        </w:rPr>
        <w:t xml:space="preserve">NHS guidance emphasises that staff working in virtual wards need to interpret data from wearables, </w:t>
      </w:r>
      <w:r w:rsidR="00E74FB5" w:rsidRPr="00326745">
        <w:rPr>
          <w:rFonts w:cstheme="minorBidi"/>
          <w:szCs w:val="22"/>
        </w:rPr>
        <w:t>assess alerts, document clinical actions</w:t>
      </w:r>
      <w:r w:rsidR="00B81715">
        <w:rPr>
          <w:rFonts w:cstheme="minorBidi"/>
          <w:szCs w:val="22"/>
        </w:rPr>
        <w:t>,</w:t>
      </w:r>
      <w:r w:rsidR="00E74FB5" w:rsidRPr="00326745">
        <w:rPr>
          <w:rFonts w:cstheme="minorBidi"/>
          <w:szCs w:val="22"/>
        </w:rPr>
        <w:t xml:space="preserve"> and utilise digital platforms to support decision-making</w:t>
      </w:r>
      <w:r w:rsidR="00E74FB5">
        <w:rPr>
          <w:rFonts w:cstheme="minorBidi"/>
          <w:szCs w:val="22"/>
        </w:rPr>
        <w:t xml:space="preserve"> (</w:t>
      </w:r>
      <w:r w:rsidR="00E74FB5" w:rsidRPr="008B0A5E">
        <w:rPr>
          <w:rFonts w:cstheme="minorBidi"/>
          <w:szCs w:val="22"/>
        </w:rPr>
        <w:t>NHS</w:t>
      </w:r>
      <w:r w:rsidR="00E74FB5">
        <w:rPr>
          <w:rFonts w:cstheme="minorBidi"/>
          <w:szCs w:val="22"/>
        </w:rPr>
        <w:t>, 2026)</w:t>
      </w:r>
      <w:r w:rsidR="00E74FB5" w:rsidRPr="00326745">
        <w:rPr>
          <w:rFonts w:cstheme="minorBidi"/>
          <w:szCs w:val="22"/>
        </w:rPr>
        <w:t xml:space="preserve">. </w:t>
      </w:r>
      <w:r w:rsidR="00D80693" w:rsidRPr="00D80693">
        <w:rPr>
          <w:rFonts w:cstheme="minorBidi"/>
          <w:szCs w:val="22"/>
        </w:rPr>
        <w:t xml:space="preserve">These skills can help improve care by identifying the signs of deterioration earlier and allowing for tailored interventions. </w:t>
      </w:r>
    </w:p>
    <w:p w14:paraId="6EEDA128" w14:textId="4E27ECB8" w:rsidR="00A654F5" w:rsidRPr="00297F1D" w:rsidRDefault="00297F1D" w:rsidP="00A20DF7">
      <w:pPr>
        <w:spacing w:line="360" w:lineRule="auto"/>
        <w:jc w:val="both"/>
        <w:rPr>
          <w:rFonts w:cstheme="minorBidi"/>
          <w:szCs w:val="22"/>
        </w:rPr>
      </w:pPr>
      <w:r w:rsidRPr="00C16AA4">
        <w:rPr>
          <w:rFonts w:eastAsia="Times New Roman" w:cstheme="minorBidi"/>
          <w:kern w:val="0"/>
          <w:szCs w:val="22"/>
          <w:lang w:eastAsia="en-GB"/>
        </w:rPr>
        <w:t>Higher</w:t>
      </w:r>
      <w:r w:rsidR="008F5443">
        <w:rPr>
          <w:rFonts w:eastAsia="Times New Roman" w:cstheme="minorBidi"/>
          <w:kern w:val="0"/>
          <w:szCs w:val="22"/>
          <w:lang w:eastAsia="en-GB"/>
        </w:rPr>
        <w:t xml:space="preserve"> skill requirements </w:t>
      </w:r>
      <w:r w:rsidRPr="00C16AA4">
        <w:rPr>
          <w:rFonts w:eastAsia="Times New Roman" w:cstheme="minorBidi"/>
          <w:kern w:val="0"/>
          <w:szCs w:val="22"/>
          <w:lang w:eastAsia="en-GB"/>
        </w:rPr>
        <w:t xml:space="preserve">in healthcare can create challenges, as professionals trained in traditional models </w:t>
      </w:r>
      <w:r w:rsidR="00C16AA4">
        <w:rPr>
          <w:rFonts w:eastAsia="Times New Roman" w:cstheme="minorBidi"/>
          <w:kern w:val="0"/>
          <w:szCs w:val="22"/>
          <w:lang w:eastAsia="en-GB"/>
        </w:rPr>
        <w:t>can</w:t>
      </w:r>
      <w:r w:rsidRPr="00C16AA4">
        <w:rPr>
          <w:rFonts w:eastAsia="Times New Roman" w:cstheme="minorBidi"/>
          <w:kern w:val="0"/>
          <w:szCs w:val="22"/>
          <w:lang w:eastAsia="en-GB"/>
        </w:rPr>
        <w:t xml:space="preserve"> struggle with advanced digital technologies (</w:t>
      </w:r>
      <w:proofErr w:type="spellStart"/>
      <w:r w:rsidRPr="00C16AA4">
        <w:rPr>
          <w:rFonts w:eastAsia="Times New Roman" w:cstheme="minorBidi"/>
          <w:kern w:val="0"/>
          <w:szCs w:val="22"/>
          <w:lang w:eastAsia="en-GB"/>
        </w:rPr>
        <w:t>Konttila</w:t>
      </w:r>
      <w:proofErr w:type="spellEnd"/>
      <w:r w:rsidRPr="00C16AA4">
        <w:rPr>
          <w:rFonts w:eastAsia="Times New Roman" w:cstheme="minorBidi"/>
          <w:kern w:val="0"/>
          <w:szCs w:val="22"/>
          <w:lang w:eastAsia="en-GB"/>
        </w:rPr>
        <w:t xml:space="preserve"> et al., 2019, p.11). Continuous professional development and training are essential, requiring organi</w:t>
      </w:r>
      <w:r w:rsidR="000611CA">
        <w:rPr>
          <w:rFonts w:eastAsia="Times New Roman" w:cstheme="minorBidi"/>
          <w:kern w:val="0"/>
          <w:szCs w:val="22"/>
          <w:lang w:eastAsia="en-GB"/>
        </w:rPr>
        <w:t>s</w:t>
      </w:r>
      <w:r w:rsidRPr="00C16AA4">
        <w:rPr>
          <w:rFonts w:eastAsia="Times New Roman" w:cstheme="minorBidi"/>
          <w:kern w:val="0"/>
          <w:szCs w:val="22"/>
          <w:lang w:eastAsia="en-GB"/>
        </w:rPr>
        <w:t xml:space="preserve">ational investment. Additionally, </w:t>
      </w:r>
      <w:r w:rsidR="00DB2D81">
        <w:rPr>
          <w:rFonts w:eastAsia="Times New Roman" w:cstheme="minorBidi"/>
          <w:kern w:val="0"/>
          <w:szCs w:val="22"/>
          <w:lang w:eastAsia="en-GB"/>
        </w:rPr>
        <w:t>too much focus</w:t>
      </w:r>
      <w:r w:rsidRPr="00C16AA4">
        <w:rPr>
          <w:rFonts w:eastAsia="Times New Roman" w:cstheme="minorBidi"/>
          <w:kern w:val="0"/>
          <w:szCs w:val="22"/>
          <w:lang w:eastAsia="en-GB"/>
        </w:rPr>
        <w:t xml:space="preserve"> on technology skills risks neglecting important attributes like communication and empathy</w:t>
      </w:r>
      <w:r w:rsidR="000C439C">
        <w:rPr>
          <w:rFonts w:eastAsia="Times New Roman" w:cstheme="minorBidi"/>
          <w:kern w:val="0"/>
          <w:szCs w:val="22"/>
          <w:lang w:eastAsia="en-GB"/>
        </w:rPr>
        <w:t>.</w:t>
      </w:r>
      <w:r w:rsidRPr="00C16AA4">
        <w:rPr>
          <w:rFonts w:eastAsia="Times New Roman" w:cstheme="minorBidi"/>
          <w:kern w:val="0"/>
          <w:szCs w:val="22"/>
          <w:lang w:eastAsia="en-GB"/>
        </w:rPr>
        <w:t xml:space="preserve"> Also</w:t>
      </w:r>
      <w:r w:rsidR="00A654F5" w:rsidRPr="00C16AA4">
        <w:rPr>
          <w:rFonts w:eastAsia="Times New Roman" w:cstheme="minorBidi"/>
          <w:kern w:val="0"/>
          <w:szCs w:val="22"/>
          <w:lang w:eastAsia="en-GB"/>
        </w:rPr>
        <w:t xml:space="preserve">, </w:t>
      </w:r>
      <w:r w:rsidR="00EF5964" w:rsidRPr="00C16AA4">
        <w:rPr>
          <w:rFonts w:eastAsia="Times New Roman" w:cstheme="minorBidi"/>
          <w:kern w:val="0"/>
          <w:szCs w:val="22"/>
          <w:lang w:eastAsia="en-GB"/>
        </w:rPr>
        <w:t>insufficient</w:t>
      </w:r>
      <w:r w:rsidR="00A654F5" w:rsidRPr="00C16AA4">
        <w:rPr>
          <w:rFonts w:eastAsia="Times New Roman" w:cstheme="minorBidi"/>
          <w:kern w:val="0"/>
          <w:szCs w:val="22"/>
          <w:lang w:eastAsia="en-GB"/>
        </w:rPr>
        <w:t xml:space="preserve"> skills and </w:t>
      </w:r>
      <w:r w:rsidR="00B81715">
        <w:rPr>
          <w:rFonts w:eastAsia="Times New Roman" w:cstheme="minorBidi"/>
          <w:kern w:val="0"/>
          <w:szCs w:val="22"/>
          <w:lang w:eastAsia="en-GB"/>
        </w:rPr>
        <w:t xml:space="preserve">a </w:t>
      </w:r>
      <w:r w:rsidR="00A654F5" w:rsidRPr="00C16AA4">
        <w:rPr>
          <w:rFonts w:eastAsia="Times New Roman" w:cstheme="minorBidi"/>
          <w:kern w:val="0"/>
          <w:szCs w:val="22"/>
          <w:lang w:eastAsia="en-GB"/>
        </w:rPr>
        <w:t>lack of digital literacy pose challenges to implementation</w:t>
      </w:r>
      <w:r w:rsidR="00A654F5" w:rsidRPr="00A654F5">
        <w:rPr>
          <w:rFonts w:eastAsia="Times New Roman" w:cstheme="minorBidi"/>
          <w:kern w:val="0"/>
          <w:szCs w:val="22"/>
          <w:lang w:eastAsia="en-GB"/>
        </w:rPr>
        <w:t xml:space="preserve"> in NHS workforce (UK Parliament, 2022). The effect of wearable devices on the workforce can be described by Technology Acceptance Model</w:t>
      </w:r>
      <w:r w:rsidR="00134C9F">
        <w:rPr>
          <w:rFonts w:eastAsia="Times New Roman" w:cstheme="minorBidi"/>
          <w:kern w:val="0"/>
          <w:szCs w:val="22"/>
          <w:lang w:eastAsia="en-GB"/>
        </w:rPr>
        <w:t xml:space="preserve"> (TAM). The model </w:t>
      </w:r>
      <w:r w:rsidR="00EF5964">
        <w:rPr>
          <w:rFonts w:eastAsia="Times New Roman" w:cstheme="minorBidi"/>
          <w:kern w:val="0"/>
          <w:szCs w:val="22"/>
          <w:lang w:eastAsia="en-GB"/>
        </w:rPr>
        <w:t>indicated</w:t>
      </w:r>
      <w:r w:rsidR="00A654F5" w:rsidRPr="00A654F5">
        <w:rPr>
          <w:rFonts w:eastAsia="Times New Roman" w:cstheme="minorBidi"/>
          <w:kern w:val="0"/>
          <w:szCs w:val="22"/>
          <w:lang w:eastAsia="en-GB"/>
        </w:rPr>
        <w:t xml:space="preserve"> that adoption of technology is dependent on perceived usefulness and ease of use (</w:t>
      </w:r>
      <w:proofErr w:type="spellStart"/>
      <w:r w:rsidR="00A654F5" w:rsidRPr="00A654F5">
        <w:rPr>
          <w:rFonts w:eastAsia="Times New Roman" w:cstheme="minorBidi"/>
          <w:kern w:val="0"/>
          <w:szCs w:val="22"/>
          <w:lang w:eastAsia="en-GB"/>
        </w:rPr>
        <w:t>Taherdoost</w:t>
      </w:r>
      <w:proofErr w:type="spellEnd"/>
      <w:r w:rsidR="00A654F5" w:rsidRPr="00A654F5">
        <w:rPr>
          <w:rFonts w:eastAsia="Times New Roman" w:cstheme="minorBidi"/>
          <w:kern w:val="0"/>
          <w:szCs w:val="22"/>
          <w:lang w:eastAsia="en-GB"/>
        </w:rPr>
        <w:t xml:space="preserve">, 2018, p.962). Wearables enable efficient monitoring and data-driven decisions, making them suitable for healthcare professionals in the City of London. However, TAM focuses on individual acceptance and does not explain organisational barriers like staff shortages and training demands. </w:t>
      </w:r>
      <w:r w:rsidR="00D75A4E" w:rsidRPr="00A654F5">
        <w:rPr>
          <w:rFonts w:eastAsia="Times New Roman" w:cstheme="minorBidi"/>
          <w:kern w:val="0"/>
          <w:szCs w:val="22"/>
          <w:lang w:eastAsia="en-GB"/>
        </w:rPr>
        <w:t>So,</w:t>
      </w:r>
      <w:r w:rsidR="00A654F5" w:rsidRPr="00A654F5">
        <w:rPr>
          <w:rFonts w:eastAsia="Times New Roman" w:cstheme="minorBidi"/>
          <w:kern w:val="0"/>
          <w:szCs w:val="22"/>
          <w:lang w:eastAsia="en-GB"/>
        </w:rPr>
        <w:t xml:space="preserve"> workforce transformation is based on technology acceptance and organisational readiness.</w:t>
      </w:r>
    </w:p>
    <w:p w14:paraId="61241919" w14:textId="1104E58D" w:rsidR="00C80D0F" w:rsidRPr="008375B5" w:rsidRDefault="00C80D0F" w:rsidP="0055760D">
      <w:pPr>
        <w:pStyle w:val="Heading1"/>
        <w:numPr>
          <w:ilvl w:val="0"/>
          <w:numId w:val="9"/>
        </w:numPr>
      </w:pPr>
      <w:bookmarkStart w:id="2" w:name="_Toc234666967"/>
      <w:r w:rsidRPr="008375B5">
        <w:t xml:space="preserve">Impact on </w:t>
      </w:r>
      <w:r w:rsidR="00674473">
        <w:t>S</w:t>
      </w:r>
      <w:r w:rsidRPr="008375B5">
        <w:t xml:space="preserve">ervice </w:t>
      </w:r>
      <w:r w:rsidR="00674473">
        <w:t>D</w:t>
      </w:r>
      <w:r w:rsidRPr="008375B5">
        <w:t>elivery</w:t>
      </w:r>
      <w:bookmarkEnd w:id="2"/>
    </w:p>
    <w:p w14:paraId="165F5515" w14:textId="4106C809" w:rsidR="00066B35" w:rsidRDefault="001825F5" w:rsidP="00A20DF7">
      <w:pPr>
        <w:spacing w:line="360" w:lineRule="auto"/>
        <w:jc w:val="both"/>
        <w:rPr>
          <w:rFonts w:ascii="Arial" w:hAnsi="Arial" w:cs="Arial"/>
          <w:szCs w:val="22"/>
        </w:rPr>
      </w:pPr>
      <w:r w:rsidRPr="00066B35">
        <w:rPr>
          <w:rFonts w:ascii="Arial" w:hAnsi="Arial" w:cs="Arial"/>
          <w:szCs w:val="22"/>
        </w:rPr>
        <w:t xml:space="preserve">Wearable technology has revolutionised the delivery of day-to-day service in UK health and social care, especially in more digital environments, like the City of London. Positive shift is the transition away from hospital care to community and home-based services. Ferdous and Rahman (2025, p.38) suggested that wearable technologies enable remote patient monitoring </w:t>
      </w:r>
      <w:r w:rsidRPr="00066B35">
        <w:rPr>
          <w:rFonts w:ascii="Arial" w:hAnsi="Arial" w:cs="Arial"/>
          <w:szCs w:val="22"/>
        </w:rPr>
        <w:lastRenderedPageBreak/>
        <w:t>(RPM), where patients’ vital signs like heart rate, blood pressure, and oxygen levels are tracked and transmitted to healthcare professionals. This allows clinicians to monitor patients without requiring in-person visits, reducing travel, missed appointments, and hospital congestion.  In practice</w:t>
      </w:r>
      <w:r w:rsidR="00B81715">
        <w:rPr>
          <w:rFonts w:ascii="Arial" w:hAnsi="Arial" w:cs="Arial"/>
          <w:szCs w:val="22"/>
        </w:rPr>
        <w:t>,</w:t>
      </w:r>
      <w:r w:rsidRPr="00066B35">
        <w:rPr>
          <w:rFonts w:ascii="Arial" w:hAnsi="Arial" w:cs="Arial"/>
          <w:szCs w:val="22"/>
        </w:rPr>
        <w:t xml:space="preserve"> this developed into care models like virtual wards, providing hospital</w:t>
      </w:r>
      <w:r w:rsidR="00B81715">
        <w:rPr>
          <w:rFonts w:ascii="Arial" w:hAnsi="Arial" w:cs="Arial"/>
          <w:szCs w:val="22"/>
        </w:rPr>
        <w:t>-</w:t>
      </w:r>
      <w:r w:rsidRPr="00066B35">
        <w:rPr>
          <w:rFonts w:ascii="Arial" w:hAnsi="Arial" w:cs="Arial"/>
          <w:szCs w:val="22"/>
        </w:rPr>
        <w:t xml:space="preserve">level care at home. </w:t>
      </w:r>
      <w:r w:rsidR="0095127F" w:rsidRPr="00066B35">
        <w:t xml:space="preserve">In London, there are </w:t>
      </w:r>
      <w:r w:rsidR="0095127F" w:rsidRPr="00066B35">
        <w:rPr>
          <w:rStyle w:val="Strong"/>
          <w:b w:val="0"/>
          <w:bCs w:val="0"/>
        </w:rPr>
        <w:t>1,800 virtual ward beds</w:t>
      </w:r>
      <w:r w:rsidR="0095127F" w:rsidRPr="00066B35">
        <w:rPr>
          <w:b/>
          <w:bCs/>
        </w:rPr>
        <w:t xml:space="preserve">, </w:t>
      </w:r>
      <w:r w:rsidR="0095127F" w:rsidRPr="00066B35">
        <w:t>with</w:t>
      </w:r>
      <w:r w:rsidR="0095127F" w:rsidRPr="00066B35">
        <w:rPr>
          <w:b/>
          <w:bCs/>
        </w:rPr>
        <w:t xml:space="preserve"> </w:t>
      </w:r>
      <w:r w:rsidR="0095127F" w:rsidRPr="00066B35">
        <w:rPr>
          <w:rStyle w:val="Strong"/>
          <w:b w:val="0"/>
          <w:bCs w:val="0"/>
        </w:rPr>
        <w:t>1,000 patients being treated at home at a time</w:t>
      </w:r>
      <w:r w:rsidR="0095127F" w:rsidRPr="00066B35">
        <w:t xml:space="preserve">, demonstrating growing adoption of digitally enabled services within the region (NHS, 2023). </w:t>
      </w:r>
      <w:r w:rsidRPr="00066B35">
        <w:rPr>
          <w:rFonts w:ascii="Arial" w:hAnsi="Arial" w:cs="Arial"/>
          <w:szCs w:val="22"/>
        </w:rPr>
        <w:t>This highlights the use of a wearable</w:t>
      </w:r>
      <w:r w:rsidR="00B81715">
        <w:rPr>
          <w:rFonts w:ascii="Arial" w:hAnsi="Arial" w:cs="Arial"/>
          <w:szCs w:val="22"/>
        </w:rPr>
        <w:t>-</w:t>
      </w:r>
      <w:r w:rsidRPr="00066B35">
        <w:rPr>
          <w:rFonts w:ascii="Arial" w:hAnsi="Arial" w:cs="Arial"/>
          <w:szCs w:val="22"/>
        </w:rPr>
        <w:t xml:space="preserve">assisted remote monitoring programme </w:t>
      </w:r>
      <w:r w:rsidR="0095127F" w:rsidRPr="00066B35">
        <w:rPr>
          <w:rFonts w:ascii="Arial" w:hAnsi="Arial" w:cs="Arial"/>
          <w:szCs w:val="22"/>
        </w:rPr>
        <w:t>locally</w:t>
      </w:r>
      <w:r w:rsidRPr="00066B35">
        <w:rPr>
          <w:rFonts w:ascii="Arial" w:hAnsi="Arial" w:cs="Arial"/>
          <w:szCs w:val="22"/>
        </w:rPr>
        <w:t xml:space="preserve"> to </w:t>
      </w:r>
      <w:r w:rsidR="0095127F" w:rsidRPr="00066B35">
        <w:t xml:space="preserve">reduce hospital admissions and support early discharge in high-demand areas like </w:t>
      </w:r>
      <w:r w:rsidR="00B81715">
        <w:t xml:space="preserve">the </w:t>
      </w:r>
      <w:r w:rsidR="0095127F" w:rsidRPr="00066B35">
        <w:t>City of London</w:t>
      </w:r>
      <w:r w:rsidRPr="00066B35">
        <w:rPr>
          <w:rFonts w:ascii="Arial" w:hAnsi="Arial" w:cs="Arial"/>
          <w:szCs w:val="22"/>
        </w:rPr>
        <w:t xml:space="preserve">. Furthermore, wearables-based systems can warn </w:t>
      </w:r>
      <w:r w:rsidR="00B81715">
        <w:rPr>
          <w:rFonts w:ascii="Arial" w:hAnsi="Arial" w:cs="Arial"/>
          <w:szCs w:val="22"/>
        </w:rPr>
        <w:t>of</w:t>
      </w:r>
      <w:r w:rsidRPr="00066B35">
        <w:rPr>
          <w:rFonts w:ascii="Arial" w:hAnsi="Arial" w:cs="Arial"/>
          <w:szCs w:val="22"/>
        </w:rPr>
        <w:t xml:space="preserve"> abnormal readings, which would allow early intervention and reduce complications</w:t>
      </w:r>
      <w:r w:rsidR="00DB1BAE" w:rsidRPr="00066B35">
        <w:rPr>
          <w:rFonts w:ascii="Arial" w:hAnsi="Arial" w:cs="Arial"/>
          <w:szCs w:val="22"/>
        </w:rPr>
        <w:t xml:space="preserve"> risk</w:t>
      </w:r>
      <w:r w:rsidR="001506C8" w:rsidRPr="00066B35">
        <w:rPr>
          <w:rFonts w:ascii="Arial" w:hAnsi="Arial" w:cs="Arial"/>
          <w:szCs w:val="22"/>
        </w:rPr>
        <w:t>s</w:t>
      </w:r>
      <w:r w:rsidRPr="00066B35">
        <w:rPr>
          <w:rFonts w:ascii="Arial" w:hAnsi="Arial" w:cs="Arial"/>
          <w:szCs w:val="22"/>
        </w:rPr>
        <w:t xml:space="preserve"> (Saeed et al., 2025, p. 228). These systems can avoid unnecessary emergency admissions and save significant clinical time, improving service productivity</w:t>
      </w:r>
      <w:r w:rsidR="005F3508">
        <w:rPr>
          <w:rFonts w:ascii="Arial" w:hAnsi="Arial" w:cs="Arial"/>
          <w:szCs w:val="22"/>
        </w:rPr>
        <w:t>.</w:t>
      </w:r>
    </w:p>
    <w:p w14:paraId="2BB9C068" w14:textId="031468D8" w:rsidR="00066B35" w:rsidRPr="00D353A2" w:rsidRDefault="00D353A2" w:rsidP="00A20DF7">
      <w:pPr>
        <w:spacing w:line="360" w:lineRule="auto"/>
        <w:jc w:val="both"/>
        <w:rPr>
          <w:rFonts w:ascii="Arial" w:hAnsi="Arial" w:cs="Arial"/>
          <w:szCs w:val="22"/>
        </w:rPr>
      </w:pPr>
      <w:r w:rsidRPr="00D353A2">
        <w:rPr>
          <w:rFonts w:ascii="Arial" w:hAnsi="Arial" w:cs="Arial"/>
          <w:szCs w:val="22"/>
        </w:rPr>
        <w:t>However,</w:t>
      </w:r>
      <w:r w:rsidR="000B14B3">
        <w:rPr>
          <w:rFonts w:ascii="Arial" w:hAnsi="Arial" w:cs="Arial"/>
          <w:szCs w:val="22"/>
        </w:rPr>
        <w:t xml:space="preserve"> </w:t>
      </w:r>
      <w:r w:rsidRPr="00D353A2">
        <w:rPr>
          <w:rFonts w:ascii="Arial" w:hAnsi="Arial" w:cs="Arial"/>
          <w:szCs w:val="22"/>
        </w:rPr>
        <w:t>transformations introduce challenges</w:t>
      </w:r>
      <w:r w:rsidR="003576FF">
        <w:rPr>
          <w:rFonts w:ascii="Arial" w:hAnsi="Arial" w:cs="Arial"/>
          <w:szCs w:val="22"/>
        </w:rPr>
        <w:t xml:space="preserve"> like limited</w:t>
      </w:r>
      <w:r w:rsidRPr="00D353A2">
        <w:rPr>
          <w:rFonts w:ascii="Arial" w:hAnsi="Arial" w:cs="Arial"/>
          <w:szCs w:val="22"/>
        </w:rPr>
        <w:t xml:space="preserve"> reliability and integration of wearable data into existing NHS systems. </w:t>
      </w:r>
      <w:r w:rsidR="00066B35" w:rsidRPr="00066B35">
        <w:rPr>
          <w:rFonts w:ascii="Arial" w:hAnsi="Arial" w:cs="Arial"/>
          <w:szCs w:val="22"/>
        </w:rPr>
        <w:t xml:space="preserve">Dinh et al. (2019, p.3) reveal that, though data can be gathered in </w:t>
      </w:r>
      <w:r w:rsidR="00B81715">
        <w:rPr>
          <w:rFonts w:ascii="Arial" w:hAnsi="Arial" w:cs="Arial"/>
          <w:szCs w:val="22"/>
        </w:rPr>
        <w:t xml:space="preserve">an </w:t>
      </w:r>
      <w:r w:rsidR="00066B35" w:rsidRPr="00066B35">
        <w:rPr>
          <w:rFonts w:ascii="Arial" w:hAnsi="Arial" w:cs="Arial"/>
          <w:szCs w:val="22"/>
        </w:rPr>
        <w:t>electronic patient record, interoperability issues in the devices and platforms can result in discrepanc</w:t>
      </w:r>
      <w:r w:rsidR="00B81715">
        <w:rPr>
          <w:rFonts w:ascii="Arial" w:hAnsi="Arial" w:cs="Arial"/>
          <w:szCs w:val="22"/>
        </w:rPr>
        <w:t>ies</w:t>
      </w:r>
      <w:r w:rsidR="0080787D">
        <w:rPr>
          <w:rFonts w:ascii="Arial" w:hAnsi="Arial" w:cs="Arial"/>
          <w:szCs w:val="22"/>
        </w:rPr>
        <w:t xml:space="preserve">. </w:t>
      </w:r>
      <w:r w:rsidR="00066B35">
        <w:rPr>
          <w:rFonts w:ascii="Arial" w:hAnsi="Arial" w:cs="Arial"/>
          <w:szCs w:val="22"/>
        </w:rPr>
        <w:t>Also</w:t>
      </w:r>
      <w:r w:rsidR="00066B35" w:rsidRPr="00066B35">
        <w:rPr>
          <w:rFonts w:ascii="Arial" w:hAnsi="Arial" w:cs="Arial"/>
          <w:szCs w:val="22"/>
        </w:rPr>
        <w:t xml:space="preserve">, remote care can reduce face-to-face contact, which affects the quality of relationships between patients and clinicians and holistic assessment. The other problem is the over-monitoring that causes </w:t>
      </w:r>
      <w:r w:rsidR="00B81715">
        <w:rPr>
          <w:rFonts w:ascii="Arial" w:hAnsi="Arial" w:cs="Arial"/>
          <w:szCs w:val="22"/>
        </w:rPr>
        <w:t xml:space="preserve">a </w:t>
      </w:r>
      <w:r w:rsidR="00066B35" w:rsidRPr="00066B35">
        <w:rPr>
          <w:rFonts w:ascii="Arial" w:hAnsi="Arial" w:cs="Arial"/>
          <w:szCs w:val="22"/>
        </w:rPr>
        <w:t>rise in service demand. The continuous influx of information can lead to false alarms and unwarranted follow-ups, which add to the workload rather than decrease it (</w:t>
      </w:r>
      <w:proofErr w:type="spellStart"/>
      <w:r w:rsidR="00066B35" w:rsidRPr="00066B35">
        <w:rPr>
          <w:rFonts w:ascii="Arial" w:hAnsi="Arial" w:cs="Arial"/>
          <w:szCs w:val="22"/>
        </w:rPr>
        <w:t>Abdelrazik</w:t>
      </w:r>
      <w:proofErr w:type="spellEnd"/>
      <w:r w:rsidR="00066B35" w:rsidRPr="00066B35">
        <w:rPr>
          <w:rFonts w:ascii="Arial" w:hAnsi="Arial" w:cs="Arial"/>
          <w:szCs w:val="22"/>
        </w:rPr>
        <w:t xml:space="preserve"> et al., 2025, p.6). Furthermore, not all patients with complex conditions or low digital literacy can be monitored remotely, lead</w:t>
      </w:r>
      <w:r w:rsidR="004605E5">
        <w:rPr>
          <w:rFonts w:ascii="Arial" w:hAnsi="Arial" w:cs="Arial"/>
          <w:szCs w:val="22"/>
        </w:rPr>
        <w:t>ing</w:t>
      </w:r>
      <w:r w:rsidR="00066B35" w:rsidRPr="00066B35">
        <w:rPr>
          <w:rFonts w:ascii="Arial" w:hAnsi="Arial" w:cs="Arial"/>
          <w:szCs w:val="22"/>
        </w:rPr>
        <w:t xml:space="preserve"> to service inequalities. The adoption of wearable devices in NHS virtual wards and remote monitoring services can be explained </w:t>
      </w:r>
      <w:r w:rsidR="00B81715">
        <w:rPr>
          <w:rFonts w:ascii="Arial" w:hAnsi="Arial" w:cs="Arial"/>
          <w:szCs w:val="22"/>
        </w:rPr>
        <w:t>by the</w:t>
      </w:r>
      <w:r w:rsidR="00066B35" w:rsidRPr="00066B35">
        <w:rPr>
          <w:rFonts w:ascii="Arial" w:hAnsi="Arial" w:cs="Arial"/>
          <w:szCs w:val="22"/>
        </w:rPr>
        <w:t xml:space="preserve"> Diffusion of Innovation Theory. The perceived advantages, including efficiencies and intervention, make them be used in health care facilities. </w:t>
      </w:r>
      <w:r w:rsidR="005F3508">
        <w:rPr>
          <w:rFonts w:ascii="Arial" w:hAnsi="Arial" w:cs="Arial"/>
          <w:szCs w:val="22"/>
        </w:rPr>
        <w:t>Yet</w:t>
      </w:r>
      <w:r w:rsidR="00066B35" w:rsidRPr="00066B35">
        <w:rPr>
          <w:rFonts w:ascii="Arial" w:hAnsi="Arial" w:cs="Arial"/>
          <w:szCs w:val="22"/>
        </w:rPr>
        <w:t xml:space="preserve">, Gomes and Osman (2019, p. 23) noted that theory fails to consider barriers </w:t>
      </w:r>
      <w:r w:rsidR="00066FC5">
        <w:rPr>
          <w:rFonts w:ascii="Arial" w:hAnsi="Arial" w:cs="Arial"/>
          <w:szCs w:val="22"/>
        </w:rPr>
        <w:t>like</w:t>
      </w:r>
      <w:r w:rsidR="00066B35" w:rsidRPr="00066B35">
        <w:rPr>
          <w:rFonts w:ascii="Arial" w:hAnsi="Arial" w:cs="Arial"/>
          <w:szCs w:val="22"/>
        </w:rPr>
        <w:t xml:space="preserve"> interoperability issues and digital exclusion. Thus, effective diffusion is not only recognition of the advantages of innovation.</w:t>
      </w:r>
    </w:p>
    <w:p w14:paraId="46327300" w14:textId="61625FCC" w:rsidR="00C80D0F" w:rsidRPr="008375B5" w:rsidRDefault="00C80D0F" w:rsidP="0055760D">
      <w:pPr>
        <w:pStyle w:val="Heading1"/>
        <w:numPr>
          <w:ilvl w:val="0"/>
          <w:numId w:val="9"/>
        </w:numPr>
      </w:pPr>
      <w:bookmarkStart w:id="3" w:name="_Toc234666968"/>
      <w:r w:rsidRPr="008375B5">
        <w:t xml:space="preserve">Impact on </w:t>
      </w:r>
      <w:r w:rsidR="001E6268">
        <w:t>P</w:t>
      </w:r>
      <w:r w:rsidRPr="008375B5">
        <w:t>atients</w:t>
      </w:r>
      <w:bookmarkEnd w:id="3"/>
    </w:p>
    <w:p w14:paraId="7E7F8D4F" w14:textId="3C0F9767" w:rsidR="005D2D7E" w:rsidRDefault="00421B12" w:rsidP="00A20DF7">
      <w:pPr>
        <w:spacing w:line="360" w:lineRule="auto"/>
        <w:jc w:val="both"/>
        <w:rPr>
          <w:rFonts w:ascii="Arial" w:hAnsi="Arial" w:cs="Arial"/>
          <w:szCs w:val="22"/>
        </w:rPr>
      </w:pPr>
      <w:r>
        <w:rPr>
          <w:rFonts w:ascii="Arial" w:hAnsi="Arial" w:cs="Arial"/>
          <w:szCs w:val="22"/>
        </w:rPr>
        <w:t>P</w:t>
      </w:r>
      <w:r w:rsidR="00B64CD0" w:rsidRPr="00B64CD0">
        <w:rPr>
          <w:rFonts w:ascii="Arial" w:hAnsi="Arial" w:cs="Arial"/>
          <w:szCs w:val="22"/>
        </w:rPr>
        <w:t xml:space="preserve">erception about healthcare in areas like London was </w:t>
      </w:r>
      <w:r w:rsidR="00F25258">
        <w:rPr>
          <w:rFonts w:ascii="Arial" w:hAnsi="Arial" w:cs="Arial"/>
          <w:szCs w:val="22"/>
        </w:rPr>
        <w:t>influenced</w:t>
      </w:r>
      <w:r w:rsidR="00B64CD0" w:rsidRPr="00B64CD0">
        <w:rPr>
          <w:rFonts w:ascii="Arial" w:hAnsi="Arial" w:cs="Arial"/>
          <w:szCs w:val="22"/>
        </w:rPr>
        <w:t xml:space="preserve"> </w:t>
      </w:r>
      <w:r w:rsidR="00B81715">
        <w:rPr>
          <w:rFonts w:ascii="Arial" w:hAnsi="Arial" w:cs="Arial"/>
          <w:szCs w:val="22"/>
        </w:rPr>
        <w:t>by</w:t>
      </w:r>
      <w:r w:rsidR="00B64CD0" w:rsidRPr="00B64CD0">
        <w:rPr>
          <w:rFonts w:ascii="Arial" w:hAnsi="Arial" w:cs="Arial"/>
          <w:szCs w:val="22"/>
        </w:rPr>
        <w:t xml:space="preserve"> wearables. </w:t>
      </w:r>
      <w:r w:rsidR="00C869CF">
        <w:rPr>
          <w:rFonts w:ascii="Arial" w:hAnsi="Arial" w:cs="Arial"/>
          <w:szCs w:val="22"/>
        </w:rPr>
        <w:t>P</w:t>
      </w:r>
      <w:r w:rsidR="00F25258">
        <w:rPr>
          <w:rFonts w:ascii="Arial" w:hAnsi="Arial" w:cs="Arial"/>
          <w:szCs w:val="22"/>
        </w:rPr>
        <w:t>ositive impact</w:t>
      </w:r>
      <w:r w:rsidR="00B64CD0" w:rsidRPr="00B64CD0">
        <w:rPr>
          <w:rFonts w:ascii="Arial" w:hAnsi="Arial" w:cs="Arial"/>
          <w:szCs w:val="22"/>
        </w:rPr>
        <w:t xml:space="preserve"> is increased sense of empowerment and control over personal health. Babu et al. (2024</w:t>
      </w:r>
      <w:r w:rsidR="00B81715">
        <w:rPr>
          <w:rFonts w:ascii="Arial" w:hAnsi="Arial" w:cs="Arial"/>
          <w:szCs w:val="22"/>
        </w:rPr>
        <w:t xml:space="preserve">, </w:t>
      </w:r>
      <w:r w:rsidR="00B64CD0" w:rsidRPr="00B64CD0">
        <w:rPr>
          <w:rFonts w:ascii="Arial" w:hAnsi="Arial" w:cs="Arial"/>
          <w:szCs w:val="22"/>
        </w:rPr>
        <w:t>p</w:t>
      </w:r>
      <w:r w:rsidR="00B81715">
        <w:rPr>
          <w:rFonts w:ascii="Arial" w:hAnsi="Arial" w:cs="Arial"/>
          <w:szCs w:val="22"/>
        </w:rPr>
        <w:t>. 4</w:t>
      </w:r>
      <w:r w:rsidR="00B64CD0" w:rsidRPr="00B64CD0">
        <w:rPr>
          <w:rFonts w:ascii="Arial" w:hAnsi="Arial" w:cs="Arial"/>
          <w:szCs w:val="22"/>
        </w:rPr>
        <w:t>02) noted that wearables made physiological data available, and individuals c</w:t>
      </w:r>
      <w:r w:rsidR="00B81715">
        <w:rPr>
          <w:rFonts w:ascii="Arial" w:hAnsi="Arial" w:cs="Arial"/>
          <w:szCs w:val="22"/>
        </w:rPr>
        <w:t>an</w:t>
      </w:r>
      <w:r w:rsidR="00B64CD0" w:rsidRPr="00B64CD0">
        <w:rPr>
          <w:rFonts w:ascii="Arial" w:hAnsi="Arial" w:cs="Arial"/>
          <w:szCs w:val="22"/>
        </w:rPr>
        <w:t xml:space="preserve"> check on their health rather than solely rely on clinical visits. This led to shifting to preventive healthcare, whereby patients become aware of lifestyle conditions like physical activity, sleep, </w:t>
      </w:r>
      <w:r w:rsidR="00B64CD0" w:rsidRPr="00B64CD0">
        <w:rPr>
          <w:rFonts w:ascii="Arial" w:hAnsi="Arial" w:cs="Arial"/>
          <w:szCs w:val="22"/>
        </w:rPr>
        <w:lastRenderedPageBreak/>
        <w:t>and heart conditions.</w:t>
      </w:r>
      <w:r w:rsidR="00C869CF">
        <w:rPr>
          <w:rFonts w:ascii="Arial" w:hAnsi="Arial" w:cs="Arial"/>
          <w:szCs w:val="22"/>
        </w:rPr>
        <w:t xml:space="preserve"> </w:t>
      </w:r>
      <w:r w:rsidR="0023448C" w:rsidRPr="009B65CD">
        <w:rPr>
          <w:rFonts w:ascii="Arial" w:hAnsi="Arial" w:cs="Arial"/>
          <w:szCs w:val="22"/>
        </w:rPr>
        <w:t>In London</w:t>
      </w:r>
      <w:r w:rsidR="0023448C">
        <w:rPr>
          <w:rFonts w:ascii="Arial" w:hAnsi="Arial" w:cs="Arial"/>
          <w:szCs w:val="22"/>
        </w:rPr>
        <w:t>,</w:t>
      </w:r>
      <w:r w:rsidR="0023448C" w:rsidRPr="009B65CD">
        <w:rPr>
          <w:rFonts w:ascii="Arial" w:hAnsi="Arial" w:cs="Arial"/>
          <w:szCs w:val="22"/>
        </w:rPr>
        <w:t xml:space="preserve"> 66% of adults are considered physically active, </w:t>
      </w:r>
      <w:r w:rsidR="0023448C">
        <w:rPr>
          <w:rFonts w:ascii="Arial" w:hAnsi="Arial" w:cs="Arial"/>
          <w:szCs w:val="22"/>
        </w:rPr>
        <w:t>while</w:t>
      </w:r>
      <w:r w:rsidR="0023448C" w:rsidRPr="009B65CD">
        <w:rPr>
          <w:rFonts w:ascii="Arial" w:hAnsi="Arial" w:cs="Arial"/>
          <w:szCs w:val="22"/>
        </w:rPr>
        <w:t xml:space="preserve"> 34% do not meet recommended activity levels</w:t>
      </w:r>
      <w:r w:rsidR="0023448C">
        <w:rPr>
          <w:rFonts w:ascii="Arial" w:hAnsi="Arial" w:cs="Arial"/>
          <w:szCs w:val="22"/>
        </w:rPr>
        <w:t xml:space="preserve"> (</w:t>
      </w:r>
      <w:r w:rsidR="0023448C" w:rsidRPr="00A23DEC">
        <w:rPr>
          <w:rFonts w:ascii="Arial" w:hAnsi="Arial" w:cs="Arial"/>
          <w:szCs w:val="22"/>
        </w:rPr>
        <w:t>Andy</w:t>
      </w:r>
      <w:r w:rsidR="0023448C">
        <w:rPr>
          <w:rFonts w:ascii="Arial" w:hAnsi="Arial" w:cs="Arial"/>
          <w:szCs w:val="22"/>
        </w:rPr>
        <w:t xml:space="preserve">, 2026). </w:t>
      </w:r>
      <w:r w:rsidR="00B64CD0" w:rsidRPr="00B64CD0">
        <w:rPr>
          <w:rFonts w:ascii="Arial" w:hAnsi="Arial" w:cs="Arial"/>
          <w:szCs w:val="22"/>
        </w:rPr>
        <w:t xml:space="preserve">This highlights a population where wearable technologies can be applied to improve health behaviours. </w:t>
      </w:r>
    </w:p>
    <w:p w14:paraId="703FDBCF" w14:textId="67DE4686" w:rsidR="002B026C" w:rsidRPr="00B76292" w:rsidRDefault="00E10A8B" w:rsidP="008F5443">
      <w:pPr>
        <w:spacing w:line="360" w:lineRule="auto"/>
        <w:jc w:val="both"/>
        <w:rPr>
          <w:szCs w:val="22"/>
        </w:rPr>
      </w:pPr>
      <w:r w:rsidRPr="00E10A8B">
        <w:rPr>
          <w:szCs w:val="22"/>
        </w:rPr>
        <w:t>Additionally, high digital adoption and infrastructure in London promote implementation of such technologies, support</w:t>
      </w:r>
      <w:r w:rsidR="00736510">
        <w:rPr>
          <w:szCs w:val="22"/>
        </w:rPr>
        <w:t>ing</w:t>
      </w:r>
      <w:r w:rsidRPr="00E10A8B">
        <w:rPr>
          <w:szCs w:val="22"/>
        </w:rPr>
        <w:t xml:space="preserve"> involvement of patients in self-care. However</w:t>
      </w:r>
      <w:r w:rsidR="00453A09">
        <w:rPr>
          <w:szCs w:val="22"/>
        </w:rPr>
        <w:t>, t</w:t>
      </w:r>
      <w:r w:rsidRPr="00E10A8B">
        <w:rPr>
          <w:szCs w:val="22"/>
        </w:rPr>
        <w:t>he accuracy and reliability of wearable data is still sceptical to other patients</w:t>
      </w:r>
      <w:r w:rsidR="00D47FE7">
        <w:rPr>
          <w:szCs w:val="22"/>
        </w:rPr>
        <w:t xml:space="preserve"> </w:t>
      </w:r>
      <w:r w:rsidRPr="00E10A8B">
        <w:rPr>
          <w:szCs w:val="22"/>
        </w:rPr>
        <w:t xml:space="preserve">in situations where the equipment is not yet clinically tested. According to </w:t>
      </w:r>
      <w:proofErr w:type="spellStart"/>
      <w:r w:rsidRPr="00E10A8B">
        <w:rPr>
          <w:szCs w:val="22"/>
        </w:rPr>
        <w:t>Sookhak</w:t>
      </w:r>
      <w:proofErr w:type="spellEnd"/>
      <w:r w:rsidRPr="00E10A8B">
        <w:rPr>
          <w:szCs w:val="22"/>
        </w:rPr>
        <w:t xml:space="preserve"> et al. (2018, p.1730), privacy and surveillance of data also </w:t>
      </w:r>
      <w:r w:rsidR="008254AC" w:rsidRPr="00E10A8B">
        <w:rPr>
          <w:szCs w:val="22"/>
        </w:rPr>
        <w:t>affect</w:t>
      </w:r>
      <w:r w:rsidRPr="00E10A8B">
        <w:rPr>
          <w:szCs w:val="22"/>
        </w:rPr>
        <w:t xml:space="preserve"> trust, especially in such a connected city as London. Moreover, constant self-observation </w:t>
      </w:r>
      <w:r w:rsidR="008254AC">
        <w:rPr>
          <w:szCs w:val="22"/>
        </w:rPr>
        <w:t>can</w:t>
      </w:r>
      <w:r w:rsidRPr="00E10A8B">
        <w:rPr>
          <w:szCs w:val="22"/>
        </w:rPr>
        <w:t xml:space="preserve"> result in health anxiety because a person </w:t>
      </w:r>
      <w:r w:rsidR="00B81715">
        <w:rPr>
          <w:szCs w:val="22"/>
        </w:rPr>
        <w:t>can</w:t>
      </w:r>
      <w:r w:rsidRPr="00E10A8B">
        <w:rPr>
          <w:szCs w:val="22"/>
        </w:rPr>
        <w:t xml:space="preserve"> overinterpret the healthy physiological changes (</w:t>
      </w:r>
      <w:proofErr w:type="spellStart"/>
      <w:r w:rsidRPr="00E10A8B">
        <w:rPr>
          <w:szCs w:val="22"/>
        </w:rPr>
        <w:t>Skovgaard</w:t>
      </w:r>
      <w:proofErr w:type="spellEnd"/>
      <w:r w:rsidRPr="00E10A8B">
        <w:rPr>
          <w:szCs w:val="22"/>
        </w:rPr>
        <w:t xml:space="preserve"> et al., 2024, p.2). Thus, although wearable devices increase empowerment and engagement, their contribution to patient perceptions is complicated, affected by self-management</w:t>
      </w:r>
      <w:r w:rsidR="00EA6B2A">
        <w:rPr>
          <w:szCs w:val="22"/>
        </w:rPr>
        <w:t xml:space="preserve">, </w:t>
      </w:r>
      <w:r w:rsidRPr="00E10A8B">
        <w:rPr>
          <w:szCs w:val="22"/>
        </w:rPr>
        <w:t>trust, accuracy, and data security.</w:t>
      </w:r>
    </w:p>
    <w:p w14:paraId="12268734" w14:textId="1F43260B" w:rsidR="00562D5A" w:rsidRDefault="00C6254D" w:rsidP="00A20DF7">
      <w:pPr>
        <w:spacing w:line="360" w:lineRule="auto"/>
        <w:jc w:val="both"/>
        <w:rPr>
          <w:rFonts w:ascii="Arial" w:hAnsi="Arial" w:cs="Arial"/>
          <w:szCs w:val="22"/>
        </w:rPr>
      </w:pPr>
      <w:r>
        <w:rPr>
          <w:rFonts w:ascii="Arial" w:hAnsi="Arial" w:cs="Arial"/>
          <w:szCs w:val="22"/>
        </w:rPr>
        <w:t>Further, w</w:t>
      </w:r>
      <w:r w:rsidR="002B026C" w:rsidRPr="002B026C">
        <w:rPr>
          <w:rFonts w:ascii="Arial" w:hAnsi="Arial" w:cs="Arial"/>
          <w:szCs w:val="22"/>
        </w:rPr>
        <w:t>earable technology revolutioni</w:t>
      </w:r>
      <w:r w:rsidR="002B026C">
        <w:rPr>
          <w:rFonts w:ascii="Arial" w:hAnsi="Arial" w:cs="Arial"/>
          <w:szCs w:val="22"/>
        </w:rPr>
        <w:t>s</w:t>
      </w:r>
      <w:r w:rsidR="002B026C" w:rsidRPr="002B026C">
        <w:rPr>
          <w:rFonts w:ascii="Arial" w:hAnsi="Arial" w:cs="Arial"/>
          <w:szCs w:val="22"/>
        </w:rPr>
        <w:t xml:space="preserve">ed </w:t>
      </w:r>
      <w:r w:rsidR="00B81715">
        <w:rPr>
          <w:rFonts w:ascii="Arial" w:hAnsi="Arial" w:cs="Arial"/>
          <w:szCs w:val="22"/>
        </w:rPr>
        <w:t xml:space="preserve">the </w:t>
      </w:r>
      <w:r w:rsidR="002B026C" w:rsidRPr="002B026C">
        <w:rPr>
          <w:rFonts w:ascii="Arial" w:hAnsi="Arial" w:cs="Arial"/>
          <w:szCs w:val="22"/>
        </w:rPr>
        <w:t xml:space="preserve">patient experience of interacting with health care services. </w:t>
      </w:r>
      <w:r w:rsidR="00867967" w:rsidRPr="00867967">
        <w:rPr>
          <w:rFonts w:ascii="Arial" w:hAnsi="Arial" w:cs="Arial"/>
          <w:szCs w:val="22"/>
        </w:rPr>
        <w:t>One benefit is the increased convenience and accessibility of care, as it reduces frequent hospital visits and facilitates patient-</w:t>
      </w:r>
      <w:proofErr w:type="spellStart"/>
      <w:r w:rsidR="00867967" w:rsidRPr="00867967">
        <w:rPr>
          <w:rFonts w:ascii="Arial" w:hAnsi="Arial" w:cs="Arial"/>
          <w:szCs w:val="22"/>
        </w:rPr>
        <w:t>centered</w:t>
      </w:r>
      <w:proofErr w:type="spellEnd"/>
      <w:r w:rsidR="00867967" w:rsidRPr="00867967">
        <w:rPr>
          <w:rFonts w:ascii="Arial" w:hAnsi="Arial" w:cs="Arial"/>
          <w:szCs w:val="22"/>
        </w:rPr>
        <w:t>, flexible care pathways</w:t>
      </w:r>
      <w:r w:rsidR="00867967">
        <w:rPr>
          <w:rFonts w:ascii="Arial" w:hAnsi="Arial" w:cs="Arial"/>
          <w:szCs w:val="22"/>
        </w:rPr>
        <w:t xml:space="preserve"> </w:t>
      </w:r>
      <w:r w:rsidR="00C938CF">
        <w:rPr>
          <w:rFonts w:ascii="Arial" w:hAnsi="Arial" w:cs="Arial"/>
          <w:szCs w:val="22"/>
        </w:rPr>
        <w:t>(</w:t>
      </w:r>
      <w:r w:rsidR="00867967" w:rsidRPr="002B026C">
        <w:rPr>
          <w:rFonts w:ascii="Arial" w:hAnsi="Arial" w:cs="Arial"/>
          <w:szCs w:val="22"/>
        </w:rPr>
        <w:t>Ahmad et al., 2022, p.56100)</w:t>
      </w:r>
      <w:r w:rsidR="00867967" w:rsidRPr="00867967">
        <w:rPr>
          <w:rFonts w:ascii="Arial" w:hAnsi="Arial" w:cs="Arial"/>
          <w:szCs w:val="22"/>
        </w:rPr>
        <w:t>. This is advantageous for chronic disease patients, as it enhances their awareness and helps them avoid hospitali</w:t>
      </w:r>
      <w:r w:rsidR="000643A6">
        <w:rPr>
          <w:rFonts w:ascii="Arial" w:hAnsi="Arial" w:cs="Arial"/>
          <w:szCs w:val="22"/>
        </w:rPr>
        <w:t>s</w:t>
      </w:r>
      <w:r w:rsidR="00867967" w:rsidRPr="00867967">
        <w:rPr>
          <w:rFonts w:ascii="Arial" w:hAnsi="Arial" w:cs="Arial"/>
          <w:szCs w:val="22"/>
        </w:rPr>
        <w:t>ation.</w:t>
      </w:r>
      <w:r w:rsidR="00BA1499">
        <w:rPr>
          <w:rFonts w:ascii="Arial" w:hAnsi="Arial" w:cs="Arial"/>
          <w:szCs w:val="22"/>
        </w:rPr>
        <w:t xml:space="preserve"> </w:t>
      </w:r>
      <w:r w:rsidR="002B026C" w:rsidRPr="002B026C">
        <w:rPr>
          <w:rFonts w:ascii="Arial" w:hAnsi="Arial" w:cs="Arial"/>
          <w:szCs w:val="22"/>
        </w:rPr>
        <w:t>Wearables also improve quality of clinical interactions, as patients can give detailed health information to clinicians, aiding in personalised treatment plans (</w:t>
      </w:r>
      <w:proofErr w:type="spellStart"/>
      <w:r w:rsidR="002B026C" w:rsidRPr="002B026C">
        <w:rPr>
          <w:rFonts w:ascii="Arial" w:hAnsi="Arial" w:cs="Arial"/>
          <w:szCs w:val="22"/>
        </w:rPr>
        <w:t>Murala</w:t>
      </w:r>
      <w:proofErr w:type="spellEnd"/>
      <w:r w:rsidR="002B026C" w:rsidRPr="002B026C">
        <w:rPr>
          <w:rFonts w:ascii="Arial" w:hAnsi="Arial" w:cs="Arial"/>
          <w:szCs w:val="22"/>
        </w:rPr>
        <w:t>, Panda and Dash, 2023, p.2</w:t>
      </w:r>
      <w:r w:rsidR="00F26D2E">
        <w:rPr>
          <w:rFonts w:ascii="Arial" w:hAnsi="Arial" w:cs="Arial"/>
          <w:szCs w:val="22"/>
        </w:rPr>
        <w:t>).</w:t>
      </w:r>
      <w:r w:rsidR="00B81715">
        <w:rPr>
          <w:rFonts w:ascii="Arial" w:hAnsi="Arial" w:cs="Arial"/>
          <w:szCs w:val="22"/>
        </w:rPr>
        <w:t xml:space="preserve"> </w:t>
      </w:r>
      <w:r w:rsidR="00562D5A" w:rsidRPr="00562D5A">
        <w:rPr>
          <w:rFonts w:ascii="Arial" w:hAnsi="Arial" w:cs="Arial"/>
          <w:szCs w:val="22"/>
        </w:rPr>
        <w:t>The Health Belief Model suggests that individuals adopt health behaviours when they recogni</w:t>
      </w:r>
      <w:r w:rsidR="00BB1B43">
        <w:rPr>
          <w:rFonts w:ascii="Arial" w:hAnsi="Arial" w:cs="Arial"/>
          <w:szCs w:val="22"/>
        </w:rPr>
        <w:t>s</w:t>
      </w:r>
      <w:r w:rsidR="00562D5A" w:rsidRPr="00562D5A">
        <w:rPr>
          <w:rFonts w:ascii="Arial" w:hAnsi="Arial" w:cs="Arial"/>
          <w:szCs w:val="22"/>
        </w:rPr>
        <w:t>e benefits. Wearable devices play a role in this by increasing awareness of health-related activities</w:t>
      </w:r>
      <w:r w:rsidR="00562D5A">
        <w:rPr>
          <w:rFonts w:ascii="Arial" w:hAnsi="Arial" w:cs="Arial"/>
          <w:szCs w:val="22"/>
        </w:rPr>
        <w:t xml:space="preserve"> </w:t>
      </w:r>
      <w:r w:rsidR="00562D5A" w:rsidRPr="00781031">
        <w:rPr>
          <w:rFonts w:ascii="Arial" w:hAnsi="Arial" w:cs="Arial"/>
          <w:szCs w:val="22"/>
        </w:rPr>
        <w:t>(Dias and Silva, 2018, p.1)</w:t>
      </w:r>
      <w:r w:rsidR="00562D5A" w:rsidRPr="00562D5A">
        <w:rPr>
          <w:rFonts w:ascii="Arial" w:hAnsi="Arial" w:cs="Arial"/>
          <w:szCs w:val="22"/>
        </w:rPr>
        <w:t xml:space="preserve">. </w:t>
      </w:r>
      <w:r w:rsidR="00562D5A">
        <w:rPr>
          <w:rFonts w:ascii="Arial" w:hAnsi="Arial" w:cs="Arial"/>
          <w:szCs w:val="22"/>
        </w:rPr>
        <w:t>However</w:t>
      </w:r>
      <w:r w:rsidR="00562D5A" w:rsidRPr="00562D5A">
        <w:rPr>
          <w:rFonts w:ascii="Arial" w:hAnsi="Arial" w:cs="Arial"/>
          <w:szCs w:val="22"/>
        </w:rPr>
        <w:t xml:space="preserve">, privacy, data accuracy, and digital literacy </w:t>
      </w:r>
      <w:r w:rsidR="00DA6ED3">
        <w:rPr>
          <w:rFonts w:ascii="Arial" w:hAnsi="Arial" w:cs="Arial"/>
          <w:szCs w:val="22"/>
        </w:rPr>
        <w:t>can limit</w:t>
      </w:r>
      <w:r w:rsidR="00562D5A" w:rsidRPr="00562D5A">
        <w:rPr>
          <w:rFonts w:ascii="Arial" w:hAnsi="Arial" w:cs="Arial"/>
          <w:szCs w:val="22"/>
        </w:rPr>
        <w:t xml:space="preserve"> participation, indicating that perceived benefits and barriers are crucial in influencing patient adoption.</w:t>
      </w:r>
    </w:p>
    <w:p w14:paraId="140C6F7B" w14:textId="49F91033" w:rsidR="00211C56" w:rsidRPr="005354D2" w:rsidRDefault="00112006" w:rsidP="00A20DF7">
      <w:pPr>
        <w:spacing w:line="360" w:lineRule="auto"/>
        <w:jc w:val="both"/>
        <w:rPr>
          <w:rFonts w:cstheme="minorBidi"/>
          <w:szCs w:val="22"/>
        </w:rPr>
      </w:pPr>
      <w:r w:rsidRPr="001E66CB">
        <w:rPr>
          <w:rFonts w:cstheme="minorBidi"/>
          <w:szCs w:val="22"/>
        </w:rPr>
        <w:t>Am</w:t>
      </w:r>
      <w:r w:rsidR="00CF28FB">
        <w:rPr>
          <w:rFonts w:cstheme="minorBidi"/>
          <w:szCs w:val="22"/>
        </w:rPr>
        <w:t xml:space="preserve">ong </w:t>
      </w:r>
      <w:proofErr w:type="gramStart"/>
      <w:r w:rsidR="00CF28FB">
        <w:rPr>
          <w:rFonts w:cstheme="minorBidi"/>
          <w:szCs w:val="22"/>
        </w:rPr>
        <w:t>these advantage</w:t>
      </w:r>
      <w:proofErr w:type="gramEnd"/>
      <w:r w:rsidRPr="001E66CB">
        <w:rPr>
          <w:rFonts w:cstheme="minorBidi"/>
          <w:szCs w:val="22"/>
        </w:rPr>
        <w:t xml:space="preserve">, there are challenges to overcome, with one </w:t>
      </w:r>
      <w:r w:rsidR="00CB6D10" w:rsidRPr="001E66CB">
        <w:rPr>
          <w:rFonts w:cstheme="minorBidi"/>
          <w:szCs w:val="22"/>
        </w:rPr>
        <w:t>lacking</w:t>
      </w:r>
      <w:r w:rsidRPr="001E66CB">
        <w:rPr>
          <w:rFonts w:cstheme="minorBidi"/>
          <w:szCs w:val="22"/>
        </w:rPr>
        <w:t xml:space="preserve"> skills and resources among patients to use wearable technologies, coupled with a lack of confidence (Moody et al., 2022, p.450). This can result in inequitable care for older people or any disadvantaged groups. Additionally, relying on remote monitoring may result in reduced in-person contact, impacting communication, emotional support, and full care. The other issue is the fatigue and disengagement of devices. Kang and </w:t>
      </w:r>
      <w:proofErr w:type="spellStart"/>
      <w:r w:rsidRPr="001E66CB">
        <w:rPr>
          <w:rFonts w:cstheme="minorBidi"/>
          <w:szCs w:val="22"/>
        </w:rPr>
        <w:t>Exworthy</w:t>
      </w:r>
      <w:proofErr w:type="spellEnd"/>
      <w:r w:rsidRPr="001E66CB">
        <w:rPr>
          <w:rFonts w:cstheme="minorBidi"/>
          <w:szCs w:val="22"/>
        </w:rPr>
        <w:t xml:space="preserve"> (2022, p.3) said that the usefulness of the wearables could </w:t>
      </w:r>
      <w:r w:rsidR="009076E4">
        <w:rPr>
          <w:rFonts w:cstheme="minorBidi"/>
          <w:szCs w:val="22"/>
        </w:rPr>
        <w:t>minimize</w:t>
      </w:r>
      <w:r w:rsidRPr="001E66CB">
        <w:rPr>
          <w:rFonts w:cstheme="minorBidi"/>
          <w:szCs w:val="22"/>
        </w:rPr>
        <w:t xml:space="preserve"> over time as patients </w:t>
      </w:r>
      <w:r w:rsidR="00387F66">
        <w:rPr>
          <w:rFonts w:cstheme="minorBidi"/>
          <w:szCs w:val="22"/>
        </w:rPr>
        <w:t>can</w:t>
      </w:r>
      <w:r w:rsidRPr="001E66CB">
        <w:rPr>
          <w:rFonts w:cstheme="minorBidi"/>
          <w:szCs w:val="22"/>
        </w:rPr>
        <w:t xml:space="preserve"> stop using them.</w:t>
      </w:r>
      <w:r w:rsidR="00152A4F" w:rsidRPr="001E66CB">
        <w:rPr>
          <w:rFonts w:cstheme="minorBidi"/>
          <w:szCs w:val="22"/>
        </w:rPr>
        <w:t xml:space="preserve"> </w:t>
      </w:r>
      <w:r w:rsidR="00152A4F" w:rsidRPr="001E66CB">
        <w:rPr>
          <w:rFonts w:eastAsia="Times New Roman" w:cstheme="minorBidi"/>
          <w:kern w:val="0"/>
          <w:szCs w:val="22"/>
          <w:lang w:eastAsia="en-GB"/>
        </w:rPr>
        <w:t>Wearables enhance patient experience by making it more accessible and engaging, but also present issues of inequity, reduced human interaction, and technical limitations, necessitating a balanced patient-</w:t>
      </w:r>
      <w:proofErr w:type="spellStart"/>
      <w:r w:rsidR="00152A4F" w:rsidRPr="001E66CB">
        <w:rPr>
          <w:rFonts w:eastAsia="Times New Roman" w:cstheme="minorBidi"/>
          <w:kern w:val="0"/>
          <w:szCs w:val="22"/>
          <w:lang w:eastAsia="en-GB"/>
        </w:rPr>
        <w:t>centered</w:t>
      </w:r>
      <w:proofErr w:type="spellEnd"/>
      <w:r w:rsidR="00152A4F" w:rsidRPr="001E66CB">
        <w:rPr>
          <w:rFonts w:eastAsia="Times New Roman" w:cstheme="minorBidi"/>
          <w:kern w:val="0"/>
          <w:szCs w:val="22"/>
          <w:lang w:eastAsia="en-GB"/>
        </w:rPr>
        <w:t xml:space="preserve"> implementation.</w:t>
      </w:r>
    </w:p>
    <w:p w14:paraId="2F2E82FB" w14:textId="577A0274" w:rsidR="005769A3" w:rsidRDefault="005769A3" w:rsidP="005769A3">
      <w:pPr>
        <w:pStyle w:val="Heading1"/>
        <w:numPr>
          <w:ilvl w:val="0"/>
          <w:numId w:val="9"/>
        </w:numPr>
        <w:ind w:left="720"/>
      </w:pPr>
      <w:bookmarkStart w:id="4" w:name="_Toc234666969"/>
      <w:r w:rsidRPr="008375B5">
        <w:lastRenderedPageBreak/>
        <w:t xml:space="preserve">Impact on </w:t>
      </w:r>
      <w:r w:rsidR="00AF41FF">
        <w:t>C</w:t>
      </w:r>
      <w:r w:rsidRPr="008375B5">
        <w:t>ommunit</w:t>
      </w:r>
      <w:r>
        <w:t>y</w:t>
      </w:r>
      <w:bookmarkEnd w:id="4"/>
    </w:p>
    <w:p w14:paraId="266393A7" w14:textId="6336034F" w:rsidR="005769A3" w:rsidRDefault="005769A3" w:rsidP="00A20DF7">
      <w:pPr>
        <w:spacing w:line="360" w:lineRule="auto"/>
        <w:jc w:val="both"/>
      </w:pPr>
      <w:r w:rsidRPr="00F95636">
        <w:t>Wearable devices created a paradigm change in community</w:t>
      </w:r>
      <w:r w:rsidR="00B81715">
        <w:t>-</w:t>
      </w:r>
      <w:r w:rsidRPr="00F95636">
        <w:t xml:space="preserve">level health care delivery in </w:t>
      </w:r>
      <w:r w:rsidR="00B81715">
        <w:t xml:space="preserve">the </w:t>
      </w:r>
      <w:r w:rsidRPr="00F95636">
        <w:t xml:space="preserve">City of London by providing </w:t>
      </w:r>
      <w:r>
        <w:t>more decentralised, technology-driven models of care</w:t>
      </w:r>
      <w:r w:rsidRPr="00F95636">
        <w:t xml:space="preserve">. A major positive effect is the shift in </w:t>
      </w:r>
      <w:r>
        <w:t>patient and service location, as care is delivered within homes rather than hospitals (</w:t>
      </w:r>
      <w:proofErr w:type="spellStart"/>
      <w:r>
        <w:t>Kan</w:t>
      </w:r>
      <w:r w:rsidR="00BE3439">
        <w:t>a</w:t>
      </w:r>
      <w:r>
        <w:t>gala</w:t>
      </w:r>
      <w:proofErr w:type="spellEnd"/>
      <w:r>
        <w:t xml:space="preserve"> et al., 2023</w:t>
      </w:r>
      <w:r w:rsidR="00BE3439">
        <w:t>, p.</w:t>
      </w:r>
      <w:r w:rsidR="00E020C9">
        <w:t>2</w:t>
      </w:r>
      <w:r>
        <w:t xml:space="preserve">). </w:t>
      </w:r>
      <w:r w:rsidRPr="00F95636">
        <w:t>Wearable remote monitoring can be used to monitor people with chronic conditions without unnecessary visits to NHS health centres. This is important in the City of London</w:t>
      </w:r>
      <w:r w:rsidR="00B81715">
        <w:t>,</w:t>
      </w:r>
      <w:r w:rsidRPr="00F95636">
        <w:t xml:space="preserve"> where high population density and busy working populations mean traditional service access takes a lot of time (City of London, </w:t>
      </w:r>
      <w:r>
        <w:t>2024</w:t>
      </w:r>
      <w:r w:rsidRPr="00F95636">
        <w:t xml:space="preserve">). </w:t>
      </w:r>
      <w:r>
        <w:t>Hence</w:t>
      </w:r>
      <w:r w:rsidRPr="00F95636">
        <w:t>, health care is optimi</w:t>
      </w:r>
      <w:r>
        <w:t>s</w:t>
      </w:r>
      <w:r w:rsidRPr="00F95636">
        <w:t xml:space="preserve">ed, lessening </w:t>
      </w:r>
      <w:r w:rsidR="00B81715">
        <w:t xml:space="preserve">the </w:t>
      </w:r>
      <w:r w:rsidRPr="00F95636">
        <w:t>burden on strained urban hospitals while enabling timely intervention in the community. This transition can, however, contribute to digital inequalities within the community, with those without access to wearable devices, reliable internet, or sufficient digital literacy potentially not receiving timely healthcare support.</w:t>
      </w:r>
    </w:p>
    <w:p w14:paraId="5524378C" w14:textId="429B740A" w:rsidR="005769A3" w:rsidRDefault="005769A3" w:rsidP="00A20DF7">
      <w:pPr>
        <w:spacing w:line="360" w:lineRule="auto"/>
        <w:jc w:val="both"/>
      </w:pPr>
      <w:r w:rsidRPr="000A6061">
        <w:t xml:space="preserve">The effects on the family members are also significant. Wearable technologies can help </w:t>
      </w:r>
      <w:r w:rsidR="00B81715">
        <w:t>reduce in</w:t>
      </w:r>
      <w:r w:rsidRPr="000A6061">
        <w:t>patient admissions, enable patients to stay at home, and keep family engagement and normal life (Saeed et al., 2025</w:t>
      </w:r>
      <w:r w:rsidR="00C47BF7">
        <w:t>, p. 229</w:t>
      </w:r>
      <w:r w:rsidRPr="000A6061">
        <w:t xml:space="preserve">). This can help to reduce emotional stress </w:t>
      </w:r>
      <w:r w:rsidR="00B81715">
        <w:t>for</w:t>
      </w:r>
      <w:r w:rsidRPr="000A6061">
        <w:t xml:space="preserve"> families and hospital visitation. However, it can shift responsibility onto informal carers, who may be required to assist with device management, monitor alerts, or support older relatives in using digital tools. In terms of co-production, wearable devices promote a participatory model of healthcare. Patients and families are engaged in the collection of health data and in shared decision-making with clinicians. This reflects NHS </w:t>
      </w:r>
      <w:r>
        <w:t>goals of patient-centred care, where individuals play an active role in managing conditions (</w:t>
      </w:r>
      <w:r w:rsidRPr="00EE6FDF">
        <w:t>NHS England</w:t>
      </w:r>
      <w:r>
        <w:t xml:space="preserve">, 2022). </w:t>
      </w:r>
      <w:r w:rsidR="00321E0B">
        <w:t>H</w:t>
      </w:r>
      <w:r w:rsidRPr="000A6061">
        <w:t xml:space="preserve">owever, </w:t>
      </w:r>
      <w:r w:rsidR="00321E0B">
        <w:t xml:space="preserve">in practice, </w:t>
      </w:r>
      <w:r w:rsidRPr="000A6061">
        <w:t>co-production is not always equal</w:t>
      </w:r>
      <w:r w:rsidR="00B81715">
        <w:t>,</w:t>
      </w:r>
      <w:r>
        <w:t xml:space="preserve"> as p</w:t>
      </w:r>
      <w:r w:rsidRPr="000A6061">
        <w:t>assive data contributor</w:t>
      </w:r>
      <w:r>
        <w:t xml:space="preserve"> </w:t>
      </w:r>
      <w:r w:rsidRPr="000A6061">
        <w:t>patients can be disengaged because they do not understand how data is affecting their clinical decisions.</w:t>
      </w:r>
    </w:p>
    <w:p w14:paraId="405C7646" w14:textId="1214C0A6" w:rsidR="002C5589" w:rsidRPr="004353E0" w:rsidRDefault="005769A3" w:rsidP="00A20DF7">
      <w:pPr>
        <w:spacing w:line="360" w:lineRule="auto"/>
        <w:jc w:val="both"/>
      </w:pPr>
      <w:r w:rsidRPr="00386030">
        <w:t xml:space="preserve">From a public health perspective, wearable devices offer opportunities for monitoring and intervening at a population level. </w:t>
      </w:r>
      <w:r w:rsidR="00BE0F01" w:rsidRPr="00386030">
        <w:t xml:space="preserve">Conrad et al. </w:t>
      </w:r>
      <w:r w:rsidR="00BE0F01">
        <w:t>(</w:t>
      </w:r>
      <w:r w:rsidR="00BE0F01" w:rsidRPr="00386030">
        <w:t>2024</w:t>
      </w:r>
      <w:r w:rsidR="00BE0F01">
        <w:t>, p. 5</w:t>
      </w:r>
      <w:r w:rsidR="00BE0F01" w:rsidRPr="00386030">
        <w:t>)</w:t>
      </w:r>
      <w:r w:rsidR="00BE0F01">
        <w:t xml:space="preserve"> argued that a</w:t>
      </w:r>
      <w:r w:rsidRPr="00386030">
        <w:t xml:space="preserve">ggregated data can be used to provide information about trends </w:t>
      </w:r>
      <w:r>
        <w:t>in</w:t>
      </w:r>
      <w:r w:rsidRPr="00386030">
        <w:t xml:space="preserve"> cardiovascular diseases, physical inactivity, or respiratory diseases, which can be important for preventative health and planning of resources in London</w:t>
      </w:r>
      <w:r w:rsidR="00BE0F01">
        <w:t xml:space="preserve">. </w:t>
      </w:r>
      <w:r w:rsidRPr="00386030">
        <w:t>However, there is the risk of</w:t>
      </w:r>
      <w:r>
        <w:t xml:space="preserve"> digital exclusion as </w:t>
      </w:r>
      <w:r w:rsidRPr="00386030">
        <w:t xml:space="preserve">not </w:t>
      </w:r>
      <w:r>
        <w:t>all community members</w:t>
      </w:r>
      <w:r w:rsidRPr="00386030">
        <w:t xml:space="preserve"> ha</w:t>
      </w:r>
      <w:r w:rsidR="00B81715">
        <w:t>ve</w:t>
      </w:r>
      <w:r w:rsidRPr="00386030">
        <w:t xml:space="preserve"> </w:t>
      </w:r>
      <w:r>
        <w:t>access to wearable technology or digital literacy skills</w:t>
      </w:r>
      <w:r w:rsidRPr="00386030">
        <w:t xml:space="preserve">. This can reinforce existing disparities in the health system, particularly </w:t>
      </w:r>
      <w:r>
        <w:t>among older adults and lower-income groups (Wilson et al., 2024</w:t>
      </w:r>
      <w:r w:rsidR="00DF676A">
        <w:t>, p.2</w:t>
      </w:r>
      <w:r>
        <w:t xml:space="preserve">). </w:t>
      </w:r>
      <w:r w:rsidR="008F742A" w:rsidRPr="008F742A">
        <w:t>The Socio-Ecological Model emphasises that health outcomes are shaped by interplay between individuals, families, organisations</w:t>
      </w:r>
      <w:r w:rsidR="00B81715">
        <w:t>,</w:t>
      </w:r>
      <w:r w:rsidR="008F742A" w:rsidRPr="008F742A">
        <w:t xml:space="preserve"> and broader society (</w:t>
      </w:r>
      <w:proofErr w:type="spellStart"/>
      <w:r w:rsidR="008F742A" w:rsidRPr="008F742A">
        <w:t>Kilanowski</w:t>
      </w:r>
      <w:proofErr w:type="spellEnd"/>
      <w:r w:rsidR="008F742A" w:rsidRPr="008F742A">
        <w:t xml:space="preserve">, 2017, p.295). This contributes to an understanding of the impact of wearable devices not only on </w:t>
      </w:r>
      <w:r w:rsidR="008F742A" w:rsidRPr="008F742A">
        <w:lastRenderedPageBreak/>
        <w:t xml:space="preserve">patients but on the City of London's health services and public health planning, and caregivers. However, </w:t>
      </w:r>
      <w:r w:rsidR="00A06F4C">
        <w:t xml:space="preserve">the </w:t>
      </w:r>
      <w:r w:rsidR="008F742A" w:rsidRPr="008F742A">
        <w:t xml:space="preserve">model emphasises that technological innovations alone cannot address wider social and digital inequalities. Accordingly, it is necessary to provide access and infrastructure to promote </w:t>
      </w:r>
      <w:r w:rsidR="00304E9F">
        <w:t xml:space="preserve">equal </w:t>
      </w:r>
      <w:r w:rsidR="008F742A" w:rsidRPr="008F742A">
        <w:t>community benefits</w:t>
      </w:r>
      <w:r w:rsidR="002C5589">
        <w:t>.</w:t>
      </w:r>
    </w:p>
    <w:p w14:paraId="1B83913C" w14:textId="77777777" w:rsidR="005769A3" w:rsidRPr="008375B5" w:rsidRDefault="005769A3" w:rsidP="005769A3">
      <w:pPr>
        <w:pStyle w:val="Heading1"/>
        <w:numPr>
          <w:ilvl w:val="0"/>
          <w:numId w:val="9"/>
        </w:numPr>
        <w:ind w:left="720"/>
      </w:pPr>
      <w:bookmarkStart w:id="5" w:name="_Toc234666970"/>
      <w:r w:rsidRPr="008375B5">
        <w:t>Conclusion</w:t>
      </w:r>
      <w:bookmarkEnd w:id="5"/>
    </w:p>
    <w:p w14:paraId="216775F4" w14:textId="586C81CD" w:rsidR="005769A3" w:rsidRPr="008375B5" w:rsidRDefault="005769A3" w:rsidP="00A20DF7">
      <w:pPr>
        <w:spacing w:line="360" w:lineRule="auto"/>
        <w:jc w:val="both"/>
        <w:rPr>
          <w:rFonts w:ascii="Arial" w:hAnsi="Arial" w:cs="Arial"/>
          <w:szCs w:val="22"/>
        </w:rPr>
      </w:pPr>
      <w:r>
        <w:rPr>
          <w:rFonts w:ascii="Arial" w:hAnsi="Arial" w:cs="Arial"/>
          <w:szCs w:val="22"/>
        </w:rPr>
        <w:t xml:space="preserve">This report aimed to </w:t>
      </w:r>
      <w:r>
        <w:t xml:space="preserve">examine the implementation of wearable devices in UK health and social care, focusing on the City of London. </w:t>
      </w:r>
      <w:r w:rsidRPr="0007697C">
        <w:t xml:space="preserve">The results show the extent of digital transformation </w:t>
      </w:r>
      <w:r w:rsidR="00B81715">
        <w:t>in the</w:t>
      </w:r>
      <w:r w:rsidRPr="0007697C">
        <w:t xml:space="preserve"> workforce, service delivery, patient</w:t>
      </w:r>
      <w:r w:rsidR="00B81715">
        <w:t>,</w:t>
      </w:r>
      <w:r w:rsidRPr="0007697C">
        <w:t xml:space="preserve"> and community level achieved by wearable technologies. </w:t>
      </w:r>
      <w:r w:rsidR="00391E89">
        <w:t>Positively</w:t>
      </w:r>
      <w:r w:rsidRPr="0007697C">
        <w:t>, they helped to improve efficiency in care delivery, support remote monitoring, enhance patient engagement, and advance preventative care strategies. Wearable devices enabled a transition towards community-based care models like virtual wards, which alleviated hospital care pressure in high</w:t>
      </w:r>
      <w:r w:rsidR="00B81715">
        <w:t>-</w:t>
      </w:r>
      <w:r w:rsidRPr="0007697C">
        <w:t>density areas of the city. Workforce pressures increased due to additional digital responsibilities and skills gaps, while service delivery is affected by data integration issues and over-reliance on technology. Access inequalities and increased reliance on informal carers are identified at the community level. Wearables offer great promise, but most effective implementation of these devices would be through a balanced approach that reflects inequalities, enables workforce</w:t>
      </w:r>
      <w:r w:rsidR="00CB772D">
        <w:t xml:space="preserve"> capability</w:t>
      </w:r>
      <w:r w:rsidRPr="0007697C">
        <w:t>, and is ethically applied with digital health technologies.</w:t>
      </w:r>
      <w:r w:rsidR="00973DC7">
        <w:t xml:space="preserve"> </w:t>
      </w:r>
      <w:r w:rsidR="00982CDA">
        <w:t xml:space="preserve"> </w:t>
      </w:r>
    </w:p>
    <w:p w14:paraId="4241EF9C" w14:textId="77777777" w:rsidR="00C80D0F" w:rsidRPr="008375B5" w:rsidRDefault="00C80D0F" w:rsidP="008375B5">
      <w:pPr>
        <w:spacing w:line="360" w:lineRule="auto"/>
        <w:rPr>
          <w:rFonts w:ascii="Arial" w:hAnsi="Arial" w:cs="Arial"/>
          <w:szCs w:val="22"/>
        </w:rPr>
      </w:pPr>
    </w:p>
    <w:p w14:paraId="76920EB5" w14:textId="77777777" w:rsidR="00C80D0F" w:rsidRDefault="00C80D0F" w:rsidP="008375B5">
      <w:pPr>
        <w:spacing w:line="360" w:lineRule="auto"/>
        <w:rPr>
          <w:rFonts w:ascii="Arial" w:hAnsi="Arial" w:cs="Arial"/>
          <w:szCs w:val="22"/>
        </w:rPr>
      </w:pPr>
    </w:p>
    <w:p w14:paraId="4F6DA056" w14:textId="77777777" w:rsidR="00867139" w:rsidRDefault="00867139" w:rsidP="008375B5">
      <w:pPr>
        <w:spacing w:line="360" w:lineRule="auto"/>
        <w:rPr>
          <w:rFonts w:ascii="Arial" w:hAnsi="Arial" w:cs="Arial"/>
          <w:szCs w:val="22"/>
        </w:rPr>
      </w:pPr>
    </w:p>
    <w:p w14:paraId="70E1095A" w14:textId="77777777" w:rsidR="00867139" w:rsidRDefault="00867139" w:rsidP="008375B5">
      <w:pPr>
        <w:spacing w:line="360" w:lineRule="auto"/>
        <w:rPr>
          <w:rFonts w:ascii="Arial" w:hAnsi="Arial" w:cs="Arial"/>
          <w:szCs w:val="22"/>
        </w:rPr>
      </w:pPr>
    </w:p>
    <w:p w14:paraId="5AB706E4" w14:textId="77777777" w:rsidR="00867139" w:rsidRDefault="00867139" w:rsidP="008375B5">
      <w:pPr>
        <w:spacing w:line="360" w:lineRule="auto"/>
        <w:rPr>
          <w:rFonts w:ascii="Arial" w:hAnsi="Arial" w:cs="Arial"/>
          <w:szCs w:val="22"/>
        </w:rPr>
      </w:pPr>
    </w:p>
    <w:p w14:paraId="337A3728" w14:textId="77777777" w:rsidR="008118E7" w:rsidRDefault="008118E7" w:rsidP="008375B5">
      <w:pPr>
        <w:spacing w:line="360" w:lineRule="auto"/>
        <w:rPr>
          <w:rFonts w:ascii="Arial" w:hAnsi="Arial" w:cs="Arial"/>
          <w:szCs w:val="22"/>
        </w:rPr>
      </w:pPr>
    </w:p>
    <w:p w14:paraId="2B9BEA77" w14:textId="77777777" w:rsidR="008118E7" w:rsidRPr="008375B5" w:rsidRDefault="008118E7" w:rsidP="008375B5">
      <w:pPr>
        <w:spacing w:line="360" w:lineRule="auto"/>
        <w:rPr>
          <w:rFonts w:ascii="Arial" w:hAnsi="Arial" w:cs="Arial"/>
          <w:szCs w:val="22"/>
        </w:rPr>
      </w:pPr>
    </w:p>
    <w:p w14:paraId="60945A97" w14:textId="57FAFB5B" w:rsidR="001D4D2C" w:rsidRPr="00F35AD2" w:rsidRDefault="008375B5" w:rsidP="00F35AD2">
      <w:pPr>
        <w:pStyle w:val="Heading1"/>
        <w:numPr>
          <w:ilvl w:val="0"/>
          <w:numId w:val="9"/>
        </w:numPr>
      </w:pPr>
      <w:bookmarkStart w:id="6" w:name="_Toc234666971"/>
      <w:r>
        <w:t>References</w:t>
      </w:r>
      <w:bookmarkEnd w:id="6"/>
    </w:p>
    <w:p w14:paraId="36644C64" w14:textId="77777777" w:rsidR="001D4D2C" w:rsidRDefault="001D4D2C" w:rsidP="005769A3">
      <w:pPr>
        <w:spacing w:line="360" w:lineRule="auto"/>
        <w:ind w:left="720" w:hanging="720"/>
        <w:jc w:val="both"/>
        <w:rPr>
          <w:rFonts w:cstheme="minorBidi"/>
        </w:rPr>
      </w:pPr>
      <w:proofErr w:type="spellStart"/>
      <w:r w:rsidRPr="0073291C">
        <w:rPr>
          <w:rFonts w:cstheme="minorBidi"/>
        </w:rPr>
        <w:t>Abdelrazik</w:t>
      </w:r>
      <w:proofErr w:type="spellEnd"/>
      <w:r w:rsidRPr="0073291C">
        <w:rPr>
          <w:rFonts w:cstheme="minorBidi"/>
        </w:rPr>
        <w:t xml:space="preserve">, A., </w:t>
      </w:r>
      <w:proofErr w:type="spellStart"/>
      <w:r w:rsidRPr="0073291C">
        <w:rPr>
          <w:rFonts w:cstheme="minorBidi"/>
        </w:rPr>
        <w:t>Eldesouky</w:t>
      </w:r>
      <w:proofErr w:type="spellEnd"/>
      <w:r w:rsidRPr="0073291C">
        <w:rPr>
          <w:rFonts w:cstheme="minorBidi"/>
        </w:rPr>
        <w:t xml:space="preserve">, M., Antoun, I., Lau, E.Y., </w:t>
      </w:r>
      <w:proofErr w:type="spellStart"/>
      <w:r w:rsidRPr="0073291C">
        <w:rPr>
          <w:rFonts w:cstheme="minorBidi"/>
        </w:rPr>
        <w:t>Koya</w:t>
      </w:r>
      <w:proofErr w:type="spellEnd"/>
      <w:r w:rsidRPr="0073291C">
        <w:rPr>
          <w:rFonts w:cstheme="minorBidi"/>
        </w:rPr>
        <w:t xml:space="preserve">, A., Vali, Z., Suleman, S.A., Donaldson, J. and Ng, G.A. (2025) ‘Wearable devices for arrhythmia detection: </w:t>
      </w:r>
      <w:r w:rsidRPr="0073291C">
        <w:rPr>
          <w:rFonts w:cstheme="minorBidi"/>
        </w:rPr>
        <w:lastRenderedPageBreak/>
        <w:t>advancements and clinical implications’, </w:t>
      </w:r>
      <w:r w:rsidRPr="0073291C">
        <w:rPr>
          <w:rFonts w:cstheme="minorBidi"/>
          <w:i/>
          <w:iCs/>
        </w:rPr>
        <w:t>Sensors</w:t>
      </w:r>
      <w:r w:rsidRPr="0073291C">
        <w:rPr>
          <w:rFonts w:cstheme="minorBidi"/>
        </w:rPr>
        <w:t>, 25(9), p.2848.</w:t>
      </w:r>
      <w:r>
        <w:rPr>
          <w:rFonts w:cstheme="minorBidi"/>
        </w:rPr>
        <w:t xml:space="preserve"> Available at: </w:t>
      </w:r>
      <w:hyperlink r:id="rId10" w:history="1">
        <w:r w:rsidRPr="0034282B">
          <w:rPr>
            <w:rStyle w:val="Hyperlink"/>
            <w:rFonts w:cstheme="minorBidi"/>
          </w:rPr>
          <w:t>https://doi.org/10.3390/s25092848</w:t>
        </w:r>
      </w:hyperlink>
      <w:r>
        <w:rPr>
          <w:rFonts w:cstheme="minorBidi"/>
        </w:rPr>
        <w:t xml:space="preserve"> </w:t>
      </w:r>
    </w:p>
    <w:p w14:paraId="40D36F18" w14:textId="77777777" w:rsidR="001D4D2C" w:rsidRDefault="001D4D2C" w:rsidP="005769A3">
      <w:pPr>
        <w:spacing w:line="360" w:lineRule="auto"/>
        <w:ind w:left="720" w:hanging="720"/>
        <w:jc w:val="both"/>
        <w:rPr>
          <w:rFonts w:cstheme="minorBidi"/>
        </w:rPr>
      </w:pPr>
      <w:proofErr w:type="spellStart"/>
      <w:r w:rsidRPr="0073291C">
        <w:rPr>
          <w:rFonts w:cstheme="minorBidi"/>
        </w:rPr>
        <w:t>Adeghe</w:t>
      </w:r>
      <w:proofErr w:type="spellEnd"/>
      <w:r w:rsidRPr="0073291C">
        <w:rPr>
          <w:rFonts w:cstheme="minorBidi"/>
        </w:rPr>
        <w:t xml:space="preserve">, E.P., Okolo, C.A. and </w:t>
      </w:r>
      <w:proofErr w:type="spellStart"/>
      <w:r w:rsidRPr="0073291C">
        <w:rPr>
          <w:rFonts w:cstheme="minorBidi"/>
        </w:rPr>
        <w:t>Ojeyinka</w:t>
      </w:r>
      <w:proofErr w:type="spellEnd"/>
      <w:r w:rsidRPr="0073291C">
        <w:rPr>
          <w:rFonts w:cstheme="minorBidi"/>
        </w:rPr>
        <w:t>, O.T. (2024) ‘A review of wearable technology in healthcare: Monitoring patient health and enhancing outcomes’, </w:t>
      </w:r>
      <w:r w:rsidRPr="0073291C">
        <w:rPr>
          <w:rFonts w:cstheme="minorBidi"/>
          <w:i/>
          <w:iCs/>
        </w:rPr>
        <w:t>OARJ of Multidisciplinary Studies</w:t>
      </w:r>
      <w:r w:rsidRPr="0073291C">
        <w:rPr>
          <w:rFonts w:cstheme="minorBidi"/>
        </w:rPr>
        <w:t>, 7(01), pp.142-148.</w:t>
      </w:r>
      <w:r>
        <w:rPr>
          <w:rFonts w:cstheme="minorBidi"/>
        </w:rPr>
        <w:t xml:space="preserve"> Available at: </w:t>
      </w:r>
      <w:hyperlink r:id="rId11" w:history="1">
        <w:r w:rsidRPr="0034282B">
          <w:rPr>
            <w:rStyle w:val="Hyperlink"/>
            <w:rFonts w:cstheme="minorBidi"/>
          </w:rPr>
          <w:t>https://doi.org/10.53022/oarjms.2024.7.1.0019</w:t>
        </w:r>
      </w:hyperlink>
      <w:r>
        <w:rPr>
          <w:rFonts w:cstheme="minorBidi"/>
        </w:rPr>
        <w:t xml:space="preserve"> </w:t>
      </w:r>
    </w:p>
    <w:p w14:paraId="0A59D299" w14:textId="77777777" w:rsidR="001D4D2C" w:rsidRPr="0073291C" w:rsidRDefault="001D4D2C" w:rsidP="005769A3">
      <w:pPr>
        <w:spacing w:line="360" w:lineRule="auto"/>
        <w:ind w:left="720" w:hanging="720"/>
        <w:jc w:val="both"/>
        <w:rPr>
          <w:rFonts w:cstheme="minorBidi"/>
        </w:rPr>
      </w:pPr>
      <w:r w:rsidRPr="0073291C">
        <w:rPr>
          <w:rFonts w:cstheme="minorBidi"/>
        </w:rPr>
        <w:t xml:space="preserve">Ahmad, I., Asghar, Z., Kumar, T., Li, G., Manzoor, A., Mikhaylov, K., Shah, S.A., </w:t>
      </w:r>
      <w:proofErr w:type="spellStart"/>
      <w:r w:rsidRPr="0073291C">
        <w:rPr>
          <w:rFonts w:cstheme="minorBidi"/>
        </w:rPr>
        <w:t>Höyhtyä</w:t>
      </w:r>
      <w:proofErr w:type="spellEnd"/>
      <w:r w:rsidRPr="0073291C">
        <w:rPr>
          <w:rFonts w:cstheme="minorBidi"/>
        </w:rPr>
        <w:t xml:space="preserve">, M., </w:t>
      </w:r>
      <w:proofErr w:type="spellStart"/>
      <w:r w:rsidRPr="0073291C">
        <w:rPr>
          <w:rFonts w:cstheme="minorBidi"/>
        </w:rPr>
        <w:t>Reponen</w:t>
      </w:r>
      <w:proofErr w:type="spellEnd"/>
      <w:r w:rsidRPr="0073291C">
        <w:rPr>
          <w:rFonts w:cstheme="minorBidi"/>
        </w:rPr>
        <w:t xml:space="preserve">, J., </w:t>
      </w:r>
      <w:proofErr w:type="spellStart"/>
      <w:r w:rsidRPr="0073291C">
        <w:rPr>
          <w:rFonts w:cstheme="minorBidi"/>
        </w:rPr>
        <w:t>Huusko</w:t>
      </w:r>
      <w:proofErr w:type="spellEnd"/>
      <w:r w:rsidRPr="0073291C">
        <w:rPr>
          <w:rFonts w:cstheme="minorBidi"/>
        </w:rPr>
        <w:t xml:space="preserve">, J. and </w:t>
      </w:r>
      <w:proofErr w:type="spellStart"/>
      <w:r w:rsidRPr="0073291C">
        <w:rPr>
          <w:rFonts w:cstheme="minorBidi"/>
        </w:rPr>
        <w:t>Harjula</w:t>
      </w:r>
      <w:proofErr w:type="spellEnd"/>
      <w:r w:rsidRPr="0073291C">
        <w:rPr>
          <w:rFonts w:cstheme="minorBidi"/>
        </w:rPr>
        <w:t>, E. (2022) ‘Emerging technologies for next generation remote health care and assisted living’, </w:t>
      </w:r>
      <w:proofErr w:type="spellStart"/>
      <w:r w:rsidRPr="0073291C">
        <w:rPr>
          <w:rFonts w:cstheme="minorBidi"/>
          <w:i/>
          <w:iCs/>
        </w:rPr>
        <w:t>Ieee</w:t>
      </w:r>
      <w:proofErr w:type="spellEnd"/>
      <w:r w:rsidRPr="0073291C">
        <w:rPr>
          <w:rFonts w:cstheme="minorBidi"/>
          <w:i/>
          <w:iCs/>
        </w:rPr>
        <w:t xml:space="preserve"> Access</w:t>
      </w:r>
      <w:r w:rsidRPr="0073291C">
        <w:rPr>
          <w:rFonts w:cstheme="minorBidi"/>
        </w:rPr>
        <w:t>, 10, pp.56094-56132.</w:t>
      </w:r>
      <w:r>
        <w:rPr>
          <w:rFonts w:cstheme="minorBidi"/>
        </w:rPr>
        <w:t xml:space="preserve"> Available at: </w:t>
      </w:r>
      <w:hyperlink r:id="rId12" w:history="1">
        <w:r w:rsidRPr="0034282B">
          <w:rPr>
            <w:rStyle w:val="Hyperlink"/>
            <w:rFonts w:cstheme="minorBidi"/>
          </w:rPr>
          <w:t>https://doi.org/10.1109/ACCESS.2022.3177278</w:t>
        </w:r>
      </w:hyperlink>
      <w:r>
        <w:rPr>
          <w:rFonts w:cstheme="minorBidi"/>
        </w:rPr>
        <w:t xml:space="preserve"> </w:t>
      </w:r>
    </w:p>
    <w:p w14:paraId="32F0FA1F" w14:textId="77777777" w:rsidR="001D4D2C" w:rsidRPr="0073291C" w:rsidRDefault="001D4D2C" w:rsidP="005769A3">
      <w:pPr>
        <w:spacing w:line="360" w:lineRule="auto"/>
        <w:ind w:left="720" w:hanging="720"/>
        <w:jc w:val="both"/>
        <w:rPr>
          <w:rFonts w:cstheme="minorBidi"/>
        </w:rPr>
      </w:pPr>
      <w:r w:rsidRPr="0073291C">
        <w:rPr>
          <w:rFonts w:cstheme="minorBidi"/>
        </w:rPr>
        <w:t>Andy</w:t>
      </w:r>
      <w:r>
        <w:rPr>
          <w:rFonts w:cstheme="minorBidi"/>
        </w:rPr>
        <w:t xml:space="preserve">. </w:t>
      </w:r>
      <w:r w:rsidRPr="0073291C">
        <w:rPr>
          <w:rFonts w:cstheme="minorBidi"/>
        </w:rPr>
        <w:t>(2026)</w:t>
      </w:r>
      <w:r>
        <w:rPr>
          <w:rFonts w:cstheme="minorBidi"/>
        </w:rPr>
        <w:t xml:space="preserve"> </w:t>
      </w:r>
      <w:r w:rsidRPr="0073291C">
        <w:rPr>
          <w:rFonts w:cstheme="minorBidi"/>
          <w:i/>
          <w:iCs/>
        </w:rPr>
        <w:t>A third of adults in London are not meeting recommended levels of physical activity - London Sport Data Hub</w:t>
      </w:r>
      <w:r w:rsidRPr="0073291C">
        <w:rPr>
          <w:rFonts w:cstheme="minorBidi"/>
        </w:rPr>
        <w:t xml:space="preserve">. [online] London Sport Data Hub. Available at: </w:t>
      </w:r>
      <w:hyperlink r:id="rId13" w:history="1">
        <w:r w:rsidRPr="0073291C">
          <w:rPr>
            <w:rStyle w:val="Hyperlink"/>
            <w:rFonts w:cstheme="minorBidi"/>
          </w:rPr>
          <w:t>https://data.londonsport.org/dataset/a-third-of-adults-in-london-are-not-meeting-recommended-levels-of-physical-activity/</w:t>
        </w:r>
      </w:hyperlink>
      <w:r w:rsidRPr="0073291C">
        <w:rPr>
          <w:rFonts w:cstheme="minorBidi"/>
        </w:rPr>
        <w:t xml:space="preserve">  [Accessed 23 Jun. 2026].</w:t>
      </w:r>
    </w:p>
    <w:p w14:paraId="61B83620" w14:textId="77777777" w:rsidR="001D4D2C" w:rsidRPr="0073291C" w:rsidRDefault="001D4D2C" w:rsidP="005769A3">
      <w:pPr>
        <w:spacing w:line="360" w:lineRule="auto"/>
        <w:ind w:left="720" w:hanging="720"/>
        <w:jc w:val="both"/>
        <w:rPr>
          <w:rFonts w:cstheme="minorBidi"/>
        </w:rPr>
      </w:pPr>
      <w:r w:rsidRPr="0073291C">
        <w:rPr>
          <w:rFonts w:cstheme="minorBidi"/>
        </w:rPr>
        <w:t xml:space="preserve">Babu, M., </w:t>
      </w:r>
      <w:proofErr w:type="spellStart"/>
      <w:r w:rsidRPr="0073291C">
        <w:rPr>
          <w:rFonts w:cstheme="minorBidi"/>
        </w:rPr>
        <w:t>Lautman</w:t>
      </w:r>
      <w:proofErr w:type="spellEnd"/>
      <w:r w:rsidRPr="0073291C">
        <w:rPr>
          <w:rFonts w:cstheme="minorBidi"/>
        </w:rPr>
        <w:t xml:space="preserve">, Z., Lin, X., </w:t>
      </w:r>
      <w:proofErr w:type="spellStart"/>
      <w:r w:rsidRPr="0073291C">
        <w:rPr>
          <w:rFonts w:cstheme="minorBidi"/>
        </w:rPr>
        <w:t>Sobota</w:t>
      </w:r>
      <w:proofErr w:type="spellEnd"/>
      <w:r w:rsidRPr="0073291C">
        <w:rPr>
          <w:rFonts w:cstheme="minorBidi"/>
        </w:rPr>
        <w:t>, M.H. and Snyder, M.P. (2024) ‘Wearable devices: implications for precision medicine and the future of health care’, </w:t>
      </w:r>
      <w:r w:rsidRPr="0073291C">
        <w:rPr>
          <w:rFonts w:cstheme="minorBidi"/>
          <w:i/>
          <w:iCs/>
        </w:rPr>
        <w:t>Annual Review of Medicine</w:t>
      </w:r>
      <w:r w:rsidRPr="0073291C">
        <w:rPr>
          <w:rFonts w:cstheme="minorBidi"/>
        </w:rPr>
        <w:t>, 75(1), pp.401-415.</w:t>
      </w:r>
      <w:r>
        <w:rPr>
          <w:rFonts w:cstheme="minorBidi"/>
        </w:rPr>
        <w:t xml:space="preserve"> Available at:  </w:t>
      </w:r>
      <w:hyperlink r:id="rId14" w:history="1">
        <w:r w:rsidRPr="0034282B">
          <w:rPr>
            <w:rStyle w:val="Hyperlink"/>
            <w:rFonts w:cstheme="minorBidi"/>
          </w:rPr>
          <w:t>https://doi.org/10.1146/annurev-med-052422-020437</w:t>
        </w:r>
      </w:hyperlink>
      <w:r>
        <w:rPr>
          <w:rFonts w:cstheme="minorBidi"/>
        </w:rPr>
        <w:t xml:space="preserve"> </w:t>
      </w:r>
    </w:p>
    <w:p w14:paraId="730152AC" w14:textId="77777777" w:rsidR="001D4D2C" w:rsidRPr="0073291C" w:rsidRDefault="001D4D2C" w:rsidP="005769A3">
      <w:pPr>
        <w:spacing w:line="360" w:lineRule="auto"/>
        <w:ind w:left="720" w:hanging="720"/>
        <w:jc w:val="both"/>
        <w:rPr>
          <w:rFonts w:cstheme="minorBidi"/>
        </w:rPr>
      </w:pPr>
      <w:r w:rsidRPr="0073291C">
        <w:rPr>
          <w:rFonts w:cstheme="minorBidi"/>
        </w:rPr>
        <w:t>Brown, S. (2023)</w:t>
      </w:r>
      <w:r>
        <w:rPr>
          <w:rFonts w:cstheme="minorBidi"/>
        </w:rPr>
        <w:t xml:space="preserve"> </w:t>
      </w:r>
      <w:r w:rsidRPr="0073291C">
        <w:rPr>
          <w:rFonts w:cstheme="minorBidi"/>
          <w:i/>
          <w:iCs/>
        </w:rPr>
        <w:t>Virtual wards plan at risk from staff shortages</w:t>
      </w:r>
      <w:r w:rsidRPr="0073291C">
        <w:rPr>
          <w:rFonts w:cstheme="minorBidi"/>
        </w:rPr>
        <w:t xml:space="preserve">. [online] HFMA. Available at: </w:t>
      </w:r>
      <w:hyperlink r:id="rId15" w:history="1">
        <w:r w:rsidRPr="0073291C">
          <w:rPr>
            <w:rStyle w:val="Hyperlink"/>
            <w:rFonts w:cstheme="minorBidi"/>
          </w:rPr>
          <w:t>https://www.hfma.org.uk/articles/virtual-wards-plan-risk-staff-shortages</w:t>
        </w:r>
      </w:hyperlink>
      <w:r w:rsidRPr="0073291C">
        <w:rPr>
          <w:rFonts w:cstheme="minorBidi"/>
        </w:rPr>
        <w:t xml:space="preserve">  [Accessed 23 Jun. 2026].</w:t>
      </w:r>
    </w:p>
    <w:p w14:paraId="14CD83A7" w14:textId="77777777" w:rsidR="001D4D2C" w:rsidRDefault="001D4D2C" w:rsidP="005769A3">
      <w:pPr>
        <w:spacing w:line="360" w:lineRule="auto"/>
        <w:ind w:left="720" w:hanging="720"/>
        <w:jc w:val="both"/>
        <w:rPr>
          <w:rFonts w:cstheme="minorBidi"/>
        </w:rPr>
      </w:pPr>
      <w:r w:rsidRPr="00676FB2">
        <w:rPr>
          <w:rFonts w:cstheme="minorBidi"/>
        </w:rPr>
        <w:t>City of London</w:t>
      </w:r>
      <w:r>
        <w:rPr>
          <w:rFonts w:cstheme="minorBidi"/>
        </w:rPr>
        <w:t xml:space="preserve">. </w:t>
      </w:r>
      <w:r w:rsidRPr="00676FB2">
        <w:rPr>
          <w:rFonts w:cstheme="minorBidi"/>
        </w:rPr>
        <w:t>(2024)</w:t>
      </w:r>
      <w:r>
        <w:rPr>
          <w:rFonts w:cstheme="minorBidi"/>
        </w:rPr>
        <w:t xml:space="preserve"> </w:t>
      </w:r>
      <w:r w:rsidRPr="00676FB2">
        <w:rPr>
          <w:rFonts w:cstheme="minorBidi"/>
          <w:i/>
          <w:iCs/>
        </w:rPr>
        <w:t>City Plan 2040 City of London Local Plan Revised Proposed Submission Draft</w:t>
      </w:r>
      <w:r w:rsidRPr="00676FB2">
        <w:rPr>
          <w:rFonts w:cstheme="minorBidi"/>
        </w:rPr>
        <w:t xml:space="preserve">. [online] Available at: </w:t>
      </w:r>
      <w:hyperlink r:id="rId16" w:history="1">
        <w:r w:rsidRPr="00FF7655">
          <w:rPr>
            <w:rStyle w:val="Hyperlink"/>
            <w:rFonts w:cstheme="minorBidi"/>
          </w:rPr>
          <w:t>https://www.cityoflondon.gov.uk/assets/Services-Environment/City-Plan-2040.pdf</w:t>
        </w:r>
      </w:hyperlink>
      <w:r w:rsidRPr="00676FB2">
        <w:rPr>
          <w:rFonts w:cstheme="minorBidi"/>
        </w:rPr>
        <w:t>.</w:t>
      </w:r>
      <w:r>
        <w:rPr>
          <w:rFonts w:cstheme="minorBidi"/>
        </w:rPr>
        <w:t xml:space="preserve"> [Accessed: 23 </w:t>
      </w:r>
      <w:proofErr w:type="gramStart"/>
      <w:r>
        <w:rPr>
          <w:rFonts w:cstheme="minorBidi"/>
        </w:rPr>
        <w:t>June,</w:t>
      </w:r>
      <w:proofErr w:type="gramEnd"/>
      <w:r>
        <w:rPr>
          <w:rFonts w:cstheme="minorBidi"/>
        </w:rPr>
        <w:t xml:space="preserve"> 2026]</w:t>
      </w:r>
    </w:p>
    <w:p w14:paraId="2B405830" w14:textId="77777777" w:rsidR="001D4D2C" w:rsidRPr="0073291C" w:rsidRDefault="001D4D2C" w:rsidP="005769A3">
      <w:pPr>
        <w:spacing w:line="360" w:lineRule="auto"/>
        <w:ind w:left="720" w:hanging="720"/>
        <w:jc w:val="both"/>
        <w:rPr>
          <w:rFonts w:cstheme="minorBidi"/>
        </w:rPr>
      </w:pPr>
      <w:r w:rsidRPr="0073291C">
        <w:rPr>
          <w:rFonts w:cstheme="minorBidi"/>
        </w:rPr>
        <w:t>Cleveland Clinic London</w:t>
      </w:r>
      <w:r>
        <w:rPr>
          <w:rFonts w:cstheme="minorBidi"/>
        </w:rPr>
        <w:t xml:space="preserve">. </w:t>
      </w:r>
      <w:r w:rsidRPr="0073291C">
        <w:rPr>
          <w:rFonts w:cstheme="minorBidi"/>
        </w:rPr>
        <w:t>(2024)</w:t>
      </w:r>
      <w:r>
        <w:rPr>
          <w:rFonts w:cstheme="minorBidi"/>
        </w:rPr>
        <w:t xml:space="preserve"> </w:t>
      </w:r>
      <w:r w:rsidRPr="0073291C">
        <w:rPr>
          <w:rFonts w:cstheme="minorBidi"/>
          <w:i/>
          <w:iCs/>
        </w:rPr>
        <w:t>Cleveland Clinic London Survey: Nearly half of UK Adults Use Health Monitoring Technology</w:t>
      </w:r>
      <w:r w:rsidRPr="0073291C">
        <w:rPr>
          <w:rFonts w:cstheme="minorBidi"/>
        </w:rPr>
        <w:t xml:space="preserve">. [online] Cleveland Clinic. Available at: </w:t>
      </w:r>
      <w:hyperlink r:id="rId17" w:history="1">
        <w:r w:rsidRPr="0073291C">
          <w:rPr>
            <w:rStyle w:val="Hyperlink"/>
            <w:rFonts w:cstheme="minorBidi"/>
          </w:rPr>
          <w:t>https://newsroom.clevelandclinic.org/2024/02/20/cleveland-clinic-london-survey-nearly-half-of-uk-adults-use-health-monitoring-technology</w:t>
        </w:r>
      </w:hyperlink>
      <w:r w:rsidRPr="0073291C">
        <w:rPr>
          <w:rFonts w:cstheme="minorBidi"/>
        </w:rPr>
        <w:t>. [Accessed 23 Jun. 2026].</w:t>
      </w:r>
    </w:p>
    <w:p w14:paraId="5E83FDF4" w14:textId="77777777" w:rsidR="001D4D2C" w:rsidRDefault="001D4D2C" w:rsidP="005769A3">
      <w:pPr>
        <w:spacing w:line="360" w:lineRule="auto"/>
        <w:ind w:left="720" w:hanging="720"/>
        <w:jc w:val="both"/>
        <w:rPr>
          <w:rFonts w:cstheme="minorBidi"/>
        </w:rPr>
      </w:pPr>
      <w:r w:rsidRPr="0029413C">
        <w:rPr>
          <w:rFonts w:cstheme="minorBidi"/>
        </w:rPr>
        <w:t xml:space="preserve">Conrad, N., </w:t>
      </w:r>
      <w:proofErr w:type="spellStart"/>
      <w:r w:rsidRPr="0029413C">
        <w:rPr>
          <w:rFonts w:cstheme="minorBidi"/>
        </w:rPr>
        <w:t>Molenberghs</w:t>
      </w:r>
      <w:proofErr w:type="spellEnd"/>
      <w:r w:rsidRPr="0029413C">
        <w:rPr>
          <w:rFonts w:cstheme="minorBidi"/>
        </w:rPr>
        <w:t xml:space="preserve">, G., Verbeke, G., </w:t>
      </w:r>
      <w:proofErr w:type="spellStart"/>
      <w:r w:rsidRPr="0029413C">
        <w:rPr>
          <w:rFonts w:cstheme="minorBidi"/>
        </w:rPr>
        <w:t>Zaccardi</w:t>
      </w:r>
      <w:proofErr w:type="spellEnd"/>
      <w:r w:rsidRPr="0029413C">
        <w:rPr>
          <w:rFonts w:cstheme="minorBidi"/>
        </w:rPr>
        <w:t xml:space="preserve">, F., Lawson, C., Friday, J.M., Su, H., </w:t>
      </w:r>
      <w:proofErr w:type="spellStart"/>
      <w:r w:rsidRPr="0029413C">
        <w:rPr>
          <w:rFonts w:cstheme="minorBidi"/>
        </w:rPr>
        <w:t>Jhund</w:t>
      </w:r>
      <w:proofErr w:type="spellEnd"/>
      <w:r w:rsidRPr="0029413C">
        <w:rPr>
          <w:rFonts w:cstheme="minorBidi"/>
        </w:rPr>
        <w:t>, P.S., Sattar, N., Rahimi, K. and Cleland, J.G.</w:t>
      </w:r>
      <w:r>
        <w:rPr>
          <w:rFonts w:cstheme="minorBidi"/>
        </w:rPr>
        <w:t xml:space="preserve"> (</w:t>
      </w:r>
      <w:r w:rsidRPr="0029413C">
        <w:rPr>
          <w:rFonts w:cstheme="minorBidi"/>
        </w:rPr>
        <w:t>2024</w:t>
      </w:r>
      <w:r>
        <w:rPr>
          <w:rFonts w:cstheme="minorBidi"/>
        </w:rPr>
        <w:t>)</w:t>
      </w:r>
      <w:r w:rsidRPr="0029413C">
        <w:rPr>
          <w:rFonts w:cstheme="minorBidi"/>
        </w:rPr>
        <w:t xml:space="preserve"> </w:t>
      </w:r>
      <w:r>
        <w:rPr>
          <w:rFonts w:cstheme="minorBidi"/>
        </w:rPr>
        <w:t>‘</w:t>
      </w:r>
      <w:r w:rsidRPr="0029413C">
        <w:rPr>
          <w:rFonts w:cstheme="minorBidi"/>
        </w:rPr>
        <w:t xml:space="preserve">Trends in cardiovascular </w:t>
      </w:r>
      <w:r w:rsidRPr="0029413C">
        <w:rPr>
          <w:rFonts w:cstheme="minorBidi"/>
        </w:rPr>
        <w:lastRenderedPageBreak/>
        <w:t xml:space="preserve">disease incidence among 22 million people in the UK over 20 years: </w:t>
      </w:r>
      <w:proofErr w:type="gramStart"/>
      <w:r w:rsidRPr="0029413C">
        <w:rPr>
          <w:rFonts w:cstheme="minorBidi"/>
        </w:rPr>
        <w:t>population based</w:t>
      </w:r>
      <w:proofErr w:type="gramEnd"/>
      <w:r w:rsidRPr="0029413C">
        <w:rPr>
          <w:rFonts w:cstheme="minorBidi"/>
        </w:rPr>
        <w:t xml:space="preserve"> study</w:t>
      </w:r>
      <w:r>
        <w:rPr>
          <w:rFonts w:cstheme="minorBidi"/>
        </w:rPr>
        <w:t>’,</w:t>
      </w:r>
      <w:r w:rsidRPr="0029413C">
        <w:rPr>
          <w:rFonts w:cstheme="minorBidi"/>
        </w:rPr>
        <w:t> </w:t>
      </w:r>
      <w:proofErr w:type="spellStart"/>
      <w:r w:rsidRPr="0029413C">
        <w:rPr>
          <w:rFonts w:cstheme="minorBidi"/>
          <w:i/>
          <w:iCs/>
        </w:rPr>
        <w:t>bmj</w:t>
      </w:r>
      <w:proofErr w:type="spellEnd"/>
      <w:r w:rsidRPr="0029413C">
        <w:rPr>
          <w:rFonts w:cstheme="minorBidi"/>
        </w:rPr>
        <w:t>, </w:t>
      </w:r>
      <w:r w:rsidRPr="0029413C">
        <w:rPr>
          <w:rFonts w:cstheme="minorBidi"/>
          <w:i/>
          <w:iCs/>
        </w:rPr>
        <w:t>385</w:t>
      </w:r>
      <w:r w:rsidRPr="0029413C">
        <w:rPr>
          <w:rFonts w:cstheme="minorBidi"/>
        </w:rPr>
        <w:t>.</w:t>
      </w:r>
      <w:r>
        <w:rPr>
          <w:rFonts w:cstheme="minorBidi"/>
        </w:rPr>
        <w:t xml:space="preserve"> Available at: </w:t>
      </w:r>
      <w:hyperlink r:id="rId18" w:history="1">
        <w:r w:rsidRPr="0034282B">
          <w:rPr>
            <w:rStyle w:val="Hyperlink"/>
            <w:rFonts w:cstheme="minorBidi"/>
          </w:rPr>
          <w:t>https://dx.doi.org/10.1136/bmj-2023-078523</w:t>
        </w:r>
      </w:hyperlink>
      <w:r>
        <w:rPr>
          <w:rFonts w:cstheme="minorBidi"/>
        </w:rPr>
        <w:t xml:space="preserve"> </w:t>
      </w:r>
    </w:p>
    <w:p w14:paraId="08B275A7" w14:textId="77777777" w:rsidR="001D4D2C" w:rsidRDefault="001D4D2C" w:rsidP="00BC6685">
      <w:pPr>
        <w:spacing w:line="360" w:lineRule="auto"/>
        <w:ind w:left="720" w:hanging="720"/>
        <w:jc w:val="both"/>
        <w:rPr>
          <w:rFonts w:cstheme="minorBidi"/>
        </w:rPr>
      </w:pPr>
      <w:r w:rsidRPr="00BC6685">
        <w:rPr>
          <w:rFonts w:cstheme="minorBidi"/>
        </w:rPr>
        <w:t>Dias, D. and Paulo Silva Cunha, J.</w:t>
      </w:r>
      <w:r>
        <w:rPr>
          <w:rFonts w:cstheme="minorBidi"/>
        </w:rPr>
        <w:t xml:space="preserve"> (</w:t>
      </w:r>
      <w:r w:rsidRPr="00BC6685">
        <w:rPr>
          <w:rFonts w:cstheme="minorBidi"/>
        </w:rPr>
        <w:t>2018</w:t>
      </w:r>
      <w:r>
        <w:rPr>
          <w:rFonts w:cstheme="minorBidi"/>
        </w:rPr>
        <w:t>)</w:t>
      </w:r>
      <w:r w:rsidRPr="00BC6685">
        <w:rPr>
          <w:rFonts w:cstheme="minorBidi"/>
        </w:rPr>
        <w:t xml:space="preserve"> </w:t>
      </w:r>
      <w:r>
        <w:rPr>
          <w:rFonts w:cstheme="minorBidi"/>
        </w:rPr>
        <w:t>‘</w:t>
      </w:r>
      <w:r w:rsidRPr="00BC6685">
        <w:rPr>
          <w:rFonts w:cstheme="minorBidi"/>
        </w:rPr>
        <w:t>Wearable health devices—vital sign monitoring, systems and technologies</w:t>
      </w:r>
      <w:r>
        <w:rPr>
          <w:rFonts w:cstheme="minorBidi"/>
        </w:rPr>
        <w:t>’,</w:t>
      </w:r>
      <w:r w:rsidRPr="00BC6685">
        <w:rPr>
          <w:rFonts w:cstheme="minorBidi"/>
        </w:rPr>
        <w:t> </w:t>
      </w:r>
      <w:r w:rsidRPr="00BC6685">
        <w:rPr>
          <w:rFonts w:cstheme="minorBidi"/>
          <w:i/>
          <w:iCs/>
        </w:rPr>
        <w:t>Sensors</w:t>
      </w:r>
      <w:r w:rsidRPr="00BC6685">
        <w:rPr>
          <w:rFonts w:cstheme="minorBidi"/>
        </w:rPr>
        <w:t>, 18(8), p.2414.</w:t>
      </w:r>
      <w:r>
        <w:rPr>
          <w:rFonts w:cstheme="minorBidi"/>
        </w:rPr>
        <w:t xml:space="preserve"> Available at:  </w:t>
      </w:r>
      <w:hyperlink r:id="rId19" w:history="1">
        <w:r w:rsidRPr="00737A11">
          <w:rPr>
            <w:rStyle w:val="Hyperlink"/>
            <w:rFonts w:cstheme="minorBidi"/>
          </w:rPr>
          <w:t>https://doi.org/10.3390/s18082414</w:t>
        </w:r>
      </w:hyperlink>
      <w:r>
        <w:rPr>
          <w:rFonts w:cstheme="minorBidi"/>
        </w:rPr>
        <w:t xml:space="preserve"> </w:t>
      </w:r>
    </w:p>
    <w:p w14:paraId="41582C62" w14:textId="77777777" w:rsidR="001D4D2C" w:rsidRPr="0073291C" w:rsidRDefault="001D4D2C" w:rsidP="005769A3">
      <w:pPr>
        <w:spacing w:line="360" w:lineRule="auto"/>
        <w:ind w:left="720" w:hanging="720"/>
        <w:jc w:val="both"/>
        <w:rPr>
          <w:rFonts w:cstheme="minorBidi"/>
        </w:rPr>
      </w:pPr>
      <w:r w:rsidRPr="0073291C">
        <w:rPr>
          <w:rFonts w:cstheme="minorBidi"/>
        </w:rPr>
        <w:t>Dinh-Le, C., Chuang, R., Chokshi, S. and Mann, D. (2019) ‘Wearable health technology and electronic health record integration: scoping review and future directions’, </w:t>
      </w:r>
      <w:r w:rsidRPr="0073291C">
        <w:rPr>
          <w:rFonts w:cstheme="minorBidi"/>
          <w:i/>
          <w:iCs/>
        </w:rPr>
        <w:t xml:space="preserve">JMIR mHealth and </w:t>
      </w:r>
      <w:proofErr w:type="spellStart"/>
      <w:r w:rsidRPr="0073291C">
        <w:rPr>
          <w:rFonts w:cstheme="minorBidi"/>
          <w:i/>
          <w:iCs/>
        </w:rPr>
        <w:t>uHealth</w:t>
      </w:r>
      <w:proofErr w:type="spellEnd"/>
      <w:r w:rsidRPr="0073291C">
        <w:rPr>
          <w:rFonts w:cstheme="minorBidi"/>
        </w:rPr>
        <w:t>, 7(9), p.e12861.</w:t>
      </w:r>
      <w:r>
        <w:rPr>
          <w:rFonts w:cstheme="minorBidi"/>
        </w:rPr>
        <w:t xml:space="preserve"> </w:t>
      </w:r>
      <w:hyperlink r:id="rId20" w:history="1">
        <w:r w:rsidRPr="0034282B">
          <w:rPr>
            <w:rStyle w:val="Hyperlink"/>
            <w:rFonts w:cstheme="minorBidi"/>
          </w:rPr>
          <w:t>https://doi.org/10.2196/12861</w:t>
        </w:r>
      </w:hyperlink>
      <w:r>
        <w:rPr>
          <w:rFonts w:cstheme="minorBidi"/>
        </w:rPr>
        <w:t xml:space="preserve"> </w:t>
      </w:r>
    </w:p>
    <w:p w14:paraId="6EAB8597" w14:textId="77777777" w:rsidR="001D4D2C" w:rsidRPr="0073291C" w:rsidRDefault="001D4D2C" w:rsidP="005769A3">
      <w:pPr>
        <w:spacing w:line="360" w:lineRule="auto"/>
        <w:ind w:left="720" w:hanging="720"/>
        <w:jc w:val="both"/>
        <w:rPr>
          <w:rFonts w:cstheme="minorBidi"/>
        </w:rPr>
      </w:pPr>
      <w:r w:rsidRPr="0073291C">
        <w:rPr>
          <w:rFonts w:cstheme="minorBidi"/>
        </w:rPr>
        <w:t>Ferdous, A.A. and Rahman, S.S. (2025) ‘The Integration of Wearable Devices with mHealth Apps for Remote Patient Monitoring: A Literature Review’, </w:t>
      </w:r>
      <w:r w:rsidRPr="0073291C">
        <w:rPr>
          <w:rFonts w:cstheme="minorBidi"/>
          <w:i/>
          <w:iCs/>
        </w:rPr>
        <w:t>International Journal of Drug Regulatory Affairs</w:t>
      </w:r>
      <w:r w:rsidRPr="0073291C">
        <w:rPr>
          <w:rFonts w:cstheme="minorBidi"/>
        </w:rPr>
        <w:t>, 13(3), pp.38-51.</w:t>
      </w:r>
      <w:r>
        <w:rPr>
          <w:rFonts w:cstheme="minorBidi"/>
        </w:rPr>
        <w:t xml:space="preserve"> Available at: </w:t>
      </w:r>
      <w:hyperlink r:id="rId21" w:history="1">
        <w:r w:rsidRPr="0034282B">
          <w:rPr>
            <w:rStyle w:val="Hyperlink"/>
            <w:rFonts w:cstheme="minorBidi"/>
          </w:rPr>
          <w:t>https://doi.org/10.22270/ijdra.v13i3.778</w:t>
        </w:r>
      </w:hyperlink>
      <w:r>
        <w:rPr>
          <w:rFonts w:cstheme="minorBidi"/>
        </w:rPr>
        <w:t xml:space="preserve"> </w:t>
      </w:r>
    </w:p>
    <w:p w14:paraId="4530D177" w14:textId="77777777" w:rsidR="001D4D2C" w:rsidRDefault="001D4D2C" w:rsidP="00131ED7">
      <w:pPr>
        <w:spacing w:line="360" w:lineRule="auto"/>
        <w:ind w:left="720" w:hanging="720"/>
        <w:jc w:val="both"/>
        <w:rPr>
          <w:rFonts w:cstheme="minorBidi"/>
        </w:rPr>
      </w:pPr>
      <w:r w:rsidRPr="00131ED7">
        <w:rPr>
          <w:rFonts w:cstheme="minorBidi"/>
        </w:rPr>
        <w:t>Gomes, R. and Osman, S.S.</w:t>
      </w:r>
      <w:r>
        <w:rPr>
          <w:rFonts w:cstheme="minorBidi"/>
        </w:rPr>
        <w:t xml:space="preserve"> (</w:t>
      </w:r>
      <w:r w:rsidRPr="00131ED7">
        <w:rPr>
          <w:rFonts w:cstheme="minorBidi"/>
        </w:rPr>
        <w:t>2019</w:t>
      </w:r>
      <w:r>
        <w:rPr>
          <w:rFonts w:cstheme="minorBidi"/>
        </w:rPr>
        <w:t>)</w:t>
      </w:r>
      <w:r w:rsidRPr="00131ED7">
        <w:rPr>
          <w:rFonts w:cstheme="minorBidi"/>
        </w:rPr>
        <w:t xml:space="preserve"> </w:t>
      </w:r>
      <w:r>
        <w:rPr>
          <w:rFonts w:cstheme="minorBidi"/>
        </w:rPr>
        <w:t>‘</w:t>
      </w:r>
      <w:r w:rsidRPr="00131ED7">
        <w:rPr>
          <w:rFonts w:cstheme="minorBidi"/>
        </w:rPr>
        <w:t>Managing Organizational Adoption of IoT: Revisiting Rogers' Diffusion of Innovation Theory</w:t>
      </w:r>
      <w:r>
        <w:rPr>
          <w:rFonts w:cstheme="minorBidi"/>
        </w:rPr>
        <w:t>’</w:t>
      </w:r>
      <w:r w:rsidRPr="00131ED7">
        <w:rPr>
          <w:rFonts w:cstheme="minorBidi"/>
        </w:rPr>
        <w:t>.</w:t>
      </w:r>
      <w:r>
        <w:rPr>
          <w:rFonts w:cstheme="minorBidi"/>
        </w:rPr>
        <w:t xml:space="preserve"> Available at:  </w:t>
      </w:r>
      <w:hyperlink r:id="rId22" w:history="1">
        <w:r w:rsidRPr="00737A11">
          <w:rPr>
            <w:rStyle w:val="Hyperlink"/>
            <w:rFonts w:cstheme="minorBidi"/>
          </w:rPr>
          <w:t>https://www.diva-portal.org/smash/get/diva2:1374639/FULLTEXT01.pdf</w:t>
        </w:r>
      </w:hyperlink>
      <w:r>
        <w:rPr>
          <w:rFonts w:cstheme="minorBidi"/>
        </w:rPr>
        <w:t xml:space="preserve"> </w:t>
      </w:r>
    </w:p>
    <w:p w14:paraId="7CE09360" w14:textId="77777777" w:rsidR="001D4D2C" w:rsidRPr="0073291C" w:rsidRDefault="001D4D2C" w:rsidP="005769A3">
      <w:pPr>
        <w:spacing w:line="360" w:lineRule="auto"/>
        <w:ind w:left="720" w:hanging="720"/>
        <w:jc w:val="both"/>
        <w:rPr>
          <w:rFonts w:cstheme="minorBidi"/>
        </w:rPr>
      </w:pPr>
      <w:proofErr w:type="spellStart"/>
      <w:r w:rsidRPr="0073291C">
        <w:rPr>
          <w:rFonts w:cstheme="minorBidi"/>
        </w:rPr>
        <w:t>Granath</w:t>
      </w:r>
      <w:proofErr w:type="spellEnd"/>
      <w:r w:rsidRPr="0073291C">
        <w:rPr>
          <w:rFonts w:cstheme="minorBidi"/>
        </w:rPr>
        <w:t xml:space="preserve">, A., Torp </w:t>
      </w:r>
      <w:proofErr w:type="spellStart"/>
      <w:r w:rsidRPr="0073291C">
        <w:rPr>
          <w:rFonts w:cstheme="minorBidi"/>
        </w:rPr>
        <w:t>Løkkeberg</w:t>
      </w:r>
      <w:proofErr w:type="spellEnd"/>
      <w:r w:rsidRPr="0073291C">
        <w:rPr>
          <w:rFonts w:cstheme="minorBidi"/>
        </w:rPr>
        <w:t xml:space="preserve">, S.E., Kauppi, W., Andersen, F., </w:t>
      </w:r>
      <w:proofErr w:type="spellStart"/>
      <w:r w:rsidRPr="0073291C">
        <w:rPr>
          <w:rFonts w:cstheme="minorBidi"/>
        </w:rPr>
        <w:t>Sandsjö</w:t>
      </w:r>
      <w:proofErr w:type="spellEnd"/>
      <w:r w:rsidRPr="0073291C">
        <w:rPr>
          <w:rFonts w:cstheme="minorBidi"/>
        </w:rPr>
        <w:t>, L. and Eriksson, E. (2025) ‘Remotely Monitored Patients' Experiences of the Interpersonal Patient–Nurse Relationship: A Scoping Review’, </w:t>
      </w:r>
      <w:r w:rsidRPr="0073291C">
        <w:rPr>
          <w:rFonts w:cstheme="minorBidi"/>
          <w:i/>
          <w:iCs/>
        </w:rPr>
        <w:t>Scandinavian Journal of Caring Sciences</w:t>
      </w:r>
      <w:r w:rsidRPr="0073291C">
        <w:rPr>
          <w:rFonts w:cstheme="minorBidi"/>
        </w:rPr>
        <w:t>, 39(4), p.e70166.</w:t>
      </w:r>
      <w:r>
        <w:rPr>
          <w:rFonts w:cstheme="minorBidi"/>
        </w:rPr>
        <w:t xml:space="preserve"> </w:t>
      </w:r>
      <w:hyperlink r:id="rId23" w:history="1">
        <w:r w:rsidRPr="001B4F01">
          <w:rPr>
            <w:rStyle w:val="Hyperlink"/>
            <w:rFonts w:cstheme="minorBidi"/>
          </w:rPr>
          <w:t>https://doi.org/10.1111/scs.70166</w:t>
        </w:r>
      </w:hyperlink>
      <w:r>
        <w:rPr>
          <w:rFonts w:cstheme="minorBidi"/>
        </w:rPr>
        <w:t xml:space="preserve"> </w:t>
      </w:r>
    </w:p>
    <w:p w14:paraId="4E82BF36" w14:textId="77777777" w:rsidR="001D4D2C" w:rsidRPr="00696C9E" w:rsidRDefault="001D4D2C" w:rsidP="00696C9E">
      <w:pPr>
        <w:spacing w:line="360" w:lineRule="auto"/>
        <w:ind w:left="720" w:hanging="720"/>
        <w:jc w:val="both"/>
        <w:rPr>
          <w:rFonts w:cstheme="minorBidi"/>
          <w:szCs w:val="22"/>
        </w:rPr>
      </w:pPr>
      <w:proofErr w:type="spellStart"/>
      <w:r w:rsidRPr="0073291C">
        <w:rPr>
          <w:rFonts w:cstheme="minorBidi"/>
        </w:rPr>
        <w:t>Isidori</w:t>
      </w:r>
      <w:proofErr w:type="spellEnd"/>
      <w:r w:rsidRPr="0073291C">
        <w:rPr>
          <w:rFonts w:cstheme="minorBidi"/>
        </w:rPr>
        <w:t xml:space="preserve">, V., Diamanti, F., </w:t>
      </w:r>
      <w:proofErr w:type="spellStart"/>
      <w:r w:rsidRPr="0073291C">
        <w:rPr>
          <w:rFonts w:cstheme="minorBidi"/>
        </w:rPr>
        <w:t>Gios</w:t>
      </w:r>
      <w:proofErr w:type="spellEnd"/>
      <w:r w:rsidRPr="0073291C">
        <w:rPr>
          <w:rFonts w:cstheme="minorBidi"/>
        </w:rPr>
        <w:t xml:space="preserve">, L., Malfatti, G., Perini, F., </w:t>
      </w:r>
      <w:proofErr w:type="spellStart"/>
      <w:r w:rsidRPr="0073291C">
        <w:rPr>
          <w:rFonts w:cstheme="minorBidi"/>
        </w:rPr>
        <w:t>Nicolini</w:t>
      </w:r>
      <w:proofErr w:type="spellEnd"/>
      <w:r w:rsidRPr="0073291C">
        <w:rPr>
          <w:rFonts w:cstheme="minorBidi"/>
        </w:rPr>
        <w:t xml:space="preserve">, A., </w:t>
      </w:r>
      <w:proofErr w:type="spellStart"/>
      <w:r w:rsidRPr="0073291C">
        <w:rPr>
          <w:rFonts w:cstheme="minorBidi"/>
        </w:rPr>
        <w:t>Longhini</w:t>
      </w:r>
      <w:proofErr w:type="spellEnd"/>
      <w:r w:rsidRPr="0073291C">
        <w:rPr>
          <w:rFonts w:cstheme="minorBidi"/>
        </w:rPr>
        <w:t xml:space="preserve">, J., Forti, S., </w:t>
      </w:r>
      <w:proofErr w:type="spellStart"/>
      <w:r w:rsidRPr="00696C9E">
        <w:rPr>
          <w:rFonts w:cstheme="minorBidi"/>
          <w:szCs w:val="22"/>
        </w:rPr>
        <w:t>Fraschini</w:t>
      </w:r>
      <w:proofErr w:type="spellEnd"/>
      <w:r w:rsidRPr="00696C9E">
        <w:rPr>
          <w:rFonts w:cstheme="minorBidi"/>
          <w:szCs w:val="22"/>
        </w:rPr>
        <w:t xml:space="preserve">, F., Bizzarri, G. and </w:t>
      </w:r>
      <w:proofErr w:type="spellStart"/>
      <w:r w:rsidRPr="00696C9E">
        <w:rPr>
          <w:rFonts w:cstheme="minorBidi"/>
          <w:szCs w:val="22"/>
        </w:rPr>
        <w:t>Brancorsini</w:t>
      </w:r>
      <w:proofErr w:type="spellEnd"/>
      <w:r w:rsidRPr="00696C9E">
        <w:rPr>
          <w:rFonts w:cstheme="minorBidi"/>
          <w:szCs w:val="22"/>
        </w:rPr>
        <w:t>, S. (2022) ‘Digital technologies and the role of health care professionals: scoping review exploring nurses’ skills in the digital era and in the light of the COVID-19 pandemic’, </w:t>
      </w:r>
      <w:r w:rsidRPr="00696C9E">
        <w:rPr>
          <w:rFonts w:cstheme="minorBidi"/>
          <w:i/>
          <w:iCs/>
          <w:szCs w:val="22"/>
        </w:rPr>
        <w:t>JMIR nursing</w:t>
      </w:r>
      <w:r w:rsidRPr="00696C9E">
        <w:rPr>
          <w:rFonts w:cstheme="minorBidi"/>
          <w:szCs w:val="22"/>
        </w:rPr>
        <w:t xml:space="preserve">, 5(1), p.e37631. Available at: </w:t>
      </w:r>
      <w:hyperlink r:id="rId24" w:history="1">
        <w:r w:rsidRPr="00696C9E">
          <w:rPr>
            <w:rStyle w:val="Hyperlink"/>
            <w:rFonts w:cstheme="minorBidi"/>
            <w:szCs w:val="22"/>
          </w:rPr>
          <w:t>http://dx.doi.org/10.2196/37631</w:t>
        </w:r>
      </w:hyperlink>
      <w:r w:rsidRPr="00696C9E">
        <w:rPr>
          <w:rFonts w:cstheme="minorBidi"/>
          <w:szCs w:val="22"/>
        </w:rPr>
        <w:t xml:space="preserve"> </w:t>
      </w:r>
    </w:p>
    <w:p w14:paraId="3CC5C02C" w14:textId="77777777" w:rsidR="001D4D2C" w:rsidRDefault="001D4D2C" w:rsidP="00BE3439">
      <w:pPr>
        <w:spacing w:line="360" w:lineRule="auto"/>
        <w:ind w:left="720" w:hanging="720"/>
        <w:jc w:val="both"/>
        <w:rPr>
          <w:rFonts w:cstheme="minorBidi"/>
        </w:rPr>
      </w:pPr>
      <w:proofErr w:type="spellStart"/>
      <w:r w:rsidRPr="00ED3CAD">
        <w:rPr>
          <w:rFonts w:cstheme="minorBidi"/>
        </w:rPr>
        <w:t>Kanagala</w:t>
      </w:r>
      <w:proofErr w:type="spellEnd"/>
      <w:r w:rsidRPr="00ED3CAD">
        <w:rPr>
          <w:rFonts w:cstheme="minorBidi"/>
        </w:rPr>
        <w:t xml:space="preserve">, S.G., Gupta, V., Kumawat, S., Anamika, F.N.U., </w:t>
      </w:r>
      <w:proofErr w:type="spellStart"/>
      <w:r w:rsidRPr="00ED3CAD">
        <w:rPr>
          <w:rFonts w:cstheme="minorBidi"/>
        </w:rPr>
        <w:t>McGillen</w:t>
      </w:r>
      <w:proofErr w:type="spellEnd"/>
      <w:r w:rsidRPr="00ED3CAD">
        <w:rPr>
          <w:rFonts w:cstheme="minorBidi"/>
        </w:rPr>
        <w:t>, B. and Jain, R.</w:t>
      </w:r>
      <w:r>
        <w:rPr>
          <w:rFonts w:cstheme="minorBidi"/>
        </w:rPr>
        <w:t xml:space="preserve"> (</w:t>
      </w:r>
      <w:r w:rsidRPr="00ED3CAD">
        <w:rPr>
          <w:rFonts w:cstheme="minorBidi"/>
        </w:rPr>
        <w:t>2023</w:t>
      </w:r>
      <w:r>
        <w:rPr>
          <w:rFonts w:cstheme="minorBidi"/>
        </w:rPr>
        <w:t>)</w:t>
      </w:r>
      <w:r w:rsidRPr="00ED3CAD">
        <w:rPr>
          <w:rFonts w:cstheme="minorBidi"/>
        </w:rPr>
        <w:t xml:space="preserve"> </w:t>
      </w:r>
      <w:r>
        <w:rPr>
          <w:rFonts w:cstheme="minorBidi"/>
        </w:rPr>
        <w:t>‘</w:t>
      </w:r>
      <w:r w:rsidRPr="00ED3CAD">
        <w:rPr>
          <w:rFonts w:cstheme="minorBidi"/>
        </w:rPr>
        <w:t>Hospital at home: emergence of a high-value model of care delivery</w:t>
      </w:r>
      <w:r>
        <w:rPr>
          <w:rFonts w:cstheme="minorBidi"/>
        </w:rPr>
        <w:t>’,</w:t>
      </w:r>
      <w:r w:rsidRPr="00ED3CAD">
        <w:rPr>
          <w:rFonts w:cstheme="minorBidi"/>
        </w:rPr>
        <w:t> </w:t>
      </w:r>
      <w:r w:rsidRPr="00ED3CAD">
        <w:rPr>
          <w:rFonts w:cstheme="minorBidi"/>
          <w:i/>
          <w:iCs/>
        </w:rPr>
        <w:t>The Egyptian journal of internal medicine</w:t>
      </w:r>
      <w:r w:rsidRPr="00ED3CAD">
        <w:rPr>
          <w:rFonts w:cstheme="minorBidi"/>
        </w:rPr>
        <w:t>, 35(1), p.21.</w:t>
      </w:r>
      <w:r>
        <w:rPr>
          <w:rFonts w:cstheme="minorBidi"/>
        </w:rPr>
        <w:t xml:space="preserve"> </w:t>
      </w:r>
      <w:hyperlink r:id="rId25" w:history="1">
        <w:r w:rsidRPr="001B4F01">
          <w:rPr>
            <w:rStyle w:val="Hyperlink"/>
            <w:rFonts w:cstheme="minorBidi"/>
          </w:rPr>
          <w:t>https://doi.org/10.1186/s43162-023-00206-3</w:t>
        </w:r>
      </w:hyperlink>
      <w:r>
        <w:rPr>
          <w:rFonts w:cstheme="minorBidi"/>
        </w:rPr>
        <w:t xml:space="preserve"> </w:t>
      </w:r>
    </w:p>
    <w:p w14:paraId="096A3460" w14:textId="77777777" w:rsidR="001D4D2C" w:rsidRPr="0073291C" w:rsidRDefault="001D4D2C" w:rsidP="005769A3">
      <w:pPr>
        <w:spacing w:line="360" w:lineRule="auto"/>
        <w:ind w:left="720" w:hanging="720"/>
        <w:jc w:val="both"/>
        <w:rPr>
          <w:rFonts w:cstheme="minorBidi"/>
        </w:rPr>
      </w:pPr>
      <w:r w:rsidRPr="0073291C">
        <w:rPr>
          <w:rFonts w:cstheme="minorBidi"/>
        </w:rPr>
        <w:t xml:space="preserve">Kang, H.S. and </w:t>
      </w:r>
      <w:proofErr w:type="spellStart"/>
      <w:r w:rsidRPr="0073291C">
        <w:rPr>
          <w:rFonts w:cstheme="minorBidi"/>
        </w:rPr>
        <w:t>Exworthy</w:t>
      </w:r>
      <w:proofErr w:type="spellEnd"/>
      <w:r w:rsidRPr="0073291C">
        <w:rPr>
          <w:rFonts w:cstheme="minorBidi"/>
        </w:rPr>
        <w:t>, M. (2022) ‘Wearing the future—wearables to empower users to take greater responsibility for their health and care: scoping review’, </w:t>
      </w:r>
      <w:r w:rsidRPr="0073291C">
        <w:rPr>
          <w:rFonts w:cstheme="minorBidi"/>
          <w:i/>
          <w:iCs/>
        </w:rPr>
        <w:t xml:space="preserve">JMIR mHealth and </w:t>
      </w:r>
      <w:proofErr w:type="spellStart"/>
      <w:r w:rsidRPr="0073291C">
        <w:rPr>
          <w:rFonts w:cstheme="minorBidi"/>
          <w:i/>
          <w:iCs/>
        </w:rPr>
        <w:t>uHealth</w:t>
      </w:r>
      <w:proofErr w:type="spellEnd"/>
      <w:r w:rsidRPr="0073291C">
        <w:rPr>
          <w:rFonts w:cstheme="minorBidi"/>
        </w:rPr>
        <w:t>, 10(7), p.e35684.</w:t>
      </w:r>
      <w:r>
        <w:rPr>
          <w:rFonts w:cstheme="minorBidi"/>
        </w:rPr>
        <w:t xml:space="preserve"> </w:t>
      </w:r>
      <w:hyperlink r:id="rId26" w:history="1">
        <w:r w:rsidRPr="001B4F01">
          <w:rPr>
            <w:rStyle w:val="Hyperlink"/>
            <w:rFonts w:cstheme="minorBidi"/>
          </w:rPr>
          <w:t>http://dx.doi.org/10.2196/35684</w:t>
        </w:r>
      </w:hyperlink>
      <w:r>
        <w:rPr>
          <w:rFonts w:cstheme="minorBidi"/>
        </w:rPr>
        <w:t xml:space="preserve"> </w:t>
      </w:r>
    </w:p>
    <w:p w14:paraId="4A67F8ED" w14:textId="77777777" w:rsidR="001D4D2C" w:rsidRDefault="001D4D2C" w:rsidP="00737651">
      <w:pPr>
        <w:spacing w:line="360" w:lineRule="auto"/>
        <w:ind w:left="720" w:hanging="720"/>
        <w:jc w:val="both"/>
        <w:rPr>
          <w:rFonts w:cstheme="minorBidi"/>
        </w:rPr>
      </w:pPr>
      <w:proofErr w:type="spellStart"/>
      <w:r w:rsidRPr="00737651">
        <w:rPr>
          <w:rFonts w:cstheme="minorBidi"/>
        </w:rPr>
        <w:lastRenderedPageBreak/>
        <w:t>Kilanowski</w:t>
      </w:r>
      <w:proofErr w:type="spellEnd"/>
      <w:r w:rsidRPr="00737651">
        <w:rPr>
          <w:rFonts w:cstheme="minorBidi"/>
        </w:rPr>
        <w:t>, J.F.</w:t>
      </w:r>
      <w:r>
        <w:rPr>
          <w:rFonts w:cstheme="minorBidi"/>
        </w:rPr>
        <w:t xml:space="preserve"> (</w:t>
      </w:r>
      <w:r w:rsidRPr="00737651">
        <w:rPr>
          <w:rFonts w:cstheme="minorBidi"/>
        </w:rPr>
        <w:t>2017</w:t>
      </w:r>
      <w:r>
        <w:rPr>
          <w:rFonts w:cstheme="minorBidi"/>
        </w:rPr>
        <w:t>)</w:t>
      </w:r>
      <w:r w:rsidRPr="00737651">
        <w:rPr>
          <w:rFonts w:cstheme="minorBidi"/>
        </w:rPr>
        <w:t xml:space="preserve"> </w:t>
      </w:r>
      <w:r>
        <w:rPr>
          <w:rFonts w:cstheme="minorBidi"/>
        </w:rPr>
        <w:t>‘</w:t>
      </w:r>
      <w:r w:rsidRPr="00737651">
        <w:rPr>
          <w:rFonts w:cstheme="minorBidi"/>
        </w:rPr>
        <w:t>Breadth of the socio-ecological model</w:t>
      </w:r>
      <w:r>
        <w:rPr>
          <w:rFonts w:cstheme="minorBidi"/>
        </w:rPr>
        <w:t>’,</w:t>
      </w:r>
      <w:r w:rsidRPr="00737651">
        <w:rPr>
          <w:rFonts w:cstheme="minorBidi"/>
        </w:rPr>
        <w:t> </w:t>
      </w:r>
      <w:r w:rsidRPr="00737651">
        <w:rPr>
          <w:rFonts w:cstheme="minorBidi"/>
          <w:i/>
          <w:iCs/>
        </w:rPr>
        <w:t xml:space="preserve">Journal of </w:t>
      </w:r>
      <w:proofErr w:type="spellStart"/>
      <w:r w:rsidRPr="00737651">
        <w:rPr>
          <w:rFonts w:cstheme="minorBidi"/>
          <w:i/>
          <w:iCs/>
        </w:rPr>
        <w:t>agromedicine</w:t>
      </w:r>
      <w:proofErr w:type="spellEnd"/>
      <w:r w:rsidRPr="00737651">
        <w:rPr>
          <w:rFonts w:cstheme="minorBidi"/>
        </w:rPr>
        <w:t>, </w:t>
      </w:r>
      <w:r w:rsidRPr="00737651">
        <w:rPr>
          <w:rFonts w:cstheme="minorBidi"/>
          <w:i/>
          <w:iCs/>
        </w:rPr>
        <w:t>22</w:t>
      </w:r>
      <w:r w:rsidRPr="00737651">
        <w:rPr>
          <w:rFonts w:cstheme="minorBidi"/>
        </w:rPr>
        <w:t>(4), pp.295-297.</w:t>
      </w:r>
      <w:r>
        <w:rPr>
          <w:rFonts w:cstheme="minorBidi"/>
        </w:rPr>
        <w:t xml:space="preserve"> Available at:  </w:t>
      </w:r>
      <w:hyperlink r:id="rId27" w:history="1">
        <w:r w:rsidRPr="00737A11">
          <w:rPr>
            <w:rStyle w:val="Hyperlink"/>
            <w:rFonts w:cstheme="minorBidi"/>
          </w:rPr>
          <w:t>https://doi.org/10.1080/1059924X.2017.1358971</w:t>
        </w:r>
      </w:hyperlink>
      <w:r>
        <w:rPr>
          <w:rFonts w:cstheme="minorBidi"/>
        </w:rPr>
        <w:t xml:space="preserve"> </w:t>
      </w:r>
    </w:p>
    <w:p w14:paraId="11C582D4" w14:textId="77777777" w:rsidR="001D4D2C" w:rsidRPr="00084EBD" w:rsidRDefault="001D4D2C" w:rsidP="005769A3">
      <w:pPr>
        <w:spacing w:line="360" w:lineRule="auto"/>
        <w:ind w:left="720" w:hanging="720"/>
        <w:jc w:val="both"/>
        <w:rPr>
          <w:rFonts w:cstheme="minorBidi"/>
          <w:szCs w:val="22"/>
        </w:rPr>
      </w:pPr>
      <w:proofErr w:type="spellStart"/>
      <w:r w:rsidRPr="0073291C">
        <w:rPr>
          <w:rFonts w:cstheme="minorBidi"/>
        </w:rPr>
        <w:t>Konttila</w:t>
      </w:r>
      <w:proofErr w:type="spellEnd"/>
      <w:r w:rsidRPr="0073291C">
        <w:rPr>
          <w:rFonts w:cstheme="minorBidi"/>
        </w:rPr>
        <w:t xml:space="preserve">, J., </w:t>
      </w:r>
      <w:proofErr w:type="spellStart"/>
      <w:r w:rsidRPr="0073291C">
        <w:rPr>
          <w:rFonts w:cstheme="minorBidi"/>
        </w:rPr>
        <w:t>Siira</w:t>
      </w:r>
      <w:proofErr w:type="spellEnd"/>
      <w:r w:rsidRPr="0073291C">
        <w:rPr>
          <w:rFonts w:cstheme="minorBidi"/>
        </w:rPr>
        <w:t xml:space="preserve">, H., </w:t>
      </w:r>
      <w:proofErr w:type="spellStart"/>
      <w:r w:rsidRPr="0073291C">
        <w:rPr>
          <w:rFonts w:cstheme="minorBidi"/>
        </w:rPr>
        <w:t>Kyngäs</w:t>
      </w:r>
      <w:proofErr w:type="spellEnd"/>
      <w:r w:rsidRPr="0073291C">
        <w:rPr>
          <w:rFonts w:cstheme="minorBidi"/>
        </w:rPr>
        <w:t xml:space="preserve">, H., </w:t>
      </w:r>
      <w:proofErr w:type="spellStart"/>
      <w:r w:rsidRPr="0073291C">
        <w:rPr>
          <w:rFonts w:cstheme="minorBidi"/>
        </w:rPr>
        <w:t>Lahtinen</w:t>
      </w:r>
      <w:proofErr w:type="spellEnd"/>
      <w:r w:rsidRPr="0073291C">
        <w:rPr>
          <w:rFonts w:cstheme="minorBidi"/>
        </w:rPr>
        <w:t xml:space="preserve">, M., Elo, S., </w:t>
      </w:r>
      <w:proofErr w:type="spellStart"/>
      <w:r w:rsidRPr="0073291C">
        <w:rPr>
          <w:rFonts w:cstheme="minorBidi"/>
        </w:rPr>
        <w:t>Kääriäinen</w:t>
      </w:r>
      <w:proofErr w:type="spellEnd"/>
      <w:r w:rsidRPr="0073291C">
        <w:rPr>
          <w:rFonts w:cstheme="minorBidi"/>
        </w:rPr>
        <w:t xml:space="preserve">, M., Kaakinen, P., </w:t>
      </w:r>
      <w:proofErr w:type="spellStart"/>
      <w:r w:rsidRPr="0073291C">
        <w:rPr>
          <w:rFonts w:cstheme="minorBidi"/>
        </w:rPr>
        <w:t>Oikarinen</w:t>
      </w:r>
      <w:proofErr w:type="spellEnd"/>
      <w:r w:rsidRPr="0073291C">
        <w:rPr>
          <w:rFonts w:cstheme="minorBidi"/>
        </w:rPr>
        <w:t xml:space="preserve">, A., </w:t>
      </w:r>
      <w:proofErr w:type="spellStart"/>
      <w:r w:rsidRPr="0073291C">
        <w:rPr>
          <w:rFonts w:cstheme="minorBidi"/>
        </w:rPr>
        <w:t>Yamakawa</w:t>
      </w:r>
      <w:proofErr w:type="spellEnd"/>
      <w:r w:rsidRPr="0073291C">
        <w:rPr>
          <w:rFonts w:cstheme="minorBidi"/>
        </w:rPr>
        <w:t xml:space="preserve">, M., Fukui, S. and </w:t>
      </w:r>
      <w:proofErr w:type="spellStart"/>
      <w:r w:rsidRPr="0073291C">
        <w:rPr>
          <w:rFonts w:cstheme="minorBidi"/>
        </w:rPr>
        <w:t>Utsumi</w:t>
      </w:r>
      <w:proofErr w:type="spellEnd"/>
      <w:r w:rsidRPr="0073291C">
        <w:rPr>
          <w:rFonts w:cstheme="minorBidi"/>
        </w:rPr>
        <w:t xml:space="preserve">, M. (2019) ‘Healthcare </w:t>
      </w:r>
      <w:r w:rsidRPr="00084EBD">
        <w:rPr>
          <w:rFonts w:cstheme="minorBidi"/>
          <w:szCs w:val="22"/>
        </w:rPr>
        <w:t xml:space="preserve">professionals’ competence in digitalisation: A systematic review’, </w:t>
      </w:r>
      <w:r w:rsidRPr="00084EBD">
        <w:rPr>
          <w:rFonts w:cstheme="minorBidi"/>
          <w:i/>
          <w:iCs/>
          <w:szCs w:val="22"/>
        </w:rPr>
        <w:t>Journal of clinical nursing</w:t>
      </w:r>
      <w:r w:rsidRPr="00084EBD">
        <w:rPr>
          <w:rFonts w:cstheme="minorBidi"/>
          <w:szCs w:val="22"/>
        </w:rPr>
        <w:t>, 28(5-6), pp.745-761.</w:t>
      </w:r>
      <w:r>
        <w:rPr>
          <w:rFonts w:cstheme="minorBidi"/>
          <w:szCs w:val="22"/>
        </w:rPr>
        <w:t xml:space="preserve"> Available at: </w:t>
      </w:r>
      <w:hyperlink r:id="rId28" w:history="1">
        <w:r w:rsidRPr="001B4F01">
          <w:rPr>
            <w:rStyle w:val="Hyperlink"/>
            <w:rFonts w:cstheme="minorBidi"/>
            <w:szCs w:val="22"/>
          </w:rPr>
          <w:t>https://oulurepo.oulu.fi/bitstream/handle/10024/23675/nbnfi-fe201903077361.pdf?sequence=1</w:t>
        </w:r>
      </w:hyperlink>
      <w:r>
        <w:rPr>
          <w:rFonts w:cstheme="minorBidi"/>
          <w:szCs w:val="22"/>
        </w:rPr>
        <w:t xml:space="preserve"> </w:t>
      </w:r>
    </w:p>
    <w:p w14:paraId="6138B39D" w14:textId="77777777" w:rsidR="001D4D2C" w:rsidRPr="00084EBD" w:rsidRDefault="001D4D2C" w:rsidP="005769A3">
      <w:pPr>
        <w:spacing w:line="360" w:lineRule="auto"/>
        <w:ind w:left="720" w:hanging="720"/>
        <w:jc w:val="both"/>
        <w:rPr>
          <w:rFonts w:cstheme="minorBidi"/>
          <w:szCs w:val="22"/>
        </w:rPr>
      </w:pPr>
      <w:r w:rsidRPr="00084EBD">
        <w:rPr>
          <w:rFonts w:eastAsia="Times New Roman" w:cstheme="minorBidi"/>
          <w:kern w:val="0"/>
          <w:szCs w:val="22"/>
          <w:lang w:eastAsia="en-GB"/>
        </w:rPr>
        <w:t>LOTI</w:t>
      </w:r>
      <w:r>
        <w:rPr>
          <w:rFonts w:eastAsia="Times New Roman" w:cstheme="minorBidi"/>
          <w:kern w:val="0"/>
          <w:szCs w:val="22"/>
          <w:lang w:eastAsia="en-GB"/>
        </w:rPr>
        <w:t xml:space="preserve">. </w:t>
      </w:r>
      <w:r w:rsidRPr="00084EBD">
        <w:rPr>
          <w:rFonts w:eastAsia="Times New Roman" w:cstheme="minorBidi"/>
          <w:kern w:val="0"/>
          <w:szCs w:val="22"/>
          <w:lang w:eastAsia="en-GB"/>
        </w:rPr>
        <w:t>(2022)</w:t>
      </w:r>
      <w:r>
        <w:rPr>
          <w:rFonts w:eastAsia="Times New Roman" w:cstheme="minorBidi"/>
          <w:kern w:val="0"/>
          <w:szCs w:val="22"/>
          <w:lang w:eastAsia="en-GB"/>
        </w:rPr>
        <w:t xml:space="preserve"> </w:t>
      </w:r>
      <w:r w:rsidRPr="00084EBD">
        <w:rPr>
          <w:rFonts w:eastAsia="Times New Roman" w:cstheme="minorBidi"/>
          <w:i/>
          <w:iCs/>
          <w:kern w:val="0"/>
          <w:szCs w:val="22"/>
          <w:lang w:eastAsia="en-GB"/>
        </w:rPr>
        <w:t>Digital Inclusion in London</w:t>
      </w:r>
      <w:r w:rsidRPr="00084EBD">
        <w:rPr>
          <w:rFonts w:eastAsia="Times New Roman" w:cstheme="minorBidi"/>
          <w:kern w:val="0"/>
          <w:szCs w:val="22"/>
          <w:lang w:eastAsia="en-GB"/>
        </w:rPr>
        <w:t xml:space="preserve">. [online] Available at: </w:t>
      </w:r>
      <w:hyperlink r:id="rId29" w:history="1">
        <w:r w:rsidRPr="00084EBD">
          <w:rPr>
            <w:rStyle w:val="Hyperlink"/>
            <w:rFonts w:eastAsia="Times New Roman" w:cstheme="minorBidi"/>
            <w:kern w:val="0"/>
            <w:szCs w:val="22"/>
            <w:lang w:eastAsia="en-GB"/>
          </w:rPr>
          <w:t>https://loti.london/wp-content/uploads/2022/02/LOTI-Digital_Inclusion_Report.pdf</w:t>
        </w:r>
      </w:hyperlink>
      <w:r w:rsidRPr="00084EBD">
        <w:rPr>
          <w:rFonts w:eastAsia="Times New Roman" w:cstheme="minorBidi"/>
          <w:kern w:val="0"/>
          <w:szCs w:val="22"/>
          <w:lang w:eastAsia="en-GB"/>
        </w:rPr>
        <w:t>.</w:t>
      </w:r>
      <w:r w:rsidRPr="00084EBD">
        <w:rPr>
          <w:rFonts w:cstheme="minorBidi"/>
          <w:szCs w:val="22"/>
        </w:rPr>
        <w:t xml:space="preserve"> [Accessed 23 Jun. 2026].</w:t>
      </w:r>
    </w:p>
    <w:p w14:paraId="574F7B81" w14:textId="77777777" w:rsidR="001D4D2C" w:rsidRDefault="001D4D2C" w:rsidP="00D85981">
      <w:pPr>
        <w:spacing w:line="360" w:lineRule="auto"/>
        <w:ind w:left="720" w:hanging="720"/>
        <w:jc w:val="both"/>
        <w:rPr>
          <w:rFonts w:cstheme="minorBidi"/>
        </w:rPr>
      </w:pPr>
      <w:r w:rsidRPr="00D85981">
        <w:rPr>
          <w:rFonts w:cstheme="minorBidi"/>
        </w:rPr>
        <w:t>Moody, L., Wood, E., Needham, A., Booth, A., Jimenez-Aranda, A. and Tindale, W.</w:t>
      </w:r>
      <w:r>
        <w:rPr>
          <w:rFonts w:cstheme="minorBidi"/>
        </w:rPr>
        <w:t xml:space="preserve"> (</w:t>
      </w:r>
      <w:r w:rsidRPr="00D85981">
        <w:rPr>
          <w:rFonts w:cstheme="minorBidi"/>
        </w:rPr>
        <w:t>2022</w:t>
      </w:r>
      <w:r>
        <w:rPr>
          <w:rFonts w:cstheme="minorBidi"/>
        </w:rPr>
        <w:t>)</w:t>
      </w:r>
      <w:r w:rsidRPr="00D85981">
        <w:rPr>
          <w:rFonts w:cstheme="minorBidi"/>
        </w:rPr>
        <w:t xml:space="preserve"> </w:t>
      </w:r>
      <w:r>
        <w:rPr>
          <w:rFonts w:cstheme="minorBidi"/>
        </w:rPr>
        <w:t>‘</w:t>
      </w:r>
      <w:r w:rsidRPr="00D85981">
        <w:rPr>
          <w:rFonts w:cstheme="minorBidi"/>
        </w:rPr>
        <w:t>Identifying individual enablers and barriers to the use of digital technology for the self-management of long-term conditions by older adults</w:t>
      </w:r>
      <w:r>
        <w:rPr>
          <w:rFonts w:cstheme="minorBidi"/>
        </w:rPr>
        <w:t>’,</w:t>
      </w:r>
      <w:r w:rsidRPr="00D85981">
        <w:rPr>
          <w:rFonts w:cstheme="minorBidi"/>
        </w:rPr>
        <w:t> </w:t>
      </w:r>
      <w:r w:rsidRPr="00D85981">
        <w:rPr>
          <w:rFonts w:cstheme="minorBidi"/>
          <w:i/>
          <w:iCs/>
        </w:rPr>
        <w:t>Journal of Medical Engineering &amp; Technology</w:t>
      </w:r>
      <w:r w:rsidRPr="00D85981">
        <w:rPr>
          <w:rFonts w:cstheme="minorBidi"/>
        </w:rPr>
        <w:t>, 46(6), pp.448-461.</w:t>
      </w:r>
      <w:r>
        <w:rPr>
          <w:rFonts w:cstheme="minorBidi"/>
        </w:rPr>
        <w:t xml:space="preserve"> Available at:  </w:t>
      </w:r>
      <w:hyperlink r:id="rId30" w:history="1">
        <w:r w:rsidRPr="001B4F01">
          <w:rPr>
            <w:rStyle w:val="Hyperlink"/>
            <w:rFonts w:cstheme="minorBidi"/>
          </w:rPr>
          <w:t>https://doi.org/10.1080/03091902.2022.2089249</w:t>
        </w:r>
      </w:hyperlink>
      <w:r>
        <w:rPr>
          <w:rFonts w:cstheme="minorBidi"/>
        </w:rPr>
        <w:t xml:space="preserve"> </w:t>
      </w:r>
    </w:p>
    <w:p w14:paraId="1F41EC2A" w14:textId="77777777" w:rsidR="001D4D2C" w:rsidRPr="00084EBD" w:rsidRDefault="001D4D2C" w:rsidP="005769A3">
      <w:pPr>
        <w:spacing w:line="360" w:lineRule="auto"/>
        <w:ind w:left="720" w:hanging="720"/>
        <w:jc w:val="both"/>
        <w:rPr>
          <w:rFonts w:cstheme="minorBidi"/>
          <w:szCs w:val="22"/>
        </w:rPr>
      </w:pPr>
      <w:proofErr w:type="spellStart"/>
      <w:r w:rsidRPr="00084EBD">
        <w:rPr>
          <w:rFonts w:cstheme="minorBidi"/>
          <w:szCs w:val="22"/>
        </w:rPr>
        <w:t>Murala</w:t>
      </w:r>
      <w:proofErr w:type="spellEnd"/>
      <w:r w:rsidRPr="00084EBD">
        <w:rPr>
          <w:rFonts w:cstheme="minorBidi"/>
          <w:szCs w:val="22"/>
        </w:rPr>
        <w:t>, D.K., Panda, S.K. and Dash, S.P. (2023) ‘</w:t>
      </w:r>
      <w:proofErr w:type="spellStart"/>
      <w:r w:rsidRPr="00084EBD">
        <w:rPr>
          <w:rFonts w:cstheme="minorBidi"/>
          <w:szCs w:val="22"/>
        </w:rPr>
        <w:t>MedMetaverse</w:t>
      </w:r>
      <w:proofErr w:type="spellEnd"/>
      <w:r w:rsidRPr="00084EBD">
        <w:rPr>
          <w:rFonts w:cstheme="minorBidi"/>
          <w:szCs w:val="22"/>
        </w:rPr>
        <w:t>: Medical care of chronic disease patients and managing data using artificial intelligence, blockchain, and wearable devices state-of-the-art methodology’, </w:t>
      </w:r>
      <w:r w:rsidRPr="00084EBD">
        <w:rPr>
          <w:rFonts w:cstheme="minorBidi"/>
          <w:i/>
          <w:iCs/>
          <w:szCs w:val="22"/>
        </w:rPr>
        <w:t>IEEE access</w:t>
      </w:r>
      <w:r w:rsidRPr="00084EBD">
        <w:rPr>
          <w:rFonts w:cstheme="minorBidi"/>
          <w:szCs w:val="22"/>
        </w:rPr>
        <w:t>, 11, pp.138954-138985.</w:t>
      </w:r>
      <w:r>
        <w:rPr>
          <w:rFonts w:cstheme="minorBidi"/>
          <w:szCs w:val="22"/>
        </w:rPr>
        <w:t xml:space="preserve"> Available at: </w:t>
      </w:r>
      <w:hyperlink r:id="rId31" w:history="1">
        <w:r w:rsidRPr="001B4F01">
          <w:rPr>
            <w:rStyle w:val="Hyperlink"/>
            <w:rFonts w:cstheme="minorBidi"/>
            <w:szCs w:val="22"/>
          </w:rPr>
          <w:t>https://doi.org/10.1109/ACCESS.2023.3340791</w:t>
        </w:r>
      </w:hyperlink>
      <w:r>
        <w:rPr>
          <w:rFonts w:cstheme="minorBidi"/>
          <w:szCs w:val="22"/>
        </w:rPr>
        <w:t xml:space="preserve"> </w:t>
      </w:r>
    </w:p>
    <w:p w14:paraId="3F0DDB1A" w14:textId="77777777" w:rsidR="001D4D2C" w:rsidRPr="0073291C" w:rsidRDefault="001D4D2C" w:rsidP="005769A3">
      <w:pPr>
        <w:spacing w:line="360" w:lineRule="auto"/>
        <w:ind w:left="720" w:hanging="720"/>
        <w:jc w:val="both"/>
        <w:rPr>
          <w:rFonts w:cstheme="minorBidi"/>
        </w:rPr>
      </w:pPr>
      <w:r w:rsidRPr="00676FB2">
        <w:rPr>
          <w:rFonts w:cstheme="minorBidi"/>
        </w:rPr>
        <w:t>NHS England</w:t>
      </w:r>
      <w:r>
        <w:rPr>
          <w:rFonts w:cstheme="minorBidi"/>
        </w:rPr>
        <w:t xml:space="preserve">. </w:t>
      </w:r>
      <w:r w:rsidRPr="00676FB2">
        <w:rPr>
          <w:rFonts w:cstheme="minorBidi"/>
        </w:rPr>
        <w:t>(2022)</w:t>
      </w:r>
      <w:r>
        <w:rPr>
          <w:rFonts w:cstheme="minorBidi"/>
        </w:rPr>
        <w:t xml:space="preserve"> </w:t>
      </w:r>
      <w:r w:rsidRPr="00676FB2">
        <w:rPr>
          <w:rFonts w:cstheme="minorBidi"/>
          <w:i/>
          <w:iCs/>
        </w:rPr>
        <w:t>Personalised Care and Support Planning</w:t>
      </w:r>
      <w:r w:rsidRPr="00676FB2">
        <w:rPr>
          <w:rFonts w:cstheme="minorBidi"/>
        </w:rPr>
        <w:t xml:space="preserve">. [online] NHS England. Available at: </w:t>
      </w:r>
      <w:hyperlink r:id="rId32" w:history="1">
        <w:r w:rsidRPr="00FF7655">
          <w:rPr>
            <w:rStyle w:val="Hyperlink"/>
            <w:rFonts w:cstheme="minorBidi"/>
          </w:rPr>
          <w:t>https://www.england.nhs.uk/personalisedcare/pcsp/</w:t>
        </w:r>
      </w:hyperlink>
      <w:r>
        <w:rPr>
          <w:rFonts w:cstheme="minorBidi"/>
        </w:rPr>
        <w:t xml:space="preserve"> </w:t>
      </w:r>
    </w:p>
    <w:p w14:paraId="119B581A" w14:textId="77777777" w:rsidR="001D4D2C" w:rsidRPr="00084EBD" w:rsidRDefault="001D4D2C" w:rsidP="005769A3">
      <w:pPr>
        <w:spacing w:line="360" w:lineRule="auto"/>
        <w:ind w:left="720" w:hanging="720"/>
        <w:jc w:val="both"/>
        <w:rPr>
          <w:rFonts w:cstheme="minorBidi"/>
          <w:szCs w:val="22"/>
        </w:rPr>
      </w:pPr>
      <w:r w:rsidRPr="00084EBD">
        <w:rPr>
          <w:rFonts w:cstheme="minorBidi"/>
          <w:szCs w:val="22"/>
        </w:rPr>
        <w:t>NHS</w:t>
      </w:r>
      <w:r>
        <w:rPr>
          <w:rFonts w:cstheme="minorBidi"/>
          <w:szCs w:val="22"/>
        </w:rPr>
        <w:t xml:space="preserve">. </w:t>
      </w:r>
      <w:r w:rsidRPr="00084EBD">
        <w:rPr>
          <w:rFonts w:cstheme="minorBidi"/>
          <w:szCs w:val="22"/>
        </w:rPr>
        <w:t xml:space="preserve">(2023) </w:t>
      </w:r>
      <w:r w:rsidRPr="00084EBD">
        <w:rPr>
          <w:rFonts w:cstheme="minorBidi"/>
          <w:i/>
          <w:iCs/>
          <w:szCs w:val="22"/>
        </w:rPr>
        <w:t>NHS England — London» More London patients benefitting from hospital-level care at home</w:t>
      </w:r>
      <w:r w:rsidRPr="00084EBD">
        <w:rPr>
          <w:rFonts w:cstheme="minorBidi"/>
          <w:szCs w:val="22"/>
        </w:rPr>
        <w:t xml:space="preserve">. [online] England.nhs.uk. Available at: </w:t>
      </w:r>
      <w:hyperlink r:id="rId33" w:history="1">
        <w:r w:rsidRPr="00084EBD">
          <w:rPr>
            <w:rStyle w:val="Hyperlink"/>
            <w:rFonts w:cstheme="minorBidi"/>
            <w:szCs w:val="22"/>
          </w:rPr>
          <w:t>https://www.england.nhs.uk/london/2023/10/12/more-london-patients-benefitting-from-hospital-level-care-at-home</w:t>
        </w:r>
      </w:hyperlink>
      <w:r w:rsidRPr="00084EBD">
        <w:rPr>
          <w:rFonts w:cstheme="minorBidi"/>
          <w:szCs w:val="22"/>
        </w:rPr>
        <w:t xml:space="preserve">  [Accessed 23 Jun. 2026].</w:t>
      </w:r>
    </w:p>
    <w:p w14:paraId="0F8FA741" w14:textId="77777777" w:rsidR="001D4D2C" w:rsidRPr="0073291C" w:rsidRDefault="001D4D2C" w:rsidP="005769A3">
      <w:pPr>
        <w:spacing w:line="360" w:lineRule="auto"/>
        <w:ind w:left="720" w:hanging="720"/>
        <w:jc w:val="both"/>
        <w:rPr>
          <w:rFonts w:cstheme="minorBidi"/>
        </w:rPr>
      </w:pPr>
      <w:r w:rsidRPr="0073291C">
        <w:rPr>
          <w:rFonts w:cstheme="minorBidi"/>
        </w:rPr>
        <w:t>NHS</w:t>
      </w:r>
      <w:r>
        <w:rPr>
          <w:rFonts w:cstheme="minorBidi"/>
        </w:rPr>
        <w:t xml:space="preserve">. </w:t>
      </w:r>
      <w:r w:rsidRPr="0073291C">
        <w:rPr>
          <w:rFonts w:cstheme="minorBidi"/>
        </w:rPr>
        <w:t xml:space="preserve">(2024) </w:t>
      </w:r>
      <w:r w:rsidRPr="0073291C">
        <w:rPr>
          <w:rFonts w:cstheme="minorBidi"/>
          <w:i/>
          <w:iCs/>
        </w:rPr>
        <w:t>NHS England - NHS Long Term Workforce Plan</w:t>
      </w:r>
      <w:r w:rsidRPr="0073291C">
        <w:rPr>
          <w:rFonts w:cstheme="minorBidi"/>
        </w:rPr>
        <w:t xml:space="preserve">. [online] NHS England. Available at: </w:t>
      </w:r>
      <w:hyperlink r:id="rId34" w:history="1">
        <w:r w:rsidRPr="0073291C">
          <w:rPr>
            <w:rStyle w:val="Hyperlink"/>
            <w:rFonts w:cstheme="minorBidi"/>
          </w:rPr>
          <w:t>https://www.england.nhs.uk/long-read/nhs-long-term-workforce-plan-2/</w:t>
        </w:r>
      </w:hyperlink>
      <w:r w:rsidRPr="0073291C">
        <w:rPr>
          <w:rFonts w:cstheme="minorBidi"/>
        </w:rPr>
        <w:t>. [Accessed 23 Jun. 2026].</w:t>
      </w:r>
    </w:p>
    <w:p w14:paraId="151018DF" w14:textId="77777777" w:rsidR="001D4D2C" w:rsidRPr="0073291C" w:rsidRDefault="001D4D2C" w:rsidP="005769A3">
      <w:pPr>
        <w:spacing w:line="360" w:lineRule="auto"/>
        <w:ind w:left="720" w:hanging="720"/>
        <w:jc w:val="both"/>
        <w:rPr>
          <w:rFonts w:cstheme="minorBidi"/>
        </w:rPr>
      </w:pPr>
      <w:r w:rsidRPr="0073291C">
        <w:rPr>
          <w:rFonts w:cstheme="minorBidi"/>
        </w:rPr>
        <w:t>NHS</w:t>
      </w:r>
      <w:r>
        <w:rPr>
          <w:rFonts w:cstheme="minorBidi"/>
        </w:rPr>
        <w:t xml:space="preserve">. </w:t>
      </w:r>
      <w:r w:rsidRPr="0073291C">
        <w:rPr>
          <w:rFonts w:cstheme="minorBidi"/>
        </w:rPr>
        <w:t xml:space="preserve">(2026) </w:t>
      </w:r>
      <w:r w:rsidRPr="0073291C">
        <w:rPr>
          <w:rFonts w:cstheme="minorBidi"/>
          <w:i/>
          <w:iCs/>
        </w:rPr>
        <w:t>Virtual wards</w:t>
      </w:r>
      <w:r w:rsidRPr="0073291C">
        <w:rPr>
          <w:rFonts w:cstheme="minorBidi"/>
        </w:rPr>
        <w:t xml:space="preserve">. [online] NHS. Available at: </w:t>
      </w:r>
      <w:hyperlink r:id="rId35" w:history="1">
        <w:r w:rsidRPr="0073291C">
          <w:rPr>
            <w:rStyle w:val="Hyperlink"/>
            <w:rFonts w:cstheme="minorBidi"/>
          </w:rPr>
          <w:t>https://digital.nhs.uk/data-and-information/information-governance/guidance/virtual-wards</w:t>
        </w:r>
      </w:hyperlink>
      <w:r w:rsidRPr="0073291C">
        <w:rPr>
          <w:rFonts w:cstheme="minorBidi"/>
        </w:rPr>
        <w:t>. [Accessed 23 Jun. 2026].</w:t>
      </w:r>
    </w:p>
    <w:p w14:paraId="2596D597" w14:textId="77777777" w:rsidR="001D4D2C" w:rsidRPr="0073291C" w:rsidRDefault="001D4D2C" w:rsidP="005769A3">
      <w:pPr>
        <w:spacing w:line="360" w:lineRule="auto"/>
        <w:ind w:left="720" w:hanging="720"/>
        <w:jc w:val="both"/>
        <w:rPr>
          <w:rFonts w:cstheme="minorBidi"/>
        </w:rPr>
      </w:pPr>
      <w:r w:rsidRPr="004469D8">
        <w:rPr>
          <w:rFonts w:cstheme="minorBidi"/>
        </w:rPr>
        <w:lastRenderedPageBreak/>
        <w:t>Saeed, M., Roy, K.K., Lama, K.Y., Azzawi, M.A. and Arafat, Y.</w:t>
      </w:r>
      <w:r>
        <w:rPr>
          <w:rFonts w:cstheme="minorBidi"/>
        </w:rPr>
        <w:t xml:space="preserve"> (</w:t>
      </w:r>
      <w:r w:rsidRPr="004469D8">
        <w:rPr>
          <w:rFonts w:cstheme="minorBidi"/>
        </w:rPr>
        <w:t>2025</w:t>
      </w:r>
      <w:r>
        <w:rPr>
          <w:rFonts w:cstheme="minorBidi"/>
        </w:rPr>
        <w:t>)</w:t>
      </w:r>
      <w:r w:rsidRPr="004469D8">
        <w:rPr>
          <w:rFonts w:cstheme="minorBidi"/>
        </w:rPr>
        <w:t xml:space="preserve"> </w:t>
      </w:r>
      <w:r>
        <w:rPr>
          <w:rFonts w:cstheme="minorBidi"/>
        </w:rPr>
        <w:t>‘</w:t>
      </w:r>
      <w:r w:rsidRPr="004469D8">
        <w:rPr>
          <w:rFonts w:cstheme="minorBidi"/>
        </w:rPr>
        <w:t>IOT and Wearable Technology in Patient Monitoring: Business Analytics Applications for Real-Time Health Management</w:t>
      </w:r>
      <w:r>
        <w:rPr>
          <w:rFonts w:cstheme="minorBidi"/>
        </w:rPr>
        <w:t>’,</w:t>
      </w:r>
      <w:r w:rsidRPr="004469D8">
        <w:rPr>
          <w:rFonts w:cstheme="minorBidi"/>
        </w:rPr>
        <w:t> </w:t>
      </w:r>
      <w:r w:rsidRPr="004469D8">
        <w:rPr>
          <w:rFonts w:cstheme="minorBidi"/>
          <w:i/>
          <w:iCs/>
        </w:rPr>
        <w:t>The American Journal of ET</w:t>
      </w:r>
      <w:r w:rsidRPr="004469D8">
        <w:rPr>
          <w:rFonts w:cstheme="minorBidi"/>
        </w:rPr>
        <w:t>, 7(8), pp.226-246.</w:t>
      </w:r>
      <w:r>
        <w:rPr>
          <w:rFonts w:cstheme="minorBidi"/>
        </w:rPr>
        <w:t xml:space="preserve"> Available at: </w:t>
      </w:r>
      <w:hyperlink r:id="rId36" w:history="1">
        <w:r w:rsidRPr="001B4F01">
          <w:rPr>
            <w:rStyle w:val="Hyperlink"/>
            <w:rFonts w:cstheme="minorBidi"/>
          </w:rPr>
          <w:t>https://doi.org/10.37547/tajet/Volume07Issue08-18</w:t>
        </w:r>
      </w:hyperlink>
      <w:r>
        <w:rPr>
          <w:rFonts w:cstheme="minorBidi"/>
        </w:rPr>
        <w:t xml:space="preserve"> </w:t>
      </w:r>
    </w:p>
    <w:p w14:paraId="268CCCA3" w14:textId="77777777" w:rsidR="001D4D2C" w:rsidRPr="0073291C" w:rsidRDefault="001D4D2C" w:rsidP="005769A3">
      <w:pPr>
        <w:spacing w:line="360" w:lineRule="auto"/>
        <w:ind w:left="720" w:hanging="720"/>
        <w:jc w:val="both"/>
        <w:rPr>
          <w:rFonts w:cstheme="minorBidi"/>
        </w:rPr>
      </w:pPr>
      <w:proofErr w:type="spellStart"/>
      <w:r w:rsidRPr="0073291C">
        <w:rPr>
          <w:rFonts w:cstheme="minorBidi"/>
        </w:rPr>
        <w:t>Skovgaard</w:t>
      </w:r>
      <w:proofErr w:type="spellEnd"/>
      <w:r w:rsidRPr="0073291C">
        <w:rPr>
          <w:rFonts w:cstheme="minorBidi"/>
        </w:rPr>
        <w:t xml:space="preserve">, L., Steenberg, J.L. and </w:t>
      </w:r>
      <w:proofErr w:type="spellStart"/>
      <w:r w:rsidRPr="0073291C">
        <w:rPr>
          <w:rFonts w:cstheme="minorBidi"/>
        </w:rPr>
        <w:t>Lynning</w:t>
      </w:r>
      <w:proofErr w:type="spellEnd"/>
      <w:r w:rsidRPr="0073291C">
        <w:rPr>
          <w:rFonts w:cstheme="minorBidi"/>
        </w:rPr>
        <w:t>, M. (2024) ‘Perceived usefulness of digital self-tracking among people with multiple sclerosis’, </w:t>
      </w:r>
      <w:r w:rsidRPr="0073291C">
        <w:rPr>
          <w:rFonts w:cstheme="minorBidi"/>
          <w:i/>
          <w:iCs/>
        </w:rPr>
        <w:t>Digital Health</w:t>
      </w:r>
      <w:r w:rsidRPr="0073291C">
        <w:rPr>
          <w:rFonts w:cstheme="minorBidi"/>
        </w:rPr>
        <w:t>, </w:t>
      </w:r>
      <w:r w:rsidRPr="0073291C">
        <w:rPr>
          <w:rFonts w:cstheme="minorBidi"/>
          <w:i/>
          <w:iCs/>
        </w:rPr>
        <w:t>10</w:t>
      </w:r>
      <w:r w:rsidRPr="0073291C">
        <w:rPr>
          <w:rFonts w:cstheme="minorBidi"/>
        </w:rPr>
        <w:t>, p.20552076241264389.</w:t>
      </w:r>
      <w:r>
        <w:rPr>
          <w:rFonts w:cstheme="minorBidi"/>
        </w:rPr>
        <w:t xml:space="preserve"> Available at: </w:t>
      </w:r>
      <w:hyperlink r:id="rId37" w:history="1">
        <w:r w:rsidRPr="001B4F01">
          <w:rPr>
            <w:rStyle w:val="Hyperlink"/>
            <w:rFonts w:cstheme="minorBidi"/>
          </w:rPr>
          <w:t>https://doi.org/10.1177/20552076241264389</w:t>
        </w:r>
      </w:hyperlink>
      <w:r>
        <w:rPr>
          <w:rFonts w:cstheme="minorBidi"/>
        </w:rPr>
        <w:t xml:space="preserve"> </w:t>
      </w:r>
    </w:p>
    <w:p w14:paraId="02934756" w14:textId="77777777" w:rsidR="001D4D2C" w:rsidRDefault="001D4D2C" w:rsidP="005769A3">
      <w:pPr>
        <w:spacing w:line="360" w:lineRule="auto"/>
        <w:ind w:left="720" w:hanging="720"/>
        <w:jc w:val="both"/>
        <w:rPr>
          <w:rFonts w:cstheme="minorBidi"/>
        </w:rPr>
      </w:pPr>
      <w:proofErr w:type="spellStart"/>
      <w:r w:rsidRPr="0073291C">
        <w:rPr>
          <w:rFonts w:cstheme="minorBidi"/>
        </w:rPr>
        <w:t>Sookhak</w:t>
      </w:r>
      <w:proofErr w:type="spellEnd"/>
      <w:r w:rsidRPr="0073291C">
        <w:rPr>
          <w:rFonts w:cstheme="minorBidi"/>
        </w:rPr>
        <w:t>, M., Tang, H., He, Y. and Yu, F.R. (2018) ‘Security and privacy of smart cities: a survey, research issues and challenges’, </w:t>
      </w:r>
      <w:r w:rsidRPr="0073291C">
        <w:rPr>
          <w:rFonts w:cstheme="minorBidi"/>
          <w:i/>
          <w:iCs/>
        </w:rPr>
        <w:t>IEEE Communications Surveys &amp; Tutorials</w:t>
      </w:r>
      <w:r w:rsidRPr="0073291C">
        <w:rPr>
          <w:rFonts w:cstheme="minorBidi"/>
        </w:rPr>
        <w:t>, 21(2), pp.1718-1743.</w:t>
      </w:r>
      <w:r>
        <w:rPr>
          <w:rFonts w:cstheme="minorBidi"/>
        </w:rPr>
        <w:t xml:space="preserve"> Available at:  </w:t>
      </w:r>
      <w:hyperlink r:id="rId38" w:history="1">
        <w:r w:rsidRPr="00737A11">
          <w:rPr>
            <w:rStyle w:val="Hyperlink"/>
            <w:rFonts w:cstheme="minorBidi"/>
          </w:rPr>
          <w:t>https://www.acsu.buffalo.edu/~mblanton/cse708/smart-cities-security-survey.pdf</w:t>
        </w:r>
      </w:hyperlink>
      <w:r>
        <w:rPr>
          <w:rFonts w:cstheme="minorBidi"/>
        </w:rPr>
        <w:t xml:space="preserve"> </w:t>
      </w:r>
    </w:p>
    <w:p w14:paraId="6724519B" w14:textId="77777777" w:rsidR="001D4D2C" w:rsidRPr="0073291C" w:rsidRDefault="001D4D2C" w:rsidP="00867139">
      <w:pPr>
        <w:spacing w:line="360" w:lineRule="auto"/>
        <w:ind w:left="720" w:hanging="720"/>
        <w:jc w:val="both"/>
        <w:rPr>
          <w:rFonts w:cstheme="minorBidi"/>
        </w:rPr>
      </w:pPr>
      <w:proofErr w:type="spellStart"/>
      <w:r w:rsidRPr="00867139">
        <w:rPr>
          <w:rFonts w:cstheme="minorBidi"/>
        </w:rPr>
        <w:t>Taherdoost</w:t>
      </w:r>
      <w:proofErr w:type="spellEnd"/>
      <w:r w:rsidRPr="00867139">
        <w:rPr>
          <w:rFonts w:cstheme="minorBidi"/>
        </w:rPr>
        <w:t>, H.</w:t>
      </w:r>
      <w:r>
        <w:rPr>
          <w:rFonts w:cstheme="minorBidi"/>
        </w:rPr>
        <w:t xml:space="preserve"> (</w:t>
      </w:r>
      <w:r w:rsidRPr="00867139">
        <w:rPr>
          <w:rFonts w:cstheme="minorBidi"/>
        </w:rPr>
        <w:t>2018</w:t>
      </w:r>
      <w:r>
        <w:rPr>
          <w:rFonts w:cstheme="minorBidi"/>
        </w:rPr>
        <w:t>)</w:t>
      </w:r>
      <w:r w:rsidRPr="00867139">
        <w:rPr>
          <w:rFonts w:cstheme="minorBidi"/>
        </w:rPr>
        <w:t xml:space="preserve"> </w:t>
      </w:r>
      <w:r>
        <w:rPr>
          <w:rFonts w:cstheme="minorBidi"/>
        </w:rPr>
        <w:t>‘</w:t>
      </w:r>
      <w:r w:rsidRPr="00867139">
        <w:rPr>
          <w:rFonts w:cstheme="minorBidi"/>
        </w:rPr>
        <w:t>A review of technology acceptance and adoption models and theories</w:t>
      </w:r>
      <w:r>
        <w:rPr>
          <w:rFonts w:cstheme="minorBidi"/>
        </w:rPr>
        <w:t>’,</w:t>
      </w:r>
      <w:r w:rsidRPr="00867139">
        <w:rPr>
          <w:rFonts w:cstheme="minorBidi"/>
        </w:rPr>
        <w:t> </w:t>
      </w:r>
      <w:r w:rsidRPr="00867139">
        <w:rPr>
          <w:rFonts w:cstheme="minorBidi"/>
          <w:i/>
          <w:iCs/>
        </w:rPr>
        <w:t>Procedia manufacturing</w:t>
      </w:r>
      <w:r w:rsidRPr="00867139">
        <w:rPr>
          <w:rFonts w:cstheme="minorBidi"/>
        </w:rPr>
        <w:t>, 22, pp.960-967.</w:t>
      </w:r>
      <w:r>
        <w:rPr>
          <w:rFonts w:cstheme="minorBidi"/>
        </w:rPr>
        <w:t xml:space="preserve"> Available at: </w:t>
      </w:r>
      <w:hyperlink r:id="rId39" w:history="1">
        <w:r w:rsidRPr="00737A11">
          <w:rPr>
            <w:rStyle w:val="Hyperlink"/>
            <w:rFonts w:cstheme="minorBidi"/>
          </w:rPr>
          <w:t>https://doi.org/10.1016/j.promfg.2018.03.137</w:t>
        </w:r>
      </w:hyperlink>
      <w:r>
        <w:rPr>
          <w:rFonts w:cstheme="minorBidi"/>
        </w:rPr>
        <w:t xml:space="preserve"> </w:t>
      </w:r>
    </w:p>
    <w:p w14:paraId="775B9D52" w14:textId="77777777" w:rsidR="001D4D2C" w:rsidRPr="0073291C" w:rsidRDefault="001D4D2C" w:rsidP="005769A3">
      <w:pPr>
        <w:spacing w:line="360" w:lineRule="auto"/>
        <w:ind w:left="720" w:hanging="720"/>
        <w:jc w:val="both"/>
        <w:rPr>
          <w:rFonts w:cstheme="minorBidi"/>
        </w:rPr>
      </w:pPr>
      <w:r w:rsidRPr="0073291C">
        <w:rPr>
          <w:rFonts w:cstheme="minorBidi"/>
        </w:rPr>
        <w:t>UK Parliament</w:t>
      </w:r>
      <w:r>
        <w:rPr>
          <w:rFonts w:cstheme="minorBidi"/>
        </w:rPr>
        <w:t xml:space="preserve">. </w:t>
      </w:r>
      <w:r w:rsidRPr="0073291C">
        <w:rPr>
          <w:rFonts w:cstheme="minorBidi"/>
        </w:rPr>
        <w:t xml:space="preserve">(2022) </w:t>
      </w:r>
      <w:r w:rsidRPr="0073291C">
        <w:rPr>
          <w:rFonts w:cstheme="minorBidi"/>
          <w:i/>
          <w:iCs/>
        </w:rPr>
        <w:t>Digital transformation in the NHS - Health and Social Care Committee</w:t>
      </w:r>
      <w:r w:rsidRPr="0073291C">
        <w:rPr>
          <w:rFonts w:cstheme="minorBidi"/>
        </w:rPr>
        <w:t xml:space="preserve">. [online] Parliament.uk. Available at: </w:t>
      </w:r>
      <w:hyperlink r:id="rId40" w:history="1">
        <w:r w:rsidRPr="0073291C">
          <w:rPr>
            <w:rStyle w:val="Hyperlink"/>
            <w:rFonts w:cstheme="minorBidi"/>
          </w:rPr>
          <w:t>https://publications.parliament.uk/pa/cm5803/cmselect/cmhealth/223/report.html</w:t>
        </w:r>
      </w:hyperlink>
      <w:r w:rsidRPr="0073291C">
        <w:rPr>
          <w:rFonts w:cstheme="minorBidi"/>
        </w:rPr>
        <w:t>. [Accessed 23 Jun. 2026].</w:t>
      </w:r>
    </w:p>
    <w:p w14:paraId="10AF46DB" w14:textId="77777777" w:rsidR="001D4D2C" w:rsidRDefault="001D4D2C" w:rsidP="005769A3">
      <w:pPr>
        <w:spacing w:line="360" w:lineRule="auto"/>
        <w:ind w:left="720" w:hanging="720"/>
        <w:jc w:val="both"/>
        <w:rPr>
          <w:rFonts w:cstheme="minorBidi"/>
        </w:rPr>
      </w:pPr>
      <w:r w:rsidRPr="00A54F37">
        <w:rPr>
          <w:rFonts w:cstheme="minorBidi"/>
        </w:rPr>
        <w:t>Wilson, S., Tolley, C., Mc Ardle, R., Lawson, L., Beswick, E., Hassan, N., Slight, R. and Slight, S.</w:t>
      </w:r>
      <w:r>
        <w:rPr>
          <w:rFonts w:cstheme="minorBidi"/>
        </w:rPr>
        <w:t xml:space="preserve"> (</w:t>
      </w:r>
      <w:r w:rsidRPr="00A54F37">
        <w:rPr>
          <w:rFonts w:cstheme="minorBidi"/>
        </w:rPr>
        <w:t>2024</w:t>
      </w:r>
      <w:r>
        <w:rPr>
          <w:rFonts w:cstheme="minorBidi"/>
        </w:rPr>
        <w:t>)</w:t>
      </w:r>
      <w:r w:rsidRPr="00A54F37">
        <w:rPr>
          <w:rFonts w:cstheme="minorBidi"/>
        </w:rPr>
        <w:t xml:space="preserve"> </w:t>
      </w:r>
      <w:r>
        <w:rPr>
          <w:rFonts w:cstheme="minorBidi"/>
        </w:rPr>
        <w:t>‘</w:t>
      </w:r>
      <w:r w:rsidRPr="00A54F37">
        <w:rPr>
          <w:rFonts w:cstheme="minorBidi"/>
        </w:rPr>
        <w:t>Recommendations to advance digital health equity: a systematic review of qualitative studies</w:t>
      </w:r>
      <w:r>
        <w:rPr>
          <w:rFonts w:cstheme="minorBidi"/>
        </w:rPr>
        <w:t>’,</w:t>
      </w:r>
      <w:r w:rsidRPr="00A54F37">
        <w:rPr>
          <w:rFonts w:cstheme="minorBidi"/>
        </w:rPr>
        <w:t> </w:t>
      </w:r>
      <w:r w:rsidRPr="00A54F37">
        <w:rPr>
          <w:rFonts w:cstheme="minorBidi"/>
          <w:i/>
          <w:iCs/>
        </w:rPr>
        <w:t>NPJ Digital Medicine,</w:t>
      </w:r>
      <w:r w:rsidRPr="00A54F37">
        <w:rPr>
          <w:rFonts w:cstheme="minorBidi"/>
        </w:rPr>
        <w:t> 7(1), p.173.</w:t>
      </w:r>
      <w:r>
        <w:rPr>
          <w:rFonts w:cstheme="minorBidi"/>
        </w:rPr>
        <w:t xml:space="preserve"> Available at:  </w:t>
      </w:r>
      <w:hyperlink r:id="rId41" w:history="1">
        <w:r w:rsidRPr="001B4F01">
          <w:rPr>
            <w:rStyle w:val="Hyperlink"/>
            <w:rFonts w:cstheme="minorBidi"/>
          </w:rPr>
          <w:t>https://doi.org/10.1038/s41746-024-01177-7</w:t>
        </w:r>
      </w:hyperlink>
      <w:r>
        <w:rPr>
          <w:rFonts w:cstheme="minorBidi"/>
        </w:rPr>
        <w:t xml:space="preserve"> </w:t>
      </w:r>
    </w:p>
    <w:sectPr w:rsidR="001D4D2C" w:rsidSect="008375B5">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A3F58" w14:textId="77777777" w:rsidR="00A529DB" w:rsidRDefault="00A529DB" w:rsidP="008375B5">
      <w:pPr>
        <w:spacing w:after="0" w:line="240" w:lineRule="auto"/>
      </w:pPr>
      <w:r>
        <w:separator/>
      </w:r>
    </w:p>
  </w:endnote>
  <w:endnote w:type="continuationSeparator" w:id="0">
    <w:p w14:paraId="7BAF41F1" w14:textId="77777777" w:rsidR="00A529DB" w:rsidRDefault="00A529DB"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0"/>
    <w:family w:val="roman"/>
    <w:notTrueType/>
    <w:pitch w:val="default"/>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D933D" w14:textId="77777777" w:rsidR="008375B5" w:rsidRDefault="008375B5">
    <w:pPr>
      <w:pStyle w:val="Footer"/>
      <w:jc w:val="center"/>
    </w:pPr>
    <w:r>
      <w:fldChar w:fldCharType="begin"/>
    </w:r>
    <w:r>
      <w:instrText xml:space="preserve"> PAGE   \* MERGEFORMAT </w:instrText>
    </w:r>
    <w:r>
      <w:fldChar w:fldCharType="separate"/>
    </w:r>
    <w:r w:rsidR="00982CDA">
      <w:rPr>
        <w:noProof/>
      </w:rPr>
      <w:t>9</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B9BB2" w14:textId="77777777" w:rsidR="00A529DB" w:rsidRDefault="00A529DB" w:rsidP="008375B5">
      <w:pPr>
        <w:spacing w:after="0" w:line="240" w:lineRule="auto"/>
      </w:pPr>
      <w:r>
        <w:separator/>
      </w:r>
    </w:p>
  </w:footnote>
  <w:footnote w:type="continuationSeparator" w:id="0">
    <w:p w14:paraId="44117D30" w14:textId="77777777" w:rsidR="00A529DB" w:rsidRDefault="00A529DB"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8A2BE8"/>
    <w:multiLevelType w:val="hybridMultilevel"/>
    <w:tmpl w:val="A8C078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200456">
    <w:abstractNumId w:val="2"/>
  </w:num>
  <w:num w:numId="2" w16cid:durableId="1319724659">
    <w:abstractNumId w:val="3"/>
  </w:num>
  <w:num w:numId="3" w16cid:durableId="1972323051">
    <w:abstractNumId w:val="4"/>
  </w:num>
  <w:num w:numId="4" w16cid:durableId="1653212184">
    <w:abstractNumId w:val="0"/>
  </w:num>
  <w:num w:numId="5" w16cid:durableId="904946631">
    <w:abstractNumId w:val="1"/>
  </w:num>
  <w:num w:numId="6" w16cid:durableId="910585048">
    <w:abstractNumId w:val="5"/>
  </w:num>
  <w:num w:numId="7" w16cid:durableId="1243023372">
    <w:abstractNumId w:val="7"/>
  </w:num>
  <w:num w:numId="8" w16cid:durableId="1101683367">
    <w:abstractNumId w:val="8"/>
  </w:num>
  <w:num w:numId="9" w16cid:durableId="1682931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MzNzE3tjS2NDA1tjBR0lEKTi0uzszPAykwrQUAPAjJDCwAAAA="/>
  </w:docVars>
  <w:rsids>
    <w:rsidRoot w:val="0058254B"/>
    <w:rsid w:val="000209FA"/>
    <w:rsid w:val="000271CA"/>
    <w:rsid w:val="000314C8"/>
    <w:rsid w:val="00033D34"/>
    <w:rsid w:val="00037257"/>
    <w:rsid w:val="00037293"/>
    <w:rsid w:val="000417A7"/>
    <w:rsid w:val="00050CF2"/>
    <w:rsid w:val="000611CA"/>
    <w:rsid w:val="00063369"/>
    <w:rsid w:val="000643A6"/>
    <w:rsid w:val="00066B35"/>
    <w:rsid w:val="00066FC5"/>
    <w:rsid w:val="000704C9"/>
    <w:rsid w:val="00074B50"/>
    <w:rsid w:val="00080A78"/>
    <w:rsid w:val="000848ED"/>
    <w:rsid w:val="00084EBD"/>
    <w:rsid w:val="00086503"/>
    <w:rsid w:val="00092126"/>
    <w:rsid w:val="000A0B70"/>
    <w:rsid w:val="000A3F5A"/>
    <w:rsid w:val="000B01E4"/>
    <w:rsid w:val="000B14B3"/>
    <w:rsid w:val="000B1589"/>
    <w:rsid w:val="000C439C"/>
    <w:rsid w:val="000C5460"/>
    <w:rsid w:val="000D3BAA"/>
    <w:rsid w:val="000E0EAF"/>
    <w:rsid w:val="000E2185"/>
    <w:rsid w:val="000F28B2"/>
    <w:rsid w:val="000F56D1"/>
    <w:rsid w:val="000F5EB3"/>
    <w:rsid w:val="001038EB"/>
    <w:rsid w:val="00106086"/>
    <w:rsid w:val="00112006"/>
    <w:rsid w:val="001146E0"/>
    <w:rsid w:val="00126F78"/>
    <w:rsid w:val="0012744C"/>
    <w:rsid w:val="00131ED7"/>
    <w:rsid w:val="00134C9F"/>
    <w:rsid w:val="00137FBA"/>
    <w:rsid w:val="00144D2F"/>
    <w:rsid w:val="001506C8"/>
    <w:rsid w:val="00151BE8"/>
    <w:rsid w:val="00152A4F"/>
    <w:rsid w:val="001534C5"/>
    <w:rsid w:val="0015517C"/>
    <w:rsid w:val="00157DCA"/>
    <w:rsid w:val="00162F7C"/>
    <w:rsid w:val="001825F5"/>
    <w:rsid w:val="00182F78"/>
    <w:rsid w:val="00190B75"/>
    <w:rsid w:val="001A587B"/>
    <w:rsid w:val="001B3E79"/>
    <w:rsid w:val="001C2B0A"/>
    <w:rsid w:val="001C3200"/>
    <w:rsid w:val="001D4D2C"/>
    <w:rsid w:val="001E23C8"/>
    <w:rsid w:val="001E354D"/>
    <w:rsid w:val="001E6268"/>
    <w:rsid w:val="001E66CB"/>
    <w:rsid w:val="002003FD"/>
    <w:rsid w:val="002015FA"/>
    <w:rsid w:val="002042D5"/>
    <w:rsid w:val="00211C56"/>
    <w:rsid w:val="00213793"/>
    <w:rsid w:val="002167E7"/>
    <w:rsid w:val="00217707"/>
    <w:rsid w:val="0023448C"/>
    <w:rsid w:val="00242446"/>
    <w:rsid w:val="00244B15"/>
    <w:rsid w:val="00250ADE"/>
    <w:rsid w:val="00254382"/>
    <w:rsid w:val="00255D51"/>
    <w:rsid w:val="00260BC0"/>
    <w:rsid w:val="00264399"/>
    <w:rsid w:val="00266F3A"/>
    <w:rsid w:val="00267951"/>
    <w:rsid w:val="0029051D"/>
    <w:rsid w:val="002958AF"/>
    <w:rsid w:val="00296056"/>
    <w:rsid w:val="00297129"/>
    <w:rsid w:val="00297F1D"/>
    <w:rsid w:val="002A07D1"/>
    <w:rsid w:val="002A503C"/>
    <w:rsid w:val="002A5C3B"/>
    <w:rsid w:val="002B026C"/>
    <w:rsid w:val="002C5589"/>
    <w:rsid w:val="002D1480"/>
    <w:rsid w:val="002D2005"/>
    <w:rsid w:val="002D75D6"/>
    <w:rsid w:val="002E48D3"/>
    <w:rsid w:val="002F2D0B"/>
    <w:rsid w:val="00304E9F"/>
    <w:rsid w:val="003066E6"/>
    <w:rsid w:val="0031240B"/>
    <w:rsid w:val="00312B56"/>
    <w:rsid w:val="00314FD4"/>
    <w:rsid w:val="00316CC8"/>
    <w:rsid w:val="0031797F"/>
    <w:rsid w:val="003201A8"/>
    <w:rsid w:val="003207A1"/>
    <w:rsid w:val="00321E0B"/>
    <w:rsid w:val="00326745"/>
    <w:rsid w:val="0032675B"/>
    <w:rsid w:val="00326DAC"/>
    <w:rsid w:val="00350229"/>
    <w:rsid w:val="00352A8E"/>
    <w:rsid w:val="00353B42"/>
    <w:rsid w:val="003576FF"/>
    <w:rsid w:val="00387F66"/>
    <w:rsid w:val="00391E89"/>
    <w:rsid w:val="00391ED5"/>
    <w:rsid w:val="003954C2"/>
    <w:rsid w:val="0039782A"/>
    <w:rsid w:val="003A62A8"/>
    <w:rsid w:val="003C246F"/>
    <w:rsid w:val="003C2A5C"/>
    <w:rsid w:val="003C620F"/>
    <w:rsid w:val="003D537E"/>
    <w:rsid w:val="003E0FE6"/>
    <w:rsid w:val="003F0295"/>
    <w:rsid w:val="003F25C9"/>
    <w:rsid w:val="003F331A"/>
    <w:rsid w:val="003F4D7E"/>
    <w:rsid w:val="00403599"/>
    <w:rsid w:val="004051F1"/>
    <w:rsid w:val="00411E81"/>
    <w:rsid w:val="00416F7A"/>
    <w:rsid w:val="00421B12"/>
    <w:rsid w:val="00424A3B"/>
    <w:rsid w:val="004374CD"/>
    <w:rsid w:val="00453A09"/>
    <w:rsid w:val="00460581"/>
    <w:rsid w:val="004605E5"/>
    <w:rsid w:val="00463A65"/>
    <w:rsid w:val="0046460A"/>
    <w:rsid w:val="00473D0C"/>
    <w:rsid w:val="0048746A"/>
    <w:rsid w:val="00491C06"/>
    <w:rsid w:val="004942C4"/>
    <w:rsid w:val="00495170"/>
    <w:rsid w:val="004975DD"/>
    <w:rsid w:val="004B2150"/>
    <w:rsid w:val="004B4DF7"/>
    <w:rsid w:val="004B5888"/>
    <w:rsid w:val="004C070E"/>
    <w:rsid w:val="004C3207"/>
    <w:rsid w:val="004C72FD"/>
    <w:rsid w:val="004D37CA"/>
    <w:rsid w:val="004E1965"/>
    <w:rsid w:val="004E79B2"/>
    <w:rsid w:val="004F0B19"/>
    <w:rsid w:val="004F31B9"/>
    <w:rsid w:val="00515027"/>
    <w:rsid w:val="00520DB5"/>
    <w:rsid w:val="005311C1"/>
    <w:rsid w:val="0053393F"/>
    <w:rsid w:val="005342A9"/>
    <w:rsid w:val="005354D2"/>
    <w:rsid w:val="00537E95"/>
    <w:rsid w:val="005416A8"/>
    <w:rsid w:val="005420EE"/>
    <w:rsid w:val="00554609"/>
    <w:rsid w:val="0055760D"/>
    <w:rsid w:val="00562D5A"/>
    <w:rsid w:val="00563DAA"/>
    <w:rsid w:val="00573DFB"/>
    <w:rsid w:val="005769A3"/>
    <w:rsid w:val="00580F0B"/>
    <w:rsid w:val="00581CEE"/>
    <w:rsid w:val="00581F37"/>
    <w:rsid w:val="0058254B"/>
    <w:rsid w:val="00590C25"/>
    <w:rsid w:val="005922A5"/>
    <w:rsid w:val="00595BB9"/>
    <w:rsid w:val="00596B8B"/>
    <w:rsid w:val="005B71DD"/>
    <w:rsid w:val="005C459B"/>
    <w:rsid w:val="005D2D7E"/>
    <w:rsid w:val="005D65B0"/>
    <w:rsid w:val="005E3861"/>
    <w:rsid w:val="005F3508"/>
    <w:rsid w:val="005F3522"/>
    <w:rsid w:val="005F3662"/>
    <w:rsid w:val="005F7911"/>
    <w:rsid w:val="0060007F"/>
    <w:rsid w:val="00610D47"/>
    <w:rsid w:val="00613942"/>
    <w:rsid w:val="00615AB9"/>
    <w:rsid w:val="0061790F"/>
    <w:rsid w:val="0062384F"/>
    <w:rsid w:val="0062633C"/>
    <w:rsid w:val="0063005B"/>
    <w:rsid w:val="00631631"/>
    <w:rsid w:val="0063462C"/>
    <w:rsid w:val="00645542"/>
    <w:rsid w:val="006535C7"/>
    <w:rsid w:val="00661C8E"/>
    <w:rsid w:val="0066234E"/>
    <w:rsid w:val="00667AA3"/>
    <w:rsid w:val="00674473"/>
    <w:rsid w:val="00676B9D"/>
    <w:rsid w:val="006803A9"/>
    <w:rsid w:val="00695879"/>
    <w:rsid w:val="006965F1"/>
    <w:rsid w:val="00696C9E"/>
    <w:rsid w:val="006A1E71"/>
    <w:rsid w:val="006A48FB"/>
    <w:rsid w:val="006A6F33"/>
    <w:rsid w:val="006C10EA"/>
    <w:rsid w:val="006C24E5"/>
    <w:rsid w:val="006D32CD"/>
    <w:rsid w:val="006D538D"/>
    <w:rsid w:val="006E360C"/>
    <w:rsid w:val="007215E8"/>
    <w:rsid w:val="007273CA"/>
    <w:rsid w:val="00727658"/>
    <w:rsid w:val="0073291C"/>
    <w:rsid w:val="00734679"/>
    <w:rsid w:val="00736510"/>
    <w:rsid w:val="00737651"/>
    <w:rsid w:val="00753BC7"/>
    <w:rsid w:val="007742A7"/>
    <w:rsid w:val="007760F0"/>
    <w:rsid w:val="0077629E"/>
    <w:rsid w:val="00776FE6"/>
    <w:rsid w:val="00781031"/>
    <w:rsid w:val="00783542"/>
    <w:rsid w:val="00792441"/>
    <w:rsid w:val="00795FBB"/>
    <w:rsid w:val="007A6780"/>
    <w:rsid w:val="007B1099"/>
    <w:rsid w:val="007B1FBD"/>
    <w:rsid w:val="007C16C4"/>
    <w:rsid w:val="007C1B48"/>
    <w:rsid w:val="007C23C5"/>
    <w:rsid w:val="007D238C"/>
    <w:rsid w:val="007D5A3D"/>
    <w:rsid w:val="007D7F6A"/>
    <w:rsid w:val="007E22E6"/>
    <w:rsid w:val="007E3858"/>
    <w:rsid w:val="007E3D4E"/>
    <w:rsid w:val="007E55E7"/>
    <w:rsid w:val="007F179C"/>
    <w:rsid w:val="007F28FB"/>
    <w:rsid w:val="007F2ECB"/>
    <w:rsid w:val="007F37E2"/>
    <w:rsid w:val="007F534E"/>
    <w:rsid w:val="007F5758"/>
    <w:rsid w:val="008049B4"/>
    <w:rsid w:val="0080787D"/>
    <w:rsid w:val="008118E7"/>
    <w:rsid w:val="0081380F"/>
    <w:rsid w:val="00820BCC"/>
    <w:rsid w:val="008254AC"/>
    <w:rsid w:val="00825C5D"/>
    <w:rsid w:val="008265EC"/>
    <w:rsid w:val="0082711F"/>
    <w:rsid w:val="00830998"/>
    <w:rsid w:val="00835D28"/>
    <w:rsid w:val="008375B5"/>
    <w:rsid w:val="00845731"/>
    <w:rsid w:val="0084690D"/>
    <w:rsid w:val="00850299"/>
    <w:rsid w:val="008506AD"/>
    <w:rsid w:val="00852B67"/>
    <w:rsid w:val="00853F7F"/>
    <w:rsid w:val="0085451B"/>
    <w:rsid w:val="00854E7E"/>
    <w:rsid w:val="00861C8B"/>
    <w:rsid w:val="00867139"/>
    <w:rsid w:val="00867967"/>
    <w:rsid w:val="00871863"/>
    <w:rsid w:val="008748F3"/>
    <w:rsid w:val="008944F8"/>
    <w:rsid w:val="008B0A5E"/>
    <w:rsid w:val="008C081E"/>
    <w:rsid w:val="008C2C78"/>
    <w:rsid w:val="008C46E9"/>
    <w:rsid w:val="008E31E6"/>
    <w:rsid w:val="008E3F92"/>
    <w:rsid w:val="008F2216"/>
    <w:rsid w:val="008F2548"/>
    <w:rsid w:val="008F4E01"/>
    <w:rsid w:val="008F5443"/>
    <w:rsid w:val="008F742A"/>
    <w:rsid w:val="00901976"/>
    <w:rsid w:val="00904681"/>
    <w:rsid w:val="009076E4"/>
    <w:rsid w:val="00907CDA"/>
    <w:rsid w:val="009334D8"/>
    <w:rsid w:val="0095127F"/>
    <w:rsid w:val="00960F03"/>
    <w:rsid w:val="00972757"/>
    <w:rsid w:val="00973DC7"/>
    <w:rsid w:val="0098094D"/>
    <w:rsid w:val="00981A46"/>
    <w:rsid w:val="00981BCB"/>
    <w:rsid w:val="00982CDA"/>
    <w:rsid w:val="009862DB"/>
    <w:rsid w:val="00987802"/>
    <w:rsid w:val="009927E6"/>
    <w:rsid w:val="009A6363"/>
    <w:rsid w:val="009B65CD"/>
    <w:rsid w:val="009C00EB"/>
    <w:rsid w:val="009C43B9"/>
    <w:rsid w:val="009D0ABC"/>
    <w:rsid w:val="009D1AB6"/>
    <w:rsid w:val="009E6CCF"/>
    <w:rsid w:val="009F0A00"/>
    <w:rsid w:val="009F6C22"/>
    <w:rsid w:val="00A06F4C"/>
    <w:rsid w:val="00A1197B"/>
    <w:rsid w:val="00A11F41"/>
    <w:rsid w:val="00A20DF7"/>
    <w:rsid w:val="00A23DEC"/>
    <w:rsid w:val="00A529DB"/>
    <w:rsid w:val="00A654F5"/>
    <w:rsid w:val="00A7689C"/>
    <w:rsid w:val="00A770F6"/>
    <w:rsid w:val="00A8402B"/>
    <w:rsid w:val="00A868DB"/>
    <w:rsid w:val="00A875D4"/>
    <w:rsid w:val="00A9474F"/>
    <w:rsid w:val="00AB0363"/>
    <w:rsid w:val="00AB2D08"/>
    <w:rsid w:val="00AB4F03"/>
    <w:rsid w:val="00AB5777"/>
    <w:rsid w:val="00AC2DCE"/>
    <w:rsid w:val="00AC3FDE"/>
    <w:rsid w:val="00AD30F6"/>
    <w:rsid w:val="00AD472D"/>
    <w:rsid w:val="00AD49D2"/>
    <w:rsid w:val="00AD6A18"/>
    <w:rsid w:val="00AD7CED"/>
    <w:rsid w:val="00AE1C12"/>
    <w:rsid w:val="00AF41FF"/>
    <w:rsid w:val="00AF4955"/>
    <w:rsid w:val="00B1586C"/>
    <w:rsid w:val="00B2009C"/>
    <w:rsid w:val="00B2517C"/>
    <w:rsid w:val="00B2532A"/>
    <w:rsid w:val="00B31243"/>
    <w:rsid w:val="00B35DFB"/>
    <w:rsid w:val="00B64B96"/>
    <w:rsid w:val="00B64CD0"/>
    <w:rsid w:val="00B64DDD"/>
    <w:rsid w:val="00B750D8"/>
    <w:rsid w:val="00B76292"/>
    <w:rsid w:val="00B81715"/>
    <w:rsid w:val="00B81DB7"/>
    <w:rsid w:val="00B8228A"/>
    <w:rsid w:val="00B9592B"/>
    <w:rsid w:val="00B9661E"/>
    <w:rsid w:val="00BA1499"/>
    <w:rsid w:val="00BA47A8"/>
    <w:rsid w:val="00BA6934"/>
    <w:rsid w:val="00BB1B43"/>
    <w:rsid w:val="00BC6685"/>
    <w:rsid w:val="00BD2589"/>
    <w:rsid w:val="00BD36B5"/>
    <w:rsid w:val="00BE0F01"/>
    <w:rsid w:val="00BE3439"/>
    <w:rsid w:val="00BF28B2"/>
    <w:rsid w:val="00BF3AAD"/>
    <w:rsid w:val="00BF5A4A"/>
    <w:rsid w:val="00C03378"/>
    <w:rsid w:val="00C145BF"/>
    <w:rsid w:val="00C15D0D"/>
    <w:rsid w:val="00C16AA4"/>
    <w:rsid w:val="00C20B0F"/>
    <w:rsid w:val="00C21E21"/>
    <w:rsid w:val="00C2419F"/>
    <w:rsid w:val="00C278A9"/>
    <w:rsid w:val="00C3335C"/>
    <w:rsid w:val="00C335A5"/>
    <w:rsid w:val="00C33F23"/>
    <w:rsid w:val="00C47BF7"/>
    <w:rsid w:val="00C544DD"/>
    <w:rsid w:val="00C6254D"/>
    <w:rsid w:val="00C67390"/>
    <w:rsid w:val="00C67D26"/>
    <w:rsid w:val="00C67F71"/>
    <w:rsid w:val="00C71124"/>
    <w:rsid w:val="00C80D0F"/>
    <w:rsid w:val="00C869CF"/>
    <w:rsid w:val="00C92FE0"/>
    <w:rsid w:val="00C938CF"/>
    <w:rsid w:val="00C976D8"/>
    <w:rsid w:val="00CA074D"/>
    <w:rsid w:val="00CA3327"/>
    <w:rsid w:val="00CA3F0C"/>
    <w:rsid w:val="00CA50B1"/>
    <w:rsid w:val="00CA6245"/>
    <w:rsid w:val="00CB14CD"/>
    <w:rsid w:val="00CB6D10"/>
    <w:rsid w:val="00CB772D"/>
    <w:rsid w:val="00CD10B7"/>
    <w:rsid w:val="00CE3D3B"/>
    <w:rsid w:val="00CF28FB"/>
    <w:rsid w:val="00D009CE"/>
    <w:rsid w:val="00D029FB"/>
    <w:rsid w:val="00D040F2"/>
    <w:rsid w:val="00D353A2"/>
    <w:rsid w:val="00D40915"/>
    <w:rsid w:val="00D44A9B"/>
    <w:rsid w:val="00D47FE7"/>
    <w:rsid w:val="00D51C49"/>
    <w:rsid w:val="00D6463C"/>
    <w:rsid w:val="00D75A4E"/>
    <w:rsid w:val="00D771FA"/>
    <w:rsid w:val="00D80693"/>
    <w:rsid w:val="00D84254"/>
    <w:rsid w:val="00D85981"/>
    <w:rsid w:val="00D87BBD"/>
    <w:rsid w:val="00D928A8"/>
    <w:rsid w:val="00D9329D"/>
    <w:rsid w:val="00D93542"/>
    <w:rsid w:val="00DA6ED3"/>
    <w:rsid w:val="00DB1BAE"/>
    <w:rsid w:val="00DB2790"/>
    <w:rsid w:val="00DB2D81"/>
    <w:rsid w:val="00DC6CBC"/>
    <w:rsid w:val="00DE3263"/>
    <w:rsid w:val="00DE3D95"/>
    <w:rsid w:val="00DE68A7"/>
    <w:rsid w:val="00DF676A"/>
    <w:rsid w:val="00DF7049"/>
    <w:rsid w:val="00E020C9"/>
    <w:rsid w:val="00E060C0"/>
    <w:rsid w:val="00E10A8B"/>
    <w:rsid w:val="00E21E2B"/>
    <w:rsid w:val="00E2657F"/>
    <w:rsid w:val="00E2658C"/>
    <w:rsid w:val="00E42055"/>
    <w:rsid w:val="00E46653"/>
    <w:rsid w:val="00E46B7F"/>
    <w:rsid w:val="00E5022A"/>
    <w:rsid w:val="00E5169C"/>
    <w:rsid w:val="00E5426D"/>
    <w:rsid w:val="00E56152"/>
    <w:rsid w:val="00E64353"/>
    <w:rsid w:val="00E73F0F"/>
    <w:rsid w:val="00E74FB5"/>
    <w:rsid w:val="00E77A34"/>
    <w:rsid w:val="00E84296"/>
    <w:rsid w:val="00E86E6C"/>
    <w:rsid w:val="00E872CE"/>
    <w:rsid w:val="00E87E40"/>
    <w:rsid w:val="00E93DFE"/>
    <w:rsid w:val="00E9577D"/>
    <w:rsid w:val="00EA2270"/>
    <w:rsid w:val="00EA6290"/>
    <w:rsid w:val="00EA6B2A"/>
    <w:rsid w:val="00EA7119"/>
    <w:rsid w:val="00EB2E49"/>
    <w:rsid w:val="00EB3C35"/>
    <w:rsid w:val="00EB534A"/>
    <w:rsid w:val="00EC3E32"/>
    <w:rsid w:val="00EC4EA5"/>
    <w:rsid w:val="00ED5994"/>
    <w:rsid w:val="00ED68C9"/>
    <w:rsid w:val="00EE43AC"/>
    <w:rsid w:val="00EF3FA7"/>
    <w:rsid w:val="00EF5964"/>
    <w:rsid w:val="00EF7A0C"/>
    <w:rsid w:val="00F077DB"/>
    <w:rsid w:val="00F10825"/>
    <w:rsid w:val="00F12FB5"/>
    <w:rsid w:val="00F202E0"/>
    <w:rsid w:val="00F25258"/>
    <w:rsid w:val="00F26D2E"/>
    <w:rsid w:val="00F35AD2"/>
    <w:rsid w:val="00F404DB"/>
    <w:rsid w:val="00F53017"/>
    <w:rsid w:val="00F624AC"/>
    <w:rsid w:val="00F646C2"/>
    <w:rsid w:val="00F64E7F"/>
    <w:rsid w:val="00F67047"/>
    <w:rsid w:val="00F81BE9"/>
    <w:rsid w:val="00F84632"/>
    <w:rsid w:val="00F9346E"/>
    <w:rsid w:val="00FA2CB0"/>
    <w:rsid w:val="00FB0D79"/>
    <w:rsid w:val="00FD03C3"/>
    <w:rsid w:val="00FD3541"/>
    <w:rsid w:val="00FE181C"/>
    <w:rsid w:val="00FE57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B8B"/>
    <w:pPr>
      <w:spacing w:after="160" w:line="480" w:lineRule="auto"/>
    </w:pPr>
    <w:rPr>
      <w:rFonts w:asciiTheme="minorBidi" w:hAnsiTheme="minorBidi"/>
      <w:kern w:val="2"/>
      <w:sz w:val="22"/>
      <w:szCs w:val="24"/>
      <w:lang w:eastAsia="en-US"/>
    </w:rPr>
  </w:style>
  <w:style w:type="paragraph" w:styleId="Heading1">
    <w:name w:val="heading 1"/>
    <w:basedOn w:val="Normal"/>
    <w:next w:val="Normal"/>
    <w:link w:val="Heading1Char"/>
    <w:uiPriority w:val="9"/>
    <w:qFormat/>
    <w:rsid w:val="00E5022A"/>
    <w:pPr>
      <w:keepNext/>
      <w:keepLines/>
      <w:spacing w:before="360" w:after="80"/>
      <w:outlineLvl w:val="0"/>
    </w:pPr>
    <w:rPr>
      <w:rFonts w:eastAsia="Times New Roman"/>
      <w:b/>
      <w:sz w:val="28"/>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022A"/>
    <w:rPr>
      <w:rFonts w:asciiTheme="minorBidi" w:eastAsia="Times New Roman" w:hAnsiTheme="minorBidi"/>
      <w:b/>
      <w:kern w:val="2"/>
      <w:sz w:val="28"/>
      <w:szCs w:val="40"/>
      <w:lang w:eastAsia="en-US"/>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CommentReference">
    <w:name w:val="annotation reference"/>
    <w:basedOn w:val="DefaultParagraphFont"/>
    <w:uiPriority w:val="99"/>
    <w:semiHidden/>
    <w:unhideWhenUsed/>
    <w:rsid w:val="004D37CA"/>
    <w:rPr>
      <w:sz w:val="16"/>
      <w:szCs w:val="16"/>
    </w:rPr>
  </w:style>
  <w:style w:type="paragraph" w:styleId="CommentText">
    <w:name w:val="annotation text"/>
    <w:basedOn w:val="Normal"/>
    <w:link w:val="CommentTextChar"/>
    <w:uiPriority w:val="99"/>
    <w:unhideWhenUsed/>
    <w:rsid w:val="004D37CA"/>
    <w:pPr>
      <w:spacing w:line="240" w:lineRule="auto"/>
    </w:pPr>
    <w:rPr>
      <w:sz w:val="20"/>
      <w:szCs w:val="20"/>
    </w:rPr>
  </w:style>
  <w:style w:type="character" w:customStyle="1" w:styleId="CommentTextChar">
    <w:name w:val="Comment Text Char"/>
    <w:basedOn w:val="DefaultParagraphFont"/>
    <w:link w:val="CommentText"/>
    <w:uiPriority w:val="99"/>
    <w:rsid w:val="004D37CA"/>
    <w:rPr>
      <w:rFonts w:asciiTheme="minorBidi" w:hAnsiTheme="minorBidi"/>
      <w:kern w:val="2"/>
      <w:lang w:eastAsia="en-US"/>
    </w:rPr>
  </w:style>
  <w:style w:type="paragraph" w:styleId="CommentSubject">
    <w:name w:val="annotation subject"/>
    <w:basedOn w:val="CommentText"/>
    <w:next w:val="CommentText"/>
    <w:link w:val="CommentSubjectChar"/>
    <w:uiPriority w:val="99"/>
    <w:semiHidden/>
    <w:unhideWhenUsed/>
    <w:rsid w:val="004D37CA"/>
    <w:rPr>
      <w:b/>
      <w:bCs/>
    </w:rPr>
  </w:style>
  <w:style w:type="character" w:customStyle="1" w:styleId="CommentSubjectChar">
    <w:name w:val="Comment Subject Char"/>
    <w:basedOn w:val="CommentTextChar"/>
    <w:link w:val="CommentSubject"/>
    <w:uiPriority w:val="99"/>
    <w:semiHidden/>
    <w:rsid w:val="004D37CA"/>
    <w:rPr>
      <w:rFonts w:asciiTheme="minorBidi" w:hAnsiTheme="minorBidi"/>
      <w:b/>
      <w:bCs/>
      <w:kern w:val="2"/>
      <w:lang w:eastAsia="en-US"/>
    </w:rPr>
  </w:style>
  <w:style w:type="character" w:styleId="Hyperlink">
    <w:name w:val="Hyperlink"/>
    <w:basedOn w:val="DefaultParagraphFont"/>
    <w:uiPriority w:val="99"/>
    <w:unhideWhenUsed/>
    <w:rsid w:val="007F534E"/>
    <w:rPr>
      <w:color w:val="467886" w:themeColor="hyperlink"/>
      <w:u w:val="single"/>
    </w:rPr>
  </w:style>
  <w:style w:type="character" w:customStyle="1" w:styleId="UnresolvedMention1">
    <w:name w:val="Unresolved Mention1"/>
    <w:basedOn w:val="DefaultParagraphFont"/>
    <w:uiPriority w:val="99"/>
    <w:semiHidden/>
    <w:unhideWhenUsed/>
    <w:rsid w:val="007F534E"/>
    <w:rPr>
      <w:color w:val="605E5C"/>
      <w:shd w:val="clear" w:color="auto" w:fill="E1DFDD"/>
    </w:rPr>
  </w:style>
  <w:style w:type="paragraph" w:styleId="BalloonText">
    <w:name w:val="Balloon Text"/>
    <w:basedOn w:val="Normal"/>
    <w:link w:val="BalloonTextChar"/>
    <w:uiPriority w:val="99"/>
    <w:semiHidden/>
    <w:unhideWhenUsed/>
    <w:rsid w:val="00C20B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B0F"/>
    <w:rPr>
      <w:rFonts w:ascii="Segoe UI" w:hAnsi="Segoe UI" w:cs="Segoe UI"/>
      <w:kern w:val="2"/>
      <w:sz w:val="18"/>
      <w:szCs w:val="18"/>
      <w:lang w:eastAsia="en-US"/>
    </w:rPr>
  </w:style>
  <w:style w:type="character" w:customStyle="1" w:styleId="UnresolvedMention2">
    <w:name w:val="Unresolved Mention2"/>
    <w:basedOn w:val="DefaultParagraphFont"/>
    <w:uiPriority w:val="99"/>
    <w:semiHidden/>
    <w:unhideWhenUsed/>
    <w:rsid w:val="008F2216"/>
    <w:rPr>
      <w:color w:val="605E5C"/>
      <w:shd w:val="clear" w:color="auto" w:fill="E1DFDD"/>
    </w:rPr>
  </w:style>
  <w:style w:type="paragraph" w:styleId="TOCHeading">
    <w:name w:val="TOC Heading"/>
    <w:basedOn w:val="Heading1"/>
    <w:next w:val="Normal"/>
    <w:uiPriority w:val="39"/>
    <w:unhideWhenUsed/>
    <w:qFormat/>
    <w:rsid w:val="00610D47"/>
    <w:pPr>
      <w:spacing w:before="240" w:after="0" w:line="259" w:lineRule="auto"/>
      <w:outlineLvl w:val="9"/>
    </w:pPr>
    <w:rPr>
      <w:rFonts w:asciiTheme="majorHAnsi" w:eastAsiaTheme="majorEastAsia" w:hAnsiTheme="majorHAnsi" w:cstheme="majorBidi"/>
      <w:b w:val="0"/>
      <w:color w:val="0F4761" w:themeColor="accent1" w:themeShade="BF"/>
      <w:kern w:val="0"/>
      <w:sz w:val="32"/>
      <w:szCs w:val="32"/>
      <w:lang w:val="en-US"/>
    </w:rPr>
  </w:style>
  <w:style w:type="paragraph" w:styleId="TOC1">
    <w:name w:val="toc 1"/>
    <w:basedOn w:val="Normal"/>
    <w:next w:val="Normal"/>
    <w:autoRedefine/>
    <w:uiPriority w:val="39"/>
    <w:unhideWhenUsed/>
    <w:rsid w:val="00610D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a.londonsport.org/dataset/a-third-of-adults-in-london-are-not-meeting-recommended-levels-of-physical-activity/" TargetMode="External"/><Relationship Id="rId18" Type="http://schemas.openxmlformats.org/officeDocument/2006/relationships/hyperlink" Target="https://dx.doi.org/10.1136/bmj-2023-078523" TargetMode="External"/><Relationship Id="rId26" Type="http://schemas.openxmlformats.org/officeDocument/2006/relationships/hyperlink" Target="http://dx.doi.org/10.2196/35684" TargetMode="External"/><Relationship Id="rId39" Type="http://schemas.openxmlformats.org/officeDocument/2006/relationships/hyperlink" Target="https://doi.org/10.1016/j.promfg.2018.03.137" TargetMode="External"/><Relationship Id="rId21" Type="http://schemas.openxmlformats.org/officeDocument/2006/relationships/hyperlink" Target="https://doi.org/10.22270/ijdra.v13i3.778" TargetMode="External"/><Relationship Id="rId34" Type="http://schemas.openxmlformats.org/officeDocument/2006/relationships/hyperlink" Target="https://www.england.nhs.uk/long-read/nhs-long-term-workforce-plan-2/"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tyoflondon.gov.uk/assets/Services-Environment/City-Plan-2040.pdf" TargetMode="External"/><Relationship Id="rId20" Type="http://schemas.openxmlformats.org/officeDocument/2006/relationships/hyperlink" Target="https://doi.org/10.2196/12861" TargetMode="External"/><Relationship Id="rId29" Type="http://schemas.openxmlformats.org/officeDocument/2006/relationships/hyperlink" Target="https://loti.london/wp-content/uploads/2022/02/LOTI-Digital_Inclusion_Report.pdf" TargetMode="External"/><Relationship Id="rId41" Type="http://schemas.openxmlformats.org/officeDocument/2006/relationships/hyperlink" Target="https://doi.org/10.1038/s41746-024-0117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3022/oarjms.2024.7.1.0019" TargetMode="External"/><Relationship Id="rId24" Type="http://schemas.openxmlformats.org/officeDocument/2006/relationships/hyperlink" Target="http://dx.doi.org/10.2196/37631" TargetMode="External"/><Relationship Id="rId32" Type="http://schemas.openxmlformats.org/officeDocument/2006/relationships/hyperlink" Target="https://www.england.nhs.uk/personalisedcare/pcsp/" TargetMode="External"/><Relationship Id="rId37" Type="http://schemas.openxmlformats.org/officeDocument/2006/relationships/hyperlink" Target="https://doi.org/10.1177/20552076241264389" TargetMode="External"/><Relationship Id="rId40" Type="http://schemas.openxmlformats.org/officeDocument/2006/relationships/hyperlink" Target="https://publications.parliament.uk/pa/cm5803/cmselect/cmhealth/223/report.html" TargetMode="External"/><Relationship Id="rId5" Type="http://schemas.openxmlformats.org/officeDocument/2006/relationships/webSettings" Target="webSettings.xml"/><Relationship Id="rId15" Type="http://schemas.openxmlformats.org/officeDocument/2006/relationships/hyperlink" Target="https://www.hfma.org.uk/articles/virtual-wards-plan-risk-staff-shortages" TargetMode="External"/><Relationship Id="rId23" Type="http://schemas.openxmlformats.org/officeDocument/2006/relationships/hyperlink" Target="https://doi.org/10.1111/scs.70166" TargetMode="External"/><Relationship Id="rId28" Type="http://schemas.openxmlformats.org/officeDocument/2006/relationships/hyperlink" Target="https://oulurepo.oulu.fi/bitstream/handle/10024/23675/nbnfi-fe201903077361.pdf?sequence=1" TargetMode="External"/><Relationship Id="rId36" Type="http://schemas.openxmlformats.org/officeDocument/2006/relationships/hyperlink" Target="https://doi.org/10.37547/tajet/Volume07Issue08-18" TargetMode="External"/><Relationship Id="rId10" Type="http://schemas.openxmlformats.org/officeDocument/2006/relationships/hyperlink" Target="https://doi.org/10.3390/s25092848" TargetMode="External"/><Relationship Id="rId19" Type="http://schemas.openxmlformats.org/officeDocument/2006/relationships/hyperlink" Target="https://doi.org/10.3390/s18082414" TargetMode="External"/><Relationship Id="rId31" Type="http://schemas.openxmlformats.org/officeDocument/2006/relationships/hyperlink" Target="https://doi.org/10.1109/ACCESS.2023.334079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doi.org/10.1146/annurev-med-052422-020437" TargetMode="External"/><Relationship Id="rId22" Type="http://schemas.openxmlformats.org/officeDocument/2006/relationships/hyperlink" Target="https://www.diva-portal.org/smash/get/diva2:1374639/FULLTEXT01.pdf" TargetMode="External"/><Relationship Id="rId27" Type="http://schemas.openxmlformats.org/officeDocument/2006/relationships/hyperlink" Target="https://doi.org/10.1080/1059924X.2017.1358971" TargetMode="External"/><Relationship Id="rId30" Type="http://schemas.openxmlformats.org/officeDocument/2006/relationships/hyperlink" Target="https://doi.org/10.1080/03091902.2022.2089249" TargetMode="External"/><Relationship Id="rId35" Type="http://schemas.openxmlformats.org/officeDocument/2006/relationships/hyperlink" Target="https://digital.nhs.uk/data-and-information/information-governance/guidance/virtual-wards"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1109/ACCESS.2022.3177278" TargetMode="External"/><Relationship Id="rId17" Type="http://schemas.openxmlformats.org/officeDocument/2006/relationships/hyperlink" Target="https://newsroom.clevelandclinic.org/2024/02/20/cleveland-clinic-london-survey-nearly-half-of-uk-adults-use-health-monitoring-technology" TargetMode="External"/><Relationship Id="rId25" Type="http://schemas.openxmlformats.org/officeDocument/2006/relationships/hyperlink" Target="https://doi.org/10.1186/s43162-023-00206-3" TargetMode="External"/><Relationship Id="rId33" Type="http://schemas.openxmlformats.org/officeDocument/2006/relationships/hyperlink" Target="https://www.england.nhs.uk/london/2023/10/12/more-london-patients-benefitting-from-hospital-level-care-at-home" TargetMode="External"/><Relationship Id="rId38" Type="http://schemas.openxmlformats.org/officeDocument/2006/relationships/hyperlink" Target="https://www.acsu.buffalo.edu/~mblanton/cse708/smart-cities-security-surve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E6ECB-BF80-427F-8DE9-44A68F804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12</Pages>
  <Words>4061</Words>
  <Characters>23149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27156</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Tosin Yusuf (2334371)</cp:lastModifiedBy>
  <cp:revision>11</cp:revision>
  <dcterms:created xsi:type="dcterms:W3CDTF">2026-06-28T12:59:00Z</dcterms:created>
  <dcterms:modified xsi:type="dcterms:W3CDTF">2026-07-15T21:42:00Z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3d795b41-0409-4ebe-abc5-8f5e18a5c553</vt:lpwstr>
  </property>
</Properties>
</file>