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1A6D7" w14:textId="77777777" w:rsidR="009F5381" w:rsidRDefault="009F5381">
      <w:pPr>
        <w:pStyle w:val="NoSpacing"/>
        <w:spacing w:before="1540" w:after="240"/>
        <w:jc w:val="center"/>
        <w:rPr>
          <w:rFonts w:ascii="Times New Roman" w:eastAsiaTheme="minorHAnsi" w:hAnsi="Times New Roman" w:cs="Times New Roman"/>
          <w:color w:val="5B9BD5" w:themeColor="accent1"/>
          <w:sz w:val="24"/>
          <w:szCs w:val="24"/>
        </w:rPr>
      </w:pPr>
      <w:r>
        <w:rPr>
          <w:rFonts w:ascii="Times New Roman" w:eastAsiaTheme="minorHAnsi" w:hAnsi="Times New Roman" w:cs="Times New Roman"/>
          <w:color w:val="5B9BD5" w:themeColor="accent1"/>
          <w:sz w:val="24"/>
          <w:szCs w:val="24"/>
        </w:rPr>
        <w:t>p</w:t>
      </w:r>
    </w:p>
    <w:sdt>
      <w:sdtPr>
        <w:rPr>
          <w:rFonts w:ascii="Times New Roman" w:eastAsiaTheme="minorHAnsi" w:hAnsi="Times New Roman" w:cs="Times New Roman"/>
          <w:color w:val="5B9BD5" w:themeColor="accent1"/>
          <w:sz w:val="24"/>
          <w:szCs w:val="24"/>
        </w:rPr>
        <w:id w:val="361408446"/>
        <w:docPartObj>
          <w:docPartGallery w:val="Cover Pages"/>
          <w:docPartUnique/>
        </w:docPartObj>
      </w:sdtPr>
      <w:sdtEndPr>
        <w:rPr>
          <w:b/>
          <w:color w:val="auto"/>
        </w:rPr>
      </w:sdtEndPr>
      <w:sdtContent>
        <w:p w14:paraId="576A3F6D" w14:textId="77777777" w:rsidR="00CD393E" w:rsidRDefault="00CD393E">
          <w:pPr>
            <w:pStyle w:val="NoSpacing"/>
            <w:spacing w:before="1540" w:after="240"/>
            <w:jc w:val="center"/>
            <w:rPr>
              <w:color w:val="5B9BD5" w:themeColor="accent1"/>
            </w:rPr>
          </w:pPr>
          <w:r>
            <w:rPr>
              <w:noProof/>
              <w:color w:val="5B9BD5" w:themeColor="accent1"/>
              <w:lang w:val="en-GB" w:eastAsia="en-GB"/>
            </w:rPr>
            <w:drawing>
              <wp:inline distT="0" distB="0" distL="0" distR="0" wp14:anchorId="246754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4"/>
              <w:szCs w:val="44"/>
            </w:rPr>
            <w:alias w:val="Title"/>
            <w:tag w:val=""/>
            <w:id w:val="1735040861"/>
            <w:placeholder>
              <w:docPart w:val="3D8DD0A1288E4635929BA38F32694D2C"/>
            </w:placeholder>
            <w:dataBinding w:prefixMappings="xmlns:ns0='http://purl.org/dc/elements/1.1/' xmlns:ns1='http://schemas.openxmlformats.org/package/2006/metadata/core-properties' " w:xpath="/ns1:coreProperties[1]/ns0:title[1]" w:storeItemID="{6C3C8BC8-F283-45AE-878A-BAB7291924A1}"/>
            <w:text/>
          </w:sdtPr>
          <w:sdtEndPr/>
          <w:sdtContent>
            <w:p w14:paraId="221010B7" w14:textId="77777777" w:rsidR="00CD393E" w:rsidRPr="000416C0" w:rsidRDefault="009F53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4"/>
                  <w:szCs w:val="44"/>
                </w:rPr>
              </w:pPr>
              <w:r>
                <w:rPr>
                  <w:rFonts w:asciiTheme="majorHAnsi" w:eastAsiaTheme="majorEastAsia" w:hAnsiTheme="majorHAnsi" w:cstheme="majorBidi"/>
                  <w:caps/>
                  <w:color w:val="5B9BD5" w:themeColor="accent1"/>
                  <w:sz w:val="44"/>
                  <w:szCs w:val="44"/>
                </w:rPr>
                <w:t>Principles and concepts of Finance</w:t>
              </w:r>
            </w:p>
          </w:sdtContent>
        </w:sdt>
        <w:sdt>
          <w:sdtPr>
            <w:rPr>
              <w:color w:val="5B9BD5" w:themeColor="accent1"/>
              <w:sz w:val="28"/>
              <w:szCs w:val="28"/>
            </w:rPr>
            <w:alias w:val="Subtitle"/>
            <w:tag w:val=""/>
            <w:id w:val="328029620"/>
            <w:placeholder>
              <w:docPart w:val="22C85244368A4F45AC05DFCC93B517C1"/>
            </w:placeholder>
            <w:dataBinding w:prefixMappings="xmlns:ns0='http://purl.org/dc/elements/1.1/' xmlns:ns1='http://schemas.openxmlformats.org/package/2006/metadata/core-properties' " w:xpath="/ns1:coreProperties[1]/ns0:subject[1]" w:storeItemID="{6C3C8BC8-F283-45AE-878A-BAB7291924A1}"/>
            <w:text/>
          </w:sdtPr>
          <w:sdtEndPr/>
          <w:sdtContent>
            <w:p w14:paraId="5D5E0755" w14:textId="77777777" w:rsidR="00CD393E" w:rsidRDefault="009F5381">
              <w:pPr>
                <w:pStyle w:val="NoSpacing"/>
                <w:jc w:val="center"/>
                <w:rPr>
                  <w:color w:val="5B9BD5" w:themeColor="accent1"/>
                  <w:sz w:val="28"/>
                  <w:szCs w:val="28"/>
                </w:rPr>
              </w:pPr>
              <w:r>
                <w:rPr>
                  <w:color w:val="5B9BD5" w:themeColor="accent1"/>
                  <w:sz w:val="28"/>
                  <w:szCs w:val="28"/>
                </w:rPr>
                <w:t>BMSW5012</w:t>
              </w:r>
            </w:p>
          </w:sdtContent>
        </w:sdt>
        <w:p w14:paraId="7B4C3353" w14:textId="77777777" w:rsidR="00CD393E" w:rsidRDefault="00CD393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B27BCB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EndPr/>
                                <w:sdtContent>
                                  <w:p w14:paraId="0D7A80CC" w14:textId="77777777" w:rsidR="00CD393E" w:rsidRDefault="009425BF">
                                    <w:pPr>
                                      <w:pStyle w:val="NoSpacing"/>
                                      <w:spacing w:after="40"/>
                                      <w:jc w:val="center"/>
                                      <w:rPr>
                                        <w:caps/>
                                        <w:color w:val="5B9BD5" w:themeColor="accent1"/>
                                        <w:sz w:val="28"/>
                                        <w:szCs w:val="28"/>
                                      </w:rPr>
                                    </w:pPr>
                                    <w:r>
                                      <w:rPr>
                                        <w:caps/>
                                        <w:color w:val="5B9BD5" w:themeColor="accent1"/>
                                        <w:sz w:val="28"/>
                                        <w:szCs w:val="28"/>
                                      </w:rPr>
                                      <w:t>April 15, 2024</w:t>
                                    </w:r>
                                  </w:p>
                                </w:sdtContent>
                              </w:sdt>
                              <w:p w14:paraId="2FABDC24" w14:textId="77777777" w:rsidR="00CD393E" w:rsidRDefault="000F64A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25BF">
                                      <w:rPr>
                                        <w:caps/>
                                        <w:color w:val="5B9BD5" w:themeColor="accent1"/>
                                      </w:rPr>
                                      <w:t>University of wales TRINITY</w:t>
                                    </w:r>
                                  </w:sdtContent>
                                </w:sdt>
                              </w:p>
                              <w:p w14:paraId="6F29163C" w14:textId="77777777" w:rsidR="00CD393E" w:rsidRDefault="000F64AF">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25BF">
                                      <w:rPr>
                                        <w:color w:val="5B9BD5" w:themeColor="accent1"/>
                                      </w:rPr>
                                      <w:t xml:space="preserve">Ricardo </w:t>
                                    </w:r>
                                    <w:proofErr w:type="spellStart"/>
                                    <w:r w:rsidR="009425BF">
                                      <w:rPr>
                                        <w:color w:val="5B9BD5" w:themeColor="accent1"/>
                                      </w:rPr>
                                      <w:t>Buryansky</w:t>
                                    </w:r>
                                    <w:proofErr w:type="spellEnd"/>
                                    <w:r w:rsidR="009425BF">
                                      <w:rPr>
                                        <w:color w:val="5B9BD5" w:themeColor="accent1"/>
                                      </w:rPr>
                                      <w:t xml:space="preserve"> (2213160)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27BCB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EndPr/>
                          <w:sdtContent>
                            <w:p w14:paraId="0D7A80CC" w14:textId="77777777" w:rsidR="00CD393E" w:rsidRDefault="009425BF">
                              <w:pPr>
                                <w:pStyle w:val="NoSpacing"/>
                                <w:spacing w:after="40"/>
                                <w:jc w:val="center"/>
                                <w:rPr>
                                  <w:caps/>
                                  <w:color w:val="5B9BD5" w:themeColor="accent1"/>
                                  <w:sz w:val="28"/>
                                  <w:szCs w:val="28"/>
                                </w:rPr>
                              </w:pPr>
                              <w:r>
                                <w:rPr>
                                  <w:caps/>
                                  <w:color w:val="5B9BD5" w:themeColor="accent1"/>
                                  <w:sz w:val="28"/>
                                  <w:szCs w:val="28"/>
                                </w:rPr>
                                <w:t>April 15, 2024</w:t>
                              </w:r>
                            </w:p>
                          </w:sdtContent>
                        </w:sdt>
                        <w:p w14:paraId="2FABDC24" w14:textId="77777777" w:rsidR="00CD393E" w:rsidRDefault="000F64A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25BF">
                                <w:rPr>
                                  <w:caps/>
                                  <w:color w:val="5B9BD5" w:themeColor="accent1"/>
                                </w:rPr>
                                <w:t>University of wales TRINITY</w:t>
                              </w:r>
                            </w:sdtContent>
                          </w:sdt>
                        </w:p>
                        <w:p w14:paraId="6F29163C" w14:textId="77777777" w:rsidR="00CD393E" w:rsidRDefault="000F64AF">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425BF">
                                <w:rPr>
                                  <w:color w:val="5B9BD5" w:themeColor="accent1"/>
                                </w:rPr>
                                <w:t xml:space="preserve">Ricardo </w:t>
                              </w:r>
                              <w:proofErr w:type="spellStart"/>
                              <w:r w:rsidR="009425BF">
                                <w:rPr>
                                  <w:color w:val="5B9BD5" w:themeColor="accent1"/>
                                </w:rPr>
                                <w:t>Buryansky</w:t>
                              </w:r>
                              <w:proofErr w:type="spellEnd"/>
                              <w:r w:rsidR="009425BF">
                                <w:rPr>
                                  <w:color w:val="5B9BD5" w:themeColor="accent1"/>
                                </w:rPr>
                                <w:t xml:space="preserve"> (2213160)</w:t>
                              </w:r>
                            </w:sdtContent>
                          </w:sdt>
                        </w:p>
                      </w:txbxContent>
                    </v:textbox>
                    <w10:wrap anchorx="margin" anchory="page"/>
                  </v:shape>
                </w:pict>
              </mc:Fallback>
            </mc:AlternateContent>
          </w:r>
          <w:r>
            <w:rPr>
              <w:noProof/>
              <w:color w:val="5B9BD5" w:themeColor="accent1"/>
              <w:lang w:val="en-GB" w:eastAsia="en-GB"/>
            </w:rPr>
            <w:drawing>
              <wp:inline distT="0" distB="0" distL="0" distR="0" wp14:anchorId="2E7EE8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59E320" w14:textId="77777777" w:rsidR="00CD393E" w:rsidRDefault="00CD393E">
          <w:pPr>
            <w:spacing w:line="259" w:lineRule="auto"/>
            <w:jc w:val="left"/>
            <w:rPr>
              <w:b/>
            </w:rPr>
          </w:pPr>
          <w:r>
            <w:rPr>
              <w:b/>
            </w:rPr>
            <w:br w:type="page"/>
          </w:r>
        </w:p>
      </w:sdtContent>
    </w:sdt>
    <w:p w14:paraId="546B12B9" w14:textId="77777777" w:rsidR="009106C3" w:rsidRPr="0046366C" w:rsidRDefault="009106C3" w:rsidP="00CD393E">
      <w:pPr>
        <w:spacing w:line="259" w:lineRule="auto"/>
        <w:rPr>
          <w:b/>
        </w:rPr>
      </w:pPr>
    </w:p>
    <w:p w14:paraId="2ABA23B7" w14:textId="77777777" w:rsidR="009106C3" w:rsidRPr="0046366C" w:rsidRDefault="00CD393E">
      <w:pPr>
        <w:spacing w:line="259" w:lineRule="auto"/>
        <w:jc w:val="left"/>
        <w:rPr>
          <w:b/>
        </w:rPr>
      </w:pPr>
      <w:r w:rsidRPr="0046366C">
        <w:rPr>
          <w:b/>
        </w:rPr>
        <w:t xml:space="preserve">Executive Summary </w:t>
      </w:r>
    </w:p>
    <w:p w14:paraId="41F8FB85" w14:textId="77777777" w:rsidR="009106C3" w:rsidRPr="0046366C" w:rsidRDefault="00CD393E" w:rsidP="00445A34">
      <w:r w:rsidRPr="0046366C">
        <w:t>Edwards, a chain of 15 Camping Gear shops, faces financial challenges as it aims to eliminate a £25,000 overdraft by November. Reviewing plans for the next six months, Edwards encounters cash flow deficits, excessive stock levels, high selling expenses, and loan repayment strains. To address these issues, management must negotiate payment terms with suppliers, adjust purchasing levels, scrutinize selling expenses, and renegotiate loan terms. Edwards must ensure monitoring, communication, flexibility, and defined objectives in order for budgeting and control to be successful. In addition, behavioural factors including motivation, game-playing, reluctance to change, and short-term attention should be taken into account by management. The inflexibility, time-consuming process, and dependence on past data of traditional budgeting present difficulties in a company environment that is changing rapidly. Edwards can be improved at managing volatility if flexible budgeting techniques are used and a transparent and adaptive culture is developed.</w:t>
      </w:r>
      <w:r w:rsidRPr="0046366C">
        <w:br w:type="page"/>
      </w:r>
    </w:p>
    <w:sdt>
      <w:sdtPr>
        <w:rPr>
          <w:rFonts w:eastAsiaTheme="minorHAnsi" w:cs="Times New Roman"/>
          <w:b w:val="0"/>
          <w:color w:val="auto"/>
          <w:szCs w:val="24"/>
        </w:rPr>
        <w:id w:val="491765731"/>
        <w:docPartObj>
          <w:docPartGallery w:val="Table of Contents"/>
          <w:docPartUnique/>
        </w:docPartObj>
      </w:sdtPr>
      <w:sdtEndPr>
        <w:rPr>
          <w:bCs/>
          <w:noProof/>
        </w:rPr>
      </w:sdtEndPr>
      <w:sdtContent>
        <w:p w14:paraId="07D60792" w14:textId="77777777" w:rsidR="009106C3" w:rsidRPr="0046366C" w:rsidRDefault="00CD393E" w:rsidP="009106C3">
          <w:pPr>
            <w:pStyle w:val="TOCHeading"/>
            <w:rPr>
              <w:rFonts w:cs="Times New Roman"/>
            </w:rPr>
          </w:pPr>
          <w:r w:rsidRPr="0046366C">
            <w:rPr>
              <w:rFonts w:cs="Times New Roman"/>
            </w:rPr>
            <w:t>Table of Contents</w:t>
          </w:r>
        </w:p>
        <w:p w14:paraId="38ED0EE2" w14:textId="77777777" w:rsidR="00F06B7B" w:rsidRDefault="00CD393E">
          <w:pPr>
            <w:pStyle w:val="TOC1"/>
            <w:tabs>
              <w:tab w:val="right" w:leader="dot" w:pos="9350"/>
            </w:tabs>
            <w:rPr>
              <w:rFonts w:asciiTheme="minorHAnsi" w:eastAsiaTheme="minorEastAsia" w:hAnsiTheme="minorHAnsi" w:cstheme="minorBidi"/>
              <w:noProof/>
              <w:sz w:val="22"/>
              <w:szCs w:val="22"/>
              <w:lang w:val="en-GB" w:eastAsia="en-GB"/>
            </w:rPr>
          </w:pPr>
          <w:r w:rsidRPr="0046366C">
            <w:fldChar w:fldCharType="begin"/>
          </w:r>
          <w:r w:rsidRPr="0046366C">
            <w:instrText xml:space="preserve"> TOC \o "1-3" \h \z \u </w:instrText>
          </w:r>
          <w:r w:rsidRPr="0046366C">
            <w:fldChar w:fldCharType="separate"/>
          </w:r>
          <w:hyperlink w:anchor="_Toc163130216" w:history="1">
            <w:r w:rsidRPr="00F311D3">
              <w:rPr>
                <w:rStyle w:val="Hyperlink"/>
                <w:noProof/>
              </w:rPr>
              <w:t>Introduction</w:t>
            </w:r>
            <w:r>
              <w:rPr>
                <w:noProof/>
                <w:webHidden/>
              </w:rPr>
              <w:tab/>
            </w:r>
            <w:r>
              <w:rPr>
                <w:noProof/>
                <w:webHidden/>
              </w:rPr>
              <w:fldChar w:fldCharType="begin"/>
            </w:r>
            <w:r>
              <w:rPr>
                <w:noProof/>
                <w:webHidden/>
              </w:rPr>
              <w:instrText xml:space="preserve"> PAGEREF _Toc163130216 \h </w:instrText>
            </w:r>
            <w:r>
              <w:rPr>
                <w:noProof/>
                <w:webHidden/>
              </w:rPr>
            </w:r>
            <w:r>
              <w:rPr>
                <w:noProof/>
                <w:webHidden/>
              </w:rPr>
              <w:fldChar w:fldCharType="separate"/>
            </w:r>
            <w:r>
              <w:rPr>
                <w:noProof/>
                <w:webHidden/>
              </w:rPr>
              <w:t>4</w:t>
            </w:r>
            <w:r>
              <w:rPr>
                <w:noProof/>
                <w:webHidden/>
              </w:rPr>
              <w:fldChar w:fldCharType="end"/>
            </w:r>
          </w:hyperlink>
        </w:p>
        <w:p w14:paraId="7960B955"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17" w:history="1">
            <w:r w:rsidR="00CD393E" w:rsidRPr="00F311D3">
              <w:rPr>
                <w:rStyle w:val="Hyperlink"/>
                <w:noProof/>
              </w:rPr>
              <w:t>Required Part A</w:t>
            </w:r>
            <w:r w:rsidR="00CD393E">
              <w:rPr>
                <w:noProof/>
                <w:webHidden/>
              </w:rPr>
              <w:tab/>
            </w:r>
            <w:r w:rsidR="00CD393E">
              <w:rPr>
                <w:noProof/>
                <w:webHidden/>
              </w:rPr>
              <w:fldChar w:fldCharType="begin"/>
            </w:r>
            <w:r w:rsidR="00CD393E">
              <w:rPr>
                <w:noProof/>
                <w:webHidden/>
              </w:rPr>
              <w:instrText xml:space="preserve"> PAGEREF _Toc163130217 \h </w:instrText>
            </w:r>
            <w:r w:rsidR="00CD393E">
              <w:rPr>
                <w:noProof/>
                <w:webHidden/>
              </w:rPr>
            </w:r>
            <w:r w:rsidR="00CD393E">
              <w:rPr>
                <w:noProof/>
                <w:webHidden/>
              </w:rPr>
              <w:fldChar w:fldCharType="separate"/>
            </w:r>
            <w:r w:rsidR="00CD393E">
              <w:rPr>
                <w:noProof/>
                <w:webHidden/>
              </w:rPr>
              <w:t>4</w:t>
            </w:r>
            <w:r w:rsidR="00CD393E">
              <w:rPr>
                <w:noProof/>
                <w:webHidden/>
              </w:rPr>
              <w:fldChar w:fldCharType="end"/>
            </w:r>
          </w:hyperlink>
        </w:p>
        <w:p w14:paraId="0EB2EBCA" w14:textId="77777777" w:rsidR="00F06B7B" w:rsidRDefault="000F64AF">
          <w:pPr>
            <w:pStyle w:val="TOC2"/>
            <w:tabs>
              <w:tab w:val="right" w:leader="dot" w:pos="9350"/>
            </w:tabs>
            <w:rPr>
              <w:rFonts w:asciiTheme="minorHAnsi" w:eastAsiaTheme="minorEastAsia" w:hAnsiTheme="minorHAnsi" w:cstheme="minorBidi"/>
              <w:noProof/>
              <w:sz w:val="22"/>
              <w:szCs w:val="22"/>
              <w:lang w:val="en-GB" w:eastAsia="en-GB"/>
            </w:rPr>
          </w:pPr>
          <w:hyperlink w:anchor="_Toc163130218" w:history="1">
            <w:r w:rsidR="00CD393E" w:rsidRPr="00F311D3">
              <w:rPr>
                <w:rStyle w:val="Hyperlink"/>
                <w:noProof/>
              </w:rPr>
              <w:t>(i)</w:t>
            </w:r>
            <w:r w:rsidR="00CD393E" w:rsidRPr="00F311D3">
              <w:rPr>
                <w:rStyle w:val="Hyperlink"/>
                <w:rFonts w:eastAsia="Times New Roman"/>
                <w:bCs/>
                <w:noProof/>
              </w:rPr>
              <w:t xml:space="preserve"> Stock budget for Edwards</w:t>
            </w:r>
            <w:r w:rsidR="00CD393E">
              <w:rPr>
                <w:noProof/>
                <w:webHidden/>
              </w:rPr>
              <w:tab/>
            </w:r>
            <w:r w:rsidR="00CD393E">
              <w:rPr>
                <w:noProof/>
                <w:webHidden/>
              </w:rPr>
              <w:fldChar w:fldCharType="begin"/>
            </w:r>
            <w:r w:rsidR="00CD393E">
              <w:rPr>
                <w:noProof/>
                <w:webHidden/>
              </w:rPr>
              <w:instrText xml:space="preserve"> PAGEREF _Toc163130218 \h </w:instrText>
            </w:r>
            <w:r w:rsidR="00CD393E">
              <w:rPr>
                <w:noProof/>
                <w:webHidden/>
              </w:rPr>
            </w:r>
            <w:r w:rsidR="00CD393E">
              <w:rPr>
                <w:noProof/>
                <w:webHidden/>
              </w:rPr>
              <w:fldChar w:fldCharType="separate"/>
            </w:r>
            <w:r w:rsidR="00CD393E">
              <w:rPr>
                <w:noProof/>
                <w:webHidden/>
              </w:rPr>
              <w:t>4</w:t>
            </w:r>
            <w:r w:rsidR="00CD393E">
              <w:rPr>
                <w:noProof/>
                <w:webHidden/>
              </w:rPr>
              <w:fldChar w:fldCharType="end"/>
            </w:r>
          </w:hyperlink>
        </w:p>
        <w:p w14:paraId="010C6C3E" w14:textId="77777777" w:rsidR="00F06B7B" w:rsidRDefault="000F64AF">
          <w:pPr>
            <w:pStyle w:val="TOC2"/>
            <w:tabs>
              <w:tab w:val="right" w:leader="dot" w:pos="9350"/>
            </w:tabs>
            <w:rPr>
              <w:rFonts w:asciiTheme="minorHAnsi" w:eastAsiaTheme="minorEastAsia" w:hAnsiTheme="minorHAnsi" w:cstheme="minorBidi"/>
              <w:noProof/>
              <w:sz w:val="22"/>
              <w:szCs w:val="22"/>
              <w:lang w:val="en-GB" w:eastAsia="en-GB"/>
            </w:rPr>
          </w:pPr>
          <w:hyperlink w:anchor="_Toc163130219" w:history="1">
            <w:r w:rsidR="00CD393E" w:rsidRPr="00F311D3">
              <w:rPr>
                <w:rStyle w:val="Hyperlink"/>
                <w:noProof/>
              </w:rPr>
              <w:t>(ii) Profit and Loss Account, Six years period ending 30 November</w:t>
            </w:r>
            <w:r w:rsidR="00CD393E">
              <w:rPr>
                <w:noProof/>
                <w:webHidden/>
              </w:rPr>
              <w:tab/>
            </w:r>
            <w:r w:rsidR="00CD393E">
              <w:rPr>
                <w:noProof/>
                <w:webHidden/>
              </w:rPr>
              <w:fldChar w:fldCharType="begin"/>
            </w:r>
            <w:r w:rsidR="00CD393E">
              <w:rPr>
                <w:noProof/>
                <w:webHidden/>
              </w:rPr>
              <w:instrText xml:space="preserve"> PAGEREF _Toc163130219 \h </w:instrText>
            </w:r>
            <w:r w:rsidR="00CD393E">
              <w:rPr>
                <w:noProof/>
                <w:webHidden/>
              </w:rPr>
            </w:r>
            <w:r w:rsidR="00CD393E">
              <w:rPr>
                <w:noProof/>
                <w:webHidden/>
              </w:rPr>
              <w:fldChar w:fldCharType="separate"/>
            </w:r>
            <w:r w:rsidR="00CD393E">
              <w:rPr>
                <w:noProof/>
                <w:webHidden/>
              </w:rPr>
              <w:t>6</w:t>
            </w:r>
            <w:r w:rsidR="00CD393E">
              <w:rPr>
                <w:noProof/>
                <w:webHidden/>
              </w:rPr>
              <w:fldChar w:fldCharType="end"/>
            </w:r>
          </w:hyperlink>
        </w:p>
        <w:p w14:paraId="54A1416B"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20" w:history="1">
            <w:r w:rsidR="00CD393E" w:rsidRPr="00F311D3">
              <w:rPr>
                <w:rStyle w:val="Hyperlink"/>
                <w:noProof/>
              </w:rPr>
              <w:t>Part B: According to the Profit &amp; Loss Account that was provided, Edwards might run into a few issues over the duration of the following six months.</w:t>
            </w:r>
            <w:r w:rsidR="00CD393E">
              <w:rPr>
                <w:noProof/>
                <w:webHidden/>
              </w:rPr>
              <w:tab/>
            </w:r>
            <w:r w:rsidR="00CD393E">
              <w:rPr>
                <w:noProof/>
                <w:webHidden/>
              </w:rPr>
              <w:fldChar w:fldCharType="begin"/>
            </w:r>
            <w:r w:rsidR="00CD393E">
              <w:rPr>
                <w:noProof/>
                <w:webHidden/>
              </w:rPr>
              <w:instrText xml:space="preserve"> PAGEREF _Toc163130220 \h </w:instrText>
            </w:r>
            <w:r w:rsidR="00CD393E">
              <w:rPr>
                <w:noProof/>
                <w:webHidden/>
              </w:rPr>
            </w:r>
            <w:r w:rsidR="00CD393E">
              <w:rPr>
                <w:noProof/>
                <w:webHidden/>
              </w:rPr>
              <w:fldChar w:fldCharType="separate"/>
            </w:r>
            <w:r w:rsidR="00CD393E">
              <w:rPr>
                <w:noProof/>
                <w:webHidden/>
              </w:rPr>
              <w:t>8</w:t>
            </w:r>
            <w:r w:rsidR="00CD393E">
              <w:rPr>
                <w:noProof/>
                <w:webHidden/>
              </w:rPr>
              <w:fldChar w:fldCharType="end"/>
            </w:r>
          </w:hyperlink>
        </w:p>
        <w:p w14:paraId="495776DF" w14:textId="77777777" w:rsidR="00F06B7B" w:rsidRDefault="000F64AF">
          <w:pPr>
            <w:pStyle w:val="TOC2"/>
            <w:tabs>
              <w:tab w:val="right" w:leader="dot" w:pos="9350"/>
            </w:tabs>
            <w:rPr>
              <w:rFonts w:asciiTheme="minorHAnsi" w:eastAsiaTheme="minorEastAsia" w:hAnsiTheme="minorHAnsi" w:cstheme="minorBidi"/>
              <w:noProof/>
              <w:sz w:val="22"/>
              <w:szCs w:val="22"/>
              <w:lang w:val="en-GB" w:eastAsia="en-GB"/>
            </w:rPr>
          </w:pPr>
          <w:hyperlink w:anchor="_Toc163130221" w:history="1">
            <w:r w:rsidR="00CD393E" w:rsidRPr="00F311D3">
              <w:rPr>
                <w:rStyle w:val="Hyperlink"/>
                <w:noProof/>
              </w:rPr>
              <w:t>Problems Identified</w:t>
            </w:r>
            <w:r w:rsidR="00CD393E">
              <w:rPr>
                <w:noProof/>
                <w:webHidden/>
              </w:rPr>
              <w:tab/>
            </w:r>
            <w:r w:rsidR="00CD393E">
              <w:rPr>
                <w:noProof/>
                <w:webHidden/>
              </w:rPr>
              <w:fldChar w:fldCharType="begin"/>
            </w:r>
            <w:r w:rsidR="00CD393E">
              <w:rPr>
                <w:noProof/>
                <w:webHidden/>
              </w:rPr>
              <w:instrText xml:space="preserve"> PAGEREF _Toc163130221 \h </w:instrText>
            </w:r>
            <w:r w:rsidR="00CD393E">
              <w:rPr>
                <w:noProof/>
                <w:webHidden/>
              </w:rPr>
            </w:r>
            <w:r w:rsidR="00CD393E">
              <w:rPr>
                <w:noProof/>
                <w:webHidden/>
              </w:rPr>
              <w:fldChar w:fldCharType="separate"/>
            </w:r>
            <w:r w:rsidR="00CD393E">
              <w:rPr>
                <w:noProof/>
                <w:webHidden/>
              </w:rPr>
              <w:t>8</w:t>
            </w:r>
            <w:r w:rsidR="00CD393E">
              <w:rPr>
                <w:noProof/>
                <w:webHidden/>
              </w:rPr>
              <w:fldChar w:fldCharType="end"/>
            </w:r>
          </w:hyperlink>
        </w:p>
        <w:p w14:paraId="3B781584"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2" w:history="1">
            <w:r w:rsidR="00CD393E" w:rsidRPr="00F311D3">
              <w:rPr>
                <w:rStyle w:val="Hyperlink"/>
                <w:noProof/>
              </w:rPr>
              <w:t>Low Net Profit Margin</w:t>
            </w:r>
            <w:r w:rsidR="00CD393E">
              <w:rPr>
                <w:noProof/>
                <w:webHidden/>
              </w:rPr>
              <w:tab/>
            </w:r>
            <w:r w:rsidR="00CD393E">
              <w:rPr>
                <w:noProof/>
                <w:webHidden/>
              </w:rPr>
              <w:fldChar w:fldCharType="begin"/>
            </w:r>
            <w:r w:rsidR="00CD393E">
              <w:rPr>
                <w:noProof/>
                <w:webHidden/>
              </w:rPr>
              <w:instrText xml:space="preserve"> PAGEREF _Toc163130222 \h </w:instrText>
            </w:r>
            <w:r w:rsidR="00CD393E">
              <w:rPr>
                <w:noProof/>
                <w:webHidden/>
              </w:rPr>
            </w:r>
            <w:r w:rsidR="00CD393E">
              <w:rPr>
                <w:noProof/>
                <w:webHidden/>
              </w:rPr>
              <w:fldChar w:fldCharType="separate"/>
            </w:r>
            <w:r w:rsidR="00CD393E">
              <w:rPr>
                <w:noProof/>
                <w:webHidden/>
              </w:rPr>
              <w:t>8</w:t>
            </w:r>
            <w:r w:rsidR="00CD393E">
              <w:rPr>
                <w:noProof/>
                <w:webHidden/>
              </w:rPr>
              <w:fldChar w:fldCharType="end"/>
            </w:r>
          </w:hyperlink>
        </w:p>
        <w:p w14:paraId="08DE2DE4"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3" w:history="1">
            <w:r w:rsidR="00CD393E" w:rsidRPr="00F311D3">
              <w:rPr>
                <w:rStyle w:val="Hyperlink"/>
                <w:noProof/>
              </w:rPr>
              <w:t>High Cost of Goods Sold</w:t>
            </w:r>
            <w:r w:rsidR="00CD393E">
              <w:rPr>
                <w:noProof/>
                <w:webHidden/>
              </w:rPr>
              <w:tab/>
            </w:r>
            <w:r w:rsidR="00CD393E">
              <w:rPr>
                <w:noProof/>
                <w:webHidden/>
              </w:rPr>
              <w:fldChar w:fldCharType="begin"/>
            </w:r>
            <w:r w:rsidR="00CD393E">
              <w:rPr>
                <w:noProof/>
                <w:webHidden/>
              </w:rPr>
              <w:instrText xml:space="preserve"> PAGEREF _Toc163130223 \h </w:instrText>
            </w:r>
            <w:r w:rsidR="00CD393E">
              <w:rPr>
                <w:noProof/>
                <w:webHidden/>
              </w:rPr>
            </w:r>
            <w:r w:rsidR="00CD393E">
              <w:rPr>
                <w:noProof/>
                <w:webHidden/>
              </w:rPr>
              <w:fldChar w:fldCharType="separate"/>
            </w:r>
            <w:r w:rsidR="00CD393E">
              <w:rPr>
                <w:noProof/>
                <w:webHidden/>
              </w:rPr>
              <w:t>8</w:t>
            </w:r>
            <w:r w:rsidR="00CD393E">
              <w:rPr>
                <w:noProof/>
                <w:webHidden/>
              </w:rPr>
              <w:fldChar w:fldCharType="end"/>
            </w:r>
          </w:hyperlink>
        </w:p>
        <w:p w14:paraId="4E933B80"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4" w:history="1">
            <w:r w:rsidR="00CD393E" w:rsidRPr="00F311D3">
              <w:rPr>
                <w:rStyle w:val="Hyperlink"/>
                <w:noProof/>
              </w:rPr>
              <w:t>Operating Expense</w:t>
            </w:r>
            <w:r w:rsidR="00CD393E">
              <w:rPr>
                <w:noProof/>
                <w:webHidden/>
              </w:rPr>
              <w:tab/>
            </w:r>
            <w:r w:rsidR="00CD393E">
              <w:rPr>
                <w:noProof/>
                <w:webHidden/>
              </w:rPr>
              <w:fldChar w:fldCharType="begin"/>
            </w:r>
            <w:r w:rsidR="00CD393E">
              <w:rPr>
                <w:noProof/>
                <w:webHidden/>
              </w:rPr>
              <w:instrText xml:space="preserve"> PAGEREF _Toc163130224 \h </w:instrText>
            </w:r>
            <w:r w:rsidR="00CD393E">
              <w:rPr>
                <w:noProof/>
                <w:webHidden/>
              </w:rPr>
            </w:r>
            <w:r w:rsidR="00CD393E">
              <w:rPr>
                <w:noProof/>
                <w:webHidden/>
              </w:rPr>
              <w:fldChar w:fldCharType="separate"/>
            </w:r>
            <w:r w:rsidR="00CD393E">
              <w:rPr>
                <w:noProof/>
                <w:webHidden/>
              </w:rPr>
              <w:t>9</w:t>
            </w:r>
            <w:r w:rsidR="00CD393E">
              <w:rPr>
                <w:noProof/>
                <w:webHidden/>
              </w:rPr>
              <w:fldChar w:fldCharType="end"/>
            </w:r>
          </w:hyperlink>
        </w:p>
        <w:p w14:paraId="015E75C5" w14:textId="77777777" w:rsidR="00F06B7B" w:rsidRDefault="000F64AF">
          <w:pPr>
            <w:pStyle w:val="TOC2"/>
            <w:tabs>
              <w:tab w:val="right" w:leader="dot" w:pos="9350"/>
            </w:tabs>
            <w:rPr>
              <w:rFonts w:asciiTheme="minorHAnsi" w:eastAsiaTheme="minorEastAsia" w:hAnsiTheme="minorHAnsi" w:cstheme="minorBidi"/>
              <w:noProof/>
              <w:sz w:val="22"/>
              <w:szCs w:val="22"/>
              <w:lang w:val="en-GB" w:eastAsia="en-GB"/>
            </w:rPr>
          </w:pPr>
          <w:hyperlink w:anchor="_Toc163130225" w:history="1">
            <w:r w:rsidR="00CD393E" w:rsidRPr="00F311D3">
              <w:rPr>
                <w:rStyle w:val="Hyperlink"/>
                <w:noProof/>
              </w:rPr>
              <w:t>Several Actions Management Could Take</w:t>
            </w:r>
            <w:r w:rsidR="00CD393E">
              <w:rPr>
                <w:noProof/>
                <w:webHidden/>
              </w:rPr>
              <w:tab/>
            </w:r>
            <w:r w:rsidR="00CD393E">
              <w:rPr>
                <w:noProof/>
                <w:webHidden/>
              </w:rPr>
              <w:fldChar w:fldCharType="begin"/>
            </w:r>
            <w:r w:rsidR="00CD393E">
              <w:rPr>
                <w:noProof/>
                <w:webHidden/>
              </w:rPr>
              <w:instrText xml:space="preserve"> PAGEREF _Toc163130225 \h </w:instrText>
            </w:r>
            <w:r w:rsidR="00CD393E">
              <w:rPr>
                <w:noProof/>
                <w:webHidden/>
              </w:rPr>
            </w:r>
            <w:r w:rsidR="00CD393E">
              <w:rPr>
                <w:noProof/>
                <w:webHidden/>
              </w:rPr>
              <w:fldChar w:fldCharType="separate"/>
            </w:r>
            <w:r w:rsidR="00CD393E">
              <w:rPr>
                <w:noProof/>
                <w:webHidden/>
              </w:rPr>
              <w:t>9</w:t>
            </w:r>
            <w:r w:rsidR="00CD393E">
              <w:rPr>
                <w:noProof/>
                <w:webHidden/>
              </w:rPr>
              <w:fldChar w:fldCharType="end"/>
            </w:r>
          </w:hyperlink>
        </w:p>
        <w:p w14:paraId="1FD8B8FF"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6" w:history="1">
            <w:r w:rsidR="00CD393E" w:rsidRPr="00F311D3">
              <w:rPr>
                <w:rStyle w:val="Hyperlink"/>
                <w:noProof/>
              </w:rPr>
              <w:t>Cost Control Measurement</w:t>
            </w:r>
            <w:r w:rsidR="00CD393E">
              <w:rPr>
                <w:noProof/>
                <w:webHidden/>
              </w:rPr>
              <w:tab/>
            </w:r>
            <w:r w:rsidR="00CD393E">
              <w:rPr>
                <w:noProof/>
                <w:webHidden/>
              </w:rPr>
              <w:fldChar w:fldCharType="begin"/>
            </w:r>
            <w:r w:rsidR="00CD393E">
              <w:rPr>
                <w:noProof/>
                <w:webHidden/>
              </w:rPr>
              <w:instrText xml:space="preserve"> PAGEREF _Toc163130226 \h </w:instrText>
            </w:r>
            <w:r w:rsidR="00CD393E">
              <w:rPr>
                <w:noProof/>
                <w:webHidden/>
              </w:rPr>
            </w:r>
            <w:r w:rsidR="00CD393E">
              <w:rPr>
                <w:noProof/>
                <w:webHidden/>
              </w:rPr>
              <w:fldChar w:fldCharType="separate"/>
            </w:r>
            <w:r w:rsidR="00CD393E">
              <w:rPr>
                <w:noProof/>
                <w:webHidden/>
              </w:rPr>
              <w:t>9</w:t>
            </w:r>
            <w:r w:rsidR="00CD393E">
              <w:rPr>
                <w:noProof/>
                <w:webHidden/>
              </w:rPr>
              <w:fldChar w:fldCharType="end"/>
            </w:r>
          </w:hyperlink>
        </w:p>
        <w:p w14:paraId="583DCB7A"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7" w:history="1">
            <w:r w:rsidR="00CD393E" w:rsidRPr="00F311D3">
              <w:rPr>
                <w:rStyle w:val="Hyperlink"/>
                <w:noProof/>
              </w:rPr>
              <w:t>Revenue Enhancement Strategies</w:t>
            </w:r>
            <w:r w:rsidR="00CD393E">
              <w:rPr>
                <w:noProof/>
                <w:webHidden/>
              </w:rPr>
              <w:tab/>
            </w:r>
            <w:r w:rsidR="00CD393E">
              <w:rPr>
                <w:noProof/>
                <w:webHidden/>
              </w:rPr>
              <w:fldChar w:fldCharType="begin"/>
            </w:r>
            <w:r w:rsidR="00CD393E">
              <w:rPr>
                <w:noProof/>
                <w:webHidden/>
              </w:rPr>
              <w:instrText xml:space="preserve"> PAGEREF _Toc163130227 \h </w:instrText>
            </w:r>
            <w:r w:rsidR="00CD393E">
              <w:rPr>
                <w:noProof/>
                <w:webHidden/>
              </w:rPr>
            </w:r>
            <w:r w:rsidR="00CD393E">
              <w:rPr>
                <w:noProof/>
                <w:webHidden/>
              </w:rPr>
              <w:fldChar w:fldCharType="separate"/>
            </w:r>
            <w:r w:rsidR="00CD393E">
              <w:rPr>
                <w:noProof/>
                <w:webHidden/>
              </w:rPr>
              <w:t>9</w:t>
            </w:r>
            <w:r w:rsidR="00CD393E">
              <w:rPr>
                <w:noProof/>
                <w:webHidden/>
              </w:rPr>
              <w:fldChar w:fldCharType="end"/>
            </w:r>
          </w:hyperlink>
        </w:p>
        <w:p w14:paraId="55B3FF8B"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8" w:history="1">
            <w:r w:rsidR="00CD393E" w:rsidRPr="00F311D3">
              <w:rPr>
                <w:rStyle w:val="Hyperlink"/>
                <w:noProof/>
              </w:rPr>
              <w:t>Efficiency Improvements</w:t>
            </w:r>
            <w:r w:rsidR="00CD393E">
              <w:rPr>
                <w:noProof/>
                <w:webHidden/>
              </w:rPr>
              <w:tab/>
            </w:r>
            <w:r w:rsidR="00CD393E">
              <w:rPr>
                <w:noProof/>
                <w:webHidden/>
              </w:rPr>
              <w:fldChar w:fldCharType="begin"/>
            </w:r>
            <w:r w:rsidR="00CD393E">
              <w:rPr>
                <w:noProof/>
                <w:webHidden/>
              </w:rPr>
              <w:instrText xml:space="preserve"> PAGEREF _Toc163130228 \h </w:instrText>
            </w:r>
            <w:r w:rsidR="00CD393E">
              <w:rPr>
                <w:noProof/>
                <w:webHidden/>
              </w:rPr>
            </w:r>
            <w:r w:rsidR="00CD393E">
              <w:rPr>
                <w:noProof/>
                <w:webHidden/>
              </w:rPr>
              <w:fldChar w:fldCharType="separate"/>
            </w:r>
            <w:r w:rsidR="00CD393E">
              <w:rPr>
                <w:noProof/>
                <w:webHidden/>
              </w:rPr>
              <w:t>10</w:t>
            </w:r>
            <w:r w:rsidR="00CD393E">
              <w:rPr>
                <w:noProof/>
                <w:webHidden/>
              </w:rPr>
              <w:fldChar w:fldCharType="end"/>
            </w:r>
          </w:hyperlink>
        </w:p>
        <w:p w14:paraId="755F4F29" w14:textId="77777777" w:rsidR="00F06B7B" w:rsidRDefault="000F64AF">
          <w:pPr>
            <w:pStyle w:val="TOC3"/>
            <w:tabs>
              <w:tab w:val="right" w:leader="dot" w:pos="9350"/>
            </w:tabs>
            <w:rPr>
              <w:rFonts w:asciiTheme="minorHAnsi" w:eastAsiaTheme="minorEastAsia" w:hAnsiTheme="minorHAnsi" w:cstheme="minorBidi"/>
              <w:noProof/>
              <w:sz w:val="22"/>
              <w:szCs w:val="22"/>
              <w:lang w:val="en-GB" w:eastAsia="en-GB"/>
            </w:rPr>
          </w:pPr>
          <w:hyperlink w:anchor="_Toc163130229" w:history="1">
            <w:r w:rsidR="00CD393E" w:rsidRPr="00F311D3">
              <w:rPr>
                <w:rStyle w:val="Hyperlink"/>
                <w:noProof/>
              </w:rPr>
              <w:t>Financial Planning and Analysis</w:t>
            </w:r>
            <w:r w:rsidR="00CD393E">
              <w:rPr>
                <w:noProof/>
                <w:webHidden/>
              </w:rPr>
              <w:tab/>
            </w:r>
            <w:r w:rsidR="00CD393E">
              <w:rPr>
                <w:noProof/>
                <w:webHidden/>
              </w:rPr>
              <w:fldChar w:fldCharType="begin"/>
            </w:r>
            <w:r w:rsidR="00CD393E">
              <w:rPr>
                <w:noProof/>
                <w:webHidden/>
              </w:rPr>
              <w:instrText xml:space="preserve"> PAGEREF _Toc163130229 \h </w:instrText>
            </w:r>
            <w:r w:rsidR="00CD393E">
              <w:rPr>
                <w:noProof/>
                <w:webHidden/>
              </w:rPr>
            </w:r>
            <w:r w:rsidR="00CD393E">
              <w:rPr>
                <w:noProof/>
                <w:webHidden/>
              </w:rPr>
              <w:fldChar w:fldCharType="separate"/>
            </w:r>
            <w:r w:rsidR="00CD393E">
              <w:rPr>
                <w:noProof/>
                <w:webHidden/>
              </w:rPr>
              <w:t>10</w:t>
            </w:r>
            <w:r w:rsidR="00CD393E">
              <w:rPr>
                <w:noProof/>
                <w:webHidden/>
              </w:rPr>
              <w:fldChar w:fldCharType="end"/>
            </w:r>
          </w:hyperlink>
        </w:p>
        <w:p w14:paraId="646CC5AA"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30" w:history="1">
            <w:r w:rsidR="00CD393E" w:rsidRPr="00F311D3">
              <w:rPr>
                <w:rStyle w:val="Hyperlink"/>
                <w:noProof/>
              </w:rPr>
              <w:t>Part C: Conditions for Successful Budgeting and Budgetary Control for an Organization</w:t>
            </w:r>
            <w:r w:rsidR="00CD393E">
              <w:rPr>
                <w:noProof/>
                <w:webHidden/>
              </w:rPr>
              <w:tab/>
            </w:r>
            <w:r w:rsidR="00CD393E">
              <w:rPr>
                <w:noProof/>
                <w:webHidden/>
              </w:rPr>
              <w:fldChar w:fldCharType="begin"/>
            </w:r>
            <w:r w:rsidR="00CD393E">
              <w:rPr>
                <w:noProof/>
                <w:webHidden/>
              </w:rPr>
              <w:instrText xml:space="preserve"> PAGEREF _Toc163130230 \h </w:instrText>
            </w:r>
            <w:r w:rsidR="00CD393E">
              <w:rPr>
                <w:noProof/>
                <w:webHidden/>
              </w:rPr>
            </w:r>
            <w:r w:rsidR="00CD393E">
              <w:rPr>
                <w:noProof/>
                <w:webHidden/>
              </w:rPr>
              <w:fldChar w:fldCharType="separate"/>
            </w:r>
            <w:r w:rsidR="00CD393E">
              <w:rPr>
                <w:noProof/>
                <w:webHidden/>
              </w:rPr>
              <w:t>10</w:t>
            </w:r>
            <w:r w:rsidR="00CD393E">
              <w:rPr>
                <w:noProof/>
                <w:webHidden/>
              </w:rPr>
              <w:fldChar w:fldCharType="end"/>
            </w:r>
          </w:hyperlink>
        </w:p>
        <w:p w14:paraId="3BE7E8A5"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31" w:history="1">
            <w:r w:rsidR="00CD393E" w:rsidRPr="00F311D3">
              <w:rPr>
                <w:rStyle w:val="Hyperlink"/>
                <w:noProof/>
              </w:rPr>
              <w:t>Part D Critical evaluation of traditional approaches to budgeting</w:t>
            </w:r>
            <w:r w:rsidR="00CD393E">
              <w:rPr>
                <w:noProof/>
                <w:webHidden/>
              </w:rPr>
              <w:tab/>
            </w:r>
            <w:r w:rsidR="00CD393E">
              <w:rPr>
                <w:noProof/>
                <w:webHidden/>
              </w:rPr>
              <w:fldChar w:fldCharType="begin"/>
            </w:r>
            <w:r w:rsidR="00CD393E">
              <w:rPr>
                <w:noProof/>
                <w:webHidden/>
              </w:rPr>
              <w:instrText xml:space="preserve"> PAGEREF _Toc163130231 \h </w:instrText>
            </w:r>
            <w:r w:rsidR="00CD393E">
              <w:rPr>
                <w:noProof/>
                <w:webHidden/>
              </w:rPr>
            </w:r>
            <w:r w:rsidR="00CD393E">
              <w:rPr>
                <w:noProof/>
                <w:webHidden/>
              </w:rPr>
              <w:fldChar w:fldCharType="separate"/>
            </w:r>
            <w:r w:rsidR="00CD393E">
              <w:rPr>
                <w:noProof/>
                <w:webHidden/>
              </w:rPr>
              <w:t>12</w:t>
            </w:r>
            <w:r w:rsidR="00CD393E">
              <w:rPr>
                <w:noProof/>
                <w:webHidden/>
              </w:rPr>
              <w:fldChar w:fldCharType="end"/>
            </w:r>
          </w:hyperlink>
        </w:p>
        <w:p w14:paraId="4AD4CC45"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32" w:history="1">
            <w:r w:rsidR="00CD393E" w:rsidRPr="00F311D3">
              <w:rPr>
                <w:rStyle w:val="Hyperlink"/>
                <w:noProof/>
              </w:rPr>
              <w:t>Conclusion</w:t>
            </w:r>
            <w:r w:rsidR="00CD393E">
              <w:rPr>
                <w:noProof/>
                <w:webHidden/>
              </w:rPr>
              <w:tab/>
            </w:r>
            <w:r w:rsidR="00CD393E">
              <w:rPr>
                <w:noProof/>
                <w:webHidden/>
              </w:rPr>
              <w:fldChar w:fldCharType="begin"/>
            </w:r>
            <w:r w:rsidR="00CD393E">
              <w:rPr>
                <w:noProof/>
                <w:webHidden/>
              </w:rPr>
              <w:instrText xml:space="preserve"> PAGEREF _Toc163130232 \h </w:instrText>
            </w:r>
            <w:r w:rsidR="00CD393E">
              <w:rPr>
                <w:noProof/>
                <w:webHidden/>
              </w:rPr>
            </w:r>
            <w:r w:rsidR="00CD393E">
              <w:rPr>
                <w:noProof/>
                <w:webHidden/>
              </w:rPr>
              <w:fldChar w:fldCharType="separate"/>
            </w:r>
            <w:r w:rsidR="00CD393E">
              <w:rPr>
                <w:noProof/>
                <w:webHidden/>
              </w:rPr>
              <w:t>14</w:t>
            </w:r>
            <w:r w:rsidR="00CD393E">
              <w:rPr>
                <w:noProof/>
                <w:webHidden/>
              </w:rPr>
              <w:fldChar w:fldCharType="end"/>
            </w:r>
          </w:hyperlink>
        </w:p>
        <w:p w14:paraId="60AD5419" w14:textId="77777777" w:rsidR="00F06B7B" w:rsidRDefault="000F64AF">
          <w:pPr>
            <w:pStyle w:val="TOC1"/>
            <w:tabs>
              <w:tab w:val="right" w:leader="dot" w:pos="9350"/>
            </w:tabs>
            <w:rPr>
              <w:rFonts w:asciiTheme="minorHAnsi" w:eastAsiaTheme="minorEastAsia" w:hAnsiTheme="minorHAnsi" w:cstheme="minorBidi"/>
              <w:noProof/>
              <w:sz w:val="22"/>
              <w:szCs w:val="22"/>
              <w:lang w:val="en-GB" w:eastAsia="en-GB"/>
            </w:rPr>
          </w:pPr>
          <w:hyperlink w:anchor="_Toc163130233" w:history="1">
            <w:r w:rsidR="00CD393E" w:rsidRPr="00F311D3">
              <w:rPr>
                <w:rStyle w:val="Hyperlink"/>
                <w:noProof/>
              </w:rPr>
              <w:t>References</w:t>
            </w:r>
            <w:r w:rsidR="00CD393E">
              <w:rPr>
                <w:noProof/>
                <w:webHidden/>
              </w:rPr>
              <w:tab/>
            </w:r>
            <w:r w:rsidR="00CD393E">
              <w:rPr>
                <w:noProof/>
                <w:webHidden/>
              </w:rPr>
              <w:fldChar w:fldCharType="begin"/>
            </w:r>
            <w:r w:rsidR="00CD393E">
              <w:rPr>
                <w:noProof/>
                <w:webHidden/>
              </w:rPr>
              <w:instrText xml:space="preserve"> PAGEREF _Toc163130233 \h </w:instrText>
            </w:r>
            <w:r w:rsidR="00CD393E">
              <w:rPr>
                <w:noProof/>
                <w:webHidden/>
              </w:rPr>
            </w:r>
            <w:r w:rsidR="00CD393E">
              <w:rPr>
                <w:noProof/>
                <w:webHidden/>
              </w:rPr>
              <w:fldChar w:fldCharType="separate"/>
            </w:r>
            <w:r w:rsidR="00CD393E">
              <w:rPr>
                <w:noProof/>
                <w:webHidden/>
              </w:rPr>
              <w:t>15</w:t>
            </w:r>
            <w:r w:rsidR="00CD393E">
              <w:rPr>
                <w:noProof/>
                <w:webHidden/>
              </w:rPr>
              <w:fldChar w:fldCharType="end"/>
            </w:r>
          </w:hyperlink>
        </w:p>
        <w:p w14:paraId="74802589" w14:textId="77777777" w:rsidR="009106C3" w:rsidRPr="0046366C" w:rsidRDefault="00CD393E">
          <w:r w:rsidRPr="0046366C">
            <w:rPr>
              <w:b/>
              <w:bCs/>
              <w:noProof/>
            </w:rPr>
            <w:fldChar w:fldCharType="end"/>
          </w:r>
        </w:p>
      </w:sdtContent>
    </w:sdt>
    <w:p w14:paraId="732CEC88" w14:textId="77777777" w:rsidR="009106C3" w:rsidRPr="0046366C" w:rsidRDefault="009106C3">
      <w:pPr>
        <w:spacing w:line="259" w:lineRule="auto"/>
        <w:jc w:val="left"/>
        <w:rPr>
          <w:b/>
        </w:rPr>
      </w:pPr>
    </w:p>
    <w:p w14:paraId="1D7B0FAD" w14:textId="77777777" w:rsidR="009106C3" w:rsidRPr="0046366C" w:rsidRDefault="00CD393E">
      <w:pPr>
        <w:spacing w:line="259" w:lineRule="auto"/>
        <w:jc w:val="left"/>
        <w:rPr>
          <w:b/>
        </w:rPr>
      </w:pPr>
      <w:r w:rsidRPr="0046366C">
        <w:rPr>
          <w:b/>
        </w:rPr>
        <w:br w:type="page"/>
      </w:r>
    </w:p>
    <w:p w14:paraId="1515137A" w14:textId="77777777" w:rsidR="009106C3" w:rsidRPr="0046366C" w:rsidRDefault="00CD393E" w:rsidP="009106C3">
      <w:pPr>
        <w:pStyle w:val="Heading1"/>
        <w:rPr>
          <w:rFonts w:cs="Times New Roman"/>
        </w:rPr>
      </w:pPr>
      <w:bookmarkStart w:id="0" w:name="_Toc163130216"/>
      <w:r w:rsidRPr="0046366C">
        <w:rPr>
          <w:rFonts w:cs="Times New Roman"/>
        </w:rPr>
        <w:lastRenderedPageBreak/>
        <w:t>Introduction</w:t>
      </w:r>
      <w:bookmarkEnd w:id="0"/>
    </w:p>
    <w:p w14:paraId="6498E890" w14:textId="77777777" w:rsidR="000F41C6" w:rsidRPr="0046366C" w:rsidRDefault="00CD393E" w:rsidP="00E15921">
      <w:pPr>
        <w:ind w:firstLine="720"/>
      </w:pPr>
      <w:r w:rsidRPr="0046366C">
        <w:t xml:space="preserve">The realm of budgeting </w:t>
      </w:r>
      <w:r w:rsidR="0012585D" w:rsidRPr="0046366C">
        <w:t>strategies (formal approach to managing a collection of reserves)</w:t>
      </w:r>
      <w:r w:rsidRPr="0046366C">
        <w:t xml:space="preserve"> has changed significantly in the past few years, with many </w:t>
      </w:r>
      <w:r w:rsidR="00337630" w:rsidRPr="0046366C">
        <w:t>c</w:t>
      </w:r>
      <w:r w:rsidR="00B974DC" w:rsidRPr="0046366C">
        <w:t>ompanies</w:t>
      </w:r>
      <w:r w:rsidRPr="0046366C">
        <w:t xml:space="preserve"> shifting from conventional incremental budgeting processes to more innovative ones. </w:t>
      </w:r>
      <w:r w:rsidR="00B974DC" w:rsidRPr="0046366C">
        <w:t>The annual expenditure plan has drawn flak for being</w:t>
      </w:r>
      <w:r w:rsidRPr="0046366C">
        <w:t xml:space="preserve"> inadequate and for obstructing the successful implementation of strategic change, which is what led to this shift.</w:t>
      </w:r>
      <w:r w:rsidR="0012585D" w:rsidRPr="0046366C">
        <w:t xml:space="preserve"> (Ba</w:t>
      </w:r>
      <w:r w:rsidR="003F65D2" w:rsidRPr="0046366C">
        <w:t xml:space="preserve">loch </w:t>
      </w:r>
      <w:r w:rsidR="0012585D" w:rsidRPr="0046366C">
        <w:t>et al</w:t>
      </w:r>
      <w:r w:rsidR="00400A61" w:rsidRPr="0046366C">
        <w:t>.</w:t>
      </w:r>
      <w:r w:rsidR="0012585D" w:rsidRPr="0046366C">
        <w:t xml:space="preserve">, 2021). </w:t>
      </w:r>
      <w:r w:rsidRPr="0046366C">
        <w:t xml:space="preserve"> A six-month examination of the budgeting plans of Edwards, a network of fifteen stores providing camping gear, has been initiated in reaction to shifting market dynamics and financial challenges. This report attempts to examine Edwards' financial requirements, deal with possible issues the company may have in the upcoming months, go over the prerequisites for effective budgeting and budgetary control, and assess conventional budgeting methods in light of a fast-changing business environment</w:t>
      </w:r>
      <w:r w:rsidR="0012585D" w:rsidRPr="0046366C">
        <w:t xml:space="preserve"> (</w:t>
      </w:r>
      <w:r w:rsidR="002B0B04" w:rsidRPr="0046366C">
        <w:t>Baloch</w:t>
      </w:r>
      <w:r w:rsidR="0012585D" w:rsidRPr="0046366C">
        <w:t xml:space="preserve"> et al</w:t>
      </w:r>
      <w:r w:rsidR="002B0B04" w:rsidRPr="0046366C">
        <w:t>.</w:t>
      </w:r>
      <w:r w:rsidR="0012585D" w:rsidRPr="0046366C">
        <w:t xml:space="preserve">, 2021). </w:t>
      </w:r>
      <w:r w:rsidRPr="0046366C">
        <w:t>Through a comprehensive evaluation of these factors, recommendations will be provided to guide Edwards towards a more adaptive and effective budgeting strategy.</w:t>
      </w:r>
    </w:p>
    <w:p w14:paraId="591ED3D2" w14:textId="77777777" w:rsidR="007A69A3" w:rsidRDefault="00CD393E" w:rsidP="009106C3">
      <w:pPr>
        <w:pStyle w:val="Heading1"/>
        <w:rPr>
          <w:rFonts w:cs="Times New Roman"/>
        </w:rPr>
      </w:pPr>
      <w:bookmarkStart w:id="1" w:name="_Toc163130217"/>
      <w:r w:rsidRPr="0046366C">
        <w:rPr>
          <w:rFonts w:cs="Times New Roman"/>
        </w:rPr>
        <w:t>Required Part A</w:t>
      </w:r>
      <w:bookmarkEnd w:id="1"/>
      <w:r w:rsidRPr="0046366C">
        <w:rPr>
          <w:rFonts w:cs="Times New Roman"/>
        </w:rPr>
        <w:t xml:space="preserve"> </w:t>
      </w:r>
    </w:p>
    <w:p w14:paraId="0EB114A1" w14:textId="77777777" w:rsidR="009106C3" w:rsidRPr="0046366C" w:rsidRDefault="00CD393E" w:rsidP="007A69A3">
      <w:pPr>
        <w:pStyle w:val="Heading2"/>
      </w:pPr>
      <w:bookmarkStart w:id="2" w:name="_Toc163130218"/>
      <w:r w:rsidRPr="0046366C">
        <w:t>(i)</w:t>
      </w:r>
      <w:r w:rsidR="007A69A3" w:rsidRPr="007A69A3">
        <w:rPr>
          <w:rFonts w:eastAsia="Times New Roman" w:cs="Times New Roman"/>
          <w:bCs/>
          <w:color w:val="000000"/>
        </w:rPr>
        <w:t xml:space="preserve"> </w:t>
      </w:r>
      <w:r w:rsidR="007A69A3" w:rsidRPr="0046366C">
        <w:rPr>
          <w:rFonts w:eastAsia="Times New Roman" w:cs="Times New Roman"/>
          <w:bCs/>
          <w:color w:val="000000"/>
        </w:rPr>
        <w:t>Stock budget for Edwards</w:t>
      </w:r>
      <w:bookmarkEnd w:id="2"/>
    </w:p>
    <w:tbl>
      <w:tblPr>
        <w:tblW w:w="0" w:type="auto"/>
        <w:jc w:val="center"/>
        <w:tblLook w:val="04A0" w:firstRow="1" w:lastRow="0" w:firstColumn="1" w:lastColumn="0" w:noHBand="0" w:noVBand="1"/>
      </w:tblPr>
      <w:tblGrid>
        <w:gridCol w:w="3510"/>
        <w:gridCol w:w="610"/>
        <w:gridCol w:w="610"/>
        <w:gridCol w:w="607"/>
        <w:gridCol w:w="837"/>
        <w:gridCol w:w="1135"/>
        <w:gridCol w:w="908"/>
        <w:gridCol w:w="1123"/>
      </w:tblGrid>
      <w:tr w:rsidR="00643538" w14:paraId="224652A9" w14:textId="77777777" w:rsidTr="00726DC8">
        <w:trPr>
          <w:trHeight w:val="179"/>
          <w:jc w:val="center"/>
        </w:trPr>
        <w:tc>
          <w:tcPr>
            <w:tcW w:w="0" w:type="auto"/>
            <w:gridSpan w:val="8"/>
            <w:tcBorders>
              <w:top w:val="single" w:sz="8" w:space="0" w:color="auto"/>
              <w:left w:val="single" w:sz="8" w:space="0" w:color="auto"/>
              <w:bottom w:val="single" w:sz="4" w:space="0" w:color="auto"/>
              <w:right w:val="single" w:sz="8" w:space="0" w:color="000000"/>
            </w:tcBorders>
            <w:shd w:val="clear" w:color="000000" w:fill="FFD966"/>
            <w:noWrap/>
            <w:vAlign w:val="bottom"/>
            <w:hideMark/>
          </w:tcPr>
          <w:p w14:paraId="3A712933" w14:textId="77777777" w:rsidR="009106C3" w:rsidRPr="0046366C" w:rsidRDefault="00CD393E" w:rsidP="00443807">
            <w:pPr>
              <w:spacing w:after="0" w:line="240" w:lineRule="auto"/>
              <w:jc w:val="center"/>
              <w:rPr>
                <w:rFonts w:eastAsia="Times New Roman"/>
                <w:b/>
                <w:bCs/>
                <w:color w:val="000000"/>
              </w:rPr>
            </w:pPr>
            <w:r w:rsidRPr="0046366C">
              <w:rPr>
                <w:rFonts w:eastAsia="Times New Roman"/>
                <w:b/>
                <w:bCs/>
                <w:color w:val="000000"/>
              </w:rPr>
              <w:t>Stock budget for Edwards</w:t>
            </w:r>
          </w:p>
        </w:tc>
      </w:tr>
      <w:tr w:rsidR="00643538" w14:paraId="12878E64"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EDDDBA8" w14:textId="77777777" w:rsidR="009106C3" w:rsidRPr="0046366C" w:rsidRDefault="009106C3" w:rsidP="00443807">
            <w:pPr>
              <w:spacing w:after="0" w:line="240" w:lineRule="auto"/>
              <w:jc w:val="center"/>
              <w:rPr>
                <w:rFonts w:eastAsia="Times New Roman"/>
                <w:color w:val="000000"/>
                <w:sz w:val="22"/>
                <w:szCs w:val="22"/>
              </w:rPr>
            </w:pPr>
          </w:p>
        </w:tc>
        <w:tc>
          <w:tcPr>
            <w:tcW w:w="0" w:type="auto"/>
            <w:tcBorders>
              <w:top w:val="nil"/>
              <w:left w:val="nil"/>
              <w:bottom w:val="single" w:sz="4" w:space="0" w:color="auto"/>
              <w:right w:val="single" w:sz="4" w:space="0" w:color="auto"/>
            </w:tcBorders>
            <w:shd w:val="clear" w:color="auto" w:fill="auto"/>
            <w:noWrap/>
            <w:vAlign w:val="bottom"/>
            <w:hideMark/>
          </w:tcPr>
          <w:p w14:paraId="2040BA10"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May</w:t>
            </w:r>
          </w:p>
        </w:tc>
        <w:tc>
          <w:tcPr>
            <w:tcW w:w="0" w:type="auto"/>
            <w:tcBorders>
              <w:top w:val="nil"/>
              <w:left w:val="nil"/>
              <w:bottom w:val="single" w:sz="4" w:space="0" w:color="auto"/>
              <w:right w:val="single" w:sz="4" w:space="0" w:color="auto"/>
            </w:tcBorders>
            <w:shd w:val="clear" w:color="auto" w:fill="auto"/>
            <w:noWrap/>
            <w:vAlign w:val="bottom"/>
            <w:hideMark/>
          </w:tcPr>
          <w:p w14:paraId="6E2EBF5E"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June</w:t>
            </w:r>
          </w:p>
        </w:tc>
        <w:tc>
          <w:tcPr>
            <w:tcW w:w="0" w:type="auto"/>
            <w:tcBorders>
              <w:top w:val="nil"/>
              <w:left w:val="nil"/>
              <w:bottom w:val="single" w:sz="4" w:space="0" w:color="auto"/>
              <w:right w:val="single" w:sz="4" w:space="0" w:color="auto"/>
            </w:tcBorders>
            <w:shd w:val="clear" w:color="auto" w:fill="auto"/>
            <w:noWrap/>
            <w:vAlign w:val="bottom"/>
            <w:hideMark/>
          </w:tcPr>
          <w:p w14:paraId="127064E6"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July</w:t>
            </w:r>
          </w:p>
        </w:tc>
        <w:tc>
          <w:tcPr>
            <w:tcW w:w="0" w:type="auto"/>
            <w:tcBorders>
              <w:top w:val="nil"/>
              <w:left w:val="nil"/>
              <w:bottom w:val="single" w:sz="4" w:space="0" w:color="auto"/>
              <w:right w:val="single" w:sz="4" w:space="0" w:color="auto"/>
            </w:tcBorders>
            <w:shd w:val="clear" w:color="auto" w:fill="auto"/>
            <w:noWrap/>
            <w:vAlign w:val="bottom"/>
            <w:hideMark/>
          </w:tcPr>
          <w:p w14:paraId="7CDB86D2"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August</w:t>
            </w:r>
          </w:p>
        </w:tc>
        <w:tc>
          <w:tcPr>
            <w:tcW w:w="0" w:type="auto"/>
            <w:tcBorders>
              <w:top w:val="nil"/>
              <w:left w:val="nil"/>
              <w:bottom w:val="single" w:sz="4" w:space="0" w:color="auto"/>
              <w:right w:val="single" w:sz="4" w:space="0" w:color="auto"/>
            </w:tcBorders>
            <w:shd w:val="clear" w:color="auto" w:fill="auto"/>
            <w:noWrap/>
            <w:vAlign w:val="bottom"/>
            <w:hideMark/>
          </w:tcPr>
          <w:p w14:paraId="0CD01A22"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September</w:t>
            </w:r>
          </w:p>
        </w:tc>
        <w:tc>
          <w:tcPr>
            <w:tcW w:w="0" w:type="auto"/>
            <w:tcBorders>
              <w:top w:val="nil"/>
              <w:left w:val="nil"/>
              <w:bottom w:val="single" w:sz="4" w:space="0" w:color="auto"/>
              <w:right w:val="single" w:sz="4" w:space="0" w:color="auto"/>
            </w:tcBorders>
            <w:shd w:val="clear" w:color="auto" w:fill="auto"/>
            <w:noWrap/>
            <w:vAlign w:val="bottom"/>
            <w:hideMark/>
          </w:tcPr>
          <w:p w14:paraId="268736F0"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October</w:t>
            </w:r>
          </w:p>
        </w:tc>
        <w:tc>
          <w:tcPr>
            <w:tcW w:w="0" w:type="auto"/>
            <w:tcBorders>
              <w:top w:val="nil"/>
              <w:left w:val="nil"/>
              <w:bottom w:val="single" w:sz="4" w:space="0" w:color="auto"/>
              <w:right w:val="single" w:sz="8" w:space="0" w:color="auto"/>
            </w:tcBorders>
            <w:shd w:val="clear" w:color="auto" w:fill="auto"/>
            <w:noWrap/>
            <w:vAlign w:val="bottom"/>
            <w:hideMark/>
          </w:tcPr>
          <w:p w14:paraId="2C534B96"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November</w:t>
            </w:r>
          </w:p>
        </w:tc>
      </w:tr>
      <w:tr w:rsidR="00643538" w14:paraId="379CC5F5"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tcPr>
          <w:p w14:paraId="756E3E15" w14:textId="77777777" w:rsidR="009106C3" w:rsidRPr="0046366C" w:rsidRDefault="009106C3" w:rsidP="00443807">
            <w:pPr>
              <w:jc w:val="center"/>
              <w:rPr>
                <w:rFonts w:eastAsia="Times New Roman"/>
                <w:color w:val="000000"/>
              </w:rPr>
            </w:pPr>
          </w:p>
        </w:tc>
        <w:tc>
          <w:tcPr>
            <w:tcW w:w="0" w:type="auto"/>
            <w:tcBorders>
              <w:top w:val="nil"/>
              <w:left w:val="nil"/>
              <w:bottom w:val="single" w:sz="4" w:space="0" w:color="auto"/>
              <w:right w:val="single" w:sz="4" w:space="0" w:color="auto"/>
            </w:tcBorders>
            <w:shd w:val="clear" w:color="auto" w:fill="auto"/>
            <w:noWrap/>
            <w:vAlign w:val="bottom"/>
          </w:tcPr>
          <w:p w14:paraId="2150AED5"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4" w:space="0" w:color="auto"/>
            </w:tcBorders>
            <w:shd w:val="clear" w:color="auto" w:fill="auto"/>
            <w:noWrap/>
            <w:vAlign w:val="bottom"/>
          </w:tcPr>
          <w:p w14:paraId="2F4FD6F4"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4" w:space="0" w:color="auto"/>
            </w:tcBorders>
            <w:shd w:val="clear" w:color="auto" w:fill="auto"/>
            <w:noWrap/>
            <w:vAlign w:val="bottom"/>
          </w:tcPr>
          <w:p w14:paraId="24F6239C"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4" w:space="0" w:color="auto"/>
            </w:tcBorders>
            <w:shd w:val="clear" w:color="auto" w:fill="auto"/>
            <w:noWrap/>
            <w:vAlign w:val="bottom"/>
          </w:tcPr>
          <w:p w14:paraId="11C0F0C4"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4" w:space="0" w:color="auto"/>
            </w:tcBorders>
            <w:shd w:val="clear" w:color="auto" w:fill="auto"/>
            <w:noWrap/>
            <w:vAlign w:val="bottom"/>
          </w:tcPr>
          <w:p w14:paraId="31E1418E"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4" w:space="0" w:color="auto"/>
            </w:tcBorders>
            <w:shd w:val="clear" w:color="auto" w:fill="auto"/>
            <w:noWrap/>
            <w:vAlign w:val="bottom"/>
          </w:tcPr>
          <w:p w14:paraId="299CC0D3" w14:textId="77777777" w:rsidR="009106C3" w:rsidRPr="0046366C" w:rsidRDefault="00CD393E" w:rsidP="00443807">
            <w:pPr>
              <w:jc w:val="center"/>
              <w:rPr>
                <w:rFonts w:eastAsia="Times New Roman"/>
                <w:color w:val="000000"/>
              </w:rPr>
            </w:pPr>
            <w:r w:rsidRPr="0046366C">
              <w:rPr>
                <w:sz w:val="20"/>
              </w:rPr>
              <w:t>£000</w:t>
            </w:r>
          </w:p>
        </w:tc>
        <w:tc>
          <w:tcPr>
            <w:tcW w:w="0" w:type="auto"/>
            <w:tcBorders>
              <w:top w:val="nil"/>
              <w:left w:val="nil"/>
              <w:bottom w:val="single" w:sz="4" w:space="0" w:color="auto"/>
              <w:right w:val="single" w:sz="8" w:space="0" w:color="auto"/>
            </w:tcBorders>
            <w:shd w:val="clear" w:color="auto" w:fill="auto"/>
            <w:noWrap/>
            <w:vAlign w:val="bottom"/>
          </w:tcPr>
          <w:p w14:paraId="7D9E2921" w14:textId="77777777" w:rsidR="009106C3" w:rsidRPr="0046366C" w:rsidRDefault="00CD393E" w:rsidP="00443807">
            <w:pPr>
              <w:jc w:val="center"/>
              <w:rPr>
                <w:rFonts w:eastAsia="Times New Roman"/>
                <w:color w:val="000000"/>
              </w:rPr>
            </w:pPr>
            <w:r w:rsidRPr="0046366C">
              <w:rPr>
                <w:sz w:val="20"/>
              </w:rPr>
              <w:t>£000</w:t>
            </w:r>
          </w:p>
        </w:tc>
      </w:tr>
      <w:tr w:rsidR="00643538" w14:paraId="6336B00E"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463224C"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Sales Income</w:t>
            </w:r>
          </w:p>
        </w:tc>
        <w:tc>
          <w:tcPr>
            <w:tcW w:w="0" w:type="auto"/>
            <w:tcBorders>
              <w:top w:val="nil"/>
              <w:left w:val="nil"/>
              <w:bottom w:val="single" w:sz="4" w:space="0" w:color="auto"/>
              <w:right w:val="single" w:sz="4" w:space="0" w:color="auto"/>
            </w:tcBorders>
            <w:shd w:val="clear" w:color="auto" w:fill="auto"/>
            <w:noWrap/>
            <w:vAlign w:val="bottom"/>
            <w:hideMark/>
          </w:tcPr>
          <w:p w14:paraId="3A276C5E"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250</w:t>
            </w:r>
          </w:p>
        </w:tc>
        <w:tc>
          <w:tcPr>
            <w:tcW w:w="0" w:type="auto"/>
            <w:tcBorders>
              <w:top w:val="nil"/>
              <w:left w:val="nil"/>
              <w:bottom w:val="single" w:sz="4" w:space="0" w:color="auto"/>
              <w:right w:val="single" w:sz="4" w:space="0" w:color="auto"/>
            </w:tcBorders>
            <w:shd w:val="clear" w:color="auto" w:fill="auto"/>
            <w:noWrap/>
            <w:vAlign w:val="bottom"/>
            <w:hideMark/>
          </w:tcPr>
          <w:p w14:paraId="157512D1"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260</w:t>
            </w:r>
          </w:p>
        </w:tc>
        <w:tc>
          <w:tcPr>
            <w:tcW w:w="0" w:type="auto"/>
            <w:tcBorders>
              <w:top w:val="nil"/>
              <w:left w:val="nil"/>
              <w:bottom w:val="single" w:sz="4" w:space="0" w:color="auto"/>
              <w:right w:val="single" w:sz="4" w:space="0" w:color="auto"/>
            </w:tcBorders>
            <w:shd w:val="clear" w:color="auto" w:fill="auto"/>
            <w:noWrap/>
            <w:vAlign w:val="bottom"/>
            <w:hideMark/>
          </w:tcPr>
          <w:p w14:paraId="475F8609"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270</w:t>
            </w:r>
          </w:p>
        </w:tc>
        <w:tc>
          <w:tcPr>
            <w:tcW w:w="0" w:type="auto"/>
            <w:tcBorders>
              <w:top w:val="nil"/>
              <w:left w:val="nil"/>
              <w:bottom w:val="single" w:sz="4" w:space="0" w:color="auto"/>
              <w:right w:val="single" w:sz="4" w:space="0" w:color="auto"/>
            </w:tcBorders>
            <w:shd w:val="clear" w:color="auto" w:fill="auto"/>
            <w:noWrap/>
            <w:vAlign w:val="bottom"/>
            <w:hideMark/>
          </w:tcPr>
          <w:p w14:paraId="36A5E442"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270</w:t>
            </w:r>
          </w:p>
        </w:tc>
        <w:tc>
          <w:tcPr>
            <w:tcW w:w="0" w:type="auto"/>
            <w:tcBorders>
              <w:top w:val="nil"/>
              <w:left w:val="nil"/>
              <w:bottom w:val="single" w:sz="4" w:space="0" w:color="auto"/>
              <w:right w:val="single" w:sz="4" w:space="0" w:color="auto"/>
            </w:tcBorders>
            <w:shd w:val="clear" w:color="auto" w:fill="auto"/>
            <w:noWrap/>
            <w:vAlign w:val="bottom"/>
            <w:hideMark/>
          </w:tcPr>
          <w:p w14:paraId="15327B6A"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220</w:t>
            </w:r>
          </w:p>
        </w:tc>
        <w:tc>
          <w:tcPr>
            <w:tcW w:w="0" w:type="auto"/>
            <w:tcBorders>
              <w:top w:val="nil"/>
              <w:left w:val="nil"/>
              <w:bottom w:val="single" w:sz="4" w:space="0" w:color="auto"/>
              <w:right w:val="single" w:sz="4" w:space="0" w:color="auto"/>
            </w:tcBorders>
            <w:shd w:val="clear" w:color="auto" w:fill="auto"/>
            <w:noWrap/>
            <w:vAlign w:val="bottom"/>
            <w:hideMark/>
          </w:tcPr>
          <w:p w14:paraId="4CB55744"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210</w:t>
            </w:r>
          </w:p>
        </w:tc>
        <w:tc>
          <w:tcPr>
            <w:tcW w:w="0" w:type="auto"/>
            <w:tcBorders>
              <w:top w:val="nil"/>
              <w:left w:val="nil"/>
              <w:bottom w:val="single" w:sz="4" w:space="0" w:color="auto"/>
              <w:right w:val="single" w:sz="8" w:space="0" w:color="auto"/>
            </w:tcBorders>
            <w:shd w:val="clear" w:color="auto" w:fill="auto"/>
            <w:noWrap/>
            <w:vAlign w:val="bottom"/>
            <w:hideMark/>
          </w:tcPr>
          <w:p w14:paraId="63E1A9A9"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190</w:t>
            </w:r>
          </w:p>
        </w:tc>
      </w:tr>
      <w:tr w:rsidR="00643538" w14:paraId="0629AB15"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40CE5FF"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Cost of Goods Sold</w:t>
            </w:r>
            <w:r w:rsidR="00941273" w:rsidRPr="0046366C">
              <w:rPr>
                <w:rFonts w:eastAsia="Times New Roman"/>
                <w:color w:val="000000"/>
              </w:rPr>
              <w:t xml:space="preserve"> </w:t>
            </w:r>
            <w:r w:rsidRPr="0046366C">
              <w:rPr>
                <w:rFonts w:eastAsia="Times New Roman"/>
                <w:color w:val="000000"/>
              </w:rPr>
              <w:t xml:space="preserve">(60% of Sales) </w:t>
            </w:r>
          </w:p>
        </w:tc>
        <w:tc>
          <w:tcPr>
            <w:tcW w:w="0" w:type="auto"/>
            <w:tcBorders>
              <w:top w:val="nil"/>
              <w:left w:val="nil"/>
              <w:bottom w:val="single" w:sz="4" w:space="0" w:color="auto"/>
              <w:right w:val="single" w:sz="4" w:space="0" w:color="auto"/>
            </w:tcBorders>
            <w:shd w:val="clear" w:color="auto" w:fill="auto"/>
            <w:noWrap/>
            <w:vAlign w:val="bottom"/>
            <w:hideMark/>
          </w:tcPr>
          <w:p w14:paraId="3DE04A78"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150</w:t>
            </w:r>
          </w:p>
        </w:tc>
        <w:tc>
          <w:tcPr>
            <w:tcW w:w="0" w:type="auto"/>
            <w:tcBorders>
              <w:top w:val="nil"/>
              <w:left w:val="nil"/>
              <w:bottom w:val="single" w:sz="4" w:space="0" w:color="auto"/>
              <w:right w:val="single" w:sz="4" w:space="0" w:color="auto"/>
            </w:tcBorders>
            <w:shd w:val="clear" w:color="auto" w:fill="auto"/>
            <w:noWrap/>
            <w:vAlign w:val="bottom"/>
            <w:hideMark/>
          </w:tcPr>
          <w:p w14:paraId="6095A779"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156</w:t>
            </w:r>
          </w:p>
        </w:tc>
        <w:tc>
          <w:tcPr>
            <w:tcW w:w="0" w:type="auto"/>
            <w:tcBorders>
              <w:top w:val="nil"/>
              <w:left w:val="nil"/>
              <w:bottom w:val="single" w:sz="4" w:space="0" w:color="auto"/>
              <w:right w:val="single" w:sz="4" w:space="0" w:color="auto"/>
            </w:tcBorders>
            <w:shd w:val="clear" w:color="auto" w:fill="auto"/>
            <w:noWrap/>
            <w:vAlign w:val="bottom"/>
            <w:hideMark/>
          </w:tcPr>
          <w:p w14:paraId="6846AA8A"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162</w:t>
            </w:r>
          </w:p>
        </w:tc>
        <w:tc>
          <w:tcPr>
            <w:tcW w:w="0" w:type="auto"/>
            <w:tcBorders>
              <w:top w:val="nil"/>
              <w:left w:val="nil"/>
              <w:bottom w:val="single" w:sz="4" w:space="0" w:color="auto"/>
              <w:right w:val="single" w:sz="4" w:space="0" w:color="auto"/>
            </w:tcBorders>
            <w:shd w:val="clear" w:color="auto" w:fill="auto"/>
            <w:noWrap/>
            <w:vAlign w:val="bottom"/>
            <w:hideMark/>
          </w:tcPr>
          <w:p w14:paraId="7A096B50"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162</w:t>
            </w:r>
          </w:p>
        </w:tc>
        <w:tc>
          <w:tcPr>
            <w:tcW w:w="0" w:type="auto"/>
            <w:tcBorders>
              <w:top w:val="nil"/>
              <w:left w:val="nil"/>
              <w:bottom w:val="single" w:sz="4" w:space="0" w:color="auto"/>
              <w:right w:val="single" w:sz="4" w:space="0" w:color="auto"/>
            </w:tcBorders>
            <w:shd w:val="clear" w:color="auto" w:fill="auto"/>
            <w:noWrap/>
            <w:vAlign w:val="bottom"/>
            <w:hideMark/>
          </w:tcPr>
          <w:p w14:paraId="5666CD94"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132</w:t>
            </w:r>
          </w:p>
        </w:tc>
        <w:tc>
          <w:tcPr>
            <w:tcW w:w="0" w:type="auto"/>
            <w:tcBorders>
              <w:top w:val="nil"/>
              <w:left w:val="nil"/>
              <w:bottom w:val="single" w:sz="4" w:space="0" w:color="auto"/>
              <w:right w:val="single" w:sz="4" w:space="0" w:color="auto"/>
            </w:tcBorders>
            <w:shd w:val="clear" w:color="auto" w:fill="auto"/>
            <w:noWrap/>
            <w:vAlign w:val="bottom"/>
            <w:hideMark/>
          </w:tcPr>
          <w:p w14:paraId="40E987CC"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126</w:t>
            </w:r>
          </w:p>
        </w:tc>
        <w:tc>
          <w:tcPr>
            <w:tcW w:w="0" w:type="auto"/>
            <w:tcBorders>
              <w:top w:val="nil"/>
              <w:left w:val="nil"/>
              <w:bottom w:val="single" w:sz="4" w:space="0" w:color="auto"/>
              <w:right w:val="single" w:sz="8" w:space="0" w:color="auto"/>
            </w:tcBorders>
            <w:shd w:val="clear" w:color="auto" w:fill="auto"/>
            <w:noWrap/>
            <w:vAlign w:val="bottom"/>
            <w:hideMark/>
          </w:tcPr>
          <w:p w14:paraId="5A0B7F90"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114</w:t>
            </w:r>
          </w:p>
        </w:tc>
      </w:tr>
      <w:tr w:rsidR="00643538" w14:paraId="32D7B779"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794EA19"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 xml:space="preserve">Purchases of Stock </w:t>
            </w:r>
          </w:p>
        </w:tc>
        <w:tc>
          <w:tcPr>
            <w:tcW w:w="0" w:type="auto"/>
            <w:tcBorders>
              <w:top w:val="nil"/>
              <w:left w:val="nil"/>
              <w:bottom w:val="single" w:sz="4" w:space="0" w:color="auto"/>
              <w:right w:val="single" w:sz="4" w:space="0" w:color="auto"/>
            </w:tcBorders>
            <w:shd w:val="clear" w:color="auto" w:fill="auto"/>
            <w:noWrap/>
            <w:vAlign w:val="bottom"/>
            <w:hideMark/>
          </w:tcPr>
          <w:p w14:paraId="76E56DA9"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205</w:t>
            </w:r>
          </w:p>
        </w:tc>
        <w:tc>
          <w:tcPr>
            <w:tcW w:w="0" w:type="auto"/>
            <w:tcBorders>
              <w:top w:val="nil"/>
              <w:left w:val="nil"/>
              <w:bottom w:val="single" w:sz="4" w:space="0" w:color="auto"/>
              <w:right w:val="single" w:sz="4" w:space="0" w:color="auto"/>
            </w:tcBorders>
            <w:shd w:val="clear" w:color="auto" w:fill="auto"/>
            <w:noWrap/>
            <w:vAlign w:val="bottom"/>
            <w:hideMark/>
          </w:tcPr>
          <w:p w14:paraId="5AACEF85"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180</w:t>
            </w:r>
          </w:p>
        </w:tc>
        <w:tc>
          <w:tcPr>
            <w:tcW w:w="0" w:type="auto"/>
            <w:tcBorders>
              <w:top w:val="nil"/>
              <w:left w:val="nil"/>
              <w:bottom w:val="single" w:sz="4" w:space="0" w:color="auto"/>
              <w:right w:val="single" w:sz="4" w:space="0" w:color="auto"/>
            </w:tcBorders>
            <w:shd w:val="clear" w:color="auto" w:fill="auto"/>
            <w:noWrap/>
            <w:vAlign w:val="bottom"/>
            <w:hideMark/>
          </w:tcPr>
          <w:p w14:paraId="376D965C"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170</w:t>
            </w:r>
          </w:p>
        </w:tc>
        <w:tc>
          <w:tcPr>
            <w:tcW w:w="0" w:type="auto"/>
            <w:tcBorders>
              <w:top w:val="nil"/>
              <w:left w:val="nil"/>
              <w:bottom w:val="single" w:sz="4" w:space="0" w:color="auto"/>
              <w:right w:val="single" w:sz="4" w:space="0" w:color="auto"/>
            </w:tcBorders>
            <w:shd w:val="clear" w:color="auto" w:fill="auto"/>
            <w:noWrap/>
            <w:vAlign w:val="bottom"/>
            <w:hideMark/>
          </w:tcPr>
          <w:p w14:paraId="022E277C"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203</w:t>
            </w:r>
          </w:p>
        </w:tc>
        <w:tc>
          <w:tcPr>
            <w:tcW w:w="0" w:type="auto"/>
            <w:tcBorders>
              <w:top w:val="nil"/>
              <w:left w:val="nil"/>
              <w:bottom w:val="single" w:sz="4" w:space="0" w:color="auto"/>
              <w:right w:val="single" w:sz="4" w:space="0" w:color="auto"/>
            </w:tcBorders>
            <w:shd w:val="clear" w:color="auto" w:fill="auto"/>
            <w:noWrap/>
            <w:vAlign w:val="bottom"/>
            <w:hideMark/>
          </w:tcPr>
          <w:p w14:paraId="3FAD6E47"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200</w:t>
            </w:r>
          </w:p>
        </w:tc>
        <w:tc>
          <w:tcPr>
            <w:tcW w:w="0" w:type="auto"/>
            <w:tcBorders>
              <w:top w:val="nil"/>
              <w:left w:val="nil"/>
              <w:bottom w:val="single" w:sz="4" w:space="0" w:color="auto"/>
              <w:right w:val="single" w:sz="4" w:space="0" w:color="auto"/>
            </w:tcBorders>
            <w:shd w:val="clear" w:color="auto" w:fill="auto"/>
            <w:noWrap/>
            <w:vAlign w:val="bottom"/>
            <w:hideMark/>
          </w:tcPr>
          <w:p w14:paraId="7B6C7667"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180</w:t>
            </w:r>
          </w:p>
        </w:tc>
        <w:tc>
          <w:tcPr>
            <w:tcW w:w="0" w:type="auto"/>
            <w:tcBorders>
              <w:top w:val="nil"/>
              <w:left w:val="nil"/>
              <w:bottom w:val="single" w:sz="4" w:space="0" w:color="auto"/>
              <w:right w:val="single" w:sz="8" w:space="0" w:color="auto"/>
            </w:tcBorders>
            <w:shd w:val="clear" w:color="auto" w:fill="auto"/>
            <w:noWrap/>
            <w:vAlign w:val="bottom"/>
            <w:hideMark/>
          </w:tcPr>
          <w:p w14:paraId="0B0751BF" w14:textId="77777777" w:rsidR="009106C3" w:rsidRPr="0046366C" w:rsidRDefault="00CD393E" w:rsidP="00443807">
            <w:pPr>
              <w:widowControl w:val="0"/>
              <w:autoSpaceDE w:val="0"/>
              <w:autoSpaceDN w:val="0"/>
              <w:jc w:val="center"/>
              <w:rPr>
                <w:rFonts w:eastAsia="Times New Roman"/>
                <w:color w:val="000000"/>
              </w:rPr>
            </w:pPr>
            <w:r w:rsidRPr="0046366C">
              <w:rPr>
                <w:rFonts w:eastAsia="Times New Roman"/>
                <w:color w:val="000000"/>
              </w:rPr>
              <w:t>195</w:t>
            </w:r>
          </w:p>
        </w:tc>
      </w:tr>
      <w:tr w:rsidR="00643538" w14:paraId="4B189DB5" w14:textId="77777777" w:rsidTr="00726DC8">
        <w:trPr>
          <w:trHeight w:val="17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8A66172"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Closing Stock</w:t>
            </w:r>
          </w:p>
        </w:tc>
        <w:tc>
          <w:tcPr>
            <w:tcW w:w="0" w:type="auto"/>
            <w:tcBorders>
              <w:top w:val="nil"/>
              <w:left w:val="nil"/>
              <w:bottom w:val="single" w:sz="4" w:space="0" w:color="auto"/>
              <w:right w:val="single" w:sz="4" w:space="0" w:color="auto"/>
            </w:tcBorders>
            <w:shd w:val="clear" w:color="auto" w:fill="auto"/>
            <w:noWrap/>
            <w:vAlign w:val="bottom"/>
            <w:hideMark/>
          </w:tcPr>
          <w:p w14:paraId="41F506A4"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100</w:t>
            </w:r>
          </w:p>
        </w:tc>
        <w:tc>
          <w:tcPr>
            <w:tcW w:w="0" w:type="auto"/>
            <w:tcBorders>
              <w:top w:val="nil"/>
              <w:left w:val="nil"/>
              <w:bottom w:val="single" w:sz="4" w:space="0" w:color="auto"/>
              <w:right w:val="single" w:sz="4" w:space="0" w:color="auto"/>
            </w:tcBorders>
            <w:shd w:val="clear" w:color="auto" w:fill="auto"/>
            <w:noWrap/>
            <w:vAlign w:val="bottom"/>
            <w:hideMark/>
          </w:tcPr>
          <w:p w14:paraId="700C8C34"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104</w:t>
            </w:r>
          </w:p>
        </w:tc>
        <w:tc>
          <w:tcPr>
            <w:tcW w:w="0" w:type="auto"/>
            <w:tcBorders>
              <w:top w:val="nil"/>
              <w:left w:val="nil"/>
              <w:bottom w:val="single" w:sz="4" w:space="0" w:color="auto"/>
              <w:right w:val="single" w:sz="4" w:space="0" w:color="auto"/>
            </w:tcBorders>
            <w:shd w:val="clear" w:color="auto" w:fill="auto"/>
            <w:noWrap/>
            <w:vAlign w:val="bottom"/>
            <w:hideMark/>
          </w:tcPr>
          <w:p w14:paraId="2C6BA3CC"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108</w:t>
            </w:r>
          </w:p>
        </w:tc>
        <w:tc>
          <w:tcPr>
            <w:tcW w:w="0" w:type="auto"/>
            <w:tcBorders>
              <w:top w:val="nil"/>
              <w:left w:val="nil"/>
              <w:bottom w:val="single" w:sz="4" w:space="0" w:color="auto"/>
              <w:right w:val="single" w:sz="4" w:space="0" w:color="auto"/>
            </w:tcBorders>
            <w:shd w:val="clear" w:color="auto" w:fill="auto"/>
            <w:noWrap/>
            <w:vAlign w:val="bottom"/>
            <w:hideMark/>
          </w:tcPr>
          <w:p w14:paraId="38779B28"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108</w:t>
            </w:r>
          </w:p>
        </w:tc>
        <w:tc>
          <w:tcPr>
            <w:tcW w:w="0" w:type="auto"/>
            <w:tcBorders>
              <w:top w:val="nil"/>
              <w:left w:val="nil"/>
              <w:bottom w:val="single" w:sz="4" w:space="0" w:color="auto"/>
              <w:right w:val="single" w:sz="4" w:space="0" w:color="auto"/>
            </w:tcBorders>
            <w:shd w:val="clear" w:color="auto" w:fill="auto"/>
            <w:noWrap/>
            <w:vAlign w:val="bottom"/>
            <w:hideMark/>
          </w:tcPr>
          <w:p w14:paraId="5F882366"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88</w:t>
            </w:r>
          </w:p>
        </w:tc>
        <w:tc>
          <w:tcPr>
            <w:tcW w:w="0" w:type="auto"/>
            <w:tcBorders>
              <w:top w:val="nil"/>
              <w:left w:val="nil"/>
              <w:bottom w:val="single" w:sz="4" w:space="0" w:color="auto"/>
              <w:right w:val="single" w:sz="4" w:space="0" w:color="auto"/>
            </w:tcBorders>
            <w:shd w:val="clear" w:color="auto" w:fill="auto"/>
            <w:noWrap/>
            <w:vAlign w:val="bottom"/>
            <w:hideMark/>
          </w:tcPr>
          <w:p w14:paraId="04C2E00B"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84</w:t>
            </w:r>
          </w:p>
        </w:tc>
        <w:tc>
          <w:tcPr>
            <w:tcW w:w="0" w:type="auto"/>
            <w:tcBorders>
              <w:top w:val="nil"/>
              <w:left w:val="nil"/>
              <w:bottom w:val="single" w:sz="4" w:space="0" w:color="auto"/>
              <w:right w:val="single" w:sz="8" w:space="0" w:color="auto"/>
            </w:tcBorders>
            <w:shd w:val="clear" w:color="auto" w:fill="auto"/>
            <w:noWrap/>
            <w:vAlign w:val="bottom"/>
            <w:hideMark/>
          </w:tcPr>
          <w:p w14:paraId="4319AD42" w14:textId="77777777" w:rsidR="009106C3" w:rsidRPr="0046366C" w:rsidRDefault="00CD393E" w:rsidP="009106C3">
            <w:pPr>
              <w:widowControl w:val="0"/>
              <w:autoSpaceDE w:val="0"/>
              <w:autoSpaceDN w:val="0"/>
              <w:jc w:val="center"/>
              <w:rPr>
                <w:rFonts w:eastAsia="Times New Roman"/>
                <w:color w:val="000000"/>
              </w:rPr>
            </w:pPr>
            <w:r w:rsidRPr="0046366C">
              <w:rPr>
                <w:rFonts w:eastAsia="Times New Roman"/>
                <w:color w:val="000000"/>
              </w:rPr>
              <w:t>76</w:t>
            </w:r>
          </w:p>
        </w:tc>
      </w:tr>
    </w:tbl>
    <w:p w14:paraId="0A6715B4" w14:textId="77777777" w:rsidR="009D1423" w:rsidRPr="0046366C" w:rsidRDefault="00CD393E" w:rsidP="00324B80">
      <w:pPr>
        <w:ind w:firstLine="720"/>
      </w:pPr>
      <w:r w:rsidRPr="0046366C">
        <w:br w:type="page"/>
      </w:r>
      <w:r w:rsidR="00B974DC" w:rsidRPr="0046366C">
        <w:lastRenderedPageBreak/>
        <w:t>The projections used in Edwards' stock budget are based on the anticipated sales revenue and related expenses for the specified months. It is anticipated that sales income will progressively rise from May to July, reaching its peak in August, and then progressively decrease from September to November. This upward trend is reflected in the cost of goods sold, which is estimated to be 60% of sales and varies according to sales revenue. Stock purchases are scheduled to satisfy expected demand, with modifications made to correspond with estimated sales statistics. The closing stock statistics, which show a decline that corresponds with the predicted sales trend, represent the expected inventory levels at the conclusion of each month. This budget gives Edwards a well-organized strategy for controlling inventory levels and related expenses within the designated time structure, facilitating efficient inventory management and financial forecasting.</w:t>
      </w:r>
    </w:p>
    <w:p w14:paraId="2FB851EA" w14:textId="77777777" w:rsidR="0037407F" w:rsidRPr="0046366C" w:rsidRDefault="0037407F">
      <w:pPr>
        <w:spacing w:line="259" w:lineRule="auto"/>
        <w:jc w:val="left"/>
      </w:pPr>
    </w:p>
    <w:tbl>
      <w:tblPr>
        <w:tblW w:w="0" w:type="auto"/>
        <w:jc w:val="center"/>
        <w:tblLayout w:type="fixed"/>
        <w:tblLook w:val="04A0" w:firstRow="1" w:lastRow="0" w:firstColumn="1" w:lastColumn="0" w:noHBand="0" w:noVBand="1"/>
      </w:tblPr>
      <w:tblGrid>
        <w:gridCol w:w="3708"/>
        <w:gridCol w:w="720"/>
        <w:gridCol w:w="630"/>
        <w:gridCol w:w="720"/>
        <w:gridCol w:w="810"/>
        <w:gridCol w:w="1173"/>
        <w:gridCol w:w="819"/>
        <w:gridCol w:w="996"/>
      </w:tblGrid>
      <w:tr w:rsidR="00643538" w14:paraId="1082EC47" w14:textId="77777777" w:rsidTr="0028403C">
        <w:trPr>
          <w:trHeight w:val="179"/>
          <w:jc w:val="center"/>
        </w:trPr>
        <w:tc>
          <w:tcPr>
            <w:tcW w:w="9576" w:type="dxa"/>
            <w:gridSpan w:val="8"/>
            <w:tcBorders>
              <w:top w:val="single" w:sz="8" w:space="0" w:color="auto"/>
              <w:left w:val="single" w:sz="8" w:space="0" w:color="auto"/>
              <w:bottom w:val="single" w:sz="4" w:space="0" w:color="auto"/>
              <w:right w:val="single" w:sz="8" w:space="0" w:color="000000"/>
            </w:tcBorders>
            <w:shd w:val="clear" w:color="000000" w:fill="FFD966"/>
            <w:noWrap/>
            <w:vAlign w:val="bottom"/>
            <w:hideMark/>
          </w:tcPr>
          <w:p w14:paraId="4D2B4856" w14:textId="77777777" w:rsidR="009D1423" w:rsidRPr="0046366C" w:rsidRDefault="00CD393E" w:rsidP="00443807">
            <w:pPr>
              <w:spacing w:after="0" w:line="240" w:lineRule="auto"/>
              <w:jc w:val="center"/>
              <w:rPr>
                <w:rFonts w:eastAsia="Times New Roman"/>
                <w:b/>
                <w:bCs/>
                <w:color w:val="000000"/>
              </w:rPr>
            </w:pPr>
            <w:r w:rsidRPr="0046366C">
              <w:rPr>
                <w:rFonts w:eastAsia="Times New Roman"/>
                <w:b/>
                <w:bCs/>
                <w:color w:val="000000"/>
              </w:rPr>
              <w:t>Cash budget for Edwards</w:t>
            </w:r>
          </w:p>
        </w:tc>
      </w:tr>
      <w:tr w:rsidR="00643538" w14:paraId="204E00B9"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09AF1BE4"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720" w:type="dxa"/>
            <w:tcBorders>
              <w:top w:val="nil"/>
              <w:left w:val="nil"/>
              <w:bottom w:val="single" w:sz="4" w:space="0" w:color="auto"/>
              <w:right w:val="single" w:sz="4" w:space="0" w:color="auto"/>
            </w:tcBorders>
            <w:shd w:val="clear" w:color="auto" w:fill="auto"/>
            <w:noWrap/>
            <w:vAlign w:val="bottom"/>
            <w:hideMark/>
          </w:tcPr>
          <w:p w14:paraId="1DCDA0DE"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May </w:t>
            </w:r>
          </w:p>
        </w:tc>
        <w:tc>
          <w:tcPr>
            <w:tcW w:w="630" w:type="dxa"/>
            <w:tcBorders>
              <w:top w:val="nil"/>
              <w:left w:val="nil"/>
              <w:bottom w:val="single" w:sz="4" w:space="0" w:color="auto"/>
              <w:right w:val="single" w:sz="4" w:space="0" w:color="auto"/>
            </w:tcBorders>
            <w:shd w:val="clear" w:color="auto" w:fill="auto"/>
            <w:noWrap/>
            <w:vAlign w:val="bottom"/>
            <w:hideMark/>
          </w:tcPr>
          <w:p w14:paraId="74A1307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June</w:t>
            </w:r>
          </w:p>
        </w:tc>
        <w:tc>
          <w:tcPr>
            <w:tcW w:w="720" w:type="dxa"/>
            <w:tcBorders>
              <w:top w:val="nil"/>
              <w:left w:val="nil"/>
              <w:bottom w:val="single" w:sz="4" w:space="0" w:color="auto"/>
              <w:right w:val="single" w:sz="4" w:space="0" w:color="auto"/>
            </w:tcBorders>
            <w:shd w:val="clear" w:color="auto" w:fill="auto"/>
            <w:noWrap/>
            <w:vAlign w:val="bottom"/>
            <w:hideMark/>
          </w:tcPr>
          <w:p w14:paraId="66CD8B44"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July</w:t>
            </w:r>
          </w:p>
        </w:tc>
        <w:tc>
          <w:tcPr>
            <w:tcW w:w="810" w:type="dxa"/>
            <w:tcBorders>
              <w:top w:val="nil"/>
              <w:left w:val="nil"/>
              <w:bottom w:val="single" w:sz="4" w:space="0" w:color="auto"/>
              <w:right w:val="single" w:sz="4" w:space="0" w:color="auto"/>
            </w:tcBorders>
            <w:shd w:val="clear" w:color="auto" w:fill="auto"/>
            <w:noWrap/>
            <w:vAlign w:val="bottom"/>
            <w:hideMark/>
          </w:tcPr>
          <w:p w14:paraId="76648C8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August</w:t>
            </w:r>
          </w:p>
        </w:tc>
        <w:tc>
          <w:tcPr>
            <w:tcW w:w="1173" w:type="dxa"/>
            <w:tcBorders>
              <w:top w:val="nil"/>
              <w:left w:val="nil"/>
              <w:bottom w:val="single" w:sz="4" w:space="0" w:color="auto"/>
              <w:right w:val="single" w:sz="4" w:space="0" w:color="auto"/>
            </w:tcBorders>
            <w:shd w:val="clear" w:color="auto" w:fill="auto"/>
            <w:noWrap/>
            <w:vAlign w:val="bottom"/>
            <w:hideMark/>
          </w:tcPr>
          <w:p w14:paraId="0A706600"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September</w:t>
            </w:r>
          </w:p>
        </w:tc>
        <w:tc>
          <w:tcPr>
            <w:tcW w:w="819" w:type="dxa"/>
            <w:tcBorders>
              <w:top w:val="nil"/>
              <w:left w:val="nil"/>
              <w:bottom w:val="single" w:sz="4" w:space="0" w:color="auto"/>
              <w:right w:val="single" w:sz="4" w:space="0" w:color="auto"/>
            </w:tcBorders>
            <w:shd w:val="clear" w:color="auto" w:fill="auto"/>
            <w:noWrap/>
            <w:vAlign w:val="bottom"/>
            <w:hideMark/>
          </w:tcPr>
          <w:p w14:paraId="1505B5CA"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October</w:t>
            </w:r>
          </w:p>
        </w:tc>
        <w:tc>
          <w:tcPr>
            <w:tcW w:w="996" w:type="dxa"/>
            <w:tcBorders>
              <w:top w:val="nil"/>
              <w:left w:val="nil"/>
              <w:bottom w:val="single" w:sz="4" w:space="0" w:color="auto"/>
              <w:right w:val="single" w:sz="8" w:space="0" w:color="auto"/>
            </w:tcBorders>
            <w:shd w:val="clear" w:color="auto" w:fill="auto"/>
            <w:noWrap/>
            <w:vAlign w:val="bottom"/>
            <w:hideMark/>
          </w:tcPr>
          <w:p w14:paraId="171BCB2B"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November </w:t>
            </w:r>
          </w:p>
        </w:tc>
      </w:tr>
      <w:tr w:rsidR="00643538" w14:paraId="69DEAD8C"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6B7E735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Sales Income </w:t>
            </w:r>
          </w:p>
        </w:tc>
        <w:tc>
          <w:tcPr>
            <w:tcW w:w="720" w:type="dxa"/>
            <w:tcBorders>
              <w:top w:val="nil"/>
              <w:left w:val="nil"/>
              <w:bottom w:val="single" w:sz="4" w:space="0" w:color="auto"/>
              <w:right w:val="single" w:sz="4" w:space="0" w:color="auto"/>
            </w:tcBorders>
            <w:shd w:val="clear" w:color="auto" w:fill="auto"/>
            <w:noWrap/>
            <w:vAlign w:val="bottom"/>
            <w:hideMark/>
          </w:tcPr>
          <w:p w14:paraId="6D1C1BBC"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250</w:t>
            </w:r>
          </w:p>
        </w:tc>
        <w:tc>
          <w:tcPr>
            <w:tcW w:w="630" w:type="dxa"/>
            <w:tcBorders>
              <w:top w:val="nil"/>
              <w:left w:val="nil"/>
              <w:bottom w:val="single" w:sz="4" w:space="0" w:color="auto"/>
              <w:right w:val="single" w:sz="4" w:space="0" w:color="auto"/>
            </w:tcBorders>
            <w:shd w:val="clear" w:color="auto" w:fill="auto"/>
            <w:noWrap/>
            <w:vAlign w:val="bottom"/>
            <w:hideMark/>
          </w:tcPr>
          <w:p w14:paraId="6A60E59E"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260</w:t>
            </w:r>
          </w:p>
        </w:tc>
        <w:tc>
          <w:tcPr>
            <w:tcW w:w="720" w:type="dxa"/>
            <w:tcBorders>
              <w:top w:val="nil"/>
              <w:left w:val="nil"/>
              <w:bottom w:val="single" w:sz="4" w:space="0" w:color="auto"/>
              <w:right w:val="single" w:sz="4" w:space="0" w:color="auto"/>
            </w:tcBorders>
            <w:shd w:val="clear" w:color="auto" w:fill="auto"/>
            <w:noWrap/>
            <w:vAlign w:val="bottom"/>
            <w:hideMark/>
          </w:tcPr>
          <w:p w14:paraId="2255D50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270</w:t>
            </w:r>
          </w:p>
        </w:tc>
        <w:tc>
          <w:tcPr>
            <w:tcW w:w="810" w:type="dxa"/>
            <w:tcBorders>
              <w:top w:val="nil"/>
              <w:left w:val="nil"/>
              <w:bottom w:val="single" w:sz="4" w:space="0" w:color="auto"/>
              <w:right w:val="single" w:sz="4" w:space="0" w:color="auto"/>
            </w:tcBorders>
            <w:shd w:val="clear" w:color="auto" w:fill="auto"/>
            <w:noWrap/>
            <w:vAlign w:val="bottom"/>
            <w:hideMark/>
          </w:tcPr>
          <w:p w14:paraId="51D99C2C"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270</w:t>
            </w:r>
          </w:p>
        </w:tc>
        <w:tc>
          <w:tcPr>
            <w:tcW w:w="1173" w:type="dxa"/>
            <w:tcBorders>
              <w:top w:val="nil"/>
              <w:left w:val="nil"/>
              <w:bottom w:val="single" w:sz="4" w:space="0" w:color="auto"/>
              <w:right w:val="single" w:sz="4" w:space="0" w:color="auto"/>
            </w:tcBorders>
            <w:shd w:val="clear" w:color="auto" w:fill="auto"/>
            <w:noWrap/>
            <w:vAlign w:val="bottom"/>
            <w:hideMark/>
          </w:tcPr>
          <w:p w14:paraId="244913C9"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220</w:t>
            </w:r>
          </w:p>
        </w:tc>
        <w:tc>
          <w:tcPr>
            <w:tcW w:w="819" w:type="dxa"/>
            <w:tcBorders>
              <w:top w:val="nil"/>
              <w:left w:val="nil"/>
              <w:bottom w:val="single" w:sz="4" w:space="0" w:color="auto"/>
              <w:right w:val="single" w:sz="4" w:space="0" w:color="auto"/>
            </w:tcBorders>
            <w:shd w:val="clear" w:color="auto" w:fill="auto"/>
            <w:noWrap/>
            <w:vAlign w:val="bottom"/>
            <w:hideMark/>
          </w:tcPr>
          <w:p w14:paraId="2288CAA8"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210</w:t>
            </w:r>
          </w:p>
        </w:tc>
        <w:tc>
          <w:tcPr>
            <w:tcW w:w="996" w:type="dxa"/>
            <w:tcBorders>
              <w:top w:val="nil"/>
              <w:left w:val="nil"/>
              <w:bottom w:val="single" w:sz="4" w:space="0" w:color="auto"/>
              <w:right w:val="single" w:sz="8" w:space="0" w:color="auto"/>
            </w:tcBorders>
            <w:shd w:val="clear" w:color="auto" w:fill="auto"/>
            <w:noWrap/>
            <w:vAlign w:val="bottom"/>
            <w:hideMark/>
          </w:tcPr>
          <w:p w14:paraId="74D35131"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190</w:t>
            </w:r>
          </w:p>
        </w:tc>
      </w:tr>
      <w:tr w:rsidR="00643538" w14:paraId="6EA4E8F4"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1EB4D1AB"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Purchases of Stock </w:t>
            </w:r>
          </w:p>
        </w:tc>
        <w:tc>
          <w:tcPr>
            <w:tcW w:w="720" w:type="dxa"/>
            <w:tcBorders>
              <w:top w:val="nil"/>
              <w:left w:val="nil"/>
              <w:bottom w:val="single" w:sz="4" w:space="0" w:color="auto"/>
              <w:right w:val="single" w:sz="4" w:space="0" w:color="auto"/>
            </w:tcBorders>
            <w:shd w:val="clear" w:color="auto" w:fill="auto"/>
            <w:noWrap/>
            <w:vAlign w:val="bottom"/>
            <w:hideMark/>
          </w:tcPr>
          <w:p w14:paraId="19DC3FA0"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205</w:t>
            </w:r>
          </w:p>
        </w:tc>
        <w:tc>
          <w:tcPr>
            <w:tcW w:w="630" w:type="dxa"/>
            <w:tcBorders>
              <w:top w:val="nil"/>
              <w:left w:val="nil"/>
              <w:bottom w:val="single" w:sz="4" w:space="0" w:color="auto"/>
              <w:right w:val="single" w:sz="4" w:space="0" w:color="auto"/>
            </w:tcBorders>
            <w:shd w:val="clear" w:color="auto" w:fill="auto"/>
            <w:noWrap/>
            <w:vAlign w:val="bottom"/>
            <w:hideMark/>
          </w:tcPr>
          <w:p w14:paraId="3181A0F0"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180</w:t>
            </w:r>
          </w:p>
        </w:tc>
        <w:tc>
          <w:tcPr>
            <w:tcW w:w="720" w:type="dxa"/>
            <w:tcBorders>
              <w:top w:val="nil"/>
              <w:left w:val="nil"/>
              <w:bottom w:val="single" w:sz="4" w:space="0" w:color="auto"/>
              <w:right w:val="single" w:sz="4" w:space="0" w:color="auto"/>
            </w:tcBorders>
            <w:shd w:val="clear" w:color="auto" w:fill="auto"/>
            <w:noWrap/>
            <w:vAlign w:val="bottom"/>
            <w:hideMark/>
          </w:tcPr>
          <w:p w14:paraId="5507D96C"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170</w:t>
            </w:r>
          </w:p>
        </w:tc>
        <w:tc>
          <w:tcPr>
            <w:tcW w:w="810" w:type="dxa"/>
            <w:tcBorders>
              <w:top w:val="nil"/>
              <w:left w:val="nil"/>
              <w:bottom w:val="single" w:sz="4" w:space="0" w:color="auto"/>
              <w:right w:val="single" w:sz="4" w:space="0" w:color="auto"/>
            </w:tcBorders>
            <w:shd w:val="clear" w:color="auto" w:fill="auto"/>
            <w:noWrap/>
            <w:vAlign w:val="bottom"/>
            <w:hideMark/>
          </w:tcPr>
          <w:p w14:paraId="292CF3F4"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203</w:t>
            </w:r>
          </w:p>
        </w:tc>
        <w:tc>
          <w:tcPr>
            <w:tcW w:w="1173" w:type="dxa"/>
            <w:tcBorders>
              <w:top w:val="nil"/>
              <w:left w:val="nil"/>
              <w:bottom w:val="single" w:sz="4" w:space="0" w:color="auto"/>
              <w:right w:val="single" w:sz="4" w:space="0" w:color="auto"/>
            </w:tcBorders>
            <w:shd w:val="clear" w:color="auto" w:fill="auto"/>
            <w:noWrap/>
            <w:vAlign w:val="bottom"/>
            <w:hideMark/>
          </w:tcPr>
          <w:p w14:paraId="3C97AAD0"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200</w:t>
            </w:r>
          </w:p>
        </w:tc>
        <w:tc>
          <w:tcPr>
            <w:tcW w:w="819" w:type="dxa"/>
            <w:tcBorders>
              <w:top w:val="nil"/>
              <w:left w:val="nil"/>
              <w:bottom w:val="single" w:sz="4" w:space="0" w:color="auto"/>
              <w:right w:val="single" w:sz="4" w:space="0" w:color="auto"/>
            </w:tcBorders>
            <w:shd w:val="clear" w:color="auto" w:fill="auto"/>
            <w:noWrap/>
            <w:vAlign w:val="bottom"/>
            <w:hideMark/>
          </w:tcPr>
          <w:p w14:paraId="2180B8DE"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180</w:t>
            </w:r>
          </w:p>
        </w:tc>
        <w:tc>
          <w:tcPr>
            <w:tcW w:w="996" w:type="dxa"/>
            <w:tcBorders>
              <w:top w:val="nil"/>
              <w:left w:val="nil"/>
              <w:bottom w:val="single" w:sz="4" w:space="0" w:color="auto"/>
              <w:right w:val="single" w:sz="8" w:space="0" w:color="auto"/>
            </w:tcBorders>
            <w:shd w:val="clear" w:color="auto" w:fill="auto"/>
            <w:noWrap/>
            <w:vAlign w:val="bottom"/>
            <w:hideMark/>
          </w:tcPr>
          <w:p w14:paraId="6240E52D"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195</w:t>
            </w:r>
          </w:p>
        </w:tc>
      </w:tr>
      <w:tr w:rsidR="00643538" w14:paraId="3F43149C"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4789D146"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Administration expenses</w:t>
            </w:r>
          </w:p>
        </w:tc>
        <w:tc>
          <w:tcPr>
            <w:tcW w:w="720" w:type="dxa"/>
            <w:tcBorders>
              <w:top w:val="nil"/>
              <w:left w:val="nil"/>
              <w:bottom w:val="single" w:sz="4" w:space="0" w:color="auto"/>
              <w:right w:val="single" w:sz="4" w:space="0" w:color="auto"/>
            </w:tcBorders>
            <w:shd w:val="clear" w:color="auto" w:fill="auto"/>
            <w:noWrap/>
            <w:vAlign w:val="bottom"/>
            <w:hideMark/>
          </w:tcPr>
          <w:p w14:paraId="0D2E555B"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w:t>
            </w:r>
          </w:p>
        </w:tc>
        <w:tc>
          <w:tcPr>
            <w:tcW w:w="630" w:type="dxa"/>
            <w:tcBorders>
              <w:top w:val="nil"/>
              <w:left w:val="nil"/>
              <w:bottom w:val="single" w:sz="4" w:space="0" w:color="auto"/>
              <w:right w:val="single" w:sz="4" w:space="0" w:color="auto"/>
            </w:tcBorders>
            <w:shd w:val="clear" w:color="auto" w:fill="auto"/>
            <w:noWrap/>
            <w:vAlign w:val="bottom"/>
            <w:hideMark/>
          </w:tcPr>
          <w:p w14:paraId="458D3F40"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w:t>
            </w:r>
          </w:p>
        </w:tc>
        <w:tc>
          <w:tcPr>
            <w:tcW w:w="720" w:type="dxa"/>
            <w:tcBorders>
              <w:top w:val="nil"/>
              <w:left w:val="nil"/>
              <w:bottom w:val="single" w:sz="4" w:space="0" w:color="auto"/>
              <w:right w:val="single" w:sz="4" w:space="0" w:color="auto"/>
            </w:tcBorders>
            <w:shd w:val="clear" w:color="auto" w:fill="auto"/>
            <w:noWrap/>
            <w:vAlign w:val="bottom"/>
            <w:hideMark/>
          </w:tcPr>
          <w:p w14:paraId="56C0671F"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w:t>
            </w:r>
          </w:p>
        </w:tc>
        <w:tc>
          <w:tcPr>
            <w:tcW w:w="810" w:type="dxa"/>
            <w:tcBorders>
              <w:top w:val="nil"/>
              <w:left w:val="nil"/>
              <w:bottom w:val="single" w:sz="4" w:space="0" w:color="auto"/>
              <w:right w:val="single" w:sz="4" w:space="0" w:color="auto"/>
            </w:tcBorders>
            <w:shd w:val="clear" w:color="auto" w:fill="auto"/>
            <w:noWrap/>
            <w:vAlign w:val="bottom"/>
            <w:hideMark/>
          </w:tcPr>
          <w:p w14:paraId="2E40E72E"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23</w:t>
            </w:r>
          </w:p>
        </w:tc>
        <w:tc>
          <w:tcPr>
            <w:tcW w:w="1173" w:type="dxa"/>
            <w:tcBorders>
              <w:top w:val="nil"/>
              <w:left w:val="nil"/>
              <w:bottom w:val="single" w:sz="4" w:space="0" w:color="auto"/>
              <w:right w:val="single" w:sz="4" w:space="0" w:color="auto"/>
            </w:tcBorders>
            <w:shd w:val="clear" w:color="auto" w:fill="auto"/>
            <w:noWrap/>
            <w:vAlign w:val="bottom"/>
            <w:hideMark/>
          </w:tcPr>
          <w:p w14:paraId="0AF19E2A"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24</w:t>
            </w:r>
          </w:p>
        </w:tc>
        <w:tc>
          <w:tcPr>
            <w:tcW w:w="819" w:type="dxa"/>
            <w:tcBorders>
              <w:top w:val="nil"/>
              <w:left w:val="nil"/>
              <w:bottom w:val="single" w:sz="4" w:space="0" w:color="auto"/>
              <w:right w:val="single" w:sz="4" w:space="0" w:color="auto"/>
            </w:tcBorders>
            <w:shd w:val="clear" w:color="auto" w:fill="auto"/>
            <w:noWrap/>
            <w:vAlign w:val="bottom"/>
            <w:hideMark/>
          </w:tcPr>
          <w:p w14:paraId="724D6B8D"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24</w:t>
            </w:r>
          </w:p>
        </w:tc>
        <w:tc>
          <w:tcPr>
            <w:tcW w:w="996" w:type="dxa"/>
            <w:tcBorders>
              <w:top w:val="nil"/>
              <w:left w:val="nil"/>
              <w:bottom w:val="single" w:sz="4" w:space="0" w:color="auto"/>
              <w:right w:val="single" w:sz="8" w:space="0" w:color="auto"/>
            </w:tcBorders>
            <w:shd w:val="clear" w:color="auto" w:fill="auto"/>
            <w:noWrap/>
            <w:vAlign w:val="bottom"/>
            <w:hideMark/>
          </w:tcPr>
          <w:p w14:paraId="1F23E634"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22</w:t>
            </w:r>
          </w:p>
        </w:tc>
      </w:tr>
      <w:tr w:rsidR="00643538" w14:paraId="1D9C680E"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0B7A759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Selling expenses</w:t>
            </w:r>
          </w:p>
        </w:tc>
        <w:tc>
          <w:tcPr>
            <w:tcW w:w="720" w:type="dxa"/>
            <w:tcBorders>
              <w:top w:val="nil"/>
              <w:left w:val="nil"/>
              <w:bottom w:val="single" w:sz="4" w:space="0" w:color="auto"/>
              <w:right w:val="single" w:sz="4" w:space="0" w:color="auto"/>
            </w:tcBorders>
            <w:shd w:val="clear" w:color="auto" w:fill="auto"/>
            <w:noWrap/>
            <w:vAlign w:val="bottom"/>
            <w:hideMark/>
          </w:tcPr>
          <w:p w14:paraId="73FE28A6"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9</w:t>
            </w:r>
          </w:p>
        </w:tc>
        <w:tc>
          <w:tcPr>
            <w:tcW w:w="630" w:type="dxa"/>
            <w:tcBorders>
              <w:top w:val="nil"/>
              <w:left w:val="nil"/>
              <w:bottom w:val="single" w:sz="4" w:space="0" w:color="auto"/>
              <w:right w:val="single" w:sz="4" w:space="0" w:color="auto"/>
            </w:tcBorders>
            <w:shd w:val="clear" w:color="auto" w:fill="auto"/>
            <w:noWrap/>
            <w:vAlign w:val="bottom"/>
            <w:hideMark/>
          </w:tcPr>
          <w:p w14:paraId="786A5FBD"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w:t>
            </w:r>
          </w:p>
        </w:tc>
        <w:tc>
          <w:tcPr>
            <w:tcW w:w="720" w:type="dxa"/>
            <w:tcBorders>
              <w:top w:val="nil"/>
              <w:left w:val="nil"/>
              <w:bottom w:val="single" w:sz="4" w:space="0" w:color="auto"/>
              <w:right w:val="single" w:sz="4" w:space="0" w:color="auto"/>
            </w:tcBorders>
            <w:shd w:val="clear" w:color="auto" w:fill="auto"/>
            <w:noWrap/>
            <w:vAlign w:val="bottom"/>
            <w:hideMark/>
          </w:tcPr>
          <w:p w14:paraId="23E7C42E"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w:t>
            </w:r>
          </w:p>
        </w:tc>
        <w:tc>
          <w:tcPr>
            <w:tcW w:w="810" w:type="dxa"/>
            <w:tcBorders>
              <w:top w:val="nil"/>
              <w:left w:val="nil"/>
              <w:bottom w:val="single" w:sz="4" w:space="0" w:color="auto"/>
              <w:right w:val="single" w:sz="4" w:space="0" w:color="auto"/>
            </w:tcBorders>
            <w:shd w:val="clear" w:color="auto" w:fill="auto"/>
            <w:noWrap/>
            <w:vAlign w:val="bottom"/>
            <w:hideMark/>
          </w:tcPr>
          <w:p w14:paraId="0D5DEF8E"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7</w:t>
            </w:r>
          </w:p>
        </w:tc>
        <w:tc>
          <w:tcPr>
            <w:tcW w:w="1173" w:type="dxa"/>
            <w:tcBorders>
              <w:top w:val="nil"/>
              <w:left w:val="nil"/>
              <w:bottom w:val="single" w:sz="4" w:space="0" w:color="auto"/>
              <w:right w:val="single" w:sz="4" w:space="0" w:color="auto"/>
            </w:tcBorders>
            <w:shd w:val="clear" w:color="auto" w:fill="auto"/>
            <w:noWrap/>
            <w:vAlign w:val="bottom"/>
            <w:hideMark/>
          </w:tcPr>
          <w:p w14:paraId="67BBE211"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c>
          <w:tcPr>
            <w:tcW w:w="819" w:type="dxa"/>
            <w:tcBorders>
              <w:top w:val="nil"/>
              <w:left w:val="nil"/>
              <w:bottom w:val="single" w:sz="4" w:space="0" w:color="auto"/>
              <w:right w:val="single" w:sz="4" w:space="0" w:color="auto"/>
            </w:tcBorders>
            <w:shd w:val="clear" w:color="auto" w:fill="auto"/>
            <w:noWrap/>
            <w:vAlign w:val="bottom"/>
            <w:hideMark/>
          </w:tcPr>
          <w:p w14:paraId="2DDC8AF5"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c>
          <w:tcPr>
            <w:tcW w:w="996" w:type="dxa"/>
            <w:tcBorders>
              <w:top w:val="nil"/>
              <w:left w:val="nil"/>
              <w:bottom w:val="single" w:sz="4" w:space="0" w:color="auto"/>
              <w:right w:val="single" w:sz="8" w:space="0" w:color="auto"/>
            </w:tcBorders>
            <w:shd w:val="clear" w:color="auto" w:fill="auto"/>
            <w:noWrap/>
            <w:vAlign w:val="bottom"/>
            <w:hideMark/>
          </w:tcPr>
          <w:p w14:paraId="00CB983F"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r>
      <w:tr w:rsidR="00643538" w14:paraId="2D179167"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1450994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Taxation payment</w:t>
            </w:r>
          </w:p>
        </w:tc>
        <w:tc>
          <w:tcPr>
            <w:tcW w:w="720" w:type="dxa"/>
            <w:tcBorders>
              <w:top w:val="nil"/>
              <w:left w:val="nil"/>
              <w:bottom w:val="single" w:sz="4" w:space="0" w:color="auto"/>
              <w:right w:val="single" w:sz="4" w:space="0" w:color="auto"/>
            </w:tcBorders>
            <w:shd w:val="clear" w:color="auto" w:fill="auto"/>
            <w:noWrap/>
            <w:vAlign w:val="bottom"/>
            <w:hideMark/>
          </w:tcPr>
          <w:p w14:paraId="73154D56"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630" w:type="dxa"/>
            <w:tcBorders>
              <w:top w:val="nil"/>
              <w:left w:val="nil"/>
              <w:bottom w:val="single" w:sz="4" w:space="0" w:color="auto"/>
              <w:right w:val="single" w:sz="4" w:space="0" w:color="auto"/>
            </w:tcBorders>
            <w:shd w:val="clear" w:color="auto" w:fill="auto"/>
            <w:noWrap/>
            <w:vAlign w:val="bottom"/>
            <w:hideMark/>
          </w:tcPr>
          <w:p w14:paraId="1344CD33"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720" w:type="dxa"/>
            <w:tcBorders>
              <w:top w:val="nil"/>
              <w:left w:val="nil"/>
              <w:bottom w:val="single" w:sz="4" w:space="0" w:color="auto"/>
              <w:right w:val="single" w:sz="4" w:space="0" w:color="auto"/>
            </w:tcBorders>
            <w:shd w:val="clear" w:color="auto" w:fill="auto"/>
            <w:noWrap/>
            <w:vAlign w:val="bottom"/>
            <w:hideMark/>
          </w:tcPr>
          <w:p w14:paraId="5180DD71"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810" w:type="dxa"/>
            <w:tcBorders>
              <w:top w:val="nil"/>
              <w:left w:val="nil"/>
              <w:bottom w:val="single" w:sz="4" w:space="0" w:color="auto"/>
              <w:right w:val="single" w:sz="4" w:space="0" w:color="auto"/>
            </w:tcBorders>
            <w:shd w:val="clear" w:color="auto" w:fill="auto"/>
            <w:noWrap/>
            <w:vAlign w:val="bottom"/>
            <w:hideMark/>
          </w:tcPr>
          <w:p w14:paraId="57BC0F91"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w:t>
            </w:r>
          </w:p>
        </w:tc>
        <w:tc>
          <w:tcPr>
            <w:tcW w:w="1173" w:type="dxa"/>
            <w:tcBorders>
              <w:top w:val="nil"/>
              <w:left w:val="nil"/>
              <w:bottom w:val="single" w:sz="4" w:space="0" w:color="auto"/>
              <w:right w:val="single" w:sz="4" w:space="0" w:color="auto"/>
            </w:tcBorders>
            <w:shd w:val="clear" w:color="auto" w:fill="auto"/>
            <w:noWrap/>
            <w:vAlign w:val="bottom"/>
            <w:hideMark/>
          </w:tcPr>
          <w:p w14:paraId="64AE0D82"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819" w:type="dxa"/>
            <w:tcBorders>
              <w:top w:val="nil"/>
              <w:left w:val="nil"/>
              <w:bottom w:val="single" w:sz="4" w:space="0" w:color="auto"/>
              <w:right w:val="single" w:sz="4" w:space="0" w:color="auto"/>
            </w:tcBorders>
            <w:shd w:val="clear" w:color="auto" w:fill="auto"/>
            <w:noWrap/>
            <w:vAlign w:val="bottom"/>
            <w:hideMark/>
          </w:tcPr>
          <w:p w14:paraId="04491A48"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996" w:type="dxa"/>
            <w:tcBorders>
              <w:top w:val="nil"/>
              <w:left w:val="nil"/>
              <w:bottom w:val="single" w:sz="4" w:space="0" w:color="auto"/>
              <w:right w:val="single" w:sz="8" w:space="0" w:color="auto"/>
            </w:tcBorders>
            <w:shd w:val="clear" w:color="auto" w:fill="auto"/>
            <w:noWrap/>
            <w:vAlign w:val="bottom"/>
            <w:hideMark/>
          </w:tcPr>
          <w:p w14:paraId="0381FEC6"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r>
      <w:tr w:rsidR="00643538" w14:paraId="2B84C492"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7C31DAFB"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Interest Payment </w:t>
            </w:r>
          </w:p>
        </w:tc>
        <w:tc>
          <w:tcPr>
            <w:tcW w:w="720" w:type="dxa"/>
            <w:tcBorders>
              <w:top w:val="nil"/>
              <w:left w:val="nil"/>
              <w:bottom w:val="single" w:sz="4" w:space="0" w:color="auto"/>
              <w:right w:val="single" w:sz="4" w:space="0" w:color="auto"/>
            </w:tcBorders>
            <w:shd w:val="clear" w:color="auto" w:fill="auto"/>
            <w:noWrap/>
            <w:vAlign w:val="bottom"/>
            <w:hideMark/>
          </w:tcPr>
          <w:p w14:paraId="1FAAC2BA"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630" w:type="dxa"/>
            <w:tcBorders>
              <w:top w:val="nil"/>
              <w:left w:val="nil"/>
              <w:bottom w:val="single" w:sz="4" w:space="0" w:color="auto"/>
              <w:right w:val="single" w:sz="4" w:space="0" w:color="auto"/>
            </w:tcBorders>
            <w:shd w:val="clear" w:color="auto" w:fill="auto"/>
            <w:noWrap/>
            <w:vAlign w:val="bottom"/>
            <w:hideMark/>
          </w:tcPr>
          <w:p w14:paraId="74FD10A4"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720" w:type="dxa"/>
            <w:tcBorders>
              <w:top w:val="nil"/>
              <w:left w:val="nil"/>
              <w:bottom w:val="single" w:sz="4" w:space="0" w:color="auto"/>
              <w:right w:val="single" w:sz="4" w:space="0" w:color="auto"/>
            </w:tcBorders>
            <w:shd w:val="clear" w:color="auto" w:fill="auto"/>
            <w:noWrap/>
            <w:vAlign w:val="bottom"/>
            <w:hideMark/>
          </w:tcPr>
          <w:p w14:paraId="2B7450D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810" w:type="dxa"/>
            <w:tcBorders>
              <w:top w:val="nil"/>
              <w:left w:val="nil"/>
              <w:bottom w:val="single" w:sz="4" w:space="0" w:color="auto"/>
              <w:right w:val="single" w:sz="4" w:space="0" w:color="auto"/>
            </w:tcBorders>
            <w:shd w:val="clear" w:color="auto" w:fill="auto"/>
            <w:noWrap/>
            <w:vAlign w:val="bottom"/>
            <w:hideMark/>
          </w:tcPr>
          <w:p w14:paraId="284D823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1173" w:type="dxa"/>
            <w:tcBorders>
              <w:top w:val="nil"/>
              <w:left w:val="nil"/>
              <w:bottom w:val="single" w:sz="4" w:space="0" w:color="auto"/>
              <w:right w:val="single" w:sz="4" w:space="0" w:color="auto"/>
            </w:tcBorders>
            <w:shd w:val="clear" w:color="auto" w:fill="auto"/>
            <w:noWrap/>
            <w:vAlign w:val="bottom"/>
            <w:hideMark/>
          </w:tcPr>
          <w:p w14:paraId="4088A64F"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819" w:type="dxa"/>
            <w:tcBorders>
              <w:top w:val="nil"/>
              <w:left w:val="nil"/>
              <w:bottom w:val="single" w:sz="4" w:space="0" w:color="auto"/>
              <w:right w:val="single" w:sz="4" w:space="0" w:color="auto"/>
            </w:tcBorders>
            <w:shd w:val="clear" w:color="auto" w:fill="auto"/>
            <w:noWrap/>
            <w:vAlign w:val="bottom"/>
            <w:hideMark/>
          </w:tcPr>
          <w:p w14:paraId="5560FEFD"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996" w:type="dxa"/>
            <w:tcBorders>
              <w:top w:val="nil"/>
              <w:left w:val="nil"/>
              <w:bottom w:val="single" w:sz="4" w:space="0" w:color="auto"/>
              <w:right w:val="single" w:sz="8" w:space="0" w:color="auto"/>
            </w:tcBorders>
            <w:shd w:val="clear" w:color="auto" w:fill="auto"/>
            <w:noWrap/>
            <w:vAlign w:val="bottom"/>
            <w:hideMark/>
          </w:tcPr>
          <w:p w14:paraId="05230508"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r>
      <w:tr w:rsidR="00643538" w14:paraId="0CE70D18"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1F75E584"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Shop refurbishment</w:t>
            </w:r>
          </w:p>
        </w:tc>
        <w:tc>
          <w:tcPr>
            <w:tcW w:w="720" w:type="dxa"/>
            <w:tcBorders>
              <w:top w:val="nil"/>
              <w:left w:val="nil"/>
              <w:bottom w:val="single" w:sz="4" w:space="0" w:color="auto"/>
              <w:right w:val="single" w:sz="4" w:space="0" w:color="auto"/>
            </w:tcBorders>
            <w:shd w:val="clear" w:color="auto" w:fill="auto"/>
            <w:noWrap/>
            <w:vAlign w:val="bottom"/>
            <w:hideMark/>
          </w:tcPr>
          <w:p w14:paraId="08F2AF94"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630" w:type="dxa"/>
            <w:tcBorders>
              <w:top w:val="nil"/>
              <w:left w:val="nil"/>
              <w:bottom w:val="single" w:sz="4" w:space="0" w:color="auto"/>
              <w:right w:val="single" w:sz="4" w:space="0" w:color="auto"/>
            </w:tcBorders>
            <w:shd w:val="clear" w:color="auto" w:fill="auto"/>
            <w:noWrap/>
            <w:vAlign w:val="bottom"/>
            <w:hideMark/>
          </w:tcPr>
          <w:p w14:paraId="6146843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34</w:t>
            </w:r>
          </w:p>
        </w:tc>
        <w:tc>
          <w:tcPr>
            <w:tcW w:w="720" w:type="dxa"/>
            <w:tcBorders>
              <w:top w:val="nil"/>
              <w:left w:val="nil"/>
              <w:bottom w:val="single" w:sz="4" w:space="0" w:color="auto"/>
              <w:right w:val="single" w:sz="4" w:space="0" w:color="auto"/>
            </w:tcBorders>
            <w:shd w:val="clear" w:color="auto" w:fill="auto"/>
            <w:noWrap/>
            <w:vAlign w:val="bottom"/>
            <w:hideMark/>
          </w:tcPr>
          <w:p w14:paraId="694A84A6"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w:t>
            </w:r>
          </w:p>
        </w:tc>
        <w:tc>
          <w:tcPr>
            <w:tcW w:w="810" w:type="dxa"/>
            <w:tcBorders>
              <w:top w:val="nil"/>
              <w:left w:val="nil"/>
              <w:bottom w:val="single" w:sz="4" w:space="0" w:color="auto"/>
              <w:right w:val="single" w:sz="4" w:space="0" w:color="auto"/>
            </w:tcBorders>
            <w:shd w:val="clear" w:color="auto" w:fill="auto"/>
            <w:noWrap/>
            <w:vAlign w:val="bottom"/>
            <w:hideMark/>
          </w:tcPr>
          <w:p w14:paraId="6ACFB24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w:t>
            </w:r>
          </w:p>
        </w:tc>
        <w:tc>
          <w:tcPr>
            <w:tcW w:w="1173" w:type="dxa"/>
            <w:tcBorders>
              <w:top w:val="nil"/>
              <w:left w:val="nil"/>
              <w:bottom w:val="single" w:sz="4" w:space="0" w:color="auto"/>
              <w:right w:val="single" w:sz="4" w:space="0" w:color="auto"/>
            </w:tcBorders>
            <w:shd w:val="clear" w:color="auto" w:fill="auto"/>
            <w:noWrap/>
            <w:vAlign w:val="bottom"/>
            <w:hideMark/>
          </w:tcPr>
          <w:p w14:paraId="3CF6AC00"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819" w:type="dxa"/>
            <w:tcBorders>
              <w:top w:val="nil"/>
              <w:left w:val="nil"/>
              <w:bottom w:val="single" w:sz="4" w:space="0" w:color="auto"/>
              <w:right w:val="single" w:sz="4" w:space="0" w:color="auto"/>
            </w:tcBorders>
            <w:shd w:val="clear" w:color="auto" w:fill="auto"/>
            <w:noWrap/>
            <w:vAlign w:val="bottom"/>
            <w:hideMark/>
          </w:tcPr>
          <w:p w14:paraId="5E3158FC"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996" w:type="dxa"/>
            <w:tcBorders>
              <w:top w:val="nil"/>
              <w:left w:val="nil"/>
              <w:bottom w:val="single" w:sz="4" w:space="0" w:color="auto"/>
              <w:right w:val="single" w:sz="8" w:space="0" w:color="auto"/>
            </w:tcBorders>
            <w:shd w:val="clear" w:color="auto" w:fill="auto"/>
            <w:noWrap/>
            <w:vAlign w:val="bottom"/>
            <w:hideMark/>
          </w:tcPr>
          <w:p w14:paraId="262FA55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r>
      <w:tr w:rsidR="00643538" w14:paraId="34BC01A4"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16EE0952"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Taking Stock Level as Opening Balance FMO (May) </w:t>
            </w:r>
          </w:p>
        </w:tc>
        <w:tc>
          <w:tcPr>
            <w:tcW w:w="720" w:type="dxa"/>
            <w:tcBorders>
              <w:top w:val="nil"/>
              <w:left w:val="nil"/>
              <w:bottom w:val="single" w:sz="4" w:space="0" w:color="auto"/>
              <w:right w:val="single" w:sz="4" w:space="0" w:color="auto"/>
            </w:tcBorders>
            <w:shd w:val="clear" w:color="auto" w:fill="auto"/>
            <w:noWrap/>
            <w:vAlign w:val="bottom"/>
            <w:hideMark/>
          </w:tcPr>
          <w:p w14:paraId="44E839B9"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630" w:type="dxa"/>
            <w:tcBorders>
              <w:top w:val="nil"/>
              <w:left w:val="nil"/>
              <w:bottom w:val="single" w:sz="4" w:space="0" w:color="auto"/>
              <w:right w:val="single" w:sz="4" w:space="0" w:color="auto"/>
            </w:tcBorders>
            <w:shd w:val="clear" w:color="auto" w:fill="auto"/>
            <w:noWrap/>
            <w:vAlign w:val="bottom"/>
            <w:hideMark/>
          </w:tcPr>
          <w:p w14:paraId="1BFB4B1F"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720" w:type="dxa"/>
            <w:tcBorders>
              <w:top w:val="nil"/>
              <w:left w:val="nil"/>
              <w:bottom w:val="single" w:sz="4" w:space="0" w:color="auto"/>
              <w:right w:val="single" w:sz="4" w:space="0" w:color="auto"/>
            </w:tcBorders>
            <w:shd w:val="clear" w:color="auto" w:fill="auto"/>
            <w:noWrap/>
            <w:vAlign w:val="bottom"/>
            <w:hideMark/>
          </w:tcPr>
          <w:p w14:paraId="127DA0BB"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810" w:type="dxa"/>
            <w:tcBorders>
              <w:top w:val="nil"/>
              <w:left w:val="nil"/>
              <w:bottom w:val="single" w:sz="4" w:space="0" w:color="auto"/>
              <w:right w:val="single" w:sz="4" w:space="0" w:color="auto"/>
            </w:tcBorders>
            <w:shd w:val="clear" w:color="auto" w:fill="auto"/>
            <w:noWrap/>
            <w:vAlign w:val="bottom"/>
            <w:hideMark/>
          </w:tcPr>
          <w:p w14:paraId="788BEFCF"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1173" w:type="dxa"/>
            <w:tcBorders>
              <w:top w:val="nil"/>
              <w:left w:val="nil"/>
              <w:bottom w:val="single" w:sz="4" w:space="0" w:color="auto"/>
              <w:right w:val="single" w:sz="4" w:space="0" w:color="auto"/>
            </w:tcBorders>
            <w:shd w:val="clear" w:color="auto" w:fill="auto"/>
            <w:noWrap/>
            <w:vAlign w:val="bottom"/>
            <w:hideMark/>
          </w:tcPr>
          <w:p w14:paraId="2B7BDC26"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819" w:type="dxa"/>
            <w:tcBorders>
              <w:top w:val="nil"/>
              <w:left w:val="nil"/>
              <w:bottom w:val="single" w:sz="4" w:space="0" w:color="auto"/>
              <w:right w:val="single" w:sz="4" w:space="0" w:color="auto"/>
            </w:tcBorders>
            <w:shd w:val="clear" w:color="auto" w:fill="auto"/>
            <w:noWrap/>
            <w:vAlign w:val="bottom"/>
            <w:hideMark/>
          </w:tcPr>
          <w:p w14:paraId="49B972B3"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996" w:type="dxa"/>
            <w:tcBorders>
              <w:top w:val="nil"/>
              <w:left w:val="nil"/>
              <w:bottom w:val="single" w:sz="4" w:space="0" w:color="auto"/>
              <w:right w:val="single" w:sz="8" w:space="0" w:color="auto"/>
            </w:tcBorders>
            <w:shd w:val="clear" w:color="auto" w:fill="auto"/>
            <w:noWrap/>
            <w:vAlign w:val="bottom"/>
            <w:hideMark/>
          </w:tcPr>
          <w:p w14:paraId="6A720F26"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r>
      <w:tr w:rsidR="00643538" w14:paraId="57E336AA" w14:textId="77777777" w:rsidTr="0028403C">
        <w:trPr>
          <w:trHeight w:val="170"/>
          <w:jc w:val="center"/>
        </w:trPr>
        <w:tc>
          <w:tcPr>
            <w:tcW w:w="3708" w:type="dxa"/>
            <w:tcBorders>
              <w:top w:val="nil"/>
              <w:left w:val="single" w:sz="8" w:space="0" w:color="auto"/>
              <w:bottom w:val="single" w:sz="4" w:space="0" w:color="auto"/>
              <w:right w:val="single" w:sz="4" w:space="0" w:color="auto"/>
            </w:tcBorders>
            <w:shd w:val="clear" w:color="auto" w:fill="auto"/>
            <w:noWrap/>
            <w:vAlign w:val="bottom"/>
            <w:hideMark/>
          </w:tcPr>
          <w:p w14:paraId="2B97CC71"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Opening Balance</w:t>
            </w:r>
          </w:p>
        </w:tc>
        <w:tc>
          <w:tcPr>
            <w:tcW w:w="720" w:type="dxa"/>
            <w:tcBorders>
              <w:top w:val="nil"/>
              <w:left w:val="nil"/>
              <w:bottom w:val="single" w:sz="4" w:space="0" w:color="auto"/>
              <w:right w:val="single" w:sz="4" w:space="0" w:color="auto"/>
            </w:tcBorders>
            <w:shd w:val="clear" w:color="auto" w:fill="auto"/>
            <w:noWrap/>
            <w:vAlign w:val="bottom"/>
            <w:hideMark/>
          </w:tcPr>
          <w:p w14:paraId="798AD90C"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125</w:t>
            </w:r>
          </w:p>
        </w:tc>
        <w:tc>
          <w:tcPr>
            <w:tcW w:w="630" w:type="dxa"/>
            <w:tcBorders>
              <w:top w:val="nil"/>
              <w:left w:val="nil"/>
              <w:bottom w:val="single" w:sz="4" w:space="0" w:color="auto"/>
              <w:right w:val="single" w:sz="4" w:space="0" w:color="auto"/>
            </w:tcBorders>
            <w:shd w:val="clear" w:color="auto" w:fill="auto"/>
            <w:noWrap/>
            <w:vAlign w:val="bottom"/>
            <w:hideMark/>
          </w:tcPr>
          <w:p w14:paraId="5EB5A4EF"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170</w:t>
            </w:r>
          </w:p>
        </w:tc>
        <w:tc>
          <w:tcPr>
            <w:tcW w:w="720" w:type="dxa"/>
            <w:tcBorders>
              <w:top w:val="nil"/>
              <w:left w:val="nil"/>
              <w:bottom w:val="single" w:sz="4" w:space="0" w:color="auto"/>
              <w:right w:val="single" w:sz="4" w:space="0" w:color="auto"/>
            </w:tcBorders>
            <w:shd w:val="clear" w:color="auto" w:fill="auto"/>
            <w:noWrap/>
            <w:vAlign w:val="bottom"/>
            <w:hideMark/>
          </w:tcPr>
          <w:p w14:paraId="79853D29"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250</w:t>
            </w:r>
          </w:p>
        </w:tc>
        <w:tc>
          <w:tcPr>
            <w:tcW w:w="810" w:type="dxa"/>
            <w:tcBorders>
              <w:top w:val="nil"/>
              <w:left w:val="nil"/>
              <w:bottom w:val="single" w:sz="4" w:space="0" w:color="auto"/>
              <w:right w:val="single" w:sz="4" w:space="0" w:color="auto"/>
            </w:tcBorders>
            <w:shd w:val="clear" w:color="auto" w:fill="auto"/>
            <w:noWrap/>
            <w:vAlign w:val="bottom"/>
            <w:hideMark/>
          </w:tcPr>
          <w:p w14:paraId="07885405"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350</w:t>
            </w:r>
          </w:p>
        </w:tc>
        <w:tc>
          <w:tcPr>
            <w:tcW w:w="1173" w:type="dxa"/>
            <w:tcBorders>
              <w:top w:val="nil"/>
              <w:left w:val="nil"/>
              <w:bottom w:val="single" w:sz="4" w:space="0" w:color="auto"/>
              <w:right w:val="single" w:sz="4" w:space="0" w:color="auto"/>
            </w:tcBorders>
            <w:shd w:val="clear" w:color="auto" w:fill="auto"/>
            <w:noWrap/>
            <w:vAlign w:val="bottom"/>
            <w:hideMark/>
          </w:tcPr>
          <w:p w14:paraId="140BFCB1"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417</w:t>
            </w:r>
          </w:p>
        </w:tc>
        <w:tc>
          <w:tcPr>
            <w:tcW w:w="819" w:type="dxa"/>
            <w:tcBorders>
              <w:top w:val="nil"/>
              <w:left w:val="nil"/>
              <w:bottom w:val="single" w:sz="4" w:space="0" w:color="auto"/>
              <w:right w:val="single" w:sz="4" w:space="0" w:color="auto"/>
            </w:tcBorders>
            <w:shd w:val="clear" w:color="auto" w:fill="auto"/>
            <w:noWrap/>
            <w:vAlign w:val="bottom"/>
            <w:hideMark/>
          </w:tcPr>
          <w:p w14:paraId="2AE9C09C"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437</w:t>
            </w:r>
          </w:p>
        </w:tc>
        <w:tc>
          <w:tcPr>
            <w:tcW w:w="996" w:type="dxa"/>
            <w:tcBorders>
              <w:top w:val="nil"/>
              <w:left w:val="nil"/>
              <w:bottom w:val="single" w:sz="4" w:space="0" w:color="auto"/>
              <w:right w:val="single" w:sz="8" w:space="0" w:color="auto"/>
            </w:tcBorders>
            <w:shd w:val="clear" w:color="auto" w:fill="auto"/>
            <w:noWrap/>
            <w:vAlign w:val="bottom"/>
            <w:hideMark/>
          </w:tcPr>
          <w:p w14:paraId="648EDDE3"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467</w:t>
            </w:r>
          </w:p>
        </w:tc>
      </w:tr>
      <w:tr w:rsidR="00643538" w14:paraId="3A8DA32A" w14:textId="77777777" w:rsidTr="0028403C">
        <w:trPr>
          <w:trHeight w:val="179"/>
          <w:jc w:val="center"/>
        </w:trPr>
        <w:tc>
          <w:tcPr>
            <w:tcW w:w="3708" w:type="dxa"/>
            <w:tcBorders>
              <w:top w:val="nil"/>
              <w:left w:val="single" w:sz="8" w:space="0" w:color="auto"/>
              <w:bottom w:val="single" w:sz="8" w:space="0" w:color="auto"/>
              <w:right w:val="single" w:sz="4" w:space="0" w:color="auto"/>
            </w:tcBorders>
            <w:shd w:val="clear" w:color="auto" w:fill="auto"/>
            <w:noWrap/>
            <w:vAlign w:val="bottom"/>
            <w:hideMark/>
          </w:tcPr>
          <w:p w14:paraId="42B4F27F" w14:textId="77777777" w:rsidR="009D142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Closing Balance (Opening balance + Receipts - Payments)</w:t>
            </w:r>
          </w:p>
        </w:tc>
        <w:tc>
          <w:tcPr>
            <w:tcW w:w="720" w:type="dxa"/>
            <w:tcBorders>
              <w:top w:val="nil"/>
              <w:left w:val="nil"/>
              <w:bottom w:val="single" w:sz="8" w:space="0" w:color="auto"/>
              <w:right w:val="single" w:sz="4" w:space="0" w:color="auto"/>
            </w:tcBorders>
            <w:shd w:val="clear" w:color="auto" w:fill="auto"/>
            <w:noWrap/>
            <w:vAlign w:val="bottom"/>
            <w:hideMark/>
          </w:tcPr>
          <w:p w14:paraId="32C7CAB4"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170</w:t>
            </w:r>
          </w:p>
        </w:tc>
        <w:tc>
          <w:tcPr>
            <w:tcW w:w="630" w:type="dxa"/>
            <w:tcBorders>
              <w:top w:val="nil"/>
              <w:left w:val="nil"/>
              <w:bottom w:val="single" w:sz="8" w:space="0" w:color="auto"/>
              <w:right w:val="single" w:sz="4" w:space="0" w:color="auto"/>
            </w:tcBorders>
            <w:shd w:val="clear" w:color="auto" w:fill="auto"/>
            <w:noWrap/>
            <w:vAlign w:val="bottom"/>
            <w:hideMark/>
          </w:tcPr>
          <w:p w14:paraId="35B829B1"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250</w:t>
            </w:r>
          </w:p>
        </w:tc>
        <w:tc>
          <w:tcPr>
            <w:tcW w:w="720" w:type="dxa"/>
            <w:tcBorders>
              <w:top w:val="nil"/>
              <w:left w:val="nil"/>
              <w:bottom w:val="single" w:sz="8" w:space="0" w:color="auto"/>
              <w:right w:val="single" w:sz="4" w:space="0" w:color="auto"/>
            </w:tcBorders>
            <w:shd w:val="clear" w:color="auto" w:fill="auto"/>
            <w:noWrap/>
            <w:vAlign w:val="bottom"/>
            <w:hideMark/>
          </w:tcPr>
          <w:p w14:paraId="75243E05"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350</w:t>
            </w:r>
          </w:p>
        </w:tc>
        <w:tc>
          <w:tcPr>
            <w:tcW w:w="810" w:type="dxa"/>
            <w:tcBorders>
              <w:top w:val="nil"/>
              <w:left w:val="nil"/>
              <w:bottom w:val="single" w:sz="8" w:space="0" w:color="auto"/>
              <w:right w:val="single" w:sz="4" w:space="0" w:color="auto"/>
            </w:tcBorders>
            <w:shd w:val="clear" w:color="auto" w:fill="auto"/>
            <w:noWrap/>
            <w:vAlign w:val="bottom"/>
            <w:hideMark/>
          </w:tcPr>
          <w:p w14:paraId="0A6C340A"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417</w:t>
            </w:r>
          </w:p>
        </w:tc>
        <w:tc>
          <w:tcPr>
            <w:tcW w:w="1173" w:type="dxa"/>
            <w:tcBorders>
              <w:top w:val="nil"/>
              <w:left w:val="nil"/>
              <w:bottom w:val="single" w:sz="8" w:space="0" w:color="auto"/>
              <w:right w:val="single" w:sz="4" w:space="0" w:color="auto"/>
            </w:tcBorders>
            <w:shd w:val="clear" w:color="auto" w:fill="auto"/>
            <w:noWrap/>
            <w:vAlign w:val="bottom"/>
            <w:hideMark/>
          </w:tcPr>
          <w:p w14:paraId="74151E99"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437</w:t>
            </w:r>
          </w:p>
        </w:tc>
        <w:tc>
          <w:tcPr>
            <w:tcW w:w="819" w:type="dxa"/>
            <w:tcBorders>
              <w:top w:val="nil"/>
              <w:left w:val="nil"/>
              <w:bottom w:val="single" w:sz="8" w:space="0" w:color="auto"/>
              <w:right w:val="single" w:sz="4" w:space="0" w:color="auto"/>
            </w:tcBorders>
            <w:shd w:val="clear" w:color="auto" w:fill="auto"/>
            <w:noWrap/>
            <w:vAlign w:val="bottom"/>
            <w:hideMark/>
          </w:tcPr>
          <w:p w14:paraId="6943D1E9"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467</w:t>
            </w:r>
          </w:p>
        </w:tc>
        <w:tc>
          <w:tcPr>
            <w:tcW w:w="996" w:type="dxa"/>
            <w:tcBorders>
              <w:top w:val="nil"/>
              <w:left w:val="nil"/>
              <w:bottom w:val="single" w:sz="8" w:space="0" w:color="auto"/>
              <w:right w:val="single" w:sz="8" w:space="0" w:color="auto"/>
            </w:tcBorders>
            <w:shd w:val="clear" w:color="auto" w:fill="auto"/>
            <w:noWrap/>
            <w:vAlign w:val="bottom"/>
            <w:hideMark/>
          </w:tcPr>
          <w:p w14:paraId="69D8BB12" w14:textId="77777777" w:rsidR="009D142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462</w:t>
            </w:r>
          </w:p>
        </w:tc>
      </w:tr>
    </w:tbl>
    <w:p w14:paraId="66B9653C" w14:textId="77777777" w:rsidR="005628D0" w:rsidRPr="0046366C" w:rsidRDefault="005628D0"/>
    <w:p w14:paraId="716DACF9" w14:textId="77777777" w:rsidR="00A97022" w:rsidRPr="0046366C" w:rsidRDefault="00CD393E" w:rsidP="005628D0">
      <w:pPr>
        <w:ind w:firstLine="720"/>
      </w:pPr>
      <w:r w:rsidRPr="0046366C">
        <w:t>The cash budget for Edwards comprises sales revenue, stock purchases, selling and administrative costs, tax payments, interest payments, and store renovation charges. It additionally demonstrates the anticipated cash flows for the specified months. The initial balance fluctuates during the duration of the term, depending on the projected receipts and payments, and represents the amount of money on hand at the start of each month. Sales revenue makes up the majority of receipts, while payments cover a range of costs and liabilities, such as stock purchases, selling and administrative fees, taxes, interest, and store renovation expenditures. The projected cash position at the end of each month is displayed by the closing balance, which is calculated by adding the opening balance to the receipts and deducting the payments. This gives Edwards an understanding of its liquidity and sustainability.</w:t>
      </w:r>
    </w:p>
    <w:tbl>
      <w:tblPr>
        <w:tblpPr w:leftFromText="180" w:rightFromText="180" w:vertAnchor="text" w:horzAnchor="margin" w:tblpXSpec="center" w:tblpY="371"/>
        <w:tblW w:w="0" w:type="auto"/>
        <w:tblLook w:val="04A0" w:firstRow="1" w:lastRow="0" w:firstColumn="1" w:lastColumn="0" w:noHBand="0" w:noVBand="1"/>
      </w:tblPr>
      <w:tblGrid>
        <w:gridCol w:w="2826"/>
        <w:gridCol w:w="620"/>
        <w:gridCol w:w="620"/>
        <w:gridCol w:w="583"/>
        <w:gridCol w:w="852"/>
        <w:gridCol w:w="1157"/>
        <w:gridCol w:w="925"/>
        <w:gridCol w:w="1145"/>
      </w:tblGrid>
      <w:tr w:rsidR="00643538" w14:paraId="4EB8C8E6" w14:textId="77777777" w:rsidTr="00664A76">
        <w:trPr>
          <w:trHeight w:val="248"/>
        </w:trPr>
        <w:tc>
          <w:tcPr>
            <w:tcW w:w="0" w:type="auto"/>
            <w:gridSpan w:val="8"/>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1791C82B"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lastRenderedPageBreak/>
              <w:t>Monthly Budget for Edwards</w:t>
            </w:r>
          </w:p>
        </w:tc>
      </w:tr>
      <w:tr w:rsidR="00643538" w14:paraId="33DF9756"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001100"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798E09F"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May</w:t>
            </w:r>
          </w:p>
        </w:tc>
        <w:tc>
          <w:tcPr>
            <w:tcW w:w="0" w:type="auto"/>
            <w:tcBorders>
              <w:top w:val="nil"/>
              <w:left w:val="nil"/>
              <w:bottom w:val="single" w:sz="4" w:space="0" w:color="auto"/>
              <w:right w:val="single" w:sz="4" w:space="0" w:color="auto"/>
            </w:tcBorders>
            <w:shd w:val="clear" w:color="auto" w:fill="auto"/>
            <w:noWrap/>
            <w:vAlign w:val="bottom"/>
            <w:hideMark/>
          </w:tcPr>
          <w:p w14:paraId="3EEE39BC"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June</w:t>
            </w:r>
          </w:p>
        </w:tc>
        <w:tc>
          <w:tcPr>
            <w:tcW w:w="0" w:type="auto"/>
            <w:tcBorders>
              <w:top w:val="nil"/>
              <w:left w:val="nil"/>
              <w:bottom w:val="single" w:sz="4" w:space="0" w:color="auto"/>
              <w:right w:val="single" w:sz="4" w:space="0" w:color="auto"/>
            </w:tcBorders>
            <w:shd w:val="clear" w:color="auto" w:fill="auto"/>
            <w:noWrap/>
            <w:vAlign w:val="bottom"/>
            <w:hideMark/>
          </w:tcPr>
          <w:p w14:paraId="5429B271"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July</w:t>
            </w:r>
          </w:p>
        </w:tc>
        <w:tc>
          <w:tcPr>
            <w:tcW w:w="0" w:type="auto"/>
            <w:tcBorders>
              <w:top w:val="nil"/>
              <w:left w:val="nil"/>
              <w:bottom w:val="single" w:sz="4" w:space="0" w:color="auto"/>
              <w:right w:val="single" w:sz="4" w:space="0" w:color="auto"/>
            </w:tcBorders>
            <w:shd w:val="clear" w:color="auto" w:fill="auto"/>
            <w:noWrap/>
            <w:vAlign w:val="bottom"/>
            <w:hideMark/>
          </w:tcPr>
          <w:p w14:paraId="5EAF8E63"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August</w:t>
            </w:r>
          </w:p>
        </w:tc>
        <w:tc>
          <w:tcPr>
            <w:tcW w:w="0" w:type="auto"/>
            <w:tcBorders>
              <w:top w:val="nil"/>
              <w:left w:val="nil"/>
              <w:bottom w:val="single" w:sz="4" w:space="0" w:color="auto"/>
              <w:right w:val="single" w:sz="4" w:space="0" w:color="auto"/>
            </w:tcBorders>
            <w:shd w:val="clear" w:color="auto" w:fill="auto"/>
            <w:noWrap/>
            <w:vAlign w:val="bottom"/>
            <w:hideMark/>
          </w:tcPr>
          <w:p w14:paraId="0FF6570A"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September</w:t>
            </w:r>
          </w:p>
        </w:tc>
        <w:tc>
          <w:tcPr>
            <w:tcW w:w="0" w:type="auto"/>
            <w:tcBorders>
              <w:top w:val="nil"/>
              <w:left w:val="nil"/>
              <w:bottom w:val="single" w:sz="4" w:space="0" w:color="auto"/>
              <w:right w:val="single" w:sz="4" w:space="0" w:color="auto"/>
            </w:tcBorders>
            <w:shd w:val="clear" w:color="auto" w:fill="auto"/>
            <w:noWrap/>
            <w:vAlign w:val="bottom"/>
            <w:hideMark/>
          </w:tcPr>
          <w:p w14:paraId="7875E3C2"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October</w:t>
            </w:r>
          </w:p>
        </w:tc>
        <w:tc>
          <w:tcPr>
            <w:tcW w:w="0" w:type="auto"/>
            <w:tcBorders>
              <w:top w:val="nil"/>
              <w:left w:val="nil"/>
              <w:bottom w:val="single" w:sz="4" w:space="0" w:color="auto"/>
              <w:right w:val="single" w:sz="4" w:space="0" w:color="auto"/>
            </w:tcBorders>
            <w:shd w:val="clear" w:color="auto" w:fill="auto"/>
            <w:noWrap/>
            <w:vAlign w:val="bottom"/>
            <w:hideMark/>
          </w:tcPr>
          <w:p w14:paraId="5DAF9478"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November</w:t>
            </w:r>
          </w:p>
        </w:tc>
      </w:tr>
      <w:tr w:rsidR="00643538" w14:paraId="39C86317" w14:textId="77777777" w:rsidTr="00664A76">
        <w:trPr>
          <w:trHeight w:val="248"/>
        </w:trPr>
        <w:tc>
          <w:tcPr>
            <w:tcW w:w="0" w:type="auto"/>
            <w:gridSpan w:val="8"/>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23BD8C9F"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 xml:space="preserve">Income </w:t>
            </w:r>
          </w:p>
        </w:tc>
      </w:tr>
      <w:tr w:rsidR="00643538" w14:paraId="7ED833D7" w14:textId="77777777" w:rsidTr="00664A76">
        <w:trPr>
          <w:trHeight w:val="497"/>
        </w:trPr>
        <w:tc>
          <w:tcPr>
            <w:tcW w:w="0" w:type="auto"/>
            <w:tcBorders>
              <w:top w:val="nil"/>
              <w:left w:val="single" w:sz="4" w:space="0" w:color="auto"/>
              <w:bottom w:val="single" w:sz="4" w:space="0" w:color="auto"/>
              <w:right w:val="single" w:sz="4" w:space="0" w:color="auto"/>
            </w:tcBorders>
            <w:shd w:val="clear" w:color="auto" w:fill="auto"/>
            <w:vAlign w:val="bottom"/>
            <w:hideMark/>
          </w:tcPr>
          <w:p w14:paraId="578E2D17"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60% of Customers pay with a</w:t>
            </w:r>
          </w:p>
          <w:p w14:paraId="0464ACFE"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Credit card</w:t>
            </w:r>
          </w:p>
        </w:tc>
        <w:tc>
          <w:tcPr>
            <w:tcW w:w="0" w:type="auto"/>
            <w:tcBorders>
              <w:top w:val="nil"/>
              <w:left w:val="nil"/>
              <w:bottom w:val="single" w:sz="4" w:space="0" w:color="auto"/>
              <w:right w:val="single" w:sz="4" w:space="0" w:color="auto"/>
            </w:tcBorders>
            <w:shd w:val="clear" w:color="auto" w:fill="auto"/>
            <w:noWrap/>
            <w:vAlign w:val="bottom"/>
            <w:hideMark/>
          </w:tcPr>
          <w:p w14:paraId="254D336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150</w:t>
            </w:r>
          </w:p>
        </w:tc>
        <w:tc>
          <w:tcPr>
            <w:tcW w:w="0" w:type="auto"/>
            <w:tcBorders>
              <w:top w:val="nil"/>
              <w:left w:val="nil"/>
              <w:bottom w:val="single" w:sz="4" w:space="0" w:color="auto"/>
              <w:right w:val="single" w:sz="4" w:space="0" w:color="auto"/>
            </w:tcBorders>
            <w:shd w:val="clear" w:color="auto" w:fill="auto"/>
            <w:noWrap/>
            <w:vAlign w:val="bottom"/>
            <w:hideMark/>
          </w:tcPr>
          <w:p w14:paraId="1DB92FC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156</w:t>
            </w:r>
          </w:p>
        </w:tc>
        <w:tc>
          <w:tcPr>
            <w:tcW w:w="0" w:type="auto"/>
            <w:tcBorders>
              <w:top w:val="nil"/>
              <w:left w:val="nil"/>
              <w:bottom w:val="single" w:sz="4" w:space="0" w:color="auto"/>
              <w:right w:val="single" w:sz="4" w:space="0" w:color="auto"/>
            </w:tcBorders>
            <w:shd w:val="clear" w:color="auto" w:fill="auto"/>
            <w:noWrap/>
            <w:vAlign w:val="bottom"/>
            <w:hideMark/>
          </w:tcPr>
          <w:p w14:paraId="646A1AAA"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162</w:t>
            </w:r>
          </w:p>
        </w:tc>
        <w:tc>
          <w:tcPr>
            <w:tcW w:w="0" w:type="auto"/>
            <w:tcBorders>
              <w:top w:val="nil"/>
              <w:left w:val="nil"/>
              <w:bottom w:val="single" w:sz="4" w:space="0" w:color="auto"/>
              <w:right w:val="single" w:sz="4" w:space="0" w:color="auto"/>
            </w:tcBorders>
            <w:shd w:val="clear" w:color="auto" w:fill="auto"/>
            <w:noWrap/>
            <w:vAlign w:val="bottom"/>
            <w:hideMark/>
          </w:tcPr>
          <w:p w14:paraId="558DC8E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162</w:t>
            </w:r>
          </w:p>
        </w:tc>
        <w:tc>
          <w:tcPr>
            <w:tcW w:w="0" w:type="auto"/>
            <w:tcBorders>
              <w:top w:val="nil"/>
              <w:left w:val="nil"/>
              <w:bottom w:val="single" w:sz="4" w:space="0" w:color="auto"/>
              <w:right w:val="single" w:sz="4" w:space="0" w:color="auto"/>
            </w:tcBorders>
            <w:shd w:val="clear" w:color="auto" w:fill="auto"/>
            <w:noWrap/>
            <w:vAlign w:val="bottom"/>
            <w:hideMark/>
          </w:tcPr>
          <w:p w14:paraId="3B60CA9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132</w:t>
            </w:r>
          </w:p>
        </w:tc>
        <w:tc>
          <w:tcPr>
            <w:tcW w:w="0" w:type="auto"/>
            <w:tcBorders>
              <w:top w:val="nil"/>
              <w:left w:val="nil"/>
              <w:bottom w:val="single" w:sz="4" w:space="0" w:color="auto"/>
              <w:right w:val="single" w:sz="4" w:space="0" w:color="auto"/>
            </w:tcBorders>
            <w:shd w:val="clear" w:color="auto" w:fill="auto"/>
            <w:noWrap/>
            <w:vAlign w:val="bottom"/>
            <w:hideMark/>
          </w:tcPr>
          <w:p w14:paraId="0B47DA3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126</w:t>
            </w:r>
          </w:p>
        </w:tc>
        <w:tc>
          <w:tcPr>
            <w:tcW w:w="0" w:type="auto"/>
            <w:tcBorders>
              <w:top w:val="nil"/>
              <w:left w:val="nil"/>
              <w:bottom w:val="single" w:sz="4" w:space="0" w:color="auto"/>
              <w:right w:val="single" w:sz="4" w:space="0" w:color="auto"/>
            </w:tcBorders>
            <w:shd w:val="clear" w:color="auto" w:fill="auto"/>
            <w:noWrap/>
            <w:vAlign w:val="bottom"/>
            <w:hideMark/>
          </w:tcPr>
          <w:p w14:paraId="5E8A688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114</w:t>
            </w:r>
          </w:p>
        </w:tc>
      </w:tr>
      <w:tr w:rsidR="00643538" w14:paraId="00504E3D"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49BF88"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Receivables Cash </w:t>
            </w:r>
          </w:p>
        </w:tc>
        <w:tc>
          <w:tcPr>
            <w:tcW w:w="0" w:type="auto"/>
            <w:tcBorders>
              <w:top w:val="nil"/>
              <w:left w:val="nil"/>
              <w:bottom w:val="single" w:sz="4" w:space="0" w:color="auto"/>
              <w:right w:val="single" w:sz="4" w:space="0" w:color="auto"/>
            </w:tcBorders>
            <w:shd w:val="clear" w:color="auto" w:fill="auto"/>
            <w:noWrap/>
            <w:vAlign w:val="bottom"/>
            <w:hideMark/>
          </w:tcPr>
          <w:p w14:paraId="7345AB21"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100</w:t>
            </w:r>
          </w:p>
        </w:tc>
        <w:tc>
          <w:tcPr>
            <w:tcW w:w="0" w:type="auto"/>
            <w:tcBorders>
              <w:top w:val="nil"/>
              <w:left w:val="nil"/>
              <w:bottom w:val="single" w:sz="4" w:space="0" w:color="auto"/>
              <w:right w:val="single" w:sz="4" w:space="0" w:color="auto"/>
            </w:tcBorders>
            <w:shd w:val="clear" w:color="auto" w:fill="auto"/>
            <w:noWrap/>
            <w:vAlign w:val="bottom"/>
            <w:hideMark/>
          </w:tcPr>
          <w:p w14:paraId="52C3125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104</w:t>
            </w:r>
          </w:p>
        </w:tc>
        <w:tc>
          <w:tcPr>
            <w:tcW w:w="0" w:type="auto"/>
            <w:tcBorders>
              <w:top w:val="nil"/>
              <w:left w:val="nil"/>
              <w:bottom w:val="single" w:sz="4" w:space="0" w:color="auto"/>
              <w:right w:val="single" w:sz="4" w:space="0" w:color="auto"/>
            </w:tcBorders>
            <w:shd w:val="clear" w:color="auto" w:fill="auto"/>
            <w:noWrap/>
            <w:vAlign w:val="bottom"/>
            <w:hideMark/>
          </w:tcPr>
          <w:p w14:paraId="20A274AF"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108</w:t>
            </w:r>
          </w:p>
        </w:tc>
        <w:tc>
          <w:tcPr>
            <w:tcW w:w="0" w:type="auto"/>
            <w:tcBorders>
              <w:top w:val="nil"/>
              <w:left w:val="nil"/>
              <w:bottom w:val="single" w:sz="4" w:space="0" w:color="auto"/>
              <w:right w:val="single" w:sz="4" w:space="0" w:color="auto"/>
            </w:tcBorders>
            <w:shd w:val="clear" w:color="auto" w:fill="auto"/>
            <w:noWrap/>
            <w:vAlign w:val="bottom"/>
            <w:hideMark/>
          </w:tcPr>
          <w:p w14:paraId="13632D7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108</w:t>
            </w:r>
          </w:p>
        </w:tc>
        <w:tc>
          <w:tcPr>
            <w:tcW w:w="0" w:type="auto"/>
            <w:tcBorders>
              <w:top w:val="nil"/>
              <w:left w:val="nil"/>
              <w:bottom w:val="single" w:sz="4" w:space="0" w:color="auto"/>
              <w:right w:val="single" w:sz="4" w:space="0" w:color="auto"/>
            </w:tcBorders>
            <w:shd w:val="clear" w:color="auto" w:fill="auto"/>
            <w:noWrap/>
            <w:vAlign w:val="bottom"/>
            <w:hideMark/>
          </w:tcPr>
          <w:p w14:paraId="5ED36061"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88</w:t>
            </w:r>
          </w:p>
        </w:tc>
        <w:tc>
          <w:tcPr>
            <w:tcW w:w="0" w:type="auto"/>
            <w:tcBorders>
              <w:top w:val="nil"/>
              <w:left w:val="nil"/>
              <w:bottom w:val="single" w:sz="4" w:space="0" w:color="auto"/>
              <w:right w:val="single" w:sz="4" w:space="0" w:color="auto"/>
            </w:tcBorders>
            <w:shd w:val="clear" w:color="auto" w:fill="auto"/>
            <w:noWrap/>
            <w:vAlign w:val="bottom"/>
            <w:hideMark/>
          </w:tcPr>
          <w:p w14:paraId="6E254DA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84</w:t>
            </w:r>
          </w:p>
        </w:tc>
        <w:tc>
          <w:tcPr>
            <w:tcW w:w="0" w:type="auto"/>
            <w:tcBorders>
              <w:top w:val="nil"/>
              <w:left w:val="nil"/>
              <w:bottom w:val="single" w:sz="4" w:space="0" w:color="auto"/>
              <w:right w:val="single" w:sz="4" w:space="0" w:color="auto"/>
            </w:tcBorders>
            <w:shd w:val="clear" w:color="auto" w:fill="auto"/>
            <w:noWrap/>
            <w:vAlign w:val="bottom"/>
            <w:hideMark/>
          </w:tcPr>
          <w:p w14:paraId="282075B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76</w:t>
            </w:r>
          </w:p>
        </w:tc>
      </w:tr>
      <w:tr w:rsidR="00643538" w14:paraId="7E4A1EFF"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3D63774"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3% to credit card business</w:t>
            </w:r>
          </w:p>
        </w:tc>
        <w:tc>
          <w:tcPr>
            <w:tcW w:w="0" w:type="auto"/>
            <w:tcBorders>
              <w:top w:val="nil"/>
              <w:left w:val="nil"/>
              <w:bottom w:val="single" w:sz="4" w:space="0" w:color="auto"/>
              <w:right w:val="single" w:sz="4" w:space="0" w:color="auto"/>
            </w:tcBorders>
            <w:shd w:val="clear" w:color="auto" w:fill="auto"/>
            <w:noWrap/>
            <w:vAlign w:val="bottom"/>
            <w:hideMark/>
          </w:tcPr>
          <w:p w14:paraId="6C1A26F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5</w:t>
            </w:r>
          </w:p>
        </w:tc>
        <w:tc>
          <w:tcPr>
            <w:tcW w:w="0" w:type="auto"/>
            <w:tcBorders>
              <w:top w:val="nil"/>
              <w:left w:val="nil"/>
              <w:bottom w:val="single" w:sz="4" w:space="0" w:color="auto"/>
              <w:right w:val="single" w:sz="4" w:space="0" w:color="auto"/>
            </w:tcBorders>
            <w:shd w:val="clear" w:color="auto" w:fill="auto"/>
            <w:noWrap/>
            <w:vAlign w:val="bottom"/>
            <w:hideMark/>
          </w:tcPr>
          <w:p w14:paraId="4254F6EB"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5</w:t>
            </w:r>
          </w:p>
        </w:tc>
        <w:tc>
          <w:tcPr>
            <w:tcW w:w="0" w:type="auto"/>
            <w:tcBorders>
              <w:top w:val="nil"/>
              <w:left w:val="nil"/>
              <w:bottom w:val="single" w:sz="4" w:space="0" w:color="auto"/>
              <w:right w:val="single" w:sz="4" w:space="0" w:color="auto"/>
            </w:tcBorders>
            <w:shd w:val="clear" w:color="auto" w:fill="auto"/>
            <w:noWrap/>
            <w:vAlign w:val="bottom"/>
            <w:hideMark/>
          </w:tcPr>
          <w:p w14:paraId="5091698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5</w:t>
            </w:r>
          </w:p>
        </w:tc>
        <w:tc>
          <w:tcPr>
            <w:tcW w:w="0" w:type="auto"/>
            <w:tcBorders>
              <w:top w:val="nil"/>
              <w:left w:val="nil"/>
              <w:bottom w:val="single" w:sz="4" w:space="0" w:color="auto"/>
              <w:right w:val="single" w:sz="4" w:space="0" w:color="auto"/>
            </w:tcBorders>
            <w:shd w:val="clear" w:color="auto" w:fill="auto"/>
            <w:noWrap/>
            <w:vAlign w:val="bottom"/>
            <w:hideMark/>
          </w:tcPr>
          <w:p w14:paraId="7589C61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5</w:t>
            </w:r>
          </w:p>
        </w:tc>
        <w:tc>
          <w:tcPr>
            <w:tcW w:w="0" w:type="auto"/>
            <w:tcBorders>
              <w:top w:val="nil"/>
              <w:left w:val="nil"/>
              <w:bottom w:val="single" w:sz="4" w:space="0" w:color="auto"/>
              <w:right w:val="single" w:sz="4" w:space="0" w:color="auto"/>
            </w:tcBorders>
            <w:shd w:val="clear" w:color="auto" w:fill="auto"/>
            <w:noWrap/>
            <w:vAlign w:val="bottom"/>
            <w:hideMark/>
          </w:tcPr>
          <w:p w14:paraId="41824C9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w:t>
            </w:r>
          </w:p>
        </w:tc>
        <w:tc>
          <w:tcPr>
            <w:tcW w:w="0" w:type="auto"/>
            <w:tcBorders>
              <w:top w:val="nil"/>
              <w:left w:val="nil"/>
              <w:bottom w:val="single" w:sz="4" w:space="0" w:color="auto"/>
              <w:right w:val="single" w:sz="4" w:space="0" w:color="auto"/>
            </w:tcBorders>
            <w:shd w:val="clear" w:color="auto" w:fill="auto"/>
            <w:noWrap/>
            <w:vAlign w:val="bottom"/>
            <w:hideMark/>
          </w:tcPr>
          <w:p w14:paraId="3EC0C85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4</w:t>
            </w:r>
          </w:p>
        </w:tc>
        <w:tc>
          <w:tcPr>
            <w:tcW w:w="0" w:type="auto"/>
            <w:tcBorders>
              <w:top w:val="nil"/>
              <w:left w:val="nil"/>
              <w:bottom w:val="single" w:sz="4" w:space="0" w:color="auto"/>
              <w:right w:val="single" w:sz="4" w:space="0" w:color="auto"/>
            </w:tcBorders>
            <w:shd w:val="clear" w:color="auto" w:fill="auto"/>
            <w:noWrap/>
            <w:vAlign w:val="bottom"/>
            <w:hideMark/>
          </w:tcPr>
          <w:p w14:paraId="04D1C39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w:t>
            </w:r>
          </w:p>
        </w:tc>
      </w:tr>
      <w:tr w:rsidR="00643538" w14:paraId="284F8938"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9408FB"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Total</w:t>
            </w:r>
          </w:p>
        </w:tc>
        <w:tc>
          <w:tcPr>
            <w:tcW w:w="0" w:type="auto"/>
            <w:tcBorders>
              <w:top w:val="nil"/>
              <w:left w:val="nil"/>
              <w:bottom w:val="single" w:sz="4" w:space="0" w:color="auto"/>
              <w:right w:val="single" w:sz="4" w:space="0" w:color="auto"/>
            </w:tcBorders>
            <w:shd w:val="clear" w:color="auto" w:fill="auto"/>
            <w:noWrap/>
            <w:vAlign w:val="bottom"/>
            <w:hideMark/>
          </w:tcPr>
          <w:p w14:paraId="5629783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246</w:t>
            </w:r>
          </w:p>
        </w:tc>
        <w:tc>
          <w:tcPr>
            <w:tcW w:w="0" w:type="auto"/>
            <w:tcBorders>
              <w:top w:val="nil"/>
              <w:left w:val="nil"/>
              <w:bottom w:val="single" w:sz="4" w:space="0" w:color="auto"/>
              <w:right w:val="single" w:sz="4" w:space="0" w:color="auto"/>
            </w:tcBorders>
            <w:shd w:val="clear" w:color="auto" w:fill="auto"/>
            <w:noWrap/>
            <w:vAlign w:val="bottom"/>
            <w:hideMark/>
          </w:tcPr>
          <w:p w14:paraId="0FF50F7A"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255</w:t>
            </w:r>
          </w:p>
        </w:tc>
        <w:tc>
          <w:tcPr>
            <w:tcW w:w="0" w:type="auto"/>
            <w:tcBorders>
              <w:top w:val="nil"/>
              <w:left w:val="nil"/>
              <w:bottom w:val="single" w:sz="4" w:space="0" w:color="auto"/>
              <w:right w:val="single" w:sz="4" w:space="0" w:color="auto"/>
            </w:tcBorders>
            <w:shd w:val="clear" w:color="auto" w:fill="auto"/>
            <w:noWrap/>
            <w:vAlign w:val="bottom"/>
            <w:hideMark/>
          </w:tcPr>
          <w:p w14:paraId="475F71B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265</w:t>
            </w:r>
          </w:p>
        </w:tc>
        <w:tc>
          <w:tcPr>
            <w:tcW w:w="0" w:type="auto"/>
            <w:tcBorders>
              <w:top w:val="nil"/>
              <w:left w:val="nil"/>
              <w:bottom w:val="single" w:sz="4" w:space="0" w:color="auto"/>
              <w:right w:val="single" w:sz="4" w:space="0" w:color="auto"/>
            </w:tcBorders>
            <w:shd w:val="clear" w:color="auto" w:fill="auto"/>
            <w:noWrap/>
            <w:vAlign w:val="bottom"/>
            <w:hideMark/>
          </w:tcPr>
          <w:p w14:paraId="339A74B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265</w:t>
            </w:r>
          </w:p>
        </w:tc>
        <w:tc>
          <w:tcPr>
            <w:tcW w:w="0" w:type="auto"/>
            <w:tcBorders>
              <w:top w:val="nil"/>
              <w:left w:val="nil"/>
              <w:bottom w:val="single" w:sz="4" w:space="0" w:color="auto"/>
              <w:right w:val="single" w:sz="4" w:space="0" w:color="auto"/>
            </w:tcBorders>
            <w:shd w:val="clear" w:color="auto" w:fill="auto"/>
            <w:noWrap/>
            <w:vAlign w:val="bottom"/>
            <w:hideMark/>
          </w:tcPr>
          <w:p w14:paraId="477D48C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216</w:t>
            </w:r>
          </w:p>
        </w:tc>
        <w:tc>
          <w:tcPr>
            <w:tcW w:w="0" w:type="auto"/>
            <w:tcBorders>
              <w:top w:val="nil"/>
              <w:left w:val="nil"/>
              <w:bottom w:val="single" w:sz="4" w:space="0" w:color="auto"/>
              <w:right w:val="single" w:sz="4" w:space="0" w:color="auto"/>
            </w:tcBorders>
            <w:shd w:val="clear" w:color="auto" w:fill="auto"/>
            <w:noWrap/>
            <w:vAlign w:val="bottom"/>
            <w:hideMark/>
          </w:tcPr>
          <w:p w14:paraId="2C5DFD7E"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206</w:t>
            </w:r>
          </w:p>
        </w:tc>
        <w:tc>
          <w:tcPr>
            <w:tcW w:w="0" w:type="auto"/>
            <w:tcBorders>
              <w:top w:val="nil"/>
              <w:left w:val="nil"/>
              <w:bottom w:val="single" w:sz="4" w:space="0" w:color="auto"/>
              <w:right w:val="single" w:sz="4" w:space="0" w:color="auto"/>
            </w:tcBorders>
            <w:shd w:val="clear" w:color="auto" w:fill="auto"/>
            <w:noWrap/>
            <w:vAlign w:val="bottom"/>
            <w:hideMark/>
          </w:tcPr>
          <w:p w14:paraId="2CD2A6A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187</w:t>
            </w:r>
          </w:p>
        </w:tc>
      </w:tr>
      <w:tr w:rsidR="00643538" w14:paraId="29589025" w14:textId="77777777" w:rsidTr="00664A76">
        <w:trPr>
          <w:trHeight w:val="248"/>
        </w:trPr>
        <w:tc>
          <w:tcPr>
            <w:tcW w:w="0" w:type="auto"/>
            <w:gridSpan w:val="8"/>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0E4FE032"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 xml:space="preserve">Fixed Expense </w:t>
            </w:r>
          </w:p>
        </w:tc>
      </w:tr>
      <w:tr w:rsidR="00643538" w14:paraId="28B6D83F"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59E94D6"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Taxation payment</w:t>
            </w:r>
          </w:p>
        </w:tc>
        <w:tc>
          <w:tcPr>
            <w:tcW w:w="0" w:type="auto"/>
            <w:tcBorders>
              <w:top w:val="nil"/>
              <w:left w:val="nil"/>
              <w:bottom w:val="single" w:sz="4" w:space="0" w:color="auto"/>
              <w:right w:val="single" w:sz="4" w:space="0" w:color="auto"/>
            </w:tcBorders>
            <w:shd w:val="clear" w:color="auto" w:fill="auto"/>
            <w:noWrap/>
            <w:vAlign w:val="bottom"/>
            <w:hideMark/>
          </w:tcPr>
          <w:p w14:paraId="6FC0B4D3"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EE5EFBF"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62B5E35"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8C9FFB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w:t>
            </w:r>
          </w:p>
        </w:tc>
        <w:tc>
          <w:tcPr>
            <w:tcW w:w="0" w:type="auto"/>
            <w:tcBorders>
              <w:top w:val="nil"/>
              <w:left w:val="nil"/>
              <w:bottom w:val="single" w:sz="4" w:space="0" w:color="auto"/>
              <w:right w:val="single" w:sz="4" w:space="0" w:color="auto"/>
            </w:tcBorders>
            <w:shd w:val="clear" w:color="auto" w:fill="auto"/>
            <w:noWrap/>
            <w:vAlign w:val="bottom"/>
            <w:hideMark/>
          </w:tcPr>
          <w:p w14:paraId="68637E2B"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BEC3966"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062C89C"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r>
      <w:tr w:rsidR="00643538" w14:paraId="3E2C2961"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992BEFC"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Interest Payment </w:t>
            </w:r>
          </w:p>
        </w:tc>
        <w:tc>
          <w:tcPr>
            <w:tcW w:w="0" w:type="auto"/>
            <w:tcBorders>
              <w:top w:val="nil"/>
              <w:left w:val="nil"/>
              <w:bottom w:val="single" w:sz="4" w:space="0" w:color="auto"/>
              <w:right w:val="single" w:sz="4" w:space="0" w:color="auto"/>
            </w:tcBorders>
            <w:shd w:val="clear" w:color="auto" w:fill="auto"/>
            <w:noWrap/>
            <w:vAlign w:val="bottom"/>
            <w:hideMark/>
          </w:tcPr>
          <w:p w14:paraId="5DB571B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14D8146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4092AF1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56540E19"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71ADC1E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31F3A4B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6B01C69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r>
      <w:tr w:rsidR="00643538" w14:paraId="3FE1D53F"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3C53C4"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Shop refurbishment</w:t>
            </w:r>
          </w:p>
        </w:tc>
        <w:tc>
          <w:tcPr>
            <w:tcW w:w="0" w:type="auto"/>
            <w:tcBorders>
              <w:top w:val="nil"/>
              <w:left w:val="nil"/>
              <w:bottom w:val="single" w:sz="4" w:space="0" w:color="auto"/>
              <w:right w:val="single" w:sz="4" w:space="0" w:color="auto"/>
            </w:tcBorders>
            <w:shd w:val="clear" w:color="auto" w:fill="auto"/>
            <w:noWrap/>
            <w:vAlign w:val="bottom"/>
            <w:hideMark/>
          </w:tcPr>
          <w:p w14:paraId="086664C4"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B346F85"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34</w:t>
            </w:r>
          </w:p>
        </w:tc>
        <w:tc>
          <w:tcPr>
            <w:tcW w:w="0" w:type="auto"/>
            <w:tcBorders>
              <w:top w:val="nil"/>
              <w:left w:val="nil"/>
              <w:bottom w:val="single" w:sz="4" w:space="0" w:color="auto"/>
              <w:right w:val="single" w:sz="4" w:space="0" w:color="auto"/>
            </w:tcBorders>
            <w:shd w:val="clear" w:color="auto" w:fill="auto"/>
            <w:noWrap/>
            <w:vAlign w:val="bottom"/>
            <w:hideMark/>
          </w:tcPr>
          <w:p w14:paraId="05A723A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w:t>
            </w:r>
          </w:p>
        </w:tc>
        <w:tc>
          <w:tcPr>
            <w:tcW w:w="0" w:type="auto"/>
            <w:tcBorders>
              <w:top w:val="nil"/>
              <w:left w:val="nil"/>
              <w:bottom w:val="single" w:sz="4" w:space="0" w:color="auto"/>
              <w:right w:val="single" w:sz="4" w:space="0" w:color="auto"/>
            </w:tcBorders>
            <w:shd w:val="clear" w:color="auto" w:fill="auto"/>
            <w:noWrap/>
            <w:vAlign w:val="bottom"/>
            <w:hideMark/>
          </w:tcPr>
          <w:p w14:paraId="780E7096"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w:t>
            </w:r>
          </w:p>
        </w:tc>
        <w:tc>
          <w:tcPr>
            <w:tcW w:w="0" w:type="auto"/>
            <w:tcBorders>
              <w:top w:val="nil"/>
              <w:left w:val="nil"/>
              <w:bottom w:val="single" w:sz="4" w:space="0" w:color="auto"/>
              <w:right w:val="single" w:sz="4" w:space="0" w:color="auto"/>
            </w:tcBorders>
            <w:shd w:val="clear" w:color="auto" w:fill="auto"/>
            <w:noWrap/>
            <w:vAlign w:val="bottom"/>
            <w:hideMark/>
          </w:tcPr>
          <w:p w14:paraId="5D0224EC"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64F6A72"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FB362CB"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w:t>
            </w:r>
          </w:p>
        </w:tc>
      </w:tr>
      <w:tr w:rsidR="00643538" w14:paraId="599F574F"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5BEA103"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Total  Fixed Expenses </w:t>
            </w:r>
          </w:p>
        </w:tc>
        <w:tc>
          <w:tcPr>
            <w:tcW w:w="0" w:type="auto"/>
            <w:tcBorders>
              <w:top w:val="nil"/>
              <w:left w:val="nil"/>
              <w:bottom w:val="single" w:sz="4" w:space="0" w:color="auto"/>
              <w:right w:val="single" w:sz="4" w:space="0" w:color="auto"/>
            </w:tcBorders>
            <w:shd w:val="clear" w:color="auto" w:fill="auto"/>
            <w:noWrap/>
            <w:vAlign w:val="bottom"/>
            <w:hideMark/>
          </w:tcPr>
          <w:p w14:paraId="0D33C2B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15C28D8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35</w:t>
            </w:r>
          </w:p>
        </w:tc>
        <w:tc>
          <w:tcPr>
            <w:tcW w:w="0" w:type="auto"/>
            <w:tcBorders>
              <w:top w:val="nil"/>
              <w:left w:val="nil"/>
              <w:bottom w:val="single" w:sz="4" w:space="0" w:color="auto"/>
              <w:right w:val="single" w:sz="4" w:space="0" w:color="auto"/>
            </w:tcBorders>
            <w:shd w:val="clear" w:color="auto" w:fill="auto"/>
            <w:noWrap/>
            <w:vAlign w:val="bottom"/>
            <w:hideMark/>
          </w:tcPr>
          <w:p w14:paraId="63BD193C"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27</w:t>
            </w:r>
          </w:p>
        </w:tc>
        <w:tc>
          <w:tcPr>
            <w:tcW w:w="0" w:type="auto"/>
            <w:tcBorders>
              <w:top w:val="nil"/>
              <w:left w:val="nil"/>
              <w:bottom w:val="single" w:sz="4" w:space="0" w:color="auto"/>
              <w:right w:val="single" w:sz="4" w:space="0" w:color="auto"/>
            </w:tcBorders>
            <w:shd w:val="clear" w:color="auto" w:fill="auto"/>
            <w:noWrap/>
            <w:vAlign w:val="bottom"/>
            <w:hideMark/>
          </w:tcPr>
          <w:p w14:paraId="687E09C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39</w:t>
            </w:r>
          </w:p>
        </w:tc>
        <w:tc>
          <w:tcPr>
            <w:tcW w:w="0" w:type="auto"/>
            <w:tcBorders>
              <w:top w:val="nil"/>
              <w:left w:val="nil"/>
              <w:bottom w:val="single" w:sz="4" w:space="0" w:color="auto"/>
              <w:right w:val="single" w:sz="4" w:space="0" w:color="auto"/>
            </w:tcBorders>
            <w:shd w:val="clear" w:color="auto" w:fill="auto"/>
            <w:noWrap/>
            <w:vAlign w:val="bottom"/>
            <w:hideMark/>
          </w:tcPr>
          <w:p w14:paraId="464A289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2603975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c>
          <w:tcPr>
            <w:tcW w:w="0" w:type="auto"/>
            <w:tcBorders>
              <w:top w:val="nil"/>
              <w:left w:val="nil"/>
              <w:bottom w:val="single" w:sz="4" w:space="0" w:color="auto"/>
              <w:right w:val="single" w:sz="4" w:space="0" w:color="auto"/>
            </w:tcBorders>
            <w:shd w:val="clear" w:color="auto" w:fill="auto"/>
            <w:noWrap/>
            <w:vAlign w:val="bottom"/>
            <w:hideMark/>
          </w:tcPr>
          <w:p w14:paraId="72D111A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w:t>
            </w:r>
          </w:p>
        </w:tc>
      </w:tr>
      <w:tr w:rsidR="00643538" w14:paraId="0B9A9040" w14:textId="77777777" w:rsidTr="00664A76">
        <w:trPr>
          <w:trHeight w:val="248"/>
        </w:trPr>
        <w:tc>
          <w:tcPr>
            <w:tcW w:w="0" w:type="auto"/>
            <w:gridSpan w:val="8"/>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50E56683" w14:textId="77777777" w:rsidR="009106C3" w:rsidRPr="0046366C" w:rsidRDefault="00CD393E" w:rsidP="00443807">
            <w:pPr>
              <w:spacing w:after="0" w:line="240" w:lineRule="auto"/>
              <w:jc w:val="center"/>
              <w:rPr>
                <w:rFonts w:eastAsia="Times New Roman"/>
                <w:color w:val="000000"/>
                <w:sz w:val="22"/>
                <w:szCs w:val="22"/>
              </w:rPr>
            </w:pPr>
            <w:r w:rsidRPr="0046366C">
              <w:rPr>
                <w:rFonts w:eastAsia="Times New Roman"/>
                <w:color w:val="000000"/>
                <w:sz w:val="22"/>
                <w:szCs w:val="22"/>
              </w:rPr>
              <w:t xml:space="preserve">Variable Expenses </w:t>
            </w:r>
          </w:p>
        </w:tc>
      </w:tr>
      <w:tr w:rsidR="00643538" w14:paraId="19EEB18F"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9CA6DD"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Administration expenses</w:t>
            </w:r>
          </w:p>
        </w:tc>
        <w:tc>
          <w:tcPr>
            <w:tcW w:w="0" w:type="auto"/>
            <w:tcBorders>
              <w:top w:val="nil"/>
              <w:left w:val="nil"/>
              <w:bottom w:val="single" w:sz="4" w:space="0" w:color="auto"/>
              <w:right w:val="single" w:sz="4" w:space="0" w:color="auto"/>
            </w:tcBorders>
            <w:shd w:val="clear" w:color="auto" w:fill="auto"/>
            <w:noWrap/>
            <w:vAlign w:val="bottom"/>
            <w:hideMark/>
          </w:tcPr>
          <w:p w14:paraId="6BBA4E4A"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w:t>
            </w:r>
          </w:p>
        </w:tc>
        <w:tc>
          <w:tcPr>
            <w:tcW w:w="0" w:type="auto"/>
            <w:tcBorders>
              <w:top w:val="nil"/>
              <w:left w:val="nil"/>
              <w:bottom w:val="single" w:sz="4" w:space="0" w:color="auto"/>
              <w:right w:val="single" w:sz="4" w:space="0" w:color="auto"/>
            </w:tcBorders>
            <w:shd w:val="clear" w:color="auto" w:fill="auto"/>
            <w:noWrap/>
            <w:vAlign w:val="bottom"/>
            <w:hideMark/>
          </w:tcPr>
          <w:p w14:paraId="655A5D3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26</w:t>
            </w:r>
          </w:p>
        </w:tc>
        <w:tc>
          <w:tcPr>
            <w:tcW w:w="0" w:type="auto"/>
            <w:tcBorders>
              <w:top w:val="nil"/>
              <w:left w:val="nil"/>
              <w:bottom w:val="single" w:sz="4" w:space="0" w:color="auto"/>
              <w:right w:val="single" w:sz="4" w:space="0" w:color="auto"/>
            </w:tcBorders>
            <w:shd w:val="clear" w:color="auto" w:fill="auto"/>
            <w:noWrap/>
            <w:vAlign w:val="bottom"/>
            <w:hideMark/>
          </w:tcPr>
          <w:p w14:paraId="56B6522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25</w:t>
            </w:r>
          </w:p>
        </w:tc>
        <w:tc>
          <w:tcPr>
            <w:tcW w:w="0" w:type="auto"/>
            <w:tcBorders>
              <w:top w:val="nil"/>
              <w:left w:val="nil"/>
              <w:bottom w:val="single" w:sz="4" w:space="0" w:color="auto"/>
              <w:right w:val="single" w:sz="4" w:space="0" w:color="auto"/>
            </w:tcBorders>
            <w:shd w:val="clear" w:color="auto" w:fill="auto"/>
            <w:noWrap/>
            <w:vAlign w:val="bottom"/>
            <w:hideMark/>
          </w:tcPr>
          <w:p w14:paraId="2B7AA03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23</w:t>
            </w:r>
          </w:p>
        </w:tc>
        <w:tc>
          <w:tcPr>
            <w:tcW w:w="0" w:type="auto"/>
            <w:tcBorders>
              <w:top w:val="nil"/>
              <w:left w:val="nil"/>
              <w:bottom w:val="single" w:sz="4" w:space="0" w:color="auto"/>
              <w:right w:val="single" w:sz="4" w:space="0" w:color="auto"/>
            </w:tcBorders>
            <w:shd w:val="clear" w:color="auto" w:fill="auto"/>
            <w:noWrap/>
            <w:vAlign w:val="bottom"/>
            <w:hideMark/>
          </w:tcPr>
          <w:p w14:paraId="1A608BF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24</w:t>
            </w:r>
          </w:p>
        </w:tc>
        <w:tc>
          <w:tcPr>
            <w:tcW w:w="0" w:type="auto"/>
            <w:tcBorders>
              <w:top w:val="nil"/>
              <w:left w:val="nil"/>
              <w:bottom w:val="single" w:sz="4" w:space="0" w:color="auto"/>
              <w:right w:val="single" w:sz="4" w:space="0" w:color="auto"/>
            </w:tcBorders>
            <w:shd w:val="clear" w:color="auto" w:fill="auto"/>
            <w:noWrap/>
            <w:vAlign w:val="bottom"/>
            <w:hideMark/>
          </w:tcPr>
          <w:p w14:paraId="04E52DA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24</w:t>
            </w:r>
          </w:p>
        </w:tc>
        <w:tc>
          <w:tcPr>
            <w:tcW w:w="0" w:type="auto"/>
            <w:tcBorders>
              <w:top w:val="nil"/>
              <w:left w:val="nil"/>
              <w:bottom w:val="single" w:sz="4" w:space="0" w:color="auto"/>
              <w:right w:val="single" w:sz="4" w:space="0" w:color="auto"/>
            </w:tcBorders>
            <w:shd w:val="clear" w:color="auto" w:fill="auto"/>
            <w:noWrap/>
            <w:vAlign w:val="bottom"/>
            <w:hideMark/>
          </w:tcPr>
          <w:p w14:paraId="6714899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22</w:t>
            </w:r>
          </w:p>
        </w:tc>
      </w:tr>
      <w:tr w:rsidR="00643538" w14:paraId="55763D03"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51E76AA"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Selling expenses</w:t>
            </w:r>
          </w:p>
        </w:tc>
        <w:tc>
          <w:tcPr>
            <w:tcW w:w="0" w:type="auto"/>
            <w:tcBorders>
              <w:top w:val="nil"/>
              <w:left w:val="nil"/>
              <w:bottom w:val="single" w:sz="4" w:space="0" w:color="auto"/>
              <w:right w:val="single" w:sz="4" w:space="0" w:color="auto"/>
            </w:tcBorders>
            <w:shd w:val="clear" w:color="auto" w:fill="auto"/>
            <w:noWrap/>
            <w:vAlign w:val="bottom"/>
            <w:hideMark/>
          </w:tcPr>
          <w:p w14:paraId="2CBB4F0C"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9</w:t>
            </w:r>
          </w:p>
        </w:tc>
        <w:tc>
          <w:tcPr>
            <w:tcW w:w="0" w:type="auto"/>
            <w:tcBorders>
              <w:top w:val="nil"/>
              <w:left w:val="nil"/>
              <w:bottom w:val="single" w:sz="4" w:space="0" w:color="auto"/>
              <w:right w:val="single" w:sz="4" w:space="0" w:color="auto"/>
            </w:tcBorders>
            <w:shd w:val="clear" w:color="auto" w:fill="auto"/>
            <w:noWrap/>
            <w:vAlign w:val="bottom"/>
            <w:hideMark/>
          </w:tcPr>
          <w:p w14:paraId="28D4396E"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w:t>
            </w:r>
          </w:p>
        </w:tc>
        <w:tc>
          <w:tcPr>
            <w:tcW w:w="0" w:type="auto"/>
            <w:tcBorders>
              <w:top w:val="nil"/>
              <w:left w:val="nil"/>
              <w:bottom w:val="single" w:sz="4" w:space="0" w:color="auto"/>
              <w:right w:val="single" w:sz="4" w:space="0" w:color="auto"/>
            </w:tcBorders>
            <w:shd w:val="clear" w:color="auto" w:fill="auto"/>
            <w:noWrap/>
            <w:vAlign w:val="bottom"/>
            <w:hideMark/>
          </w:tcPr>
          <w:p w14:paraId="70AC020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8</w:t>
            </w:r>
          </w:p>
        </w:tc>
        <w:tc>
          <w:tcPr>
            <w:tcW w:w="0" w:type="auto"/>
            <w:tcBorders>
              <w:top w:val="nil"/>
              <w:left w:val="nil"/>
              <w:bottom w:val="single" w:sz="4" w:space="0" w:color="auto"/>
              <w:right w:val="single" w:sz="4" w:space="0" w:color="auto"/>
            </w:tcBorders>
            <w:shd w:val="clear" w:color="auto" w:fill="auto"/>
            <w:noWrap/>
            <w:vAlign w:val="bottom"/>
            <w:hideMark/>
          </w:tcPr>
          <w:p w14:paraId="11D6DB47"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7</w:t>
            </w:r>
          </w:p>
        </w:tc>
        <w:tc>
          <w:tcPr>
            <w:tcW w:w="0" w:type="auto"/>
            <w:tcBorders>
              <w:top w:val="nil"/>
              <w:left w:val="nil"/>
              <w:bottom w:val="single" w:sz="4" w:space="0" w:color="auto"/>
              <w:right w:val="single" w:sz="4" w:space="0" w:color="auto"/>
            </w:tcBorders>
            <w:shd w:val="clear" w:color="auto" w:fill="auto"/>
            <w:noWrap/>
            <w:vAlign w:val="bottom"/>
            <w:hideMark/>
          </w:tcPr>
          <w:p w14:paraId="7AA6FBB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c>
          <w:tcPr>
            <w:tcW w:w="0" w:type="auto"/>
            <w:tcBorders>
              <w:top w:val="nil"/>
              <w:left w:val="nil"/>
              <w:bottom w:val="single" w:sz="4" w:space="0" w:color="auto"/>
              <w:right w:val="single" w:sz="4" w:space="0" w:color="auto"/>
            </w:tcBorders>
            <w:shd w:val="clear" w:color="auto" w:fill="auto"/>
            <w:noWrap/>
            <w:vAlign w:val="bottom"/>
            <w:hideMark/>
          </w:tcPr>
          <w:p w14:paraId="7312D1C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c>
          <w:tcPr>
            <w:tcW w:w="0" w:type="auto"/>
            <w:tcBorders>
              <w:top w:val="nil"/>
              <w:left w:val="nil"/>
              <w:bottom w:val="single" w:sz="4" w:space="0" w:color="auto"/>
              <w:right w:val="single" w:sz="4" w:space="0" w:color="auto"/>
            </w:tcBorders>
            <w:shd w:val="clear" w:color="auto" w:fill="auto"/>
            <w:noWrap/>
            <w:vAlign w:val="bottom"/>
            <w:hideMark/>
          </w:tcPr>
          <w:p w14:paraId="340596C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w:t>
            </w:r>
          </w:p>
        </w:tc>
      </w:tr>
      <w:tr w:rsidR="00643538" w14:paraId="5FC0FF7C"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0F8B6F"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Total Variable Expenses</w:t>
            </w:r>
          </w:p>
        </w:tc>
        <w:tc>
          <w:tcPr>
            <w:tcW w:w="0" w:type="auto"/>
            <w:tcBorders>
              <w:top w:val="nil"/>
              <w:left w:val="nil"/>
              <w:bottom w:val="single" w:sz="4" w:space="0" w:color="auto"/>
              <w:right w:val="single" w:sz="4" w:space="0" w:color="auto"/>
            </w:tcBorders>
            <w:shd w:val="clear" w:color="auto" w:fill="auto"/>
            <w:noWrap/>
            <w:vAlign w:val="bottom"/>
            <w:hideMark/>
          </w:tcPr>
          <w:p w14:paraId="5364F80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34</w:t>
            </w:r>
          </w:p>
        </w:tc>
        <w:tc>
          <w:tcPr>
            <w:tcW w:w="0" w:type="auto"/>
            <w:tcBorders>
              <w:top w:val="nil"/>
              <w:left w:val="nil"/>
              <w:bottom w:val="single" w:sz="4" w:space="0" w:color="auto"/>
              <w:right w:val="single" w:sz="4" w:space="0" w:color="auto"/>
            </w:tcBorders>
            <w:shd w:val="clear" w:color="auto" w:fill="auto"/>
            <w:noWrap/>
            <w:vAlign w:val="bottom"/>
            <w:hideMark/>
          </w:tcPr>
          <w:p w14:paraId="638B915C"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34</w:t>
            </w:r>
          </w:p>
        </w:tc>
        <w:tc>
          <w:tcPr>
            <w:tcW w:w="0" w:type="auto"/>
            <w:tcBorders>
              <w:top w:val="nil"/>
              <w:left w:val="nil"/>
              <w:bottom w:val="single" w:sz="4" w:space="0" w:color="auto"/>
              <w:right w:val="single" w:sz="4" w:space="0" w:color="auto"/>
            </w:tcBorders>
            <w:shd w:val="clear" w:color="auto" w:fill="auto"/>
            <w:noWrap/>
            <w:vAlign w:val="bottom"/>
            <w:hideMark/>
          </w:tcPr>
          <w:p w14:paraId="7C54637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33</w:t>
            </w:r>
          </w:p>
        </w:tc>
        <w:tc>
          <w:tcPr>
            <w:tcW w:w="0" w:type="auto"/>
            <w:tcBorders>
              <w:top w:val="nil"/>
              <w:left w:val="nil"/>
              <w:bottom w:val="single" w:sz="4" w:space="0" w:color="auto"/>
              <w:right w:val="single" w:sz="4" w:space="0" w:color="auto"/>
            </w:tcBorders>
            <w:shd w:val="clear" w:color="auto" w:fill="auto"/>
            <w:noWrap/>
            <w:vAlign w:val="bottom"/>
            <w:hideMark/>
          </w:tcPr>
          <w:p w14:paraId="4C77CAE7"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30</w:t>
            </w:r>
          </w:p>
        </w:tc>
        <w:tc>
          <w:tcPr>
            <w:tcW w:w="0" w:type="auto"/>
            <w:tcBorders>
              <w:top w:val="nil"/>
              <w:left w:val="nil"/>
              <w:bottom w:val="single" w:sz="4" w:space="0" w:color="auto"/>
              <w:right w:val="single" w:sz="4" w:space="0" w:color="auto"/>
            </w:tcBorders>
            <w:shd w:val="clear" w:color="auto" w:fill="auto"/>
            <w:noWrap/>
            <w:vAlign w:val="bottom"/>
            <w:hideMark/>
          </w:tcPr>
          <w:p w14:paraId="2AAFECA4"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30</w:t>
            </w:r>
          </w:p>
        </w:tc>
        <w:tc>
          <w:tcPr>
            <w:tcW w:w="0" w:type="auto"/>
            <w:tcBorders>
              <w:top w:val="nil"/>
              <w:left w:val="nil"/>
              <w:bottom w:val="single" w:sz="4" w:space="0" w:color="auto"/>
              <w:right w:val="single" w:sz="4" w:space="0" w:color="auto"/>
            </w:tcBorders>
            <w:shd w:val="clear" w:color="auto" w:fill="auto"/>
            <w:noWrap/>
            <w:vAlign w:val="bottom"/>
            <w:hideMark/>
          </w:tcPr>
          <w:p w14:paraId="3A16188F"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30</w:t>
            </w:r>
          </w:p>
        </w:tc>
        <w:tc>
          <w:tcPr>
            <w:tcW w:w="0" w:type="auto"/>
            <w:tcBorders>
              <w:top w:val="nil"/>
              <w:left w:val="nil"/>
              <w:bottom w:val="single" w:sz="4" w:space="0" w:color="auto"/>
              <w:right w:val="single" w:sz="4" w:space="0" w:color="auto"/>
            </w:tcBorders>
            <w:shd w:val="clear" w:color="auto" w:fill="auto"/>
            <w:noWrap/>
            <w:vAlign w:val="bottom"/>
            <w:hideMark/>
          </w:tcPr>
          <w:p w14:paraId="7CB8FCA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28</w:t>
            </w:r>
          </w:p>
        </w:tc>
      </w:tr>
      <w:tr w:rsidR="00643538" w14:paraId="7A20A8A1"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A162512"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Remaining </w:t>
            </w:r>
          </w:p>
        </w:tc>
        <w:tc>
          <w:tcPr>
            <w:tcW w:w="0" w:type="auto"/>
            <w:tcBorders>
              <w:top w:val="nil"/>
              <w:left w:val="nil"/>
              <w:bottom w:val="single" w:sz="4" w:space="0" w:color="auto"/>
              <w:right w:val="single" w:sz="4" w:space="0" w:color="auto"/>
            </w:tcBorders>
            <w:shd w:val="clear" w:color="auto" w:fill="auto"/>
            <w:noWrap/>
            <w:vAlign w:val="bottom"/>
            <w:hideMark/>
          </w:tcPr>
          <w:p w14:paraId="0E98E20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211</w:t>
            </w:r>
          </w:p>
        </w:tc>
        <w:tc>
          <w:tcPr>
            <w:tcW w:w="0" w:type="auto"/>
            <w:tcBorders>
              <w:top w:val="nil"/>
              <w:left w:val="nil"/>
              <w:bottom w:val="single" w:sz="4" w:space="0" w:color="auto"/>
              <w:right w:val="single" w:sz="4" w:space="0" w:color="auto"/>
            </w:tcBorders>
            <w:shd w:val="clear" w:color="auto" w:fill="auto"/>
            <w:noWrap/>
            <w:vAlign w:val="bottom"/>
            <w:hideMark/>
          </w:tcPr>
          <w:p w14:paraId="1A24131E"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186</w:t>
            </w:r>
          </w:p>
        </w:tc>
        <w:tc>
          <w:tcPr>
            <w:tcW w:w="0" w:type="auto"/>
            <w:tcBorders>
              <w:top w:val="nil"/>
              <w:left w:val="nil"/>
              <w:bottom w:val="single" w:sz="4" w:space="0" w:color="auto"/>
              <w:right w:val="single" w:sz="4" w:space="0" w:color="auto"/>
            </w:tcBorders>
            <w:shd w:val="clear" w:color="auto" w:fill="auto"/>
            <w:noWrap/>
            <w:vAlign w:val="bottom"/>
            <w:hideMark/>
          </w:tcPr>
          <w:p w14:paraId="74FE20F0"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205</w:t>
            </w:r>
          </w:p>
        </w:tc>
        <w:tc>
          <w:tcPr>
            <w:tcW w:w="0" w:type="auto"/>
            <w:tcBorders>
              <w:top w:val="nil"/>
              <w:left w:val="nil"/>
              <w:bottom w:val="single" w:sz="4" w:space="0" w:color="auto"/>
              <w:right w:val="single" w:sz="4" w:space="0" w:color="auto"/>
            </w:tcBorders>
            <w:shd w:val="clear" w:color="auto" w:fill="auto"/>
            <w:noWrap/>
            <w:vAlign w:val="bottom"/>
            <w:hideMark/>
          </w:tcPr>
          <w:p w14:paraId="54429C7C"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196</w:t>
            </w:r>
          </w:p>
        </w:tc>
        <w:tc>
          <w:tcPr>
            <w:tcW w:w="0" w:type="auto"/>
            <w:tcBorders>
              <w:top w:val="nil"/>
              <w:left w:val="nil"/>
              <w:bottom w:val="single" w:sz="4" w:space="0" w:color="auto"/>
              <w:right w:val="single" w:sz="4" w:space="0" w:color="auto"/>
            </w:tcBorders>
            <w:shd w:val="clear" w:color="auto" w:fill="auto"/>
            <w:noWrap/>
            <w:vAlign w:val="bottom"/>
            <w:hideMark/>
          </w:tcPr>
          <w:p w14:paraId="1A7A2049"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185</w:t>
            </w:r>
          </w:p>
        </w:tc>
        <w:tc>
          <w:tcPr>
            <w:tcW w:w="0" w:type="auto"/>
            <w:tcBorders>
              <w:top w:val="nil"/>
              <w:left w:val="nil"/>
              <w:bottom w:val="single" w:sz="4" w:space="0" w:color="auto"/>
              <w:right w:val="single" w:sz="4" w:space="0" w:color="auto"/>
            </w:tcBorders>
            <w:shd w:val="clear" w:color="auto" w:fill="auto"/>
            <w:noWrap/>
            <w:vAlign w:val="bottom"/>
            <w:hideMark/>
          </w:tcPr>
          <w:p w14:paraId="5A353ED3"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175</w:t>
            </w:r>
          </w:p>
        </w:tc>
        <w:tc>
          <w:tcPr>
            <w:tcW w:w="0" w:type="auto"/>
            <w:tcBorders>
              <w:top w:val="nil"/>
              <w:left w:val="nil"/>
              <w:bottom w:val="single" w:sz="4" w:space="0" w:color="auto"/>
              <w:right w:val="single" w:sz="4" w:space="0" w:color="auto"/>
            </w:tcBorders>
            <w:shd w:val="clear" w:color="auto" w:fill="auto"/>
            <w:noWrap/>
            <w:vAlign w:val="bottom"/>
            <w:hideMark/>
          </w:tcPr>
          <w:p w14:paraId="47B8083B"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158</w:t>
            </w:r>
          </w:p>
        </w:tc>
      </w:tr>
      <w:tr w:rsidR="00643538" w14:paraId="543FFD9B" w14:textId="77777777" w:rsidTr="00664A76">
        <w:trPr>
          <w:trHeight w:val="2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1F22997" w14:textId="77777777" w:rsidR="009106C3" w:rsidRPr="0046366C" w:rsidRDefault="00CD393E" w:rsidP="00443807">
            <w:pPr>
              <w:spacing w:after="0" w:line="240" w:lineRule="auto"/>
              <w:jc w:val="left"/>
              <w:rPr>
                <w:rFonts w:eastAsia="Times New Roman"/>
                <w:color w:val="000000"/>
                <w:sz w:val="22"/>
                <w:szCs w:val="22"/>
              </w:rPr>
            </w:pPr>
            <w:r w:rsidRPr="0046366C">
              <w:rPr>
                <w:rFonts w:eastAsia="Times New Roman"/>
                <w:color w:val="000000"/>
                <w:sz w:val="22"/>
                <w:szCs w:val="22"/>
              </w:rPr>
              <w:t xml:space="preserve">Balance </w:t>
            </w:r>
          </w:p>
        </w:tc>
        <w:tc>
          <w:tcPr>
            <w:tcW w:w="0" w:type="auto"/>
            <w:tcBorders>
              <w:top w:val="nil"/>
              <w:left w:val="nil"/>
              <w:bottom w:val="single" w:sz="4" w:space="0" w:color="auto"/>
              <w:right w:val="single" w:sz="4" w:space="0" w:color="auto"/>
            </w:tcBorders>
            <w:shd w:val="clear" w:color="auto" w:fill="auto"/>
            <w:noWrap/>
            <w:vAlign w:val="bottom"/>
            <w:hideMark/>
          </w:tcPr>
          <w:p w14:paraId="52325E7F"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211</w:t>
            </w:r>
          </w:p>
        </w:tc>
        <w:tc>
          <w:tcPr>
            <w:tcW w:w="0" w:type="auto"/>
            <w:tcBorders>
              <w:top w:val="nil"/>
              <w:left w:val="nil"/>
              <w:bottom w:val="single" w:sz="4" w:space="0" w:color="auto"/>
              <w:right w:val="single" w:sz="4" w:space="0" w:color="auto"/>
            </w:tcBorders>
            <w:shd w:val="clear" w:color="auto" w:fill="auto"/>
            <w:noWrap/>
            <w:vAlign w:val="bottom"/>
            <w:hideMark/>
          </w:tcPr>
          <w:p w14:paraId="71600367"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397</w:t>
            </w:r>
          </w:p>
        </w:tc>
        <w:tc>
          <w:tcPr>
            <w:tcW w:w="0" w:type="auto"/>
            <w:tcBorders>
              <w:top w:val="nil"/>
              <w:left w:val="nil"/>
              <w:bottom w:val="single" w:sz="4" w:space="0" w:color="auto"/>
              <w:right w:val="single" w:sz="4" w:space="0" w:color="auto"/>
            </w:tcBorders>
            <w:shd w:val="clear" w:color="auto" w:fill="auto"/>
            <w:noWrap/>
            <w:vAlign w:val="bottom"/>
            <w:hideMark/>
          </w:tcPr>
          <w:p w14:paraId="0B6F7B62"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602</w:t>
            </w:r>
          </w:p>
        </w:tc>
        <w:tc>
          <w:tcPr>
            <w:tcW w:w="0" w:type="auto"/>
            <w:tcBorders>
              <w:top w:val="nil"/>
              <w:left w:val="nil"/>
              <w:bottom w:val="single" w:sz="4" w:space="0" w:color="auto"/>
              <w:right w:val="single" w:sz="4" w:space="0" w:color="auto"/>
            </w:tcBorders>
            <w:shd w:val="clear" w:color="auto" w:fill="auto"/>
            <w:noWrap/>
            <w:vAlign w:val="bottom"/>
            <w:hideMark/>
          </w:tcPr>
          <w:p w14:paraId="4EDD26E8"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798</w:t>
            </w:r>
          </w:p>
        </w:tc>
        <w:tc>
          <w:tcPr>
            <w:tcW w:w="0" w:type="auto"/>
            <w:tcBorders>
              <w:top w:val="nil"/>
              <w:left w:val="nil"/>
              <w:bottom w:val="single" w:sz="4" w:space="0" w:color="auto"/>
              <w:right w:val="single" w:sz="4" w:space="0" w:color="auto"/>
            </w:tcBorders>
            <w:shd w:val="clear" w:color="auto" w:fill="auto"/>
            <w:noWrap/>
            <w:vAlign w:val="bottom"/>
            <w:hideMark/>
          </w:tcPr>
          <w:p w14:paraId="152A76F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983</w:t>
            </w:r>
          </w:p>
        </w:tc>
        <w:tc>
          <w:tcPr>
            <w:tcW w:w="0" w:type="auto"/>
            <w:tcBorders>
              <w:top w:val="nil"/>
              <w:left w:val="nil"/>
              <w:bottom w:val="single" w:sz="4" w:space="0" w:color="auto"/>
              <w:right w:val="single" w:sz="4" w:space="0" w:color="auto"/>
            </w:tcBorders>
            <w:shd w:val="clear" w:color="auto" w:fill="auto"/>
            <w:noWrap/>
            <w:vAlign w:val="bottom"/>
            <w:hideMark/>
          </w:tcPr>
          <w:p w14:paraId="1923802F"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1158</w:t>
            </w:r>
          </w:p>
        </w:tc>
        <w:tc>
          <w:tcPr>
            <w:tcW w:w="0" w:type="auto"/>
            <w:tcBorders>
              <w:top w:val="nil"/>
              <w:left w:val="nil"/>
              <w:bottom w:val="single" w:sz="4" w:space="0" w:color="auto"/>
              <w:right w:val="single" w:sz="4" w:space="0" w:color="auto"/>
            </w:tcBorders>
            <w:shd w:val="clear" w:color="auto" w:fill="auto"/>
            <w:noWrap/>
            <w:vAlign w:val="bottom"/>
            <w:hideMark/>
          </w:tcPr>
          <w:p w14:paraId="01F94E5D" w14:textId="77777777" w:rsidR="009106C3" w:rsidRPr="0046366C" w:rsidRDefault="00CD393E" w:rsidP="00443807">
            <w:pPr>
              <w:spacing w:after="0" w:line="240" w:lineRule="auto"/>
              <w:jc w:val="right"/>
              <w:rPr>
                <w:rFonts w:eastAsia="Times New Roman"/>
                <w:color w:val="000000"/>
                <w:sz w:val="22"/>
                <w:szCs w:val="22"/>
              </w:rPr>
            </w:pPr>
            <w:r w:rsidRPr="0046366C">
              <w:rPr>
                <w:rFonts w:eastAsia="Times New Roman"/>
                <w:color w:val="000000"/>
                <w:sz w:val="22"/>
                <w:szCs w:val="22"/>
              </w:rPr>
              <w:t>1316</w:t>
            </w:r>
          </w:p>
        </w:tc>
      </w:tr>
    </w:tbl>
    <w:p w14:paraId="35F10984" w14:textId="77777777" w:rsidR="009106C3" w:rsidRPr="0046366C" w:rsidRDefault="009106C3" w:rsidP="009106C3"/>
    <w:p w14:paraId="7B06CE23" w14:textId="77777777" w:rsidR="009D1423" w:rsidRPr="0046366C" w:rsidRDefault="00CD393E" w:rsidP="00E15921">
      <w:pPr>
        <w:ind w:firstLine="720"/>
      </w:pPr>
      <w:r w:rsidRPr="0046366C">
        <w:t>Edwards' monthly budget for the months of May through November displays the expected revenue, fixed costs, variable spending, and residual balance for each month. Given that 60% of consumers pay using credit cards, revenue from these transactions is included in the income column. This results in cash receivables and a 3% fee to the credit card company. Tax payments, interest payments, and store renovation expenditures are all included in the fixed expenses. Selling and administrative costs are examples of variable expenses. The remaining balance for each month is determined by the budget by subtracting fixed and variable expenses from the overall income. With the use of this budgeting technique, Edwards is able to predict its financial performance, allocate resources effectively, and guarantee that there are sufficient funds on hand to pay for investments and expenses. These actions support both strategic planning and financial stability.</w:t>
      </w:r>
    </w:p>
    <w:p w14:paraId="4F1F15F7" w14:textId="77777777" w:rsidR="009E715B" w:rsidRPr="0046366C" w:rsidRDefault="00CD393E" w:rsidP="007A69A3">
      <w:pPr>
        <w:pStyle w:val="Heading2"/>
      </w:pPr>
      <w:r w:rsidRPr="0046366C">
        <w:t xml:space="preserve"> </w:t>
      </w:r>
      <w:bookmarkStart w:id="3" w:name="_Toc163130219"/>
      <w:r w:rsidRPr="0046366C">
        <w:t>(ii</w:t>
      </w:r>
      <w:r w:rsidR="001256AE">
        <w:t>)</w:t>
      </w:r>
      <w:r w:rsidRPr="0046366C">
        <w:t xml:space="preserve"> Profit and Loss Account, Six years period ending 30 November</w:t>
      </w:r>
      <w:bookmarkEnd w:id="3"/>
    </w:p>
    <w:tbl>
      <w:tblPr>
        <w:tblW w:w="9378" w:type="dxa"/>
        <w:tblInd w:w="-5" w:type="dxa"/>
        <w:tblLook w:val="04A0" w:firstRow="1" w:lastRow="0" w:firstColumn="1" w:lastColumn="0" w:noHBand="0" w:noVBand="1"/>
      </w:tblPr>
      <w:tblGrid>
        <w:gridCol w:w="4756"/>
        <w:gridCol w:w="4622"/>
      </w:tblGrid>
      <w:tr w:rsidR="00643538" w14:paraId="21DF22BA" w14:textId="77777777" w:rsidTr="005605EE">
        <w:trPr>
          <w:trHeight w:val="314"/>
        </w:trPr>
        <w:tc>
          <w:tcPr>
            <w:tcW w:w="9378" w:type="dxa"/>
            <w:gridSpan w:val="2"/>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769A8B4E" w14:textId="77777777" w:rsidR="009E715B" w:rsidRPr="0046366C" w:rsidRDefault="00CD393E" w:rsidP="005605EE">
            <w:pPr>
              <w:spacing w:after="0" w:line="240" w:lineRule="auto"/>
              <w:jc w:val="center"/>
              <w:rPr>
                <w:rFonts w:eastAsia="Times New Roman"/>
                <w:color w:val="000000"/>
              </w:rPr>
            </w:pPr>
            <w:r w:rsidRPr="0046366C">
              <w:rPr>
                <w:rFonts w:eastAsia="Times New Roman"/>
                <w:color w:val="000000"/>
              </w:rPr>
              <w:t>Profit &amp; Loss Account</w:t>
            </w:r>
          </w:p>
        </w:tc>
      </w:tr>
      <w:tr w:rsidR="00643538" w14:paraId="4F71669F"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bottom"/>
            <w:hideMark/>
          </w:tcPr>
          <w:p w14:paraId="084408EC" w14:textId="77777777" w:rsidR="009E715B" w:rsidRPr="0046366C" w:rsidRDefault="00CD393E" w:rsidP="005605EE">
            <w:pPr>
              <w:spacing w:after="0" w:line="240" w:lineRule="auto"/>
              <w:jc w:val="center"/>
              <w:rPr>
                <w:rFonts w:eastAsia="Times New Roman"/>
                <w:color w:val="0D0D0D"/>
              </w:rPr>
            </w:pPr>
            <w:r w:rsidRPr="0046366C">
              <w:rPr>
                <w:rFonts w:eastAsia="Times New Roman"/>
                <w:color w:val="0D0D0D"/>
              </w:rPr>
              <w:t>Category</w:t>
            </w:r>
          </w:p>
        </w:tc>
        <w:tc>
          <w:tcPr>
            <w:tcW w:w="4621" w:type="dxa"/>
            <w:tcBorders>
              <w:top w:val="nil"/>
              <w:left w:val="nil"/>
              <w:bottom w:val="single" w:sz="4" w:space="0" w:color="auto"/>
              <w:right w:val="single" w:sz="4" w:space="0" w:color="auto"/>
            </w:tcBorders>
            <w:shd w:val="clear" w:color="000000" w:fill="FFFFFF"/>
            <w:vAlign w:val="bottom"/>
            <w:hideMark/>
          </w:tcPr>
          <w:p w14:paraId="351706EC" w14:textId="77777777" w:rsidR="009E715B" w:rsidRPr="0046366C" w:rsidRDefault="00CD393E" w:rsidP="005605EE">
            <w:pPr>
              <w:spacing w:after="0" w:line="240" w:lineRule="auto"/>
              <w:jc w:val="center"/>
              <w:rPr>
                <w:rFonts w:eastAsia="Times New Roman"/>
                <w:color w:val="0D0D0D"/>
              </w:rPr>
            </w:pPr>
            <w:r w:rsidRPr="0046366C">
              <w:rPr>
                <w:rFonts w:eastAsia="Times New Roman"/>
                <w:color w:val="0D0D0D"/>
              </w:rPr>
              <w:t>Total Amount (£000)</w:t>
            </w:r>
          </w:p>
        </w:tc>
      </w:tr>
      <w:tr w:rsidR="00643538" w14:paraId="4514724F"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4C7AC843"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Revenue:</w:t>
            </w:r>
          </w:p>
        </w:tc>
        <w:tc>
          <w:tcPr>
            <w:tcW w:w="4621" w:type="dxa"/>
            <w:tcBorders>
              <w:top w:val="nil"/>
              <w:left w:val="nil"/>
              <w:bottom w:val="single" w:sz="4" w:space="0" w:color="auto"/>
              <w:right w:val="single" w:sz="4" w:space="0" w:color="auto"/>
            </w:tcBorders>
            <w:shd w:val="clear" w:color="000000" w:fill="FFFFFF"/>
            <w:vAlign w:val="center"/>
            <w:hideMark/>
          </w:tcPr>
          <w:p w14:paraId="1D619EC3"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34EEE5C4"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3C7227E0"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Sales Income</w:t>
            </w:r>
          </w:p>
        </w:tc>
        <w:tc>
          <w:tcPr>
            <w:tcW w:w="4621" w:type="dxa"/>
            <w:tcBorders>
              <w:top w:val="nil"/>
              <w:left w:val="nil"/>
              <w:bottom w:val="single" w:sz="4" w:space="0" w:color="auto"/>
              <w:right w:val="single" w:sz="4" w:space="0" w:color="auto"/>
            </w:tcBorders>
            <w:shd w:val="clear" w:color="000000" w:fill="FFFFFF"/>
            <w:vAlign w:val="center"/>
            <w:hideMark/>
          </w:tcPr>
          <w:p w14:paraId="02709ACA"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1670</w:t>
            </w:r>
          </w:p>
        </w:tc>
      </w:tr>
      <w:tr w:rsidR="00643538" w14:paraId="0CD4DC69"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4BF15464"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c>
          <w:tcPr>
            <w:tcW w:w="4621" w:type="dxa"/>
            <w:tcBorders>
              <w:top w:val="nil"/>
              <w:left w:val="nil"/>
              <w:bottom w:val="single" w:sz="4" w:space="0" w:color="auto"/>
              <w:right w:val="single" w:sz="4" w:space="0" w:color="auto"/>
            </w:tcBorders>
            <w:shd w:val="clear" w:color="000000" w:fill="FFFFFF"/>
            <w:vAlign w:val="center"/>
            <w:hideMark/>
          </w:tcPr>
          <w:p w14:paraId="043F560D"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0BA5F383"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5D1857A6"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Cost of Goods Sold:</w:t>
            </w:r>
          </w:p>
        </w:tc>
        <w:tc>
          <w:tcPr>
            <w:tcW w:w="4621" w:type="dxa"/>
            <w:tcBorders>
              <w:top w:val="nil"/>
              <w:left w:val="nil"/>
              <w:bottom w:val="single" w:sz="4" w:space="0" w:color="auto"/>
              <w:right w:val="single" w:sz="4" w:space="0" w:color="auto"/>
            </w:tcBorders>
            <w:shd w:val="clear" w:color="000000" w:fill="FFFFFF"/>
            <w:vAlign w:val="center"/>
            <w:hideMark/>
          </w:tcPr>
          <w:p w14:paraId="09E75B4B"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1817B151"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787BA2F5"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COGS</w:t>
            </w:r>
          </w:p>
        </w:tc>
        <w:tc>
          <w:tcPr>
            <w:tcW w:w="4621" w:type="dxa"/>
            <w:tcBorders>
              <w:top w:val="nil"/>
              <w:left w:val="nil"/>
              <w:bottom w:val="single" w:sz="4" w:space="0" w:color="auto"/>
              <w:right w:val="single" w:sz="4" w:space="0" w:color="auto"/>
            </w:tcBorders>
            <w:shd w:val="clear" w:color="000000" w:fill="FFFFFF"/>
            <w:vAlign w:val="center"/>
            <w:hideMark/>
          </w:tcPr>
          <w:p w14:paraId="3A277DF3"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1002</w:t>
            </w:r>
          </w:p>
        </w:tc>
      </w:tr>
      <w:tr w:rsidR="00643538" w14:paraId="1E4E988B"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5FFA2254"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c>
          <w:tcPr>
            <w:tcW w:w="4621" w:type="dxa"/>
            <w:tcBorders>
              <w:top w:val="nil"/>
              <w:left w:val="nil"/>
              <w:bottom w:val="single" w:sz="4" w:space="0" w:color="auto"/>
              <w:right w:val="single" w:sz="4" w:space="0" w:color="auto"/>
            </w:tcBorders>
            <w:shd w:val="clear" w:color="000000" w:fill="FFFFFF"/>
            <w:vAlign w:val="center"/>
            <w:hideMark/>
          </w:tcPr>
          <w:p w14:paraId="1A03C94F"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07EB58D4"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483ED2DB"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Gross Profit:</w:t>
            </w:r>
          </w:p>
        </w:tc>
        <w:tc>
          <w:tcPr>
            <w:tcW w:w="4621" w:type="dxa"/>
            <w:tcBorders>
              <w:top w:val="nil"/>
              <w:left w:val="nil"/>
              <w:bottom w:val="single" w:sz="4" w:space="0" w:color="auto"/>
              <w:right w:val="single" w:sz="4" w:space="0" w:color="auto"/>
            </w:tcBorders>
            <w:shd w:val="clear" w:color="000000" w:fill="FFFFFF"/>
            <w:vAlign w:val="center"/>
            <w:hideMark/>
          </w:tcPr>
          <w:p w14:paraId="2D2BE48A"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668</w:t>
            </w:r>
          </w:p>
        </w:tc>
      </w:tr>
      <w:tr w:rsidR="00643538" w14:paraId="4D5666F2"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6ABB768F"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lastRenderedPageBreak/>
              <w:t> </w:t>
            </w:r>
          </w:p>
        </w:tc>
        <w:tc>
          <w:tcPr>
            <w:tcW w:w="4621" w:type="dxa"/>
            <w:tcBorders>
              <w:top w:val="nil"/>
              <w:left w:val="nil"/>
              <w:bottom w:val="single" w:sz="4" w:space="0" w:color="auto"/>
              <w:right w:val="single" w:sz="4" w:space="0" w:color="auto"/>
            </w:tcBorders>
            <w:shd w:val="clear" w:color="000000" w:fill="FFFFFF"/>
            <w:vAlign w:val="center"/>
            <w:hideMark/>
          </w:tcPr>
          <w:p w14:paraId="34C038F9"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2F7ECD13"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06B83E7D"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Operating Expenses:</w:t>
            </w:r>
          </w:p>
        </w:tc>
        <w:tc>
          <w:tcPr>
            <w:tcW w:w="4621" w:type="dxa"/>
            <w:tcBorders>
              <w:top w:val="nil"/>
              <w:left w:val="nil"/>
              <w:bottom w:val="single" w:sz="4" w:space="0" w:color="auto"/>
              <w:right w:val="single" w:sz="4" w:space="0" w:color="auto"/>
            </w:tcBorders>
            <w:shd w:val="clear" w:color="000000" w:fill="FFFFFF"/>
            <w:vAlign w:val="center"/>
            <w:hideMark/>
          </w:tcPr>
          <w:p w14:paraId="6541FC74"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4809894A"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2E8E3110"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Administration Expenses</w:t>
            </w:r>
          </w:p>
        </w:tc>
        <w:tc>
          <w:tcPr>
            <w:tcW w:w="4621" w:type="dxa"/>
            <w:tcBorders>
              <w:top w:val="nil"/>
              <w:left w:val="nil"/>
              <w:bottom w:val="single" w:sz="4" w:space="0" w:color="auto"/>
              <w:right w:val="single" w:sz="4" w:space="0" w:color="auto"/>
            </w:tcBorders>
            <w:shd w:val="clear" w:color="000000" w:fill="FFFFFF"/>
            <w:vAlign w:val="center"/>
            <w:hideMark/>
          </w:tcPr>
          <w:p w14:paraId="1FFD0084"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169</w:t>
            </w:r>
          </w:p>
        </w:tc>
      </w:tr>
      <w:tr w:rsidR="00643538" w14:paraId="6C9A8A42"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30E4C4B5"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Selling Expenses</w:t>
            </w:r>
          </w:p>
        </w:tc>
        <w:tc>
          <w:tcPr>
            <w:tcW w:w="4621" w:type="dxa"/>
            <w:tcBorders>
              <w:top w:val="nil"/>
              <w:left w:val="nil"/>
              <w:bottom w:val="single" w:sz="4" w:space="0" w:color="auto"/>
              <w:right w:val="single" w:sz="4" w:space="0" w:color="auto"/>
            </w:tcBorders>
            <w:shd w:val="clear" w:color="000000" w:fill="FFFFFF"/>
            <w:vAlign w:val="center"/>
            <w:hideMark/>
          </w:tcPr>
          <w:p w14:paraId="535B3203"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50</w:t>
            </w:r>
          </w:p>
        </w:tc>
      </w:tr>
      <w:tr w:rsidR="00643538" w14:paraId="232E52A4"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7FB6F8C3"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Interest Payments</w:t>
            </w:r>
          </w:p>
        </w:tc>
        <w:tc>
          <w:tcPr>
            <w:tcW w:w="4621" w:type="dxa"/>
            <w:tcBorders>
              <w:top w:val="nil"/>
              <w:left w:val="nil"/>
              <w:bottom w:val="single" w:sz="4" w:space="0" w:color="auto"/>
              <w:right w:val="single" w:sz="4" w:space="0" w:color="auto"/>
            </w:tcBorders>
            <w:shd w:val="clear" w:color="000000" w:fill="FFFFFF"/>
            <w:vAlign w:val="center"/>
            <w:hideMark/>
          </w:tcPr>
          <w:p w14:paraId="29725B89"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7</w:t>
            </w:r>
          </w:p>
        </w:tc>
      </w:tr>
      <w:tr w:rsidR="00643538" w14:paraId="4765FD8A"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43251613"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Card Charges 3% of Sales</w:t>
            </w:r>
          </w:p>
        </w:tc>
        <w:tc>
          <w:tcPr>
            <w:tcW w:w="4621" w:type="dxa"/>
            <w:tcBorders>
              <w:top w:val="nil"/>
              <w:left w:val="nil"/>
              <w:bottom w:val="single" w:sz="4" w:space="0" w:color="auto"/>
              <w:right w:val="single" w:sz="4" w:space="0" w:color="auto"/>
            </w:tcBorders>
            <w:shd w:val="clear" w:color="000000" w:fill="FFFFFF"/>
            <w:vAlign w:val="center"/>
            <w:hideMark/>
          </w:tcPr>
          <w:p w14:paraId="00CCAF19"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50.1</w:t>
            </w:r>
          </w:p>
        </w:tc>
      </w:tr>
      <w:tr w:rsidR="00643538" w14:paraId="593255E9"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2EBC7E76"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Total Expenses:</w:t>
            </w:r>
          </w:p>
        </w:tc>
        <w:tc>
          <w:tcPr>
            <w:tcW w:w="4621" w:type="dxa"/>
            <w:tcBorders>
              <w:top w:val="nil"/>
              <w:left w:val="nil"/>
              <w:bottom w:val="single" w:sz="4" w:space="0" w:color="auto"/>
              <w:right w:val="single" w:sz="4" w:space="0" w:color="auto"/>
            </w:tcBorders>
            <w:shd w:val="clear" w:color="000000" w:fill="FFFFFF"/>
            <w:vAlign w:val="center"/>
            <w:hideMark/>
          </w:tcPr>
          <w:p w14:paraId="104C4651"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276.1</w:t>
            </w:r>
          </w:p>
        </w:tc>
      </w:tr>
      <w:tr w:rsidR="00643538" w14:paraId="650D2A23"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7B16A63B"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c>
          <w:tcPr>
            <w:tcW w:w="4621" w:type="dxa"/>
            <w:tcBorders>
              <w:top w:val="nil"/>
              <w:left w:val="nil"/>
              <w:bottom w:val="single" w:sz="4" w:space="0" w:color="auto"/>
              <w:right w:val="single" w:sz="4" w:space="0" w:color="auto"/>
            </w:tcBorders>
            <w:shd w:val="clear" w:color="000000" w:fill="FFFFFF"/>
            <w:vAlign w:val="center"/>
            <w:hideMark/>
          </w:tcPr>
          <w:p w14:paraId="2EF4166D"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 </w:t>
            </w:r>
          </w:p>
        </w:tc>
      </w:tr>
      <w:tr w:rsidR="00643538" w14:paraId="3D20D5DE" w14:textId="77777777" w:rsidTr="005605EE">
        <w:trPr>
          <w:trHeight w:val="314"/>
        </w:trPr>
        <w:tc>
          <w:tcPr>
            <w:tcW w:w="4756" w:type="dxa"/>
            <w:tcBorders>
              <w:top w:val="nil"/>
              <w:left w:val="single" w:sz="4" w:space="0" w:color="auto"/>
              <w:bottom w:val="single" w:sz="4" w:space="0" w:color="auto"/>
              <w:right w:val="single" w:sz="4" w:space="0" w:color="auto"/>
            </w:tcBorders>
            <w:shd w:val="clear" w:color="000000" w:fill="FFFFFF"/>
            <w:vAlign w:val="center"/>
            <w:hideMark/>
          </w:tcPr>
          <w:p w14:paraId="4516790D" w14:textId="77777777" w:rsidR="009E715B" w:rsidRPr="0046366C" w:rsidRDefault="00CD393E" w:rsidP="005605EE">
            <w:pPr>
              <w:spacing w:after="0" w:line="240" w:lineRule="auto"/>
              <w:rPr>
                <w:rFonts w:eastAsia="Times New Roman"/>
                <w:color w:val="0D0D0D"/>
              </w:rPr>
            </w:pPr>
            <w:r w:rsidRPr="0046366C">
              <w:rPr>
                <w:rFonts w:eastAsia="Times New Roman"/>
                <w:color w:val="0D0D0D"/>
              </w:rPr>
              <w:t>Net Profit</w:t>
            </w:r>
          </w:p>
        </w:tc>
        <w:tc>
          <w:tcPr>
            <w:tcW w:w="4621" w:type="dxa"/>
            <w:tcBorders>
              <w:top w:val="nil"/>
              <w:left w:val="nil"/>
              <w:bottom w:val="single" w:sz="4" w:space="0" w:color="auto"/>
              <w:right w:val="single" w:sz="4" w:space="0" w:color="auto"/>
            </w:tcBorders>
            <w:shd w:val="clear" w:color="000000" w:fill="FFFFFF"/>
            <w:vAlign w:val="center"/>
            <w:hideMark/>
          </w:tcPr>
          <w:p w14:paraId="0A2EB6A0" w14:textId="77777777" w:rsidR="009E715B" w:rsidRPr="0046366C" w:rsidRDefault="00CD393E" w:rsidP="005605EE">
            <w:pPr>
              <w:spacing w:after="0" w:line="240" w:lineRule="auto"/>
              <w:jc w:val="right"/>
              <w:rPr>
                <w:rFonts w:eastAsia="Times New Roman"/>
                <w:color w:val="0D0D0D"/>
              </w:rPr>
            </w:pPr>
            <w:r w:rsidRPr="0046366C">
              <w:rPr>
                <w:rFonts w:eastAsia="Times New Roman"/>
                <w:color w:val="0D0D0D"/>
              </w:rPr>
              <w:t>391.9</w:t>
            </w:r>
          </w:p>
        </w:tc>
      </w:tr>
    </w:tbl>
    <w:p w14:paraId="2FB972E7" w14:textId="77777777" w:rsidR="009E715B" w:rsidRPr="0046366C" w:rsidRDefault="009E715B" w:rsidP="009E715B"/>
    <w:p w14:paraId="7879C5CE" w14:textId="77777777" w:rsidR="009E715B" w:rsidRPr="0046366C" w:rsidRDefault="00CD393E" w:rsidP="009E715B">
      <w:r w:rsidRPr="0046366C">
        <w:rPr>
          <w:b/>
        </w:rPr>
        <w:t>Revenue</w:t>
      </w:r>
      <w:r w:rsidRPr="0046366C">
        <w:t>: The revenue generated by sales is shown here. The sales income in this instance is £1670, indicating the entire amount of money made from the sale of goods or services.</w:t>
      </w:r>
    </w:p>
    <w:p w14:paraId="72A67162" w14:textId="77777777" w:rsidR="009E715B" w:rsidRPr="0046366C" w:rsidRDefault="00CD393E" w:rsidP="009E715B">
      <w:r w:rsidRPr="0046366C">
        <w:rPr>
          <w:b/>
        </w:rPr>
        <w:t>Cost of Goods Sold (COGS):</w:t>
      </w:r>
      <w:r w:rsidRPr="0046366C">
        <w:t xml:space="preserve"> The costs directly related to creating the offered goods or services are included in this section. The cost incurred to buy the stock that was sold is shown here in the Purchases of Stock amount of £1002.</w:t>
      </w:r>
    </w:p>
    <w:p w14:paraId="7658BF0C" w14:textId="77777777" w:rsidR="009E715B" w:rsidRPr="0046366C" w:rsidRDefault="00CD393E" w:rsidP="009E715B">
      <w:r w:rsidRPr="0046366C">
        <w:rPr>
          <w:b/>
        </w:rPr>
        <w:t>Gross Profit</w:t>
      </w:r>
      <w:r w:rsidRPr="0046366C">
        <w:t>: The difference between revenue and cost of goods sold is known as gross profit. It is £668 in this instance. It indicates the profit generated after the subtraction of the direct expenses incurred in creating the sold goods or services.</w:t>
      </w:r>
    </w:p>
    <w:p w14:paraId="45A638B4" w14:textId="77777777" w:rsidR="009E715B" w:rsidRPr="0046366C" w:rsidRDefault="00CD393E" w:rsidP="009E715B">
      <w:r w:rsidRPr="0046366C">
        <w:rPr>
          <w:b/>
        </w:rPr>
        <w:t>Operating Expenses:</w:t>
      </w:r>
      <w:r w:rsidRPr="0046366C">
        <w:t xml:space="preserve"> These are the costs associated with managing the company's regular activities. It consists of £276.1 in administrative costs, £50 in selling costs, £50.1 in card charges payments, and £7 in interest payments.</w:t>
      </w:r>
    </w:p>
    <w:p w14:paraId="14DA2949" w14:textId="77777777" w:rsidR="009E715B" w:rsidRPr="0046366C" w:rsidRDefault="00CD393E" w:rsidP="009E715B">
      <w:pPr>
        <w:rPr>
          <w:b/>
        </w:rPr>
      </w:pPr>
      <w:r w:rsidRPr="0046366C">
        <w:rPr>
          <w:b/>
        </w:rPr>
        <w:t>Card Charges 3% of Sales</w:t>
      </w:r>
      <w:r w:rsidR="00E15921" w:rsidRPr="0046366C">
        <w:rPr>
          <w:b/>
        </w:rPr>
        <w:t xml:space="preserve">: </w:t>
      </w:r>
      <w:r w:rsidRPr="0046366C">
        <w:t>When processing payments made with credit cards, credit card issuers generally charge a percentage of the transaction amount as a processing fee. In this case, Edwards was charged 3% of every sale that was made with a credit card. The amount of £50.1 shows how credit card transaction fees impact the business's baseline.</w:t>
      </w:r>
    </w:p>
    <w:p w14:paraId="106E8B79" w14:textId="77777777" w:rsidR="009E715B" w:rsidRPr="0046366C" w:rsidRDefault="00CD393E" w:rsidP="009E715B">
      <w:r w:rsidRPr="0046366C">
        <w:rPr>
          <w:b/>
        </w:rPr>
        <w:t>Total Expenses</w:t>
      </w:r>
      <w:r w:rsidRPr="0046366C">
        <w:t>: Operating expenses are totalled in this section and the amount is £276.1.</w:t>
      </w:r>
    </w:p>
    <w:p w14:paraId="7BE94C0A" w14:textId="77777777" w:rsidR="009E715B" w:rsidRPr="0046366C" w:rsidRDefault="00CD393E" w:rsidP="009E715B">
      <w:r w:rsidRPr="0046366C">
        <w:rPr>
          <w:b/>
        </w:rPr>
        <w:t>Net</w:t>
      </w:r>
      <w:r w:rsidRPr="0046366C">
        <w:t xml:space="preserve"> </w:t>
      </w:r>
      <w:r w:rsidRPr="0046366C">
        <w:rPr>
          <w:b/>
        </w:rPr>
        <w:t>Profit</w:t>
      </w:r>
      <w:r w:rsidRPr="0046366C">
        <w:t>: The amount that remains after deducting total expenses from gross profit is known as net profit. Here, it is £391.9, which is the total profit the company made after deducting all costs, such as taxes and operational expenditures.</w:t>
      </w:r>
    </w:p>
    <w:p w14:paraId="4017067B" w14:textId="77777777" w:rsidR="009E715B" w:rsidRPr="0046366C" w:rsidRDefault="00CD393E" w:rsidP="009E715B">
      <w:r w:rsidRPr="0046366C">
        <w:lastRenderedPageBreak/>
        <w:t>This profit and loss account, which has been budgeted, provides a summary of the anticipated financial performance of the company for the six months ending on November 30. It indicates the total income, total expenditures, and net profit as a result.</w:t>
      </w:r>
    </w:p>
    <w:p w14:paraId="4E60776C" w14:textId="77777777" w:rsidR="009E715B" w:rsidRPr="0046366C" w:rsidRDefault="00CD393E" w:rsidP="009E715B">
      <w:pPr>
        <w:pStyle w:val="Heading1"/>
        <w:rPr>
          <w:rFonts w:cs="Times New Roman"/>
        </w:rPr>
      </w:pPr>
      <w:bookmarkStart w:id="4" w:name="_Toc163130220"/>
      <w:r w:rsidRPr="0046366C">
        <w:rPr>
          <w:rFonts w:cs="Times New Roman"/>
        </w:rPr>
        <w:t>Part B: According to the Profit &amp; Loss Account that was provided, Edwards might run into a few issues over the duration of the following six months</w:t>
      </w:r>
      <w:r w:rsidR="000B010D" w:rsidRPr="0046366C">
        <w:rPr>
          <w:rFonts w:cs="Times New Roman"/>
        </w:rPr>
        <w:t>.</w:t>
      </w:r>
      <w:bookmarkEnd w:id="4"/>
    </w:p>
    <w:p w14:paraId="65D242CC" w14:textId="77777777" w:rsidR="000B010D" w:rsidRPr="0046366C" w:rsidRDefault="00CD393E" w:rsidP="001F7391">
      <w:pPr>
        <w:pStyle w:val="Heading2"/>
        <w:rPr>
          <w:rFonts w:cs="Times New Roman"/>
        </w:rPr>
      </w:pPr>
      <w:bookmarkStart w:id="5" w:name="_Toc163130221"/>
      <w:r w:rsidRPr="0046366C">
        <w:rPr>
          <w:rFonts w:cs="Times New Roman"/>
        </w:rPr>
        <w:t>Problems Identified</w:t>
      </w:r>
      <w:bookmarkEnd w:id="5"/>
    </w:p>
    <w:p w14:paraId="4E5980C6" w14:textId="77777777" w:rsidR="009E715B" w:rsidRPr="0046366C" w:rsidRDefault="00CD393E" w:rsidP="001F7391">
      <w:pPr>
        <w:pStyle w:val="Heading3"/>
        <w:rPr>
          <w:rFonts w:cs="Times New Roman"/>
        </w:rPr>
      </w:pPr>
      <w:bookmarkStart w:id="6" w:name="_Toc163130222"/>
      <w:r w:rsidRPr="0046366C">
        <w:rPr>
          <w:rFonts w:cs="Times New Roman"/>
        </w:rPr>
        <w:t>Low Net Profit Margin</w:t>
      </w:r>
      <w:bookmarkEnd w:id="6"/>
    </w:p>
    <w:p w14:paraId="5AADFEA6" w14:textId="77777777" w:rsidR="009E715B" w:rsidRPr="0046366C" w:rsidRDefault="00CD393E" w:rsidP="001F7391">
      <w:pPr>
        <w:ind w:firstLine="720"/>
      </w:pPr>
      <w:r w:rsidRPr="0046366C">
        <w:t>A low net profit margin is a sign of inefficiency, pressure from competitors, or problems with cost control. It could be the consequence of intense competition, price sensitivity, or growth-related investments. Companies may evaluate financial performance closely and look for chances for revenue growth while concentrating on cost reduction, pricing optimization, and efficiency improvements (Srebro, et al, 2021).</w:t>
      </w:r>
    </w:p>
    <w:p w14:paraId="600F1486" w14:textId="77777777" w:rsidR="009E715B" w:rsidRPr="0046366C" w:rsidRDefault="00CD393E" w:rsidP="001F7391">
      <w:pPr>
        <w:ind w:firstLine="720"/>
      </w:pPr>
      <w:r w:rsidRPr="0046366C">
        <w:t>A measure of a business's profitability is its net profit margin which is calculated by dividing net profit by sales income. Given the low net profit margin in this instance (£391.9/£1670), Edwards looks to be operating with a constrained profit margin. This could be an indication of operational inefficiencies, pricing plans or cost management inefficiencies.</w:t>
      </w:r>
    </w:p>
    <w:p w14:paraId="3D9339F0" w14:textId="77777777" w:rsidR="009E715B" w:rsidRPr="0046366C" w:rsidRDefault="00CD393E" w:rsidP="001F7391">
      <w:pPr>
        <w:pStyle w:val="Heading3"/>
        <w:rPr>
          <w:rFonts w:cs="Times New Roman"/>
        </w:rPr>
      </w:pPr>
      <w:bookmarkStart w:id="7" w:name="_Toc163130223"/>
      <w:r w:rsidRPr="0046366C">
        <w:rPr>
          <w:rFonts w:cs="Times New Roman"/>
        </w:rPr>
        <w:t>High Cost of Goods Sold</w:t>
      </w:r>
      <w:bookmarkEnd w:id="7"/>
    </w:p>
    <w:p w14:paraId="54227D2F" w14:textId="77777777" w:rsidR="009E715B" w:rsidRPr="0046366C" w:rsidRDefault="00CD393E" w:rsidP="001F7391">
      <w:pPr>
        <w:ind w:firstLine="720"/>
      </w:pPr>
      <w:r w:rsidRPr="0046366C">
        <w:t xml:space="preserve">A high cost of goods sold </w:t>
      </w:r>
      <w:r w:rsidR="00886E22" w:rsidRPr="0046366C">
        <w:t xml:space="preserve">£1002 </w:t>
      </w:r>
      <w:r w:rsidRPr="0046366C">
        <w:t>may indicate inefficiencies or higher than average expenses for procurement. Businesses can reduce this risk by negotiating better prices with suppliers, optimizing their manufacturing procedures, or looking for different sourcing solutions. Reducing expenses without compromising product quality can also be achieved by keeping an eye on inventory levels and optimizing the supply chain (Kumala and Siregar, 2021).</w:t>
      </w:r>
    </w:p>
    <w:p w14:paraId="4A295B7A" w14:textId="77777777" w:rsidR="009E715B" w:rsidRPr="0046366C" w:rsidRDefault="00CD393E" w:rsidP="001F7391">
      <w:pPr>
        <w:ind w:firstLine="720"/>
      </w:pPr>
      <w:r w:rsidRPr="0046366C">
        <w:t>In comparison to Sales Income, the Cost of Goods Sold (COGS) is comparatively elevated. This may indicate that Edwards utilizes a sizable amount of its earnings to buy stock, which could have an effect on profitability. If the business is unable to effectively handle inventories, negotiate better terms with suppliers, or limit procurement prices, a high COGS</w:t>
      </w:r>
      <w:r w:rsidR="00990DDE" w:rsidRPr="0046366C">
        <w:t xml:space="preserve"> of £1002 may</w:t>
      </w:r>
      <w:r w:rsidRPr="0046366C">
        <w:t xml:space="preserve"> become an issue.</w:t>
      </w:r>
    </w:p>
    <w:p w14:paraId="2FA72446" w14:textId="77777777" w:rsidR="009E715B" w:rsidRPr="0046366C" w:rsidRDefault="00CD393E" w:rsidP="006C656D">
      <w:pPr>
        <w:pStyle w:val="Heading3"/>
        <w:rPr>
          <w:rFonts w:cs="Times New Roman"/>
        </w:rPr>
      </w:pPr>
      <w:bookmarkStart w:id="8" w:name="_Toc163130224"/>
      <w:r w:rsidRPr="0046366C">
        <w:rPr>
          <w:rFonts w:cs="Times New Roman"/>
        </w:rPr>
        <w:lastRenderedPageBreak/>
        <w:t>Operating Expense</w:t>
      </w:r>
      <w:bookmarkEnd w:id="8"/>
    </w:p>
    <w:p w14:paraId="3A2759D0" w14:textId="77777777" w:rsidR="009E715B" w:rsidRPr="0046366C" w:rsidRDefault="00CD393E" w:rsidP="001F7391">
      <w:pPr>
        <w:ind w:firstLine="720"/>
      </w:pPr>
      <w:r w:rsidRPr="0046366C">
        <w:t>All expenditures associated with operating a firm are included in operating expenses; this includes the cost of goods sold. Administrative expenditures including salaries, rent, utilities, marketing, and other overhead costs required for regular business operations are usually included in these costs. Sustaining profitability and long-term financial viability requires efficient operating expenditure management (Srebro, et al, 2021).</w:t>
      </w:r>
    </w:p>
    <w:p w14:paraId="12AD45E0" w14:textId="77777777" w:rsidR="009E715B" w:rsidRPr="0046366C" w:rsidRDefault="00CD393E" w:rsidP="001F7391">
      <w:pPr>
        <w:ind w:firstLine="720"/>
      </w:pPr>
      <w:r w:rsidRPr="0046366C">
        <w:t>In comparison to the gross profit, the operating expenses which include selling, administration, tax and interest payments are high. This suggests that Edwards is spending a lot of money to maintain its business. Insufficient management of these costs may decrease earnings and impair the company's financial performance.</w:t>
      </w:r>
    </w:p>
    <w:p w14:paraId="1C5E5687" w14:textId="77777777" w:rsidR="009E715B" w:rsidRPr="0046366C" w:rsidRDefault="00CD393E" w:rsidP="006C656D">
      <w:pPr>
        <w:pStyle w:val="Heading2"/>
        <w:rPr>
          <w:rFonts w:cs="Times New Roman"/>
        </w:rPr>
      </w:pPr>
      <w:bookmarkStart w:id="9" w:name="_Toc163130225"/>
      <w:r w:rsidRPr="0046366C">
        <w:rPr>
          <w:rFonts w:cs="Times New Roman"/>
        </w:rPr>
        <w:t>Several Actions Management Could Take</w:t>
      </w:r>
      <w:bookmarkEnd w:id="9"/>
    </w:p>
    <w:p w14:paraId="6A2A3CB3" w14:textId="77777777" w:rsidR="009E715B" w:rsidRPr="0046366C" w:rsidRDefault="00CD393E" w:rsidP="006C656D">
      <w:pPr>
        <w:pStyle w:val="Heading3"/>
        <w:rPr>
          <w:rFonts w:cs="Times New Roman"/>
        </w:rPr>
      </w:pPr>
      <w:bookmarkStart w:id="10" w:name="_Toc163130226"/>
      <w:r w:rsidRPr="0046366C">
        <w:rPr>
          <w:rFonts w:cs="Times New Roman"/>
        </w:rPr>
        <w:t>Cost Control Measurement</w:t>
      </w:r>
      <w:bookmarkEnd w:id="10"/>
    </w:p>
    <w:p w14:paraId="7167A00D" w14:textId="77777777" w:rsidR="009E715B" w:rsidRPr="0046366C" w:rsidRDefault="00CD393E" w:rsidP="001F7391">
      <w:pPr>
        <w:ind w:firstLine="720"/>
      </w:pPr>
      <w:r w:rsidRPr="0046366C">
        <w:t>Establish processes in place to keep costs under control for every component of the company, such as operations, overhead, and purchasing. This might involve identifying areas where operational efficiencies can be increased, optimizing inventory management to lower carrying costs, and renegotiating contracts with suppliers to get better pricing (Lee and Zhong, 2022).</w:t>
      </w:r>
    </w:p>
    <w:p w14:paraId="2F740AAF" w14:textId="77777777" w:rsidR="009E715B" w:rsidRPr="0046366C" w:rsidRDefault="00CD393E" w:rsidP="006C656D">
      <w:pPr>
        <w:pStyle w:val="Heading3"/>
        <w:rPr>
          <w:rFonts w:cs="Times New Roman"/>
        </w:rPr>
      </w:pPr>
      <w:bookmarkStart w:id="11" w:name="_Toc163130227"/>
      <w:r w:rsidRPr="0046366C">
        <w:rPr>
          <w:rFonts w:cs="Times New Roman"/>
        </w:rPr>
        <w:t>Revenue Enhancement Strategies</w:t>
      </w:r>
      <w:bookmarkEnd w:id="11"/>
    </w:p>
    <w:p w14:paraId="11CAAE13" w14:textId="77777777" w:rsidR="009E715B" w:rsidRPr="0046366C" w:rsidRDefault="00CD393E" w:rsidP="001F7391">
      <w:pPr>
        <w:ind w:firstLine="720"/>
      </w:pPr>
      <w:r w:rsidRPr="0046366C">
        <w:t>Examine methods to increase sales income by launching marketing campaigns, branching out into novel product categories or markets, and improving relationships with customers. Edwards can increase overall profitability and improve its top-line growth by increasing sales volume or optimizing pricing methods (Dang and Tran, 2021).</w:t>
      </w:r>
    </w:p>
    <w:p w14:paraId="2784C1DB" w14:textId="77777777" w:rsidR="009E715B" w:rsidRPr="0046366C" w:rsidRDefault="00CD393E" w:rsidP="006C656D">
      <w:pPr>
        <w:pStyle w:val="Heading3"/>
        <w:rPr>
          <w:rFonts w:cs="Times New Roman"/>
        </w:rPr>
      </w:pPr>
      <w:bookmarkStart w:id="12" w:name="_Toc163130228"/>
      <w:r w:rsidRPr="0046366C">
        <w:rPr>
          <w:rFonts w:cs="Times New Roman"/>
        </w:rPr>
        <w:t>Efficiency Improvements</w:t>
      </w:r>
      <w:bookmarkEnd w:id="12"/>
    </w:p>
    <w:p w14:paraId="2B0DB5D1" w14:textId="77777777" w:rsidR="009E715B" w:rsidRPr="0046366C" w:rsidRDefault="00CD393E" w:rsidP="001F7391">
      <w:pPr>
        <w:ind w:firstLine="720"/>
      </w:pPr>
      <w:r w:rsidRPr="0046366C">
        <w:t>Concentrate the focus on increasing o</w:t>
      </w:r>
      <w:r w:rsidR="00990DDE" w:rsidRPr="0046366C">
        <w:t>rganis</w:t>
      </w:r>
      <w:r w:rsidRPr="0046366C">
        <w:t>ational efficiency and simplifying processes. This could involve allocating resources optimally to enhance productivity, cutting waste and redundancy, and investing in automation and technology to accelerate processes (Lee, 2022).</w:t>
      </w:r>
    </w:p>
    <w:p w14:paraId="4804E2CD" w14:textId="77777777" w:rsidR="009E715B" w:rsidRPr="0046366C" w:rsidRDefault="00CD393E" w:rsidP="006C656D">
      <w:pPr>
        <w:pStyle w:val="Heading3"/>
        <w:rPr>
          <w:rFonts w:cs="Times New Roman"/>
        </w:rPr>
      </w:pPr>
      <w:bookmarkStart w:id="13" w:name="_Toc163130229"/>
      <w:r w:rsidRPr="0046366C">
        <w:rPr>
          <w:rFonts w:cs="Times New Roman"/>
        </w:rPr>
        <w:t>Financial Planning and Analysis</w:t>
      </w:r>
      <w:bookmarkEnd w:id="13"/>
    </w:p>
    <w:p w14:paraId="7E7D9E12" w14:textId="77777777" w:rsidR="009E715B" w:rsidRPr="0046366C" w:rsidRDefault="00CD393E" w:rsidP="001F7391">
      <w:pPr>
        <w:ind w:firstLine="720"/>
      </w:pPr>
      <w:r w:rsidRPr="0046366C">
        <w:t xml:space="preserve">Perform a comprehensive financial analysis to identify areas that require improvement and create insights that can be contributed to practice in decision-making. This could entail projecting </w:t>
      </w:r>
      <w:r w:rsidRPr="0046366C">
        <w:lastRenderedPageBreak/>
        <w:t>future financial performance, evaluating the effects of different scenarios through sensitivity analysis, and creating plans to reduce risks and capture opportunities (Dang and Tran, 2021).</w:t>
      </w:r>
    </w:p>
    <w:p w14:paraId="3426234F" w14:textId="77777777" w:rsidR="009E715B" w:rsidRPr="0046366C" w:rsidRDefault="00CD393E" w:rsidP="001F7391">
      <w:pPr>
        <w:ind w:firstLine="720"/>
      </w:pPr>
      <w:r w:rsidRPr="0046366C">
        <w:t>Over the next six months, Edwards can enhance its financial performance and solve the issues that have been discovered by putting these management measures into action. To achieve long-term sustainability and success, however, management must constantly monitor key performance indicators and modify strategy as necessary.</w:t>
      </w:r>
    </w:p>
    <w:p w14:paraId="36255076" w14:textId="77777777" w:rsidR="009106C3" w:rsidRPr="0046366C" w:rsidRDefault="00CD393E" w:rsidP="009106C3">
      <w:pPr>
        <w:pStyle w:val="Heading1"/>
        <w:rPr>
          <w:rFonts w:cs="Times New Roman"/>
        </w:rPr>
      </w:pPr>
      <w:bookmarkStart w:id="14" w:name="_Toc163130230"/>
      <w:r w:rsidRPr="0046366C">
        <w:rPr>
          <w:rFonts w:cs="Times New Roman"/>
        </w:rPr>
        <w:t xml:space="preserve">Part C: Conditions for Successful Budgeting and Budgetary Control for an </w:t>
      </w:r>
      <w:r w:rsidR="006D7126" w:rsidRPr="0046366C">
        <w:rPr>
          <w:rFonts w:cs="Times New Roman"/>
        </w:rPr>
        <w:t>Organizations</w:t>
      </w:r>
      <w:bookmarkEnd w:id="14"/>
    </w:p>
    <w:p w14:paraId="508C92A3" w14:textId="77777777" w:rsidR="006D7126" w:rsidRPr="0046366C" w:rsidRDefault="00CD393E" w:rsidP="001F7391">
      <w:pPr>
        <w:ind w:firstLine="720"/>
      </w:pPr>
      <w:r w:rsidRPr="0046366C">
        <w:t xml:space="preserve">Effective budgeting and budgetary control, which offers an organized method of planning, regulating, and assessing financial performance, are essential elements of financial management for businesses. But for these processes to be successful, a few requirements need to be accomplished: </w:t>
      </w:r>
    </w:p>
    <w:p w14:paraId="3BE253E7" w14:textId="77777777" w:rsidR="00596C87" w:rsidRPr="0046366C" w:rsidRDefault="00CD393E" w:rsidP="009106C3">
      <w:r w:rsidRPr="0046366C">
        <w:rPr>
          <w:b/>
        </w:rPr>
        <w:t>Clearly specified Goals and Objectives</w:t>
      </w:r>
      <w:r w:rsidRPr="0046366C">
        <w:t>: The gene</w:t>
      </w:r>
      <w:r w:rsidR="006D7126" w:rsidRPr="0046366C">
        <w:t xml:space="preserve">ral goals and objectives of any business </w:t>
      </w:r>
      <w:r w:rsidRPr="0046366C">
        <w:t xml:space="preserve">should be the budgeting and budgetary management processes. Well-defined goals provide a structure for creating practical spending plans and guarantee that financial choices align with strategic goals. (Simons, 2019). </w:t>
      </w:r>
    </w:p>
    <w:p w14:paraId="74B992D7" w14:textId="77777777" w:rsidR="00664A76" w:rsidRPr="0046366C" w:rsidRDefault="00CD393E" w:rsidP="009106C3">
      <w:r w:rsidRPr="0046366C">
        <w:rPr>
          <w:b/>
        </w:rPr>
        <w:t>Effective Management Support and Management</w:t>
      </w:r>
      <w:r w:rsidRPr="0046366C">
        <w:t>: Budgeting systems must be properly implemented and carried out successfully, and this demands strong management support. In addition to providing the required resources and actively participating in the budgeting process, management should also highlight the value of budgetary control in all facets of the company.</w:t>
      </w:r>
      <w:r w:rsidR="00596C87" w:rsidRPr="0046366C">
        <w:t xml:space="preserve"> (Macintosh, and Daft, 2019). </w:t>
      </w:r>
      <w:r w:rsidR="0012585D" w:rsidRPr="0046366C">
        <w:t xml:space="preserve"> </w:t>
      </w:r>
      <w:r w:rsidR="00497733" w:rsidRPr="0046366C">
        <w:t>Strong accounting systems and accurate, timely financial data are essential for budgeting. Incorporating significant stakeholders into the procedure fosters accountability and ownership, guaranteeing that practical operational requirements and limitations are appropriately addressed</w:t>
      </w:r>
      <w:r w:rsidR="0012585D" w:rsidRPr="0046366C">
        <w:t xml:space="preserve">. (Ghasemi, et al, 2019). </w:t>
      </w:r>
      <w:r w:rsidR="00497733" w:rsidRPr="0046366C">
        <w:t>Staff members who are used to current procedures can object to the implementation of a budgeting system. To make easier the transition, management should respond to concerns, explain the advantages of budgeting, and offer assistance and training.</w:t>
      </w:r>
      <w:r w:rsidR="0012585D" w:rsidRPr="0046366C">
        <w:t xml:space="preserve"> (Mauro, Cinquini, and Pianezzi, 2021). </w:t>
      </w:r>
      <w:r w:rsidR="00497733" w:rsidRPr="0046366C">
        <w:t xml:space="preserve"> </w:t>
      </w:r>
    </w:p>
    <w:p w14:paraId="0E433EB7" w14:textId="77777777" w:rsidR="00664A76" w:rsidRPr="0046366C" w:rsidRDefault="00CD393E" w:rsidP="009106C3">
      <w:r w:rsidRPr="0046366C">
        <w:rPr>
          <w:b/>
        </w:rPr>
        <w:t>Motivation and Incentives</w:t>
      </w:r>
      <w:r w:rsidRPr="0046366C">
        <w:t xml:space="preserve">: Performance-based incentives and awards may have an impact on workers' willingness to commit to budgetary goals. It is the responsibility of management to establish incentives.  </w:t>
      </w:r>
    </w:p>
    <w:p w14:paraId="44C9A8A7" w14:textId="77777777" w:rsidR="0012585D" w:rsidRPr="0046366C" w:rsidRDefault="00CD393E" w:rsidP="009106C3">
      <w:r w:rsidRPr="0046366C">
        <w:rPr>
          <w:b/>
        </w:rPr>
        <w:lastRenderedPageBreak/>
        <w:t>Programmes that harm Budgetary Slack:</w:t>
      </w:r>
      <w:r w:rsidRPr="0046366C">
        <w:t xml:space="preserve"> To provide flexibility in their budgets, managers may purposefully exaggerate costs or underestimate earnings. To minimize the occurrence of financial slack and guarantee the precision of budget projections, management ought to cultivate a climate of openness and responsibility. (Mauro, Cinquini, and Pianezzi, 2021). </w:t>
      </w:r>
    </w:p>
    <w:p w14:paraId="0757F506" w14:textId="77777777" w:rsidR="00596C87" w:rsidRPr="0046366C" w:rsidRDefault="00CD393E" w:rsidP="009106C3">
      <w:r w:rsidRPr="0046366C">
        <w:rPr>
          <w:b/>
        </w:rPr>
        <w:t>Communication and Feedback</w:t>
      </w:r>
      <w:r w:rsidRPr="0046366C">
        <w:t>: Resolving problems, making necessary budget revisions, and preserving alignment all depend on efficient channels of communication and consistent feedback systems. Management should promote candid communication, offer helpful criticism, and make it easier for divisions to work together. One’s departmental and individual goals with the general goals of the budget</w:t>
      </w:r>
      <w:r w:rsidR="004925F0" w:rsidRPr="0046366C">
        <w:t xml:space="preserve"> </w:t>
      </w:r>
      <w:r w:rsidR="0012585D" w:rsidRPr="0046366C">
        <w:t>(Jug, Jiang, and Bean, 2019</w:t>
      </w:r>
      <w:r w:rsidR="004925F0" w:rsidRPr="0046366C">
        <w:t>).</w:t>
      </w:r>
    </w:p>
    <w:p w14:paraId="545F9F4D" w14:textId="77777777" w:rsidR="006C656D" w:rsidRPr="0046366C" w:rsidRDefault="00CD393E" w:rsidP="009106C3">
      <w:r w:rsidRPr="0046366C">
        <w:t>Following are the four points linked to behaviours of people which management must take into consideration;</w:t>
      </w:r>
    </w:p>
    <w:p w14:paraId="736F28AF" w14:textId="77777777" w:rsidR="00C756DC" w:rsidRPr="0046366C" w:rsidRDefault="00CD393E" w:rsidP="006C656D">
      <w:pPr>
        <w:pStyle w:val="ListParagraph"/>
        <w:numPr>
          <w:ilvl w:val="0"/>
          <w:numId w:val="3"/>
        </w:numPr>
      </w:pPr>
      <w:r w:rsidRPr="0046366C">
        <w:t>Motivation: Depending on their unique rewards, motives, and views of the change, employees frequently respond to the implementation of a new budgeting system in different ways. Management needs to think about ways to inspire and involve staff members in the budgeting process so that their work is in line with the company's goals. (Jug, Jiang, and Bean, 2019).</w:t>
      </w:r>
    </w:p>
    <w:p w14:paraId="0A78A801" w14:textId="77777777" w:rsidR="00C756DC" w:rsidRPr="0046366C" w:rsidRDefault="00CD393E" w:rsidP="006C656D">
      <w:pPr>
        <w:pStyle w:val="ListParagraph"/>
        <w:numPr>
          <w:ilvl w:val="0"/>
          <w:numId w:val="3"/>
        </w:numPr>
      </w:pPr>
      <w:r w:rsidRPr="0046366C">
        <w:t>Opposition to Change: A new budgeting system may encounter resistance from certain personnel because they are reluctant to adopt new practices, fear the unknown, or doubt its efficacy. In order to prepare for and overcome resistance, management should explain the advantages of the refreshed system, offer assistance and training, and involve staff members in the process of making decisions.</w:t>
      </w:r>
    </w:p>
    <w:p w14:paraId="51D1ED87" w14:textId="77777777" w:rsidR="00C756DC" w:rsidRPr="0046366C" w:rsidRDefault="00CD393E" w:rsidP="006C656D">
      <w:pPr>
        <w:pStyle w:val="ListParagraph"/>
        <w:numPr>
          <w:ilvl w:val="0"/>
          <w:numId w:val="3"/>
        </w:numPr>
      </w:pPr>
      <w:r w:rsidRPr="0046366C">
        <w:t>Game-Playing: To accomplish departmental or personal objectives, employees occasionally resort to changing budget statistics or hiding information. Establishing clear policies and sanctions for unethical behaviour, encouraging responsibility and openness, and fostering an environment of honesty and integrity are all important tasks for management.</w:t>
      </w:r>
      <w:r w:rsidR="00B76F07" w:rsidRPr="0046366C">
        <w:t xml:space="preserve"> (Ghasemi, et al, 2019).</w:t>
      </w:r>
    </w:p>
    <w:p w14:paraId="7D923299" w14:textId="77777777" w:rsidR="00C756DC" w:rsidRPr="0046366C" w:rsidRDefault="00CD393E" w:rsidP="006C656D">
      <w:pPr>
        <w:pStyle w:val="ListParagraph"/>
        <w:numPr>
          <w:ilvl w:val="0"/>
          <w:numId w:val="3"/>
        </w:numPr>
      </w:pPr>
      <w:r w:rsidRPr="0046366C">
        <w:t>Short-Term Focus: When taking part in the budgeting process, employees may put quick outcomes or short-term aims ahead of long-term strategic goals. In order to promote a balanced strategy that takes into account both immediate specifications and long-term sustainability, management should offer incentives and assistance. Frequent performance evaluations and comments can also assist staff members in maintaining their focus on attaining success over the long term. (Jug, Jiang, and Bean, 2019).</w:t>
      </w:r>
    </w:p>
    <w:p w14:paraId="6CAC20A0" w14:textId="77777777" w:rsidR="00443807" w:rsidRPr="0046366C" w:rsidRDefault="00CD393E" w:rsidP="00443807">
      <w:pPr>
        <w:pStyle w:val="Heading1"/>
        <w:rPr>
          <w:rFonts w:cs="Times New Roman"/>
        </w:rPr>
      </w:pPr>
      <w:bookmarkStart w:id="15" w:name="_Toc163130231"/>
      <w:r w:rsidRPr="0046366C">
        <w:rPr>
          <w:rFonts w:cs="Times New Roman"/>
        </w:rPr>
        <w:t>Part D</w:t>
      </w:r>
      <w:r w:rsidR="00D71BBE" w:rsidRPr="0046366C">
        <w:rPr>
          <w:rFonts w:cs="Times New Roman"/>
        </w:rPr>
        <w:t xml:space="preserve"> Critical evaluation of traditional approaches to budgeting</w:t>
      </w:r>
      <w:bookmarkEnd w:id="15"/>
    </w:p>
    <w:p w14:paraId="226C7C82" w14:textId="77777777" w:rsidR="009E715B" w:rsidRPr="0046366C" w:rsidRDefault="00CD393E" w:rsidP="00DC7B0E">
      <w:pPr>
        <w:ind w:firstLine="720"/>
      </w:pPr>
      <w:r w:rsidRPr="0046366C">
        <w:t>Conventional approaches to budgeting frequently have a number of inherent problems that diminish their effectiveness in the fast-paced business-related world of today. Among these drawbacks is the annual budgeting process, which takes a lot of time and is rigidly programmed which can result in plans that are out of date or irrelevant when things change rapidly</w:t>
      </w:r>
      <w:r w:rsidR="0012585D" w:rsidRPr="0046366C">
        <w:t>. (Matějka, Merchant, and O'Grady, 2021). I</w:t>
      </w:r>
      <w:r w:rsidRPr="0046366C">
        <w:t>n addition, conventional budgets often create a culture of "budgetary slack" in which managers can play with numbers to reach irrational targets while ignoring long-term strategic goals. Furthermore, because traditional budgets are based on top-down, hierarchical methods that restrict flexibility and creativity, they frequently fail to promote cooperation and innovation inside businesses</w:t>
      </w:r>
      <w:r w:rsidR="0012585D" w:rsidRPr="0046366C">
        <w:t xml:space="preserve">. (Nasution, 2020). </w:t>
      </w:r>
      <w:r w:rsidRPr="0046366C">
        <w:t xml:space="preserve">All things considered, these shortcomings make it more difficult for conventional budgeting techniques to encourage flexible decision-making, adapt to changing market conditions, and promote sustainable development in the current hectic corporate environment. </w:t>
      </w:r>
    </w:p>
    <w:p w14:paraId="36F14DBC" w14:textId="77777777" w:rsidR="00D71BBE" w:rsidRPr="0046366C" w:rsidRDefault="00CD393E" w:rsidP="00DC7B0E">
      <w:pPr>
        <w:ind w:firstLine="720"/>
      </w:pPr>
      <w:r w:rsidRPr="0046366C">
        <w:t>The usual budgeting methods, incremental budgeting and zero-based budgeting have been the mainstay for years for many companies. Incremental budgeting requires estimating revenues for the next year and then taking the previous year's budget and increasing or decreasing it based on calculated proportion., therefore adding or subtracting a fixed percentage. Zero-based budgeting redesigns budgets from the ground with every budget cycle using managerial efficiency and rationalization and optimizing all categories (Vindrola-Padros, and Johnson, 2020). Although, the traditional models of managing business by the o</w:t>
      </w:r>
      <w:r w:rsidR="00116968" w:rsidRPr="0046366C">
        <w:t>rganis</w:t>
      </w:r>
      <w:r w:rsidRPr="0046366C">
        <w:t>ations which are driven by the force of technology, g</w:t>
      </w:r>
      <w:r w:rsidR="00116968" w:rsidRPr="0046366C">
        <w:t>lobalis</w:t>
      </w:r>
      <w:r w:rsidRPr="0046366C">
        <w:t>ation, and consumers' tendencies today have some limitations. The incipient budgeting process will s</w:t>
      </w:r>
      <w:r w:rsidR="00116968" w:rsidRPr="0046366C">
        <w:t>ystematis</w:t>
      </w:r>
      <w:r w:rsidRPr="0046366C">
        <w:t>e the inefficiency as the use of last year as the starting point doesn’t take the external variations into account (Bartocci et al., 2023). The world changes faster than the companies' budget level, and that can create problems. It should be noted that incrementalism makes adjusting to cover market disruptions harder as well. If the distribution of funds to emergent products and channels isn't directed in the right direction, the company will definitely miss these opportunities.</w:t>
      </w:r>
    </w:p>
    <w:p w14:paraId="623FFC36" w14:textId="77777777" w:rsidR="00D71BBE" w:rsidRPr="0046366C" w:rsidRDefault="00CD393E" w:rsidP="00DC7B0E">
      <w:pPr>
        <w:ind w:firstLine="720"/>
      </w:pPr>
      <w:r w:rsidRPr="0046366C">
        <w:t>The zero-based budgeting is an example of the non-incremental approach which has a few shortcomings, such as the need for extensive involvement of employees and restructuring of the already validated activities to create a budget from the very basics (Chen, and Zheng, 2021). This may be detrimental to the o</w:t>
      </w:r>
      <w:r w:rsidR="00116968" w:rsidRPr="0046366C">
        <w:t>rganis</w:t>
      </w:r>
      <w:r w:rsidRPr="0046366C">
        <w:t>ation's capacity because it will halt activities and reassign concentration to budgeting. In the age of fast-moving industries such as technology and consumer goods, taking months offline leads to a company's future falling behind all its competition. Zero-based budgeting, to a large extent, fails to do away with manager forecasts, which are often inaccurate (Gemino et al., 2021). To that end, it adapts to dramatic environmental factor changes. Adoptions, for instance, of rolling forecasts and value-based budgeting that move away from conventional budgeting processes may represent a more flexible and efficient way of addressing the current turbulent environment. For instance, quarterly or monthly forecasts with flexible reviews may respond to current events in the market. Value-based budgets that align in accordance with strategic goals, and will continue to be relevant even during times of change remain a central roadmap for an o</w:t>
      </w:r>
      <w:r w:rsidR="00116968" w:rsidRPr="0046366C">
        <w:t>rganis</w:t>
      </w:r>
      <w:r w:rsidRPr="0046366C">
        <w:t>ation. Adding these with the cost and revenue outlook makes your reaction quicker to change. Depending on the mixing of approaches to budgeting, both old-fashioned and modern ones tailored to each company’s unique situation will allow actors to adequately respond to various severe environment changes.</w:t>
      </w:r>
    </w:p>
    <w:p w14:paraId="4BBB986E" w14:textId="77777777" w:rsidR="00D71BBE" w:rsidRPr="0046366C" w:rsidRDefault="00CD393E" w:rsidP="00DC7B0E">
      <w:pPr>
        <w:ind w:firstLine="720"/>
      </w:pPr>
      <w:r w:rsidRPr="0046366C">
        <w:t>Cumulative budgeting is regarded to be a more traditional form and it consists of determining the budgets of the following year by increasing them by a percentage based on the annual expected revenue changes for instance, increasing all the budgets by 3% over the previous year. Zero-based budgeting extinguished rebuilding budgets from the start of every period by managers looking at core needs and costs then justifying and o</w:t>
      </w:r>
      <w:r w:rsidR="00116968" w:rsidRPr="0046366C">
        <w:t>ptimis</w:t>
      </w:r>
      <w:r w:rsidRPr="0046366C">
        <w:t>ing the operations with a focus on critical travel and training that had to be p</w:t>
      </w:r>
      <w:r w:rsidR="00116968" w:rsidRPr="0046366C">
        <w:t>rioritis</w:t>
      </w:r>
      <w:r w:rsidRPr="0046366C">
        <w:t xml:space="preserve">ed while cutting non-critical expenses (Vindrola-Padros and Johnson, 2020). The main idea is that incremental budgeting is focused on small changes to the </w:t>
      </w:r>
      <w:r w:rsidR="00446217" w:rsidRPr="0046366C">
        <w:t xml:space="preserve">existing budget allocations </w:t>
      </w:r>
      <w:r w:rsidRPr="0046366C">
        <w:t xml:space="preserve"> </w:t>
      </w:r>
      <w:r w:rsidR="00446217" w:rsidRPr="0046366C">
        <w:t>(</w:t>
      </w:r>
      <w:r w:rsidR="00446217" w:rsidRPr="0046366C">
        <w:rPr>
          <w:lang w:val="en-GB"/>
        </w:rPr>
        <w:t>for example</w:t>
      </w:r>
      <w:r w:rsidRPr="0046366C">
        <w:t xml:space="preserve">; last year's budget) and zero-based budgeting is re-evaluating all expenses </w:t>
      </w:r>
      <w:r w:rsidR="00446217" w:rsidRPr="0046366C">
        <w:t>every year on a blank slate (</w:t>
      </w:r>
      <w:r w:rsidR="00446217" w:rsidRPr="0046366C">
        <w:rPr>
          <w:lang w:val="en-GB"/>
        </w:rPr>
        <w:t>for example</w:t>
      </w:r>
      <w:r w:rsidR="00446217" w:rsidRPr="0046366C">
        <w:t xml:space="preserve">; </w:t>
      </w:r>
      <w:r w:rsidRPr="0046366C">
        <w:t>entrance budget). Thus, the zero-based type of budgeting is better in terms of efficiency though it requires more time and analysis to choose the best alternatives.</w:t>
      </w:r>
    </w:p>
    <w:p w14:paraId="76D3949E" w14:textId="77777777" w:rsidR="009E715B" w:rsidRPr="0046366C" w:rsidRDefault="00CD393E" w:rsidP="009E715B">
      <w:pPr>
        <w:pStyle w:val="Heading1"/>
        <w:rPr>
          <w:rFonts w:cs="Times New Roman"/>
        </w:rPr>
      </w:pPr>
      <w:bookmarkStart w:id="16" w:name="_Toc163130232"/>
      <w:r w:rsidRPr="0046366C">
        <w:rPr>
          <w:rFonts w:cs="Times New Roman"/>
        </w:rPr>
        <w:t>Conclusion</w:t>
      </w:r>
      <w:bookmarkEnd w:id="16"/>
    </w:p>
    <w:p w14:paraId="2DF95761" w14:textId="77777777" w:rsidR="009E715B" w:rsidRPr="0046366C" w:rsidRDefault="00CD393E" w:rsidP="00CB70BC">
      <w:pPr>
        <w:ind w:firstLine="720"/>
      </w:pPr>
      <w:r w:rsidRPr="0046366C">
        <w:t>In conclusion, the examination of Edwards' profit and loss account highlights the significance of proactive management practices in resolving monetary issues and guaranteeing sustainable growth. The business's financial stability is at risk in the upcoming six months due to the concerns that have been found, which include a low net profit margin, a high cost of goods sold, and significant operational expenses. However, Edwards can reduce these risks and improve its overall financial performance by putting into practice targeted initiatives that are centred on revenue development, cost reduction, and operational efficiency. Important steps that will assist cut expenses and increase profitability include renegotiating supplier contracts, improving inventory control, and investing in revenue-generating projects. In addition, efficient operations, the use of technology, and careful financial analysis will help with well-informed decision-making and risk reduction. By taking such actions, Edwards can overcome its financial difficulties and place itself in a position that is profitable over the long run in its competitive industry. Prioritizing operational excellence, financial stability, and strategic growth initiatives can help Edwards overcome its current challenges and position itself to take advantage of future opportunities.</w:t>
      </w:r>
    </w:p>
    <w:p w14:paraId="5199DFF5" w14:textId="77777777" w:rsidR="00596C87" w:rsidRPr="0046366C" w:rsidRDefault="00CD393E" w:rsidP="00D1288C">
      <w:r w:rsidRPr="0046366C">
        <w:br w:type="page"/>
      </w:r>
    </w:p>
    <w:p w14:paraId="17318AEE" w14:textId="77777777" w:rsidR="009E715B" w:rsidRPr="0046366C" w:rsidRDefault="00CD393E" w:rsidP="00EC5092">
      <w:pPr>
        <w:pStyle w:val="Heading1"/>
        <w:rPr>
          <w:rFonts w:cs="Times New Roman"/>
        </w:rPr>
      </w:pPr>
      <w:bookmarkStart w:id="17" w:name="_Toc163130233"/>
      <w:r w:rsidRPr="0046366C">
        <w:rPr>
          <w:rFonts w:cs="Times New Roman"/>
        </w:rPr>
        <w:t>References</w:t>
      </w:r>
      <w:bookmarkEnd w:id="17"/>
      <w:r w:rsidRPr="0046366C">
        <w:rPr>
          <w:rFonts w:cs="Times New Roman"/>
        </w:rPr>
        <w:t xml:space="preserve"> </w:t>
      </w:r>
    </w:p>
    <w:p w14:paraId="62AB8687" w14:textId="77777777" w:rsidR="00D71BBE" w:rsidRPr="0046366C" w:rsidRDefault="00CD393E" w:rsidP="00596C87">
      <w:pPr>
        <w:ind w:left="720" w:hanging="720"/>
      </w:pPr>
      <w:r w:rsidRPr="0046366C">
        <w:t>Baloch, M.A., Ozturk, I., Bekun, F.V. and Khan, D., 2021. Modeling the dynamic linkage between financial development, energy innovation, and environmental quality: does globalization matter?. Business Strategy and the Environment, 30(1), pp.176-184.</w:t>
      </w:r>
    </w:p>
    <w:p w14:paraId="6954E07A" w14:textId="77777777" w:rsidR="00D71BBE" w:rsidRPr="0046366C" w:rsidRDefault="00CD393E" w:rsidP="00D71BBE">
      <w:pPr>
        <w:ind w:left="720" w:hanging="720"/>
        <w:rPr>
          <w:shd w:val="clear" w:color="auto" w:fill="FFFFFF"/>
        </w:rPr>
      </w:pPr>
      <w:r w:rsidRPr="0046366C">
        <w:rPr>
          <w:shd w:val="clear" w:color="auto" w:fill="FFFFFF"/>
        </w:rPr>
        <w:t>Bartocci, L., Grossi, G., Mauro, S.G. and Ebdon, C., 2023. The journey of participatory budgeting: a systematic literature review and future research directions. </w:t>
      </w:r>
      <w:r w:rsidRPr="0046366C">
        <w:rPr>
          <w:i/>
          <w:iCs/>
          <w:shd w:val="clear" w:color="auto" w:fill="FFFFFF"/>
        </w:rPr>
        <w:t>International Review of Administrative Sciences</w:t>
      </w:r>
      <w:r w:rsidRPr="0046366C">
        <w:rPr>
          <w:shd w:val="clear" w:color="auto" w:fill="FFFFFF"/>
        </w:rPr>
        <w:t>, </w:t>
      </w:r>
      <w:r w:rsidRPr="0046366C">
        <w:rPr>
          <w:i/>
          <w:iCs/>
          <w:shd w:val="clear" w:color="auto" w:fill="FFFFFF"/>
        </w:rPr>
        <w:t>89</w:t>
      </w:r>
      <w:r w:rsidRPr="0046366C">
        <w:rPr>
          <w:shd w:val="clear" w:color="auto" w:fill="FFFFFF"/>
        </w:rPr>
        <w:t>(3), pp.757-774.</w:t>
      </w:r>
    </w:p>
    <w:p w14:paraId="783496B0" w14:textId="77777777" w:rsidR="00D71BBE" w:rsidRPr="0046366C" w:rsidRDefault="00CD393E" w:rsidP="00D71BBE">
      <w:pPr>
        <w:ind w:left="720" w:hanging="720"/>
        <w:rPr>
          <w:shd w:val="clear" w:color="auto" w:fill="FFFFFF"/>
        </w:rPr>
      </w:pPr>
      <w:r w:rsidRPr="0046366C">
        <w:rPr>
          <w:shd w:val="clear" w:color="auto" w:fill="FFFFFF"/>
        </w:rPr>
        <w:t>Chen, W. and Zheng, M., 2021. Multi-objective optimization for pavement maintenance and rehabilitation decision-making: A critical review and future directions. </w:t>
      </w:r>
      <w:r w:rsidRPr="0046366C">
        <w:rPr>
          <w:i/>
          <w:iCs/>
          <w:shd w:val="clear" w:color="auto" w:fill="FFFFFF"/>
        </w:rPr>
        <w:t>Automation in construction</w:t>
      </w:r>
      <w:r w:rsidRPr="0046366C">
        <w:rPr>
          <w:shd w:val="clear" w:color="auto" w:fill="FFFFFF"/>
        </w:rPr>
        <w:t>, </w:t>
      </w:r>
      <w:r w:rsidRPr="0046366C">
        <w:rPr>
          <w:i/>
          <w:iCs/>
          <w:shd w:val="clear" w:color="auto" w:fill="FFFFFF"/>
        </w:rPr>
        <w:t>130</w:t>
      </w:r>
      <w:r w:rsidRPr="0046366C">
        <w:rPr>
          <w:shd w:val="clear" w:color="auto" w:fill="FFFFFF"/>
        </w:rPr>
        <w:t>, p.103840.</w:t>
      </w:r>
    </w:p>
    <w:p w14:paraId="1485CD22" w14:textId="77777777" w:rsidR="00D71BBE" w:rsidRPr="0046366C" w:rsidRDefault="00CD393E" w:rsidP="009E715B">
      <w:pPr>
        <w:ind w:left="720" w:hanging="720"/>
      </w:pPr>
      <w:r w:rsidRPr="0046366C">
        <w:t>Dang, V.C. and Tran, X.H., 2021. The impact of financial distress on tax avoidance: An empirical analysis of the Vietnamese listed companies. Cogent Business &amp; Management, 8(1), p.1953678.</w:t>
      </w:r>
    </w:p>
    <w:p w14:paraId="6C1B5A1B" w14:textId="77777777" w:rsidR="00D71BBE" w:rsidRPr="0046366C" w:rsidRDefault="00CD393E" w:rsidP="00D71BBE">
      <w:pPr>
        <w:ind w:left="720" w:hanging="720"/>
        <w:rPr>
          <w:shd w:val="clear" w:color="auto" w:fill="FFFFFF"/>
        </w:rPr>
      </w:pPr>
      <w:r w:rsidRPr="0046366C">
        <w:rPr>
          <w:shd w:val="clear" w:color="auto" w:fill="FFFFFF"/>
        </w:rPr>
        <w:t>Gemino, A., Horner Reich, B. and Serrador, P.M., 2021. Agile, traditional, and hybrid approaches to project success: is hybrid a poor second choice?. </w:t>
      </w:r>
      <w:r w:rsidRPr="0046366C">
        <w:rPr>
          <w:i/>
          <w:iCs/>
          <w:shd w:val="clear" w:color="auto" w:fill="FFFFFF"/>
        </w:rPr>
        <w:t>Project management journal</w:t>
      </w:r>
      <w:r w:rsidRPr="0046366C">
        <w:rPr>
          <w:shd w:val="clear" w:color="auto" w:fill="FFFFFF"/>
        </w:rPr>
        <w:t>, </w:t>
      </w:r>
      <w:r w:rsidRPr="0046366C">
        <w:rPr>
          <w:i/>
          <w:iCs/>
          <w:shd w:val="clear" w:color="auto" w:fill="FFFFFF"/>
        </w:rPr>
        <w:t>52</w:t>
      </w:r>
      <w:r w:rsidRPr="0046366C">
        <w:rPr>
          <w:shd w:val="clear" w:color="auto" w:fill="FFFFFF"/>
        </w:rPr>
        <w:t>(2), pp.161-175.</w:t>
      </w:r>
    </w:p>
    <w:p w14:paraId="705CA5F5" w14:textId="77777777" w:rsidR="00D71BBE" w:rsidRPr="0046366C" w:rsidRDefault="00CD393E" w:rsidP="00596C87">
      <w:pPr>
        <w:ind w:left="720" w:hanging="720"/>
      </w:pPr>
      <w:r w:rsidRPr="0046366C">
        <w:t>Ghasemi, R., Habibi, H.R., Ghasemlo, M. and Karami, M., 2019. The effectiveness of management accounting systems: evidence from financial organizations in Iran. Journal of Accounting in Emerging Economies, 9(2), pp.182-207.</w:t>
      </w:r>
    </w:p>
    <w:p w14:paraId="2D57946D" w14:textId="77777777" w:rsidR="00D71BBE" w:rsidRPr="0046366C" w:rsidRDefault="00CD393E" w:rsidP="00596C87">
      <w:pPr>
        <w:ind w:left="720" w:hanging="720"/>
      </w:pPr>
      <w:r w:rsidRPr="0046366C">
        <w:t>Jug, R., Jiang, X.S. and Bean, S.M., 2019. Giving and receiving effective feedback: A review article and how-to guide. Archives of pathology &amp; laboratory medicine, 143(2), pp.244-250.</w:t>
      </w:r>
    </w:p>
    <w:p w14:paraId="13E5ED25" w14:textId="77777777" w:rsidR="00D71BBE" w:rsidRPr="0046366C" w:rsidRDefault="00CD393E" w:rsidP="009E715B">
      <w:pPr>
        <w:ind w:left="720" w:hanging="720"/>
      </w:pPr>
      <w:r w:rsidRPr="0046366C">
        <w:t>Kumala, R. and Siregar, S.V., 2021. Corporate social responsibility, family ownership and earnings management: the case of Indonesia. Social Responsibility Journal, 17(1), pp.69-86.</w:t>
      </w:r>
    </w:p>
    <w:p w14:paraId="76C76C38" w14:textId="77777777" w:rsidR="00D71BBE" w:rsidRPr="0046366C" w:rsidRDefault="00CD393E" w:rsidP="009E715B">
      <w:pPr>
        <w:ind w:left="720" w:hanging="720"/>
      </w:pPr>
      <w:r w:rsidRPr="0046366C">
        <w:t>Lee, C.M. and Zhong, Q., 2022. Shall we talk? The role of interactive investor platforms in corporate communication. Journal of Accounting and Economics, 74(2-3), p.101524.</w:t>
      </w:r>
    </w:p>
    <w:p w14:paraId="5B8FA0FF" w14:textId="77777777" w:rsidR="00D71BBE" w:rsidRPr="0046366C" w:rsidRDefault="00CD393E" w:rsidP="009E715B">
      <w:pPr>
        <w:ind w:left="720" w:hanging="720"/>
      </w:pPr>
      <w:r w:rsidRPr="0046366C">
        <w:t>Lee, Charles MC, and Qinlin Zhong. "Shall we talk? The role of interactive investor platforms in corporate communication." Journal of Accounting and Economics 74, no. 2-3 (2022): 101524.</w:t>
      </w:r>
    </w:p>
    <w:p w14:paraId="30202BD5" w14:textId="77777777" w:rsidR="00D71BBE" w:rsidRPr="0046366C" w:rsidRDefault="00CD393E" w:rsidP="00596C87">
      <w:pPr>
        <w:ind w:left="720" w:hanging="720"/>
      </w:pPr>
      <w:r w:rsidRPr="0046366C">
        <w:t>Macintosh, N.B. and Daft, R.L., 2019. Management control systems and departmental interdependences: an empirical study. In Management Control Theory (pp. 289-302). Routledge.</w:t>
      </w:r>
    </w:p>
    <w:p w14:paraId="5D3E5202" w14:textId="77777777" w:rsidR="00D71BBE" w:rsidRPr="0046366C" w:rsidRDefault="00CD393E" w:rsidP="00596C87">
      <w:pPr>
        <w:ind w:left="720" w:hanging="720"/>
      </w:pPr>
      <w:r w:rsidRPr="0046366C">
        <w:t>Matějka, M., Merchant, K.A. and O'Grady, W., 2021. An empirical investigation of beyond budgeting practices. Journal of Management Accounting Research, 33(2), pp.167-189.</w:t>
      </w:r>
    </w:p>
    <w:p w14:paraId="3ADD0971" w14:textId="77777777" w:rsidR="00D71BBE" w:rsidRPr="0046366C" w:rsidRDefault="00CD393E" w:rsidP="00596C87">
      <w:pPr>
        <w:ind w:left="720" w:hanging="720"/>
      </w:pPr>
      <w:r w:rsidRPr="0046366C">
        <w:t>Mauro, S.G., Cinquini, L. and Pianezzi, D., 2021. New Public Management between reality and illusion: Analysing the validity of performance-based budgeting. The British Accounting Review, 53(6), p.100825.</w:t>
      </w:r>
    </w:p>
    <w:p w14:paraId="4CC01169" w14:textId="77777777" w:rsidR="00D71BBE" w:rsidRPr="0046366C" w:rsidRDefault="00CD393E" w:rsidP="00596C87">
      <w:pPr>
        <w:ind w:left="720" w:hanging="720"/>
      </w:pPr>
      <w:r w:rsidRPr="0046366C">
        <w:t>Nasution, D.A.D., 2020. Effect of budgetary participation on the budgetary slack with information asymmetry, environmental uncertainty, and budget emphasis as variables moderation. The International Journal of Business Management and Technology, 4(2), pp.113-120.</w:t>
      </w:r>
    </w:p>
    <w:p w14:paraId="7F68CF6B" w14:textId="77777777" w:rsidR="00D71BBE" w:rsidRPr="0046366C" w:rsidRDefault="00CD393E" w:rsidP="00596C87">
      <w:pPr>
        <w:ind w:left="720" w:hanging="720"/>
      </w:pPr>
      <w:r w:rsidRPr="0046366C">
        <w:t>Schiff, M. and Lewin, A.Y., 2019. The impact of people on budgets. In Management Control Theory (pp. 209-218). Routledge.</w:t>
      </w:r>
    </w:p>
    <w:p w14:paraId="72EA39BF" w14:textId="77777777" w:rsidR="00D71BBE" w:rsidRPr="0046366C" w:rsidRDefault="00CD393E" w:rsidP="00596C87">
      <w:pPr>
        <w:ind w:left="720" w:hanging="720"/>
      </w:pPr>
      <w:r w:rsidRPr="0046366C">
        <w:t>Simons, R., 2019. The role of management control systems in creating competitive advantage: new perspectives. In Management Control Theory (pp. 173-194). Routledge.</w:t>
      </w:r>
    </w:p>
    <w:p w14:paraId="1EB65A96" w14:textId="77777777" w:rsidR="00D71BBE" w:rsidRPr="0046366C" w:rsidRDefault="00CD393E" w:rsidP="00D71BBE">
      <w:pPr>
        <w:ind w:left="720" w:hanging="720"/>
      </w:pPr>
      <w:r w:rsidRPr="0046366C">
        <w:t>Srebro, B., Mavrenski, B., Bogojević Arsić, V., Knežević, S., Milašinović, M. and Travica, J., 2021. Bankruptcy risk prediction in ensuring the sustainable operation of agriculture companies. Sustainability, 13(14), p.7712.</w:t>
      </w:r>
    </w:p>
    <w:p w14:paraId="54BDEC41" w14:textId="77777777" w:rsidR="00D71BBE" w:rsidRPr="0046366C" w:rsidRDefault="00CD393E" w:rsidP="00D71BBE">
      <w:pPr>
        <w:ind w:left="720" w:hanging="720"/>
        <w:rPr>
          <w:shd w:val="clear" w:color="auto" w:fill="FFFFFF"/>
        </w:rPr>
      </w:pPr>
      <w:r w:rsidRPr="0046366C">
        <w:rPr>
          <w:shd w:val="clear" w:color="auto" w:fill="FFFFFF"/>
        </w:rPr>
        <w:t>Vindrola-Padros, C. and Johnson, G.A., 2020. Rapid techniques in qualitative research: a critical review of the literature. </w:t>
      </w:r>
      <w:r w:rsidRPr="0046366C">
        <w:rPr>
          <w:i/>
          <w:iCs/>
          <w:shd w:val="clear" w:color="auto" w:fill="FFFFFF"/>
        </w:rPr>
        <w:t>Qualitative health research</w:t>
      </w:r>
      <w:r w:rsidRPr="0046366C">
        <w:rPr>
          <w:shd w:val="clear" w:color="auto" w:fill="FFFFFF"/>
        </w:rPr>
        <w:t>, </w:t>
      </w:r>
      <w:r w:rsidRPr="0046366C">
        <w:rPr>
          <w:i/>
          <w:iCs/>
          <w:shd w:val="clear" w:color="auto" w:fill="FFFFFF"/>
        </w:rPr>
        <w:t>30</w:t>
      </w:r>
      <w:r w:rsidRPr="0046366C">
        <w:rPr>
          <w:shd w:val="clear" w:color="auto" w:fill="FFFFFF"/>
        </w:rPr>
        <w:t>(10), pp.1596-1604.</w:t>
      </w:r>
    </w:p>
    <w:p w14:paraId="151D698F" w14:textId="77777777" w:rsidR="00D71BBE" w:rsidRPr="0046366C" w:rsidRDefault="00D71BBE" w:rsidP="00D71BBE">
      <w:pPr>
        <w:ind w:left="720" w:hanging="720"/>
      </w:pPr>
    </w:p>
    <w:sectPr w:rsidR="00D71BBE" w:rsidRPr="0046366C" w:rsidSect="00CD393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4F6BA90"/>
    <w:multiLevelType w:val="hybridMultilevel"/>
    <w:tmpl w:val="749F540B"/>
    <w:lvl w:ilvl="0" w:tplc="333E3B28">
      <w:start w:val="1"/>
      <w:numFmt w:val="lowerLetter"/>
      <w:lvlText w:val=""/>
      <w:lvlJc w:val="left"/>
    </w:lvl>
    <w:lvl w:ilvl="1" w:tplc="C4B862DA">
      <w:numFmt w:val="decimal"/>
      <w:lvlText w:val=""/>
      <w:lvlJc w:val="left"/>
    </w:lvl>
    <w:lvl w:ilvl="2" w:tplc="C67E4BF2">
      <w:numFmt w:val="decimal"/>
      <w:lvlText w:val=""/>
      <w:lvlJc w:val="left"/>
    </w:lvl>
    <w:lvl w:ilvl="3" w:tplc="D2743F58">
      <w:numFmt w:val="decimal"/>
      <w:lvlText w:val=""/>
      <w:lvlJc w:val="left"/>
    </w:lvl>
    <w:lvl w:ilvl="4" w:tplc="69E2646E">
      <w:numFmt w:val="decimal"/>
      <w:lvlText w:val=""/>
      <w:lvlJc w:val="left"/>
    </w:lvl>
    <w:lvl w:ilvl="5" w:tplc="4FB6875C">
      <w:numFmt w:val="decimal"/>
      <w:lvlText w:val=""/>
      <w:lvlJc w:val="left"/>
    </w:lvl>
    <w:lvl w:ilvl="6" w:tplc="51443130">
      <w:numFmt w:val="decimal"/>
      <w:lvlText w:val=""/>
      <w:lvlJc w:val="left"/>
    </w:lvl>
    <w:lvl w:ilvl="7" w:tplc="6472062C">
      <w:numFmt w:val="decimal"/>
      <w:lvlText w:val=""/>
      <w:lvlJc w:val="left"/>
    </w:lvl>
    <w:lvl w:ilvl="8" w:tplc="0F48BE3E">
      <w:numFmt w:val="decimal"/>
      <w:lvlText w:val=""/>
      <w:lvlJc w:val="left"/>
    </w:lvl>
  </w:abstractNum>
  <w:abstractNum w:abstractNumId="1" w15:restartNumberingAfterBreak="0">
    <w:nsid w:val="2A5FEEAF"/>
    <w:multiLevelType w:val="hybridMultilevel"/>
    <w:tmpl w:val="C433A65D"/>
    <w:lvl w:ilvl="0" w:tplc="13C82254">
      <w:start w:val="1"/>
      <w:numFmt w:val="lowerLetter"/>
      <w:lvlText w:val=""/>
      <w:lvlJc w:val="left"/>
    </w:lvl>
    <w:lvl w:ilvl="1" w:tplc="5A7A8C12">
      <w:numFmt w:val="decimal"/>
      <w:lvlText w:val=""/>
      <w:lvlJc w:val="left"/>
    </w:lvl>
    <w:lvl w:ilvl="2" w:tplc="2F986AE8">
      <w:numFmt w:val="decimal"/>
      <w:lvlText w:val=""/>
      <w:lvlJc w:val="left"/>
    </w:lvl>
    <w:lvl w:ilvl="3" w:tplc="9ED6115A">
      <w:numFmt w:val="decimal"/>
      <w:lvlText w:val=""/>
      <w:lvlJc w:val="left"/>
    </w:lvl>
    <w:lvl w:ilvl="4" w:tplc="F1D2A16C">
      <w:numFmt w:val="decimal"/>
      <w:lvlText w:val=""/>
      <w:lvlJc w:val="left"/>
    </w:lvl>
    <w:lvl w:ilvl="5" w:tplc="17C2DFF8">
      <w:numFmt w:val="decimal"/>
      <w:lvlText w:val=""/>
      <w:lvlJc w:val="left"/>
    </w:lvl>
    <w:lvl w:ilvl="6" w:tplc="A81CA954">
      <w:numFmt w:val="decimal"/>
      <w:lvlText w:val=""/>
      <w:lvlJc w:val="left"/>
    </w:lvl>
    <w:lvl w:ilvl="7" w:tplc="84147AFE">
      <w:numFmt w:val="decimal"/>
      <w:lvlText w:val=""/>
      <w:lvlJc w:val="left"/>
    </w:lvl>
    <w:lvl w:ilvl="8" w:tplc="D38644E0">
      <w:numFmt w:val="decimal"/>
      <w:lvlText w:val=""/>
      <w:lvlJc w:val="left"/>
    </w:lvl>
  </w:abstractNum>
  <w:abstractNum w:abstractNumId="2" w15:restartNumberingAfterBreak="0">
    <w:nsid w:val="7D492093"/>
    <w:multiLevelType w:val="hybridMultilevel"/>
    <w:tmpl w:val="B4C09F22"/>
    <w:lvl w:ilvl="0" w:tplc="6AACE320">
      <w:start w:val="1"/>
      <w:numFmt w:val="bullet"/>
      <w:lvlText w:val=""/>
      <w:lvlJc w:val="left"/>
      <w:pPr>
        <w:ind w:left="720" w:hanging="360"/>
      </w:pPr>
      <w:rPr>
        <w:rFonts w:ascii="Symbol" w:hAnsi="Symbol" w:hint="default"/>
      </w:rPr>
    </w:lvl>
    <w:lvl w:ilvl="1" w:tplc="E32242EA" w:tentative="1">
      <w:start w:val="1"/>
      <w:numFmt w:val="bullet"/>
      <w:lvlText w:val="o"/>
      <w:lvlJc w:val="left"/>
      <w:pPr>
        <w:ind w:left="1440" w:hanging="360"/>
      </w:pPr>
      <w:rPr>
        <w:rFonts w:ascii="Courier New" w:hAnsi="Courier New" w:cs="Courier New" w:hint="default"/>
      </w:rPr>
    </w:lvl>
    <w:lvl w:ilvl="2" w:tplc="6FDA71E2" w:tentative="1">
      <w:start w:val="1"/>
      <w:numFmt w:val="bullet"/>
      <w:lvlText w:val=""/>
      <w:lvlJc w:val="left"/>
      <w:pPr>
        <w:ind w:left="2160" w:hanging="360"/>
      </w:pPr>
      <w:rPr>
        <w:rFonts w:ascii="Wingdings" w:hAnsi="Wingdings" w:hint="default"/>
      </w:rPr>
    </w:lvl>
    <w:lvl w:ilvl="3" w:tplc="7564F28E" w:tentative="1">
      <w:start w:val="1"/>
      <w:numFmt w:val="bullet"/>
      <w:lvlText w:val=""/>
      <w:lvlJc w:val="left"/>
      <w:pPr>
        <w:ind w:left="2880" w:hanging="360"/>
      </w:pPr>
      <w:rPr>
        <w:rFonts w:ascii="Symbol" w:hAnsi="Symbol" w:hint="default"/>
      </w:rPr>
    </w:lvl>
    <w:lvl w:ilvl="4" w:tplc="BD644FDC" w:tentative="1">
      <w:start w:val="1"/>
      <w:numFmt w:val="bullet"/>
      <w:lvlText w:val="o"/>
      <w:lvlJc w:val="left"/>
      <w:pPr>
        <w:ind w:left="3600" w:hanging="360"/>
      </w:pPr>
      <w:rPr>
        <w:rFonts w:ascii="Courier New" w:hAnsi="Courier New" w:cs="Courier New" w:hint="default"/>
      </w:rPr>
    </w:lvl>
    <w:lvl w:ilvl="5" w:tplc="205813E6" w:tentative="1">
      <w:start w:val="1"/>
      <w:numFmt w:val="bullet"/>
      <w:lvlText w:val=""/>
      <w:lvlJc w:val="left"/>
      <w:pPr>
        <w:ind w:left="4320" w:hanging="360"/>
      </w:pPr>
      <w:rPr>
        <w:rFonts w:ascii="Wingdings" w:hAnsi="Wingdings" w:hint="default"/>
      </w:rPr>
    </w:lvl>
    <w:lvl w:ilvl="6" w:tplc="A6A82014" w:tentative="1">
      <w:start w:val="1"/>
      <w:numFmt w:val="bullet"/>
      <w:lvlText w:val=""/>
      <w:lvlJc w:val="left"/>
      <w:pPr>
        <w:ind w:left="5040" w:hanging="360"/>
      </w:pPr>
      <w:rPr>
        <w:rFonts w:ascii="Symbol" w:hAnsi="Symbol" w:hint="default"/>
      </w:rPr>
    </w:lvl>
    <w:lvl w:ilvl="7" w:tplc="EC4A67EE" w:tentative="1">
      <w:start w:val="1"/>
      <w:numFmt w:val="bullet"/>
      <w:lvlText w:val="o"/>
      <w:lvlJc w:val="left"/>
      <w:pPr>
        <w:ind w:left="5760" w:hanging="360"/>
      </w:pPr>
      <w:rPr>
        <w:rFonts w:ascii="Courier New" w:hAnsi="Courier New" w:cs="Courier New" w:hint="default"/>
      </w:rPr>
    </w:lvl>
    <w:lvl w:ilvl="8" w:tplc="9AB4994C" w:tentative="1">
      <w:start w:val="1"/>
      <w:numFmt w:val="bullet"/>
      <w:lvlText w:val=""/>
      <w:lvlJc w:val="left"/>
      <w:pPr>
        <w:ind w:left="6480" w:hanging="360"/>
      </w:pPr>
      <w:rPr>
        <w:rFonts w:ascii="Wingdings" w:hAnsi="Wingdings" w:hint="default"/>
      </w:rPr>
    </w:lvl>
  </w:abstractNum>
  <w:num w:numId="1" w16cid:durableId="1983465462">
    <w:abstractNumId w:val="0"/>
  </w:num>
  <w:num w:numId="2" w16cid:durableId="244269556">
    <w:abstractNumId w:val="1"/>
  </w:num>
  <w:num w:numId="3" w16cid:durableId="671837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022"/>
    <w:rsid w:val="000416C0"/>
    <w:rsid w:val="000B010D"/>
    <w:rsid w:val="000F41C6"/>
    <w:rsid w:val="000F64AF"/>
    <w:rsid w:val="00116968"/>
    <w:rsid w:val="001256AE"/>
    <w:rsid w:val="0012585D"/>
    <w:rsid w:val="001F7391"/>
    <w:rsid w:val="00207A60"/>
    <w:rsid w:val="0028168A"/>
    <w:rsid w:val="0028403C"/>
    <w:rsid w:val="00291857"/>
    <w:rsid w:val="002B0B04"/>
    <w:rsid w:val="003167AE"/>
    <w:rsid w:val="00324B80"/>
    <w:rsid w:val="00337630"/>
    <w:rsid w:val="0037407F"/>
    <w:rsid w:val="00374AAE"/>
    <w:rsid w:val="00381267"/>
    <w:rsid w:val="0039000E"/>
    <w:rsid w:val="003C3751"/>
    <w:rsid w:val="003D61A7"/>
    <w:rsid w:val="003F65D2"/>
    <w:rsid w:val="00400A61"/>
    <w:rsid w:val="00443807"/>
    <w:rsid w:val="00445A34"/>
    <w:rsid w:val="00446217"/>
    <w:rsid w:val="00451F2D"/>
    <w:rsid w:val="00452123"/>
    <w:rsid w:val="0046366C"/>
    <w:rsid w:val="004925F0"/>
    <w:rsid w:val="00497733"/>
    <w:rsid w:val="004A41AC"/>
    <w:rsid w:val="004F4C52"/>
    <w:rsid w:val="004F5B56"/>
    <w:rsid w:val="00515F8E"/>
    <w:rsid w:val="005366E0"/>
    <w:rsid w:val="00552A5A"/>
    <w:rsid w:val="005605EE"/>
    <w:rsid w:val="005628D0"/>
    <w:rsid w:val="00596C87"/>
    <w:rsid w:val="005C3E51"/>
    <w:rsid w:val="00603532"/>
    <w:rsid w:val="00615515"/>
    <w:rsid w:val="00643538"/>
    <w:rsid w:val="00645F44"/>
    <w:rsid w:val="00650A09"/>
    <w:rsid w:val="00664A76"/>
    <w:rsid w:val="006C656D"/>
    <w:rsid w:val="006D55AD"/>
    <w:rsid w:val="006D7126"/>
    <w:rsid w:val="006F294D"/>
    <w:rsid w:val="00726DC8"/>
    <w:rsid w:val="0073225C"/>
    <w:rsid w:val="00792605"/>
    <w:rsid w:val="007A69A3"/>
    <w:rsid w:val="007B51FC"/>
    <w:rsid w:val="007E5032"/>
    <w:rsid w:val="00854B27"/>
    <w:rsid w:val="00886988"/>
    <w:rsid w:val="00886E22"/>
    <w:rsid w:val="00895388"/>
    <w:rsid w:val="008A724F"/>
    <w:rsid w:val="009106C3"/>
    <w:rsid w:val="00941273"/>
    <w:rsid w:val="009425BF"/>
    <w:rsid w:val="00990DDE"/>
    <w:rsid w:val="009D1423"/>
    <w:rsid w:val="009E715B"/>
    <w:rsid w:val="009F5381"/>
    <w:rsid w:val="00A67EBD"/>
    <w:rsid w:val="00A97022"/>
    <w:rsid w:val="00AA4D37"/>
    <w:rsid w:val="00AE1577"/>
    <w:rsid w:val="00B03992"/>
    <w:rsid w:val="00B76F07"/>
    <w:rsid w:val="00B87652"/>
    <w:rsid w:val="00B974DC"/>
    <w:rsid w:val="00BA31BD"/>
    <w:rsid w:val="00BC0D6E"/>
    <w:rsid w:val="00C6058B"/>
    <w:rsid w:val="00C66E58"/>
    <w:rsid w:val="00C756DC"/>
    <w:rsid w:val="00CA689F"/>
    <w:rsid w:val="00CB70BC"/>
    <w:rsid w:val="00CC2777"/>
    <w:rsid w:val="00CD393E"/>
    <w:rsid w:val="00D1288C"/>
    <w:rsid w:val="00D4697E"/>
    <w:rsid w:val="00D71BBE"/>
    <w:rsid w:val="00DC7B0E"/>
    <w:rsid w:val="00DF3D01"/>
    <w:rsid w:val="00E15921"/>
    <w:rsid w:val="00E162B8"/>
    <w:rsid w:val="00E323CE"/>
    <w:rsid w:val="00E5075F"/>
    <w:rsid w:val="00E612F9"/>
    <w:rsid w:val="00EC5092"/>
    <w:rsid w:val="00EE6CDB"/>
    <w:rsid w:val="00F06B7B"/>
    <w:rsid w:val="00F1418E"/>
    <w:rsid w:val="00F1751C"/>
    <w:rsid w:val="00F311D3"/>
    <w:rsid w:val="00F41475"/>
    <w:rsid w:val="00F553B1"/>
    <w:rsid w:val="00FC41E7"/>
    <w:rsid w:val="00FD03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877F"/>
  <w15:docId w15:val="{E1B70EA5-AD65-4D0C-823D-FF7A91B21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25C"/>
    <w:pPr>
      <w:spacing w:line="360" w:lineRule="auto"/>
      <w:jc w:val="both"/>
    </w:pPr>
  </w:style>
  <w:style w:type="paragraph" w:styleId="Heading1">
    <w:name w:val="heading 1"/>
    <w:basedOn w:val="Normal"/>
    <w:next w:val="Normal"/>
    <w:link w:val="Heading1Char"/>
    <w:autoRedefine/>
    <w:uiPriority w:val="9"/>
    <w:qFormat/>
    <w:rsid w:val="009106C3"/>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1F7391"/>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F7391"/>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F7391"/>
    <w:rPr>
      <w:rFonts w:eastAsiaTheme="majorEastAsia" w:cstheme="majorBidi"/>
      <w:b/>
      <w:i/>
      <w:szCs w:val="26"/>
    </w:rPr>
  </w:style>
  <w:style w:type="paragraph" w:styleId="Header">
    <w:name w:val="header"/>
    <w:basedOn w:val="Normal"/>
    <w:link w:val="HeaderChar"/>
    <w:uiPriority w:val="99"/>
    <w:unhideWhenUsed/>
    <w:rsid w:val="009D14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1423"/>
  </w:style>
  <w:style w:type="paragraph" w:styleId="Footer">
    <w:name w:val="footer"/>
    <w:basedOn w:val="Normal"/>
    <w:link w:val="FooterChar"/>
    <w:uiPriority w:val="99"/>
    <w:unhideWhenUsed/>
    <w:rsid w:val="009D1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1423"/>
  </w:style>
  <w:style w:type="character" w:customStyle="1" w:styleId="Heading1Char">
    <w:name w:val="Heading 1 Char"/>
    <w:basedOn w:val="DefaultParagraphFont"/>
    <w:link w:val="Heading1"/>
    <w:uiPriority w:val="9"/>
    <w:rsid w:val="009106C3"/>
    <w:rPr>
      <w:rFonts w:eastAsiaTheme="majorEastAsia" w:cstheme="majorBidi"/>
      <w:b/>
      <w:color w:val="000000" w:themeColor="text1"/>
      <w:szCs w:val="32"/>
    </w:rPr>
  </w:style>
  <w:style w:type="paragraph" w:styleId="TOCHeading">
    <w:name w:val="TOC Heading"/>
    <w:basedOn w:val="Heading1"/>
    <w:next w:val="Normal"/>
    <w:uiPriority w:val="39"/>
    <w:unhideWhenUsed/>
    <w:qFormat/>
    <w:rsid w:val="009106C3"/>
    <w:pPr>
      <w:spacing w:line="259" w:lineRule="auto"/>
      <w:outlineLvl w:val="9"/>
    </w:pPr>
  </w:style>
  <w:style w:type="paragraph" w:styleId="TOC1">
    <w:name w:val="toc 1"/>
    <w:basedOn w:val="Normal"/>
    <w:next w:val="Normal"/>
    <w:autoRedefine/>
    <w:uiPriority w:val="39"/>
    <w:unhideWhenUsed/>
    <w:rsid w:val="00497733"/>
    <w:pPr>
      <w:spacing w:after="100"/>
    </w:pPr>
  </w:style>
  <w:style w:type="character" w:styleId="Hyperlink">
    <w:name w:val="Hyperlink"/>
    <w:basedOn w:val="DefaultParagraphFont"/>
    <w:uiPriority w:val="99"/>
    <w:unhideWhenUsed/>
    <w:rsid w:val="00497733"/>
    <w:rPr>
      <w:color w:val="0563C1" w:themeColor="hyperlink"/>
      <w:u w:val="single"/>
    </w:rPr>
  </w:style>
  <w:style w:type="paragraph" w:styleId="BalloonText">
    <w:name w:val="Balloon Text"/>
    <w:basedOn w:val="Normal"/>
    <w:link w:val="BalloonTextChar"/>
    <w:uiPriority w:val="99"/>
    <w:semiHidden/>
    <w:unhideWhenUsed/>
    <w:rsid w:val="00726D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DC8"/>
    <w:rPr>
      <w:rFonts w:ascii="Tahoma" w:hAnsi="Tahoma" w:cs="Tahoma"/>
      <w:sz w:val="16"/>
      <w:szCs w:val="16"/>
    </w:rPr>
  </w:style>
  <w:style w:type="character" w:styleId="CommentReference">
    <w:name w:val="annotation reference"/>
    <w:basedOn w:val="DefaultParagraphFont"/>
    <w:uiPriority w:val="99"/>
    <w:semiHidden/>
    <w:unhideWhenUsed/>
    <w:rsid w:val="00F41475"/>
    <w:rPr>
      <w:sz w:val="16"/>
      <w:szCs w:val="16"/>
    </w:rPr>
  </w:style>
  <w:style w:type="paragraph" w:styleId="CommentText">
    <w:name w:val="annotation text"/>
    <w:basedOn w:val="Normal"/>
    <w:link w:val="CommentTextChar"/>
    <w:uiPriority w:val="99"/>
    <w:semiHidden/>
    <w:unhideWhenUsed/>
    <w:rsid w:val="00F41475"/>
    <w:pPr>
      <w:spacing w:line="240" w:lineRule="auto"/>
    </w:pPr>
    <w:rPr>
      <w:sz w:val="20"/>
      <w:szCs w:val="20"/>
    </w:rPr>
  </w:style>
  <w:style w:type="character" w:customStyle="1" w:styleId="CommentTextChar">
    <w:name w:val="Comment Text Char"/>
    <w:basedOn w:val="DefaultParagraphFont"/>
    <w:link w:val="CommentText"/>
    <w:uiPriority w:val="99"/>
    <w:semiHidden/>
    <w:rsid w:val="00F41475"/>
    <w:rPr>
      <w:sz w:val="20"/>
      <w:szCs w:val="20"/>
    </w:rPr>
  </w:style>
  <w:style w:type="paragraph" w:styleId="CommentSubject">
    <w:name w:val="annotation subject"/>
    <w:basedOn w:val="CommentText"/>
    <w:next w:val="CommentText"/>
    <w:link w:val="CommentSubjectChar"/>
    <w:uiPriority w:val="99"/>
    <w:semiHidden/>
    <w:unhideWhenUsed/>
    <w:rsid w:val="00F41475"/>
    <w:rPr>
      <w:b/>
      <w:bCs/>
    </w:rPr>
  </w:style>
  <w:style w:type="character" w:customStyle="1" w:styleId="CommentSubjectChar">
    <w:name w:val="Comment Subject Char"/>
    <w:basedOn w:val="CommentTextChar"/>
    <w:link w:val="CommentSubject"/>
    <w:uiPriority w:val="99"/>
    <w:semiHidden/>
    <w:rsid w:val="00F41475"/>
    <w:rPr>
      <w:b/>
      <w:bCs/>
      <w:sz w:val="20"/>
      <w:szCs w:val="20"/>
    </w:rPr>
  </w:style>
  <w:style w:type="character" w:customStyle="1" w:styleId="Heading3Char">
    <w:name w:val="Heading 3 Char"/>
    <w:basedOn w:val="DefaultParagraphFont"/>
    <w:link w:val="Heading3"/>
    <w:uiPriority w:val="9"/>
    <w:rsid w:val="001F7391"/>
    <w:rPr>
      <w:rFonts w:eastAsiaTheme="majorEastAsia" w:cstheme="majorBidi"/>
      <w:b/>
      <w:bCs/>
      <w:i/>
      <w:color w:val="000000" w:themeColor="text1"/>
    </w:rPr>
  </w:style>
  <w:style w:type="paragraph" w:customStyle="1" w:styleId="Default">
    <w:name w:val="Default"/>
    <w:rsid w:val="001F7391"/>
    <w:pPr>
      <w:autoSpaceDE w:val="0"/>
      <w:autoSpaceDN w:val="0"/>
      <w:adjustRightInd w:val="0"/>
      <w:spacing w:after="0" w:line="240" w:lineRule="auto"/>
    </w:pPr>
    <w:rPr>
      <w:rFonts w:ascii="Arial" w:hAnsi="Arial" w:cs="Arial"/>
      <w:color w:val="000000"/>
      <w:lang w:val="en-GB"/>
    </w:rPr>
  </w:style>
  <w:style w:type="paragraph" w:styleId="ListParagraph">
    <w:name w:val="List Paragraph"/>
    <w:basedOn w:val="Normal"/>
    <w:uiPriority w:val="34"/>
    <w:qFormat/>
    <w:rsid w:val="006C656D"/>
    <w:pPr>
      <w:ind w:left="720"/>
      <w:contextualSpacing/>
    </w:pPr>
  </w:style>
  <w:style w:type="paragraph" w:styleId="TOC2">
    <w:name w:val="toc 2"/>
    <w:basedOn w:val="Normal"/>
    <w:next w:val="Normal"/>
    <w:autoRedefine/>
    <w:uiPriority w:val="39"/>
    <w:unhideWhenUsed/>
    <w:rsid w:val="00207A60"/>
    <w:pPr>
      <w:spacing w:after="100"/>
      <w:ind w:left="240"/>
    </w:pPr>
  </w:style>
  <w:style w:type="paragraph" w:styleId="TOC3">
    <w:name w:val="toc 3"/>
    <w:basedOn w:val="Normal"/>
    <w:next w:val="Normal"/>
    <w:autoRedefine/>
    <w:uiPriority w:val="39"/>
    <w:unhideWhenUsed/>
    <w:rsid w:val="00207A60"/>
    <w:pPr>
      <w:spacing w:after="100"/>
      <w:ind w:left="480"/>
    </w:pPr>
  </w:style>
  <w:style w:type="paragraph" w:styleId="NoSpacing">
    <w:name w:val="No Spacing"/>
    <w:link w:val="NoSpacingChar"/>
    <w:uiPriority w:val="1"/>
    <w:qFormat/>
    <w:rsid w:val="00CD393E"/>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CD393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theme" Target="theme/theme1.xml" /><Relationship Id="rId5" Type="http://schemas.openxmlformats.org/officeDocument/2006/relationships/settings" Target="settings.xml" /><Relationship Id="rId10" Type="http://schemas.openxmlformats.org/officeDocument/2006/relationships/glossaryDocument" Target="glossary/document.xml" /><Relationship Id="rId4" Type="http://schemas.openxmlformats.org/officeDocument/2006/relationships/styles" Target="style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8DD0A1288E4635929BA38F32694D2C"/>
        <w:category>
          <w:name w:val="General"/>
          <w:gallery w:val="placeholder"/>
        </w:category>
        <w:types>
          <w:type w:val="bbPlcHdr"/>
        </w:types>
        <w:behaviors>
          <w:behavior w:val="content"/>
        </w:behaviors>
        <w:guid w:val="{930D3E26-2FC6-4D46-B8EF-9FBE3C2F5D92}"/>
      </w:docPartPr>
      <w:docPartBody>
        <w:p w:rsidR="008F47B4" w:rsidRDefault="008F47B4" w:rsidP="008F47B4">
          <w:pPr>
            <w:pStyle w:val="3D8DD0A1288E4635929BA38F32694D2C"/>
          </w:pPr>
          <w:r>
            <w:rPr>
              <w:rFonts w:asciiTheme="majorHAnsi" w:eastAsiaTheme="majorEastAsia" w:hAnsiTheme="majorHAnsi" w:cstheme="majorBidi"/>
              <w:caps/>
              <w:color w:val="156082" w:themeColor="accent1"/>
              <w:sz w:val="80"/>
              <w:szCs w:val="80"/>
            </w:rPr>
            <w:t>[Document title]</w:t>
          </w:r>
        </w:p>
      </w:docPartBody>
    </w:docPart>
    <w:docPart>
      <w:docPartPr>
        <w:name w:val="22C85244368A4F45AC05DFCC93B517C1"/>
        <w:category>
          <w:name w:val="General"/>
          <w:gallery w:val="placeholder"/>
        </w:category>
        <w:types>
          <w:type w:val="bbPlcHdr"/>
        </w:types>
        <w:behaviors>
          <w:behavior w:val="content"/>
        </w:behaviors>
        <w:guid w:val="{6AE0900B-B7FD-4BDC-BE67-D438A3F340E7}"/>
      </w:docPartPr>
      <w:docPartBody>
        <w:p w:rsidR="008F47B4" w:rsidRDefault="008F47B4" w:rsidP="008F47B4">
          <w:pPr>
            <w:pStyle w:val="22C85244368A4F45AC05DFCC93B517C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7B4"/>
    <w:rsid w:val="008F47B4"/>
    <w:rsid w:val="00F42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8DD0A1288E4635929BA38F32694D2C">
    <w:name w:val="3D8DD0A1288E4635929BA38F32694D2C"/>
    <w:rsid w:val="008F47B4"/>
  </w:style>
  <w:style w:type="paragraph" w:customStyle="1" w:styleId="22C85244368A4F45AC05DFCC93B517C1">
    <w:name w:val="22C85244368A4F45AC05DFCC93B517C1"/>
    <w:rsid w:val="008F47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2024-04-15T00:00:00</PublishDate>
  <Abstract/>
  <CompanyAddress>Ricardo Buryansky (2213160)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CD6F5-1767-4F1B-A6D6-49B3A7578F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4395</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Company>
  <LinksUpToDate>false</LinksUpToDate>
  <CharactersWithSpaces>29389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BMSW5012</dc:subject>
  <dc:creator>Ricardo</dc:creator>
  <cp:lastModifiedBy>Ricardo Buryansky (2213160)</cp:lastModifiedBy>
  <cp:revision>2</cp:revision>
  <dcterms:created xsi:type="dcterms:W3CDTF">2024-04-14T08:17:00Z</dcterms:created>
  <dcterms:modified xsi:type="dcterms:W3CDTF">2024-04-14T08:17:00Z</dcterms:modified>
</cp:coreProperties>
</file>