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_rels/header3.xml.rels" ContentType="application/vnd.openxmlformats-package.relationships+xml"/>
  <Override PartName="/word/_rels/document.xml.rels" ContentType="application/vnd.openxmlformats-package.relationships+xml"/>
  <Override PartName="/word/_rels/header2.xml.rels" ContentType="application/vnd.openxmlformats-package.relationship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media/image1.jpeg" ContentType="image/jpeg"/>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center"/>
        <w:rPr>
          <w:rFonts w:ascii="Arial" w:hAnsi="Arial"/>
        </w:rPr>
      </w:pPr>
      <w:r>
        <w:rPr>
          <w:rFonts w:eastAsia="Times New Roman" w:cs="Times New Roman"/>
          <w:b/>
          <w:sz w:val="24"/>
          <w:szCs w:val="24"/>
        </w:rPr>
        <w:t xml:space="preserve">Assessment component 2: Individual Report : General Electronics </w:t>
      </w:r>
    </w:p>
    <w:p>
      <w:pPr>
        <w:pStyle w:val="Normal"/>
        <w:spacing w:lineRule="auto" w:line="360" w:before="0" w:after="200"/>
        <w:jc w:val="center"/>
        <w:rPr>
          <w:rFonts w:ascii="Arial" w:hAnsi="Arial" w:eastAsia="Times New Roman" w:cs="Times New Roman"/>
          <w:b w:val="false"/>
          <w:bCs w:val="false"/>
          <w:sz w:val="24"/>
          <w:szCs w:val="24"/>
        </w:rPr>
      </w:pPr>
      <w:r>
        <w:rPr>
          <w:rFonts w:eastAsia="Times New Roman" w:cs="Times New Roman"/>
          <w:b w:val="false"/>
          <w:bCs w:val="false"/>
          <w:sz w:val="24"/>
          <w:szCs w:val="24"/>
        </w:rPr>
      </w:r>
    </w:p>
    <w:p>
      <w:pPr>
        <w:pStyle w:val="Normal"/>
        <w:spacing w:lineRule="auto" w:line="360" w:before="0" w:after="200"/>
        <w:jc w:val="center"/>
        <w:rPr>
          <w:rFonts w:ascii="Arial" w:hAnsi="Arial"/>
        </w:rPr>
      </w:pPr>
      <w:r>
        <w:rPr>
          <w:rFonts w:eastAsia="Times New Roman" w:cs="Times New Roman"/>
          <w:b/>
          <w:sz w:val="24"/>
          <w:szCs w:val="24"/>
        </w:rPr>
        <w:t xml:space="preserve">Student Name : </w:t>
      </w:r>
      <w:r>
        <w:rPr>
          <w:rFonts w:eastAsia="Times New Roman" w:cs="Times New Roman"/>
          <w:b w:val="false"/>
          <w:bCs w:val="false"/>
          <w:sz w:val="24"/>
          <w:szCs w:val="24"/>
        </w:rPr>
        <w:t>Dipak Modhavadiya</w:t>
      </w:r>
    </w:p>
    <w:p>
      <w:pPr>
        <w:pStyle w:val="Normal"/>
        <w:spacing w:lineRule="auto" w:line="360" w:before="0" w:after="200"/>
        <w:jc w:val="center"/>
        <w:rPr>
          <w:rFonts w:ascii="Arial" w:hAnsi="Arial"/>
        </w:rPr>
      </w:pPr>
      <w:r>
        <w:rPr>
          <w:rFonts w:eastAsia="Times New Roman" w:cs="Times New Roman"/>
          <w:b/>
          <w:sz w:val="24"/>
          <w:szCs w:val="24"/>
        </w:rPr>
        <w:t xml:space="preserve">Student ID : </w:t>
      </w:r>
      <w:r>
        <w:rPr>
          <w:rFonts w:eastAsia="Times New Roman" w:cs="Times New Roman"/>
          <w:b w:val="false"/>
          <w:bCs w:val="false"/>
          <w:sz w:val="24"/>
          <w:szCs w:val="24"/>
        </w:rPr>
        <w:t>2506701</w:t>
      </w:r>
      <w:r>
        <w:rPr>
          <w:rFonts w:eastAsia="Times New Roman" w:cs="Times New Roman"/>
          <w:b/>
          <w:sz w:val="24"/>
          <w:szCs w:val="24"/>
        </w:rPr>
        <w:br/>
        <w:t>Module Name:</w:t>
      </w:r>
      <w:r>
        <w:rPr>
          <w:rFonts w:eastAsia="Times New Roman" w:cs="Times New Roman"/>
          <w:b w:val="false"/>
          <w:bCs w:val="false"/>
          <w:sz w:val="24"/>
          <w:szCs w:val="24"/>
        </w:rPr>
        <w:t xml:space="preserve"> Financial Management</w:t>
      </w:r>
    </w:p>
    <w:p>
      <w:pPr>
        <w:pStyle w:val="Normal"/>
        <w:spacing w:lineRule="auto" w:line="360" w:before="0" w:after="200"/>
        <w:jc w:val="center"/>
        <w:rPr>
          <w:rFonts w:ascii="Arial" w:hAnsi="Arial"/>
        </w:rPr>
      </w:pPr>
      <w:r>
        <w:rPr>
          <w:rFonts w:eastAsia="Times New Roman" w:cs="Times New Roman"/>
          <w:b/>
          <w:sz w:val="24"/>
          <w:szCs w:val="24"/>
        </w:rPr>
        <w:t xml:space="preserve">Module Code: </w:t>
      </w:r>
      <w:r>
        <w:rPr>
          <w:rFonts w:eastAsia="Times New Roman" w:cs="Times New Roman"/>
          <w:b w:val="false"/>
          <w:bCs w:val="false"/>
          <w:sz w:val="24"/>
          <w:szCs w:val="24"/>
        </w:rPr>
        <w:t>LCMB7002</w:t>
      </w:r>
    </w:p>
    <w:p>
      <w:pPr>
        <w:pStyle w:val="Normal"/>
        <w:bidi w:val="0"/>
        <w:spacing w:lineRule="auto" w:line="360" w:before="0" w:after="200"/>
        <w:jc w:val="center"/>
        <w:rPr>
          <w:rFonts w:ascii="Arial" w:hAnsi="Arial"/>
        </w:rPr>
      </w:pPr>
      <w:r>
        <w:rPr>
          <w:rFonts w:eastAsia="Times New Roman" w:cs="Times New Roman"/>
          <w:b/>
          <w:sz w:val="24"/>
          <w:szCs w:val="24"/>
        </w:rPr>
        <w:t xml:space="preserve">Lecturere’s Name: </w:t>
      </w:r>
      <w:r>
        <w:rPr>
          <w:rFonts w:eastAsia="Times New Roman" w:cs="Times New Roman"/>
          <w:b w:val="false"/>
          <w:bCs w:val="false"/>
          <w:sz w:val="24"/>
          <w:szCs w:val="24"/>
        </w:rPr>
        <w:t>Dr Shengfeng Mei (London)</w:t>
      </w:r>
      <w:r>
        <w:rPr>
          <w:sz w:val="24"/>
          <w:szCs w:val="24"/>
        </w:rPr>
        <w:t xml:space="preserve"> </w:t>
      </w:r>
    </w:p>
    <w:p>
      <w:pPr>
        <w:pStyle w:val="Normal"/>
        <w:bidi w:val="1"/>
        <w:spacing w:lineRule="auto" w:line="360" w:before="0" w:after="200"/>
        <w:jc w:val="center"/>
        <w:rPr>
          <w:rFonts w:ascii="Arial" w:hAnsi="Arial"/>
        </w:rPr>
      </w:pPr>
      <w:r>
        <w:rPr>
          <w:rFonts w:eastAsia="Times New Roman" w:cs="Times New Roman"/>
          <w:b/>
          <w:sz w:val="24"/>
          <w:szCs w:val="24"/>
        </w:rPr>
        <w:t xml:space="preserve">Word Count : </w:t>
      </w:r>
      <w:r>
        <w:rPr>
          <w:rFonts w:eastAsia="Times New Roman" w:cs="Times New Roman"/>
          <w:b w:val="false"/>
          <w:bCs w:val="false"/>
          <w:sz w:val="24"/>
          <w:szCs w:val="24"/>
        </w:rPr>
        <w:t>6,600</w:t>
      </w:r>
      <w:r>
        <w:rPr>
          <w:sz w:val="24"/>
          <w:szCs w:val="24"/>
        </w:rPr>
        <w:t xml:space="preserve"> words (± 10%)</w:t>
      </w:r>
      <w:r>
        <w:rPr>
          <w:sz w:val="24"/>
          <w:szCs w:val="24"/>
          <w:rtl w:val="true"/>
        </w:rPr>
        <w:t xml:space="preserve"> </w:t>
      </w:r>
    </w:p>
    <w:p>
      <w:pPr>
        <w:pStyle w:val="Normal"/>
        <w:spacing w:lineRule="auto" w:line="360" w:before="0" w:after="200"/>
        <w:jc w:val="center"/>
        <w:rPr>
          <w:rFonts w:ascii="Arial" w:hAnsi="Arial"/>
        </w:rPr>
      </w:pPr>
      <w:r>
        <w:rPr>
          <w:rFonts w:eastAsia="Times New Roman" w:cs="Times New Roman"/>
          <w:b w:val="false"/>
          <w:bCs w:val="false"/>
          <w:sz w:val="24"/>
          <w:szCs w:val="24"/>
        </w:rPr>
        <w:t>Term 1</w:t>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r>
        <w:br w:type="page"/>
      </w:r>
    </w:p>
    <w:p>
      <w:pPr>
        <w:pStyle w:val="Normal"/>
        <w:spacing w:lineRule="auto" w:line="360" w:before="0" w:after="200"/>
        <w:jc w:val="center"/>
        <w:rPr>
          <w:rFonts w:ascii="Arial" w:hAnsi="Arial"/>
        </w:rPr>
      </w:pPr>
      <w:r>
        <w:rPr>
          <w:rFonts w:eastAsia="Times New Roman" w:cs="Times New Roman"/>
          <w:b/>
          <w:sz w:val="24"/>
          <w:szCs w:val="24"/>
        </w:rPr>
        <w:t>Table of contents</w:t>
      </w:r>
    </w:p>
    <w:sdt>
      <w:sdtPr>
        <w:docPartObj>
          <w:docPartGallery w:val="Table of Contents"/>
          <w:docPartUnique w:val="true"/>
        </w:docPartObj>
      </w:sdtPr>
      <w:sdtContent>
        <w:p>
          <w:pPr>
            <w:pStyle w:val="TOC1"/>
            <w:tabs>
              <w:tab w:val="clear" w:pos="720"/>
              <w:tab w:val="right" w:pos="9350" w:leader="dot"/>
            </w:tabs>
            <w:spacing w:lineRule="auto" w:line="360"/>
            <w:jc w:val="both"/>
            <w:rPr>
              <w:vanish w:val="false"/>
              <w:sz w:val="24"/>
            </w:rPr>
          </w:pPr>
          <w:r>
            <w:fldChar w:fldCharType="begin"/>
          </w:r>
          <w:r>
            <w:rPr>
              <w:sz w:val="24"/>
              <w:vanish w:val="false"/>
            </w:rPr>
            <w:instrText xml:space="preserve"> TOC \o "1-9" \t "heading 1,1,heading 2,2,heading 3,3,heading 4,4,heading 5,5,heading 6,6" \h</w:instrText>
          </w:r>
          <w:r>
            <w:rPr>
              <w:sz w:val="24"/>
              <w:vanish w:val="false"/>
            </w:rPr>
            <w:fldChar w:fldCharType="separate"/>
          </w:r>
          <w:r>
            <w:rPr>
              <w:vanish w:val="false"/>
              <w:sz w:val="24"/>
            </w:rPr>
            <w:t>0.</w:t>
          </w:r>
          <w:hyperlink w:anchor="_Toc213703055">
            <w:r>
              <w:rPr>
                <w:rStyle w:val="IndexLink"/>
                <w:vanish w:val="false"/>
                <w:sz w:val="24"/>
              </w:rPr>
              <w:t xml:space="preserve"> I</w:t>
            </w:r>
          </w:hyperlink>
          <w:r>
            <w:rPr>
              <w:vanish w:val="false"/>
              <w:sz w:val="24"/>
            </w:rPr>
            <w:t>ntroduction ...........................................................................................................3</w:t>
          </w:r>
        </w:p>
        <w:p>
          <w:pPr>
            <w:pStyle w:val="TOC1"/>
            <w:tabs>
              <w:tab w:val="clear" w:pos="720"/>
              <w:tab w:val="right" w:pos="9350" w:leader="dot"/>
            </w:tabs>
            <w:spacing w:lineRule="auto" w:line="360"/>
            <w:jc w:val="both"/>
            <w:rPr/>
          </w:pPr>
          <w:r>
            <w:rPr>
              <w:vanish w:val="false"/>
              <w:sz w:val="24"/>
            </w:rPr>
            <w:t>1</w:t>
          </w:r>
          <w:hyperlink w:anchor="_Toc213703055">
            <w:r>
              <w:rPr>
                <w:rStyle w:val="IndexLink"/>
                <w:vanish w:val="false"/>
                <w:sz w:val="24"/>
              </w:rPr>
              <w:t>. Financial Health Check</w:t>
            </w:r>
          </w:hyperlink>
          <w:r>
            <w:rPr>
              <w:vanish w:val="false"/>
              <w:sz w:val="24"/>
              <w:lang w:val="en-IN"/>
            </w:rPr>
            <w:t xml:space="preserve"> ........................................................................................3</w:t>
          </w:r>
        </w:p>
        <w:p>
          <w:pPr>
            <w:pStyle w:val="TOC2"/>
            <w:tabs>
              <w:tab w:val="clear" w:pos="720"/>
              <w:tab w:val="right" w:pos="9350" w:leader="dot"/>
            </w:tabs>
            <w:spacing w:lineRule="auto" w:line="360"/>
            <w:jc w:val="both"/>
            <w:rPr/>
          </w:pPr>
          <w:r>
            <w:rPr>
              <w:vanish w:val="false"/>
              <w:sz w:val="24"/>
            </w:rPr>
            <w:t>1</w:t>
          </w:r>
          <w:hyperlink w:anchor="_Toc213703056">
            <w:r>
              <w:rPr>
                <w:rStyle w:val="IndexLink"/>
                <w:vanish w:val="false"/>
                <w:sz w:val="24"/>
              </w:rPr>
              <w:t>.1 Analysis of the Firm’s Financial Statements</w:t>
            </w:r>
          </w:hyperlink>
          <w:r>
            <w:rPr>
              <w:vanish w:val="false"/>
              <w:sz w:val="24"/>
            </w:rPr>
            <w:t xml:space="preserve"> ..................................................3</w:t>
          </w:r>
        </w:p>
        <w:p>
          <w:pPr>
            <w:pStyle w:val="TOC2"/>
            <w:tabs>
              <w:tab w:val="clear" w:pos="720"/>
              <w:tab w:val="right" w:pos="9350" w:leader="dot"/>
            </w:tabs>
            <w:spacing w:lineRule="auto" w:line="360"/>
            <w:jc w:val="both"/>
            <w:rPr/>
          </w:pPr>
          <w:r>
            <w:rPr>
              <w:vanish w:val="false"/>
              <w:sz w:val="24"/>
            </w:rPr>
            <w:t>1</w:t>
          </w:r>
          <w:hyperlink w:anchor="_Toc213703057">
            <w:r>
              <w:rPr>
                <w:rStyle w:val="IndexLink"/>
                <w:vanish w:val="false"/>
                <w:sz w:val="24"/>
              </w:rPr>
              <w:t>.2 Ratio Analysis</w:t>
            </w:r>
          </w:hyperlink>
          <w:r>
            <w:rPr>
              <w:vanish w:val="false"/>
              <w:sz w:val="24"/>
            </w:rPr>
            <w:t xml:space="preserve"> ................................................................................................3</w:t>
          </w:r>
        </w:p>
        <w:p>
          <w:pPr>
            <w:pStyle w:val="TOC2"/>
            <w:tabs>
              <w:tab w:val="clear" w:pos="720"/>
              <w:tab w:val="right" w:pos="9350" w:leader="dot"/>
            </w:tabs>
            <w:spacing w:lineRule="auto" w:line="360"/>
            <w:jc w:val="both"/>
            <w:rPr/>
          </w:pPr>
          <w:r>
            <w:rPr>
              <w:vanish w:val="false"/>
              <w:sz w:val="24"/>
            </w:rPr>
            <w:t>1</w:t>
          </w:r>
          <w:hyperlink w:anchor="_Toc213703058">
            <w:r>
              <w:rPr>
                <w:rStyle w:val="IndexLink"/>
                <w:vanish w:val="false"/>
                <w:sz w:val="24"/>
              </w:rPr>
              <w:t>.3 Identification of Trends, Strengths and Threats</w:t>
            </w:r>
          </w:hyperlink>
          <w:r>
            <w:rPr>
              <w:vanish w:val="false"/>
              <w:sz w:val="24"/>
            </w:rPr>
            <w:t xml:space="preserve"> .............................................9</w:t>
          </w:r>
        </w:p>
        <w:p>
          <w:pPr>
            <w:pStyle w:val="TOC2"/>
            <w:tabs>
              <w:tab w:val="clear" w:pos="720"/>
              <w:tab w:val="right" w:pos="9350" w:leader="dot"/>
            </w:tabs>
            <w:spacing w:lineRule="auto" w:line="360"/>
            <w:jc w:val="both"/>
            <w:rPr/>
          </w:pPr>
          <w:r>
            <w:rPr>
              <w:vanish w:val="false"/>
              <w:sz w:val="24"/>
            </w:rPr>
            <w:t>1</w:t>
          </w:r>
          <w:hyperlink w:anchor="_Toc213703059">
            <w:r>
              <w:rPr>
                <w:rStyle w:val="IndexLink"/>
                <w:vanish w:val="false"/>
                <w:sz w:val="24"/>
              </w:rPr>
              <w:t>.4 Use of corporate failure prediction models</w:t>
            </w:r>
          </w:hyperlink>
          <w:r>
            <w:rPr>
              <w:vanish w:val="false"/>
              <w:sz w:val="24"/>
            </w:rPr>
            <w:t xml:space="preserve"> ...................................................10</w:t>
          </w:r>
        </w:p>
        <w:p>
          <w:pPr>
            <w:pStyle w:val="TOC1"/>
            <w:tabs>
              <w:tab w:val="clear" w:pos="720"/>
              <w:tab w:val="right" w:pos="9350" w:leader="dot"/>
            </w:tabs>
            <w:spacing w:lineRule="auto" w:line="360"/>
            <w:jc w:val="both"/>
            <w:rPr/>
          </w:pPr>
          <w:r>
            <w:rPr>
              <w:vanish w:val="false"/>
              <w:sz w:val="24"/>
            </w:rPr>
            <w:t>2</w:t>
          </w:r>
          <w:hyperlink w:anchor="_Toc213703060">
            <w:r>
              <w:rPr>
                <w:rStyle w:val="IndexLink"/>
                <w:vanish w:val="false"/>
                <w:sz w:val="24"/>
              </w:rPr>
              <w:t>. Working Capital Management Analysis</w:t>
            </w:r>
          </w:hyperlink>
          <w:r>
            <w:rPr>
              <w:vanish w:val="false"/>
              <w:sz w:val="24"/>
            </w:rPr>
            <w:t xml:space="preserve"> .............................................................11</w:t>
          </w:r>
        </w:p>
        <w:p>
          <w:pPr>
            <w:pStyle w:val="TOC2"/>
            <w:tabs>
              <w:tab w:val="clear" w:pos="720"/>
              <w:tab w:val="right" w:pos="9350" w:leader="dot"/>
            </w:tabs>
            <w:spacing w:lineRule="auto" w:line="360"/>
            <w:jc w:val="both"/>
            <w:rPr/>
          </w:pPr>
          <w:r>
            <w:rPr>
              <w:vanish w:val="false"/>
              <w:sz w:val="24"/>
            </w:rPr>
            <w:t>2</w:t>
          </w:r>
          <w:hyperlink w:anchor="_Toc213703061">
            <w:r>
              <w:rPr>
                <w:rStyle w:val="IndexLink"/>
                <w:vanish w:val="false"/>
                <w:sz w:val="24"/>
              </w:rPr>
              <w:t>.1 Assessment of Cash Operating Cycle</w:t>
            </w:r>
          </w:hyperlink>
          <w:r>
            <w:rPr>
              <w:vanish w:val="false"/>
              <w:sz w:val="24"/>
            </w:rPr>
            <w:t xml:space="preserve"> ..........................................................11</w:t>
          </w:r>
        </w:p>
        <w:p>
          <w:pPr>
            <w:pStyle w:val="TOC2"/>
            <w:tabs>
              <w:tab w:val="clear" w:pos="720"/>
              <w:tab w:val="right" w:pos="9350" w:leader="dot"/>
            </w:tabs>
            <w:spacing w:lineRule="auto" w:line="360"/>
            <w:jc w:val="both"/>
            <w:rPr/>
          </w:pPr>
          <w:r>
            <w:rPr>
              <w:vanish w:val="false"/>
              <w:sz w:val="24"/>
            </w:rPr>
            <w:t>2</w:t>
          </w:r>
          <w:hyperlink w:anchor="_Toc213703062">
            <w:r>
              <w:rPr>
                <w:rStyle w:val="IndexLink"/>
                <w:vanish w:val="false"/>
                <w:sz w:val="24"/>
              </w:rPr>
              <w:t>.2 Recommended Strategies</w:t>
            </w:r>
          </w:hyperlink>
          <w:r>
            <w:rPr>
              <w:vanish w:val="false"/>
              <w:sz w:val="24"/>
            </w:rPr>
            <w:t xml:space="preserve"> ............................................................................12</w:t>
          </w:r>
        </w:p>
        <w:p>
          <w:pPr>
            <w:pStyle w:val="TOC2"/>
            <w:tabs>
              <w:tab w:val="clear" w:pos="720"/>
              <w:tab w:val="right" w:pos="9350" w:leader="dot"/>
            </w:tabs>
            <w:spacing w:lineRule="auto" w:line="360"/>
            <w:jc w:val="both"/>
            <w:rPr/>
          </w:pPr>
          <w:r>
            <w:rPr>
              <w:vanish w:val="false"/>
              <w:sz w:val="24"/>
            </w:rPr>
            <w:t>2</w:t>
          </w:r>
          <w:hyperlink w:anchor="_Toc213703063">
            <w:r>
              <w:rPr>
                <w:rStyle w:val="IndexLink"/>
                <w:vanish w:val="false"/>
                <w:sz w:val="24"/>
              </w:rPr>
              <w:t>.3 Comparison of Short-Term and Long-Term Financing Options</w:t>
            </w:r>
          </w:hyperlink>
          <w:r>
            <w:rPr>
              <w:vanish w:val="false"/>
              <w:sz w:val="24"/>
            </w:rPr>
            <w:t xml:space="preserve"> ....................13</w:t>
          </w:r>
        </w:p>
        <w:p>
          <w:pPr>
            <w:pStyle w:val="TOC1"/>
            <w:tabs>
              <w:tab w:val="clear" w:pos="720"/>
              <w:tab w:val="right" w:pos="9350" w:leader="dot"/>
            </w:tabs>
            <w:spacing w:lineRule="auto" w:line="360"/>
            <w:jc w:val="both"/>
            <w:rPr/>
          </w:pPr>
          <w:r>
            <w:rPr>
              <w:vanish w:val="false"/>
              <w:sz w:val="24"/>
            </w:rPr>
            <w:t>3</w:t>
          </w:r>
          <w:hyperlink w:anchor="_Toc213703064">
            <w:r>
              <w:rPr>
                <w:rStyle w:val="IndexLink"/>
                <w:vanish w:val="false"/>
                <w:sz w:val="24"/>
              </w:rPr>
              <w:t>. Strategic Financial Restructuring Plan</w:t>
            </w:r>
          </w:hyperlink>
          <w:r>
            <w:rPr>
              <w:vanish w:val="false"/>
              <w:sz w:val="24"/>
            </w:rPr>
            <w:t xml:space="preserve"> ...............................................................14</w:t>
          </w:r>
        </w:p>
        <w:p>
          <w:pPr>
            <w:pStyle w:val="TOC2"/>
            <w:tabs>
              <w:tab w:val="clear" w:pos="720"/>
              <w:tab w:val="right" w:pos="9350" w:leader="dot"/>
            </w:tabs>
            <w:spacing w:lineRule="auto" w:line="360"/>
            <w:jc w:val="both"/>
            <w:rPr/>
          </w:pPr>
          <w:r>
            <w:rPr>
              <w:vanish w:val="false"/>
              <w:sz w:val="24"/>
            </w:rPr>
            <w:t>3</w:t>
          </w:r>
          <w:hyperlink w:anchor="_Toc213703065">
            <w:r>
              <w:rPr>
                <w:rStyle w:val="IndexLink"/>
                <w:vanish w:val="false"/>
                <w:sz w:val="24"/>
              </w:rPr>
              <w:t>.1 Recommended Options for Financial Restructuring</w:t>
            </w:r>
          </w:hyperlink>
          <w:r>
            <w:rPr>
              <w:vanish w:val="false"/>
              <w:sz w:val="24"/>
            </w:rPr>
            <w:t xml:space="preserve"> .....................................14</w:t>
          </w:r>
        </w:p>
        <w:p>
          <w:pPr>
            <w:pStyle w:val="TOC2"/>
            <w:tabs>
              <w:tab w:val="clear" w:pos="720"/>
              <w:tab w:val="right" w:pos="9350" w:leader="dot"/>
            </w:tabs>
            <w:spacing w:lineRule="auto" w:line="360"/>
            <w:jc w:val="both"/>
            <w:rPr/>
          </w:pPr>
          <w:r>
            <w:rPr>
              <w:vanish w:val="false"/>
              <w:sz w:val="24"/>
            </w:rPr>
            <w:t>3</w:t>
          </w:r>
          <w:hyperlink w:anchor="_Toc213703066">
            <w:r>
              <w:rPr>
                <w:rStyle w:val="IndexLink"/>
                <w:vanish w:val="false"/>
                <w:sz w:val="24"/>
              </w:rPr>
              <w:t>.2 Impact on Debt Structure, Shareholder Value and Operational Flexibility</w:t>
            </w:r>
          </w:hyperlink>
          <w:r>
            <w:rPr>
              <w:vanish w:val="false"/>
              <w:sz w:val="24"/>
            </w:rPr>
            <w:t xml:space="preserve"> ...16</w:t>
          </w:r>
        </w:p>
        <w:p>
          <w:pPr>
            <w:pStyle w:val="TOC2"/>
            <w:tabs>
              <w:tab w:val="clear" w:pos="720"/>
              <w:tab w:val="right" w:pos="9350" w:leader="dot"/>
            </w:tabs>
            <w:spacing w:lineRule="auto" w:line="360"/>
            <w:jc w:val="both"/>
            <w:rPr/>
          </w:pPr>
          <w:r>
            <w:rPr>
              <w:vanish w:val="false"/>
              <w:sz w:val="24"/>
            </w:rPr>
            <w:t>3</w:t>
          </w:r>
          <w:hyperlink w:anchor="_Toc213703067">
            <w:r>
              <w:rPr>
                <w:rStyle w:val="IndexLink"/>
                <w:vanish w:val="false"/>
                <w:sz w:val="24"/>
              </w:rPr>
              <w:t>.3 International and Ethical Considerations</w:t>
            </w:r>
          </w:hyperlink>
          <w:r>
            <w:rPr>
              <w:vanish w:val="false"/>
              <w:sz w:val="24"/>
            </w:rPr>
            <w:t xml:space="preserve"> ......................................................17</w:t>
          </w:r>
        </w:p>
        <w:p>
          <w:pPr>
            <w:pStyle w:val="TOC1"/>
            <w:tabs>
              <w:tab w:val="clear" w:pos="720"/>
              <w:tab w:val="right" w:pos="9350" w:leader="dot"/>
            </w:tabs>
            <w:spacing w:lineRule="auto" w:line="360"/>
            <w:jc w:val="both"/>
            <w:rPr/>
          </w:pPr>
          <w:r>
            <w:rPr>
              <w:vanish w:val="false"/>
              <w:sz w:val="24"/>
            </w:rPr>
            <w:t>4</w:t>
          </w:r>
          <w:hyperlink w:anchor="_Toc213703068">
            <w:r>
              <w:rPr>
                <w:rStyle w:val="IndexLink"/>
                <w:vanish w:val="false"/>
                <w:sz w:val="24"/>
              </w:rPr>
              <w:t>. Investment Appraisal and Capital Budgeting</w:t>
            </w:r>
          </w:hyperlink>
          <w:r>
            <w:rPr>
              <w:vanish w:val="false"/>
              <w:sz w:val="24"/>
            </w:rPr>
            <w:t xml:space="preserve"> .....................................................18</w:t>
          </w:r>
        </w:p>
        <w:p>
          <w:pPr>
            <w:pStyle w:val="TOC2"/>
            <w:tabs>
              <w:tab w:val="clear" w:pos="720"/>
              <w:tab w:val="right" w:pos="9350" w:leader="dot"/>
            </w:tabs>
            <w:spacing w:lineRule="auto" w:line="360"/>
            <w:jc w:val="both"/>
            <w:rPr/>
          </w:pPr>
          <w:r>
            <w:rPr>
              <w:vanish w:val="false"/>
              <w:sz w:val="24"/>
            </w:rPr>
            <w:t>4</w:t>
          </w:r>
          <w:hyperlink w:anchor="_Toc213703069">
            <w:r>
              <w:rPr>
                <w:rStyle w:val="IndexLink"/>
                <w:vanish w:val="false"/>
                <w:sz w:val="24"/>
              </w:rPr>
              <w:t>.1 Evaluation of Three Proposed Investment Projects</w:t>
            </w:r>
          </w:hyperlink>
          <w:r>
            <w:rPr>
              <w:vanish w:val="false"/>
              <w:sz w:val="24"/>
            </w:rPr>
            <w:t xml:space="preserve"> .....................................18</w:t>
          </w:r>
        </w:p>
        <w:p>
          <w:pPr>
            <w:pStyle w:val="TOC2"/>
            <w:tabs>
              <w:tab w:val="clear" w:pos="720"/>
              <w:tab w:val="right" w:pos="9350" w:leader="dot"/>
            </w:tabs>
            <w:spacing w:lineRule="auto" w:line="360"/>
            <w:jc w:val="both"/>
            <w:rPr/>
          </w:pPr>
          <w:r>
            <w:rPr>
              <w:vanish w:val="false"/>
              <w:sz w:val="24"/>
            </w:rPr>
            <w:t>4</w:t>
          </w:r>
          <w:hyperlink w:anchor="_Toc213703070">
            <w:r>
              <w:rPr>
                <w:rStyle w:val="IndexLink"/>
                <w:vanish w:val="false"/>
                <w:sz w:val="24"/>
              </w:rPr>
              <w:t>.2 Final Investment Recommendation and Justification</w:t>
            </w:r>
          </w:hyperlink>
          <w:r>
            <w:rPr>
              <w:vanish w:val="false"/>
              <w:sz w:val="24"/>
            </w:rPr>
            <w:t xml:space="preserve"> ...................................20</w:t>
          </w:r>
        </w:p>
        <w:p>
          <w:pPr>
            <w:pStyle w:val="TOC1"/>
            <w:tabs>
              <w:tab w:val="clear" w:pos="720"/>
              <w:tab w:val="right" w:pos="9350" w:leader="dot"/>
            </w:tabs>
            <w:spacing w:lineRule="auto" w:line="360"/>
            <w:jc w:val="both"/>
            <w:rPr/>
          </w:pPr>
          <w:hyperlink w:anchor="_Toc213703071">
            <w:r>
              <w:rPr>
                <w:rStyle w:val="IndexLink"/>
                <w:vanish w:val="false"/>
                <w:sz w:val="24"/>
              </w:rPr>
              <w:t>Conclusion</w:t>
            </w:r>
          </w:hyperlink>
          <w:r>
            <w:rPr>
              <w:vanish w:val="false"/>
              <w:sz w:val="24"/>
            </w:rPr>
            <w:t xml:space="preserve"> .............................................................................................................21</w:t>
          </w:r>
        </w:p>
        <w:p>
          <w:pPr>
            <w:pStyle w:val="TOC1"/>
            <w:tabs>
              <w:tab w:val="clear" w:pos="720"/>
              <w:tab w:val="right" w:pos="9350" w:leader="dot"/>
            </w:tabs>
            <w:spacing w:lineRule="auto" w:line="360"/>
            <w:jc w:val="both"/>
            <w:rPr/>
          </w:pPr>
          <w:hyperlink w:anchor="_Toc213703072">
            <w:r>
              <w:rPr>
                <w:rStyle w:val="IndexLink"/>
                <w:vanish w:val="false"/>
                <w:sz w:val="24"/>
              </w:rPr>
              <w:t>References</w:t>
            </w:r>
          </w:hyperlink>
          <w:r>
            <w:rPr>
              <w:vanish w:val="false"/>
              <w:sz w:val="24"/>
            </w:rPr>
            <w:t xml:space="preserve"> ............................................................................................................22</w:t>
          </w:r>
        </w:p>
        <w:p>
          <w:pPr>
            <w:pStyle w:val="TOC1"/>
            <w:tabs>
              <w:tab w:val="clear" w:pos="720"/>
              <w:tab w:val="right" w:pos="9350" w:leader="dot"/>
            </w:tabs>
            <w:spacing w:lineRule="auto" w:line="360"/>
            <w:jc w:val="both"/>
            <w:rPr/>
          </w:pPr>
          <w:hyperlink w:anchor="_Toc213703073">
            <w:r>
              <w:rPr>
                <w:rStyle w:val="IndexLink"/>
                <w:vanish w:val="false"/>
                <w:sz w:val="24"/>
              </w:rPr>
              <w:t>Appendices</w:t>
            </w:r>
          </w:hyperlink>
          <w:r>
            <w:rPr>
              <w:vanish w:val="false"/>
              <w:sz w:val="24"/>
            </w:rPr>
            <w:t xml:space="preserve"> ............................................................................................................25</w:t>
          </w:r>
        </w:p>
        <w:p>
          <w:pPr>
            <w:pStyle w:val="TOC2"/>
            <w:tabs>
              <w:tab w:val="clear" w:pos="720"/>
              <w:tab w:val="right" w:pos="9350" w:leader="dot"/>
            </w:tabs>
            <w:spacing w:lineRule="auto" w:line="360"/>
            <w:jc w:val="both"/>
            <w:rPr/>
          </w:pPr>
          <w:hyperlink w:anchor="_Toc213703074">
            <w:r>
              <w:rPr>
                <w:rStyle w:val="IndexLink"/>
                <w:vanish w:val="false"/>
                <w:sz w:val="24"/>
              </w:rPr>
              <w:t>Appendix 1: Ratio analysis</w:t>
            </w:r>
          </w:hyperlink>
          <w:r>
            <w:rPr>
              <w:vanish w:val="false"/>
              <w:sz w:val="24"/>
            </w:rPr>
            <w:t xml:space="preserve"> .................................................................................</w:t>
          </w:r>
          <w:r>
            <w:rPr>
              <w:vanish w:val="false"/>
              <w:sz w:val="24"/>
            </w:rPr>
            <w:t>25</w:t>
          </w:r>
        </w:p>
        <w:p>
          <w:pPr>
            <w:pStyle w:val="TOC2"/>
            <w:tabs>
              <w:tab w:val="clear" w:pos="720"/>
              <w:tab w:val="right" w:pos="9350" w:leader="dot"/>
            </w:tabs>
            <w:spacing w:lineRule="auto" w:line="360"/>
            <w:jc w:val="both"/>
            <w:rPr/>
          </w:pPr>
          <w:hyperlink w:anchor="_Toc213703087">
            <w:r>
              <w:rPr>
                <w:rStyle w:val="IndexLink"/>
                <w:rFonts w:eastAsia="Times New Roman" w:cs="Times New Roman"/>
                <w:b w:val="false"/>
                <w:i w:val="false"/>
                <w:caps w:val="false"/>
                <w:smallCaps w:val="false"/>
                <w:strike w:val="false"/>
                <w:dstrike w:val="false"/>
                <w:vanish w:val="false"/>
                <w:color w:val="000000"/>
                <w:position w:val="0"/>
                <w:sz w:val="24"/>
                <w:sz w:val="24"/>
                <w:szCs w:val="24"/>
                <w:u w:val="none"/>
                <w:shd w:fill="auto" w:val="clear"/>
                <w:vertAlign w:val="baseline"/>
              </w:rPr>
              <w:t>Appendix 2: Investment analysis</w:t>
            </w:r>
          </w:hyperlink>
          <w:r>
            <w:rPr>
              <w:rFonts w:eastAsia="Times New Roman" w:cs="Times New Roman"/>
              <w:b w:val="false"/>
              <w:i w:val="false"/>
              <w:caps w:val="false"/>
              <w:smallCaps w:val="false"/>
              <w:strike w:val="false"/>
              <w:dstrike w:val="false"/>
              <w:vanish w:val="false"/>
              <w:color w:val="000000"/>
              <w:position w:val="0"/>
              <w:sz w:val="24"/>
              <w:sz w:val="24"/>
              <w:szCs w:val="24"/>
              <w:u w:val="none"/>
              <w:shd w:fill="auto" w:val="clear"/>
              <w:vertAlign w:val="baseline"/>
            </w:rPr>
            <w:t xml:space="preserve"> ........................................................................</w:t>
          </w:r>
          <w:r>
            <w:rPr>
              <w:rFonts w:eastAsia="Times New Roman" w:cs="Times New Roman"/>
              <w:b w:val="false"/>
              <w:i w:val="false"/>
              <w:caps w:val="false"/>
              <w:smallCaps w:val="false"/>
              <w:strike w:val="false"/>
              <w:dstrike w:val="false"/>
              <w:vanish w:val="false"/>
              <w:color w:val="000000"/>
              <w:position w:val="0"/>
              <w:sz w:val="24"/>
              <w:sz w:val="24"/>
              <w:szCs w:val="24"/>
              <w:u w:val="none"/>
              <w:shd w:fill="auto" w:val="clear"/>
              <w:vertAlign w:val="baseline"/>
            </w:rPr>
            <w:t>37</w:t>
          </w:r>
          <w:r>
            <w:rPr>
              <w:smallCaps w:val="false"/>
              <w:caps w:val="false"/>
              <w:dstrike w:val="false"/>
              <w:strike w:val="false"/>
              <w:vertAlign w:val="baseline"/>
              <w:position w:val="0"/>
              <w:sz w:val="24"/>
              <w:sz w:val="24"/>
              <w:i w:val="false"/>
              <w:u w:val="none"/>
              <w:b w:val="false"/>
              <w:shd w:fill="auto" w:val="clear"/>
              <w:szCs w:val="24"/>
              <w:vanish w:val="false"/>
              <w:rFonts w:eastAsia="Times New Roman" w:cs="Times New Roman"/>
              <w:color w:val="000000"/>
            </w:rPr>
            <w:fldChar w:fldCharType="end"/>
          </w:r>
        </w:p>
      </w:sdtContent>
    </w:sdt>
    <w:p>
      <w:pPr>
        <w:pStyle w:val="Normal"/>
        <w:spacing w:lineRule="auto" w:line="360" w:before="0" w:after="200"/>
        <w:jc w:val="center"/>
        <w:rPr>
          <w:rFonts w:ascii="Arial" w:hAnsi="Arial" w:eastAsia="Times New Roman" w:cs="Times New Roman"/>
          <w:b/>
          <w:sz w:val="24"/>
          <w:szCs w:val="24"/>
        </w:rPr>
      </w:pPr>
      <w:r>
        <w:rPr>
          <w:rFonts w:eastAsia="Times New Roman" w:cs="Times New Roman"/>
          <w:b/>
          <w:sz w:val="24"/>
          <w:szCs w:val="24"/>
        </w:rPr>
      </w:r>
    </w:p>
    <w:p>
      <w:pPr>
        <w:pStyle w:val="Heading1"/>
        <w:spacing w:lineRule="auto" w:line="360" w:before="0" w:after="200"/>
        <w:jc w:val="both"/>
        <w:rPr>
          <w:rFonts w:ascii="Arial" w:hAnsi="Arial"/>
          <w:sz w:val="24"/>
          <w:szCs w:val="24"/>
        </w:rPr>
      </w:pPr>
      <w:r>
        <w:rPr>
          <w:rFonts w:ascii="Arial" w:hAnsi="Arial"/>
          <w:sz w:val="24"/>
          <w:szCs w:val="24"/>
        </w:rPr>
      </w:r>
      <w:bookmarkStart w:id="0" w:name="_myxs37s19gzj"/>
      <w:bookmarkStart w:id="1" w:name="_myxs37s19gzj"/>
      <w:bookmarkEnd w:id="1"/>
      <w:r>
        <w:br w:type="page"/>
      </w:r>
    </w:p>
    <w:p>
      <w:pPr>
        <w:pStyle w:val="Heading1"/>
        <w:bidi w:val="0"/>
        <w:spacing w:lineRule="auto" w:line="360" w:before="0" w:after="200"/>
        <w:jc w:val="both"/>
        <w:rPr>
          <w:rFonts w:ascii="Arial" w:hAnsi="Arial"/>
        </w:rPr>
      </w:pPr>
      <w:r>
        <w:rPr>
          <w:rFonts w:ascii="Arial" w:hAnsi="Arial"/>
          <w:sz w:val="24"/>
          <w:szCs w:val="24"/>
        </w:rPr>
        <w:t>0. Introduction</w:t>
      </w:r>
    </w:p>
    <w:p>
      <w:pPr>
        <w:pStyle w:val="BodyText"/>
        <w:bidi w:val="0"/>
        <w:spacing w:lineRule="auto" w:line="360" w:before="0" w:after="20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As per the instructions of the company’s board members, this report has analyzed the firm’s performance data for the last 5 years and identified a few key issues. A turnaround strategy is also suggested based on financial evidence. The report has also evaluated few investments for the near future.</w:t>
      </w:r>
    </w:p>
    <w:p>
      <w:pPr>
        <w:pStyle w:val="BodyText"/>
        <w:bidi w:val="0"/>
        <w:spacing w:lineRule="auto" w:line="360" w:before="0" w:after="0"/>
        <w:ind w:hanging="0" w:start="0" w:end="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1. Financial Health Check</w:t>
      </w:r>
    </w:p>
    <w:p>
      <w:pPr>
        <w:pStyle w:val="BodyText"/>
        <w:bidi w:val="0"/>
        <w:spacing w:lineRule="auto" w:line="360" w:before="0" w:after="0"/>
        <w:ind w:hanging="0" w:start="0" w:end="0"/>
        <w:jc w:val="both"/>
        <w:rPr>
          <w:rFonts w:ascii="Arial" w:hAnsi="Arial" w:eastAsia="Times New Roman" w:cs="Times New Roman"/>
          <w:b/>
          <w:bCs/>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ind w:hanging="0" w:start="0" w:end="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 xml:space="preserve">1.1 Analysis of Firm’s Financial Statements </w:t>
      </w:r>
    </w:p>
    <w:p>
      <w:pPr>
        <w:pStyle w:val="BodyText"/>
        <w:bidi w:val="0"/>
        <w:spacing w:lineRule="auto" w:line="360" w:before="0" w:after="0"/>
        <w:ind w:hanging="0" w:start="0" w:end="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ind w:hanging="0" w:start="0" w:end="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General Electronics (GE) is currently facing a financial crisis because of a systemic decline in revenue as well as its profitability. Over the period from 2020 to 2024, net sales plummeted from £614,680 million to £394,879 million, representing a staggering 36% contraction in business volume. This revenue decline is coupled with an even more concerning shift from profitability to systemic losses, which can be seen in the income statement. The firm reported a robust profit of £38,572 million in 2020 and a net loss of £24,029 million in 2024. These factors, along with others, reveal that the firm is struggling with declining sales and profitability, fixed cost management and it desperately requires strategic intervention and restructring.</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1.2 Full Ratio Analysis</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market is segmented using demographic, psychographic, and behavioural variables. This is to identify the most relevant audience:</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Profitability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For profitability, Net Profit Margin (NPM), Operating Profit Margin, and Return on Equity (ROE) are analyzed on the income statement and balance sheet because they provide a holistic "top-to-bottom" view of a company's financial efficiency across different layers.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Operating Profit Margin</w:t>
      </w:r>
    </w:p>
    <w:p>
      <w:pPr>
        <w:pStyle w:val="BodyText"/>
        <w:numPr>
          <w:ilvl w:val="0"/>
          <w:numId w:val="0"/>
        </w:numPr>
        <w:bidi w:val="0"/>
        <w:spacing w:lineRule="auto" w:line="360" w:before="0" w:after="0"/>
        <w:ind w:hanging="0" w:start="720"/>
        <w:jc w:val="both"/>
        <w:rPr>
          <w:rFonts w:ascii="Arial" w:hAnsi="Arial"/>
        </w:rPr>
      </w:pPr>
      <w:r>
        <w:rPr/>
      </w:r>
    </w:p>
    <w:p>
      <w:pPr>
        <w:pStyle w:val="BodyText"/>
        <w:numPr>
          <w:ilvl w:val="0"/>
          <w:numId w:val="1"/>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Operating profit margin shows core business health. It tells you if GE’s day-to-day operations, like manufacturing and selling of electronics, are profitable or not before the taxes or debt interest.</w:t>
      </w:r>
    </w:p>
    <w:p>
      <w:pPr>
        <w:pStyle w:val="BodyText"/>
        <w:numPr>
          <w:ilvl w:val="0"/>
          <w:numId w:val="1"/>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Operating profit margins are declining from 6.1% in 2020 to -20.3% in 2023 with minor improvement in 2024 to -3.9%. This improvement shows that the company has begun to cut operating expenses, which can be seen in the consolidated income statement as it dropped from £182,861 million in 2023 to £129,291 million in 2024.</w:t>
      </w:r>
    </w:p>
    <w:p>
      <w:pPr>
        <w:pStyle w:val="BodyText"/>
        <w:numPr>
          <w:ilvl w:val="0"/>
          <w:numId w:val="1"/>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 xml:space="preserve">However, a negative margin in GE's 2024 data is a high-level warning that the business model itself is currently value-destructive and operational efficiency needs to be improved (Brealey, Myers and Allen, 2022). </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ii) Net Profit Margin</w:t>
      </w:r>
    </w:p>
    <w:p>
      <w:pPr>
        <w:pStyle w:val="BodyText"/>
        <w:bidi w:val="0"/>
        <w:spacing w:lineRule="auto" w:line="360" w:before="0" w:after="0"/>
        <w:jc w:val="both"/>
        <w:rPr>
          <w:rFonts w:ascii="Arial" w:hAnsi="Arial"/>
        </w:rPr>
      </w:pPr>
      <w:r>
        <w:rPr/>
      </w:r>
    </w:p>
    <w:p>
      <w:pPr>
        <w:pStyle w:val="BodyText"/>
        <w:numPr>
          <w:ilvl w:val="0"/>
          <w:numId w:val="2"/>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NPM accounts for everything from operating costs, interest on loans to taxes. This is the ultimate measure of survival as it shows how many pence of profit remains in the firm from every pound earned.</w:t>
      </w:r>
    </w:p>
    <w:p>
      <w:pPr>
        <w:pStyle w:val="BodyText"/>
        <w:numPr>
          <w:ilvl w:val="0"/>
          <w:numId w:val="2"/>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Net profit margins are also declining from 2020 to 2023 with some improvement in 2024. The firm had 6.3% of healthy profit margin in 2020 and then it dropped to a staggering -23.4% in 2023. While the recovery to -6.1% in 2024 might look like an improvement, it still signifies that the firm is losing money on every sale.</w:t>
      </w:r>
    </w:p>
    <w:p>
      <w:pPr>
        <w:pStyle w:val="BodyText"/>
        <w:numPr>
          <w:ilvl w:val="0"/>
          <w:numId w:val="2"/>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 xml:space="preserve">This is unsustainable because a company’s total expenditure exceeds its revenue, and it leaves a firm highly vulnerable to even minor increases in operating costs or market competition (GoCcashless, 2024). </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iii) Return on Equity</w:t>
      </w:r>
    </w:p>
    <w:p>
      <w:pPr>
        <w:pStyle w:val="BodyText"/>
        <w:bidi w:val="0"/>
        <w:spacing w:lineRule="auto" w:line="360" w:before="0" w:after="0"/>
        <w:jc w:val="both"/>
        <w:rPr>
          <w:rFonts w:ascii="Arial" w:hAnsi="Arial"/>
        </w:rPr>
      </w:pPr>
      <w:r>
        <w:rPr/>
      </w:r>
    </w:p>
    <w:p>
      <w:pPr>
        <w:pStyle w:val="BodyText"/>
        <w:numPr>
          <w:ilvl w:val="0"/>
          <w:numId w:val="3"/>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is not necessary but it shows how effectively management is using the money invested by shareholders to generate returns.</w:t>
      </w:r>
    </w:p>
    <w:p>
      <w:pPr>
        <w:pStyle w:val="BodyText"/>
        <w:numPr>
          <w:ilvl w:val="0"/>
          <w:numId w:val="3"/>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Earnings Per Share (EPS) dropping from £2.78 to -£1.85, meaning shareholders are seeing a significant decline in their investment value.</w:t>
      </w:r>
    </w:p>
    <w:p>
      <w:pPr>
        <w:pStyle w:val="BodyText"/>
        <w:numPr>
          <w:ilvl w:val="0"/>
          <w:numId w:val="3"/>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For GE, a negative ROE is a critical red flag that the company is actively burning capital.This makes it difficult for the CFO to raise new capital through equity as investors are unlikely to provide fresh funds (Hillier et al., 2020).</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Liquidity</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current ratio and quick ratio were selected as they provide a dual view of the safety net for General Electronics. These 2 will be able to provide us the broad view as well as the crisis view.</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Current Ratio</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4"/>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Current ratio or working capital ratio shows if GE has enough current assets to cover its total current liabilities. Current ratio was at 1.82 in 2020, which is at 1.53 in 2024.</w:t>
      </w:r>
    </w:p>
    <w:p>
      <w:pPr>
        <w:pStyle w:val="BodyText"/>
        <w:numPr>
          <w:ilvl w:val="0"/>
          <w:numId w:val="4"/>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 xml:space="preserve">In 2020, the firm had current assets worth £326,843 million and liabilities worth £179,510 million. In 2024, the firm had £242,494 in current assets and £158,291 as liabilities. </w:t>
      </w:r>
    </w:p>
    <w:p>
      <w:pPr>
        <w:pStyle w:val="BodyText"/>
        <w:numPr>
          <w:ilvl w:val="0"/>
          <w:numId w:val="4"/>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drop shows a general thinning of the firm's safety margin over five years as the liabilities have increased more than the assets.</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Quick Ratio</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4"/>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 xml:space="preserve">The quick ratio or acid-test ratio, is a ratio between the mentioned financial unit and current liabilities. </w:t>
      </w:r>
    </w:p>
    <w:p>
      <w:pPr>
        <w:pStyle w:val="BodyText"/>
        <w:numPr>
          <w:ilvl w:val="0"/>
          <w:numId w:val="4"/>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firm has maintained QR values were greater than 1 during  (2020, 2023 and 2024). It only dropped below the standard 1.0 threshold during 2021 and 2022, indicating the firm did not have enough liquid assets to cover its current liabilities. I</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Efficiency</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Receivable turnover ratio</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It measures how many times GE collects its average accounts receivable every year.</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sales value also declined to £394,879 million in 2024, which was at £614,680 million in 2020. Similarly, the value of accounts receivable has also declined to £114,182 million from £129,433 million in the same period.</w:t>
      </w:r>
    </w:p>
    <w:p>
      <w:pPr>
        <w:pStyle w:val="BodyText"/>
        <w:numPr>
          <w:ilvl w:val="0"/>
          <w:numId w:val="5"/>
        </w:numPr>
        <w:bidi w:val="0"/>
        <w:spacing w:lineRule="auto" w:line="360" w:before="0" w:after="0"/>
        <w:jc w:val="both"/>
        <w:rPr>
          <w:rFonts w:ascii="Arial" w:hAnsi="Arial"/>
        </w:rPr>
      </w:pPr>
      <w:r>
        <w:rPr/>
        <w:t>RTR was 4.75 in 2020, which has declined from to 3.46 in 2024. It means that GE’s collection period has stretched from roughly 77 days to 105 days and now the firm is taking longer to collect payments from its customers.</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ii) Inventory turnover ratio</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Inventory Turnover Ratio shows frequency of the firm's stock replacement because of sales.</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 xml:space="preserve">The inventory value was £120,430 million in 2020, which has significantly dropped to £79,355 million in 2024. Along with that, the cost of sales was £438,424 million in 2020 and now it has fallen to £280,885 million in 2024. </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inventory turnover ratio was 3.64 in 2020 and now in 2024 it is 3.54. Which suggests that firm might face see the decline in demand or the issue of over-stocking and delays in supplier payments.</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Gearing</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Debt to equity ratio</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It is the ratio between total liabilities of the firm and shareholder equity.</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Total shareholders' equity has dropped nearly 51% and the Debt-to-Equity (D/E) ratio has also increased from 0.63 in 2020 to 1.11 in 2024.</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ratio &gt;1.0 indicates that GE is now financed by creditors more than by its owners and this capital structure significantly increases the firm's cost of capital and default risk.</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A rising D/E ratio paired with a declining revenue limits a firm's ability to secure further credit because lenders fear the risk of non-repayment (Nukala and Prasada Rao, 2021).</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ii) Interest coverage ratio</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firm has operating income of £37,267 million in 2020, which turned into an operating loss of -£15,297 million in 2024. To make the matter worse, the firm’s expenses were £1,422 million in 2020 and now those have increased to £3,361 million in 2024.</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is perhaps the most alarming metric in this report as the Interest Coverage Ratio has drastically collapsed from 26.21 in 2020 to -4.55 in 2024, which means GE's operating income (EBIT) is no longer sufficient to pay even the interest on its debt, let alone the principal.</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places the firm in a "technical default" situation, where it must borrow more simply to service existing debt interest — a cycle that accelerates the path to bankruptcy (Broby, 2021).</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Investment</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Return on Equity</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firm was operating at £38,572 million net income in 2020, which turned to a loss of -£24,029 million in 2024. The shareholder equity has also significantly dropped from £313,301 million in 2020 to £153,105 million in 2024.</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REO value was 12% in 2020, which turned into -16% in 2024. It shows that the management is not using shareholders' money effectively to generate profit. Investors consider the firm as a value-destructive entity.</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makes it really difficult to attract traditional institutional investors as they are more likely to demand a massive restructuring or a change in leadership before committing further capital (Susilawati et al., 2022).</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ii) Earning Per Share</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EPS has been falling from £2.78 in 2020 to -£7.64 in 2023. There is slight improvement in 2024 with EPS of -1.85, but it is still negative for the second consecutive year.</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Negative EPS typically forces a company to suspend dividend payments to preserve cash. This lack of yield and capital losses creates a negative perception of investors and drives down the company’s market valuation. It increases the difficulty of equity injection (Mahendra, 2023).</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Cashflow</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Operating Cash Flow Margin</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net sales and operating cashflow in 2020 were at £614,680 million and £73,392 million respectively. in 2024, the same numbers have decreased to £394,879 million and £14,822 million respectively. Hence, the operating cash flow margin has dropped from 11.94% in 2020 to 3.75% in 2024.</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It suggests that GE's earnings are most likely tied up in the receivable cycle mentioned earlier and a consistently declining OCF is suggesting impending corporate failure.</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ii) Free Cash Flow Margin</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is cash remaining after the firm has paid for the capital expenditures (CapEx) needed to maintain its assets.</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Firm’s capital expenditure dropped from £73,292 million in 2020 to £4,572 million in 2024. Net sales have dropped from £614,680 million in 2020 to £394,879 million in 2024. Hence, the free cash flow margin dropped to 2.6 in 2024, which was 9.2 in 2020.</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suggests that firm has issues like poor operating efficiency, high debt risk and underinvestment.</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1.3 Identification of Trends, Strengths and Threats</w:t>
      </w:r>
    </w:p>
    <w:p>
      <w:pPr>
        <w:pStyle w:val="BodyText"/>
        <w:bidi w:val="0"/>
        <w:spacing w:lineRule="auto" w:line="360" w:before="0" w:after="0"/>
        <w:jc w:val="both"/>
        <w:rPr>
          <w:rFonts w:ascii="Arial" w:hAnsi="Arial"/>
        </w:rPr>
      </w:pPr>
      <w:r>
        <w:rPr/>
      </w:r>
    </w:p>
    <w:tbl>
      <w:tblPr>
        <w:tblW w:w="5000" w:type="pct"/>
        <w:jc w:val="start"/>
        <w:tblInd w:w="-5" w:type="dxa"/>
        <w:tblLayout w:type="fixed"/>
        <w:tblCellMar>
          <w:top w:w="55" w:type="dxa"/>
          <w:start w:w="55" w:type="dxa"/>
          <w:bottom w:w="55" w:type="dxa"/>
          <w:end w:w="55" w:type="dxa"/>
        </w:tblCellMar>
      </w:tblPr>
      <w:tblGrid>
        <w:gridCol w:w="2130"/>
        <w:gridCol w:w="2382"/>
        <w:gridCol w:w="2020"/>
        <w:gridCol w:w="2494"/>
      </w:tblGrid>
      <w:tr>
        <w:trPr>
          <w:trHeight w:val="861" w:hRule="atLeast"/>
        </w:trPr>
        <w:tc>
          <w:tcPr>
            <w:tcW w:w="2130" w:type="dxa"/>
            <w:tcBorders>
              <w:top w:val="single" w:sz="4" w:space="0" w:color="000000"/>
              <w:start w:val="single" w:sz="4" w:space="0" w:color="000000"/>
              <w:bottom w:val="single" w:sz="4" w:space="0" w:color="000000"/>
            </w:tcBorders>
          </w:tcPr>
          <w:p>
            <w:pPr>
              <w:pStyle w:val="TableContents"/>
              <w:jc w:val="center"/>
              <w:rPr>
                <w:rFonts w:ascii="Arial" w:hAnsi="Arial"/>
              </w:rPr>
            </w:pPr>
            <w:r>
              <w:rPr>
                <w:b/>
                <w:bCs/>
              </w:rPr>
              <w:t>Area</w:t>
            </w:r>
          </w:p>
        </w:tc>
        <w:tc>
          <w:tcPr>
            <w:tcW w:w="2382" w:type="dxa"/>
            <w:tcBorders>
              <w:top w:val="single" w:sz="4" w:space="0" w:color="000000"/>
              <w:start w:val="single" w:sz="4" w:space="0" w:color="000000"/>
              <w:bottom w:val="single" w:sz="4" w:space="0" w:color="000000"/>
            </w:tcBorders>
          </w:tcPr>
          <w:p>
            <w:pPr>
              <w:pStyle w:val="TableContents"/>
              <w:jc w:val="center"/>
              <w:rPr>
                <w:rFonts w:ascii="Arial" w:hAnsi="Arial"/>
              </w:rPr>
            </w:pPr>
            <w:r>
              <w:rPr>
                <w:b/>
                <w:bCs/>
              </w:rPr>
              <w:t xml:space="preserve">5 Year Trend </w:t>
            </w:r>
          </w:p>
          <w:p>
            <w:pPr>
              <w:pStyle w:val="TableContents"/>
              <w:jc w:val="center"/>
              <w:rPr>
                <w:rFonts w:ascii="Arial" w:hAnsi="Arial"/>
              </w:rPr>
            </w:pPr>
            <w:r>
              <w:rPr>
                <w:b/>
                <w:bCs/>
              </w:rPr>
              <w:t>(2020-2024)</w:t>
            </w:r>
          </w:p>
        </w:tc>
        <w:tc>
          <w:tcPr>
            <w:tcW w:w="2020" w:type="dxa"/>
            <w:tcBorders>
              <w:top w:val="single" w:sz="4" w:space="0" w:color="000000"/>
              <w:start w:val="single" w:sz="4" w:space="0" w:color="000000"/>
              <w:bottom w:val="single" w:sz="4" w:space="0" w:color="000000"/>
            </w:tcBorders>
          </w:tcPr>
          <w:p>
            <w:pPr>
              <w:pStyle w:val="TableContents"/>
              <w:jc w:val="center"/>
              <w:rPr>
                <w:rFonts w:ascii="Arial" w:hAnsi="Arial"/>
              </w:rPr>
            </w:pPr>
            <w:r>
              <w:rPr>
                <w:b/>
                <w:bCs/>
              </w:rPr>
              <w:t>Classification</w:t>
            </w:r>
          </w:p>
        </w:tc>
        <w:tc>
          <w:tcPr>
            <w:tcW w:w="2494" w:type="dxa"/>
            <w:tcBorders>
              <w:top w:val="single" w:sz="4" w:space="0" w:color="000000"/>
              <w:start w:val="single" w:sz="4" w:space="0" w:color="000000"/>
              <w:bottom w:val="single" w:sz="4" w:space="0" w:color="000000"/>
              <w:end w:val="single" w:sz="4" w:space="0" w:color="000000"/>
            </w:tcBorders>
          </w:tcPr>
          <w:p>
            <w:pPr>
              <w:pStyle w:val="TableContents"/>
              <w:jc w:val="center"/>
              <w:rPr>
                <w:rFonts w:ascii="Arial" w:hAnsi="Arial"/>
              </w:rPr>
            </w:pPr>
            <w:r>
              <w:rPr>
                <w:b/>
                <w:bCs/>
              </w:rPr>
              <w:t>Interpretation</w:t>
            </w:r>
          </w:p>
        </w:tc>
      </w:tr>
      <w:tr>
        <w:trPr>
          <w:trHeight w:val="1052" w:hRule="atLeast"/>
        </w:trPr>
        <w:tc>
          <w:tcPr>
            <w:tcW w:w="2130" w:type="dxa"/>
            <w:tcBorders>
              <w:start w:val="single" w:sz="4" w:space="0" w:color="000000"/>
              <w:bottom w:val="single" w:sz="4" w:space="0" w:color="000000"/>
            </w:tcBorders>
          </w:tcPr>
          <w:p>
            <w:pPr>
              <w:pStyle w:val="TableContents"/>
              <w:bidi w:val="0"/>
              <w:rPr>
                <w:rFonts w:ascii="Arial" w:hAnsi="Arial"/>
              </w:rPr>
            </w:pPr>
            <w:r>
              <w:rPr/>
              <w:t>Market Share</w:t>
            </w:r>
          </w:p>
        </w:tc>
        <w:tc>
          <w:tcPr>
            <w:tcW w:w="2382" w:type="dxa"/>
            <w:tcBorders>
              <w:start w:val="single" w:sz="4" w:space="0" w:color="000000"/>
              <w:bottom w:val="single" w:sz="4" w:space="0" w:color="000000"/>
            </w:tcBorders>
          </w:tcPr>
          <w:p>
            <w:pPr>
              <w:pStyle w:val="TableContents"/>
              <w:bidi w:val="0"/>
              <w:rPr>
                <w:rFonts w:ascii="Arial" w:hAnsi="Arial"/>
              </w:rPr>
            </w:pPr>
            <w:r>
              <w:rPr/>
              <w:t>36% Revenue declined</w:t>
            </w:r>
          </w:p>
        </w:tc>
        <w:tc>
          <w:tcPr>
            <w:tcW w:w="2020" w:type="dxa"/>
            <w:tcBorders>
              <w:start w:val="single" w:sz="4" w:space="0" w:color="000000"/>
              <w:bottom w:val="single" w:sz="4" w:space="0" w:color="000000"/>
            </w:tcBorders>
          </w:tcPr>
          <w:p>
            <w:pPr>
              <w:pStyle w:val="TableContents"/>
              <w:rPr>
                <w:rFonts w:ascii="Arial" w:hAnsi="Arial"/>
              </w:rPr>
            </w:pPr>
            <w:r>
              <w:rPr/>
              <w:t>Threat</w:t>
            </w:r>
          </w:p>
        </w:tc>
        <w:tc>
          <w:tcPr>
            <w:tcW w:w="2494" w:type="dxa"/>
            <w:tcBorders>
              <w:start w:val="single" w:sz="4" w:space="0" w:color="000000"/>
              <w:bottom w:val="single" w:sz="4" w:space="0" w:color="000000"/>
              <w:end w:val="single" w:sz="4" w:space="0" w:color="000000"/>
            </w:tcBorders>
          </w:tcPr>
          <w:p>
            <w:pPr>
              <w:pStyle w:val="TableContents"/>
              <w:bidi w:val="0"/>
              <w:rPr>
                <w:rFonts w:ascii="Arial" w:hAnsi="Arial"/>
              </w:rPr>
            </w:pPr>
            <w:r>
              <w:rPr/>
              <w:t>Rapidly declining demand or loss of competitive edge.</w:t>
            </w:r>
          </w:p>
        </w:tc>
      </w:tr>
      <w:tr>
        <w:trPr>
          <w:trHeight w:val="793" w:hRule="atLeast"/>
        </w:trPr>
        <w:tc>
          <w:tcPr>
            <w:tcW w:w="2130" w:type="dxa"/>
            <w:tcBorders>
              <w:start w:val="single" w:sz="4" w:space="0" w:color="000000"/>
              <w:bottom w:val="single" w:sz="4" w:space="0" w:color="000000"/>
            </w:tcBorders>
          </w:tcPr>
          <w:p>
            <w:pPr>
              <w:pStyle w:val="TableContents"/>
              <w:bidi w:val="0"/>
              <w:rPr>
                <w:rFonts w:ascii="Arial" w:hAnsi="Arial"/>
              </w:rPr>
            </w:pPr>
            <w:r>
              <w:rPr/>
              <w:t>Profitability</w:t>
            </w:r>
          </w:p>
        </w:tc>
        <w:tc>
          <w:tcPr>
            <w:tcW w:w="2382" w:type="dxa"/>
            <w:tcBorders>
              <w:start w:val="single" w:sz="4" w:space="0" w:color="000000"/>
              <w:bottom w:val="single" w:sz="4" w:space="0" w:color="000000"/>
            </w:tcBorders>
          </w:tcPr>
          <w:p>
            <w:pPr>
              <w:pStyle w:val="TableContents"/>
              <w:bidi w:val="0"/>
              <w:rPr>
                <w:rFonts w:ascii="Arial" w:hAnsi="Arial"/>
              </w:rPr>
            </w:pPr>
            <w:r>
              <w:rPr/>
              <w:t>From £38.5b Profit  to -£24.0b Loss</w:t>
            </w:r>
          </w:p>
        </w:tc>
        <w:tc>
          <w:tcPr>
            <w:tcW w:w="2020" w:type="dxa"/>
            <w:tcBorders>
              <w:start w:val="single" w:sz="4" w:space="0" w:color="000000"/>
              <w:bottom w:val="single" w:sz="4" w:space="0" w:color="000000"/>
            </w:tcBorders>
          </w:tcPr>
          <w:p>
            <w:pPr>
              <w:pStyle w:val="TableContents"/>
              <w:bidi w:val="0"/>
              <w:rPr>
                <w:rFonts w:ascii="Arial" w:hAnsi="Arial"/>
              </w:rPr>
            </w:pPr>
            <w:r>
              <w:rPr/>
              <w:t>Weakness</w:t>
            </w:r>
          </w:p>
        </w:tc>
        <w:tc>
          <w:tcPr>
            <w:tcW w:w="2494" w:type="dxa"/>
            <w:tcBorders>
              <w:start w:val="single" w:sz="4" w:space="0" w:color="000000"/>
              <w:bottom w:val="single" w:sz="4" w:space="0" w:color="000000"/>
              <w:end w:val="single" w:sz="4" w:space="0" w:color="000000"/>
            </w:tcBorders>
          </w:tcPr>
          <w:p>
            <w:pPr>
              <w:pStyle w:val="TableContents"/>
              <w:bidi w:val="0"/>
              <w:rPr>
                <w:rFonts w:ascii="Arial" w:hAnsi="Arial"/>
              </w:rPr>
            </w:pPr>
            <w:r>
              <w:rPr/>
              <w:t>Value-destructive business model and cost inefficiencies.</w:t>
            </w:r>
          </w:p>
        </w:tc>
      </w:tr>
      <w:tr>
        <w:trPr>
          <w:trHeight w:val="879" w:hRule="atLeast"/>
        </w:trPr>
        <w:tc>
          <w:tcPr>
            <w:tcW w:w="2130" w:type="dxa"/>
            <w:tcBorders>
              <w:start w:val="single" w:sz="4" w:space="0" w:color="000000"/>
              <w:bottom w:val="single" w:sz="4" w:space="0" w:color="000000"/>
            </w:tcBorders>
          </w:tcPr>
          <w:p>
            <w:pPr>
              <w:pStyle w:val="TableContents"/>
              <w:rPr>
                <w:rFonts w:ascii="Arial" w:hAnsi="Arial"/>
              </w:rPr>
            </w:pPr>
            <w:r>
              <w:rPr/>
              <w:t>Liquidity</w:t>
            </w:r>
          </w:p>
        </w:tc>
        <w:tc>
          <w:tcPr>
            <w:tcW w:w="2382" w:type="dxa"/>
            <w:tcBorders>
              <w:start w:val="single" w:sz="4" w:space="0" w:color="000000"/>
              <w:bottom w:val="single" w:sz="4" w:space="0" w:color="000000"/>
            </w:tcBorders>
          </w:tcPr>
          <w:p>
            <w:pPr>
              <w:pStyle w:val="TableContents"/>
              <w:bidi w:val="0"/>
              <w:rPr>
                <w:rFonts w:ascii="Arial" w:hAnsi="Arial"/>
              </w:rPr>
            </w:pPr>
            <w:r>
              <w:rPr/>
              <w:t>Quick Ratio below 1.0 threshold</w:t>
            </w:r>
          </w:p>
        </w:tc>
        <w:tc>
          <w:tcPr>
            <w:tcW w:w="2020" w:type="dxa"/>
            <w:tcBorders>
              <w:start w:val="single" w:sz="4" w:space="0" w:color="000000"/>
              <w:bottom w:val="single" w:sz="4" w:space="0" w:color="000000"/>
            </w:tcBorders>
          </w:tcPr>
          <w:p>
            <w:pPr>
              <w:pStyle w:val="TableContents"/>
              <w:bidi w:val="0"/>
              <w:rPr>
                <w:rFonts w:ascii="Arial" w:hAnsi="Arial"/>
              </w:rPr>
            </w:pPr>
            <w:r>
              <w:rPr/>
              <w:t>Threat</w:t>
            </w:r>
          </w:p>
        </w:tc>
        <w:tc>
          <w:tcPr>
            <w:tcW w:w="2494" w:type="dxa"/>
            <w:tcBorders>
              <w:start w:val="single" w:sz="4" w:space="0" w:color="000000"/>
              <w:bottom w:val="single" w:sz="4" w:space="0" w:color="000000"/>
              <w:end w:val="single" w:sz="4" w:space="0" w:color="000000"/>
            </w:tcBorders>
          </w:tcPr>
          <w:p>
            <w:pPr>
              <w:pStyle w:val="TableContents"/>
              <w:bidi w:val="0"/>
              <w:rPr>
                <w:rFonts w:ascii="Arial" w:hAnsi="Arial"/>
              </w:rPr>
            </w:pPr>
            <w:r>
              <w:rPr/>
              <w:t>Critical insolvency risk; inability to meet immediate debts.</w:t>
            </w:r>
          </w:p>
        </w:tc>
      </w:tr>
      <w:tr>
        <w:trPr>
          <w:trHeight w:val="878" w:hRule="atLeast"/>
        </w:trPr>
        <w:tc>
          <w:tcPr>
            <w:tcW w:w="2130" w:type="dxa"/>
            <w:tcBorders>
              <w:start w:val="single" w:sz="4" w:space="0" w:color="000000"/>
              <w:bottom w:val="single" w:sz="4" w:space="0" w:color="000000"/>
            </w:tcBorders>
          </w:tcPr>
          <w:p>
            <w:pPr>
              <w:pStyle w:val="TableContents"/>
              <w:bidi w:val="0"/>
              <w:rPr>
                <w:rFonts w:ascii="Arial" w:hAnsi="Arial"/>
              </w:rPr>
            </w:pPr>
            <w:r>
              <w:rPr/>
              <w:t>Solvency</w:t>
            </w:r>
          </w:p>
        </w:tc>
        <w:tc>
          <w:tcPr>
            <w:tcW w:w="2382" w:type="dxa"/>
            <w:tcBorders>
              <w:start w:val="single" w:sz="4" w:space="0" w:color="000000"/>
              <w:bottom w:val="single" w:sz="4" w:space="0" w:color="000000"/>
            </w:tcBorders>
          </w:tcPr>
          <w:p>
            <w:pPr>
              <w:pStyle w:val="TableContents"/>
              <w:bidi w:val="0"/>
              <w:rPr>
                <w:rFonts w:ascii="Arial" w:hAnsi="Arial"/>
              </w:rPr>
            </w:pPr>
            <w:r>
              <w:rPr/>
              <w:t xml:space="preserve">Gearing doubled </w:t>
            </w:r>
          </w:p>
          <w:p>
            <w:pPr>
              <w:pStyle w:val="TableContents"/>
              <w:bidi w:val="0"/>
              <w:rPr>
                <w:rFonts w:ascii="Arial" w:hAnsi="Arial"/>
              </w:rPr>
            </w:pPr>
            <w:r>
              <w:rPr/>
              <w:t>(0.63 to 1.11)</w:t>
            </w:r>
          </w:p>
        </w:tc>
        <w:tc>
          <w:tcPr>
            <w:tcW w:w="2020" w:type="dxa"/>
            <w:tcBorders>
              <w:start w:val="single" w:sz="4" w:space="0" w:color="000000"/>
              <w:bottom w:val="single" w:sz="4" w:space="0" w:color="000000"/>
            </w:tcBorders>
          </w:tcPr>
          <w:p>
            <w:pPr>
              <w:pStyle w:val="TableContents"/>
              <w:bidi w:val="0"/>
              <w:rPr>
                <w:rFonts w:ascii="Arial" w:hAnsi="Arial"/>
              </w:rPr>
            </w:pPr>
            <w:r>
              <w:rPr/>
              <w:t>Threat</w:t>
            </w:r>
          </w:p>
        </w:tc>
        <w:tc>
          <w:tcPr>
            <w:tcW w:w="2494" w:type="dxa"/>
            <w:tcBorders>
              <w:start w:val="single" w:sz="4" w:space="0" w:color="000000"/>
              <w:bottom w:val="single" w:sz="4" w:space="0" w:color="000000"/>
              <w:end w:val="single" w:sz="4" w:space="0" w:color="000000"/>
            </w:tcBorders>
          </w:tcPr>
          <w:p>
            <w:pPr>
              <w:pStyle w:val="TableContents"/>
              <w:bidi w:val="0"/>
              <w:rPr>
                <w:rFonts w:ascii="Arial" w:hAnsi="Arial"/>
              </w:rPr>
            </w:pPr>
            <w:r>
              <w:rPr/>
              <w:t>Excessive debt burden with negative interest coverage</w:t>
            </w:r>
          </w:p>
        </w:tc>
      </w:tr>
      <w:tr>
        <w:trPr>
          <w:trHeight w:val="878" w:hRule="atLeast"/>
        </w:trPr>
        <w:tc>
          <w:tcPr>
            <w:tcW w:w="2130" w:type="dxa"/>
            <w:tcBorders>
              <w:start w:val="single" w:sz="4" w:space="0" w:color="000000"/>
              <w:bottom w:val="single" w:sz="4" w:space="0" w:color="000000"/>
            </w:tcBorders>
          </w:tcPr>
          <w:p>
            <w:pPr>
              <w:pStyle w:val="TableContents"/>
              <w:rPr>
                <w:rFonts w:ascii="Arial" w:hAnsi="Arial"/>
              </w:rPr>
            </w:pPr>
            <w:r>
              <w:rPr/>
              <w:t>Efficiency</w:t>
            </w:r>
          </w:p>
        </w:tc>
        <w:tc>
          <w:tcPr>
            <w:tcW w:w="2382" w:type="dxa"/>
            <w:tcBorders>
              <w:start w:val="single" w:sz="4" w:space="0" w:color="000000"/>
              <w:bottom w:val="single" w:sz="4" w:space="0" w:color="000000"/>
            </w:tcBorders>
          </w:tcPr>
          <w:p>
            <w:pPr>
              <w:pStyle w:val="TableContents"/>
              <w:rPr>
                <w:rFonts w:ascii="Arial" w:hAnsi="Arial"/>
              </w:rPr>
            </w:pPr>
            <w:r>
              <w:rPr/>
              <w:t>Debtor collection stretched to 105 days</w:t>
            </w:r>
          </w:p>
        </w:tc>
        <w:tc>
          <w:tcPr>
            <w:tcW w:w="2020" w:type="dxa"/>
            <w:tcBorders>
              <w:start w:val="single" w:sz="4" w:space="0" w:color="000000"/>
              <w:bottom w:val="single" w:sz="4" w:space="0" w:color="000000"/>
            </w:tcBorders>
          </w:tcPr>
          <w:p>
            <w:pPr>
              <w:pStyle w:val="TableContents"/>
              <w:bidi w:val="0"/>
              <w:rPr>
                <w:rFonts w:ascii="Arial" w:hAnsi="Arial"/>
              </w:rPr>
            </w:pPr>
            <w:r>
              <w:rPr/>
              <w:t>Weakness</w:t>
            </w:r>
          </w:p>
        </w:tc>
        <w:tc>
          <w:tcPr>
            <w:tcW w:w="2494" w:type="dxa"/>
            <w:tcBorders>
              <w:start w:val="single" w:sz="4" w:space="0" w:color="000000"/>
              <w:bottom w:val="single" w:sz="4" w:space="0" w:color="000000"/>
              <w:end w:val="single" w:sz="4" w:space="0" w:color="000000"/>
            </w:tcBorders>
          </w:tcPr>
          <w:p>
            <w:pPr>
              <w:pStyle w:val="TableContents"/>
              <w:bidi w:val="0"/>
              <w:rPr>
                <w:rFonts w:ascii="Arial" w:hAnsi="Arial"/>
              </w:rPr>
            </w:pPr>
            <w:r>
              <w:rPr/>
              <w:t>Failure in credit control</w:t>
            </w:r>
          </w:p>
        </w:tc>
      </w:tr>
      <w:tr>
        <w:trPr>
          <w:trHeight w:val="861" w:hRule="atLeast"/>
        </w:trPr>
        <w:tc>
          <w:tcPr>
            <w:tcW w:w="2130" w:type="dxa"/>
            <w:tcBorders>
              <w:start w:val="single" w:sz="4" w:space="0" w:color="000000"/>
              <w:bottom w:val="single" w:sz="4" w:space="0" w:color="000000"/>
            </w:tcBorders>
          </w:tcPr>
          <w:p>
            <w:pPr>
              <w:pStyle w:val="TableContents"/>
              <w:bidi w:val="0"/>
              <w:rPr>
                <w:rFonts w:ascii="Arial" w:hAnsi="Arial"/>
              </w:rPr>
            </w:pPr>
            <w:r>
              <w:rPr/>
              <w:t>Cash Flow</w:t>
            </w:r>
          </w:p>
        </w:tc>
        <w:tc>
          <w:tcPr>
            <w:tcW w:w="2382" w:type="dxa"/>
            <w:tcBorders>
              <w:start w:val="single" w:sz="4" w:space="0" w:color="000000"/>
              <w:bottom w:val="single" w:sz="4" w:space="0" w:color="000000"/>
            </w:tcBorders>
          </w:tcPr>
          <w:p>
            <w:pPr>
              <w:pStyle w:val="TableContents"/>
              <w:bidi w:val="0"/>
              <w:rPr>
                <w:rFonts w:ascii="Arial" w:hAnsi="Arial"/>
              </w:rPr>
            </w:pPr>
            <w:r>
              <w:rPr/>
              <w:t>OCF Margin recovered to 3.75% in 2024</w:t>
            </w:r>
          </w:p>
        </w:tc>
        <w:tc>
          <w:tcPr>
            <w:tcW w:w="2020" w:type="dxa"/>
            <w:tcBorders>
              <w:start w:val="single" w:sz="4" w:space="0" w:color="000000"/>
              <w:bottom w:val="single" w:sz="4" w:space="0" w:color="000000"/>
            </w:tcBorders>
          </w:tcPr>
          <w:p>
            <w:pPr>
              <w:pStyle w:val="TableContents"/>
              <w:bidi w:val="0"/>
              <w:rPr>
                <w:rFonts w:ascii="Arial" w:hAnsi="Arial"/>
              </w:rPr>
            </w:pPr>
            <w:r>
              <w:rPr/>
              <w:t>Strength</w:t>
            </w:r>
          </w:p>
        </w:tc>
        <w:tc>
          <w:tcPr>
            <w:tcW w:w="2494" w:type="dxa"/>
            <w:tcBorders>
              <w:start w:val="single" w:sz="4" w:space="0" w:color="000000"/>
              <w:bottom w:val="single" w:sz="4" w:space="0" w:color="000000"/>
              <w:end w:val="single" w:sz="4" w:space="0" w:color="000000"/>
            </w:tcBorders>
          </w:tcPr>
          <w:p>
            <w:pPr>
              <w:pStyle w:val="TableContents"/>
              <w:bidi w:val="0"/>
              <w:rPr>
                <w:rFonts w:ascii="Arial" w:hAnsi="Arial"/>
              </w:rPr>
            </w:pPr>
            <w:r>
              <w:rPr/>
              <w:t>Early signs of working capital stabilization</w:t>
            </w:r>
          </w:p>
        </w:tc>
      </w:tr>
    </w:tbl>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1.4 Default Risk Assessment via corporate failure prediciton models</w:t>
      </w:r>
    </w:p>
    <w:p>
      <w:pPr>
        <w:pStyle w:val="BodyText"/>
        <w:bidi w:val="0"/>
        <w:spacing w:lineRule="auto" w:line="360" w:before="0" w:after="0"/>
        <w:jc w:val="both"/>
        <w:rPr>
          <w:rFonts w:ascii="Arial" w:hAnsi="Arial" w:eastAsia="Times New Roman" w:cs="Times New Roman"/>
          <w:b/>
          <w:bCs/>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The Altman Z-Score combines five key financial ratios : measuring liquidity, solvency, profitability, and activity to provide a single score that can be used to categorize a firm's financial stability. Using the data GE’s Statement of Financial Position and Income Statement, here is the calculation for the same.</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tbl>
      <w:tblPr>
        <w:tblW w:w="5000" w:type="pct"/>
        <w:jc w:val="start"/>
        <w:tblInd w:w="-5" w:type="dxa"/>
        <w:tblLayout w:type="fixed"/>
        <w:tblCellMar>
          <w:top w:w="55" w:type="dxa"/>
          <w:start w:w="55" w:type="dxa"/>
          <w:bottom w:w="55" w:type="dxa"/>
          <w:end w:w="55" w:type="dxa"/>
        </w:tblCellMar>
      </w:tblPr>
      <w:tblGrid>
        <w:gridCol w:w="9026"/>
      </w:tblGrid>
      <w:tr>
        <w:trPr/>
        <w:tc>
          <w:tcPr>
            <w:tcW w:w="9026" w:type="dxa"/>
            <w:tcBorders>
              <w:top w:val="single" w:sz="4" w:space="0" w:color="000000"/>
              <w:start w:val="single" w:sz="4" w:space="0" w:color="000000"/>
              <w:bottom w:val="single" w:sz="4" w:space="0" w:color="000000"/>
              <w:end w:val="single" w:sz="4" w:space="0" w:color="000000"/>
            </w:tcBorders>
          </w:tcPr>
          <w:p>
            <w:pPr>
              <w:pStyle w:val="BodyText"/>
              <w:bidi w:val="0"/>
              <w:spacing w:lineRule="auto" w:line="360" w:before="0" w:after="0"/>
              <w:jc w:val="center"/>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Z = 1.2(Working Capital / Total Assets​) + 1.4(Retained Earnings / Total Assets​) + 3.3(EBIT / Total Assets​) + 0.6(Market Value of Equity / Total Liabilities​) + 1.0(Sales / Total Assets​) </w:t>
            </w:r>
          </w:p>
        </w:tc>
      </w:tr>
    </w:tbl>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tbl>
      <w:tblPr>
        <w:tblW w:w="5000" w:type="pct"/>
        <w:jc w:val="start"/>
        <w:tblInd w:w="-5" w:type="dxa"/>
        <w:tblLayout w:type="fixed"/>
        <w:tblCellMar>
          <w:top w:w="55" w:type="dxa"/>
          <w:start w:w="55" w:type="dxa"/>
          <w:bottom w:w="55" w:type="dxa"/>
          <w:end w:w="55" w:type="dxa"/>
        </w:tblCellMar>
      </w:tblPr>
      <w:tblGrid>
        <w:gridCol w:w="4512"/>
        <w:gridCol w:w="4514"/>
      </w:tblGrid>
      <w:tr>
        <w:trPr/>
        <w:tc>
          <w:tcPr>
            <w:tcW w:w="4512" w:type="dxa"/>
            <w:tcBorders>
              <w:top w:val="single" w:sz="4" w:space="0" w:color="000000"/>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WC (Working capital)</w:t>
            </w:r>
          </w:p>
        </w:tc>
        <w:tc>
          <w:tcPr>
            <w:tcW w:w="4514" w:type="dxa"/>
            <w:tcBorders>
              <w:top w:val="single" w:sz="4" w:space="0" w:color="000000"/>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£84,203m</w:t>
            </w:r>
          </w:p>
        </w:tc>
      </w:tr>
      <w:tr>
        <w:trPr/>
        <w:tc>
          <w:tcPr>
            <w:tcW w:w="4512" w:type="dxa"/>
            <w:tcBorders>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Total Assets</w:t>
            </w:r>
          </w:p>
        </w:tc>
        <w:tc>
          <w:tcPr>
            <w:tcW w:w="4514" w:type="dxa"/>
            <w:tcBorders>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£323,354m</w:t>
            </w:r>
          </w:p>
        </w:tc>
      </w:tr>
      <w:tr>
        <w:trPr/>
        <w:tc>
          <w:tcPr>
            <w:tcW w:w="4512" w:type="dxa"/>
            <w:tcBorders>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Retained Earnings (RE)</w:t>
            </w:r>
          </w:p>
        </w:tc>
        <w:tc>
          <w:tcPr>
            <w:tcW w:w="4514" w:type="dxa"/>
            <w:tcBorders>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£208,431m</w:t>
            </w:r>
          </w:p>
        </w:tc>
      </w:tr>
      <w:tr>
        <w:trPr/>
        <w:tc>
          <w:tcPr>
            <w:tcW w:w="4512" w:type="dxa"/>
            <w:tcBorders>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EBIT</w:t>
            </w:r>
          </w:p>
        </w:tc>
        <w:tc>
          <w:tcPr>
            <w:tcW w:w="4514" w:type="dxa"/>
            <w:tcBorders>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-£15,297m</w:t>
            </w:r>
          </w:p>
        </w:tc>
      </w:tr>
      <w:tr>
        <w:trPr/>
        <w:tc>
          <w:tcPr>
            <w:tcW w:w="4512" w:type="dxa"/>
            <w:tcBorders>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Market Value of Equity</w:t>
            </w:r>
          </w:p>
        </w:tc>
        <w:tc>
          <w:tcPr>
            <w:tcW w:w="4514" w:type="dxa"/>
            <w:tcBorders>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£153,105m</w:t>
            </w:r>
          </w:p>
        </w:tc>
      </w:tr>
      <w:tr>
        <w:trPr/>
        <w:tc>
          <w:tcPr>
            <w:tcW w:w="4512" w:type="dxa"/>
            <w:tcBorders>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Total Liabilities</w:t>
            </w:r>
          </w:p>
        </w:tc>
        <w:tc>
          <w:tcPr>
            <w:tcW w:w="4514" w:type="dxa"/>
            <w:tcBorders>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£170,249m</w:t>
            </w:r>
          </w:p>
        </w:tc>
      </w:tr>
      <w:tr>
        <w:trPr/>
        <w:tc>
          <w:tcPr>
            <w:tcW w:w="4512" w:type="dxa"/>
            <w:tcBorders>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Sales</w:t>
            </w:r>
          </w:p>
        </w:tc>
        <w:tc>
          <w:tcPr>
            <w:tcW w:w="4514" w:type="dxa"/>
            <w:tcBorders>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£394,879m</w:t>
            </w:r>
          </w:p>
        </w:tc>
      </w:tr>
    </w:tbl>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Using these numbers, The calculated Z-score for General Electronics is 1.43. </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According to the standard interpretation of the model, Here is what it means :</w:t>
      </w:r>
    </w:p>
    <w:tbl>
      <w:tblPr>
        <w:tblW w:w="5000" w:type="pct"/>
        <w:jc w:val="start"/>
        <w:tblInd w:w="-5" w:type="dxa"/>
        <w:tblLayout w:type="fixed"/>
        <w:tblCellMar>
          <w:top w:w="55" w:type="dxa"/>
          <w:start w:w="55" w:type="dxa"/>
          <w:bottom w:w="55" w:type="dxa"/>
          <w:end w:w="55" w:type="dxa"/>
        </w:tblCellMar>
      </w:tblPr>
      <w:tblGrid>
        <w:gridCol w:w="2213"/>
        <w:gridCol w:w="6813"/>
      </w:tblGrid>
      <w:tr>
        <w:trPr/>
        <w:tc>
          <w:tcPr>
            <w:tcW w:w="2213" w:type="dxa"/>
            <w:tcBorders>
              <w:top w:val="single" w:sz="4" w:space="0" w:color="000000"/>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Z &gt; 2.99</w:t>
            </w:r>
          </w:p>
        </w:tc>
        <w:tc>
          <w:tcPr>
            <w:tcW w:w="6813" w:type="dxa"/>
            <w:tcBorders>
              <w:top w:val="single" w:sz="4" w:space="0" w:color="000000"/>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"Safe Zone" (Low risk of bankruptcy)</w:t>
            </w:r>
          </w:p>
        </w:tc>
      </w:tr>
      <w:tr>
        <w:trPr/>
        <w:tc>
          <w:tcPr>
            <w:tcW w:w="2213" w:type="dxa"/>
            <w:tcBorders>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1.81 &lt; Z &lt; 2.99</w:t>
            </w:r>
          </w:p>
        </w:tc>
        <w:tc>
          <w:tcPr>
            <w:tcW w:w="6813" w:type="dxa"/>
            <w:tcBorders>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"Gray Zone" (Probable risk of failure)</w:t>
            </w:r>
          </w:p>
        </w:tc>
      </w:tr>
      <w:tr>
        <w:trPr/>
        <w:tc>
          <w:tcPr>
            <w:tcW w:w="2213" w:type="dxa"/>
            <w:tcBorders>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Z &lt; 1.81</w:t>
            </w:r>
          </w:p>
        </w:tc>
        <w:tc>
          <w:tcPr>
            <w:tcW w:w="6813" w:type="dxa"/>
            <w:tcBorders>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"Distress Zone" (High probability of bankruptcy within 24 months)</w:t>
            </w:r>
          </w:p>
        </w:tc>
      </w:tr>
    </w:tbl>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br/>
        <w:t>GE is firmly in the Distress Zone based on a score of 1.43. Which means that the company requires financial restructuring or it will no longer be able to suppor its operations without a radical capital injection.</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2. Working Capital Management Analysis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2.1 Cash Operating Cycle Assessment</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numPr>
          <w:ilvl w:val="0"/>
          <w:numId w:val="6"/>
        </w:numPr>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Cash Operating Cycle shows the duration of converting inventory investment into cashflow through saless.</w:t>
      </w:r>
    </w:p>
    <w:p>
      <w:pPr>
        <w:pStyle w:val="BodyText"/>
        <w:numPr>
          <w:ilvl w:val="0"/>
          <w:numId w:val="6"/>
        </w:numPr>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The Inventory Conversion Period (ICP) for each year is :</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100 Days - 2020</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108 Days - 2021</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128 Days - 2022</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129 Days - 2023</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109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Days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2024.</w:t>
      </w:r>
    </w:p>
    <w:p>
      <w:pPr>
        <w:pStyle w:val="BodyText"/>
        <w:numPr>
          <w:ilvl w:val="0"/>
          <w:numId w:val="6"/>
        </w:numPr>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Similarly,the receivable collection period (RCP) for each year is : </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77 days – 2020</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78 Days – 2021</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81 Days – 2022</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98 days – 2023</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105 days - 2024</w:t>
      </w:r>
    </w:p>
    <w:p>
      <w:pPr>
        <w:pStyle w:val="BodyText"/>
        <w:numPr>
          <w:ilvl w:val="0"/>
          <w:numId w:val="6"/>
        </w:numPr>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Payables Deferral Period (PDP) for each year is : </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70 days (2020)</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75 days (2021)</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77 days (2022)</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73 days (2023)</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84 days in 2024</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It further indicated a delay in payment to suppliers.</w:t>
      </w:r>
    </w:p>
    <w:p>
      <w:pPr>
        <w:pStyle w:val="BodyText"/>
        <w:numPr>
          <w:ilvl w:val="0"/>
          <w:numId w:val="6"/>
        </w:numPr>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Now we can calculate the Cash Operating Cycle (COC)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using these values and this f</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ormula  : </w:t>
      </w:r>
      <w:r>
        <w:rPr>
          <w:rFonts w:eastAsia="Times New Roman" w:cs="Times New Roman"/>
          <w:b w:val="false"/>
          <w:bCs w:val="false"/>
          <w:i/>
          <w:iCs/>
          <w:caps w:val="false"/>
          <w:smallCaps w:val="false"/>
          <w:strike w:val="false"/>
          <w:dstrike w:val="false"/>
          <w:color w:val="000000"/>
          <w:sz w:val="24"/>
          <w:szCs w:val="24"/>
          <w:u w:val="none"/>
          <w:effect w:val="none"/>
          <w:shd w:fill="auto" w:val="clear"/>
        </w:rPr>
        <w:t>COC = ICP + RCP − PDP</w:t>
      </w:r>
    </w:p>
    <w:p>
      <w:pPr>
        <w:pStyle w:val="BodyText"/>
        <w:numPr>
          <w:ilvl w:val="0"/>
          <w:numId w:val="6"/>
        </w:numPr>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COC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for each year :</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108 days - 2020</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111 days - 2021</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132 days - 2022</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154 days - 2023</w:t>
      </w:r>
    </w:p>
    <w:p>
      <w:pPr>
        <w:pStyle w:val="BodyText"/>
        <w:numPr>
          <w:ilvl w:val="0"/>
          <w:numId w:val="0"/>
        </w:numPr>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130 days - 2024 </w:t>
      </w:r>
    </w:p>
    <w:p>
      <w:pPr>
        <w:pStyle w:val="BodyText"/>
        <w:numPr>
          <w:ilvl w:val="0"/>
          <w:numId w:val="6"/>
        </w:numPr>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We can say that the firm needs more than 4 months to recover the funds from produciton, which is creating liquidity problems. While we can see some correction in 2024, it could be because of lower inventory. These liquidity problems also has an impact on business activies and negative profitability resulted in longer collection cycles.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 xml:space="preserve">2.2 Recommended Strategies and working capital reforms to improve liquidity </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Firm has to fix the problem of liquidity and it requires a working capital reform program.</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Receivables</w:t>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GE’s collection days extend to over 105 days, and that needs to be fixed. Firms with shorter receivables days have significantly better cash flow and reduced insolvency risk (Lazaridis and Tryfonidis, 2006). GE should sell a portion of its accounts receivable to a third party at a discount. It can provide an immediate cash injection that is vital for firms in the "distress zone" of the Altman Z-Score (Altman et al., 2017).This strategy will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provide</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immediate working capital  without increasing the company's long-term debt. The company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should also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implement a credit-rating system for customers and push for shorter days outstanding sales to maintain operations during economic downturns (Hofmann, Töyli and Solakivi, 2022). GE should offer early payment discounts to incentivize prompt settlements.</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Inventory</w:t>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The firm’s significant cash is trapped in slow-moving stock. Firms can use a Just-in-Time (JIT) system that reduces the capital tied up in raw materials and finished goods. By performing an ABC analysis, GE can prioritize the management of high-value items while reducing the stock levels of slow-moving items (Habib and Mourad, 2022). Utilizing predictive analytics can better align production with actual market demand, which makes inventory management more efficient. It will free up the cash that would otherwise be wasted on storage and handling costs (Addin Al-Mawsheki, 2022).</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Supply chain finance</w:t>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GE attempted to preserve cash by extending payables to 66 days, but it can hurt supplier relationships and disrupt the supply chain.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To avoid that,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GE should partner with financial institutions to implement Supply Chain Finance. This w</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ay , the firm can pay the suppliers on time through</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a bank while maintain</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ing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or even extend</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ing</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its payment terms (Wetzel and Wagner, 2024). This will provide short-term liquidity relief while ensuring supplier stability, which is critical for successful turnarounds (Manimala and Panicker, 2011).</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Cash Flow</w:t>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GE can further improve cashflow through real-time dashboards to monitor the Cash Conversion Cycle (CCC). A shorter CCC is statistically correlated with higher financial performance. It allows firm to reinvest cash into growth. For global firms, cash is often fragmented across different geographic regions and a centralized cash pool will allow the firm to reduce the need for expensive external short-term borrowing through better cashflow management (Moretto and Caniato, 2021).</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2.3 Short-Term vs Long-Term Financing</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Short-Term Financing: Flexibility and Risk</w:t>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In order to manage its daily operations and the immediate "receivables crisis", short-term financing options with maturities less than a year are essential. Here are important things to consider :</w:t>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Key Instruments: Recommended options for GE include bank overdrafts, commercial paper, short-term bank loans, trade credit, and inventory financing.</w:t>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Advantages: While offering high flexibility, these facilities are also less expensive to initiate, unlike long-term debt. Options like trade credit from suppliers can effectively preserve cash for 30 to 90 days without immediate interest costs.</w:t>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Disadvantages and Risks: The firm could face rollover risk. However, if the company relies too much on short-term loans, it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could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face a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massive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"rollover risk" and changes in interest rates. Academic research highlights that firms with low working capital efficiency combined with heavy short-term debt reliance are extremely vulnerable during economic downturns (Rano and Rano, 2025). For GE, whose current liabilities stand at £158 billion, a failure to manage these rollovers could lead to a sudden liquidity collapse.</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ii) Long-Term Financing: Stability and Restructuring</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GE’s structural underperformance and the 51% erosion of its equity base since 2020 are few of the issues that can only be addressed through long-term financing. For GE, the primary goal of long-term financing is "debt consolidation" and capital restructuring to move away from a precarious debt-driven model. Long-term fixed-income securities can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help with restoring credit ratings by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provid</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ing</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the structural stability needed to restore credit ratings (Sabu, 2024).</w:t>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Strategic options for long-term financing include equity financing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through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rights issues, corporate bonds, long-term bank loans, and asset securitization. While equity injection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can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cause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a</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short-term shareholder dilution, it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would</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also provide a vital "equity buffer"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which</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is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required</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for operational recovery in distressed firms (McKenzie and Marx, 2025).</w:t>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Using the "matching principle", GE can fund long-term assets using long-term capital, and fluctuating current assets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can be</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managed through short-term facilities. GE should prioritize invoice factoring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as well. factoring</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approximately 25% of the receivables' portfolio could provide an immediate £27 billion cash injection. This can improve liquidity more effectively than a standard bank loan. Long-Term Goal: Successful turnaround depends on gradually decreasing reliance on short-term funds and towards a robust, long-term capital framework (Braunsberger and Aschauer, 2025).</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3. Financial Restructuring Plan</w:t>
      </w:r>
    </w:p>
    <w:p>
      <w:pPr>
        <w:pStyle w:val="BodyText"/>
        <w:bidi w:val="0"/>
        <w:spacing w:lineRule="auto" w:line="360" w:before="0" w:after="0"/>
        <w:jc w:val="both"/>
        <w:rPr>
          <w:rFonts w:ascii="Arial" w:hAnsi="Arial" w:eastAsia="Times New Roman" w:cs="Times New Roman"/>
          <w:b/>
          <w:bCs/>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 xml:space="preserve">3.1 Recommended  Options </w:t>
      </w:r>
      <w:r>
        <w:rPr>
          <w:rFonts w:eastAsia="Times New Roman" w:cs="Times New Roman"/>
          <w:b/>
          <w:bCs/>
          <w:i w:val="false"/>
          <w:caps w:val="false"/>
          <w:smallCaps w:val="false"/>
          <w:strike w:val="false"/>
          <w:dstrike w:val="false"/>
          <w:color w:val="000000"/>
          <w:sz w:val="24"/>
          <w:szCs w:val="24"/>
          <w:u w:val="none"/>
          <w:effect w:val="none"/>
          <w:shd w:fill="auto" w:val="clear"/>
        </w:rPr>
        <w:t>for  Financial Restructuring</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General Electronics requires urgent financial restructuring due to a sustained period of value erosion.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N</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et sales declined approximately 36%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b</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etween 2020 and 2024.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Along with that, the firm’s retained earnings</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ha</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ve</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severely depleted from £325 billion to £208.4 billion during the same period. The equity base has also fallen by over 51% since its peak in 2020. This is not just a cyclical downturn, it is a structural failure characterized by operational inflexibility and a weakened equity base. Reliance on Lines of Credit is also rising. Without immediate intervention, these factors suggest a high risk of insolvency.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Option 1: Liquidity Enhancement through Receivables Factoring</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GE’s accounts receivable stands at £114.2 billion as of 2024. To address the immediate cash crunch, General Electronics should implement a factoring arrangement for it. The company’s cash and equivalents dropped from £66.7 billion to £26.8 billion between 2022 and 2024. Factoring accelerates the cash operating cycle without incurring traditional debt. By factoring 25% of the current receivables portfolio and assuming a 5% discount fee, this provides an immediate cash injection of £27 billion. GE should also go for a "non-recourse" agreement to transfer the credit risk of "long-outstanding accounts" to the factory and clean the balance sheet of potential bad debts.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Option 2: Equity Injection via Rights Issue</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The company’s gearing and solvency ratios have deteriorated, because of impairment of goodwill and long-lived assets totaling nearly £57 billion. Total shareholders' equity has also shrunk from £313.3 billion to £153.1 billion in five years. An equity injection is much needed to restore investor confidence and provide a permanent capital base that does not require interest payments. Given the firm's recent history of operating losses, it is a necessary condition for financial stability. GE should launch a £35 billion rights issue. While this will cause shareholder dilution, it will allow the firm to pay down high-interest short-term credit and stabilize the condition.</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Option 3: Strategic Asset Divestiture (Portfolio Rationalization)</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General Electronics has to move away from an asset-intensive model to a more leaner structure. Between 2020 – 2024, the firm’s Property, Plant, and Equipment (PPE) has declined from £87.3 billion to £34.2 billion, which means the firm is already downsizing or failing to reinvest and it should. GE should proactively disinvest in non-core or underperforming business units to recover management focus, liquidity and prevent value destruction caused by forced fire sales.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Option 4: Debt Refinancing and Maturity Extension</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GE should restructure short-term "Lines of Credit" into long-term debt securities. The 2024 balance sheet shows £158.3 billion in current liabilities, creating massive short-term pressure. In the same year, the company repaid £120 billion in credit lines, but in order to maintain operations, it also had to borrow £102 billion. Converting this into long-term debt will lengthen maturities and provide the operational flexibility for a multi-year turnaround.</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3.2 Evaluation of Restructuring Impact</w:t>
      </w:r>
    </w:p>
    <w:p>
      <w:pPr>
        <w:pStyle w:val="BodyText"/>
        <w:bidi w:val="0"/>
        <w:spacing w:lineRule="auto" w:line="360" w:before="0" w:after="0"/>
        <w:jc w:val="both"/>
        <w:rPr>
          <w:rFonts w:ascii="Arial" w:hAnsi="Arial" w:eastAsia="Times New Roman" w:cs="Times New Roman"/>
          <w:b/>
          <w:bCs/>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Impact on Shareholder Value</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The proposed £35 billion equity injection via a rights issue will cause significant dilution for existing shareholders, but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we must also consider</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firm’s recent performance,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which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includes a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losses of</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£98.2 billion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and £24 billion in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2023 and 2024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respectively. R</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etained earnings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have also declined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from £324.9 billion in 2020 to £208.4 billion in 2024, indicating a rapid loss of internal capital. This dilution can restore solvency and lead to share price stabilization. Without this recapitalization,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there will be</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an imminent risk of default and wipe out total equity,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which is also indicated by the Altman Z-Score.</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Impact on Debt Structure</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The restructuring plan will shift General Electronics towards a more stable, long-term capital structure instead of the current high-risk, short-term borrowing model that the firm is currently stuck in. Converting short-term credit lines into long-term debt securities will lower the current ratio pressure and provide breathing room for the interest coverage ratio, which is currently stressed by a negative operating income of £15.3 billion.</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Impact on Operational Flexibility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Restructuring enhances the CFO's ability to respond to market changes by unlocking liquidity and focusing resources on core segments. By factoring 25% of the receivables' portfolio, the firm will gain £27 billion in immediate cash as a liquidity buffer and significantly improve its cash operating cycle. Proactive disinvestment in selected areas ensures that this shrinking asset base is focused on high-margin consumer electronics rather than being spread across failing legacy divisions. Improved liquidity through working capital reforms addresses the issue of "operational inflexibility" caused by outdated equipment and also allows the company to invest in modern production methods.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3.3 International &amp; Ethical Considerations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International Financial Considerations</w:t>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Currency Risk:</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Restructuring should include hedging strategies (e.g., forward contracts) because operating internationally exposes the firm to exchange rate volatility, which impacted cash flows by £2.6 billion in 2024. These strategies will protect repatriated earnings from further depreciation.</w:t>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Taxation:</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Disinvestments and equity injections must be structured to minimize taxation across different regions. The firm reported £5.4 billion tax provision despite a pre-tax loss in 2024 , which suggests that the firm must also navigate varying corporate tax rates.</w:t>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Inflation:</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High inflation in certain markets can depreciate the real value of "accounts receivable". The proposed factoring strategy mitigates this issue by converting these receivables into immediate cash.</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ii) Ethical and CSR Considerations</w:t>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Corporate Social Responsibility (CSR):</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Turnaround strategies often have cost base reconfiguration. Ethically, General Electronics must ensure fair severance and retraining programs to maintain its reputational capital and long-term brand value and avoid job losses. Firm should avoide aggressive tax avoidance schemes and ensure transparency with shareholders.</w:t>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Sustainability:</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Integrating sustainable supply chain practices into the new operational model can improve ESG (Environmental, Social, and Governance) scores and make the firm more attractive to "ethical investors" during the equity injection phase.</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 xml:space="preserve">4. Investment Appraisal and Capital Budgeting </w:t>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4.1 Evaluation of Three Proposed Investment Projects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w:t>
      </w:r>
      <w:r>
        <w:rPr>
          <w:rFonts w:eastAsia="Times New Roman" w:cs="Times New Roman"/>
          <w:b/>
          <w:bCs/>
          <w:i w:val="false"/>
          <w:caps w:val="false"/>
          <w:smallCaps w:val="false"/>
          <w:strike w:val="false"/>
          <w:dstrike w:val="false"/>
          <w:color w:val="000000"/>
          <w:sz w:val="24"/>
          <w:szCs w:val="24"/>
          <w:u w:val="none"/>
          <w:effect w:val="none"/>
          <w:shd w:fill="auto" w:val="clear"/>
        </w:rPr>
        <w:t>Project A”</w:t>
      </w:r>
    </w:p>
    <w:p>
      <w:pPr>
        <w:pStyle w:val="BodyText"/>
        <w:bidi w:val="0"/>
        <w:spacing w:lineRule="auto" w:line="360" w:before="0" w:after="0"/>
        <w:jc w:val="both"/>
        <w:rPr>
          <w:rFonts w:ascii="Arial" w:hAnsi="Arial" w:eastAsia="Times New Roman" w:cs="Times New Roman"/>
          <w:b/>
          <w:bCs/>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iCs/>
          <w:caps w:val="false"/>
          <w:smallCaps w:val="false"/>
          <w:strike w:val="false"/>
          <w:dstrike w:val="false"/>
          <w:color w:val="000000"/>
          <w:sz w:val="24"/>
          <w:szCs w:val="24"/>
          <w:u w:val="none"/>
          <w:effect w:val="none"/>
          <w:shd w:fill="auto" w:val="clear"/>
        </w:rPr>
        <w:t>Payback Period:</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Project has a total investment of £40 million initially, and the “cumulative cash inflows” are identified as £36 million at the end of Year 3. The remaining amount (£4 million) can be recovered at the beginning of Year 4. So the  total PBP will be 3 years and 4.8 months. The short time of the recovery reflected good liquidity and adequate capital turnover, hence, having enough financial stability.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Accounting Rate of Return:</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This project highlighted an ARR of 27% on the invested capital which means there is a possiblity of high profitability if invested funds are  used properly.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Net Present Value (NPV):</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This project has a positive NPV of £1.3 million when calculated using the “10% discount rate”. This indicates that project will create some value and surpass the initial investment with time. The NPV will also strengthen firm’s financial stability. This regular cash flow in the early years will enrich predictability and help the firm in navigating the liquidity crisis.This Net Present Value confirms that it will increase the wealth of the shareholders.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t>Profitability Index (PI):</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This project has PI value of 1.03, Which is above 1. This confirms that project will add some marginal value. It will bring additional £0.03 for every pound invested, to be exact. Given the firm’s financial position, this project A is a safe investment opportunity that is capable of supporting gradual recovery.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t>Internal Rate of Return (IRR):</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“Project A” has 11.33% IRR, which is slightly above 10% cost of capital. Because of the low IRR, this is a low-risk project that can recover it’s investment eventually but firm should not give higher priority.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b/>
          <w:bCs/>
        </w:rPr>
      </w:pPr>
      <w:r>
        <w:rPr>
          <w:b/>
          <w:bCs/>
        </w:rPr>
        <w:t>“</w:t>
      </w:r>
      <w:r>
        <w:rPr>
          <w:b/>
          <w:bCs/>
        </w:rPr>
        <w:t>Project B”</w:t>
      </w:r>
    </w:p>
    <w:p>
      <w:pPr>
        <w:pStyle w:val="BodyText"/>
        <w:bidi w:val="0"/>
        <w:spacing w:lineRule="auto" w:line="360" w:before="0" w:after="0"/>
        <w:jc w:val="both"/>
        <w:rPr>
          <w:rFonts w:ascii="Arial" w:hAnsi="Arial"/>
          <w:b/>
          <w:bCs/>
        </w:rPr>
      </w:pPr>
      <w:r>
        <w:rPr>
          <w:b/>
          <w:bCs/>
        </w:rPr>
      </w:r>
    </w:p>
    <w:p>
      <w:pPr>
        <w:pStyle w:val="BodyText"/>
        <w:bidi w:val="0"/>
        <w:spacing w:lineRule="auto" w:line="360" w:before="0" w:after="0"/>
        <w:jc w:val="both"/>
        <w:rPr>
          <w:rFonts w:ascii="Arial" w:hAnsi="Arial"/>
        </w:rPr>
      </w:pPr>
      <w:r>
        <w:rPr>
          <w:rFonts w:eastAsia="Times New Roman" w:cs="Times New Roman"/>
          <w:b/>
          <w:bCs/>
          <w:i/>
          <w:iCs/>
          <w:caps w:val="false"/>
          <w:smallCaps w:val="false"/>
          <w:strike w:val="false"/>
          <w:dstrike w:val="false"/>
          <w:color w:val="000000"/>
          <w:sz w:val="24"/>
          <w:szCs w:val="24"/>
          <w:u w:val="none"/>
          <w:effect w:val="none"/>
          <w:shd w:fill="auto" w:val="clear"/>
        </w:rPr>
        <w:t>Payback Period:</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The “Project B” has initial investment of £30 million with a potential to generate £6 million as annual cash inflows. Hence, 5 years of total PBP. This project has weaker liquidity and slower capita recovery.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Accounting Rate of Return:</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This project has moderate ARR of 20%. This project can offer some financial stability but less profitability and slower returns.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 xml:space="preserve">Net Present Value (NPV):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The NPV for this project is nearly £7.2 million at the 10% discount rate. This suggests the project is value destructive and not capable of recovering the investment. For a struggling firm like GE, project like this can increase financial pressure instead of providing stability.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t>Profitability Index (PI):</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This project has profitability index of 0.76, which is lower than 1. Hence, “Project B” will not be able to generate sufficient returns and tighten the liquidity problem and shareholder value can fall even further.</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t>Internal Rate of Return (IRR):</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With a negative IRR of 0%, this project signals operational inefficiencies and can not improve the liquidity problems of financially weakened firm. This project is not a profitable investment.</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b/>
          <w:bCs/>
        </w:rPr>
      </w:pPr>
      <w:r>
        <w:rPr>
          <w:b/>
          <w:bCs/>
        </w:rPr>
        <w:t>“</w:t>
      </w:r>
      <w:r>
        <w:rPr>
          <w:b/>
          <w:bCs/>
        </w:rPr>
        <w:t>Project C”</w:t>
      </w:r>
    </w:p>
    <w:p>
      <w:pPr>
        <w:pStyle w:val="BodyText"/>
        <w:bidi w:val="0"/>
        <w:spacing w:lineRule="auto" w:line="360" w:before="0" w:after="0"/>
        <w:jc w:val="both"/>
        <w:rPr>
          <w:rFonts w:ascii="Arial" w:hAnsi="Arial"/>
          <w:b/>
          <w:bCs/>
        </w:rPr>
      </w:pPr>
      <w:r>
        <w:rPr>
          <w:b/>
          <w:bCs/>
        </w:rPr>
      </w:r>
    </w:p>
    <w:p>
      <w:pPr>
        <w:pStyle w:val="BodyText"/>
        <w:bidi w:val="0"/>
        <w:spacing w:lineRule="auto" w:line="360" w:before="0" w:after="0"/>
        <w:jc w:val="both"/>
        <w:rPr>
          <w:rFonts w:ascii="Arial" w:hAnsi="Arial"/>
        </w:rPr>
      </w:pPr>
      <w:r>
        <w:rPr>
          <w:rFonts w:eastAsia="Times New Roman" w:cs="Times New Roman"/>
          <w:b/>
          <w:bCs/>
          <w:i/>
          <w:iCs/>
          <w:caps w:val="false"/>
          <w:smallCaps w:val="false"/>
          <w:strike w:val="false"/>
          <w:dstrike w:val="false"/>
          <w:color w:val="000000"/>
          <w:sz w:val="24"/>
          <w:szCs w:val="24"/>
          <w:u w:val="none"/>
          <w:effect w:val="none"/>
          <w:shd w:fill="auto" w:val="clear"/>
        </w:rPr>
        <w:t>Payback Period:</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With an initial capital investment of £50 million, “project C” will generate “cumulative cash inflow” of £35 million by the end of Year 3. with recovery of  additional £15 million, the project has PBP of 3 years and 7 months in total. These numbers ensure better liquidity to the firm with the promise of future growth.</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Accounting Rate of Return:</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The project will generate a total return of £75 million within 5 years from initial investment of £50 million. So the ARR comes to 30%, which is highest among the 3. The project promises increment in share holder value with efficient use of invested capital.</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Net Present Value (NPV):</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“Project C” has a positive NPV of nearly £4.2 million. Which shows that project can surpass the discount rate of 10% and increase shareholder wealth. Overall, it will provide long term profitability and growth.</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t>Profitability Index (PI):</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This project has highest PI among all the 3. With a PI of 1.08, project C can generate additional £0.08 for each pound that is invested within discounted inflows. Although it requires highest capital investment, it uses the capital efficiently and promises increse in future cash inflow. This can ultimately improve firm’s financial situation.</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t>Internal Rate of Return (IRR):</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“project C” has estimated IRR of 12.72%, which is above the “10% discounted rate”. When considered with positive NPV and the highest measures of profitability, this project indicates value creation it has higher future growth potential. </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bCs/>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t>4.2 Final Investment Recommendation and Justification</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Given the firm’s financial condition and other investment constraints, the firm should exclusively invest in “Project C”, as it requires an initial capital of £50 million and still leaves £10 million liquidity buffer from the £60 million budget. Project B destroys shareholder value and Project A is less profitable compared to the chosen one. The goal is to maximize total Net Present Value (NPV) within the capital limit.</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General Electronic’s profitability has eroded during 5 year and reached -6.1% in 2024. To adress this problem, project C oofers highest ARR of 30.0% and an Internal Rate of Return (IRR) of 12.72%, which exceeds the 10% cost of capital. NPV of project C is £4.22 million, which is more than triple compared to Project A (£1.32 million). As firm’s retained earnings have dropped over the 5 years, this is an important metrics to consider. While project A is faster in liquidity recovery with 3.4 years, project C is not far behind with payback period of 3.6 years. This marginal difference can not justify the significant loss in absolute profitability offered by Project C. Project C makes the most efficient use of invested capital with PI of 1.084 and sheer volume of cash generated by the end of 5 years (£75 Million) will provide a necessary equity buffer to restore the firm's depleted equity base. The firm can improve its Altman Z-Score of 1.43 by choosing the most profitable project.</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bCs/>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t>4.3 Conclusion</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It can be seen from the five-year financial trajectory of General Electronics (2020–2024), that the  firm’s revenue has collapsed by a 36% and an Altman Z-Score of 1.43 has placed it firmly within the "distress zone". which means, the firm is in a state of critical distress. It went from a profitable entity in 2020 to a £98.2 billion net loss generating entity in 2023, which shows a poor cost management and operational inefficiency.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To manage this decline, a multi-faceted turnaround strategy has been proposed by the CFO. The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firm would adress the issue of</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immediate cash crunch through receivables factoring.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Along with that, a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£35 billion equity injection will restore the firm's equity base. By addressing the long cash operating cycle of 130-days, the firm will move from reactive crisis management to proactive liquidity control through automated tracking and tiered credit limits. By investing in project C, management will use the capital more efficiently to drive long-term growth and maximize shareholder wealth.</w:t>
      </w:r>
      <w:r>
        <w:br w:type="page"/>
      </w:r>
    </w:p>
    <w:p>
      <w:pPr>
        <w:pStyle w:val="Heading1"/>
        <w:spacing w:lineRule="auto" w:line="360" w:before="0" w:after="200"/>
        <w:jc w:val="both"/>
        <w:rPr>
          <w:rFonts w:ascii="Arial" w:hAnsi="Arial"/>
        </w:rPr>
      </w:pPr>
      <w:bookmarkStart w:id="2" w:name="_pemnsk9klfvc"/>
      <w:bookmarkEnd w:id="2"/>
      <w:r>
        <w:rPr>
          <w:rFonts w:ascii="Arial" w:hAnsi="Arial"/>
          <w:sz w:val="24"/>
          <w:szCs w:val="24"/>
        </w:rPr>
        <w:t>References</w:t>
      </w:r>
    </w:p>
    <w:p>
      <w:pPr>
        <w:pStyle w:val="Normal"/>
        <w:bidi w:val="0"/>
        <w:spacing w:lineRule="auto" w:line="360" w:before="0" w:after="200"/>
        <w:jc w:val="both"/>
        <w:rPr/>
      </w:pPr>
      <w:r>
        <w:rPr>
          <w:rFonts w:eastAsia="Times New Roman" w:cs="Times New Roman"/>
          <w:sz w:val="24"/>
          <w:szCs w:val="24"/>
        </w:rPr>
        <w:t xml:space="preserve">1. Brealey, R.A., Myers, S.C. and Allen, F. (2022) Principles of Corporate Finance. 14th edn. New York: McGraw-Hill Education. </w:t>
      </w:r>
      <w:hyperlink r:id="rId2">
        <w:r>
          <w:rPr>
            <w:rStyle w:val="Hyperlink"/>
            <w:rFonts w:eastAsia="Times New Roman" w:cs="Times New Roman"/>
            <w:sz w:val="24"/>
            <w:szCs w:val="24"/>
          </w:rPr>
          <w:t>https://www.mheducation.com/content/dam/mhe/blog/higher-ed/2025/pdfs/brealey-principles-of-corporate-finance-evergreen-2025.pdf</w:t>
        </w:r>
      </w:hyperlink>
    </w:p>
    <w:p>
      <w:pPr>
        <w:pStyle w:val="Normal"/>
        <w:bidi w:val="0"/>
        <w:spacing w:lineRule="auto" w:line="360" w:before="0" w:after="200"/>
        <w:jc w:val="both"/>
        <w:rPr/>
      </w:pPr>
      <w:r>
        <w:rPr>
          <w:rFonts w:eastAsia="Times New Roman" w:cs="Times New Roman"/>
          <w:sz w:val="24"/>
          <w:szCs w:val="24"/>
        </w:rPr>
        <w:t xml:space="preserve">2. GoCardless (2024) What is a good net profit margin?. </w:t>
      </w:r>
      <w:hyperlink r:id="rId3">
        <w:r>
          <w:rPr>
            <w:rStyle w:val="Hyperlink"/>
            <w:rFonts w:eastAsia="Times New Roman" w:cs="Times New Roman"/>
            <w:sz w:val="24"/>
            <w:szCs w:val="24"/>
          </w:rPr>
          <w:t>https://gocardless.com/en-us/guides/posts/what-is-a-good-profit-margin/</w:t>
        </w:r>
      </w:hyperlink>
    </w:p>
    <w:p>
      <w:pPr>
        <w:pStyle w:val="Normal"/>
        <w:bidi w:val="0"/>
        <w:spacing w:lineRule="auto" w:line="360" w:before="0" w:after="200"/>
        <w:jc w:val="both"/>
        <w:rPr>
          <w:rFonts w:ascii="Arial" w:hAnsi="Arial"/>
        </w:rPr>
      </w:pPr>
      <w:r>
        <w:rPr>
          <w:rFonts w:eastAsia="Times New Roman" w:cs="Times New Roman"/>
          <w:sz w:val="24"/>
          <w:szCs w:val="24"/>
        </w:rPr>
        <w:t>3. Hillier, D., Ross, S.A., Westerfield, R.W., Jaffe, J. and Jordan, B.D. (2020) Corporate Finance. 4th edn. London: McGraw-Hill.</w:t>
      </w:r>
    </w:p>
    <w:p>
      <w:pPr>
        <w:pStyle w:val="Normal"/>
        <w:bidi w:val="0"/>
        <w:spacing w:lineRule="auto" w:line="360" w:before="0" w:after="200"/>
        <w:jc w:val="both"/>
        <w:rPr>
          <w:rFonts w:ascii="Arial" w:hAnsi="Arial"/>
        </w:rPr>
      </w:pPr>
      <w:r>
        <w:rPr>
          <w:rFonts w:eastAsia="Times New Roman" w:cs="Times New Roman"/>
          <w:sz w:val="24"/>
          <w:szCs w:val="24"/>
        </w:rPr>
        <w:t>4. Atrill, P. and McLaney, E. (2021) Accounting and Finance for Non-Specialists. 12th edn. Harlow: Pearson</w:t>
      </w:r>
    </w:p>
    <w:p>
      <w:pPr>
        <w:pStyle w:val="Normal"/>
        <w:bidi w:val="0"/>
        <w:spacing w:lineRule="auto" w:line="360" w:before="0" w:after="200"/>
        <w:jc w:val="both"/>
        <w:rPr/>
      </w:pPr>
      <w:r>
        <w:rPr>
          <w:rFonts w:eastAsia="Times New Roman" w:cs="Times New Roman"/>
          <w:sz w:val="24"/>
          <w:szCs w:val="24"/>
        </w:rPr>
        <w:t xml:space="preserve">5. Nukala, V.B. and Prasada Rao, S.S. (2021) ‘Role of debt-to-equity ratio in project investment valuation, assessing risk and return in capital markets’, Future Business Journal, 7(1), p. 13. </w:t>
      </w:r>
      <w:hyperlink r:id="rId4">
        <w:r>
          <w:rPr>
            <w:rStyle w:val="Hyperlink"/>
            <w:rFonts w:eastAsia="Times New Roman" w:cs="Times New Roman"/>
            <w:sz w:val="24"/>
            <w:szCs w:val="24"/>
          </w:rPr>
          <w:t>https://link.springer.com/content/pdf/10.1186/s43093-021-00058-9.pdf</w:t>
        </w:r>
      </w:hyperlink>
    </w:p>
    <w:p>
      <w:pPr>
        <w:pStyle w:val="Normal"/>
        <w:bidi w:val="0"/>
        <w:spacing w:lineRule="auto" w:line="360" w:before="0" w:after="200"/>
        <w:jc w:val="both"/>
        <w:rPr/>
      </w:pPr>
      <w:r>
        <w:rPr>
          <w:rFonts w:eastAsia="Times New Roman" w:cs="Times New Roman"/>
          <w:sz w:val="24"/>
          <w:szCs w:val="24"/>
        </w:rPr>
        <w:t xml:space="preserve">6. Broby, D. (2021) ‘Financial Technology and the Future of Banking’, Financial Innovation, 7(1), p. 23. </w:t>
      </w:r>
      <w:hyperlink r:id="rId5">
        <w:r>
          <w:rPr>
            <w:rStyle w:val="Hyperlink"/>
            <w:rFonts w:eastAsia="Times New Roman" w:cs="Times New Roman"/>
            <w:sz w:val="24"/>
            <w:szCs w:val="24"/>
          </w:rPr>
          <w:t>https://link.springer.com/article/10.1186/s40854-021-00264-y</w:t>
        </w:r>
      </w:hyperlink>
    </w:p>
    <w:p>
      <w:pPr>
        <w:pStyle w:val="Normal"/>
        <w:bidi w:val="0"/>
        <w:spacing w:lineRule="auto" w:line="360" w:before="0" w:after="200"/>
        <w:jc w:val="start"/>
        <w:rPr/>
      </w:pPr>
      <w:r>
        <w:rPr>
          <w:rFonts w:eastAsia="Times New Roman" w:cs="Times New Roman"/>
          <w:sz w:val="24"/>
          <w:szCs w:val="24"/>
        </w:rPr>
        <w:t xml:space="preserve">7. Susilawati, Deti &amp; Shavab, Firli &amp; Mustika, Meri. (2022). The Effect of Debt to Equity Ratio and Current Ratio on Return on Assets. Journal of Applied Business, Taxation and Economics Research. </w:t>
      </w:r>
      <w:hyperlink r:id="rId6">
        <w:r>
          <w:rPr>
            <w:rStyle w:val="Hyperlink"/>
            <w:rFonts w:eastAsia="Times New Roman" w:cs="Times New Roman"/>
            <w:sz w:val="24"/>
            <w:szCs w:val="24"/>
          </w:rPr>
          <w:t>https://www.researchgate.net/publication/360288574_The_Effect_of_Debt_to_Equity_Ratio_and_Current_Ratio_on_Return_on_Assets</w:t>
        </w:r>
      </w:hyperlink>
      <w:r>
        <w:rPr>
          <w:rFonts w:eastAsia="Times New Roman" w:cs="Times New Roman"/>
          <w:sz w:val="24"/>
          <w:szCs w:val="24"/>
        </w:rPr>
        <w:t>.</w:t>
      </w:r>
    </w:p>
    <w:p>
      <w:pPr>
        <w:pStyle w:val="Normal"/>
        <w:bidi w:val="0"/>
        <w:spacing w:lineRule="auto" w:line="360" w:before="0" w:after="200"/>
        <w:jc w:val="start"/>
        <w:rPr/>
      </w:pPr>
      <w:r>
        <w:rPr>
          <w:rFonts w:eastAsia="Times New Roman" w:cs="Times New Roman"/>
          <w:sz w:val="24"/>
          <w:szCs w:val="24"/>
        </w:rPr>
        <w:t xml:space="preserve">8. Mahendra, P.W. (2023) ‘The Effect of Leverage, Profitability, Earnings Per Share, and Price Earning Ratio on Dividend Policy Ratio’, Journal of Management and Business Insight, 1(1), pp. 86–96. </w:t>
      </w:r>
      <w:hyperlink r:id="rId7">
        <w:r>
          <w:rPr>
            <w:rStyle w:val="Hyperlink"/>
            <w:rFonts w:eastAsia="Times New Roman" w:cs="Times New Roman"/>
            <w:sz w:val="24"/>
            <w:szCs w:val="24"/>
          </w:rPr>
          <w:t>https://www.researchgate.net/publication/371543649_THE_EFFECT_OF_LEVERAGE_EARNINGS_PER_SHARE_AND_DIVIDEND_POLICY_ON_COMPANY_VALUE</w:t>
        </w:r>
      </w:hyperlink>
    </w:p>
    <w:p>
      <w:pPr>
        <w:pStyle w:val="Normal"/>
        <w:bidi w:val="0"/>
        <w:spacing w:lineRule="auto" w:line="360" w:before="0" w:after="200"/>
        <w:jc w:val="start"/>
        <w:rPr/>
      </w:pPr>
      <w:r>
        <w:rPr>
          <w:rFonts w:eastAsia="Times New Roman" w:cs="Times New Roman"/>
          <w:sz w:val="24"/>
          <w:szCs w:val="24"/>
        </w:rPr>
        <w:t xml:space="preserve">9. Addin Al-Mawsheki, R.M.S. (2022) 'Effect of working capital policies on firms’ financial performance', Cogent Economics &amp; Finance. </w:t>
      </w:r>
      <w:hyperlink r:id="rId8">
        <w:r>
          <w:rPr>
            <w:rStyle w:val="Hyperlink"/>
            <w:rFonts w:eastAsia="Times New Roman" w:cs="Times New Roman"/>
            <w:sz w:val="24"/>
            <w:szCs w:val="24"/>
          </w:rPr>
          <w:t>https://ideas.repec.org/a/taf/oaefxx/v10y2022i1p2087289.html</w:t>
        </w:r>
      </w:hyperlink>
    </w:p>
    <w:p>
      <w:pPr>
        <w:pStyle w:val="Normal"/>
        <w:bidi w:val="0"/>
        <w:spacing w:lineRule="auto" w:line="360" w:before="0" w:after="200"/>
        <w:jc w:val="start"/>
        <w:rPr/>
      </w:pPr>
      <w:r>
        <w:rPr>
          <w:rFonts w:eastAsia="Times New Roman" w:cs="Times New Roman"/>
          <w:sz w:val="24"/>
          <w:szCs w:val="24"/>
        </w:rPr>
        <w:t xml:space="preserve">10. Altman, E.I., Iwanicz-Drozdowska, M., Laitinen, E.K. and Suvas, A. (2017) 'Financial Distress Prediction in an International Context: A Review and Empirical Analysis of Altman’s Z-Score Model', Journal of International Financial Management &amp; Accounting, </w:t>
      </w:r>
      <w:hyperlink r:id="rId9">
        <w:r>
          <w:rPr>
            <w:rStyle w:val="Hyperlink"/>
            <w:rFonts w:eastAsia="Times New Roman" w:cs="Times New Roman"/>
            <w:sz w:val="24"/>
            <w:szCs w:val="24"/>
          </w:rPr>
          <w:t>https://www.researchgate.net/publication/313023414_Distressed_Firm_and_Bankruptcy_Prediction_in_an_International_Context_A_Review_and_Empirical_Analysis_of_Altman's_Z-Score_Model</w:t>
        </w:r>
      </w:hyperlink>
    </w:p>
    <w:p>
      <w:pPr>
        <w:pStyle w:val="Normal"/>
        <w:bidi w:val="0"/>
        <w:spacing w:lineRule="auto" w:line="360" w:before="0" w:after="200"/>
        <w:jc w:val="start"/>
        <w:rPr/>
      </w:pPr>
      <w:r>
        <w:rPr>
          <w:rFonts w:eastAsia="Times New Roman" w:cs="Times New Roman"/>
          <w:sz w:val="24"/>
          <w:szCs w:val="24"/>
        </w:rPr>
        <w:t xml:space="preserve">11. Habib, A.M. and Mourad, N. (2022) 'Analyzing the Efficiency of Working Capital Management: a New Approach Based on DEA-Malmquist Technology', Operations Research Forum . </w:t>
      </w:r>
      <w:hyperlink r:id="rId10">
        <w:r>
          <w:rPr>
            <w:rStyle w:val="Hyperlink"/>
            <w:rFonts w:eastAsia="Times New Roman" w:cs="Times New Roman"/>
            <w:sz w:val="24"/>
            <w:szCs w:val="24"/>
          </w:rPr>
          <w:t>https://www.researchgate.net/publication/362058456_Analyzing_the_Efficiency_of_Working_Capital_Management_a_New_Approach_Based_on_DEA-Malmquist_Technology</w:t>
        </w:r>
      </w:hyperlink>
    </w:p>
    <w:p>
      <w:pPr>
        <w:pStyle w:val="Normal"/>
        <w:bidi w:val="0"/>
        <w:spacing w:lineRule="auto" w:line="360" w:before="0" w:after="200"/>
        <w:jc w:val="start"/>
        <w:rPr/>
      </w:pPr>
      <w:r>
        <w:rPr>
          <w:rFonts w:eastAsia="Times New Roman" w:cs="Times New Roman"/>
          <w:sz w:val="24"/>
          <w:szCs w:val="24"/>
        </w:rPr>
        <w:t xml:space="preserve">12. Hofmann, E., Töyli, J. and Solakivi, T. (2022) 'Working Capital Behavior of Firms during an Economic Downturn: An Analysis of the Financial Crisis Era', International Journal of Financial Studies. </w:t>
      </w:r>
      <w:hyperlink r:id="rId11">
        <w:r>
          <w:rPr>
            <w:rStyle w:val="Hyperlink"/>
            <w:rFonts w:eastAsia="Times New Roman" w:cs="Times New Roman"/>
            <w:sz w:val="24"/>
            <w:szCs w:val="24"/>
          </w:rPr>
          <w:t>https://www.researchgate.net/publication/367604569_Working_Capital_Behavior_of_Firms_during_an_Economic_Downturn_An_Analysis_of_the_Financial_Crisis_Era</w:t>
        </w:r>
      </w:hyperlink>
    </w:p>
    <w:p>
      <w:pPr>
        <w:pStyle w:val="Normal"/>
        <w:bidi w:val="0"/>
        <w:spacing w:lineRule="auto" w:line="360" w:before="0" w:after="200"/>
        <w:jc w:val="start"/>
        <w:rPr/>
      </w:pPr>
      <w:r>
        <w:rPr>
          <w:rFonts w:eastAsia="Times New Roman" w:cs="Times New Roman"/>
          <w:sz w:val="24"/>
          <w:szCs w:val="24"/>
        </w:rPr>
        <w:t xml:space="preserve">13. Lazaridis, I. and Tryfonidis, D. (2006) 'The relationship between working capital management and profitability of listed companies in the Athens Stock Exchange', Journal of Financial Management and Analysis. </w:t>
      </w:r>
      <w:hyperlink r:id="rId12">
        <w:r>
          <w:rPr>
            <w:rStyle w:val="Hyperlink"/>
            <w:rFonts w:eastAsia="Times New Roman" w:cs="Times New Roman"/>
            <w:sz w:val="24"/>
            <w:szCs w:val="24"/>
          </w:rPr>
          <w:t>https://www.researchgate.net/publication/256069194_Relationship_Between_Working_Capital_Management_and_Profitability_of_Listed_Companies_in_the_Athens_Stock_Exchange</w:t>
        </w:r>
      </w:hyperlink>
    </w:p>
    <w:p>
      <w:pPr>
        <w:pStyle w:val="Normal"/>
        <w:bidi w:val="0"/>
        <w:spacing w:lineRule="auto" w:line="360" w:before="0" w:after="200"/>
        <w:jc w:val="start"/>
        <w:rPr>
          <w:rFonts w:ascii="Arial" w:hAnsi="Arial"/>
        </w:rPr>
      </w:pPr>
      <w:r>
        <w:rPr>
          <w:rFonts w:eastAsia="Times New Roman" w:cs="Times New Roman"/>
          <w:sz w:val="24"/>
          <w:szCs w:val="24"/>
        </w:rPr>
        <w:t>14. Manimala, M.J. and Panicker, S. (2011) 'Successful Turnarounds: The Role of Appropriate Entrepreneurial Strategies', SSRN Electronic Journal. doi: 10.2139/ssrn.2121111.</w:t>
      </w:r>
    </w:p>
    <w:p>
      <w:pPr>
        <w:pStyle w:val="Normal"/>
        <w:bidi w:val="0"/>
        <w:spacing w:lineRule="auto" w:line="360" w:before="0" w:after="200"/>
        <w:jc w:val="start"/>
        <w:rPr>
          <w:rFonts w:ascii="Arial" w:hAnsi="Arial"/>
        </w:rPr>
      </w:pPr>
      <w:r>
        <w:rPr>
          <w:rFonts w:eastAsia="Times New Roman" w:cs="Times New Roman"/>
          <w:sz w:val="24"/>
          <w:szCs w:val="24"/>
        </w:rPr>
        <w:t>15. Moretto, A. and Caniato, F. (2021) 'Can Supply Chain Finance help mitigate the financial disruption brought by Covid-19?', Journal of Purchasing and Supply Management, 27(4), p. 100713. doi: 10.1016/j.pursup.2021.100713.</w:t>
      </w:r>
    </w:p>
    <w:p>
      <w:pPr>
        <w:pStyle w:val="Normal"/>
        <w:bidi w:val="0"/>
        <w:spacing w:lineRule="auto" w:line="360" w:before="0" w:after="200"/>
        <w:jc w:val="start"/>
        <w:rPr>
          <w:rFonts w:ascii="Arial" w:hAnsi="Arial"/>
        </w:rPr>
      </w:pPr>
      <w:r>
        <w:rPr>
          <w:rFonts w:eastAsia="Times New Roman" w:cs="Times New Roman"/>
          <w:sz w:val="24"/>
          <w:szCs w:val="24"/>
        </w:rPr>
        <w:t>16. Wetzel, P. and Wagner, S.M. (2024) 'Supply chain financing theory of the trade payables–performance link', International Journal of Production Research, pp. 1-25. doi: 10.1080/00207543.2024.2410465.</w:t>
      </w:r>
    </w:p>
    <w:p>
      <w:pPr>
        <w:pStyle w:val="Normal"/>
        <w:bidi w:val="0"/>
        <w:spacing w:lineRule="auto" w:line="360" w:before="0" w:after="200"/>
        <w:jc w:val="start"/>
        <w:rPr/>
      </w:pPr>
      <w:r>
        <w:rPr>
          <w:rFonts w:eastAsia="Times New Roman" w:cs="Times New Roman"/>
          <w:sz w:val="24"/>
          <w:szCs w:val="24"/>
        </w:rPr>
        <w:t xml:space="preserve">17. Rano, Sayan. (2025). Analysing Bankruptcy Models in Corporate Restructuring: A Study of Financial Stability. INTERNATIONAL JOURNAL OF SCIENTIFIC RESEARCH IN ENGINEERING AND MANAGEMENT. </w:t>
      </w:r>
      <w:hyperlink r:id="rId13">
        <w:r>
          <w:rPr>
            <w:rStyle w:val="Hyperlink"/>
            <w:rFonts w:eastAsia="Times New Roman" w:cs="Times New Roman"/>
            <w:sz w:val="24"/>
            <w:szCs w:val="24"/>
          </w:rPr>
          <w:t>https://www.researchgate.net/publication/391636462_Analysing_Bankruptcy_Models_in_Corporate_Restructuring_A_Study_of_Financial_Stability</w:t>
        </w:r>
      </w:hyperlink>
    </w:p>
    <w:p>
      <w:pPr>
        <w:pStyle w:val="Normal"/>
        <w:bidi w:val="0"/>
        <w:spacing w:lineRule="auto" w:line="360" w:before="0" w:after="200"/>
        <w:jc w:val="start"/>
        <w:rPr/>
      </w:pPr>
      <w:r>
        <w:rPr>
          <w:rFonts w:eastAsia="Times New Roman" w:cs="Times New Roman"/>
          <w:sz w:val="24"/>
          <w:szCs w:val="24"/>
        </w:rPr>
        <w:t xml:space="preserve">18. Sabu, Muhd. (2024). RISK MANAGEMENT STRATEGIES IN FIXED INCOME SECURITIES. SSRN Electronic Journal. </w:t>
      </w:r>
      <w:hyperlink r:id="rId14">
        <w:r>
          <w:rPr>
            <w:rStyle w:val="Hyperlink"/>
            <w:rFonts w:eastAsia="Times New Roman" w:cs="Times New Roman"/>
            <w:sz w:val="24"/>
            <w:szCs w:val="24"/>
          </w:rPr>
          <w:t>https://www.researchgate.net/publication/381037104_RISK_MANAGEMENT_STRATEGIES_IN_FIXED_INCOME_SECURITIES</w:t>
        </w:r>
      </w:hyperlink>
    </w:p>
    <w:p>
      <w:pPr>
        <w:pStyle w:val="Normal"/>
        <w:bidi w:val="0"/>
        <w:spacing w:lineRule="auto" w:line="360" w:before="0" w:after="200"/>
        <w:jc w:val="start"/>
        <w:rPr/>
      </w:pPr>
      <w:r>
        <w:rPr>
          <w:rFonts w:eastAsia="Times New Roman" w:cs="Times New Roman"/>
          <w:sz w:val="24"/>
          <w:szCs w:val="24"/>
        </w:rPr>
        <w:t xml:space="preserve">19. McKenzie, M., &amp; Marx, B. (2025). A Post-Mortem of Municipal Audit Action Plans Used to Resolve Financial Distress in South Africa. Sustainability, 17(4), 1535. </w:t>
      </w:r>
      <w:hyperlink r:id="rId15">
        <w:r>
          <w:rPr>
            <w:rStyle w:val="Hyperlink"/>
            <w:rFonts w:eastAsia="Times New Roman" w:cs="Times New Roman"/>
            <w:sz w:val="24"/>
            <w:szCs w:val="24"/>
          </w:rPr>
          <w:t>https://doi.org/10.3390/su17041535</w:t>
        </w:r>
      </w:hyperlink>
    </w:p>
    <w:p>
      <w:pPr>
        <w:pStyle w:val="Normal"/>
        <w:bidi w:val="0"/>
        <w:spacing w:lineRule="auto" w:line="360" w:before="0" w:after="200"/>
        <w:jc w:val="start"/>
        <w:rPr/>
      </w:pPr>
      <w:r>
        <w:rPr>
          <w:rFonts w:eastAsia="Times New Roman" w:cs="Times New Roman"/>
          <w:sz w:val="24"/>
          <w:szCs w:val="24"/>
        </w:rPr>
        <w:t xml:space="preserve">20. Braunsberger C, Aschauer E. Corporate Failure Prediction: A Literature Review of Altman Z-Score and Machine Learning Models Within a Technology Adoption Framework. Journal of Risk and Financial Management. 2025; 18(8):465. </w:t>
      </w:r>
      <w:hyperlink r:id="rId16">
        <w:r>
          <w:rPr>
            <w:rStyle w:val="Hyperlink"/>
            <w:rFonts w:eastAsia="Times New Roman" w:cs="Times New Roman"/>
            <w:sz w:val="24"/>
            <w:szCs w:val="24"/>
          </w:rPr>
          <w:t>https://doi.org/10.3390/jrfm18080465</w:t>
        </w:r>
      </w:hyperlink>
    </w:p>
    <w:p>
      <w:pPr>
        <w:pStyle w:val="Normal"/>
        <w:bidi w:val="0"/>
        <w:spacing w:lineRule="auto" w:line="360" w:before="0" w:after="200"/>
        <w:jc w:val="start"/>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start"/>
        <w:rPr>
          <w:rFonts w:ascii="Arial" w:hAnsi="Arial" w:eastAsia="Times New Roman" w:cs="Times New Roman"/>
          <w:sz w:val="24"/>
          <w:szCs w:val="24"/>
        </w:rPr>
      </w:pPr>
      <w:r>
        <w:rPr>
          <w:rFonts w:eastAsia="Times New Roman" w:cs="Times New Roman"/>
          <w:sz w:val="24"/>
          <w:szCs w:val="24"/>
        </w:rPr>
      </w:r>
      <w:r>
        <w:br w:type="page"/>
      </w:r>
    </w:p>
    <w:p>
      <w:pPr>
        <w:pStyle w:val="Normal"/>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 xml:space="preserve">Appendices </w:t>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Appendix 1: Ratio analysis</w:t>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i) Profitability</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Net Profit Margin:</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 xml:space="preserve">Formula : Net Profit = (Net Income / </w:t>
      </w:r>
      <w:r>
        <w:rPr/>
        <w:t>Net Sales</w:t>
      </w:r>
      <w:r>
        <w:rPr>
          <w:rFonts w:eastAsia="Times New Roman" w:cs="Times New Roman"/>
          <w:sz w:val="24"/>
          <w:szCs w:val="24"/>
        </w:rPr>
        <w:t>) × 100</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rFonts w:ascii="Arial" w:hAnsi="Arial"/>
        </w:rPr>
      </w:pPr>
      <w:r>
        <w:rPr>
          <w:rFonts w:eastAsia="Times New Roman" w:cs="Times New Roman"/>
          <w:sz w:val="24"/>
          <w:szCs w:val="24"/>
        </w:rPr>
        <w:t>Net Profit = (-24,029 / 394,879) ​× 100 = -6.09%</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spacing w:lineRule="auto" w:line="240"/>
              <w:rPr>
                <w:rFonts w:ascii="Arial" w:hAnsi="Arial"/>
              </w:rPr>
            </w:pPr>
            <w:r>
              <w:rPr>
                <w:rFonts w:eastAsia="Times New Roman" w:cs="Times New Roman"/>
                <w:color w:val="000000"/>
                <w:sz w:val="24"/>
                <w:szCs w:val="24"/>
                <w:lang w:val="en-IN"/>
              </w:rPr>
              <w:t>Net income</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38578</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5301</w:t>
            </w:r>
          </w:p>
        </w:tc>
        <w:tc>
          <w:tcPr>
            <w:tcW w:w="1505"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407</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-98238</w:t>
            </w:r>
          </w:p>
        </w:tc>
        <w:tc>
          <w:tcPr>
            <w:tcW w:w="1505" w:type="dxa"/>
            <w:tcBorders>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-24029</w:t>
            </w:r>
          </w:p>
        </w:tc>
      </w:tr>
      <w:tr>
        <w:trPr/>
        <w:tc>
          <w:tcPr>
            <w:tcW w:w="1504" w:type="dxa"/>
            <w:tcBorders>
              <w:start w:val="single" w:sz="4" w:space="0" w:color="000000"/>
              <w:bottom w:val="single" w:sz="4" w:space="0" w:color="000000"/>
            </w:tcBorders>
          </w:tcPr>
          <w:p>
            <w:pPr>
              <w:pStyle w:val="Normal"/>
              <w:spacing w:lineRule="auto" w:line="240"/>
              <w:rPr>
                <w:rFonts w:ascii="Arial" w:hAnsi="Arial"/>
              </w:rPr>
            </w:pPr>
            <w:r>
              <w:rPr>
                <w:rFonts w:eastAsia="Times New Roman" w:cs="Times New Roman"/>
                <w:color w:val="000000"/>
                <w:sz w:val="24"/>
                <w:szCs w:val="24"/>
                <w:lang w:val="en-IN"/>
              </w:rPr>
              <w:t>Net sales</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614680</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601602</w:t>
            </w:r>
          </w:p>
        </w:tc>
        <w:tc>
          <w:tcPr>
            <w:tcW w:w="1505"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542751</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420457</w:t>
            </w:r>
          </w:p>
        </w:tc>
        <w:tc>
          <w:tcPr>
            <w:tcW w:w="1505" w:type="dxa"/>
            <w:tcBorders>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394879</w:t>
            </w:r>
          </w:p>
        </w:tc>
      </w:tr>
      <w:tr>
        <w:trPr/>
        <w:tc>
          <w:tcPr>
            <w:tcW w:w="1504" w:type="dxa"/>
            <w:tcBorders>
              <w:start w:val="single" w:sz="4" w:space="0" w:color="000000"/>
              <w:bottom w:val="single" w:sz="4" w:space="0" w:color="000000"/>
            </w:tcBorders>
          </w:tcPr>
          <w:p>
            <w:pPr>
              <w:pStyle w:val="Normal"/>
              <w:spacing w:lineRule="auto" w:line="240"/>
              <w:rPr>
                <w:rFonts w:ascii="Arial" w:hAnsi="Arial"/>
                <w:b/>
                <w:bCs/>
              </w:rPr>
            </w:pPr>
            <w:r>
              <w:rPr>
                <w:rFonts w:eastAsia="Times New Roman" w:cs="Times New Roman"/>
                <w:b/>
                <w:bCs/>
                <w:color w:val="000000"/>
                <w:sz w:val="24"/>
                <w:szCs w:val="24"/>
                <w:lang w:val="en-IN"/>
              </w:rPr>
              <w:t>Net profit margin</w:t>
            </w:r>
          </w:p>
        </w:tc>
        <w:tc>
          <w:tcPr>
            <w:tcW w:w="1504" w:type="dxa"/>
            <w:tcBorders>
              <w:start w:val="single" w:sz="4" w:space="0" w:color="000000"/>
              <w:bottom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6.28</w:t>
            </w:r>
          </w:p>
        </w:tc>
        <w:tc>
          <w:tcPr>
            <w:tcW w:w="1504" w:type="dxa"/>
            <w:tcBorders>
              <w:start w:val="single" w:sz="4" w:space="0" w:color="000000"/>
              <w:bottom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0.88</w:t>
            </w:r>
          </w:p>
        </w:tc>
        <w:tc>
          <w:tcPr>
            <w:tcW w:w="1505" w:type="dxa"/>
            <w:tcBorders>
              <w:start w:val="single" w:sz="4" w:space="0" w:color="000000"/>
              <w:bottom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0.07</w:t>
            </w:r>
          </w:p>
        </w:tc>
        <w:tc>
          <w:tcPr>
            <w:tcW w:w="1504" w:type="dxa"/>
            <w:tcBorders>
              <w:start w:val="single" w:sz="4" w:space="0" w:color="000000"/>
              <w:bottom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-23.36</w:t>
            </w:r>
          </w:p>
        </w:tc>
        <w:tc>
          <w:tcPr>
            <w:tcW w:w="1505" w:type="dxa"/>
            <w:tcBorders>
              <w:start w:val="single" w:sz="4" w:space="0" w:color="000000"/>
              <w:bottom w:val="single" w:sz="4" w:space="0" w:color="000000"/>
              <w:end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-6.09</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42">
            <wp:simplePos x="0" y="0"/>
            <wp:positionH relativeFrom="column">
              <wp:posOffset>635</wp:posOffset>
            </wp:positionH>
            <wp:positionV relativeFrom="paragraph">
              <wp:posOffset>174625</wp:posOffset>
            </wp:positionV>
            <wp:extent cx="6289675" cy="3688715"/>
            <wp:effectExtent l="0" t="0" r="0" b="0"/>
            <wp:wrapSquare wrapText="largest"/>
            <wp:docPr id="1" name="Obj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Operating Profit Margin:</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 xml:space="preserve">Formula : Operating Profit = (Operating Income / </w:t>
      </w:r>
      <w:r>
        <w:rPr/>
        <w:t>Net Sales</w:t>
      </w:r>
      <w:r>
        <w:rPr>
          <w:rFonts w:eastAsia="Times New Roman" w:cs="Times New Roman"/>
          <w:sz w:val="24"/>
          <w:szCs w:val="24"/>
        </w:rPr>
        <w:t>) × 100</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Operating Profit = (-</w:t>
      </w:r>
      <w:r>
        <w:rPr/>
        <w:t xml:space="preserve">15,297 </w:t>
      </w:r>
      <w:r>
        <w:rPr>
          <w:rFonts w:eastAsia="Times New Roman" w:cs="Times New Roman"/>
          <w:sz w:val="24"/>
          <w:szCs w:val="24"/>
        </w:rPr>
        <w:t>/ 394,879) ​× 100 = -3.87%</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spacing w:lineRule="auto" w:line="240"/>
              <w:rPr>
                <w:rFonts w:ascii="Arial" w:hAnsi="Arial"/>
              </w:rPr>
            </w:pPr>
            <w:r>
              <w:rPr>
                <w:rFonts w:eastAsia="Times New Roman" w:cs="Times New Roman"/>
                <w:color w:val="000000"/>
                <w:sz w:val="24"/>
                <w:szCs w:val="24"/>
                <w:lang w:val="en-IN"/>
              </w:rPr>
              <w:t>Operating profit</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37267</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23253</w:t>
            </w:r>
          </w:p>
        </w:tc>
        <w:tc>
          <w:tcPr>
            <w:tcW w:w="1505"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14548</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-85301</w:t>
            </w:r>
          </w:p>
        </w:tc>
        <w:tc>
          <w:tcPr>
            <w:tcW w:w="1505" w:type="dxa"/>
            <w:tcBorders>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-15297</w:t>
            </w:r>
          </w:p>
        </w:tc>
      </w:tr>
      <w:tr>
        <w:trPr/>
        <w:tc>
          <w:tcPr>
            <w:tcW w:w="1504" w:type="dxa"/>
            <w:tcBorders>
              <w:start w:val="single" w:sz="4" w:space="0" w:color="000000"/>
              <w:bottom w:val="single" w:sz="4" w:space="0" w:color="000000"/>
            </w:tcBorders>
          </w:tcPr>
          <w:p>
            <w:pPr>
              <w:pStyle w:val="Normal"/>
              <w:spacing w:lineRule="auto" w:line="240"/>
              <w:rPr>
                <w:rFonts w:ascii="Arial" w:hAnsi="Arial"/>
              </w:rPr>
            </w:pPr>
            <w:r>
              <w:rPr>
                <w:rFonts w:eastAsia="Times New Roman" w:cs="Times New Roman"/>
                <w:color w:val="000000"/>
                <w:sz w:val="24"/>
                <w:szCs w:val="24"/>
                <w:lang w:val="en-IN"/>
              </w:rPr>
              <w:t>Net sales</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614680</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601602</w:t>
            </w:r>
          </w:p>
        </w:tc>
        <w:tc>
          <w:tcPr>
            <w:tcW w:w="1505"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542751</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420457</w:t>
            </w:r>
          </w:p>
        </w:tc>
        <w:tc>
          <w:tcPr>
            <w:tcW w:w="1505" w:type="dxa"/>
            <w:tcBorders>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394879</w:t>
            </w:r>
          </w:p>
        </w:tc>
      </w:tr>
      <w:tr>
        <w:trPr/>
        <w:tc>
          <w:tcPr>
            <w:tcW w:w="1504" w:type="dxa"/>
            <w:tcBorders>
              <w:start w:val="single" w:sz="4" w:space="0" w:color="000000"/>
              <w:bottom w:val="single" w:sz="4" w:space="0" w:color="000000"/>
            </w:tcBorders>
          </w:tcPr>
          <w:p>
            <w:pPr>
              <w:pStyle w:val="Normal"/>
              <w:spacing w:lineRule="auto" w:line="240"/>
              <w:rPr>
                <w:rFonts w:ascii="Arial" w:hAnsi="Arial"/>
              </w:rPr>
            </w:pPr>
            <w:r>
              <w:rPr>
                <w:rFonts w:eastAsia="Times New Roman" w:cs="Times New Roman"/>
                <w:b/>
                <w:bCs/>
                <w:color w:val="000000"/>
                <w:sz w:val="24"/>
                <w:szCs w:val="24"/>
                <w:lang w:val="en-IN"/>
              </w:rPr>
              <w:t>Operating profit margin</w:t>
            </w:r>
          </w:p>
        </w:tc>
        <w:tc>
          <w:tcPr>
            <w:tcW w:w="1504" w:type="dxa"/>
            <w:tcBorders>
              <w:start w:val="single" w:sz="4" w:space="0" w:color="000000"/>
              <w:bottom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6.06</w:t>
            </w:r>
          </w:p>
        </w:tc>
        <w:tc>
          <w:tcPr>
            <w:tcW w:w="1504" w:type="dxa"/>
            <w:tcBorders>
              <w:start w:val="single" w:sz="4" w:space="0" w:color="000000"/>
              <w:bottom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3.87</w:t>
            </w:r>
          </w:p>
        </w:tc>
        <w:tc>
          <w:tcPr>
            <w:tcW w:w="1505" w:type="dxa"/>
            <w:tcBorders>
              <w:start w:val="single" w:sz="4" w:space="0" w:color="000000"/>
              <w:bottom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2.68</w:t>
            </w:r>
          </w:p>
        </w:tc>
        <w:tc>
          <w:tcPr>
            <w:tcW w:w="1504" w:type="dxa"/>
            <w:tcBorders>
              <w:start w:val="single" w:sz="4" w:space="0" w:color="000000"/>
              <w:bottom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-20.29</w:t>
            </w:r>
          </w:p>
        </w:tc>
        <w:tc>
          <w:tcPr>
            <w:tcW w:w="1505" w:type="dxa"/>
            <w:tcBorders>
              <w:start w:val="single" w:sz="4" w:space="0" w:color="000000"/>
              <w:bottom w:val="single" w:sz="4" w:space="0" w:color="000000"/>
              <w:end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-3.87</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43">
            <wp:simplePos x="0" y="0"/>
            <wp:positionH relativeFrom="column">
              <wp:align>center</wp:align>
            </wp:positionH>
            <wp:positionV relativeFrom="paragraph">
              <wp:posOffset>635</wp:posOffset>
            </wp:positionV>
            <wp:extent cx="5759450" cy="3239770"/>
            <wp:effectExtent l="0" t="0" r="0" b="0"/>
            <wp:wrapSquare wrapText="largest"/>
            <wp:docPr id="2" name="Object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Return On Equity:</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Formula : Return on Equity = (Net</w:t>
      </w:r>
      <w:r>
        <w:rPr>
          <w:rFonts w:eastAsia="Times New Roman" w:cs="Times New Roman"/>
          <w:color w:val="000000"/>
          <w:sz w:val="24"/>
          <w:szCs w:val="24"/>
        </w:rPr>
        <w:t xml:space="preserve"> income</w:t>
      </w:r>
      <w:r>
        <w:rPr>
          <w:rFonts w:eastAsia="Times New Roman" w:cs="Times New Roman"/>
          <w:sz w:val="24"/>
          <w:szCs w:val="24"/>
        </w:rPr>
        <w:t xml:space="preserve"> / </w:t>
      </w:r>
      <w:r>
        <w:rPr>
          <w:rFonts w:eastAsia="Times New Roman" w:cs="Times New Roman"/>
          <w:color w:val="000000"/>
          <w:sz w:val="24"/>
          <w:szCs w:val="24"/>
        </w:rPr>
        <w:t>Shareholder’s Equity) x 100</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Return on Equity = (</w:t>
      </w:r>
      <w:r>
        <w:rPr>
          <w:rFonts w:eastAsia="Times New Roman" w:cs="Times New Roman"/>
          <w:color w:val="000000"/>
          <w:sz w:val="24"/>
          <w:szCs w:val="24"/>
        </w:rPr>
        <w:t>24029</w:t>
      </w:r>
      <w:r>
        <w:rPr>
          <w:rFonts w:eastAsia="Times New Roman" w:cs="Times New Roman"/>
          <w:sz w:val="24"/>
          <w:szCs w:val="24"/>
        </w:rPr>
        <w:t xml:space="preserve"> / 153,105</w:t>
      </w:r>
      <w:r>
        <w:rPr>
          <w:rFonts w:eastAsia="Times New Roman" w:cs="Times New Roman"/>
          <w:color w:val="000000"/>
          <w:sz w:val="24"/>
          <w:szCs w:val="24"/>
        </w:rPr>
        <w:t xml:space="preserve">) x 100 </w:t>
      </w:r>
      <w:r>
        <w:rPr>
          <w:rFonts w:eastAsia="Times New Roman" w:cs="Times New Roman"/>
          <w:sz w:val="24"/>
          <w:szCs w:val="24"/>
        </w:rPr>
        <w:t>= -15.69%</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color w:val="000000"/>
              </w:rPr>
            </w:pPr>
            <w:r>
              <w:rPr>
                <w:color w:val="000000"/>
              </w:rPr>
              <w:t>Net income</w:t>
            </w:r>
          </w:p>
        </w:tc>
        <w:tc>
          <w:tcPr>
            <w:tcW w:w="1504" w:type="dxa"/>
            <w:tcBorders>
              <w:start w:val="single" w:sz="4" w:space="0" w:color="000000"/>
              <w:bottom w:val="single" w:sz="4" w:space="0" w:color="000000"/>
            </w:tcBorders>
          </w:tcPr>
          <w:p>
            <w:pPr>
              <w:pStyle w:val="Normal"/>
              <w:jc w:val="center"/>
              <w:rPr>
                <w:color w:val="000000"/>
              </w:rPr>
            </w:pPr>
            <w:r>
              <w:rPr>
                <w:color w:val="000000"/>
              </w:rPr>
              <w:t>38,572</w:t>
            </w:r>
          </w:p>
        </w:tc>
        <w:tc>
          <w:tcPr>
            <w:tcW w:w="1504" w:type="dxa"/>
            <w:tcBorders>
              <w:start w:val="single" w:sz="4" w:space="0" w:color="000000"/>
              <w:bottom w:val="single" w:sz="4" w:space="0" w:color="000000"/>
            </w:tcBorders>
          </w:tcPr>
          <w:p>
            <w:pPr>
              <w:pStyle w:val="Normal"/>
              <w:jc w:val="center"/>
              <w:rPr>
                <w:color w:val="000000"/>
              </w:rPr>
            </w:pPr>
            <w:r>
              <w:rPr>
                <w:color w:val="000000"/>
              </w:rPr>
              <w:t>5,301</w:t>
            </w:r>
          </w:p>
        </w:tc>
        <w:tc>
          <w:tcPr>
            <w:tcW w:w="1505" w:type="dxa"/>
            <w:tcBorders>
              <w:start w:val="single" w:sz="4" w:space="0" w:color="000000"/>
              <w:bottom w:val="single" w:sz="4" w:space="0" w:color="000000"/>
            </w:tcBorders>
          </w:tcPr>
          <w:p>
            <w:pPr>
              <w:pStyle w:val="Normal"/>
              <w:jc w:val="center"/>
              <w:rPr>
                <w:color w:val="000000"/>
              </w:rPr>
            </w:pPr>
            <w:r>
              <w:rPr>
                <w:color w:val="000000"/>
              </w:rPr>
              <w:t>407</w:t>
            </w:r>
          </w:p>
        </w:tc>
        <w:tc>
          <w:tcPr>
            <w:tcW w:w="1504" w:type="dxa"/>
            <w:tcBorders>
              <w:start w:val="single" w:sz="4" w:space="0" w:color="000000"/>
              <w:bottom w:val="single" w:sz="4" w:space="0" w:color="000000"/>
            </w:tcBorders>
          </w:tcPr>
          <w:p>
            <w:pPr>
              <w:pStyle w:val="Normal"/>
              <w:jc w:val="center"/>
              <w:rPr>
                <w:color w:val="000000"/>
              </w:rPr>
            </w:pPr>
            <w:r>
              <w:rPr>
                <w:color w:val="000000"/>
              </w:rPr>
              <w:t>98,238</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24,029</w:t>
            </w:r>
          </w:p>
        </w:tc>
      </w:tr>
      <w:tr>
        <w:trPr>
          <w:trHeight w:val="443" w:hRule="atLeast"/>
        </w:trPr>
        <w:tc>
          <w:tcPr>
            <w:tcW w:w="1504" w:type="dxa"/>
            <w:tcBorders>
              <w:start w:val="single" w:sz="4" w:space="0" w:color="000000"/>
              <w:bottom w:val="single" w:sz="4" w:space="0" w:color="000000"/>
            </w:tcBorders>
          </w:tcPr>
          <w:p>
            <w:pPr>
              <w:pStyle w:val="Normal"/>
              <w:rPr>
                <w:color w:val="000000"/>
              </w:rPr>
            </w:pPr>
            <w:r>
              <w:rPr>
                <w:rFonts w:eastAsia="Times New Roman" w:cs="Times New Roman"/>
                <w:color w:val="000000"/>
                <w:sz w:val="24"/>
                <w:szCs w:val="24"/>
              </w:rPr>
              <w:t>Shareholder’s Equity</w:t>
            </w:r>
          </w:p>
        </w:tc>
        <w:tc>
          <w:tcPr>
            <w:tcW w:w="1504" w:type="dxa"/>
            <w:tcBorders>
              <w:start w:val="single" w:sz="4" w:space="0" w:color="000000"/>
              <w:bottom w:val="single" w:sz="4" w:space="0" w:color="000000"/>
            </w:tcBorders>
          </w:tcPr>
          <w:p>
            <w:pPr>
              <w:pStyle w:val="Normal"/>
              <w:jc w:val="center"/>
              <w:rPr>
                <w:color w:val="000000"/>
              </w:rPr>
            </w:pPr>
            <w:r>
              <w:rPr>
                <w:color w:val="000000"/>
              </w:rPr>
              <w:t>313,301</w:t>
            </w:r>
          </w:p>
        </w:tc>
        <w:tc>
          <w:tcPr>
            <w:tcW w:w="1504" w:type="dxa"/>
            <w:tcBorders>
              <w:start w:val="single" w:sz="4" w:space="0" w:color="000000"/>
              <w:bottom w:val="single" w:sz="4" w:space="0" w:color="000000"/>
            </w:tcBorders>
          </w:tcPr>
          <w:p>
            <w:pPr>
              <w:pStyle w:val="Normal"/>
              <w:jc w:val="center"/>
              <w:rPr>
                <w:color w:val="000000"/>
              </w:rPr>
            </w:pPr>
            <w:r>
              <w:rPr>
                <w:color w:val="000000"/>
              </w:rPr>
              <w:t>275,949</w:t>
            </w:r>
          </w:p>
        </w:tc>
        <w:tc>
          <w:tcPr>
            <w:tcW w:w="1505" w:type="dxa"/>
            <w:tcBorders>
              <w:start w:val="single" w:sz="4" w:space="0" w:color="000000"/>
              <w:bottom w:val="single" w:sz="4" w:space="0" w:color="000000"/>
            </w:tcBorders>
          </w:tcPr>
          <w:p>
            <w:pPr>
              <w:pStyle w:val="Normal"/>
              <w:jc w:val="center"/>
              <w:rPr>
                <w:color w:val="000000"/>
              </w:rPr>
            </w:pPr>
            <w:r>
              <w:rPr>
                <w:color w:val="000000"/>
              </w:rPr>
              <w:t>268,406</w:t>
            </w:r>
          </w:p>
        </w:tc>
        <w:tc>
          <w:tcPr>
            <w:tcW w:w="1504" w:type="dxa"/>
            <w:tcBorders>
              <w:start w:val="single" w:sz="4" w:space="0" w:color="000000"/>
              <w:bottom w:val="single" w:sz="4" w:space="0" w:color="000000"/>
            </w:tcBorders>
          </w:tcPr>
          <w:p>
            <w:pPr>
              <w:pStyle w:val="Normal"/>
              <w:jc w:val="center"/>
              <w:rPr>
                <w:color w:val="000000"/>
              </w:rPr>
            </w:pPr>
            <w:r>
              <w:rPr>
                <w:color w:val="000000"/>
              </w:rPr>
              <w:t>178,920</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153,105</w:t>
            </w:r>
          </w:p>
        </w:tc>
      </w:tr>
      <w:tr>
        <w:trPr/>
        <w:tc>
          <w:tcPr>
            <w:tcW w:w="1504" w:type="dxa"/>
            <w:tcBorders>
              <w:start w:val="single" w:sz="4" w:space="0" w:color="000000"/>
              <w:bottom w:val="single" w:sz="4" w:space="0" w:color="000000"/>
            </w:tcBorders>
          </w:tcPr>
          <w:p>
            <w:pPr>
              <w:pStyle w:val="Normal"/>
              <w:bidi w:val="0"/>
              <w:spacing w:lineRule="auto" w:line="360" w:before="0" w:after="200"/>
              <w:jc w:val="start"/>
              <w:rPr>
                <w:rFonts w:eastAsia="Times New Roman" w:cs="Times New Roman"/>
                <w:b/>
                <w:bCs/>
                <w:color w:val="000000"/>
                <w:sz w:val="24"/>
                <w:szCs w:val="24"/>
              </w:rPr>
            </w:pPr>
            <w:r>
              <w:rPr>
                <w:rFonts w:eastAsia="Times New Roman" w:cs="Times New Roman"/>
                <w:b/>
                <w:bCs/>
                <w:color w:val="000000"/>
                <w:sz w:val="24"/>
                <w:szCs w:val="24"/>
              </w:rPr>
              <w:t>Return on Equity</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12.31%</w:t>
            </w:r>
          </w:p>
        </w:tc>
        <w:tc>
          <w:tcPr>
            <w:tcW w:w="1504" w:type="dxa"/>
            <w:tcBorders>
              <w:start w:val="single" w:sz="4" w:space="0" w:color="000000"/>
              <w:bottom w:val="single" w:sz="4" w:space="0" w:color="000000"/>
            </w:tcBorders>
          </w:tcPr>
          <w:p>
            <w:pPr>
              <w:pStyle w:val="Normal"/>
              <w:bidi w:val="0"/>
              <w:jc w:val="center"/>
              <w:rPr>
                <w:b/>
                <w:bCs/>
                <w:color w:val="000000"/>
              </w:rPr>
            </w:pPr>
            <w:r>
              <w:rPr>
                <w:b/>
                <w:bCs/>
                <w:color w:val="000000"/>
              </w:rPr>
              <w:t>1.92%</w:t>
            </w:r>
          </w:p>
        </w:tc>
        <w:tc>
          <w:tcPr>
            <w:tcW w:w="1505" w:type="dxa"/>
            <w:tcBorders>
              <w:start w:val="single" w:sz="4" w:space="0" w:color="000000"/>
              <w:bottom w:val="single" w:sz="4" w:space="0" w:color="000000"/>
            </w:tcBorders>
          </w:tcPr>
          <w:p>
            <w:pPr>
              <w:pStyle w:val="Normal"/>
              <w:bidi w:val="0"/>
              <w:jc w:val="center"/>
              <w:rPr>
                <w:b/>
                <w:bCs/>
                <w:color w:val="000000"/>
              </w:rPr>
            </w:pPr>
            <w:r>
              <w:rPr>
                <w:b/>
                <w:bCs/>
                <w:color w:val="000000"/>
              </w:rPr>
              <w:t>0.15%</w:t>
            </w:r>
          </w:p>
        </w:tc>
        <w:tc>
          <w:tcPr>
            <w:tcW w:w="1504" w:type="dxa"/>
            <w:tcBorders>
              <w:start w:val="single" w:sz="4" w:space="0" w:color="000000"/>
              <w:bottom w:val="single" w:sz="4" w:space="0" w:color="000000"/>
            </w:tcBorders>
          </w:tcPr>
          <w:p>
            <w:pPr>
              <w:pStyle w:val="Normal"/>
              <w:bidi w:val="0"/>
              <w:jc w:val="center"/>
              <w:rPr>
                <w:b/>
                <w:bCs/>
                <w:color w:val="000000"/>
              </w:rPr>
            </w:pPr>
            <w:r>
              <w:rPr>
                <w:b/>
                <w:bCs/>
                <w:color w:val="000000"/>
              </w:rPr>
              <w:t>-54.91%</w:t>
            </w:r>
          </w:p>
        </w:tc>
        <w:tc>
          <w:tcPr>
            <w:tcW w:w="1505" w:type="dxa"/>
            <w:tcBorders>
              <w:start w:val="single" w:sz="4" w:space="0" w:color="000000"/>
              <w:bottom w:val="single" w:sz="4" w:space="0" w:color="000000"/>
              <w:end w:val="single" w:sz="4" w:space="0" w:color="000000"/>
            </w:tcBorders>
          </w:tcPr>
          <w:p>
            <w:pPr>
              <w:pStyle w:val="Normal"/>
              <w:bidi w:val="0"/>
              <w:jc w:val="center"/>
              <w:rPr>
                <w:b/>
                <w:bCs/>
                <w:color w:val="000000"/>
              </w:rPr>
            </w:pPr>
            <w:r>
              <w:rPr>
                <w:b/>
                <w:bCs/>
                <w:color w:val="000000"/>
              </w:rPr>
              <w:t>-15.69%</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44">
            <wp:simplePos x="0" y="0"/>
            <wp:positionH relativeFrom="column">
              <wp:align>center</wp:align>
            </wp:positionH>
            <wp:positionV relativeFrom="paragraph">
              <wp:posOffset>635</wp:posOffset>
            </wp:positionV>
            <wp:extent cx="5759450" cy="3239770"/>
            <wp:effectExtent l="0" t="0" r="0" b="0"/>
            <wp:wrapSquare wrapText="largest"/>
            <wp:docPr id="3" name="Object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ii) Liquidity</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Current Ratio:</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Formula : Current Ratio = (Total Current Assets / Total Current Liabilities)</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Current Ratio = (</w:t>
      </w:r>
      <w:r>
        <w:rPr>
          <w:rFonts w:eastAsia="Times New Roman" w:cs="Times New Roman"/>
          <w:color w:val="000000"/>
          <w:sz w:val="24"/>
          <w:szCs w:val="24"/>
        </w:rPr>
        <w:t>242,494</w:t>
      </w:r>
      <w:r>
        <w:rPr/>
        <w:t xml:space="preserve"> </w:t>
      </w:r>
      <w:r>
        <w:rPr>
          <w:rFonts w:eastAsia="Times New Roman" w:cs="Times New Roman"/>
          <w:sz w:val="24"/>
          <w:szCs w:val="24"/>
        </w:rPr>
        <w:t xml:space="preserve">/ </w:t>
      </w:r>
      <w:r>
        <w:rPr>
          <w:rFonts w:eastAsia="Times New Roman" w:cs="Times New Roman"/>
          <w:color w:val="000000"/>
          <w:sz w:val="24"/>
          <w:szCs w:val="24"/>
        </w:rPr>
        <w:t>158,291</w:t>
      </w:r>
      <w:r>
        <w:rPr>
          <w:rFonts w:eastAsia="Times New Roman" w:cs="Times New Roman"/>
          <w:sz w:val="24"/>
          <w:szCs w:val="24"/>
        </w:rPr>
        <w:t>) = 1.53</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rFonts w:ascii="Arial" w:hAnsi="Arial"/>
              </w:rPr>
            </w:pPr>
            <w:r>
              <w:rPr>
                <w:color w:val="000000"/>
              </w:rPr>
              <w:t>Current asset</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326,843</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337,146</w:t>
            </w:r>
          </w:p>
        </w:tc>
        <w:tc>
          <w:tcPr>
            <w:tcW w:w="1505" w:type="dxa"/>
            <w:tcBorders>
              <w:start w:val="single" w:sz="4" w:space="0" w:color="000000"/>
              <w:bottom w:val="single" w:sz="4" w:space="0" w:color="000000"/>
            </w:tcBorders>
          </w:tcPr>
          <w:p>
            <w:pPr>
              <w:pStyle w:val="Normal"/>
              <w:jc w:val="center"/>
              <w:rPr>
                <w:rFonts w:ascii="Arial" w:hAnsi="Arial"/>
              </w:rPr>
            </w:pPr>
            <w:r>
              <w:rPr>
                <w:color w:val="000000"/>
              </w:rPr>
              <w:t>338,040</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258,851</w:t>
            </w:r>
          </w:p>
        </w:tc>
        <w:tc>
          <w:tcPr>
            <w:tcW w:w="1505" w:type="dxa"/>
            <w:tcBorders>
              <w:start w:val="single" w:sz="4" w:space="0" w:color="000000"/>
              <w:bottom w:val="single" w:sz="4" w:space="0" w:color="000000"/>
              <w:end w:val="single" w:sz="4" w:space="0" w:color="000000"/>
            </w:tcBorders>
          </w:tcPr>
          <w:p>
            <w:pPr>
              <w:pStyle w:val="Normal"/>
              <w:jc w:val="center"/>
              <w:rPr>
                <w:rFonts w:ascii="Arial" w:hAnsi="Arial"/>
              </w:rPr>
            </w:pPr>
            <w:r>
              <w:rPr>
                <w:color w:val="000000"/>
              </w:rPr>
              <w:t>242,494</w:t>
            </w:r>
          </w:p>
        </w:tc>
      </w:tr>
      <w:tr>
        <w:trPr/>
        <w:tc>
          <w:tcPr>
            <w:tcW w:w="1504" w:type="dxa"/>
            <w:tcBorders>
              <w:start w:val="single" w:sz="4" w:space="0" w:color="000000"/>
              <w:bottom w:val="single" w:sz="4" w:space="0" w:color="000000"/>
            </w:tcBorders>
          </w:tcPr>
          <w:p>
            <w:pPr>
              <w:pStyle w:val="Normal"/>
              <w:rPr>
                <w:rFonts w:ascii="Arial" w:hAnsi="Arial"/>
              </w:rPr>
            </w:pPr>
            <w:r>
              <w:rPr>
                <w:color w:val="000000"/>
              </w:rPr>
              <w:t>Current liability</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179,510</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216,787</w:t>
            </w:r>
          </w:p>
        </w:tc>
        <w:tc>
          <w:tcPr>
            <w:tcW w:w="1505" w:type="dxa"/>
            <w:tcBorders>
              <w:start w:val="single" w:sz="4" w:space="0" w:color="000000"/>
              <w:bottom w:val="single" w:sz="4" w:space="0" w:color="000000"/>
            </w:tcBorders>
          </w:tcPr>
          <w:p>
            <w:pPr>
              <w:pStyle w:val="Normal"/>
              <w:jc w:val="center"/>
              <w:rPr>
                <w:rFonts w:ascii="Arial" w:hAnsi="Arial"/>
              </w:rPr>
            </w:pPr>
            <w:r>
              <w:rPr>
                <w:color w:val="000000"/>
              </w:rPr>
              <w:t>216,473</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161,148</w:t>
            </w:r>
          </w:p>
        </w:tc>
        <w:tc>
          <w:tcPr>
            <w:tcW w:w="1505" w:type="dxa"/>
            <w:tcBorders>
              <w:start w:val="single" w:sz="4" w:space="0" w:color="000000"/>
              <w:bottom w:val="single" w:sz="4" w:space="0" w:color="000000"/>
              <w:end w:val="single" w:sz="4" w:space="0" w:color="000000"/>
            </w:tcBorders>
          </w:tcPr>
          <w:p>
            <w:pPr>
              <w:pStyle w:val="Normal"/>
              <w:jc w:val="center"/>
              <w:rPr>
                <w:rFonts w:ascii="Arial" w:hAnsi="Arial"/>
              </w:rPr>
            </w:pPr>
            <w:r>
              <w:rPr>
                <w:color w:val="000000"/>
              </w:rPr>
              <w:t>158,291</w:t>
            </w:r>
          </w:p>
        </w:tc>
      </w:tr>
      <w:tr>
        <w:trPr/>
        <w:tc>
          <w:tcPr>
            <w:tcW w:w="1504" w:type="dxa"/>
            <w:tcBorders>
              <w:start w:val="single" w:sz="4" w:space="0" w:color="000000"/>
              <w:bottom w:val="single" w:sz="4" w:space="0" w:color="000000"/>
            </w:tcBorders>
          </w:tcPr>
          <w:p>
            <w:pPr>
              <w:pStyle w:val="Normal"/>
              <w:rPr>
                <w:rFonts w:ascii="Arial" w:hAnsi="Arial"/>
              </w:rPr>
            </w:pPr>
            <w:r>
              <w:rPr>
                <w:b/>
                <w:bCs/>
                <w:color w:val="000000"/>
              </w:rPr>
              <w:t>Current ratio</w:t>
            </w:r>
          </w:p>
        </w:tc>
        <w:tc>
          <w:tcPr>
            <w:tcW w:w="1504" w:type="dxa"/>
            <w:tcBorders>
              <w:start w:val="single" w:sz="4" w:space="0" w:color="000000"/>
              <w:bottom w:val="single" w:sz="4" w:space="0" w:color="000000"/>
            </w:tcBorders>
          </w:tcPr>
          <w:p>
            <w:pPr>
              <w:pStyle w:val="Normal"/>
              <w:jc w:val="center"/>
              <w:rPr>
                <w:rFonts w:ascii="Arial" w:hAnsi="Arial"/>
                <w:b w:val="false"/>
                <w:bCs w:val="false"/>
              </w:rPr>
            </w:pPr>
            <w:r>
              <w:rPr>
                <w:b w:val="false"/>
                <w:bCs w:val="false"/>
                <w:color w:val="000000"/>
              </w:rPr>
              <w:t>1.82</w:t>
            </w:r>
          </w:p>
        </w:tc>
        <w:tc>
          <w:tcPr>
            <w:tcW w:w="1504" w:type="dxa"/>
            <w:tcBorders>
              <w:start w:val="single" w:sz="4" w:space="0" w:color="000000"/>
              <w:bottom w:val="single" w:sz="4" w:space="0" w:color="000000"/>
            </w:tcBorders>
          </w:tcPr>
          <w:p>
            <w:pPr>
              <w:pStyle w:val="Normal"/>
              <w:jc w:val="center"/>
              <w:rPr>
                <w:rFonts w:ascii="Arial" w:hAnsi="Arial"/>
                <w:b w:val="false"/>
                <w:bCs w:val="false"/>
              </w:rPr>
            </w:pPr>
            <w:r>
              <w:rPr>
                <w:b w:val="false"/>
                <w:bCs w:val="false"/>
                <w:color w:val="000000"/>
              </w:rPr>
              <w:t>1.56</w:t>
            </w:r>
          </w:p>
        </w:tc>
        <w:tc>
          <w:tcPr>
            <w:tcW w:w="1505" w:type="dxa"/>
            <w:tcBorders>
              <w:start w:val="single" w:sz="4" w:space="0" w:color="000000"/>
              <w:bottom w:val="single" w:sz="4" w:space="0" w:color="000000"/>
            </w:tcBorders>
          </w:tcPr>
          <w:p>
            <w:pPr>
              <w:pStyle w:val="Normal"/>
              <w:jc w:val="center"/>
              <w:rPr>
                <w:rFonts w:ascii="Arial" w:hAnsi="Arial"/>
                <w:b w:val="false"/>
                <w:bCs w:val="false"/>
              </w:rPr>
            </w:pPr>
            <w:r>
              <w:rPr>
                <w:b w:val="false"/>
                <w:bCs w:val="false"/>
                <w:color w:val="000000"/>
              </w:rPr>
              <w:t>1.56</w:t>
            </w:r>
          </w:p>
        </w:tc>
        <w:tc>
          <w:tcPr>
            <w:tcW w:w="1504" w:type="dxa"/>
            <w:tcBorders>
              <w:start w:val="single" w:sz="4" w:space="0" w:color="000000"/>
              <w:bottom w:val="single" w:sz="4" w:space="0" w:color="000000"/>
            </w:tcBorders>
          </w:tcPr>
          <w:p>
            <w:pPr>
              <w:pStyle w:val="Normal"/>
              <w:jc w:val="center"/>
              <w:rPr>
                <w:rFonts w:ascii="Arial" w:hAnsi="Arial"/>
                <w:b w:val="false"/>
                <w:bCs w:val="false"/>
              </w:rPr>
            </w:pPr>
            <w:r>
              <w:rPr>
                <w:b w:val="false"/>
                <w:bCs w:val="false"/>
                <w:color w:val="000000"/>
              </w:rPr>
              <w:t>1.61</w:t>
            </w:r>
          </w:p>
        </w:tc>
        <w:tc>
          <w:tcPr>
            <w:tcW w:w="1505" w:type="dxa"/>
            <w:tcBorders>
              <w:start w:val="single" w:sz="4" w:space="0" w:color="000000"/>
              <w:bottom w:val="single" w:sz="4" w:space="0" w:color="000000"/>
              <w:end w:val="single" w:sz="4" w:space="0" w:color="000000"/>
            </w:tcBorders>
          </w:tcPr>
          <w:p>
            <w:pPr>
              <w:pStyle w:val="Normal"/>
              <w:jc w:val="center"/>
              <w:rPr>
                <w:rFonts w:ascii="Arial" w:hAnsi="Arial"/>
                <w:b w:val="false"/>
                <w:bCs w:val="false"/>
              </w:rPr>
            </w:pPr>
            <w:r>
              <w:rPr>
                <w:b w:val="false"/>
                <w:bCs w:val="false"/>
                <w:color w:val="000000"/>
              </w:rPr>
              <w:t>1.53</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53">
            <wp:simplePos x="0" y="0"/>
            <wp:positionH relativeFrom="column">
              <wp:align>center</wp:align>
            </wp:positionH>
            <wp:positionV relativeFrom="paragraph">
              <wp:posOffset>635</wp:posOffset>
            </wp:positionV>
            <wp:extent cx="5759450" cy="3239770"/>
            <wp:effectExtent l="0" t="0" r="0" b="0"/>
            <wp:wrapSquare wrapText="largest"/>
            <wp:docPr id="4" name="Object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Quick Ratio:</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Formula : Quick Ratio = (Total Current Assets - Inventories) / Total Current Liabilities</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Quick Ratio = (</w:t>
      </w:r>
      <w:r>
        <w:rPr>
          <w:rFonts w:eastAsia="Times New Roman" w:cs="Times New Roman"/>
          <w:color w:val="000000"/>
          <w:sz w:val="24"/>
          <w:szCs w:val="24"/>
        </w:rPr>
        <w:t>242,494 – 79355</w:t>
      </w:r>
      <w:r>
        <w:rPr>
          <w:rFonts w:eastAsia="Times New Roman" w:cs="Times New Roman"/>
          <w:sz w:val="24"/>
          <w:szCs w:val="24"/>
        </w:rPr>
        <w:t xml:space="preserve">) / </w:t>
      </w:r>
      <w:r>
        <w:rPr>
          <w:rFonts w:eastAsia="Times New Roman" w:cs="Times New Roman"/>
          <w:color w:val="000000"/>
          <w:sz w:val="24"/>
          <w:szCs w:val="24"/>
        </w:rPr>
        <w:t>158,291</w:t>
      </w:r>
      <w:r>
        <w:rPr>
          <w:rFonts w:eastAsia="Times New Roman" w:cs="Times New Roman"/>
          <w:sz w:val="24"/>
          <w:szCs w:val="24"/>
        </w:rPr>
        <w:t xml:space="preserve"> = 1.03</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rFonts w:ascii="Arial" w:hAnsi="Arial"/>
              </w:rPr>
            </w:pPr>
            <w:r>
              <w:rPr>
                <w:color w:val="000000"/>
              </w:rPr>
              <w:t>Current asset</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326,843</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337,146</w:t>
            </w:r>
          </w:p>
        </w:tc>
        <w:tc>
          <w:tcPr>
            <w:tcW w:w="1505" w:type="dxa"/>
            <w:tcBorders>
              <w:start w:val="single" w:sz="4" w:space="0" w:color="000000"/>
              <w:bottom w:val="single" w:sz="4" w:space="0" w:color="000000"/>
            </w:tcBorders>
          </w:tcPr>
          <w:p>
            <w:pPr>
              <w:pStyle w:val="Normal"/>
              <w:jc w:val="center"/>
              <w:rPr>
                <w:rFonts w:ascii="Arial" w:hAnsi="Arial"/>
              </w:rPr>
            </w:pPr>
            <w:r>
              <w:rPr>
                <w:color w:val="000000"/>
              </w:rPr>
              <w:t>338,040</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258,851</w:t>
            </w:r>
          </w:p>
        </w:tc>
        <w:tc>
          <w:tcPr>
            <w:tcW w:w="1505" w:type="dxa"/>
            <w:tcBorders>
              <w:start w:val="single" w:sz="4" w:space="0" w:color="000000"/>
              <w:bottom w:val="single" w:sz="4" w:space="0" w:color="000000"/>
              <w:end w:val="single" w:sz="4" w:space="0" w:color="000000"/>
            </w:tcBorders>
          </w:tcPr>
          <w:p>
            <w:pPr>
              <w:pStyle w:val="Normal"/>
              <w:jc w:val="center"/>
              <w:rPr>
                <w:rFonts w:ascii="Arial" w:hAnsi="Arial"/>
              </w:rPr>
            </w:pPr>
            <w:r>
              <w:rPr>
                <w:color w:val="000000"/>
              </w:rPr>
              <w:t>242,494</w:t>
            </w:r>
          </w:p>
        </w:tc>
      </w:tr>
      <w:tr>
        <w:trPr/>
        <w:tc>
          <w:tcPr>
            <w:tcW w:w="1504" w:type="dxa"/>
            <w:tcBorders>
              <w:start w:val="single" w:sz="4" w:space="0" w:color="000000"/>
              <w:bottom w:val="single" w:sz="4" w:space="0" w:color="000000"/>
            </w:tcBorders>
          </w:tcPr>
          <w:p>
            <w:pPr>
              <w:pStyle w:val="Normal"/>
              <w:rPr>
                <w:rFonts w:ascii="Arial" w:hAnsi="Arial"/>
              </w:rPr>
            </w:pPr>
            <w:r>
              <w:rPr>
                <w:color w:val="000000"/>
              </w:rPr>
              <w:t>Current liability</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179,510</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216,787</w:t>
            </w:r>
          </w:p>
        </w:tc>
        <w:tc>
          <w:tcPr>
            <w:tcW w:w="1505" w:type="dxa"/>
            <w:tcBorders>
              <w:start w:val="single" w:sz="4" w:space="0" w:color="000000"/>
              <w:bottom w:val="single" w:sz="4" w:space="0" w:color="000000"/>
            </w:tcBorders>
          </w:tcPr>
          <w:p>
            <w:pPr>
              <w:pStyle w:val="Normal"/>
              <w:jc w:val="center"/>
              <w:rPr>
                <w:rFonts w:ascii="Arial" w:hAnsi="Arial"/>
              </w:rPr>
            </w:pPr>
            <w:r>
              <w:rPr>
                <w:color w:val="000000"/>
              </w:rPr>
              <w:t>216,473</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161,148</w:t>
            </w:r>
          </w:p>
        </w:tc>
        <w:tc>
          <w:tcPr>
            <w:tcW w:w="1505" w:type="dxa"/>
            <w:tcBorders>
              <w:start w:val="single" w:sz="4" w:space="0" w:color="000000"/>
              <w:bottom w:val="single" w:sz="4" w:space="0" w:color="000000"/>
              <w:end w:val="single" w:sz="4" w:space="0" w:color="000000"/>
            </w:tcBorders>
          </w:tcPr>
          <w:p>
            <w:pPr>
              <w:pStyle w:val="Normal"/>
              <w:jc w:val="center"/>
              <w:rPr>
                <w:rFonts w:ascii="Arial" w:hAnsi="Arial"/>
              </w:rPr>
            </w:pPr>
            <w:r>
              <w:rPr>
                <w:color w:val="000000"/>
              </w:rPr>
              <w:t>158,291</w:t>
            </w:r>
          </w:p>
        </w:tc>
      </w:tr>
      <w:tr>
        <w:trPr/>
        <w:tc>
          <w:tcPr>
            <w:tcW w:w="1504" w:type="dxa"/>
            <w:tcBorders>
              <w:start w:val="single" w:sz="4" w:space="0" w:color="000000"/>
              <w:bottom w:val="single" w:sz="4" w:space="0" w:color="000000"/>
            </w:tcBorders>
          </w:tcPr>
          <w:p>
            <w:pPr>
              <w:pStyle w:val="Normal"/>
              <w:rPr>
                <w:rFonts w:ascii="Arial" w:hAnsi="Arial"/>
              </w:rPr>
            </w:pPr>
            <w:r>
              <w:rPr>
                <w:color w:val="000000"/>
              </w:rPr>
              <w:t>Inventory</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120430</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134469</w:t>
            </w:r>
          </w:p>
        </w:tc>
        <w:tc>
          <w:tcPr>
            <w:tcW w:w="1505" w:type="dxa"/>
            <w:tcBorders>
              <w:start w:val="single" w:sz="4" w:space="0" w:color="000000"/>
              <w:bottom w:val="single" w:sz="4" w:space="0" w:color="000000"/>
            </w:tcBorders>
          </w:tcPr>
          <w:p>
            <w:pPr>
              <w:pStyle w:val="Normal"/>
              <w:jc w:val="center"/>
              <w:rPr>
                <w:rFonts w:ascii="Arial" w:hAnsi="Arial"/>
              </w:rPr>
            </w:pPr>
            <w:r>
              <w:rPr>
                <w:color w:val="000000"/>
              </w:rPr>
              <w:t>140181</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88273</w:t>
            </w:r>
          </w:p>
        </w:tc>
        <w:tc>
          <w:tcPr>
            <w:tcW w:w="1505" w:type="dxa"/>
            <w:tcBorders>
              <w:start w:val="single" w:sz="4" w:space="0" w:color="000000"/>
              <w:bottom w:val="single" w:sz="4" w:space="0" w:color="000000"/>
              <w:end w:val="single" w:sz="4" w:space="0" w:color="000000"/>
            </w:tcBorders>
          </w:tcPr>
          <w:p>
            <w:pPr>
              <w:pStyle w:val="Normal"/>
              <w:jc w:val="center"/>
              <w:rPr>
                <w:rFonts w:ascii="Arial" w:hAnsi="Arial"/>
              </w:rPr>
            </w:pPr>
            <w:r>
              <w:rPr>
                <w:color w:val="000000"/>
              </w:rPr>
              <w:t>79355</w:t>
            </w:r>
          </w:p>
        </w:tc>
      </w:tr>
      <w:tr>
        <w:trPr/>
        <w:tc>
          <w:tcPr>
            <w:tcW w:w="1504" w:type="dxa"/>
            <w:tcBorders>
              <w:start w:val="single" w:sz="4" w:space="0" w:color="000000"/>
              <w:bottom w:val="single" w:sz="4" w:space="0" w:color="000000"/>
            </w:tcBorders>
          </w:tcPr>
          <w:p>
            <w:pPr>
              <w:pStyle w:val="Normal"/>
              <w:rPr>
                <w:rFonts w:ascii="Arial" w:hAnsi="Arial"/>
              </w:rPr>
            </w:pPr>
            <w:r>
              <w:rPr>
                <w:b/>
                <w:bCs/>
                <w:color w:val="000000"/>
              </w:rPr>
              <w:t>Quick ratio</w:t>
            </w:r>
          </w:p>
        </w:tc>
        <w:tc>
          <w:tcPr>
            <w:tcW w:w="1504" w:type="dxa"/>
            <w:tcBorders>
              <w:start w:val="single" w:sz="4" w:space="0" w:color="000000"/>
              <w:bottom w:val="single" w:sz="4" w:space="0" w:color="000000"/>
            </w:tcBorders>
          </w:tcPr>
          <w:p>
            <w:pPr>
              <w:pStyle w:val="Normal"/>
              <w:jc w:val="center"/>
              <w:rPr>
                <w:rFonts w:ascii="Arial" w:hAnsi="Arial"/>
                <w:b w:val="false"/>
                <w:bCs w:val="false"/>
              </w:rPr>
            </w:pPr>
            <w:r>
              <w:rPr>
                <w:b w:val="false"/>
                <w:bCs w:val="false"/>
                <w:color w:val="000000"/>
              </w:rPr>
              <w:t>1.15</w:t>
            </w:r>
          </w:p>
        </w:tc>
        <w:tc>
          <w:tcPr>
            <w:tcW w:w="1504" w:type="dxa"/>
            <w:tcBorders>
              <w:start w:val="single" w:sz="4" w:space="0" w:color="000000"/>
              <w:bottom w:val="single" w:sz="4" w:space="0" w:color="000000"/>
            </w:tcBorders>
          </w:tcPr>
          <w:p>
            <w:pPr>
              <w:pStyle w:val="Normal"/>
              <w:jc w:val="center"/>
              <w:rPr>
                <w:rFonts w:ascii="Arial" w:hAnsi="Arial"/>
                <w:b w:val="false"/>
                <w:bCs w:val="false"/>
              </w:rPr>
            </w:pPr>
            <w:r>
              <w:rPr>
                <w:b w:val="false"/>
                <w:bCs w:val="false"/>
                <w:color w:val="000000"/>
              </w:rPr>
              <w:t>0.93</w:t>
            </w:r>
          </w:p>
        </w:tc>
        <w:tc>
          <w:tcPr>
            <w:tcW w:w="1505" w:type="dxa"/>
            <w:tcBorders>
              <w:start w:val="single" w:sz="4" w:space="0" w:color="000000"/>
              <w:bottom w:val="single" w:sz="4" w:space="0" w:color="000000"/>
            </w:tcBorders>
          </w:tcPr>
          <w:p>
            <w:pPr>
              <w:pStyle w:val="Normal"/>
              <w:jc w:val="center"/>
              <w:rPr>
                <w:rFonts w:ascii="Arial" w:hAnsi="Arial"/>
                <w:b w:val="false"/>
                <w:bCs w:val="false"/>
              </w:rPr>
            </w:pPr>
            <w:r>
              <w:rPr>
                <w:b w:val="false"/>
                <w:bCs w:val="false"/>
                <w:color w:val="000000"/>
              </w:rPr>
              <w:t>0.91</w:t>
            </w:r>
          </w:p>
        </w:tc>
        <w:tc>
          <w:tcPr>
            <w:tcW w:w="1504" w:type="dxa"/>
            <w:tcBorders>
              <w:start w:val="single" w:sz="4" w:space="0" w:color="000000"/>
              <w:bottom w:val="single" w:sz="4" w:space="0" w:color="000000"/>
            </w:tcBorders>
          </w:tcPr>
          <w:p>
            <w:pPr>
              <w:pStyle w:val="Normal"/>
              <w:jc w:val="center"/>
              <w:rPr>
                <w:rFonts w:ascii="Arial" w:hAnsi="Arial"/>
                <w:b w:val="false"/>
                <w:bCs w:val="false"/>
              </w:rPr>
            </w:pPr>
            <w:r>
              <w:rPr>
                <w:b w:val="false"/>
                <w:bCs w:val="false"/>
                <w:color w:val="000000"/>
              </w:rPr>
              <w:t>1.06</w:t>
            </w:r>
          </w:p>
        </w:tc>
        <w:tc>
          <w:tcPr>
            <w:tcW w:w="1505" w:type="dxa"/>
            <w:tcBorders>
              <w:start w:val="single" w:sz="4" w:space="0" w:color="000000"/>
              <w:bottom w:val="single" w:sz="4" w:space="0" w:color="000000"/>
              <w:end w:val="single" w:sz="4" w:space="0" w:color="000000"/>
            </w:tcBorders>
          </w:tcPr>
          <w:p>
            <w:pPr>
              <w:pStyle w:val="Normal"/>
              <w:jc w:val="center"/>
              <w:rPr>
                <w:rFonts w:ascii="Arial" w:hAnsi="Arial"/>
                <w:b w:val="false"/>
                <w:bCs w:val="false"/>
              </w:rPr>
            </w:pPr>
            <w:r>
              <w:rPr>
                <w:b w:val="false"/>
                <w:bCs w:val="false"/>
                <w:color w:val="000000"/>
              </w:rPr>
              <w:t>1.03</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52">
            <wp:simplePos x="0" y="0"/>
            <wp:positionH relativeFrom="column">
              <wp:align>center</wp:align>
            </wp:positionH>
            <wp:positionV relativeFrom="paragraph">
              <wp:posOffset>635</wp:posOffset>
            </wp:positionV>
            <wp:extent cx="5759450" cy="3239770"/>
            <wp:effectExtent l="0" t="0" r="0" b="0"/>
            <wp:wrapSquare wrapText="largest"/>
            <wp:docPr id="5" name="Object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Iii) Efficiency</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Inventory Turnover Ratio:</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Formula : Inventory Turnover Ratio = Cost of sales / Inventory</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 xml:space="preserve">Inventory Ratio = </w:t>
      </w:r>
      <w:r>
        <w:rPr>
          <w:rFonts w:eastAsia="Times New Roman" w:cs="Times New Roman"/>
          <w:color w:val="000000"/>
          <w:sz w:val="24"/>
          <w:szCs w:val="24"/>
        </w:rPr>
        <w:t>280,885</w:t>
      </w:r>
      <w:r>
        <w:rPr>
          <w:rFonts w:eastAsia="Times New Roman" w:cs="Times New Roman"/>
          <w:sz w:val="24"/>
          <w:szCs w:val="24"/>
        </w:rPr>
        <w:t xml:space="preserve"> / </w:t>
      </w:r>
      <w:r>
        <w:rPr>
          <w:rFonts w:eastAsia="Times New Roman" w:cs="Times New Roman"/>
          <w:color w:val="000000"/>
          <w:sz w:val="24"/>
          <w:szCs w:val="24"/>
        </w:rPr>
        <w:t xml:space="preserve">79355 </w:t>
      </w:r>
      <w:r>
        <w:rPr>
          <w:rFonts w:eastAsia="Times New Roman" w:cs="Times New Roman"/>
          <w:sz w:val="24"/>
          <w:szCs w:val="24"/>
        </w:rPr>
        <w:t>= 3.54</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color w:val="000000"/>
              </w:rPr>
            </w:pPr>
            <w:r>
              <w:rPr>
                <w:color w:val="000000"/>
              </w:rPr>
              <w:t>Cost of sales</w:t>
            </w:r>
          </w:p>
        </w:tc>
        <w:tc>
          <w:tcPr>
            <w:tcW w:w="1504" w:type="dxa"/>
            <w:tcBorders>
              <w:start w:val="single" w:sz="4" w:space="0" w:color="000000"/>
              <w:bottom w:val="single" w:sz="4" w:space="0" w:color="000000"/>
            </w:tcBorders>
          </w:tcPr>
          <w:p>
            <w:pPr>
              <w:pStyle w:val="Normal"/>
              <w:jc w:val="center"/>
              <w:rPr>
                <w:color w:val="000000"/>
              </w:rPr>
            </w:pPr>
            <w:r>
              <w:rPr>
                <w:color w:val="000000"/>
              </w:rPr>
              <w:t>438,424</w:t>
            </w:r>
          </w:p>
        </w:tc>
        <w:tc>
          <w:tcPr>
            <w:tcW w:w="1504" w:type="dxa"/>
            <w:tcBorders>
              <w:start w:val="single" w:sz="4" w:space="0" w:color="000000"/>
              <w:bottom w:val="single" w:sz="4" w:space="0" w:color="000000"/>
            </w:tcBorders>
          </w:tcPr>
          <w:p>
            <w:pPr>
              <w:pStyle w:val="Normal"/>
              <w:jc w:val="center"/>
              <w:rPr>
                <w:color w:val="000000"/>
              </w:rPr>
            </w:pPr>
            <w:r>
              <w:rPr>
                <w:color w:val="000000"/>
              </w:rPr>
              <w:t>428,586</w:t>
            </w:r>
          </w:p>
        </w:tc>
        <w:tc>
          <w:tcPr>
            <w:tcW w:w="1505" w:type="dxa"/>
            <w:tcBorders>
              <w:start w:val="single" w:sz="4" w:space="0" w:color="000000"/>
              <w:bottom w:val="single" w:sz="4" w:space="0" w:color="000000"/>
            </w:tcBorders>
          </w:tcPr>
          <w:p>
            <w:pPr>
              <w:pStyle w:val="Normal"/>
              <w:jc w:val="center"/>
              <w:rPr>
                <w:color w:val="000000"/>
              </w:rPr>
            </w:pPr>
            <w:r>
              <w:rPr>
                <w:color w:val="000000"/>
              </w:rPr>
              <w:t>390,459</w:t>
            </w:r>
          </w:p>
        </w:tc>
        <w:tc>
          <w:tcPr>
            <w:tcW w:w="1504" w:type="dxa"/>
            <w:tcBorders>
              <w:start w:val="single" w:sz="4" w:space="0" w:color="000000"/>
              <w:bottom w:val="single" w:sz="4" w:space="0" w:color="000000"/>
            </w:tcBorders>
          </w:tcPr>
          <w:p>
            <w:pPr>
              <w:pStyle w:val="Normal"/>
              <w:jc w:val="center"/>
              <w:rPr>
                <w:color w:val="000000"/>
              </w:rPr>
            </w:pPr>
            <w:r>
              <w:rPr>
                <w:color w:val="000000"/>
              </w:rPr>
              <w:t>322,897</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280,885</w:t>
            </w:r>
          </w:p>
        </w:tc>
      </w:tr>
      <w:tr>
        <w:trPr/>
        <w:tc>
          <w:tcPr>
            <w:tcW w:w="1504" w:type="dxa"/>
            <w:tcBorders>
              <w:start w:val="single" w:sz="4" w:space="0" w:color="000000"/>
              <w:bottom w:val="single" w:sz="4" w:space="0" w:color="000000"/>
            </w:tcBorders>
          </w:tcPr>
          <w:p>
            <w:pPr>
              <w:pStyle w:val="Normal"/>
              <w:rPr>
                <w:color w:val="000000"/>
              </w:rPr>
            </w:pPr>
            <w:r>
              <w:rPr>
                <w:color w:val="000000"/>
              </w:rPr>
              <w:t>Inventory</w:t>
            </w:r>
          </w:p>
        </w:tc>
        <w:tc>
          <w:tcPr>
            <w:tcW w:w="1504" w:type="dxa"/>
            <w:tcBorders>
              <w:start w:val="single" w:sz="4" w:space="0" w:color="000000"/>
              <w:bottom w:val="single" w:sz="4" w:space="0" w:color="000000"/>
            </w:tcBorders>
          </w:tcPr>
          <w:p>
            <w:pPr>
              <w:pStyle w:val="Normal"/>
              <w:jc w:val="center"/>
              <w:rPr>
                <w:color w:val="000000"/>
              </w:rPr>
            </w:pPr>
            <w:r>
              <w:rPr>
                <w:color w:val="000000"/>
              </w:rPr>
              <w:t>120430</w:t>
            </w:r>
          </w:p>
        </w:tc>
        <w:tc>
          <w:tcPr>
            <w:tcW w:w="1504" w:type="dxa"/>
            <w:tcBorders>
              <w:start w:val="single" w:sz="4" w:space="0" w:color="000000"/>
              <w:bottom w:val="single" w:sz="4" w:space="0" w:color="000000"/>
            </w:tcBorders>
          </w:tcPr>
          <w:p>
            <w:pPr>
              <w:pStyle w:val="Normal"/>
              <w:jc w:val="center"/>
              <w:rPr>
                <w:color w:val="000000"/>
              </w:rPr>
            </w:pPr>
            <w:r>
              <w:rPr>
                <w:color w:val="000000"/>
              </w:rPr>
              <w:t>134469</w:t>
            </w:r>
          </w:p>
        </w:tc>
        <w:tc>
          <w:tcPr>
            <w:tcW w:w="1505" w:type="dxa"/>
            <w:tcBorders>
              <w:start w:val="single" w:sz="4" w:space="0" w:color="000000"/>
              <w:bottom w:val="single" w:sz="4" w:space="0" w:color="000000"/>
            </w:tcBorders>
          </w:tcPr>
          <w:p>
            <w:pPr>
              <w:pStyle w:val="Normal"/>
              <w:jc w:val="center"/>
              <w:rPr>
                <w:color w:val="000000"/>
              </w:rPr>
            </w:pPr>
            <w:r>
              <w:rPr>
                <w:color w:val="000000"/>
              </w:rPr>
              <w:t>140181</w:t>
            </w:r>
          </w:p>
        </w:tc>
        <w:tc>
          <w:tcPr>
            <w:tcW w:w="1504" w:type="dxa"/>
            <w:tcBorders>
              <w:start w:val="single" w:sz="4" w:space="0" w:color="000000"/>
              <w:bottom w:val="single" w:sz="4" w:space="0" w:color="000000"/>
            </w:tcBorders>
          </w:tcPr>
          <w:p>
            <w:pPr>
              <w:pStyle w:val="Normal"/>
              <w:jc w:val="center"/>
              <w:rPr>
                <w:color w:val="000000"/>
              </w:rPr>
            </w:pPr>
            <w:r>
              <w:rPr>
                <w:color w:val="000000"/>
              </w:rPr>
              <w:t>88273</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79355</w:t>
            </w:r>
          </w:p>
        </w:tc>
      </w:tr>
      <w:tr>
        <w:trPr/>
        <w:tc>
          <w:tcPr>
            <w:tcW w:w="1504" w:type="dxa"/>
            <w:tcBorders>
              <w:start w:val="single" w:sz="4" w:space="0" w:color="000000"/>
              <w:bottom w:val="single" w:sz="4" w:space="0" w:color="000000"/>
            </w:tcBorders>
          </w:tcPr>
          <w:p>
            <w:pPr>
              <w:pStyle w:val="Normal"/>
              <w:rPr>
                <w:b/>
                <w:bCs/>
                <w:color w:val="000000"/>
              </w:rPr>
            </w:pPr>
            <w:r>
              <w:rPr>
                <w:b/>
                <w:bCs/>
                <w:color w:val="000000"/>
              </w:rPr>
              <w:t>Inventory turnover ratio</w:t>
            </w:r>
          </w:p>
        </w:tc>
        <w:tc>
          <w:tcPr>
            <w:tcW w:w="1504" w:type="dxa"/>
            <w:tcBorders>
              <w:start w:val="single" w:sz="4" w:space="0" w:color="000000"/>
              <w:bottom w:val="single" w:sz="4" w:space="0" w:color="000000"/>
            </w:tcBorders>
          </w:tcPr>
          <w:p>
            <w:pPr>
              <w:pStyle w:val="Normal"/>
              <w:jc w:val="center"/>
              <w:rPr>
                <w:b w:val="false"/>
                <w:bCs w:val="false"/>
              </w:rPr>
            </w:pPr>
            <w:r>
              <w:rPr>
                <w:b w:val="false"/>
                <w:bCs w:val="false"/>
                <w:color w:val="000000"/>
              </w:rPr>
              <w:t>3.64</w:t>
            </w:r>
          </w:p>
        </w:tc>
        <w:tc>
          <w:tcPr>
            <w:tcW w:w="1504" w:type="dxa"/>
            <w:tcBorders>
              <w:start w:val="single" w:sz="4" w:space="0" w:color="000000"/>
              <w:bottom w:val="single" w:sz="4" w:space="0" w:color="000000"/>
            </w:tcBorders>
          </w:tcPr>
          <w:p>
            <w:pPr>
              <w:pStyle w:val="Normal"/>
              <w:jc w:val="center"/>
              <w:rPr>
                <w:b w:val="false"/>
                <w:bCs w:val="false"/>
              </w:rPr>
            </w:pPr>
            <w:r>
              <w:rPr>
                <w:b w:val="false"/>
                <w:bCs w:val="false"/>
                <w:color w:val="000000"/>
              </w:rPr>
              <w:t>3.19</w:t>
            </w:r>
          </w:p>
        </w:tc>
        <w:tc>
          <w:tcPr>
            <w:tcW w:w="1505" w:type="dxa"/>
            <w:tcBorders>
              <w:start w:val="single" w:sz="4" w:space="0" w:color="000000"/>
              <w:bottom w:val="single" w:sz="4" w:space="0" w:color="000000"/>
            </w:tcBorders>
          </w:tcPr>
          <w:p>
            <w:pPr>
              <w:pStyle w:val="Normal"/>
              <w:jc w:val="center"/>
              <w:rPr>
                <w:b w:val="false"/>
                <w:bCs w:val="false"/>
              </w:rPr>
            </w:pPr>
            <w:r>
              <w:rPr>
                <w:b w:val="false"/>
                <w:bCs w:val="false"/>
                <w:color w:val="000000"/>
              </w:rPr>
              <w:t>2.79</w:t>
            </w:r>
          </w:p>
        </w:tc>
        <w:tc>
          <w:tcPr>
            <w:tcW w:w="1504" w:type="dxa"/>
            <w:tcBorders>
              <w:start w:val="single" w:sz="4" w:space="0" w:color="000000"/>
              <w:bottom w:val="single" w:sz="4" w:space="0" w:color="000000"/>
            </w:tcBorders>
          </w:tcPr>
          <w:p>
            <w:pPr>
              <w:pStyle w:val="Normal"/>
              <w:jc w:val="center"/>
              <w:rPr>
                <w:b w:val="false"/>
                <w:bCs w:val="false"/>
              </w:rPr>
            </w:pPr>
            <w:r>
              <w:rPr>
                <w:b w:val="false"/>
                <w:bCs w:val="false"/>
                <w:color w:val="000000"/>
              </w:rPr>
              <w:t>3.66</w:t>
            </w:r>
          </w:p>
        </w:tc>
        <w:tc>
          <w:tcPr>
            <w:tcW w:w="1505" w:type="dxa"/>
            <w:tcBorders>
              <w:start w:val="single" w:sz="4" w:space="0" w:color="000000"/>
              <w:bottom w:val="single" w:sz="4" w:space="0" w:color="000000"/>
              <w:end w:val="single" w:sz="4" w:space="0" w:color="000000"/>
            </w:tcBorders>
          </w:tcPr>
          <w:p>
            <w:pPr>
              <w:pStyle w:val="Normal"/>
              <w:jc w:val="center"/>
              <w:rPr>
                <w:b w:val="false"/>
                <w:bCs w:val="false"/>
              </w:rPr>
            </w:pPr>
            <w:r>
              <w:rPr>
                <w:b w:val="false"/>
                <w:bCs w:val="false"/>
                <w:color w:val="000000"/>
              </w:rPr>
              <w:t>3.54</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51">
            <wp:simplePos x="0" y="0"/>
            <wp:positionH relativeFrom="column">
              <wp:align>center</wp:align>
            </wp:positionH>
            <wp:positionV relativeFrom="paragraph">
              <wp:posOffset>635</wp:posOffset>
            </wp:positionV>
            <wp:extent cx="5759450" cy="3239770"/>
            <wp:effectExtent l="0" t="0" r="0" b="0"/>
            <wp:wrapSquare wrapText="largest"/>
            <wp:docPr id="6" name="Object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Receivable Turnover Ratio:</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 xml:space="preserve">Formula : Receivable Turnover Ratio = Net sales / </w:t>
      </w:r>
      <w:r>
        <w:rPr>
          <w:rFonts w:eastAsia="Times New Roman" w:cs="Times New Roman"/>
          <w:color w:val="000000"/>
          <w:sz w:val="24"/>
          <w:szCs w:val="24"/>
        </w:rPr>
        <w:t>Account receivable</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 xml:space="preserve">Receivable Turnover Ratio = </w:t>
      </w:r>
      <w:r>
        <w:rPr>
          <w:rFonts w:eastAsia="Times New Roman" w:cs="Times New Roman"/>
          <w:color w:val="000000"/>
          <w:sz w:val="24"/>
          <w:szCs w:val="24"/>
        </w:rPr>
        <w:t>394,879</w:t>
      </w:r>
      <w:r>
        <w:rPr>
          <w:rFonts w:eastAsia="Times New Roman" w:cs="Times New Roman"/>
          <w:sz w:val="24"/>
          <w:szCs w:val="24"/>
        </w:rPr>
        <w:t xml:space="preserve"> / </w:t>
      </w:r>
      <w:r>
        <w:rPr>
          <w:rFonts w:eastAsia="Times New Roman" w:cs="Times New Roman"/>
          <w:color w:val="000000"/>
          <w:sz w:val="24"/>
          <w:szCs w:val="24"/>
        </w:rPr>
        <w:t xml:space="preserve">114182 </w:t>
      </w:r>
      <w:r>
        <w:rPr>
          <w:rFonts w:eastAsia="Times New Roman" w:cs="Times New Roman"/>
          <w:sz w:val="24"/>
          <w:szCs w:val="24"/>
        </w:rPr>
        <w:t>= 3.46</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color w:val="000000"/>
              </w:rPr>
            </w:pPr>
            <w:r>
              <w:rPr>
                <w:color w:val="000000"/>
              </w:rPr>
              <w:t>Net sales</w:t>
            </w:r>
          </w:p>
        </w:tc>
        <w:tc>
          <w:tcPr>
            <w:tcW w:w="1504" w:type="dxa"/>
            <w:tcBorders>
              <w:start w:val="single" w:sz="4" w:space="0" w:color="000000"/>
              <w:bottom w:val="single" w:sz="4" w:space="0" w:color="000000"/>
            </w:tcBorders>
          </w:tcPr>
          <w:p>
            <w:pPr>
              <w:pStyle w:val="Normal"/>
              <w:jc w:val="center"/>
              <w:rPr>
                <w:color w:val="000000"/>
              </w:rPr>
            </w:pPr>
            <w:r>
              <w:rPr>
                <w:color w:val="000000"/>
              </w:rPr>
              <w:t>614,680</w:t>
            </w:r>
          </w:p>
        </w:tc>
        <w:tc>
          <w:tcPr>
            <w:tcW w:w="1504" w:type="dxa"/>
            <w:tcBorders>
              <w:start w:val="single" w:sz="4" w:space="0" w:color="000000"/>
              <w:bottom w:val="single" w:sz="4" w:space="0" w:color="000000"/>
            </w:tcBorders>
          </w:tcPr>
          <w:p>
            <w:pPr>
              <w:pStyle w:val="Normal"/>
              <w:jc w:val="center"/>
              <w:rPr>
                <w:color w:val="000000"/>
              </w:rPr>
            </w:pPr>
            <w:r>
              <w:rPr>
                <w:color w:val="000000"/>
              </w:rPr>
              <w:t>601,602</w:t>
            </w:r>
          </w:p>
        </w:tc>
        <w:tc>
          <w:tcPr>
            <w:tcW w:w="1505" w:type="dxa"/>
            <w:tcBorders>
              <w:start w:val="single" w:sz="4" w:space="0" w:color="000000"/>
              <w:bottom w:val="single" w:sz="4" w:space="0" w:color="000000"/>
            </w:tcBorders>
          </w:tcPr>
          <w:p>
            <w:pPr>
              <w:pStyle w:val="Normal"/>
              <w:jc w:val="center"/>
              <w:rPr>
                <w:color w:val="000000"/>
              </w:rPr>
            </w:pPr>
            <w:r>
              <w:rPr>
                <w:color w:val="000000"/>
              </w:rPr>
              <w:t>542,751</w:t>
            </w:r>
          </w:p>
        </w:tc>
        <w:tc>
          <w:tcPr>
            <w:tcW w:w="1504" w:type="dxa"/>
            <w:tcBorders>
              <w:start w:val="single" w:sz="4" w:space="0" w:color="000000"/>
              <w:bottom w:val="single" w:sz="4" w:space="0" w:color="000000"/>
            </w:tcBorders>
          </w:tcPr>
          <w:p>
            <w:pPr>
              <w:pStyle w:val="Normal"/>
              <w:jc w:val="center"/>
              <w:rPr>
                <w:color w:val="000000"/>
              </w:rPr>
            </w:pPr>
            <w:r>
              <w:rPr>
                <w:color w:val="000000"/>
              </w:rPr>
              <w:t>420,457</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394,879</w:t>
            </w:r>
          </w:p>
        </w:tc>
      </w:tr>
      <w:tr>
        <w:trPr/>
        <w:tc>
          <w:tcPr>
            <w:tcW w:w="1504" w:type="dxa"/>
            <w:tcBorders>
              <w:start w:val="single" w:sz="4" w:space="0" w:color="000000"/>
              <w:bottom w:val="single" w:sz="4" w:space="0" w:color="000000"/>
            </w:tcBorders>
          </w:tcPr>
          <w:p>
            <w:pPr>
              <w:pStyle w:val="Normal"/>
              <w:rPr>
                <w:color w:val="000000"/>
              </w:rPr>
            </w:pPr>
            <w:r>
              <w:rPr>
                <w:color w:val="000000"/>
              </w:rPr>
              <w:t>Account receivable</w:t>
            </w:r>
          </w:p>
        </w:tc>
        <w:tc>
          <w:tcPr>
            <w:tcW w:w="1504" w:type="dxa"/>
            <w:tcBorders>
              <w:start w:val="single" w:sz="4" w:space="0" w:color="000000"/>
              <w:bottom w:val="single" w:sz="4" w:space="0" w:color="000000"/>
            </w:tcBorders>
          </w:tcPr>
          <w:p>
            <w:pPr>
              <w:pStyle w:val="Normal"/>
              <w:jc w:val="center"/>
              <w:rPr>
                <w:color w:val="000000"/>
              </w:rPr>
            </w:pPr>
            <w:r>
              <w:rPr>
                <w:color w:val="000000"/>
              </w:rPr>
              <w:t>129433</w:t>
            </w:r>
          </w:p>
        </w:tc>
        <w:tc>
          <w:tcPr>
            <w:tcW w:w="1504" w:type="dxa"/>
            <w:tcBorders>
              <w:start w:val="single" w:sz="4" w:space="0" w:color="000000"/>
              <w:bottom w:val="single" w:sz="4" w:space="0" w:color="000000"/>
            </w:tcBorders>
          </w:tcPr>
          <w:p>
            <w:pPr>
              <w:pStyle w:val="Normal"/>
              <w:jc w:val="center"/>
              <w:rPr>
                <w:color w:val="000000"/>
              </w:rPr>
            </w:pPr>
            <w:r>
              <w:rPr>
                <w:color w:val="000000"/>
              </w:rPr>
              <w:t>129215</w:t>
            </w:r>
          </w:p>
        </w:tc>
        <w:tc>
          <w:tcPr>
            <w:tcW w:w="1505" w:type="dxa"/>
            <w:tcBorders>
              <w:start w:val="single" w:sz="4" w:space="0" w:color="000000"/>
              <w:bottom w:val="single" w:sz="4" w:space="0" w:color="000000"/>
            </w:tcBorders>
          </w:tcPr>
          <w:p>
            <w:pPr>
              <w:pStyle w:val="Normal"/>
              <w:jc w:val="center"/>
              <w:rPr>
                <w:color w:val="000000"/>
              </w:rPr>
            </w:pPr>
            <w:r>
              <w:rPr>
                <w:color w:val="000000"/>
              </w:rPr>
              <w:t>112346</w:t>
            </w:r>
          </w:p>
        </w:tc>
        <w:tc>
          <w:tcPr>
            <w:tcW w:w="1504" w:type="dxa"/>
            <w:tcBorders>
              <w:start w:val="single" w:sz="4" w:space="0" w:color="000000"/>
              <w:bottom w:val="single" w:sz="4" w:space="0" w:color="000000"/>
            </w:tcBorders>
          </w:tcPr>
          <w:p>
            <w:pPr>
              <w:pStyle w:val="Normal"/>
              <w:jc w:val="center"/>
              <w:rPr>
                <w:color w:val="000000"/>
              </w:rPr>
            </w:pPr>
            <w:r>
              <w:rPr>
                <w:color w:val="000000"/>
              </w:rPr>
              <w:t>112596</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114182</w:t>
            </w:r>
          </w:p>
        </w:tc>
      </w:tr>
      <w:tr>
        <w:trPr/>
        <w:tc>
          <w:tcPr>
            <w:tcW w:w="1504" w:type="dxa"/>
            <w:tcBorders>
              <w:start w:val="single" w:sz="4" w:space="0" w:color="000000"/>
              <w:bottom w:val="single" w:sz="4" w:space="0" w:color="000000"/>
            </w:tcBorders>
          </w:tcPr>
          <w:p>
            <w:pPr>
              <w:pStyle w:val="Normal"/>
              <w:rPr>
                <w:b/>
                <w:bCs/>
                <w:color w:val="000000"/>
              </w:rPr>
            </w:pPr>
            <w:r>
              <w:rPr>
                <w:b/>
                <w:bCs/>
                <w:color w:val="000000"/>
              </w:rPr>
              <w:t>Receivable turnover ratio</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4.75</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4.66</w:t>
            </w:r>
          </w:p>
        </w:tc>
        <w:tc>
          <w:tcPr>
            <w:tcW w:w="1505" w:type="dxa"/>
            <w:tcBorders>
              <w:start w:val="single" w:sz="4" w:space="0" w:color="000000"/>
              <w:bottom w:val="single" w:sz="4" w:space="0" w:color="000000"/>
            </w:tcBorders>
          </w:tcPr>
          <w:p>
            <w:pPr>
              <w:pStyle w:val="Normal"/>
              <w:jc w:val="center"/>
              <w:rPr>
                <w:b/>
                <w:bCs/>
                <w:color w:val="000000"/>
              </w:rPr>
            </w:pPr>
            <w:r>
              <w:rPr>
                <w:b/>
                <w:bCs/>
                <w:color w:val="000000"/>
              </w:rPr>
              <w:t>4.83</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3.73</w:t>
            </w:r>
          </w:p>
        </w:tc>
        <w:tc>
          <w:tcPr>
            <w:tcW w:w="1505" w:type="dxa"/>
            <w:tcBorders>
              <w:start w:val="single" w:sz="4" w:space="0" w:color="000000"/>
              <w:bottom w:val="single" w:sz="4" w:space="0" w:color="000000"/>
              <w:end w:val="single" w:sz="4" w:space="0" w:color="000000"/>
            </w:tcBorders>
          </w:tcPr>
          <w:p>
            <w:pPr>
              <w:pStyle w:val="Normal"/>
              <w:jc w:val="center"/>
              <w:rPr>
                <w:b/>
                <w:bCs/>
                <w:color w:val="000000"/>
              </w:rPr>
            </w:pPr>
            <w:r>
              <w:rPr>
                <w:b/>
                <w:bCs/>
                <w:color w:val="000000"/>
              </w:rPr>
              <w:t>3.46</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50">
            <wp:simplePos x="0" y="0"/>
            <wp:positionH relativeFrom="column">
              <wp:align>center</wp:align>
            </wp:positionH>
            <wp:positionV relativeFrom="paragraph">
              <wp:posOffset>635</wp:posOffset>
            </wp:positionV>
            <wp:extent cx="5759450" cy="3239770"/>
            <wp:effectExtent l="0" t="0" r="0" b="0"/>
            <wp:wrapSquare wrapText="largest"/>
            <wp:docPr id="7" name="Object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iv) Gearning</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Debt to Equity Ratio:</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 xml:space="preserve">Formula : Debt to Equity Ratio = </w:t>
      </w:r>
      <w:r>
        <w:rPr>
          <w:rFonts w:eastAsia="Times New Roman" w:cs="Times New Roman"/>
          <w:color w:val="000000"/>
          <w:sz w:val="24"/>
          <w:szCs w:val="24"/>
        </w:rPr>
        <w:t>Total Liabilities</w:t>
      </w:r>
      <w:r>
        <w:rPr>
          <w:rFonts w:eastAsia="Times New Roman" w:cs="Times New Roman"/>
          <w:sz w:val="24"/>
          <w:szCs w:val="24"/>
        </w:rPr>
        <w:t xml:space="preserve"> / </w:t>
      </w:r>
      <w:r>
        <w:rPr>
          <w:rFonts w:eastAsia="Times New Roman" w:cs="Times New Roman"/>
          <w:color w:val="000000"/>
          <w:sz w:val="24"/>
          <w:szCs w:val="24"/>
        </w:rPr>
        <w:t>Shareholders Equity</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 xml:space="preserve">Debt to Equity Ratio = </w:t>
      </w:r>
      <w:r>
        <w:rPr>
          <w:rFonts w:eastAsia="Times New Roman" w:cs="Times New Roman"/>
          <w:color w:val="000000"/>
          <w:sz w:val="24"/>
          <w:szCs w:val="24"/>
        </w:rPr>
        <w:t>170,249</w:t>
      </w:r>
      <w:r>
        <w:rPr>
          <w:rFonts w:eastAsia="Times New Roman" w:cs="Times New Roman"/>
          <w:sz w:val="24"/>
          <w:szCs w:val="24"/>
        </w:rPr>
        <w:t xml:space="preserve"> / </w:t>
      </w:r>
      <w:r>
        <w:rPr>
          <w:rFonts w:eastAsia="Times New Roman" w:cs="Times New Roman"/>
          <w:color w:val="000000"/>
          <w:sz w:val="24"/>
          <w:szCs w:val="24"/>
        </w:rPr>
        <w:t xml:space="preserve">153105 </w:t>
      </w:r>
      <w:r>
        <w:rPr>
          <w:rFonts w:eastAsia="Times New Roman" w:cs="Times New Roman"/>
          <w:sz w:val="24"/>
          <w:szCs w:val="24"/>
        </w:rPr>
        <w:t>= 1.11</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color w:val="000000"/>
              </w:rPr>
            </w:pPr>
            <w:r>
              <w:rPr>
                <w:color w:val="000000"/>
              </w:rPr>
              <w:t>Total Liabilities</w:t>
            </w:r>
          </w:p>
        </w:tc>
        <w:tc>
          <w:tcPr>
            <w:tcW w:w="1504" w:type="dxa"/>
            <w:tcBorders>
              <w:start w:val="single" w:sz="4" w:space="0" w:color="000000"/>
              <w:bottom w:val="single" w:sz="4" w:space="0" w:color="000000"/>
            </w:tcBorders>
          </w:tcPr>
          <w:p>
            <w:pPr>
              <w:pStyle w:val="Normal"/>
              <w:jc w:val="center"/>
              <w:rPr>
                <w:color w:val="000000"/>
              </w:rPr>
            </w:pPr>
            <w:r>
              <w:rPr>
                <w:color w:val="000000"/>
              </w:rPr>
              <w:t>196,989</w:t>
            </w:r>
          </w:p>
        </w:tc>
        <w:tc>
          <w:tcPr>
            <w:tcW w:w="1504" w:type="dxa"/>
            <w:tcBorders>
              <w:start w:val="single" w:sz="4" w:space="0" w:color="000000"/>
              <w:bottom w:val="single" w:sz="4" w:space="0" w:color="000000"/>
            </w:tcBorders>
          </w:tcPr>
          <w:p>
            <w:pPr>
              <w:pStyle w:val="Normal"/>
              <w:jc w:val="center"/>
              <w:rPr>
                <w:color w:val="000000"/>
              </w:rPr>
            </w:pPr>
            <w:r>
              <w:rPr>
                <w:color w:val="000000"/>
              </w:rPr>
              <w:t>234,399</w:t>
            </w:r>
          </w:p>
        </w:tc>
        <w:tc>
          <w:tcPr>
            <w:tcW w:w="1505" w:type="dxa"/>
            <w:tcBorders>
              <w:start w:val="single" w:sz="4" w:space="0" w:color="000000"/>
              <w:bottom w:val="single" w:sz="4" w:space="0" w:color="000000"/>
            </w:tcBorders>
          </w:tcPr>
          <w:p>
            <w:pPr>
              <w:pStyle w:val="Normal"/>
              <w:jc w:val="center"/>
              <w:rPr>
                <w:color w:val="000000"/>
              </w:rPr>
            </w:pPr>
            <w:r>
              <w:rPr>
                <w:color w:val="000000"/>
              </w:rPr>
              <w:t>235,757</w:t>
            </w:r>
          </w:p>
        </w:tc>
        <w:tc>
          <w:tcPr>
            <w:tcW w:w="1504" w:type="dxa"/>
            <w:tcBorders>
              <w:start w:val="single" w:sz="4" w:space="0" w:color="000000"/>
              <w:bottom w:val="single" w:sz="4" w:space="0" w:color="000000"/>
            </w:tcBorders>
          </w:tcPr>
          <w:p>
            <w:pPr>
              <w:pStyle w:val="Normal"/>
              <w:jc w:val="center"/>
              <w:rPr>
                <w:color w:val="000000"/>
              </w:rPr>
            </w:pPr>
            <w:r>
              <w:rPr>
                <w:color w:val="000000"/>
              </w:rPr>
              <w:t>176,952</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170,249</w:t>
            </w:r>
          </w:p>
        </w:tc>
      </w:tr>
      <w:tr>
        <w:trPr/>
        <w:tc>
          <w:tcPr>
            <w:tcW w:w="1504" w:type="dxa"/>
            <w:tcBorders>
              <w:start w:val="single" w:sz="4" w:space="0" w:color="000000"/>
              <w:bottom w:val="single" w:sz="4" w:space="0" w:color="000000"/>
            </w:tcBorders>
          </w:tcPr>
          <w:p>
            <w:pPr>
              <w:pStyle w:val="Normal"/>
              <w:rPr>
                <w:color w:val="000000"/>
              </w:rPr>
            </w:pPr>
            <w:r>
              <w:rPr>
                <w:color w:val="000000"/>
              </w:rPr>
              <w:t>Shareholders Equity</w:t>
            </w:r>
          </w:p>
        </w:tc>
        <w:tc>
          <w:tcPr>
            <w:tcW w:w="1504" w:type="dxa"/>
            <w:tcBorders>
              <w:start w:val="single" w:sz="4" w:space="0" w:color="000000"/>
              <w:bottom w:val="single" w:sz="4" w:space="0" w:color="000000"/>
            </w:tcBorders>
          </w:tcPr>
          <w:p>
            <w:pPr>
              <w:pStyle w:val="Normal"/>
              <w:jc w:val="center"/>
              <w:rPr>
                <w:color w:val="000000"/>
              </w:rPr>
            </w:pPr>
            <w:r>
              <w:rPr>
                <w:color w:val="000000"/>
              </w:rPr>
              <w:t>313301</w:t>
            </w:r>
          </w:p>
        </w:tc>
        <w:tc>
          <w:tcPr>
            <w:tcW w:w="1504" w:type="dxa"/>
            <w:tcBorders>
              <w:start w:val="single" w:sz="4" w:space="0" w:color="000000"/>
              <w:bottom w:val="single" w:sz="4" w:space="0" w:color="000000"/>
            </w:tcBorders>
          </w:tcPr>
          <w:p>
            <w:pPr>
              <w:pStyle w:val="Normal"/>
              <w:jc w:val="center"/>
              <w:rPr>
                <w:color w:val="000000"/>
              </w:rPr>
            </w:pPr>
            <w:r>
              <w:rPr>
                <w:color w:val="000000"/>
              </w:rPr>
              <w:t>275949</w:t>
            </w:r>
          </w:p>
        </w:tc>
        <w:tc>
          <w:tcPr>
            <w:tcW w:w="1505" w:type="dxa"/>
            <w:tcBorders>
              <w:start w:val="single" w:sz="4" w:space="0" w:color="000000"/>
              <w:bottom w:val="single" w:sz="4" w:space="0" w:color="000000"/>
            </w:tcBorders>
          </w:tcPr>
          <w:p>
            <w:pPr>
              <w:pStyle w:val="Normal"/>
              <w:jc w:val="center"/>
              <w:rPr>
                <w:color w:val="000000"/>
              </w:rPr>
            </w:pPr>
            <w:r>
              <w:rPr>
                <w:color w:val="000000"/>
              </w:rPr>
              <w:t>268406</w:t>
            </w:r>
          </w:p>
        </w:tc>
        <w:tc>
          <w:tcPr>
            <w:tcW w:w="1504" w:type="dxa"/>
            <w:tcBorders>
              <w:start w:val="single" w:sz="4" w:space="0" w:color="000000"/>
              <w:bottom w:val="single" w:sz="4" w:space="0" w:color="000000"/>
            </w:tcBorders>
          </w:tcPr>
          <w:p>
            <w:pPr>
              <w:pStyle w:val="Normal"/>
              <w:jc w:val="center"/>
              <w:rPr>
                <w:color w:val="000000"/>
              </w:rPr>
            </w:pPr>
            <w:r>
              <w:rPr>
                <w:color w:val="000000"/>
              </w:rPr>
              <w:t>178920</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153105</w:t>
            </w:r>
          </w:p>
        </w:tc>
      </w:tr>
      <w:tr>
        <w:trPr/>
        <w:tc>
          <w:tcPr>
            <w:tcW w:w="1504" w:type="dxa"/>
            <w:tcBorders>
              <w:start w:val="single" w:sz="4" w:space="0" w:color="000000"/>
              <w:bottom w:val="single" w:sz="4" w:space="0" w:color="000000"/>
            </w:tcBorders>
          </w:tcPr>
          <w:p>
            <w:pPr>
              <w:pStyle w:val="Normal"/>
              <w:rPr>
                <w:b/>
                <w:bCs/>
                <w:color w:val="000000"/>
              </w:rPr>
            </w:pPr>
            <w:r>
              <w:rPr>
                <w:b/>
                <w:bCs/>
                <w:color w:val="000000"/>
              </w:rPr>
              <w:t>Debt to equity ratio</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0.63</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0.85</w:t>
            </w:r>
          </w:p>
        </w:tc>
        <w:tc>
          <w:tcPr>
            <w:tcW w:w="1505" w:type="dxa"/>
            <w:tcBorders>
              <w:start w:val="single" w:sz="4" w:space="0" w:color="000000"/>
              <w:bottom w:val="single" w:sz="4" w:space="0" w:color="000000"/>
            </w:tcBorders>
          </w:tcPr>
          <w:p>
            <w:pPr>
              <w:pStyle w:val="Normal"/>
              <w:jc w:val="center"/>
              <w:rPr>
                <w:b/>
                <w:bCs/>
                <w:color w:val="000000"/>
              </w:rPr>
            </w:pPr>
            <w:r>
              <w:rPr>
                <w:b/>
                <w:bCs/>
                <w:color w:val="000000"/>
              </w:rPr>
              <w:t>0.88</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0.99</w:t>
            </w:r>
          </w:p>
        </w:tc>
        <w:tc>
          <w:tcPr>
            <w:tcW w:w="1505" w:type="dxa"/>
            <w:tcBorders>
              <w:start w:val="single" w:sz="4" w:space="0" w:color="000000"/>
              <w:bottom w:val="single" w:sz="4" w:space="0" w:color="000000"/>
              <w:end w:val="single" w:sz="4" w:space="0" w:color="000000"/>
            </w:tcBorders>
          </w:tcPr>
          <w:p>
            <w:pPr>
              <w:pStyle w:val="Normal"/>
              <w:jc w:val="center"/>
              <w:rPr>
                <w:b/>
                <w:bCs/>
                <w:color w:val="000000"/>
              </w:rPr>
            </w:pPr>
            <w:r>
              <w:rPr>
                <w:b/>
                <w:bCs/>
                <w:color w:val="000000"/>
              </w:rPr>
              <w:t>1.11</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49">
            <wp:simplePos x="0" y="0"/>
            <wp:positionH relativeFrom="column">
              <wp:align>center</wp:align>
            </wp:positionH>
            <wp:positionV relativeFrom="paragraph">
              <wp:posOffset>635</wp:posOffset>
            </wp:positionV>
            <wp:extent cx="5759450" cy="3239770"/>
            <wp:effectExtent l="0" t="0" r="0" b="0"/>
            <wp:wrapSquare wrapText="largest"/>
            <wp:docPr id="8" name="Object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Interest Coverage Ratio:</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 xml:space="preserve">Formula : Interest Coverage Ratio = </w:t>
      </w:r>
      <w:r>
        <w:rPr>
          <w:rFonts w:eastAsia="Times New Roman" w:cs="Times New Roman"/>
          <w:color w:val="000000"/>
          <w:sz w:val="24"/>
          <w:szCs w:val="24"/>
        </w:rPr>
        <w:t>Operating income</w:t>
      </w:r>
      <w:r>
        <w:rPr>
          <w:rFonts w:eastAsia="Times New Roman" w:cs="Times New Roman"/>
          <w:sz w:val="24"/>
          <w:szCs w:val="24"/>
        </w:rPr>
        <w:t xml:space="preserve"> / </w:t>
      </w:r>
      <w:r>
        <w:rPr>
          <w:rFonts w:eastAsia="Times New Roman" w:cs="Times New Roman"/>
          <w:color w:val="000000"/>
          <w:sz w:val="24"/>
          <w:szCs w:val="24"/>
        </w:rPr>
        <w:t>Interest expense</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 xml:space="preserve">Interest Coverage Ratio = </w:t>
      </w:r>
      <w:r>
        <w:rPr>
          <w:rFonts w:eastAsia="Times New Roman" w:cs="Times New Roman"/>
          <w:color w:val="000000"/>
          <w:sz w:val="24"/>
          <w:szCs w:val="24"/>
        </w:rPr>
        <w:t>-15,297</w:t>
      </w:r>
      <w:r>
        <w:rPr>
          <w:rFonts w:eastAsia="Times New Roman" w:cs="Times New Roman"/>
          <w:sz w:val="24"/>
          <w:szCs w:val="24"/>
        </w:rPr>
        <w:t xml:space="preserve"> / </w:t>
      </w:r>
      <w:r>
        <w:rPr>
          <w:rFonts w:eastAsia="Times New Roman" w:cs="Times New Roman"/>
          <w:color w:val="000000"/>
          <w:sz w:val="24"/>
          <w:szCs w:val="24"/>
        </w:rPr>
        <w:t xml:space="preserve">3361 </w:t>
      </w:r>
      <w:r>
        <w:rPr>
          <w:rFonts w:eastAsia="Times New Roman" w:cs="Times New Roman"/>
          <w:sz w:val="24"/>
          <w:szCs w:val="24"/>
        </w:rPr>
        <w:t>= -4.55</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color w:val="000000"/>
              </w:rPr>
            </w:pPr>
            <w:r>
              <w:rPr>
                <w:color w:val="000000"/>
              </w:rPr>
              <w:t>Operating income</w:t>
            </w:r>
          </w:p>
        </w:tc>
        <w:tc>
          <w:tcPr>
            <w:tcW w:w="1504" w:type="dxa"/>
            <w:tcBorders>
              <w:start w:val="single" w:sz="4" w:space="0" w:color="000000"/>
              <w:bottom w:val="single" w:sz="4" w:space="0" w:color="000000"/>
            </w:tcBorders>
          </w:tcPr>
          <w:p>
            <w:pPr>
              <w:pStyle w:val="Normal"/>
              <w:jc w:val="center"/>
              <w:rPr>
                <w:color w:val="000000"/>
              </w:rPr>
            </w:pPr>
            <w:r>
              <w:rPr>
                <w:color w:val="000000"/>
              </w:rPr>
              <w:t>37,267</w:t>
            </w:r>
          </w:p>
        </w:tc>
        <w:tc>
          <w:tcPr>
            <w:tcW w:w="1504" w:type="dxa"/>
            <w:tcBorders>
              <w:start w:val="single" w:sz="4" w:space="0" w:color="000000"/>
              <w:bottom w:val="single" w:sz="4" w:space="0" w:color="000000"/>
            </w:tcBorders>
          </w:tcPr>
          <w:p>
            <w:pPr>
              <w:pStyle w:val="Normal"/>
              <w:jc w:val="center"/>
              <w:rPr>
                <w:color w:val="000000"/>
              </w:rPr>
            </w:pPr>
            <w:r>
              <w:rPr>
                <w:color w:val="000000"/>
              </w:rPr>
              <w:t>23,253</w:t>
            </w:r>
          </w:p>
        </w:tc>
        <w:tc>
          <w:tcPr>
            <w:tcW w:w="1505" w:type="dxa"/>
            <w:tcBorders>
              <w:start w:val="single" w:sz="4" w:space="0" w:color="000000"/>
              <w:bottom w:val="single" w:sz="4" w:space="0" w:color="000000"/>
            </w:tcBorders>
          </w:tcPr>
          <w:p>
            <w:pPr>
              <w:pStyle w:val="Normal"/>
              <w:jc w:val="center"/>
              <w:rPr>
                <w:color w:val="000000"/>
              </w:rPr>
            </w:pPr>
            <w:r>
              <w:rPr>
                <w:color w:val="000000"/>
              </w:rPr>
              <w:t>14,548</w:t>
            </w:r>
          </w:p>
        </w:tc>
        <w:tc>
          <w:tcPr>
            <w:tcW w:w="1504" w:type="dxa"/>
            <w:tcBorders>
              <w:start w:val="single" w:sz="4" w:space="0" w:color="000000"/>
              <w:bottom w:val="single" w:sz="4" w:space="0" w:color="000000"/>
            </w:tcBorders>
          </w:tcPr>
          <w:p>
            <w:pPr>
              <w:pStyle w:val="Normal"/>
              <w:jc w:val="center"/>
              <w:rPr>
                <w:color w:val="000000"/>
              </w:rPr>
            </w:pPr>
            <w:r>
              <w:rPr>
                <w:color w:val="000000"/>
              </w:rPr>
              <w:t>-85,301</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-15,297</w:t>
            </w:r>
          </w:p>
        </w:tc>
      </w:tr>
      <w:tr>
        <w:trPr/>
        <w:tc>
          <w:tcPr>
            <w:tcW w:w="1504" w:type="dxa"/>
            <w:tcBorders>
              <w:start w:val="single" w:sz="4" w:space="0" w:color="000000"/>
              <w:bottom w:val="single" w:sz="4" w:space="0" w:color="000000"/>
            </w:tcBorders>
          </w:tcPr>
          <w:p>
            <w:pPr>
              <w:pStyle w:val="Normal"/>
              <w:rPr>
                <w:color w:val="000000"/>
              </w:rPr>
            </w:pPr>
            <w:r>
              <w:rPr>
                <w:color w:val="000000"/>
              </w:rPr>
              <w:t>Interest expense</w:t>
            </w:r>
          </w:p>
        </w:tc>
        <w:tc>
          <w:tcPr>
            <w:tcW w:w="1504" w:type="dxa"/>
            <w:tcBorders>
              <w:start w:val="single" w:sz="4" w:space="0" w:color="000000"/>
              <w:bottom w:val="single" w:sz="4" w:space="0" w:color="000000"/>
            </w:tcBorders>
          </w:tcPr>
          <w:p>
            <w:pPr>
              <w:pStyle w:val="Normal"/>
              <w:jc w:val="center"/>
              <w:rPr>
                <w:color w:val="000000"/>
              </w:rPr>
            </w:pPr>
            <w:r>
              <w:rPr>
                <w:color w:val="000000"/>
              </w:rPr>
              <w:t>1422</w:t>
            </w:r>
          </w:p>
        </w:tc>
        <w:tc>
          <w:tcPr>
            <w:tcW w:w="1504" w:type="dxa"/>
            <w:tcBorders>
              <w:start w:val="single" w:sz="4" w:space="0" w:color="000000"/>
              <w:bottom w:val="single" w:sz="4" w:space="0" w:color="000000"/>
            </w:tcBorders>
          </w:tcPr>
          <w:p>
            <w:pPr>
              <w:pStyle w:val="Normal"/>
              <w:jc w:val="center"/>
              <w:rPr>
                <w:color w:val="000000"/>
              </w:rPr>
            </w:pPr>
            <w:r>
              <w:rPr>
                <w:color w:val="000000"/>
              </w:rPr>
              <w:t>566</w:t>
            </w:r>
          </w:p>
        </w:tc>
        <w:tc>
          <w:tcPr>
            <w:tcW w:w="1505" w:type="dxa"/>
            <w:tcBorders>
              <w:start w:val="single" w:sz="4" w:space="0" w:color="000000"/>
              <w:bottom w:val="single" w:sz="4" w:space="0" w:color="000000"/>
            </w:tcBorders>
          </w:tcPr>
          <w:p>
            <w:pPr>
              <w:pStyle w:val="Normal"/>
              <w:jc w:val="center"/>
              <w:rPr>
                <w:color w:val="000000"/>
              </w:rPr>
            </w:pPr>
            <w:r>
              <w:rPr>
                <w:color w:val="000000"/>
              </w:rPr>
              <w:t>2200</w:t>
            </w:r>
          </w:p>
        </w:tc>
        <w:tc>
          <w:tcPr>
            <w:tcW w:w="1504" w:type="dxa"/>
            <w:tcBorders>
              <w:start w:val="single" w:sz="4" w:space="0" w:color="000000"/>
              <w:bottom w:val="single" w:sz="4" w:space="0" w:color="000000"/>
            </w:tcBorders>
          </w:tcPr>
          <w:p>
            <w:pPr>
              <w:pStyle w:val="Normal"/>
              <w:jc w:val="center"/>
              <w:rPr>
                <w:color w:val="000000"/>
              </w:rPr>
            </w:pPr>
            <w:r>
              <w:rPr>
                <w:color w:val="000000"/>
              </w:rPr>
              <w:t>4332</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3361</w:t>
            </w:r>
          </w:p>
        </w:tc>
      </w:tr>
      <w:tr>
        <w:trPr/>
        <w:tc>
          <w:tcPr>
            <w:tcW w:w="1504" w:type="dxa"/>
            <w:tcBorders>
              <w:start w:val="single" w:sz="4" w:space="0" w:color="000000"/>
              <w:bottom w:val="single" w:sz="4" w:space="0" w:color="000000"/>
            </w:tcBorders>
          </w:tcPr>
          <w:p>
            <w:pPr>
              <w:pStyle w:val="Normal"/>
              <w:rPr>
                <w:b/>
                <w:bCs/>
                <w:color w:val="000000"/>
              </w:rPr>
            </w:pPr>
            <w:r>
              <w:rPr>
                <w:b/>
                <w:bCs/>
                <w:color w:val="000000"/>
              </w:rPr>
              <w:t>Interest coverage ratio</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26.21</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41.08</w:t>
            </w:r>
          </w:p>
        </w:tc>
        <w:tc>
          <w:tcPr>
            <w:tcW w:w="1505" w:type="dxa"/>
            <w:tcBorders>
              <w:start w:val="single" w:sz="4" w:space="0" w:color="000000"/>
              <w:bottom w:val="single" w:sz="4" w:space="0" w:color="000000"/>
            </w:tcBorders>
          </w:tcPr>
          <w:p>
            <w:pPr>
              <w:pStyle w:val="Normal"/>
              <w:jc w:val="center"/>
              <w:rPr>
                <w:b/>
                <w:bCs/>
                <w:color w:val="000000"/>
              </w:rPr>
            </w:pPr>
            <w:r>
              <w:rPr>
                <w:b/>
                <w:bCs/>
                <w:color w:val="000000"/>
              </w:rPr>
              <w:t>6.61</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-19.69</w:t>
            </w:r>
          </w:p>
        </w:tc>
        <w:tc>
          <w:tcPr>
            <w:tcW w:w="1505" w:type="dxa"/>
            <w:tcBorders>
              <w:start w:val="single" w:sz="4" w:space="0" w:color="000000"/>
              <w:bottom w:val="single" w:sz="4" w:space="0" w:color="000000"/>
              <w:end w:val="single" w:sz="4" w:space="0" w:color="000000"/>
            </w:tcBorders>
          </w:tcPr>
          <w:p>
            <w:pPr>
              <w:pStyle w:val="Normal"/>
              <w:jc w:val="center"/>
              <w:rPr>
                <w:b/>
                <w:bCs/>
                <w:color w:val="000000"/>
              </w:rPr>
            </w:pPr>
            <w:r>
              <w:rPr>
                <w:b/>
                <w:bCs/>
                <w:color w:val="000000"/>
              </w:rPr>
              <w:t>-4.55</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48">
            <wp:simplePos x="0" y="0"/>
            <wp:positionH relativeFrom="column">
              <wp:align>center</wp:align>
            </wp:positionH>
            <wp:positionV relativeFrom="paragraph">
              <wp:posOffset>635</wp:posOffset>
            </wp:positionV>
            <wp:extent cx="5759450" cy="3239770"/>
            <wp:effectExtent l="0" t="0" r="0" b="0"/>
            <wp:wrapSquare wrapText="largest"/>
            <wp:docPr id="9" name="Object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v) Investment</w:t>
      </w:r>
    </w:p>
    <w:p>
      <w:pPr>
        <w:pStyle w:val="Normal"/>
        <w:bidi w:val="0"/>
        <w:spacing w:lineRule="auto" w:line="360" w:before="0" w:after="200"/>
        <w:jc w:val="both"/>
        <w:rPr/>
      </w:pPr>
      <w:r>
        <w:rPr>
          <w:rFonts w:eastAsia="Times New Roman" w:cs="Times New Roman"/>
          <w:b/>
          <w:bCs/>
          <w:sz w:val="24"/>
          <w:szCs w:val="24"/>
        </w:rPr>
        <w:t>Earnings per Share:</w:t>
      </w:r>
      <w:r>
        <w:rPr>
          <w:rFonts w:eastAsia="Times New Roman" w:cs="Times New Roman"/>
          <w:sz w:val="24"/>
          <w:szCs w:val="24"/>
        </w:rPr>
        <w:t xml:space="preserve"> </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b/>
                <w:bCs/>
                <w:color w:val="000000"/>
              </w:rPr>
            </w:pPr>
            <w:r>
              <w:rPr>
                <w:b/>
                <w:bCs/>
                <w:color w:val="000000"/>
              </w:rPr>
              <w:t>Earnings per share</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2.78</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0.39</w:t>
            </w:r>
          </w:p>
        </w:tc>
        <w:tc>
          <w:tcPr>
            <w:tcW w:w="1505" w:type="dxa"/>
            <w:tcBorders>
              <w:start w:val="single" w:sz="4" w:space="0" w:color="000000"/>
              <w:bottom w:val="single" w:sz="4" w:space="0" w:color="000000"/>
            </w:tcBorders>
          </w:tcPr>
          <w:p>
            <w:pPr>
              <w:pStyle w:val="Normal"/>
              <w:jc w:val="center"/>
              <w:rPr>
                <w:b/>
                <w:bCs/>
                <w:color w:val="000000"/>
              </w:rPr>
            </w:pPr>
            <w:r>
              <w:rPr>
                <w:b/>
                <w:bCs/>
                <w:color w:val="000000"/>
              </w:rPr>
              <w:t>0.03</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-7.64</w:t>
            </w:r>
          </w:p>
        </w:tc>
        <w:tc>
          <w:tcPr>
            <w:tcW w:w="1505" w:type="dxa"/>
            <w:tcBorders>
              <w:start w:val="single" w:sz="4" w:space="0" w:color="000000"/>
              <w:bottom w:val="single" w:sz="4" w:space="0" w:color="000000"/>
              <w:end w:val="single" w:sz="4" w:space="0" w:color="000000"/>
            </w:tcBorders>
          </w:tcPr>
          <w:p>
            <w:pPr>
              <w:pStyle w:val="Normal"/>
              <w:jc w:val="center"/>
              <w:rPr>
                <w:b/>
                <w:bCs/>
                <w:color w:val="000000"/>
              </w:rPr>
            </w:pPr>
            <w:r>
              <w:rPr>
                <w:b/>
                <w:bCs/>
                <w:color w:val="000000"/>
              </w:rPr>
              <w:t>-1.85</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47">
            <wp:simplePos x="0" y="0"/>
            <wp:positionH relativeFrom="column">
              <wp:align>center</wp:align>
            </wp:positionH>
            <wp:positionV relativeFrom="paragraph">
              <wp:posOffset>635</wp:posOffset>
            </wp:positionV>
            <wp:extent cx="5759450" cy="3239770"/>
            <wp:effectExtent l="0" t="0" r="0" b="0"/>
            <wp:wrapSquare wrapText="largest"/>
            <wp:docPr id="10" name="Object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VI) Cashflow</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Operating Cash Flow Margin:</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Formula : Operating Cash Flow Margin = (</w:t>
      </w:r>
      <w:r>
        <w:rPr>
          <w:rFonts w:eastAsia="Times New Roman" w:cs="Times New Roman"/>
          <w:color w:val="000000"/>
          <w:sz w:val="24"/>
          <w:szCs w:val="24"/>
        </w:rPr>
        <w:t>Operating Cash Flow</w:t>
      </w:r>
      <w:r>
        <w:rPr>
          <w:rFonts w:eastAsia="Times New Roman" w:cs="Times New Roman"/>
          <w:sz w:val="24"/>
          <w:szCs w:val="24"/>
        </w:rPr>
        <w:t xml:space="preserve"> / </w:t>
      </w:r>
      <w:r>
        <w:rPr>
          <w:rFonts w:eastAsia="Times New Roman" w:cs="Times New Roman"/>
          <w:color w:val="000000"/>
          <w:sz w:val="24"/>
          <w:szCs w:val="24"/>
        </w:rPr>
        <w:t>Net Sales) x 100</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Operating Cash Flow Margin = (</w:t>
      </w:r>
      <w:r>
        <w:rPr>
          <w:rFonts w:eastAsia="Times New Roman" w:cs="Times New Roman"/>
          <w:color w:val="000000"/>
          <w:sz w:val="24"/>
          <w:szCs w:val="24"/>
        </w:rPr>
        <w:t>14,822 / 394879</w:t>
      </w:r>
      <w:r>
        <w:rPr>
          <w:rFonts w:eastAsia="Times New Roman" w:cs="Times New Roman"/>
          <w:sz w:val="24"/>
          <w:szCs w:val="24"/>
        </w:rPr>
        <w:t>) x 100</w:t>
      </w:r>
      <w:r>
        <w:rPr>
          <w:rFonts w:eastAsia="Times New Roman" w:cs="Times New Roman"/>
          <w:color w:val="000000"/>
          <w:sz w:val="24"/>
          <w:szCs w:val="24"/>
        </w:rPr>
        <w:t xml:space="preserve"> </w:t>
      </w:r>
      <w:r>
        <w:rPr>
          <w:rFonts w:eastAsia="Times New Roman" w:cs="Times New Roman"/>
          <w:sz w:val="24"/>
          <w:szCs w:val="24"/>
        </w:rPr>
        <w:t>= 3.75%</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color w:val="000000"/>
              </w:rPr>
            </w:pPr>
            <w:r>
              <w:rPr>
                <w:color w:val="000000"/>
              </w:rPr>
              <w:t>Operating Cash Flow</w:t>
            </w:r>
          </w:p>
        </w:tc>
        <w:tc>
          <w:tcPr>
            <w:tcW w:w="1504" w:type="dxa"/>
            <w:tcBorders>
              <w:start w:val="single" w:sz="4" w:space="0" w:color="000000"/>
              <w:bottom w:val="single" w:sz="4" w:space="0" w:color="000000"/>
            </w:tcBorders>
          </w:tcPr>
          <w:p>
            <w:pPr>
              <w:pStyle w:val="Normal"/>
              <w:jc w:val="center"/>
              <w:rPr>
                <w:color w:val="000000"/>
              </w:rPr>
            </w:pPr>
            <w:r>
              <w:rPr>
                <w:color w:val="000000"/>
              </w:rPr>
              <w:t>73,392</w:t>
            </w:r>
          </w:p>
        </w:tc>
        <w:tc>
          <w:tcPr>
            <w:tcW w:w="1504" w:type="dxa"/>
            <w:tcBorders>
              <w:start w:val="single" w:sz="4" w:space="0" w:color="000000"/>
              <w:bottom w:val="single" w:sz="4" w:space="0" w:color="000000"/>
            </w:tcBorders>
          </w:tcPr>
          <w:p>
            <w:pPr>
              <w:pStyle w:val="Normal"/>
              <w:jc w:val="center"/>
              <w:rPr>
                <w:color w:val="000000"/>
              </w:rPr>
            </w:pPr>
            <w:r>
              <w:rPr>
                <w:color w:val="000000"/>
              </w:rPr>
              <w:t>40,283</w:t>
            </w:r>
          </w:p>
        </w:tc>
        <w:tc>
          <w:tcPr>
            <w:tcW w:w="1505" w:type="dxa"/>
            <w:tcBorders>
              <w:start w:val="single" w:sz="4" w:space="0" w:color="000000"/>
              <w:bottom w:val="single" w:sz="4" w:space="0" w:color="000000"/>
            </w:tcBorders>
          </w:tcPr>
          <w:p>
            <w:pPr>
              <w:pStyle w:val="Normal"/>
              <w:jc w:val="center"/>
              <w:rPr>
                <w:color w:val="000000"/>
              </w:rPr>
            </w:pPr>
            <w:r>
              <w:rPr>
                <w:color w:val="000000"/>
              </w:rPr>
              <w:t>10,926</w:t>
            </w:r>
          </w:p>
        </w:tc>
        <w:tc>
          <w:tcPr>
            <w:tcW w:w="1504" w:type="dxa"/>
            <w:tcBorders>
              <w:start w:val="single" w:sz="4" w:space="0" w:color="000000"/>
              <w:bottom w:val="single" w:sz="4" w:space="0" w:color="000000"/>
            </w:tcBorders>
          </w:tcPr>
          <w:p>
            <w:pPr>
              <w:pStyle w:val="Normal"/>
              <w:jc w:val="center"/>
              <w:rPr>
                <w:color w:val="000000"/>
              </w:rPr>
            </w:pPr>
            <w:r>
              <w:rPr>
                <w:color w:val="000000"/>
              </w:rPr>
              <w:t>25,190</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14,822</w:t>
            </w:r>
          </w:p>
        </w:tc>
      </w:tr>
      <w:tr>
        <w:trPr/>
        <w:tc>
          <w:tcPr>
            <w:tcW w:w="1504" w:type="dxa"/>
            <w:tcBorders>
              <w:start w:val="single" w:sz="4" w:space="0" w:color="000000"/>
              <w:bottom w:val="single" w:sz="4" w:space="0" w:color="000000"/>
            </w:tcBorders>
          </w:tcPr>
          <w:p>
            <w:pPr>
              <w:pStyle w:val="Normal"/>
              <w:rPr>
                <w:color w:val="000000"/>
              </w:rPr>
            </w:pPr>
            <w:r>
              <w:rPr>
                <w:color w:val="000000"/>
              </w:rPr>
              <w:t>Net sales</w:t>
            </w:r>
          </w:p>
        </w:tc>
        <w:tc>
          <w:tcPr>
            <w:tcW w:w="1504" w:type="dxa"/>
            <w:tcBorders>
              <w:start w:val="single" w:sz="4" w:space="0" w:color="000000"/>
              <w:bottom w:val="single" w:sz="4" w:space="0" w:color="000000"/>
            </w:tcBorders>
          </w:tcPr>
          <w:p>
            <w:pPr>
              <w:pStyle w:val="Normal"/>
              <w:jc w:val="center"/>
              <w:rPr>
                <w:color w:val="000000"/>
              </w:rPr>
            </w:pPr>
            <w:r>
              <w:rPr>
                <w:color w:val="000000"/>
              </w:rPr>
              <w:t>614680</w:t>
            </w:r>
          </w:p>
        </w:tc>
        <w:tc>
          <w:tcPr>
            <w:tcW w:w="1504" w:type="dxa"/>
            <w:tcBorders>
              <w:start w:val="single" w:sz="4" w:space="0" w:color="000000"/>
              <w:bottom w:val="single" w:sz="4" w:space="0" w:color="000000"/>
            </w:tcBorders>
          </w:tcPr>
          <w:p>
            <w:pPr>
              <w:pStyle w:val="Normal"/>
              <w:jc w:val="center"/>
              <w:rPr>
                <w:color w:val="000000"/>
              </w:rPr>
            </w:pPr>
            <w:r>
              <w:rPr>
                <w:color w:val="000000"/>
              </w:rPr>
              <w:t>601602</w:t>
            </w:r>
          </w:p>
        </w:tc>
        <w:tc>
          <w:tcPr>
            <w:tcW w:w="1505" w:type="dxa"/>
            <w:tcBorders>
              <w:start w:val="single" w:sz="4" w:space="0" w:color="000000"/>
              <w:bottom w:val="single" w:sz="4" w:space="0" w:color="000000"/>
            </w:tcBorders>
          </w:tcPr>
          <w:p>
            <w:pPr>
              <w:pStyle w:val="Normal"/>
              <w:jc w:val="center"/>
              <w:rPr>
                <w:color w:val="000000"/>
              </w:rPr>
            </w:pPr>
            <w:r>
              <w:rPr>
                <w:color w:val="000000"/>
              </w:rPr>
              <w:t>542751</w:t>
            </w:r>
          </w:p>
        </w:tc>
        <w:tc>
          <w:tcPr>
            <w:tcW w:w="1504" w:type="dxa"/>
            <w:tcBorders>
              <w:start w:val="single" w:sz="4" w:space="0" w:color="000000"/>
              <w:bottom w:val="single" w:sz="4" w:space="0" w:color="000000"/>
            </w:tcBorders>
          </w:tcPr>
          <w:p>
            <w:pPr>
              <w:pStyle w:val="Normal"/>
              <w:jc w:val="center"/>
              <w:rPr>
                <w:color w:val="000000"/>
              </w:rPr>
            </w:pPr>
            <w:r>
              <w:rPr>
                <w:color w:val="000000"/>
              </w:rPr>
              <w:t>420457</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394879</w:t>
            </w:r>
          </w:p>
        </w:tc>
      </w:tr>
      <w:tr>
        <w:trPr>
          <w:trHeight w:val="85" w:hRule="atLeast"/>
        </w:trPr>
        <w:tc>
          <w:tcPr>
            <w:tcW w:w="1504" w:type="dxa"/>
            <w:tcBorders>
              <w:start w:val="single" w:sz="4" w:space="0" w:color="000000"/>
              <w:bottom w:val="single" w:sz="4" w:space="0" w:color="000000"/>
            </w:tcBorders>
          </w:tcPr>
          <w:p>
            <w:pPr>
              <w:pStyle w:val="Normal"/>
              <w:rPr>
                <w:b/>
                <w:bCs/>
                <w:color w:val="000000"/>
              </w:rPr>
            </w:pPr>
            <w:r>
              <w:rPr>
                <w:b/>
                <w:bCs/>
                <w:color w:val="000000"/>
              </w:rPr>
              <w:t>Operating Cash Flow Margin</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11.94</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6.70</w:t>
            </w:r>
          </w:p>
        </w:tc>
        <w:tc>
          <w:tcPr>
            <w:tcW w:w="1505" w:type="dxa"/>
            <w:tcBorders>
              <w:start w:val="single" w:sz="4" w:space="0" w:color="000000"/>
              <w:bottom w:val="single" w:sz="4" w:space="0" w:color="000000"/>
            </w:tcBorders>
          </w:tcPr>
          <w:p>
            <w:pPr>
              <w:pStyle w:val="Normal"/>
              <w:jc w:val="center"/>
              <w:rPr>
                <w:b/>
                <w:bCs/>
                <w:color w:val="000000"/>
              </w:rPr>
            </w:pPr>
            <w:r>
              <w:rPr>
                <w:b/>
                <w:bCs/>
                <w:color w:val="000000"/>
              </w:rPr>
              <w:t>2.01</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5.99</w:t>
            </w:r>
          </w:p>
        </w:tc>
        <w:tc>
          <w:tcPr>
            <w:tcW w:w="1505" w:type="dxa"/>
            <w:tcBorders>
              <w:start w:val="single" w:sz="4" w:space="0" w:color="000000"/>
              <w:bottom w:val="single" w:sz="4" w:space="0" w:color="000000"/>
              <w:end w:val="single" w:sz="4" w:space="0" w:color="000000"/>
            </w:tcBorders>
          </w:tcPr>
          <w:p>
            <w:pPr>
              <w:pStyle w:val="Normal"/>
              <w:jc w:val="center"/>
              <w:rPr>
                <w:b/>
                <w:bCs/>
                <w:color w:val="000000"/>
              </w:rPr>
            </w:pPr>
            <w:r>
              <w:rPr>
                <w:b/>
                <w:bCs/>
                <w:color w:val="000000"/>
              </w:rPr>
              <w:t>3.75</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46">
            <wp:simplePos x="0" y="0"/>
            <wp:positionH relativeFrom="column">
              <wp:posOffset>-9525</wp:posOffset>
            </wp:positionH>
            <wp:positionV relativeFrom="paragraph">
              <wp:posOffset>3810</wp:posOffset>
            </wp:positionV>
            <wp:extent cx="6136005" cy="3830955"/>
            <wp:effectExtent l="0" t="0" r="0" b="0"/>
            <wp:wrapSquare wrapText="largest"/>
            <wp:docPr id="11" name="Object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Free Cash Flow Margin:</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 xml:space="preserve">Formula : Operating Cash Flow Margin = </w:t>
      </w:r>
      <w:r>
        <w:rPr>
          <w:rFonts w:eastAsia="Times New Roman" w:cs="Times New Roman"/>
          <w:color w:val="000000"/>
          <w:sz w:val="24"/>
          <w:szCs w:val="24"/>
        </w:rPr>
        <w:t>((Operating Cash Flow - Capital Expenditure) / Net sales) x 100</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Operating Cash Flow Margin = ((</w:t>
      </w:r>
      <w:r>
        <w:rPr>
          <w:rFonts w:eastAsia="Times New Roman" w:cs="Times New Roman"/>
          <w:color w:val="000000"/>
          <w:sz w:val="24"/>
          <w:szCs w:val="24"/>
        </w:rPr>
        <w:t>14,822 - 4572) / 394879</w:t>
      </w:r>
      <w:r>
        <w:rPr>
          <w:rFonts w:eastAsia="Times New Roman" w:cs="Times New Roman"/>
          <w:sz w:val="24"/>
          <w:szCs w:val="24"/>
        </w:rPr>
        <w:t>) x 100</w:t>
      </w:r>
      <w:r>
        <w:rPr>
          <w:rFonts w:eastAsia="Times New Roman" w:cs="Times New Roman"/>
          <w:color w:val="000000"/>
          <w:sz w:val="24"/>
          <w:szCs w:val="24"/>
        </w:rPr>
        <w:t xml:space="preserve"> </w:t>
      </w:r>
      <w:r>
        <w:rPr>
          <w:rFonts w:eastAsia="Times New Roman" w:cs="Times New Roman"/>
          <w:sz w:val="24"/>
          <w:szCs w:val="24"/>
        </w:rPr>
        <w:t>= 2.60%</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color w:val="000000"/>
              </w:rPr>
            </w:pPr>
            <w:r>
              <w:rPr>
                <w:color w:val="000000"/>
              </w:rPr>
              <w:t>Operating Cash Flow</w:t>
            </w:r>
          </w:p>
        </w:tc>
        <w:tc>
          <w:tcPr>
            <w:tcW w:w="1504" w:type="dxa"/>
            <w:tcBorders>
              <w:start w:val="single" w:sz="4" w:space="0" w:color="000000"/>
              <w:bottom w:val="single" w:sz="4" w:space="0" w:color="000000"/>
            </w:tcBorders>
          </w:tcPr>
          <w:p>
            <w:pPr>
              <w:pStyle w:val="Normal"/>
              <w:jc w:val="center"/>
              <w:rPr>
                <w:color w:val="000000"/>
              </w:rPr>
            </w:pPr>
            <w:r>
              <w:rPr>
                <w:color w:val="000000"/>
              </w:rPr>
              <w:t>73,392</w:t>
            </w:r>
          </w:p>
        </w:tc>
        <w:tc>
          <w:tcPr>
            <w:tcW w:w="1504" w:type="dxa"/>
            <w:tcBorders>
              <w:start w:val="single" w:sz="4" w:space="0" w:color="000000"/>
              <w:bottom w:val="single" w:sz="4" w:space="0" w:color="000000"/>
            </w:tcBorders>
          </w:tcPr>
          <w:p>
            <w:pPr>
              <w:pStyle w:val="Normal"/>
              <w:jc w:val="center"/>
              <w:rPr>
                <w:color w:val="000000"/>
              </w:rPr>
            </w:pPr>
            <w:r>
              <w:rPr>
                <w:color w:val="000000"/>
              </w:rPr>
              <w:t>40,283</w:t>
            </w:r>
          </w:p>
        </w:tc>
        <w:tc>
          <w:tcPr>
            <w:tcW w:w="1505" w:type="dxa"/>
            <w:tcBorders>
              <w:start w:val="single" w:sz="4" w:space="0" w:color="000000"/>
              <w:bottom w:val="single" w:sz="4" w:space="0" w:color="000000"/>
            </w:tcBorders>
          </w:tcPr>
          <w:p>
            <w:pPr>
              <w:pStyle w:val="Normal"/>
              <w:jc w:val="center"/>
              <w:rPr>
                <w:color w:val="000000"/>
              </w:rPr>
            </w:pPr>
            <w:r>
              <w:rPr>
                <w:color w:val="000000"/>
              </w:rPr>
              <w:t>10,926</w:t>
            </w:r>
          </w:p>
        </w:tc>
        <w:tc>
          <w:tcPr>
            <w:tcW w:w="1504" w:type="dxa"/>
            <w:tcBorders>
              <w:start w:val="single" w:sz="4" w:space="0" w:color="000000"/>
              <w:bottom w:val="single" w:sz="4" w:space="0" w:color="000000"/>
            </w:tcBorders>
          </w:tcPr>
          <w:p>
            <w:pPr>
              <w:pStyle w:val="Normal"/>
              <w:jc w:val="center"/>
              <w:rPr>
                <w:color w:val="000000"/>
              </w:rPr>
            </w:pPr>
            <w:r>
              <w:rPr>
                <w:color w:val="000000"/>
              </w:rPr>
              <w:t>25,190</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14,822</w:t>
            </w:r>
          </w:p>
        </w:tc>
      </w:tr>
      <w:tr>
        <w:trPr/>
        <w:tc>
          <w:tcPr>
            <w:tcW w:w="1504" w:type="dxa"/>
            <w:tcBorders>
              <w:start w:val="single" w:sz="4" w:space="0" w:color="000000"/>
              <w:bottom w:val="single" w:sz="4" w:space="0" w:color="000000"/>
            </w:tcBorders>
          </w:tcPr>
          <w:p>
            <w:pPr>
              <w:pStyle w:val="Normal"/>
              <w:rPr>
                <w:color w:val="000000"/>
              </w:rPr>
            </w:pPr>
            <w:r>
              <w:rPr>
                <w:color w:val="000000"/>
              </w:rPr>
              <w:t>Capital expenditure</w:t>
            </w:r>
          </w:p>
        </w:tc>
        <w:tc>
          <w:tcPr>
            <w:tcW w:w="1504" w:type="dxa"/>
            <w:tcBorders>
              <w:start w:val="single" w:sz="4" w:space="0" w:color="000000"/>
              <w:bottom w:val="single" w:sz="4" w:space="0" w:color="000000"/>
            </w:tcBorders>
          </w:tcPr>
          <w:p>
            <w:pPr>
              <w:pStyle w:val="Normal"/>
              <w:jc w:val="center"/>
              <w:rPr>
                <w:color w:val="000000"/>
              </w:rPr>
            </w:pPr>
            <w:r>
              <w:rPr>
                <w:color w:val="000000"/>
              </w:rPr>
              <w:t>16862</w:t>
            </w:r>
          </w:p>
        </w:tc>
        <w:tc>
          <w:tcPr>
            <w:tcW w:w="1504" w:type="dxa"/>
            <w:tcBorders>
              <w:start w:val="single" w:sz="4" w:space="0" w:color="000000"/>
              <w:bottom w:val="single" w:sz="4" w:space="0" w:color="000000"/>
            </w:tcBorders>
          </w:tcPr>
          <w:p>
            <w:pPr>
              <w:pStyle w:val="Normal"/>
              <w:jc w:val="center"/>
              <w:rPr>
                <w:color w:val="000000"/>
              </w:rPr>
            </w:pPr>
            <w:r>
              <w:rPr>
                <w:color w:val="000000"/>
              </w:rPr>
              <w:t>12586</w:t>
            </w:r>
          </w:p>
        </w:tc>
        <w:tc>
          <w:tcPr>
            <w:tcW w:w="1505" w:type="dxa"/>
            <w:tcBorders>
              <w:start w:val="single" w:sz="4" w:space="0" w:color="000000"/>
              <w:bottom w:val="single" w:sz="4" w:space="0" w:color="000000"/>
            </w:tcBorders>
          </w:tcPr>
          <w:p>
            <w:pPr>
              <w:pStyle w:val="Normal"/>
              <w:jc w:val="center"/>
              <w:rPr>
                <w:color w:val="000000"/>
              </w:rPr>
            </w:pPr>
            <w:r>
              <w:rPr>
                <w:color w:val="000000"/>
              </w:rPr>
              <w:t>14006</w:t>
            </w:r>
          </w:p>
        </w:tc>
        <w:tc>
          <w:tcPr>
            <w:tcW w:w="1504" w:type="dxa"/>
            <w:tcBorders>
              <w:start w:val="single" w:sz="4" w:space="0" w:color="000000"/>
              <w:bottom w:val="single" w:sz="4" w:space="0" w:color="000000"/>
            </w:tcBorders>
          </w:tcPr>
          <w:p>
            <w:pPr>
              <w:pStyle w:val="Normal"/>
              <w:jc w:val="center"/>
              <w:rPr>
                <w:color w:val="000000"/>
              </w:rPr>
            </w:pPr>
            <w:r>
              <w:rPr>
                <w:color w:val="000000"/>
              </w:rPr>
              <w:t>8116</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4572</w:t>
            </w:r>
          </w:p>
        </w:tc>
      </w:tr>
      <w:tr>
        <w:trPr>
          <w:trHeight w:val="85" w:hRule="atLeast"/>
        </w:trPr>
        <w:tc>
          <w:tcPr>
            <w:tcW w:w="1504" w:type="dxa"/>
            <w:tcBorders>
              <w:start w:val="single" w:sz="4" w:space="0" w:color="000000"/>
              <w:bottom w:val="single" w:sz="4" w:space="0" w:color="000000"/>
            </w:tcBorders>
          </w:tcPr>
          <w:p>
            <w:pPr>
              <w:pStyle w:val="Normal"/>
              <w:rPr>
                <w:color w:val="000000"/>
              </w:rPr>
            </w:pPr>
            <w:r>
              <w:rPr>
                <w:color w:val="000000"/>
              </w:rPr>
              <w:t>Net sales</w:t>
            </w:r>
          </w:p>
        </w:tc>
        <w:tc>
          <w:tcPr>
            <w:tcW w:w="1504" w:type="dxa"/>
            <w:tcBorders>
              <w:start w:val="single" w:sz="4" w:space="0" w:color="000000"/>
              <w:bottom w:val="single" w:sz="4" w:space="0" w:color="000000"/>
            </w:tcBorders>
          </w:tcPr>
          <w:p>
            <w:pPr>
              <w:pStyle w:val="Normal"/>
              <w:jc w:val="center"/>
              <w:rPr>
                <w:color w:val="000000"/>
              </w:rPr>
            </w:pPr>
            <w:r>
              <w:rPr>
                <w:color w:val="000000"/>
              </w:rPr>
              <w:t>614680</w:t>
            </w:r>
          </w:p>
        </w:tc>
        <w:tc>
          <w:tcPr>
            <w:tcW w:w="1504" w:type="dxa"/>
            <w:tcBorders>
              <w:start w:val="single" w:sz="4" w:space="0" w:color="000000"/>
              <w:bottom w:val="single" w:sz="4" w:space="0" w:color="000000"/>
            </w:tcBorders>
          </w:tcPr>
          <w:p>
            <w:pPr>
              <w:pStyle w:val="Normal"/>
              <w:jc w:val="center"/>
              <w:rPr>
                <w:color w:val="000000"/>
              </w:rPr>
            </w:pPr>
            <w:r>
              <w:rPr>
                <w:color w:val="000000"/>
              </w:rPr>
              <w:t>601602</w:t>
            </w:r>
          </w:p>
        </w:tc>
        <w:tc>
          <w:tcPr>
            <w:tcW w:w="1505" w:type="dxa"/>
            <w:tcBorders>
              <w:start w:val="single" w:sz="4" w:space="0" w:color="000000"/>
              <w:bottom w:val="single" w:sz="4" w:space="0" w:color="000000"/>
            </w:tcBorders>
          </w:tcPr>
          <w:p>
            <w:pPr>
              <w:pStyle w:val="Normal"/>
              <w:jc w:val="center"/>
              <w:rPr>
                <w:color w:val="000000"/>
              </w:rPr>
            </w:pPr>
            <w:r>
              <w:rPr>
                <w:color w:val="000000"/>
              </w:rPr>
              <w:t>14006</w:t>
            </w:r>
          </w:p>
        </w:tc>
        <w:tc>
          <w:tcPr>
            <w:tcW w:w="1504" w:type="dxa"/>
            <w:tcBorders>
              <w:start w:val="single" w:sz="4" w:space="0" w:color="000000"/>
              <w:bottom w:val="single" w:sz="4" w:space="0" w:color="000000"/>
            </w:tcBorders>
          </w:tcPr>
          <w:p>
            <w:pPr>
              <w:pStyle w:val="Normal"/>
              <w:jc w:val="center"/>
              <w:rPr>
                <w:color w:val="000000"/>
              </w:rPr>
            </w:pPr>
            <w:r>
              <w:rPr>
                <w:color w:val="000000"/>
              </w:rPr>
              <w:t>420457</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394879</w:t>
            </w:r>
          </w:p>
        </w:tc>
      </w:tr>
      <w:tr>
        <w:trPr>
          <w:trHeight w:val="85" w:hRule="atLeast"/>
        </w:trPr>
        <w:tc>
          <w:tcPr>
            <w:tcW w:w="1504" w:type="dxa"/>
            <w:tcBorders>
              <w:start w:val="single" w:sz="4" w:space="0" w:color="000000"/>
              <w:bottom w:val="single" w:sz="4" w:space="0" w:color="000000"/>
            </w:tcBorders>
          </w:tcPr>
          <w:p>
            <w:pPr>
              <w:pStyle w:val="Normal"/>
              <w:rPr>
                <w:b/>
                <w:bCs/>
                <w:color w:val="000000"/>
              </w:rPr>
            </w:pPr>
            <w:r>
              <w:rPr>
                <w:b/>
                <w:bCs/>
                <w:color w:val="000000"/>
              </w:rPr>
              <w:t>Free Cash Flow Margin</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9.20</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4.60</w:t>
            </w:r>
          </w:p>
        </w:tc>
        <w:tc>
          <w:tcPr>
            <w:tcW w:w="1505" w:type="dxa"/>
            <w:tcBorders>
              <w:start w:val="single" w:sz="4" w:space="0" w:color="000000"/>
              <w:bottom w:val="single" w:sz="4" w:space="0" w:color="000000"/>
            </w:tcBorders>
          </w:tcPr>
          <w:p>
            <w:pPr>
              <w:pStyle w:val="Normal"/>
              <w:jc w:val="center"/>
              <w:rPr>
                <w:b/>
                <w:bCs/>
                <w:color w:val="000000"/>
              </w:rPr>
            </w:pPr>
            <w:r>
              <w:rPr>
                <w:b/>
                <w:bCs/>
                <w:color w:val="000000"/>
              </w:rPr>
              <w:t>-21.99</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4.06</w:t>
            </w:r>
          </w:p>
        </w:tc>
        <w:tc>
          <w:tcPr>
            <w:tcW w:w="1505" w:type="dxa"/>
            <w:tcBorders>
              <w:start w:val="single" w:sz="4" w:space="0" w:color="000000"/>
              <w:bottom w:val="single" w:sz="4" w:space="0" w:color="000000"/>
              <w:end w:val="single" w:sz="4" w:space="0" w:color="000000"/>
            </w:tcBorders>
          </w:tcPr>
          <w:p>
            <w:pPr>
              <w:pStyle w:val="Normal"/>
              <w:jc w:val="center"/>
              <w:rPr>
                <w:b/>
                <w:bCs/>
                <w:color w:val="000000"/>
              </w:rPr>
            </w:pPr>
            <w:r>
              <w:rPr>
                <w:b/>
                <w:bCs/>
                <w:color w:val="000000"/>
              </w:rPr>
              <w:t>2.60</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45">
            <wp:simplePos x="0" y="0"/>
            <wp:positionH relativeFrom="column">
              <wp:align>center</wp:align>
            </wp:positionH>
            <wp:positionV relativeFrom="paragraph">
              <wp:posOffset>635</wp:posOffset>
            </wp:positionV>
            <wp:extent cx="5759450" cy="3239770"/>
            <wp:effectExtent l="0" t="0" r="0" b="0"/>
            <wp:wrapSquare wrapText="largest"/>
            <wp:docPr id="12" name="Object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r>
        <w:br w:type="page"/>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Appendix 2: Investment analysis</w:t>
      </w:r>
    </w:p>
    <w:p>
      <w:pPr>
        <w:pStyle w:val="Normal"/>
        <w:spacing w:lineRule="auto" w:line="360"/>
        <w:rPr>
          <w:b/>
          <w:bCs/>
          <w:color w:themeColor="dark1" w:val="000000"/>
          <w:sz w:val="24"/>
          <w:szCs w:val="24"/>
        </w:rPr>
      </w:pPr>
      <w:r>
        <w:rPr>
          <w:b/>
          <w:bCs/>
          <w:color w:themeColor="dark1" w:val="000000"/>
          <w:sz w:val="24"/>
          <w:szCs w:val="24"/>
        </w:rPr>
        <w:t>1. Project A (Initial Investment: £40,000,000)</w:t>
      </w:r>
    </w:p>
    <w:p>
      <w:pPr>
        <w:pStyle w:val="Normal"/>
        <w:spacing w:lineRule="auto" w:line="360"/>
        <w:rPr>
          <w:b/>
          <w:bCs/>
          <w:color w:themeColor="dark1" w:val="000000"/>
          <w:sz w:val="24"/>
          <w:szCs w:val="24"/>
        </w:rPr>
      </w:pPr>
      <w:r>
        <w:rPr>
          <w:b/>
          <w:bCs/>
          <w:color w:themeColor="dark1" w:val="000000"/>
          <w:sz w:val="24"/>
          <w:szCs w:val="24"/>
        </w:rPr>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Cash Inflows: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Year 1: £10m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Year 2: £12m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Year 3: £14m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4: £10m</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5: £8m</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Accounting Rate of Return (ARR):</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Total Cash Inflow: £10m+£12m+£14m+£10m+£8m = £54,000,000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Average Annual Cash Inflow: £54,000,000/5 years = £10,800,000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(£10,800,000/£40,000,000)×100 = 27.0%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Payback Period (PBP):</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Cumulative Cash Flow (Year 3): £10m+£12m+£14m=£36,000,000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Remaining to recover at start of Year 4: £40m−£36m=£4,000,000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Recovery Fraction: £4,000,000/£10,000,000 (Year 4 Inflow)=0.4 years</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3 years+0.4 years=3.4 years (3 years, 4.8 months)</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Net Present Value (NPV) @ 10%: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1 PV: £10,000,000×0.909=£9,090,000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2 PV: £12,000,000×0.826=£9,912,000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3 PV: £14,000,000×0.751=£10,514,000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4 PV: £10,000,000×0.683=£6,830,000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5 PV: £8,000,000×0.621=£4,968,000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Total Present Value (PV): £41,314,000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£41,314,000−£40,000,000= +£1,314,000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Profitability Index (PI):</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£41,314,000/£40,000,000=1.033</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Internal Rate of Return (IRR):</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Since NPV is positive at 10%, IRR must be higher than the discount rate.</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11.33%</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2. Project B (Initial Investment: £30,000,000)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val="false"/>
          <w:bCs w:val="false"/>
          <w:color w:themeColor="dark1" w:val="000000"/>
          <w:sz w:val="24"/>
          <w:szCs w:val="24"/>
        </w:rPr>
      </w:pPr>
      <w:r>
        <w:rPr>
          <w:b/>
          <w:bCs/>
          <w:color w:themeColor="dark1" w:val="000000"/>
          <w:sz w:val="24"/>
          <w:szCs w:val="24"/>
        </w:rPr>
        <w:t>Cash Inflows:</w:t>
      </w:r>
      <w:r>
        <w:rPr>
          <w:b w:val="false"/>
          <w:bCs w:val="false"/>
          <w:color w:themeColor="dark1" w:val="000000"/>
          <w:sz w:val="24"/>
          <w:szCs w:val="24"/>
        </w:rPr>
        <w:t xml:space="preserve">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1–5: £6,000,000 annually</w:t>
      </w:r>
    </w:p>
    <w:p>
      <w:pPr>
        <w:pStyle w:val="Normal"/>
        <w:bidi w:val="0"/>
        <w:spacing w:lineRule="auto" w:line="360"/>
        <w:rPr>
          <w:b/>
          <w:bCs/>
          <w:color w:themeColor="dark1" w:val="000000"/>
          <w:sz w:val="24"/>
          <w:szCs w:val="24"/>
        </w:rPr>
      </w:pPr>
      <w:r>
        <w:rPr>
          <w:b/>
          <w:bCs/>
          <w:color w:themeColor="dark1" w:val="000000"/>
          <w:sz w:val="24"/>
          <w:szCs w:val="24"/>
        </w:rPr>
        <w:t>Accounting Rate of Return (ARR):</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Total Cash Inflow: £6m×5=£30,000,000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Average Annual Cash Inflow: £30,000,000/5 years=£6,000,000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(£6,000,000/£30,000,000)×100=20.0%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Payback Period (PBP):</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£30,000,000/£6,000,000=5.0 years</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Net Present Value (NPV) @ 10%: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Total PV: £6,000,000×3.791 (Annuity Factor)=£22,746,000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£22,746,000−£30,000,000=−£7,254,000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 xml:space="preserve"> </w:t>
      </w:r>
      <w:r>
        <w:rPr>
          <w:b/>
          <w:bCs/>
          <w:color w:themeColor="dark1" w:val="000000"/>
          <w:sz w:val="24"/>
          <w:szCs w:val="24"/>
        </w:rPr>
        <w:t>Profitability Index (PI):</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£22,746,000/£30,000,000=0.758</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Internal Rate of Return (IRR):</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Because the total undiscounted cash inflow (£30m) equals the initial investment (£30m), the break-even rate is zero.</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3. Project C (Initial Investment: £50,000,000)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val="false"/>
          <w:bCs w:val="false"/>
          <w:color w:themeColor="dark1" w:val="000000"/>
          <w:sz w:val="24"/>
          <w:szCs w:val="24"/>
        </w:rPr>
      </w:pPr>
      <w:r>
        <w:rPr>
          <w:b/>
          <w:bCs/>
          <w:color w:themeColor="dark1" w:val="000000"/>
          <w:sz w:val="24"/>
          <w:szCs w:val="24"/>
        </w:rPr>
        <w:t>Cash Inflows:</w:t>
      </w:r>
      <w:r>
        <w:rPr>
          <w:b w:val="false"/>
          <w:bCs w:val="false"/>
          <w:color w:themeColor="dark1" w:val="000000"/>
          <w:sz w:val="24"/>
          <w:szCs w:val="24"/>
        </w:rPr>
        <w:t xml:space="preserve">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Year 1: £5m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Year 2: £10m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Year 3: £20m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Year 4: £25m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5: £15m</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Accounting Rate of Return (ARR):</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Total Cash Inflow: £5m+£10m+£20m+£25m+£15m=£75,000,000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Average Annual Cash Inflow: £75,000,000/5 years=£15,000,000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 </w:t>
      </w:r>
      <w:r>
        <w:rPr>
          <w:b w:val="false"/>
          <w:bCs w:val="false"/>
          <w:color w:themeColor="dark1" w:val="000000"/>
          <w:sz w:val="24"/>
          <w:szCs w:val="24"/>
        </w:rPr>
        <w:t>Calculation: (£15,000,000/£50,000,000)×100=30.0%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Payback Period (PBP):</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Cumulative Cash Flow (Year 3): £5m+£10m+£20m=£35,000,000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Remaining to recover at start of Year 4: £50m−£35m=£15,000,000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 </w:t>
      </w:r>
      <w:r>
        <w:rPr>
          <w:b w:val="false"/>
          <w:bCs w:val="false"/>
          <w:color w:themeColor="dark1" w:val="000000"/>
          <w:sz w:val="24"/>
          <w:szCs w:val="24"/>
        </w:rPr>
        <w:t>Recovery Fraction: £15,000,000/£25,000,000 (Year 4 Inflow)=0.6 years</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3 years+0.6 years=3.6 years (3 years, 7.2 months)</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Net Present Value (NPV) @ 10%: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1 PV: £5,000,000×0.909=£4,545,000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2 PV: £10,000,000×0.826=£8,260,000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3 PV: £20,000,000×0.751=£15,020,000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4 PV: £25,000,000×0.683=£17,075,000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5 PV: £15,000,000×0.621=£9,315,000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Total PV: £54,215,000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£54,215,000−£50,000,000=+£4,215,000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Profitability Index (PI):</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£54,215,000/£50,000,000=1.084</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Internal Rate of Return (IRR):</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12.72%</w:t>
      </w:r>
    </w:p>
    <w:sectPr>
      <w:headerReference w:type="even" r:id="rId29"/>
      <w:headerReference w:type="default" r:id="rId30"/>
      <w:headerReference w:type="first" r:id="rId31"/>
      <w:footerReference w:type="even" r:id="rId32"/>
      <w:footerReference w:type="default" r:id="rId33"/>
      <w:footerReference w:type="first" r:id="rId34"/>
      <w:type w:val="nextPage"/>
      <w:pgSz w:w="11906" w:h="16838"/>
      <w:pgMar w:left="1440" w:right="1440" w:gutter="0" w:header="720" w:top="1440" w:footer="720" w:bottom="144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swiss"/>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rFonts w:ascii="Times New Roman" w:hAnsi="Times New Roman" w:eastAsia="Times New Roman" w:cs="Times New Roman"/>
        <w:sz w:val="24"/>
        <w:szCs w:val="24"/>
      </w:rPr>
    </w:pPr>
    <w:r>
      <w:rPr/>
      <w:fldChar w:fldCharType="begin"/>
    </w:r>
    <w:r>
      <w:rPr/>
      <w:instrText xml:space="preserve"> PAGE </w:instrText>
    </w:r>
    <w:r>
      <w:rPr/>
      <w:fldChar w:fldCharType="separate"/>
    </w:r>
    <w:r>
      <w:rPr/>
      <w:t>1</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rFonts w:ascii="Times New Roman" w:hAnsi="Times New Roman" w:eastAsia="Times New Roman" w:cs="Times New Roman"/>
        <w:sz w:val="24"/>
        <w:szCs w:val="24"/>
      </w:rPr>
    </w:pPr>
    <w:r>
      <w:rPr/>
      <w:fldChar w:fldCharType="begin"/>
    </w:r>
    <w:r>
      <w:rPr/>
      <w:instrText xml:space="preserve"> PAGE </w:instrText>
    </w:r>
    <w:r>
      <w:rPr/>
      <w:fldChar w:fldCharType="separate"/>
    </w:r>
    <w:r>
      <w:rPr/>
      <w:t>1</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pPr>
    <w:bookmarkStart w:id="3" w:name="_GoBack"/>
    <w:bookmarkEnd w:id="3"/>
    <w:r>
      <w:rPr/>
      <w:drawing>
        <wp:inline distT="0" distB="0" distL="0" distR="0">
          <wp:extent cx="1783715" cy="951865"/>
          <wp:effectExtent l="0" t="0" r="0" b="0"/>
          <wp:docPr id="13"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descr="IMG_256"/>
                  <pic:cNvPicPr>
                    <a:picLocks noChangeAspect="1" noChangeArrowheads="1"/>
                  </pic:cNvPicPr>
                </pic:nvPicPr>
                <pic:blipFill>
                  <a:blip r:embed="rId1"/>
                  <a:stretch>
                    <a:fillRect/>
                  </a:stretch>
                </pic:blipFill>
                <pic:spPr bwMode="auto">
                  <a:xfrm>
                    <a:off x="0" y="0"/>
                    <a:ext cx="1783715" cy="951865"/>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pPr>
    <w:bookmarkStart w:id="4" w:name="_GoBack"/>
    <w:bookmarkEnd w:id="4"/>
    <w:r>
      <w:rPr/>
      <w:drawing>
        <wp:inline distT="0" distB="0" distL="0" distR="0">
          <wp:extent cx="1783715" cy="951865"/>
          <wp:effectExtent l="0" t="0" r="0" b="0"/>
          <wp:docPr id="14"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IMG_256"/>
                  <pic:cNvPicPr>
                    <a:picLocks noChangeAspect="1" noChangeArrowheads="1"/>
                  </pic:cNvPicPr>
                </pic:nvPicPr>
                <pic:blipFill>
                  <a:blip r:embed="rId1"/>
                  <a:stretch>
                    <a:fillRect/>
                  </a:stretch>
                </pic:blipFill>
                <pic:spPr bwMode="auto">
                  <a:xfrm>
                    <a:off x="0" y="0"/>
                    <a:ext cx="1783715" cy="951865"/>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5">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6">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75"/>
  <w:defaultTabStop w:val="720"/>
  <w:autoHyphenation w:val="true"/>
  <w:hyphenationZone w:val="0"/>
  <w:compat>
    <w:doNotExpandShiftReturn/>
    <w:compatSetting w:name="compatibilityMode" w:uri="http://schemas.microsoft.com/office/word" w:val="15"/>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en-US" w:eastAsia="zh-CN" w:bidi="hi-IN"/>
      </w:rPr>
    </w:rPrDefault>
    <w:pPrDefault>
      <w:pPr>
        <w:suppressAutoHyphens w:val="true"/>
      </w:pPr>
    </w:pPrDefault>
  </w:docDefaults>
  <w:style w:type="paragraph" w:styleId="Normal">
    <w:name w:val="Normal"/>
    <w:qFormat/>
    <w:pPr>
      <w:widowControl/>
      <w:suppressAutoHyphens w:val="true"/>
      <w:overflowPunct w:val="true"/>
      <w:bidi w:val="0"/>
      <w:spacing w:lineRule="auto" w:line="276" w:before="0" w:after="0"/>
      <w:jc w:val="start"/>
    </w:pPr>
    <w:rPr>
      <w:rFonts w:ascii="Arial" w:hAnsi="Arial" w:eastAsia="Arial" w:cs="Arial"/>
      <w:color w:val="auto"/>
      <w:kern w:val="0"/>
      <w:sz w:val="22"/>
      <w:szCs w:val="22"/>
      <w:lang w:val="zh-CN" w:eastAsia="zh-CN" w:bidi="hi-IN"/>
    </w:rPr>
  </w:style>
  <w:style w:type="paragraph" w:styleId="Heading1">
    <w:name w:val="heading 1"/>
    <w:basedOn w:val="Normal"/>
    <w:next w:val="Normal"/>
    <w:qFormat/>
    <w:pPr>
      <w:keepNext w:val="true"/>
      <w:keepLines/>
      <w:spacing w:lineRule="auto" w:line="360" w:before="0" w:after="200"/>
      <w:jc w:val="both"/>
    </w:pPr>
    <w:rPr>
      <w:rFonts w:ascii="Times New Roman" w:hAnsi="Times New Roman" w:eastAsia="Times New Roman" w:cs="Times New Roman"/>
      <w:b/>
      <w:sz w:val="24"/>
      <w:szCs w:val="24"/>
    </w:rPr>
  </w:style>
  <w:style w:type="paragraph" w:styleId="Heading2">
    <w:name w:val="heading 2"/>
    <w:basedOn w:val="Normal"/>
    <w:next w:val="Normal"/>
    <w:qFormat/>
    <w:pPr>
      <w:keepNext w:val="true"/>
      <w:keepLines/>
      <w:spacing w:lineRule="auto" w:line="360" w:before="0" w:after="200"/>
      <w:jc w:val="both"/>
    </w:pPr>
    <w:rPr>
      <w:rFonts w:ascii="Times New Roman" w:hAnsi="Times New Roman" w:eastAsia="Times New Roman" w:cs="Times New Roman"/>
      <w:b/>
      <w:sz w:val="24"/>
      <w:szCs w:val="24"/>
    </w:rPr>
  </w:style>
  <w:style w:type="paragraph" w:styleId="Heading3">
    <w:name w:val="heading 3"/>
    <w:basedOn w:val="Normal"/>
    <w:next w:val="Normal"/>
    <w:qFormat/>
    <w:pPr>
      <w:keepNext w:val="true"/>
      <w:keepLines/>
      <w:pageBreakBefore w:val="false"/>
      <w:spacing w:before="320" w:after="80"/>
    </w:pPr>
    <w:rPr>
      <w:color w:val="434343"/>
      <w:sz w:val="28"/>
      <w:szCs w:val="28"/>
    </w:rPr>
  </w:style>
  <w:style w:type="paragraph" w:styleId="Heading4">
    <w:name w:val="heading 4"/>
    <w:basedOn w:val="Normal"/>
    <w:next w:val="Normal"/>
    <w:qFormat/>
    <w:pPr>
      <w:keepNext w:val="true"/>
      <w:keepLines/>
      <w:pageBreakBefore w:val="false"/>
      <w:spacing w:before="280" w:after="80"/>
    </w:pPr>
    <w:rPr>
      <w:color w:val="666666"/>
      <w:sz w:val="24"/>
      <w:szCs w:val="24"/>
    </w:rPr>
  </w:style>
  <w:style w:type="paragraph" w:styleId="Heading5">
    <w:name w:val="heading 5"/>
    <w:basedOn w:val="Normal"/>
    <w:next w:val="Normal"/>
    <w:qFormat/>
    <w:pPr>
      <w:keepNext w:val="true"/>
      <w:keepLines/>
      <w:pageBreakBefore w:val="false"/>
      <w:spacing w:before="240" w:after="80"/>
    </w:pPr>
    <w:rPr>
      <w:color w:val="666666"/>
      <w:sz w:val="22"/>
      <w:szCs w:val="22"/>
    </w:rPr>
  </w:style>
  <w:style w:type="paragraph" w:styleId="Heading6">
    <w:name w:val="heading 6"/>
    <w:basedOn w:val="Normal"/>
    <w:next w:val="Normal"/>
    <w:qFormat/>
    <w:pPr>
      <w:keepNext w:val="true"/>
      <w:keepLines/>
      <w:pageBreakBefore w:val="false"/>
      <w:spacing w:before="240" w:after="80"/>
    </w:pPr>
    <w:rPr>
      <w:i/>
      <w:color w:val="666666"/>
      <w:sz w:val="22"/>
      <w:szCs w:val="22"/>
    </w:rPr>
  </w:style>
  <w:style w:type="character" w:styleId="DefaultParagraphFont">
    <w:name w:val="Default Paragraph Font"/>
    <w:qFormat/>
    <w:rPr/>
  </w:style>
  <w:style w:type="character" w:styleId="Hyperlink">
    <w:name w:val="Hyperlink"/>
    <w:rPr>
      <w:color w:val="000080"/>
      <w:u w:val="single"/>
    </w:rPr>
  </w:style>
  <w:style w:type="character" w:styleId="IndexLink">
    <w:name w:val="Index Link"/>
    <w:qFormat/>
    <w:rPr/>
  </w:style>
  <w:style w:type="character" w:styleId="Bullets">
    <w:name w:val="Bullets"/>
    <w:qFormat/>
    <w:rPr>
      <w:rFonts w:ascii="OpenSymbol" w:hAnsi="OpenSymbol" w:eastAsia="OpenSymbol" w:cs="OpenSymbol"/>
    </w:rPr>
  </w:style>
  <w:style w:type="character" w:styleId="Bulletsuser">
    <w:name w:val="Bullets (user)"/>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Subtitle">
    <w:name w:val="Subtitle"/>
    <w:basedOn w:val="Normal"/>
    <w:next w:val="Normal"/>
    <w:qFormat/>
    <w:pPr>
      <w:keepNext w:val="true"/>
      <w:keepLines/>
      <w:pageBreakBefore w:val="false"/>
      <w:spacing w:before="0" w:after="320"/>
    </w:pPr>
    <w:rPr>
      <w:rFonts w:ascii="Arial" w:hAnsi="Arial" w:eastAsia="Arial" w:cs="Arial"/>
      <w:color w:val="666666"/>
      <w:sz w:val="30"/>
      <w:szCs w:val="30"/>
    </w:rPr>
  </w:style>
  <w:style w:type="paragraph" w:styleId="Title">
    <w:name w:val="Title"/>
    <w:basedOn w:val="Normal"/>
    <w:next w:val="Normal"/>
    <w:qFormat/>
    <w:pPr>
      <w:keepNext w:val="true"/>
      <w:keepLines/>
      <w:pageBreakBefore w:val="false"/>
      <w:spacing w:before="0" w:after="60"/>
    </w:pPr>
    <w:rPr>
      <w:sz w:val="52"/>
      <w:szCs w:val="52"/>
    </w:rPr>
  </w:style>
  <w:style w:type="paragraph" w:styleId="HeaderandFooter">
    <w:name w:val="Header and Footer"/>
    <w:basedOn w:val="Normal"/>
    <w:qFormat/>
    <w:pPr/>
    <w:rPr/>
  </w:style>
  <w:style w:type="paragraph" w:styleId="Header">
    <w:name w:val="header"/>
    <w:basedOn w:val="HeaderandFooter"/>
    <w:pPr/>
    <w:rPr/>
  </w:style>
  <w:style w:type="paragraph" w:styleId="Footer">
    <w:name w:val="footer"/>
    <w:basedOn w:val="HeaderandFooter"/>
    <w:pPr/>
    <w:rPr/>
  </w:style>
  <w:style w:type="paragraph" w:styleId="TableContents">
    <w:name w:val="Table Contents"/>
    <w:basedOn w:val="Normal"/>
    <w:qFormat/>
    <w:pPr>
      <w:widowControl w:val="false"/>
      <w:suppressLineNumbers/>
    </w:pPr>
    <w:rPr/>
  </w:style>
  <w:style w:type="paragraph" w:styleId="TOC2">
    <w:name w:val="toc 2"/>
    <w:basedOn w:val="Normal"/>
    <w:next w:val="Normal"/>
    <w:pPr>
      <w:spacing w:before="0" w:after="100"/>
      <w:ind w:start="220"/>
    </w:pPr>
    <w:rPr/>
  </w:style>
  <w:style w:type="paragraph" w:styleId="TOC1">
    <w:name w:val="toc 1"/>
    <w:basedOn w:val="Normal"/>
    <w:next w:val="Normal"/>
    <w:pPr>
      <w:spacing w:before="0" w:after="10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mheducation.com/content/dam/mhe/blog/higher-ed/2025/pdfs/brealey-principles-of-corporate-finance-evergreen-2025.pdf" TargetMode="External"/><Relationship Id="rId3" Type="http://schemas.openxmlformats.org/officeDocument/2006/relationships/hyperlink" Target="https://gocardless.com/en-us/guides/posts/what-is-a-good-profit-margin/" TargetMode="External"/><Relationship Id="rId4" Type="http://schemas.openxmlformats.org/officeDocument/2006/relationships/hyperlink" Target="https://link.springer.com/content/pdf/10.1186/s43093-021-00058-9.pdf" TargetMode="External"/><Relationship Id="rId5" Type="http://schemas.openxmlformats.org/officeDocument/2006/relationships/hyperlink" Target="https://link.springer.com/article/10.1186/s40854-021-00264-y" TargetMode="External"/><Relationship Id="rId6" Type="http://schemas.openxmlformats.org/officeDocument/2006/relationships/hyperlink" Target="https://www.researchgate.net/publication/360288574_The_Effect_of_Debt_to_Equity_Ratio_and_Current_Ratio_on_Return_on_Assets" TargetMode="External"/><Relationship Id="rId7" Type="http://schemas.openxmlformats.org/officeDocument/2006/relationships/hyperlink" Target="https://www.researchgate.net/publication/371543649_THE_EFFECT_OF_LEVERAGE_EARNINGS_PER_SHARE_AND_DIVIDEND_POLICY_ON_COMPANY_VALUE" TargetMode="External"/><Relationship Id="rId8" Type="http://schemas.openxmlformats.org/officeDocument/2006/relationships/hyperlink" Target="https://ideas.repec.org/a/taf/oaefxx/v10y2022i1p2087289.html" TargetMode="External"/><Relationship Id="rId9" Type="http://schemas.openxmlformats.org/officeDocument/2006/relationships/hyperlink" Target="https://www.researchgate.net/publication/313023414_Distressed_Firm_and_Bankruptcy_Prediction_in_an_International_Context_A_Review_and_Empirical_Analysis_of_Altman&apos;s_Z-Score_Model" TargetMode="External"/><Relationship Id="rId10" Type="http://schemas.openxmlformats.org/officeDocument/2006/relationships/hyperlink" Target="https://www.researchgate.net/publication/362058456_Analyzing_the_Efficiency_of_Working_Capital_Management_a_New_Approach_Based_on_DEA-Malmquist_Technology" TargetMode="External"/><Relationship Id="rId11" Type="http://schemas.openxmlformats.org/officeDocument/2006/relationships/hyperlink" Target="https://www.researchgate.net/publication/367604569_Working_Capital_Behavior_of_Firms_during_an_Economic_Downturn_An_Analysis_of_the_Financial_Crisis_Era" TargetMode="External"/><Relationship Id="rId12" Type="http://schemas.openxmlformats.org/officeDocument/2006/relationships/hyperlink" Target="https://www.researchgate.net/publication/256069194_Relationship_Between_Working_Capital_Management_and_Profitability_of_Listed_Companies_in_the_Athens_Stock_Exchange" TargetMode="External"/><Relationship Id="rId13" Type="http://schemas.openxmlformats.org/officeDocument/2006/relationships/hyperlink" Target="https://www.researchgate.net/publication/391636462_Analysing_Bankruptcy_Models_in_Corporate_Restructuring_A_Study_of_Financial_Stability" TargetMode="External"/><Relationship Id="rId14" Type="http://schemas.openxmlformats.org/officeDocument/2006/relationships/hyperlink" Target="https://www.researchgate.net/publication/381037104_RISK_MANAGEMENT_STRATEGIES_IN_FIXED_INCOME_SECURITIES" TargetMode="External"/><Relationship Id="rId15" Type="http://schemas.openxmlformats.org/officeDocument/2006/relationships/hyperlink" Target="https://doi.org/10.3390/su17041535" TargetMode="External"/><Relationship Id="rId16" Type="http://schemas.openxmlformats.org/officeDocument/2006/relationships/hyperlink" Target="https://doi.org/10.3390/jrfm18080465" TargetMode="External"/><Relationship Id="rId17" Type="http://schemas.openxmlformats.org/officeDocument/2006/relationships/chart" Target="charts/chart1.xml"/><Relationship Id="rId18" Type="http://schemas.openxmlformats.org/officeDocument/2006/relationships/chart" Target="charts/chart2.xml"/><Relationship Id="rId19" Type="http://schemas.openxmlformats.org/officeDocument/2006/relationships/chart" Target="charts/chart3.xml"/><Relationship Id="rId20" Type="http://schemas.openxmlformats.org/officeDocument/2006/relationships/chart" Target="charts/chart4.xml"/><Relationship Id="rId21" Type="http://schemas.openxmlformats.org/officeDocument/2006/relationships/chart" Target="charts/chart5.xml"/><Relationship Id="rId22" Type="http://schemas.openxmlformats.org/officeDocument/2006/relationships/chart" Target="charts/chart6.xml"/><Relationship Id="rId23" Type="http://schemas.openxmlformats.org/officeDocument/2006/relationships/chart" Target="charts/chart7.xml"/><Relationship Id="rId24" Type="http://schemas.openxmlformats.org/officeDocument/2006/relationships/chart" Target="charts/chart8.xml"/><Relationship Id="rId25" Type="http://schemas.openxmlformats.org/officeDocument/2006/relationships/chart" Target="charts/chart9.xml"/><Relationship Id="rId26" Type="http://schemas.openxmlformats.org/officeDocument/2006/relationships/chart" Target="charts/chart10.xml"/><Relationship Id="rId27" Type="http://schemas.openxmlformats.org/officeDocument/2006/relationships/chart" Target="charts/chart11.xml"/><Relationship Id="rId28" Type="http://schemas.openxmlformats.org/officeDocument/2006/relationships/chart" Target="charts/chart12.xml"/><Relationship Id="rId29" Type="http://schemas.openxmlformats.org/officeDocument/2006/relationships/header" Target="header1.xml"/><Relationship Id="rId30" Type="http://schemas.openxmlformats.org/officeDocument/2006/relationships/header" Target="header2.xml"/><Relationship Id="rId31" Type="http://schemas.openxmlformats.org/officeDocument/2006/relationships/header" Target="header3.xml"/><Relationship Id="rId32" Type="http://schemas.openxmlformats.org/officeDocument/2006/relationships/footer" Target="footer1.xml"/><Relationship Id="rId33" Type="http://schemas.openxmlformats.org/officeDocument/2006/relationships/footer" Target="footer2.xml"/><Relationship Id="rId34" Type="http://schemas.openxmlformats.org/officeDocument/2006/relationships/footer" Target="footer3.xml"/><Relationship Id="rId35" Type="http://schemas.openxmlformats.org/officeDocument/2006/relationships/numbering" Target="numbering.xml"/><Relationship Id="rId36" Type="http://schemas.openxmlformats.org/officeDocument/2006/relationships/fontTable" Target="fontTable.xml"/><Relationship Id="rId37" Type="http://schemas.openxmlformats.org/officeDocument/2006/relationships/settings" Target="settings.xml"/><Relationship Id="rId38"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Net income</c:v>
                </c:pt>
              </c:strCache>
            </c:strRef>
          </c:tx>
          <c:spPr>
            <a:solidFill>
              <a:srgbClr val="004586"/>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38578</c:v>
                </c:pt>
                <c:pt idx="1">
                  <c:v>5301</c:v>
                </c:pt>
                <c:pt idx="2">
                  <c:v>407</c:v>
                </c:pt>
                <c:pt idx="3">
                  <c:v>-98238</c:v>
                </c:pt>
                <c:pt idx="4">
                  <c:v>-24029</c:v>
                </c:pt>
              </c:numCache>
            </c:numRef>
          </c:val>
        </c:ser>
        <c:ser>
          <c:idx val="1"/>
          <c:order val="1"/>
          <c:tx>
            <c:strRef>
              <c:f>label 1</c:f>
              <c:strCache>
                <c:ptCount val="1"/>
                <c:pt idx="0">
                  <c:v>Net sales</c:v>
                </c:pt>
              </c:strCache>
            </c:strRef>
          </c:tx>
          <c:spPr>
            <a:solidFill>
              <a:srgbClr val="ff420e"/>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614680</c:v>
                </c:pt>
                <c:pt idx="1">
                  <c:v>601602</c:v>
                </c:pt>
                <c:pt idx="2">
                  <c:v>542751</c:v>
                </c:pt>
                <c:pt idx="3">
                  <c:v>420457</c:v>
                </c:pt>
                <c:pt idx="4">
                  <c:v>394879</c:v>
                </c:pt>
              </c:numCache>
            </c:numRef>
          </c:val>
        </c:ser>
        <c:ser>
          <c:idx val="2"/>
          <c:order val="2"/>
          <c:tx>
            <c:strRef>
              <c:f>label 2</c:f>
              <c:strCache>
                <c:ptCount val="1"/>
                <c:pt idx="0">
                  <c:v>Net profit margin</c:v>
                </c:pt>
              </c:strCache>
            </c:strRef>
          </c:tx>
          <c:spPr>
            <a:solidFill>
              <a:srgbClr val="ffd320"/>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6.28</c:v>
                </c:pt>
                <c:pt idx="1">
                  <c:v>0.88</c:v>
                </c:pt>
                <c:pt idx="2">
                  <c:v>0.07</c:v>
                </c:pt>
                <c:pt idx="3">
                  <c:v>-23.36</c:v>
                </c:pt>
                <c:pt idx="4">
                  <c:v>-6.09</c:v>
                </c:pt>
              </c:numCache>
            </c:numRef>
          </c:val>
        </c:ser>
        <c:gapWidth val="100"/>
        <c:overlap val="0"/>
        <c:axId val="35277786"/>
        <c:axId val="2610106"/>
      </c:barChart>
      <c:catAx>
        <c:axId val="35277786"/>
        <c:scaling>
          <c:orientation val="minMax"/>
        </c:scaling>
        <c:delete val="0"/>
        <c:axPos val="b"/>
        <c:numFmt formatCode="[$-409]mm/dd/yyyy"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2610106"/>
        <c:crosses val="autoZero"/>
        <c:auto val="1"/>
        <c:lblAlgn val="ctr"/>
        <c:lblOffset val="100"/>
        <c:noMultiLvlLbl val="0"/>
      </c:catAx>
      <c:valAx>
        <c:axId val="2610106"/>
        <c:scaling>
          <c:orientation val="minMax"/>
        </c:scaling>
        <c:delete val="0"/>
        <c:axPos val="l"/>
        <c:majorGridlines>
          <c:spPr>
            <a:ln w="0">
              <a:solidFill>
                <a:srgbClr val="b3b3b3"/>
              </a:solidFill>
            </a:ln>
          </c:spPr>
        </c:majorGridlines>
        <c:numFmt formatCode="General"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35277786"/>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solidFill>
                <a:srgbClr val="000000"/>
              </a:solidFill>
              <a:uFillTx/>
              <a:latin typeface="Arial"/>
              <a:ea typeface="DejaVu Sans"/>
            </a:defRPr>
          </a:pPr>
        </a:p>
      </c:txPr>
    </c:legend>
    <c:plotVisOnly val="1"/>
    <c:dispBlanksAs val="gap"/>
  </c:chart>
  <c:spPr>
    <a:noFill/>
    <a:ln w="0">
      <a:noFill/>
    </a:ln>
  </c:spPr>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Operating progit</c:v>
                </c:pt>
              </c:strCache>
            </c:strRef>
          </c:tx>
          <c:spPr>
            <a:solidFill>
              <a:srgbClr val="004586"/>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37267</c:v>
                </c:pt>
                <c:pt idx="1">
                  <c:v>23253</c:v>
                </c:pt>
                <c:pt idx="2">
                  <c:v>14548</c:v>
                </c:pt>
                <c:pt idx="3">
                  <c:v>-85301</c:v>
                </c:pt>
                <c:pt idx="4">
                  <c:v>-15297</c:v>
                </c:pt>
              </c:numCache>
            </c:numRef>
          </c:val>
        </c:ser>
        <c:ser>
          <c:idx val="1"/>
          <c:order val="1"/>
          <c:tx>
            <c:strRef>
              <c:f>label 1</c:f>
              <c:strCache>
                <c:ptCount val="1"/>
                <c:pt idx="0">
                  <c:v>Net sales</c:v>
                </c:pt>
              </c:strCache>
            </c:strRef>
          </c:tx>
          <c:spPr>
            <a:solidFill>
              <a:srgbClr val="ff420e"/>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614680</c:v>
                </c:pt>
                <c:pt idx="1">
                  <c:v>601602</c:v>
                </c:pt>
                <c:pt idx="2">
                  <c:v>542751</c:v>
                </c:pt>
                <c:pt idx="3">
                  <c:v>420457</c:v>
                </c:pt>
                <c:pt idx="4">
                  <c:v>-20.29</c:v>
                </c:pt>
              </c:numCache>
            </c:numRef>
          </c:val>
        </c:ser>
        <c:ser>
          <c:idx val="2"/>
          <c:order val="2"/>
          <c:tx>
            <c:strRef>
              <c:f>label 2</c:f>
              <c:strCache>
                <c:ptCount val="1"/>
                <c:pt idx="0">
                  <c:v>Operating profit margin</c:v>
                </c:pt>
              </c:strCache>
            </c:strRef>
          </c:tx>
          <c:spPr>
            <a:solidFill>
              <a:srgbClr val="ffd320"/>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6.06</c:v>
                </c:pt>
                <c:pt idx="1">
                  <c:v>3.87</c:v>
                </c:pt>
                <c:pt idx="2">
                  <c:v>2.68</c:v>
                </c:pt>
                <c:pt idx="3">
                  <c:v>-20.29</c:v>
                </c:pt>
                <c:pt idx="4">
                  <c:v>-3.87</c:v>
                </c:pt>
              </c:numCache>
            </c:numRef>
          </c:val>
        </c:ser>
        <c:gapWidth val="100"/>
        <c:overlap val="0"/>
        <c:axId val="9020654"/>
        <c:axId val="18618859"/>
      </c:barChart>
      <c:catAx>
        <c:axId val="9020654"/>
        <c:scaling>
          <c:orientation val="minMax"/>
        </c:scaling>
        <c:delete val="0"/>
        <c:axPos val="b"/>
        <c:numFmt formatCode="[$-409]mm/dd/yyyy"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18618859"/>
        <c:crosses val="autoZero"/>
        <c:auto val="1"/>
        <c:lblAlgn val="ctr"/>
        <c:lblOffset val="100"/>
        <c:noMultiLvlLbl val="0"/>
      </c:catAx>
      <c:valAx>
        <c:axId val="18618859"/>
        <c:scaling>
          <c:orientation val="minMax"/>
        </c:scaling>
        <c:delete val="0"/>
        <c:axPos val="l"/>
        <c:majorGridlines>
          <c:spPr>
            <a:ln w="0">
              <a:solidFill>
                <a:srgbClr val="b3b3b3"/>
              </a:solidFill>
            </a:ln>
          </c:spPr>
        </c:majorGridlines>
        <c:numFmt formatCode="General"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9020654"/>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solidFill>
                <a:srgbClr val="000000"/>
              </a:solidFill>
              <a:uFillTx/>
              <a:latin typeface="Arial"/>
              <a:ea typeface="DejaVu Sans"/>
            </a:defRPr>
          </a:pPr>
        </a:p>
      </c:txPr>
    </c:legend>
    <c:plotVisOnly val="1"/>
    <c:dispBlanksAs val="gap"/>
  </c:chart>
  <c:spPr>
    <a:noFill/>
    <a:ln w="0">
      <a:noFill/>
    </a:ln>
  </c:spPr>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Net income</c:v>
                </c:pt>
              </c:strCache>
            </c:strRef>
          </c:tx>
          <c:spPr>
            <a:solidFill>
              <a:srgbClr val="004586"/>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38572</c:v>
                </c:pt>
                <c:pt idx="1">
                  <c:v>5301</c:v>
                </c:pt>
                <c:pt idx="2">
                  <c:v>407</c:v>
                </c:pt>
                <c:pt idx="3">
                  <c:v>98238</c:v>
                </c:pt>
                <c:pt idx="4">
                  <c:v>24029</c:v>
                </c:pt>
              </c:numCache>
            </c:numRef>
          </c:val>
        </c:ser>
        <c:ser>
          <c:idx val="1"/>
          <c:order val="1"/>
          <c:tx>
            <c:strRef>
              <c:f>label 1</c:f>
              <c:strCache>
                <c:ptCount val="1"/>
                <c:pt idx="0">
                  <c:v>Shareholder`s Equity</c:v>
                </c:pt>
              </c:strCache>
            </c:strRef>
          </c:tx>
          <c:spPr>
            <a:solidFill>
              <a:srgbClr val="ff420e"/>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313301</c:v>
                </c:pt>
                <c:pt idx="1">
                  <c:v>275949</c:v>
                </c:pt>
                <c:pt idx="2">
                  <c:v>268406</c:v>
                </c:pt>
                <c:pt idx="3">
                  <c:v>178920</c:v>
                </c:pt>
                <c:pt idx="4">
                  <c:v>153105</c:v>
                </c:pt>
              </c:numCache>
            </c:numRef>
          </c:val>
        </c:ser>
        <c:ser>
          <c:idx val="2"/>
          <c:order val="2"/>
          <c:tx>
            <c:strRef>
              <c:f>label 2</c:f>
              <c:strCache>
                <c:ptCount val="1"/>
                <c:pt idx="0">
                  <c:v>Return on Equity</c:v>
                </c:pt>
              </c:strCache>
            </c:strRef>
          </c:tx>
          <c:spPr>
            <a:solidFill>
              <a:srgbClr val="ffd320"/>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12.31</c:v>
                </c:pt>
                <c:pt idx="1">
                  <c:v>1.92</c:v>
                </c:pt>
                <c:pt idx="2">
                  <c:v>0.15</c:v>
                </c:pt>
                <c:pt idx="3">
                  <c:v>-54.91</c:v>
                </c:pt>
                <c:pt idx="4">
                  <c:v>-15.69</c:v>
                </c:pt>
              </c:numCache>
            </c:numRef>
          </c:val>
        </c:ser>
        <c:gapWidth val="100"/>
        <c:overlap val="0"/>
        <c:axId val="80545866"/>
        <c:axId val="62539152"/>
      </c:barChart>
      <c:catAx>
        <c:axId val="80545866"/>
        <c:scaling>
          <c:orientation val="minMax"/>
        </c:scaling>
        <c:delete val="0"/>
        <c:axPos val="b"/>
        <c:numFmt formatCode="[$-409]mm/dd/yyyy"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62539152"/>
        <c:crosses val="autoZero"/>
        <c:auto val="1"/>
        <c:lblAlgn val="ctr"/>
        <c:lblOffset val="100"/>
        <c:noMultiLvlLbl val="0"/>
      </c:catAx>
      <c:valAx>
        <c:axId val="62539152"/>
        <c:scaling>
          <c:orientation val="minMax"/>
        </c:scaling>
        <c:delete val="0"/>
        <c:axPos val="l"/>
        <c:majorGridlines>
          <c:spPr>
            <a:ln w="0">
              <a:solidFill>
                <a:srgbClr val="b3b3b3"/>
              </a:solidFill>
            </a:ln>
          </c:spPr>
        </c:majorGridlines>
        <c:numFmt formatCode="General"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80545866"/>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solidFill>
                <a:srgbClr val="000000"/>
              </a:solidFill>
              <a:uFillTx/>
              <a:latin typeface="Arial"/>
              <a:ea typeface="DejaVu Sans"/>
            </a:defRPr>
          </a:pPr>
        </a:p>
      </c:txPr>
    </c:legend>
    <c:plotVisOnly val="1"/>
    <c:dispBlanksAs val="gap"/>
  </c:chart>
  <c:spPr>
    <a:noFill/>
    <a:ln w="0">
      <a:noFill/>
    </a:ln>
  </c:spPr>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Current asset</c:v>
                </c:pt>
              </c:strCache>
            </c:strRef>
          </c:tx>
          <c:spPr>
            <a:solidFill>
              <a:srgbClr val="579d1c"/>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326843</c:v>
                </c:pt>
                <c:pt idx="1">
                  <c:v>337146</c:v>
                </c:pt>
                <c:pt idx="2">
                  <c:v>338040</c:v>
                </c:pt>
                <c:pt idx="3">
                  <c:v>258851</c:v>
                </c:pt>
                <c:pt idx="4">
                  <c:v>242494</c:v>
                </c:pt>
              </c:numCache>
            </c:numRef>
          </c:val>
        </c:ser>
        <c:ser>
          <c:idx val="1"/>
          <c:order val="1"/>
          <c:tx>
            <c:strRef>
              <c:f>label 1</c:f>
              <c:strCache>
                <c:ptCount val="1"/>
                <c:pt idx="0">
                  <c:v>Current liability</c:v>
                </c:pt>
              </c:strCache>
            </c:strRef>
          </c:tx>
          <c:spPr>
            <a:solidFill>
              <a:srgbClr val="004586"/>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179510</c:v>
                </c:pt>
                <c:pt idx="1">
                  <c:v>216787</c:v>
                </c:pt>
                <c:pt idx="2">
                  <c:v>216473</c:v>
                </c:pt>
                <c:pt idx="3">
                  <c:v>161148</c:v>
                </c:pt>
                <c:pt idx="4">
                  <c:v>158291</c:v>
                </c:pt>
              </c:numCache>
            </c:numRef>
          </c:val>
        </c:ser>
        <c:ser>
          <c:idx val="2"/>
          <c:order val="2"/>
          <c:tx>
            <c:strRef>
              <c:f>label 2</c:f>
              <c:strCache>
                <c:ptCount val="1"/>
                <c:pt idx="0">
                  <c:v>Current ratio</c:v>
                </c:pt>
              </c:strCache>
            </c:strRef>
          </c:tx>
          <c:spPr>
            <a:solidFill>
              <a:srgbClr val="ff420e"/>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1.82</c:v>
                </c:pt>
                <c:pt idx="1">
                  <c:v>1.56</c:v>
                </c:pt>
                <c:pt idx="2">
                  <c:v>1.56</c:v>
                </c:pt>
                <c:pt idx="3">
                  <c:v>1.61</c:v>
                </c:pt>
                <c:pt idx="4">
                  <c:v>1.53</c:v>
                </c:pt>
              </c:numCache>
            </c:numRef>
          </c:val>
        </c:ser>
        <c:gapWidth val="100"/>
        <c:overlap val="0"/>
        <c:axId val="487593"/>
        <c:axId val="39972962"/>
      </c:barChart>
      <c:catAx>
        <c:axId val="487593"/>
        <c:scaling>
          <c:orientation val="minMax"/>
        </c:scaling>
        <c:delete val="0"/>
        <c:axPos val="b"/>
        <c:numFmt formatCode="[$-409]mm/dd/yyyy"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39972962"/>
        <c:crosses val="autoZero"/>
        <c:auto val="1"/>
        <c:lblAlgn val="ctr"/>
        <c:lblOffset val="100"/>
        <c:noMultiLvlLbl val="0"/>
      </c:catAx>
      <c:valAx>
        <c:axId val="39972962"/>
        <c:scaling>
          <c:orientation val="minMax"/>
        </c:scaling>
        <c:delete val="0"/>
        <c:axPos val="l"/>
        <c:majorGridlines>
          <c:spPr>
            <a:ln w="0">
              <a:solidFill>
                <a:srgbClr val="b3b3b3"/>
              </a:solidFill>
            </a:ln>
          </c:spPr>
        </c:majorGridlines>
        <c:numFmt formatCode="General"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487593"/>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solidFill>
                <a:srgbClr val="000000"/>
              </a:solidFill>
              <a:uFillTx/>
              <a:latin typeface="Arial"/>
              <a:ea typeface="DejaVu Sans"/>
            </a:defRPr>
          </a:pPr>
        </a:p>
      </c:txPr>
    </c:legend>
    <c:plotVisOnly val="1"/>
    <c:dispBlanksAs val="gap"/>
  </c:chart>
  <c:spPr>
    <a:noFill/>
    <a:ln w="0">
      <a:noFill/>
    </a:ln>
  </c:spPr>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Current asset</c:v>
                </c:pt>
              </c:strCache>
            </c:strRef>
          </c:tx>
          <c:spPr>
            <a:solidFill>
              <a:srgbClr val="004586"/>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326843</c:v>
                </c:pt>
                <c:pt idx="1">
                  <c:v>337146</c:v>
                </c:pt>
                <c:pt idx="2">
                  <c:v>338040</c:v>
                </c:pt>
                <c:pt idx="3">
                  <c:v>258851</c:v>
                </c:pt>
                <c:pt idx="4">
                  <c:v>242494</c:v>
                </c:pt>
              </c:numCache>
            </c:numRef>
          </c:val>
        </c:ser>
        <c:ser>
          <c:idx val="1"/>
          <c:order val="1"/>
          <c:tx>
            <c:strRef>
              <c:f>label 1</c:f>
              <c:strCache>
                <c:ptCount val="1"/>
                <c:pt idx="0">
                  <c:v>Current liability</c:v>
                </c:pt>
              </c:strCache>
            </c:strRef>
          </c:tx>
          <c:spPr>
            <a:solidFill>
              <a:srgbClr val="ff420e"/>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179510</c:v>
                </c:pt>
                <c:pt idx="1">
                  <c:v>216787</c:v>
                </c:pt>
                <c:pt idx="2">
                  <c:v>216473</c:v>
                </c:pt>
                <c:pt idx="3">
                  <c:v>161148</c:v>
                </c:pt>
                <c:pt idx="4">
                  <c:v>158291</c:v>
                </c:pt>
              </c:numCache>
            </c:numRef>
          </c:val>
        </c:ser>
        <c:ser>
          <c:idx val="2"/>
          <c:order val="2"/>
          <c:tx>
            <c:strRef>
              <c:f>label 2</c:f>
              <c:strCache>
                <c:ptCount val="1"/>
                <c:pt idx="0">
                  <c:v>Inventory</c:v>
                </c:pt>
              </c:strCache>
            </c:strRef>
          </c:tx>
          <c:spPr>
            <a:solidFill>
              <a:srgbClr val="ffd320"/>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120430</c:v>
                </c:pt>
                <c:pt idx="1">
                  <c:v>134469</c:v>
                </c:pt>
                <c:pt idx="2">
                  <c:v>140181</c:v>
                </c:pt>
                <c:pt idx="3">
                  <c:v>88273</c:v>
                </c:pt>
                <c:pt idx="4">
                  <c:v>79355</c:v>
                </c:pt>
              </c:numCache>
            </c:numRef>
          </c:val>
        </c:ser>
        <c:ser>
          <c:idx val="3"/>
          <c:order val="3"/>
          <c:tx>
            <c:strRef>
              <c:f>label 3</c:f>
              <c:strCache>
                <c:ptCount val="1"/>
                <c:pt idx="0">
                  <c:v>Quick ratio</c:v>
                </c:pt>
              </c:strCache>
            </c:strRef>
          </c:tx>
          <c:spPr>
            <a:solidFill>
              <a:srgbClr val="579d1c"/>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3</c:f>
              <c:numCache>
                <c:formatCode>General</c:formatCode>
                <c:ptCount val="5"/>
                <c:pt idx="0">
                  <c:v>1.15</c:v>
                </c:pt>
                <c:pt idx="1">
                  <c:v>0.93</c:v>
                </c:pt>
                <c:pt idx="2">
                  <c:v>0.91</c:v>
                </c:pt>
                <c:pt idx="3">
                  <c:v>1.06</c:v>
                </c:pt>
                <c:pt idx="4">
                  <c:v>1.03</c:v>
                </c:pt>
              </c:numCache>
            </c:numRef>
          </c:val>
        </c:ser>
        <c:gapWidth val="100"/>
        <c:overlap val="0"/>
        <c:axId val="22542229"/>
        <c:axId val="83418148"/>
      </c:barChart>
      <c:catAx>
        <c:axId val="22542229"/>
        <c:scaling>
          <c:orientation val="minMax"/>
        </c:scaling>
        <c:delete val="0"/>
        <c:axPos val="b"/>
        <c:numFmt formatCode="[$-409]mm/dd/yyyy"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83418148"/>
        <c:crosses val="autoZero"/>
        <c:auto val="1"/>
        <c:lblAlgn val="ctr"/>
        <c:lblOffset val="100"/>
        <c:noMultiLvlLbl val="0"/>
      </c:catAx>
      <c:valAx>
        <c:axId val="83418148"/>
        <c:scaling>
          <c:orientation val="minMax"/>
        </c:scaling>
        <c:delete val="0"/>
        <c:axPos val="l"/>
        <c:majorGridlines>
          <c:spPr>
            <a:ln w="0">
              <a:solidFill>
                <a:srgbClr val="b3b3b3"/>
              </a:solidFill>
            </a:ln>
          </c:spPr>
        </c:majorGridlines>
        <c:numFmt formatCode="General"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22542229"/>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solidFill>
                <a:srgbClr val="000000"/>
              </a:solidFill>
              <a:uFillTx/>
              <a:latin typeface="Arial"/>
              <a:ea typeface="DejaVu Sans"/>
            </a:defRPr>
          </a:pPr>
        </a:p>
      </c:txPr>
    </c:legend>
    <c:plotVisOnly val="1"/>
    <c:dispBlanksAs val="gap"/>
  </c:chart>
  <c:spPr>
    <a:noFill/>
    <a:ln w="0">
      <a:noFill/>
    </a:ln>
  </c:spPr>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Cost of sales</c:v>
                </c:pt>
              </c:strCache>
            </c:strRef>
          </c:tx>
          <c:spPr>
            <a:solidFill>
              <a:srgbClr val="004586"/>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438424</c:v>
                </c:pt>
                <c:pt idx="1">
                  <c:v>428586</c:v>
                </c:pt>
                <c:pt idx="2">
                  <c:v>390459</c:v>
                </c:pt>
                <c:pt idx="3">
                  <c:v>322897</c:v>
                </c:pt>
                <c:pt idx="4">
                  <c:v>280885</c:v>
                </c:pt>
              </c:numCache>
            </c:numRef>
          </c:val>
        </c:ser>
        <c:ser>
          <c:idx val="1"/>
          <c:order val="1"/>
          <c:tx>
            <c:strRef>
              <c:f>label 1</c:f>
              <c:strCache>
                <c:ptCount val="1"/>
                <c:pt idx="0">
                  <c:v>Inventory</c:v>
                </c:pt>
              </c:strCache>
            </c:strRef>
          </c:tx>
          <c:spPr>
            <a:solidFill>
              <a:srgbClr val="ff420e"/>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120430</c:v>
                </c:pt>
                <c:pt idx="1">
                  <c:v>134469</c:v>
                </c:pt>
                <c:pt idx="2">
                  <c:v>140181</c:v>
                </c:pt>
                <c:pt idx="3">
                  <c:v>88273</c:v>
                </c:pt>
                <c:pt idx="4">
                  <c:v>79355</c:v>
                </c:pt>
              </c:numCache>
            </c:numRef>
          </c:val>
        </c:ser>
        <c:ser>
          <c:idx val="2"/>
          <c:order val="2"/>
          <c:tx>
            <c:strRef>
              <c:f>label 2</c:f>
              <c:strCache>
                <c:ptCount val="1"/>
                <c:pt idx="0">
                  <c:v>Inventory turnover ratio</c:v>
                </c:pt>
              </c:strCache>
            </c:strRef>
          </c:tx>
          <c:spPr>
            <a:solidFill>
              <a:srgbClr val="ffd320"/>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3.64</c:v>
                </c:pt>
                <c:pt idx="1">
                  <c:v>3.19</c:v>
                </c:pt>
                <c:pt idx="2">
                  <c:v>2.79</c:v>
                </c:pt>
                <c:pt idx="3">
                  <c:v>3.66</c:v>
                </c:pt>
                <c:pt idx="4">
                  <c:v>3.54</c:v>
                </c:pt>
              </c:numCache>
            </c:numRef>
          </c:val>
        </c:ser>
        <c:gapWidth val="100"/>
        <c:overlap val="0"/>
        <c:axId val="94661033"/>
        <c:axId val="8663080"/>
      </c:barChart>
      <c:catAx>
        <c:axId val="94661033"/>
        <c:scaling>
          <c:orientation val="minMax"/>
        </c:scaling>
        <c:delete val="0"/>
        <c:axPos val="b"/>
        <c:numFmt formatCode="[$-409]mm/dd/yyyy"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8663080"/>
        <c:crosses val="autoZero"/>
        <c:auto val="1"/>
        <c:lblAlgn val="ctr"/>
        <c:lblOffset val="100"/>
        <c:noMultiLvlLbl val="0"/>
      </c:catAx>
      <c:valAx>
        <c:axId val="8663080"/>
        <c:scaling>
          <c:orientation val="minMax"/>
        </c:scaling>
        <c:delete val="0"/>
        <c:axPos val="l"/>
        <c:majorGridlines>
          <c:spPr>
            <a:ln w="0">
              <a:solidFill>
                <a:srgbClr val="b3b3b3"/>
              </a:solidFill>
            </a:ln>
          </c:spPr>
        </c:majorGridlines>
        <c:numFmt formatCode="General"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94661033"/>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solidFill>
                <a:srgbClr val="000000"/>
              </a:solidFill>
              <a:uFillTx/>
              <a:latin typeface="Arial"/>
              <a:ea typeface="DejaVu Sans"/>
            </a:defRPr>
          </a:pPr>
        </a:p>
      </c:txPr>
    </c:legend>
    <c:plotVisOnly val="1"/>
    <c:dispBlanksAs val="gap"/>
  </c:chart>
  <c:spPr>
    <a:noFill/>
    <a:ln w="0">
      <a:noFill/>
    </a:ln>
  </c:spPr>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Net sales</c:v>
                </c:pt>
              </c:strCache>
            </c:strRef>
          </c:tx>
          <c:spPr>
            <a:solidFill>
              <a:srgbClr val="004586"/>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614680</c:v>
                </c:pt>
                <c:pt idx="1">
                  <c:v>601602</c:v>
                </c:pt>
                <c:pt idx="2">
                  <c:v>542751</c:v>
                </c:pt>
                <c:pt idx="3">
                  <c:v>420457</c:v>
                </c:pt>
                <c:pt idx="4">
                  <c:v>394879</c:v>
                </c:pt>
              </c:numCache>
            </c:numRef>
          </c:val>
        </c:ser>
        <c:ser>
          <c:idx val="1"/>
          <c:order val="1"/>
          <c:tx>
            <c:strRef>
              <c:f>label 1</c:f>
              <c:strCache>
                <c:ptCount val="1"/>
                <c:pt idx="0">
                  <c:v>Account receivable</c:v>
                </c:pt>
              </c:strCache>
            </c:strRef>
          </c:tx>
          <c:spPr>
            <a:solidFill>
              <a:srgbClr val="ff420e"/>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129433</c:v>
                </c:pt>
                <c:pt idx="1">
                  <c:v>129215</c:v>
                </c:pt>
                <c:pt idx="2">
                  <c:v>112346</c:v>
                </c:pt>
                <c:pt idx="3">
                  <c:v>112596</c:v>
                </c:pt>
                <c:pt idx="4">
                  <c:v>114182</c:v>
                </c:pt>
              </c:numCache>
            </c:numRef>
          </c:val>
        </c:ser>
        <c:ser>
          <c:idx val="2"/>
          <c:order val="2"/>
          <c:tx>
            <c:strRef>
              <c:f>label 2</c:f>
              <c:strCache>
                <c:ptCount val="1"/>
                <c:pt idx="0">
                  <c:v>Receivable turnover ratio</c:v>
                </c:pt>
              </c:strCache>
            </c:strRef>
          </c:tx>
          <c:spPr>
            <a:solidFill>
              <a:srgbClr val="ffd320"/>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4.75</c:v>
                </c:pt>
                <c:pt idx="1">
                  <c:v>4.66</c:v>
                </c:pt>
                <c:pt idx="2">
                  <c:v>4.83</c:v>
                </c:pt>
                <c:pt idx="3">
                  <c:v>3.73</c:v>
                </c:pt>
                <c:pt idx="4">
                  <c:v>3.46</c:v>
                </c:pt>
              </c:numCache>
            </c:numRef>
          </c:val>
        </c:ser>
        <c:gapWidth val="100"/>
        <c:overlap val="0"/>
        <c:axId val="31876205"/>
        <c:axId val="11374520"/>
      </c:barChart>
      <c:catAx>
        <c:axId val="31876205"/>
        <c:scaling>
          <c:orientation val="minMax"/>
        </c:scaling>
        <c:delete val="0"/>
        <c:axPos val="b"/>
        <c:numFmt formatCode="[$-409]mm/dd/yyyy"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11374520"/>
        <c:crosses val="autoZero"/>
        <c:auto val="1"/>
        <c:lblAlgn val="ctr"/>
        <c:lblOffset val="100"/>
        <c:noMultiLvlLbl val="0"/>
      </c:catAx>
      <c:valAx>
        <c:axId val="11374520"/>
        <c:scaling>
          <c:orientation val="minMax"/>
        </c:scaling>
        <c:delete val="0"/>
        <c:axPos val="l"/>
        <c:majorGridlines>
          <c:spPr>
            <a:ln w="0">
              <a:solidFill>
                <a:srgbClr val="b3b3b3"/>
              </a:solidFill>
            </a:ln>
          </c:spPr>
        </c:majorGridlines>
        <c:numFmt formatCode="General"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31876205"/>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solidFill>
                <a:srgbClr val="000000"/>
              </a:solidFill>
              <a:uFillTx/>
              <a:latin typeface="Arial"/>
              <a:ea typeface="DejaVu Sans"/>
            </a:defRPr>
          </a:pPr>
        </a:p>
      </c:txPr>
    </c:legend>
    <c:plotVisOnly val="1"/>
    <c:dispBlanksAs val="gap"/>
  </c:chart>
  <c:spPr>
    <a:noFill/>
    <a:ln w="0">
      <a:noFill/>
    </a:ln>
  </c:spPr>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Total Liabilities</c:v>
                </c:pt>
              </c:strCache>
            </c:strRef>
          </c:tx>
          <c:spPr>
            <a:solidFill>
              <a:srgbClr val="004586"/>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196989</c:v>
                </c:pt>
                <c:pt idx="1">
                  <c:v>234399</c:v>
                </c:pt>
                <c:pt idx="2">
                  <c:v>235757</c:v>
                </c:pt>
                <c:pt idx="3">
                  <c:v>176952</c:v>
                </c:pt>
                <c:pt idx="4">
                  <c:v>170249</c:v>
                </c:pt>
              </c:numCache>
            </c:numRef>
          </c:val>
        </c:ser>
        <c:ser>
          <c:idx val="1"/>
          <c:order val="1"/>
          <c:tx>
            <c:strRef>
              <c:f>label 1</c:f>
              <c:strCache>
                <c:ptCount val="1"/>
                <c:pt idx="0">
                  <c:v>Shareholders Equity</c:v>
                </c:pt>
              </c:strCache>
            </c:strRef>
          </c:tx>
          <c:spPr>
            <a:solidFill>
              <a:srgbClr val="ff420e"/>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313301</c:v>
                </c:pt>
                <c:pt idx="1">
                  <c:v>275949</c:v>
                </c:pt>
                <c:pt idx="2">
                  <c:v>268406</c:v>
                </c:pt>
                <c:pt idx="3">
                  <c:v>178920</c:v>
                </c:pt>
                <c:pt idx="4">
                  <c:v>153105</c:v>
                </c:pt>
              </c:numCache>
            </c:numRef>
          </c:val>
        </c:ser>
        <c:ser>
          <c:idx val="2"/>
          <c:order val="2"/>
          <c:tx>
            <c:strRef>
              <c:f>label 2</c:f>
              <c:strCache>
                <c:ptCount val="1"/>
                <c:pt idx="0">
                  <c:v>Debt to equity ratio</c:v>
                </c:pt>
              </c:strCache>
            </c:strRef>
          </c:tx>
          <c:spPr>
            <a:solidFill>
              <a:srgbClr val="ffd320"/>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0.63</c:v>
                </c:pt>
                <c:pt idx="1">
                  <c:v>0.85</c:v>
                </c:pt>
                <c:pt idx="2">
                  <c:v>0.88</c:v>
                </c:pt>
                <c:pt idx="3">
                  <c:v>0.99</c:v>
                </c:pt>
                <c:pt idx="4">
                  <c:v>1.11</c:v>
                </c:pt>
              </c:numCache>
            </c:numRef>
          </c:val>
        </c:ser>
        <c:gapWidth val="100"/>
        <c:overlap val="0"/>
        <c:axId val="2081162"/>
        <c:axId val="69438638"/>
      </c:barChart>
      <c:catAx>
        <c:axId val="2081162"/>
        <c:scaling>
          <c:orientation val="minMax"/>
        </c:scaling>
        <c:delete val="0"/>
        <c:axPos val="b"/>
        <c:numFmt formatCode="[$-409]mm/dd/yyyy"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69438638"/>
        <c:crosses val="autoZero"/>
        <c:auto val="1"/>
        <c:lblAlgn val="ctr"/>
        <c:lblOffset val="100"/>
        <c:noMultiLvlLbl val="0"/>
      </c:catAx>
      <c:valAx>
        <c:axId val="69438638"/>
        <c:scaling>
          <c:orientation val="minMax"/>
        </c:scaling>
        <c:delete val="0"/>
        <c:axPos val="l"/>
        <c:majorGridlines>
          <c:spPr>
            <a:ln w="0">
              <a:solidFill>
                <a:srgbClr val="b3b3b3"/>
              </a:solidFill>
            </a:ln>
          </c:spPr>
        </c:majorGridlines>
        <c:numFmt formatCode="General"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2081162"/>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solidFill>
                <a:srgbClr val="000000"/>
              </a:solidFill>
              <a:uFillTx/>
              <a:latin typeface="Arial"/>
              <a:ea typeface="DejaVu Sans"/>
            </a:defRPr>
          </a:pPr>
        </a:p>
      </c:txPr>
    </c:legend>
    <c:plotVisOnly val="1"/>
    <c:dispBlanksAs val="gap"/>
  </c:chart>
  <c:spPr>
    <a:noFill/>
    <a:ln w="0">
      <a:noFill/>
    </a:ln>
  </c:spPr>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Operating income</c:v>
                </c:pt>
              </c:strCache>
            </c:strRef>
          </c:tx>
          <c:spPr>
            <a:solidFill>
              <a:srgbClr val="004586"/>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37267</c:v>
                </c:pt>
                <c:pt idx="1">
                  <c:v>23253</c:v>
                </c:pt>
                <c:pt idx="2">
                  <c:v>14548</c:v>
                </c:pt>
                <c:pt idx="3">
                  <c:v>-85301</c:v>
                </c:pt>
                <c:pt idx="4">
                  <c:v>-15297</c:v>
                </c:pt>
              </c:numCache>
            </c:numRef>
          </c:val>
        </c:ser>
        <c:ser>
          <c:idx val="1"/>
          <c:order val="1"/>
          <c:tx>
            <c:strRef>
              <c:f>label 1</c:f>
              <c:strCache>
                <c:ptCount val="1"/>
                <c:pt idx="0">
                  <c:v>Interest expense</c:v>
                </c:pt>
              </c:strCache>
            </c:strRef>
          </c:tx>
          <c:spPr>
            <a:solidFill>
              <a:srgbClr val="ff420e"/>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1422</c:v>
                </c:pt>
                <c:pt idx="1">
                  <c:v>566</c:v>
                </c:pt>
                <c:pt idx="2">
                  <c:v>2200</c:v>
                </c:pt>
                <c:pt idx="3">
                  <c:v>4332</c:v>
                </c:pt>
                <c:pt idx="4">
                  <c:v>3361</c:v>
                </c:pt>
              </c:numCache>
            </c:numRef>
          </c:val>
        </c:ser>
        <c:ser>
          <c:idx val="2"/>
          <c:order val="2"/>
          <c:tx>
            <c:strRef>
              <c:f>label 2</c:f>
              <c:strCache>
                <c:ptCount val="1"/>
                <c:pt idx="0">
                  <c:v>Interest coverage ratio</c:v>
                </c:pt>
              </c:strCache>
            </c:strRef>
          </c:tx>
          <c:spPr>
            <a:solidFill>
              <a:srgbClr val="ffd320"/>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26.21</c:v>
                </c:pt>
                <c:pt idx="1">
                  <c:v>41.08</c:v>
                </c:pt>
                <c:pt idx="2">
                  <c:v>6.61</c:v>
                </c:pt>
                <c:pt idx="3">
                  <c:v>-19.69</c:v>
                </c:pt>
                <c:pt idx="4">
                  <c:v>-4.55</c:v>
                </c:pt>
              </c:numCache>
            </c:numRef>
          </c:val>
        </c:ser>
        <c:gapWidth val="100"/>
        <c:overlap val="0"/>
        <c:axId val="3599302"/>
        <c:axId val="41037621"/>
      </c:barChart>
      <c:catAx>
        <c:axId val="3599302"/>
        <c:scaling>
          <c:orientation val="minMax"/>
        </c:scaling>
        <c:delete val="0"/>
        <c:axPos val="b"/>
        <c:numFmt formatCode="[$-409]mm/dd/yyyy"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41037621"/>
        <c:crosses val="autoZero"/>
        <c:auto val="1"/>
        <c:lblAlgn val="ctr"/>
        <c:lblOffset val="100"/>
        <c:noMultiLvlLbl val="0"/>
      </c:catAx>
      <c:valAx>
        <c:axId val="41037621"/>
        <c:scaling>
          <c:orientation val="minMax"/>
        </c:scaling>
        <c:delete val="0"/>
        <c:axPos val="l"/>
        <c:majorGridlines>
          <c:spPr>
            <a:ln w="0">
              <a:solidFill>
                <a:srgbClr val="b3b3b3"/>
              </a:solidFill>
            </a:ln>
          </c:spPr>
        </c:majorGridlines>
        <c:numFmt formatCode="General"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3599302"/>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solidFill>
                <a:srgbClr val="000000"/>
              </a:solidFill>
              <a:uFillTx/>
              <a:latin typeface="Arial"/>
              <a:ea typeface="DejaVu Sans"/>
            </a:defRPr>
          </a:pPr>
        </a:p>
      </c:txPr>
    </c:legend>
    <c:plotVisOnly val="1"/>
    <c:dispBlanksAs val="gap"/>
  </c:chart>
  <c:spPr>
    <a:noFill/>
    <a:ln w="0">
      <a:noFill/>
    </a:ln>
  </c:spPr>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Earnings Per Share</c:v>
                </c:pt>
              </c:strCache>
            </c:strRef>
          </c:tx>
          <c:spPr>
            <a:solidFill>
              <a:srgbClr val="004586"/>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
                </c:pt>
              </c:strCache>
            </c:strRef>
          </c:cat>
          <c:val>
            <c:numRef>
              <c:f>0</c:f>
              <c:numCache>
                <c:formatCode>General</c:formatCode>
                <c:ptCount val="5"/>
                <c:pt idx="0">
                  <c:v>2.78</c:v>
                </c:pt>
                <c:pt idx="1">
                  <c:v>0.39</c:v>
                </c:pt>
                <c:pt idx="2">
                  <c:v>0.03</c:v>
                </c:pt>
                <c:pt idx="3">
                  <c:v>-7.64</c:v>
                </c:pt>
                <c:pt idx="4">
                  <c:v>-1.85</c:v>
                </c:pt>
              </c:numCache>
            </c:numRef>
          </c:val>
        </c:ser>
        <c:gapWidth val="100"/>
        <c:overlap val="0"/>
        <c:axId val="10333651"/>
        <c:axId val="72960933"/>
      </c:barChart>
      <c:catAx>
        <c:axId val="10333651"/>
        <c:scaling>
          <c:orientation val="minMax"/>
        </c:scaling>
        <c:delete val="0"/>
        <c:axPos val="b"/>
        <c:numFmt formatCode="[$-409]mm/dd/yyyy"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72960933"/>
        <c:crosses val="autoZero"/>
        <c:auto val="1"/>
        <c:lblAlgn val="ctr"/>
        <c:lblOffset val="100"/>
        <c:noMultiLvlLbl val="0"/>
      </c:catAx>
      <c:valAx>
        <c:axId val="72960933"/>
        <c:scaling>
          <c:orientation val="minMax"/>
        </c:scaling>
        <c:delete val="0"/>
        <c:axPos val="l"/>
        <c:majorGridlines>
          <c:spPr>
            <a:ln w="0">
              <a:solidFill>
                <a:srgbClr val="b3b3b3"/>
              </a:solidFill>
            </a:ln>
          </c:spPr>
        </c:majorGridlines>
        <c:numFmt formatCode="General"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10333651"/>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solidFill>
                <a:srgbClr val="000000"/>
              </a:solidFill>
              <a:uFillTx/>
              <a:latin typeface="Arial"/>
              <a:ea typeface="DejaVu Sans"/>
            </a:defRPr>
          </a:pPr>
        </a:p>
      </c:txPr>
    </c:legend>
    <c:plotVisOnly val="1"/>
    <c:dispBlanksAs val="gap"/>
  </c:chart>
  <c:spPr>
    <a:noFill/>
    <a:ln w="0">
      <a:noFill/>
    </a:ln>
  </c:spPr>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Operating Cash flow</c:v>
                </c:pt>
              </c:strCache>
            </c:strRef>
          </c:tx>
          <c:spPr>
            <a:solidFill>
              <a:srgbClr val="004586"/>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73392</c:v>
                </c:pt>
                <c:pt idx="1">
                  <c:v>40283</c:v>
                </c:pt>
                <c:pt idx="2">
                  <c:v>10926</c:v>
                </c:pt>
                <c:pt idx="3">
                  <c:v>25190</c:v>
                </c:pt>
                <c:pt idx="4">
                  <c:v>14822</c:v>
                </c:pt>
              </c:numCache>
            </c:numRef>
          </c:val>
        </c:ser>
        <c:ser>
          <c:idx val="1"/>
          <c:order val="1"/>
          <c:tx>
            <c:strRef>
              <c:f>label 1</c:f>
              <c:strCache>
                <c:ptCount val="1"/>
                <c:pt idx="0">
                  <c:v>Net sales</c:v>
                </c:pt>
              </c:strCache>
            </c:strRef>
          </c:tx>
          <c:spPr>
            <a:solidFill>
              <a:srgbClr val="ff420e"/>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614680</c:v>
                </c:pt>
                <c:pt idx="1">
                  <c:v>601602</c:v>
                </c:pt>
                <c:pt idx="2">
                  <c:v>542751</c:v>
                </c:pt>
                <c:pt idx="3">
                  <c:v>420457</c:v>
                </c:pt>
                <c:pt idx="4">
                  <c:v>394879</c:v>
                </c:pt>
              </c:numCache>
            </c:numRef>
          </c:val>
        </c:ser>
        <c:ser>
          <c:idx val="2"/>
          <c:order val="2"/>
          <c:tx>
            <c:strRef>
              <c:f>label 2</c:f>
              <c:strCache>
                <c:ptCount val="1"/>
                <c:pt idx="0">
                  <c:v>Operating cash Flow Margin</c:v>
                </c:pt>
              </c:strCache>
            </c:strRef>
          </c:tx>
          <c:spPr>
            <a:solidFill>
              <a:srgbClr val="ffd320"/>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11.94</c:v>
                </c:pt>
                <c:pt idx="1">
                  <c:v>6.7</c:v>
                </c:pt>
                <c:pt idx="2">
                  <c:v>2.01</c:v>
                </c:pt>
                <c:pt idx="3">
                  <c:v>5.99</c:v>
                </c:pt>
                <c:pt idx="4">
                  <c:v>3.75</c:v>
                </c:pt>
              </c:numCache>
            </c:numRef>
          </c:val>
        </c:ser>
        <c:gapWidth val="100"/>
        <c:overlap val="0"/>
        <c:axId val="87855562"/>
        <c:axId val="71383661"/>
      </c:barChart>
      <c:catAx>
        <c:axId val="87855562"/>
        <c:scaling>
          <c:orientation val="minMax"/>
        </c:scaling>
        <c:delete val="0"/>
        <c:axPos val="b"/>
        <c:numFmt formatCode="[$-409]mm/dd/yyyy"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71383661"/>
        <c:crosses val="autoZero"/>
        <c:auto val="1"/>
        <c:lblAlgn val="ctr"/>
        <c:lblOffset val="100"/>
        <c:noMultiLvlLbl val="0"/>
      </c:catAx>
      <c:valAx>
        <c:axId val="71383661"/>
        <c:scaling>
          <c:orientation val="minMax"/>
        </c:scaling>
        <c:delete val="0"/>
        <c:axPos val="l"/>
        <c:majorGridlines>
          <c:spPr>
            <a:ln w="0">
              <a:solidFill>
                <a:srgbClr val="b3b3b3"/>
              </a:solidFill>
            </a:ln>
          </c:spPr>
        </c:majorGridlines>
        <c:numFmt formatCode="General"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87855562"/>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solidFill>
                <a:srgbClr val="000000"/>
              </a:solidFill>
              <a:uFillTx/>
              <a:latin typeface="Arial"/>
              <a:ea typeface="DejaVu Sans"/>
            </a:defRPr>
          </a:pPr>
        </a:p>
      </c:txPr>
    </c:legend>
    <c:plotVisOnly val="1"/>
    <c:dispBlanksAs val="gap"/>
  </c:chart>
  <c:spPr>
    <a:noFill/>
    <a:ln w="0">
      <a:noFill/>
    </a:ln>
  </c:spPr>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Operating Cash Flow</c:v>
                </c:pt>
              </c:strCache>
            </c:strRef>
          </c:tx>
          <c:spPr>
            <a:solidFill>
              <a:srgbClr val="004586"/>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73392</c:v>
                </c:pt>
                <c:pt idx="1">
                  <c:v>40283</c:v>
                </c:pt>
                <c:pt idx="2">
                  <c:v>10926</c:v>
                </c:pt>
                <c:pt idx="3">
                  <c:v>25190</c:v>
                </c:pt>
                <c:pt idx="4">
                  <c:v>14822</c:v>
                </c:pt>
              </c:numCache>
            </c:numRef>
          </c:val>
        </c:ser>
        <c:ser>
          <c:idx val="1"/>
          <c:order val="1"/>
          <c:tx>
            <c:strRef>
              <c:f>label 1</c:f>
              <c:strCache>
                <c:ptCount val="1"/>
                <c:pt idx="0">
                  <c:v>Capital expenditure</c:v>
                </c:pt>
              </c:strCache>
            </c:strRef>
          </c:tx>
          <c:spPr>
            <a:solidFill>
              <a:srgbClr val="ff420e"/>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16862</c:v>
                </c:pt>
                <c:pt idx="1">
                  <c:v>12586</c:v>
                </c:pt>
                <c:pt idx="2">
                  <c:v>14006</c:v>
                </c:pt>
                <c:pt idx="3">
                  <c:v>8116</c:v>
                </c:pt>
                <c:pt idx="4">
                  <c:v>4572</c:v>
                </c:pt>
              </c:numCache>
            </c:numRef>
          </c:val>
        </c:ser>
        <c:ser>
          <c:idx val="2"/>
          <c:order val="2"/>
          <c:tx>
            <c:strRef>
              <c:f>label 2</c:f>
              <c:strCache>
                <c:ptCount val="1"/>
                <c:pt idx="0">
                  <c:v>Net sales</c:v>
                </c:pt>
              </c:strCache>
            </c:strRef>
          </c:tx>
          <c:spPr>
            <a:solidFill>
              <a:srgbClr val="ffd320"/>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614680</c:v>
                </c:pt>
                <c:pt idx="1">
                  <c:v>601602</c:v>
                </c:pt>
                <c:pt idx="2">
                  <c:v>14006</c:v>
                </c:pt>
                <c:pt idx="3">
                  <c:v>420457</c:v>
                </c:pt>
                <c:pt idx="4">
                  <c:v>394879</c:v>
                </c:pt>
              </c:numCache>
            </c:numRef>
          </c:val>
        </c:ser>
        <c:ser>
          <c:idx val="3"/>
          <c:order val="3"/>
          <c:tx>
            <c:strRef>
              <c:f>label 3</c:f>
              <c:strCache>
                <c:ptCount val="1"/>
                <c:pt idx="0">
                  <c:v>Free Cash Flow Margin</c:v>
                </c:pt>
              </c:strCache>
            </c:strRef>
          </c:tx>
          <c:spPr>
            <a:solidFill>
              <a:srgbClr val="579d1c"/>
            </a:solidFill>
            <a:ln w="0">
              <a:noFill/>
            </a:ln>
          </c:spPr>
          <c:invertIfNegative val="0"/>
          <c:dLbls>
            <c:txPr>
              <a:bodyPr wrap="none"/>
              <a:lstStyle/>
              <a:p>
                <a:pPr>
                  <a:defRPr b="0" sz="1000" strike="noStrike" u="none">
                    <a:solidFill>
                      <a:srgbClr val="000000"/>
                    </a:solidFill>
                    <a:uFillTx/>
                    <a:latin typeface="Arial"/>
                    <a:ea typeface="DejaVu Sans"/>
                  </a:defRPr>
                </a:pPr>
              </a:p>
            </c:txPr>
            <c:dLblPos val="outEnd"/>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3</c:f>
              <c:numCache>
                <c:formatCode>General</c:formatCode>
                <c:ptCount val="5"/>
                <c:pt idx="0">
                  <c:v>9.2</c:v>
                </c:pt>
                <c:pt idx="1">
                  <c:v>4.6</c:v>
                </c:pt>
                <c:pt idx="2">
                  <c:v>-21.99</c:v>
                </c:pt>
                <c:pt idx="3">
                  <c:v>4.06</c:v>
                </c:pt>
                <c:pt idx="4">
                  <c:v>2.6</c:v>
                </c:pt>
              </c:numCache>
            </c:numRef>
          </c:val>
        </c:ser>
        <c:gapWidth val="100"/>
        <c:overlap val="0"/>
        <c:axId val="63258134"/>
        <c:axId val="18847305"/>
      </c:barChart>
      <c:catAx>
        <c:axId val="63258134"/>
        <c:scaling>
          <c:orientation val="minMax"/>
        </c:scaling>
        <c:delete val="0"/>
        <c:axPos val="b"/>
        <c:numFmt formatCode="[$-409]mm/dd/yyyy"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18847305"/>
        <c:crosses val="autoZero"/>
        <c:auto val="1"/>
        <c:lblAlgn val="ctr"/>
        <c:lblOffset val="100"/>
        <c:noMultiLvlLbl val="0"/>
      </c:catAx>
      <c:valAx>
        <c:axId val="18847305"/>
        <c:scaling>
          <c:orientation val="minMax"/>
        </c:scaling>
        <c:delete val="0"/>
        <c:axPos val="l"/>
        <c:majorGridlines>
          <c:spPr>
            <a:ln w="0">
              <a:solidFill>
                <a:srgbClr val="b3b3b3"/>
              </a:solidFill>
            </a:ln>
          </c:spPr>
        </c:majorGridlines>
        <c:numFmt formatCode="General"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63258134"/>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solidFill>
                <a:srgbClr val="000000"/>
              </a:solidFill>
              <a:uFillTx/>
              <a:latin typeface="Arial"/>
              <a:ea typeface="DejaVu Sans"/>
            </a:defRPr>
          </a:pPr>
        </a:p>
      </c:txPr>
    </c:legend>
    <c:plotVisOnly val="1"/>
    <c:dispBlanksAs val="gap"/>
  </c:chart>
  <c:spPr>
    <a:noFill/>
    <a:ln w="0">
      <a:noFill/>
    </a:ln>
  </c:spPr>
</c:chartSpace>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3792</TotalTime>
  <Application>LibreOffice/25.8.3.2$Windows_X86_64 LibreOffice_project/8ca8d55c161d602844f5428fa4b58097424e324e</Application>
  <AppVersion>15.0000</AppVersion>
  <Pages>40</Pages>
  <Words>6678</Words>
  <Characters>39953</Characters>
  <CharactersWithSpaces>46089</CharactersWithSpaces>
  <Paragraphs>695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2025-11-04T08:13:42Z</dcterms:created>
  <dc:creator>dasdi</dc:creator>
  <dc:description/>
  <dc:language>en-US</dc:language>
  <cp:lastModifiedBy/>
  <dcterms:modified xsi:type="dcterms:W3CDTF">2025-12-22T17:45:24Z</dcterms:modified>
  <cp:revision>703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C9116E688BD948F5861709C88BB315E9_13</vt:lpwstr>
  </property>
  <property fmtid="{D5CDD505-2E9C-101B-9397-08002B2CF9AE}" pid="3" name="KSOProductBuildVer">
    <vt:lpwstr>1033-12.2.0.23155</vt:lpwstr>
  </property>
</Properties>
</file>