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59267197"/>
        <w:docPartObj>
          <w:docPartGallery w:val="Cover Pages"/>
          <w:docPartUnique/>
        </w:docPartObj>
      </w:sdtPr>
      <w:sdtEndPr>
        <w:rPr>
          <w:rFonts w:ascii="Arial" w:eastAsia="Times New Roman" w:hAnsi="Arial" w:cs="Arial"/>
          <w:b/>
          <w:bCs/>
          <w:noProof/>
          <w:sz w:val="24"/>
          <w:szCs w:val="24"/>
          <w:lang w:eastAsia="en-GB"/>
        </w:rPr>
      </w:sdtEndPr>
      <w:sdtContent>
        <w:p w14:paraId="6BB9C7C1" w14:textId="201A7125" w:rsidR="009F0621" w:rsidRDefault="009F0621"/>
        <w:p w14:paraId="0FE395EF" w14:textId="061D8224" w:rsidR="009F0621" w:rsidRDefault="009F0621">
          <w:pPr>
            <w:rPr>
              <w:rFonts w:ascii="Arial" w:eastAsia="Times New Roman" w:hAnsi="Arial" w:cs="Arial"/>
              <w:b/>
              <w:bCs/>
              <w:noProof/>
              <w:sz w:val="24"/>
              <w:szCs w:val="24"/>
              <w:lang w:eastAsia="en-GB"/>
            </w:rPr>
          </w:pPr>
          <w:r>
            <w:rPr>
              <w:noProof/>
            </w:rPr>
            <mc:AlternateContent>
              <mc:Choice Requires="wps">
                <w:drawing>
                  <wp:anchor distT="0" distB="0" distL="114300" distR="114300" simplePos="0" relativeHeight="251662336" behindDoc="0" locked="0" layoutInCell="1" allowOverlap="1" wp14:anchorId="7C9A941B" wp14:editId="10E80FE4">
                    <wp:simplePos x="0" y="0"/>
                    <wp:positionH relativeFrom="page">
                      <wp:posOffset>-400050</wp:posOffset>
                    </wp:positionH>
                    <wp:positionV relativeFrom="margin">
                      <wp:posOffset>8496300</wp:posOffset>
                    </wp:positionV>
                    <wp:extent cx="7384415" cy="647700"/>
                    <wp:effectExtent l="0" t="0" r="0" b="0"/>
                    <wp:wrapSquare wrapText="bothSides"/>
                    <wp:docPr id="128" name="Text Box 128"/>
                    <wp:cNvGraphicFramePr/>
                    <a:graphic xmlns:a="http://schemas.openxmlformats.org/drawingml/2006/main">
                      <a:graphicData uri="http://schemas.microsoft.com/office/word/2010/wordprocessingShape">
                        <wps:wsp>
                          <wps:cNvSpPr txBox="1"/>
                          <wps:spPr>
                            <a:xfrm>
                              <a:off x="0" y="0"/>
                              <a:ext cx="7384415" cy="647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224DBA" w14:textId="7FFDD32C" w:rsidR="009F0621" w:rsidRDefault="009F0621">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Pr="009F0621">
                                      <w:rPr>
                                        <w:caps/>
                                        <w:color w:val="7F7F7F" w:themeColor="text1" w:themeTint="80"/>
                                        <w:sz w:val="18"/>
                                        <w:szCs w:val="18"/>
                                      </w:rPr>
                                      <w:t>Children and Young People's Health, Wellbeing and Community Engagement(BMHP5018)</w:t>
                                    </w:r>
                                  </w:sdtContent>
                                </w:sdt>
                                <w:r>
                                  <w:rPr>
                                    <w:caps/>
                                    <w:color w:val="7F7F7F" w:themeColor="text1" w:themeTint="80"/>
                                    <w:sz w:val="18"/>
                                    <w:szCs w:val="18"/>
                                  </w:rPr>
                                  <w:t> </w:t>
                                </w:r>
                              </w:p>
                              <w:p w14:paraId="479B4A80" w14:textId="5228596F" w:rsidR="009F0621" w:rsidRDefault="009F0621">
                                <w:pPr>
                                  <w:pStyle w:val="NoSpacing"/>
                                  <w:rPr>
                                    <w:color w:val="7F7F7F" w:themeColor="text1" w:themeTint="80"/>
                                    <w:sz w:val="18"/>
                                    <w:szCs w:val="18"/>
                                  </w:rPr>
                                </w:pPr>
                                <w:r w:rsidRPr="009F0621">
                                  <w:rPr>
                                    <w:color w:val="7F7F7F" w:themeColor="text1" w:themeTint="80"/>
                                    <w:sz w:val="18"/>
                                    <w:szCs w:val="18"/>
                                  </w:rPr>
                                  <w:t>1710291@student.uwtsd.ac.uk</w:t>
                                </w:r>
                              </w:p>
                              <w:p w14:paraId="7F3A6840" w14:textId="02CDD13F" w:rsidR="009F0621" w:rsidRDefault="009F0621">
                                <w:pPr>
                                  <w:pStyle w:val="NoSpacing"/>
                                  <w:rPr>
                                    <w:color w:val="7F7F7F" w:themeColor="text1" w:themeTint="80"/>
                                    <w:sz w:val="18"/>
                                    <w:szCs w:val="18"/>
                                  </w:rPr>
                                </w:pPr>
                                <w:r>
                                  <w:rPr>
                                    <w:color w:val="7F7F7F" w:themeColor="text1" w:themeTint="80"/>
                                    <w:sz w:val="18"/>
                                    <w:szCs w:val="18"/>
                                  </w:rPr>
                                  <w:t>Tutor: Joanna Fender</w:t>
                                </w:r>
                              </w:p>
                              <w:p w14:paraId="5B1F8100" w14:textId="40F4C41B" w:rsidR="009F0621" w:rsidRDefault="009F0621">
                                <w:pPr>
                                  <w:pStyle w:val="NoSpacing"/>
                                  <w:rPr>
                                    <w:color w:val="7F7F7F" w:themeColor="text1" w:themeTint="80"/>
                                    <w:sz w:val="18"/>
                                    <w:szCs w:val="18"/>
                                  </w:rPr>
                                </w:pPr>
                                <w:r>
                                  <w:rPr>
                                    <w:color w:val="7F7F7F" w:themeColor="text1" w:themeTint="80"/>
                                    <w:sz w:val="18"/>
                                    <w:szCs w:val="18"/>
                                  </w:rPr>
                                  <w:t> </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C9A941B" id="_x0000_t202" coordsize="21600,21600" o:spt="202" path="m,l,21600r21600,l21600,xe">
                    <v:stroke joinstyle="miter"/>
                    <v:path gradientshapeok="t" o:connecttype="rect"/>
                  </v:shapetype>
                  <v:shape id="Text Box 128" o:spid="_x0000_s1026" type="#_x0000_t202" style="position:absolute;margin-left:-31.5pt;margin-top:669pt;width:581.45pt;height:51pt;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" filled="f" stroked="f" strokeweight=".5pt">
                    <v:textbox inset="1in,0,86.4pt,0">
                      <w:txbxContent>
                        <w:p w14:paraId="20224DBA" w14:textId="7FFDD32C" w:rsidR="009F0621" w:rsidRDefault="009F0621">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Pr="009F0621">
                                <w:rPr>
                                  <w:caps/>
                                  <w:color w:val="7F7F7F" w:themeColor="text1" w:themeTint="80"/>
                                  <w:sz w:val="18"/>
                                  <w:szCs w:val="18"/>
                                </w:rPr>
                                <w:t>Children and Young People's Health, Wellbeing and Community Engagement(BMHP5018)</w:t>
                              </w:r>
                            </w:sdtContent>
                          </w:sdt>
                          <w:r>
                            <w:rPr>
                              <w:caps/>
                              <w:color w:val="7F7F7F" w:themeColor="text1" w:themeTint="80"/>
                              <w:sz w:val="18"/>
                              <w:szCs w:val="18"/>
                            </w:rPr>
                            <w:t> </w:t>
                          </w:r>
                        </w:p>
                        <w:p w14:paraId="479B4A80" w14:textId="5228596F" w:rsidR="009F0621" w:rsidRDefault="009F0621">
                          <w:pPr>
                            <w:pStyle w:val="NoSpacing"/>
                            <w:rPr>
                              <w:color w:val="7F7F7F" w:themeColor="text1" w:themeTint="80"/>
                              <w:sz w:val="18"/>
                              <w:szCs w:val="18"/>
                            </w:rPr>
                          </w:pPr>
                          <w:r w:rsidRPr="009F0621">
                            <w:rPr>
                              <w:color w:val="7F7F7F" w:themeColor="text1" w:themeTint="80"/>
                              <w:sz w:val="18"/>
                              <w:szCs w:val="18"/>
                            </w:rPr>
                            <w:t>1710291@student.uwtsd.ac.uk</w:t>
                          </w:r>
                        </w:p>
                        <w:p w14:paraId="7F3A6840" w14:textId="02CDD13F" w:rsidR="009F0621" w:rsidRDefault="009F0621">
                          <w:pPr>
                            <w:pStyle w:val="NoSpacing"/>
                            <w:rPr>
                              <w:color w:val="7F7F7F" w:themeColor="text1" w:themeTint="80"/>
                              <w:sz w:val="18"/>
                              <w:szCs w:val="18"/>
                            </w:rPr>
                          </w:pPr>
                          <w:r>
                            <w:rPr>
                              <w:color w:val="7F7F7F" w:themeColor="text1" w:themeTint="80"/>
                              <w:sz w:val="18"/>
                              <w:szCs w:val="18"/>
                            </w:rPr>
                            <w:t>Tutor: Joanna Fender</w:t>
                          </w:r>
                        </w:p>
                        <w:p w14:paraId="5B1F8100" w14:textId="40F4C41B" w:rsidR="009F0621" w:rsidRDefault="009F0621">
                          <w:pPr>
                            <w:pStyle w:val="NoSpacing"/>
                            <w:rPr>
                              <w:color w:val="7F7F7F" w:themeColor="text1" w:themeTint="80"/>
                              <w:sz w:val="18"/>
                              <w:szCs w:val="18"/>
                            </w:rPr>
                          </w:pPr>
                          <w:r>
                            <w:rPr>
                              <w:color w:val="7F7F7F" w:themeColor="text1" w:themeTint="80"/>
                              <w:sz w:val="18"/>
                              <w:szCs w:val="18"/>
                            </w:rPr>
                            <w:t> </w:t>
                          </w:r>
                        </w:p>
                      </w:txbxContent>
                    </v:textbox>
                    <w10:wrap type="square" anchorx="page" anchory="margin"/>
                  </v:shape>
                </w:pict>
              </mc:Fallback>
            </mc:AlternateContent>
          </w:r>
          <w:r>
            <w:rPr>
              <w:noProof/>
            </w:rPr>
            <mc:AlternateContent>
              <mc:Choice Requires="wpg">
                <w:drawing>
                  <wp:anchor distT="0" distB="0" distL="114300" distR="114300" simplePos="0" relativeHeight="251659264" behindDoc="1" locked="0" layoutInCell="1" allowOverlap="1" wp14:anchorId="67075CE6" wp14:editId="127EC294">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5BA47247" w14:textId="5F6DEB85" w:rsidR="009F0621" w:rsidRDefault="009F0621">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Health and Wellbeing of Children and Young People</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67075CE6" id="Group 125" o:spid="_x0000_s1027"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5BA47247" w14:textId="5F6DEB85" w:rsidR="009F0621" w:rsidRDefault="009F0621">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Health and Wellbeing of Children and Young People</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1312" behindDoc="0" locked="0" layoutInCell="1" allowOverlap="1" wp14:anchorId="570DC741" wp14:editId="46A1EFDD">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67D87BCE" w14:textId="33455BB5" w:rsidR="009F0621" w:rsidRDefault="009F0621">
                                    <w:pPr>
                                      <w:pStyle w:val="NoSpacing"/>
                                      <w:spacing w:before="40" w:after="40"/>
                                      <w:rPr>
                                        <w:caps/>
                                        <w:color w:val="4472C4" w:themeColor="accent1"/>
                                        <w:sz w:val="28"/>
                                        <w:szCs w:val="28"/>
                                      </w:rPr>
                                    </w:pPr>
                                    <w:r>
                                      <w:rPr>
                                        <w:caps/>
                                        <w:color w:val="4472C4" w:themeColor="accent1"/>
                                        <w:sz w:val="28"/>
                                        <w:szCs w:val="28"/>
                                      </w:rPr>
                                      <w:t>Portfolio</w:t>
                                    </w:r>
                                  </w:p>
                                </w:sdtContent>
                              </w:sdt>
                              <w:p w14:paraId="77127981" w14:textId="275974DF" w:rsidR="009F0621" w:rsidRDefault="009F0621">
                                <w:pPr>
                                  <w:pStyle w:val="NoSpacing"/>
                                  <w:spacing w:before="40" w:after="40"/>
                                  <w:rPr>
                                    <w:caps/>
                                    <w:color w:val="5B9BD5" w:themeColor="accent5"/>
                                    <w:sz w:val="24"/>
                                    <w:szCs w:val="24"/>
                                  </w:rPr>
                                </w:pPr>
                                <w:r>
                                  <w:rPr>
                                    <w:caps/>
                                    <w:color w:val="5B9BD5" w:themeColor="accent5"/>
                                    <w:sz w:val="24"/>
                                    <w:szCs w:val="24"/>
                                  </w:rPr>
                                  <w:t>Anca Madalina Sulugiuc</w:t>
                                </w: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570DC741"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67D87BCE" w14:textId="33455BB5" w:rsidR="009F0621" w:rsidRDefault="009F0621">
                              <w:pPr>
                                <w:pStyle w:val="NoSpacing"/>
                                <w:spacing w:before="40" w:after="40"/>
                                <w:rPr>
                                  <w:caps/>
                                  <w:color w:val="4472C4" w:themeColor="accent1"/>
                                  <w:sz w:val="28"/>
                                  <w:szCs w:val="28"/>
                                </w:rPr>
                              </w:pPr>
                              <w:r>
                                <w:rPr>
                                  <w:caps/>
                                  <w:color w:val="4472C4" w:themeColor="accent1"/>
                                  <w:sz w:val="28"/>
                                  <w:szCs w:val="28"/>
                                </w:rPr>
                                <w:t>Portfolio</w:t>
                              </w:r>
                            </w:p>
                          </w:sdtContent>
                        </w:sdt>
                        <w:p w14:paraId="77127981" w14:textId="275974DF" w:rsidR="009F0621" w:rsidRDefault="009F0621">
                          <w:pPr>
                            <w:pStyle w:val="NoSpacing"/>
                            <w:spacing w:before="40" w:after="40"/>
                            <w:rPr>
                              <w:caps/>
                              <w:color w:val="5B9BD5" w:themeColor="accent5"/>
                              <w:sz w:val="24"/>
                              <w:szCs w:val="24"/>
                            </w:rPr>
                          </w:pPr>
                          <w:r>
                            <w:rPr>
                              <w:caps/>
                              <w:color w:val="5B9BD5" w:themeColor="accent5"/>
                              <w:sz w:val="24"/>
                              <w:szCs w:val="24"/>
                            </w:rPr>
                            <w:t>Anca Madalina Sulugiuc</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4D7BD6AA" wp14:editId="22E70862">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Content>
                                  <w:p w14:paraId="2A5C1EAF" w14:textId="77777777" w:rsidR="009F0621" w:rsidRDefault="009F0621">
                                    <w:pPr>
                                      <w:pStyle w:val="NoSpacing"/>
                                      <w:jc w:val="right"/>
                                      <w:rPr>
                                        <w:color w:val="FFFFFF" w:themeColor="background1"/>
                                        <w:sz w:val="24"/>
                                        <w:szCs w:val="24"/>
                                      </w:rPr>
                                    </w:pPr>
                                    <w:r>
                                      <w:rPr>
                                        <w:color w:val="FFFFFF" w:themeColor="background1"/>
                                        <w:sz w:val="24"/>
                                        <w:szCs w:val="24"/>
                                      </w:rPr>
                                      <w:t>[Year]</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D7BD6AA"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4472c4 [3204]" stroked="f" strokeweight="1pt">
                    <o:lock v:ext="edit" aspectratio="t"/>
                    <v:textbox inset="3.6pt,,3.6pt">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Content>
                            <w:p w14:paraId="2A5C1EAF" w14:textId="77777777" w:rsidR="009F0621" w:rsidRDefault="009F0621">
                              <w:pPr>
                                <w:pStyle w:val="NoSpacing"/>
                                <w:jc w:val="right"/>
                                <w:rPr>
                                  <w:color w:val="FFFFFF" w:themeColor="background1"/>
                                  <w:sz w:val="24"/>
                                  <w:szCs w:val="24"/>
                                </w:rPr>
                              </w:pPr>
                              <w:r>
                                <w:rPr>
                                  <w:color w:val="FFFFFF" w:themeColor="background1"/>
                                  <w:sz w:val="24"/>
                                  <w:szCs w:val="24"/>
                                </w:rPr>
                                <w:t>[Year]</w:t>
                              </w:r>
                            </w:p>
                          </w:sdtContent>
                        </w:sdt>
                      </w:txbxContent>
                    </v:textbox>
                    <w10:wrap anchorx="margin" anchory="page"/>
                  </v:rect>
                </w:pict>
              </mc:Fallback>
            </mc:AlternateContent>
          </w:r>
          <w:r>
            <w:rPr>
              <w:rFonts w:ascii="Arial" w:eastAsia="Times New Roman" w:hAnsi="Arial" w:cs="Arial"/>
              <w:b/>
              <w:bCs/>
              <w:noProof/>
              <w:sz w:val="24"/>
              <w:szCs w:val="24"/>
              <w:lang w:eastAsia="en-GB"/>
            </w:rPr>
            <w:br w:type="page"/>
          </w:r>
        </w:p>
      </w:sdtContent>
    </w:sdt>
    <w:p w14:paraId="000AD616" w14:textId="0C28AF8E" w:rsidR="00F944D0" w:rsidRDefault="00F944D0" w:rsidP="000D59CC">
      <w:pPr>
        <w:spacing w:before="100" w:beforeAutospacing="1" w:after="100" w:afterAutospacing="1" w:line="360" w:lineRule="auto"/>
        <w:ind w:left="360"/>
        <w:rPr>
          <w:rFonts w:ascii="Arial" w:eastAsia="Times New Roman" w:hAnsi="Arial" w:cs="Arial"/>
          <w:b/>
          <w:bCs/>
          <w:sz w:val="24"/>
          <w:szCs w:val="24"/>
          <w:lang w:eastAsia="en-GB"/>
        </w:rPr>
      </w:pPr>
      <w:r>
        <w:rPr>
          <w:rFonts w:ascii="Arial" w:eastAsia="Times New Roman" w:hAnsi="Arial" w:cs="Arial"/>
          <w:b/>
          <w:bCs/>
          <w:noProof/>
          <w:sz w:val="24"/>
          <w:szCs w:val="24"/>
          <w:lang w:eastAsia="en-GB"/>
        </w:rPr>
        <w:lastRenderedPageBreak/>
        <w:drawing>
          <wp:inline distT="0" distB="0" distL="0" distR="0" wp14:anchorId="6BB04724" wp14:editId="72F45AC5">
            <wp:extent cx="5905500" cy="3429000"/>
            <wp:effectExtent l="0" t="0" r="0" b="0"/>
            <wp:docPr id="3" name="Video 3" descr="The Child and Adolescent Mental Health Service (CAMHS) at Norfolk and Suffolk NHS Foundation Trust">
              <a:hlinkClick xmlns:a="http://schemas.openxmlformats.org/drawingml/2006/main" r:id="rId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Video 3" descr="The Child and Adolescent Mental Health Service (CAMHS) at Norfolk and Suffolk NHS Foundation Trust">
                      <a:hlinkClick r:id="rId5"/>
                    </pic:cNvPr>
                    <pic:cNvPicPr/>
                  </pic:nvPicPr>
                  <pic:blipFill>
                    <a:blip r:embed="rId6">
                      <a:extLst>
                        <a:ext uri="{28A0092B-C50C-407E-A947-70E740481C1C}">
                          <a14:useLocalDpi xmlns:a14="http://schemas.microsoft.com/office/drawing/2010/main" val="0"/>
                        </a:ext>
                        <a:ext uri="{C809E66F-F1BF-436E-b5F7-EEA9579F0CBA}">
                          <wp15:webVideoPr xmlns:wp15="http://schemas.microsoft.com/office/word/2012/wordprocessingDrawing" embeddedHtml="&lt;iframe width=&quot;200&quot; height=&quot;113&quot; src=&quot;https://www.youtube.com/embed/em1yckn5TJ4?feature=oembed&quot; frameborder=&quot;0&quot; allow=&quot;accelerometer; autoplay; clipboard-write; encrypted-media; gyroscope; picture-in-picture; web-share&quot; referrerpolicy=&quot;strict-origin-when-cross-origin&quot; allowfullscreen=&quot;&quot; title=&quot;The Child and Adolescent Mental Health Service (CAMHS) at Norfolk and Suffolk NHS Foundation Trust&quot; sandbox=&quot;allow-scripts allow-same-origin allow-popups&quot;&gt;&lt;/iframe&gt;" h="113" w="200"/>
                        </a:ext>
                      </a:extLst>
                    </a:blip>
                    <a:stretch>
                      <a:fillRect/>
                    </a:stretch>
                  </pic:blipFill>
                  <pic:spPr>
                    <a:xfrm>
                      <a:off x="0" y="0"/>
                      <a:ext cx="5905500" cy="3429000"/>
                    </a:xfrm>
                    <a:prstGeom prst="rect">
                      <a:avLst/>
                    </a:prstGeom>
                  </pic:spPr>
                </pic:pic>
              </a:graphicData>
            </a:graphic>
          </wp:inline>
        </w:drawing>
      </w:r>
    </w:p>
    <w:p w14:paraId="52F99B54" w14:textId="090781CA" w:rsidR="000D59CC" w:rsidRDefault="000D59CC" w:rsidP="000D59CC">
      <w:pPr>
        <w:spacing w:before="100" w:beforeAutospacing="1" w:after="100" w:afterAutospacing="1" w:line="360" w:lineRule="auto"/>
        <w:ind w:left="360"/>
        <w:rPr>
          <w:rFonts w:ascii="Arial" w:eastAsia="Times New Roman" w:hAnsi="Arial" w:cs="Arial"/>
          <w:sz w:val="24"/>
          <w:szCs w:val="24"/>
          <w:lang w:eastAsia="en-GB"/>
        </w:rPr>
      </w:pPr>
      <w:r w:rsidRPr="000D59CC">
        <w:rPr>
          <w:rFonts w:ascii="Arial" w:eastAsia="Times New Roman" w:hAnsi="Arial" w:cs="Arial"/>
          <w:b/>
          <w:bCs/>
          <w:sz w:val="24"/>
          <w:szCs w:val="24"/>
          <w:lang w:eastAsia="en-GB"/>
        </w:rPr>
        <w:t>I</w:t>
      </w:r>
      <w:r w:rsidRPr="000D59CC">
        <w:rPr>
          <w:rFonts w:ascii="Arial" w:eastAsia="Times New Roman" w:hAnsi="Arial" w:cs="Arial"/>
          <w:b/>
          <w:bCs/>
          <w:sz w:val="24"/>
          <w:szCs w:val="24"/>
          <w:lang w:eastAsia="en-GB"/>
        </w:rPr>
        <w:t>ntroduction and context</w:t>
      </w:r>
      <w:r w:rsidRPr="000D59CC">
        <w:rPr>
          <w:rFonts w:ascii="Arial" w:eastAsia="Times New Roman" w:hAnsi="Arial" w:cs="Arial"/>
          <w:sz w:val="24"/>
          <w:szCs w:val="24"/>
          <w:lang w:eastAsia="en-GB"/>
        </w:rPr>
        <w:br/>
      </w:r>
    </w:p>
    <w:p w14:paraId="2D1EF007" w14:textId="5F622385" w:rsidR="000D59CC" w:rsidRPr="000D59CC" w:rsidRDefault="000D59CC" w:rsidP="000D59CC">
      <w:pPr>
        <w:spacing w:before="100" w:beforeAutospacing="1" w:after="100" w:afterAutospacing="1" w:line="360" w:lineRule="auto"/>
        <w:ind w:left="360"/>
        <w:jc w:val="both"/>
        <w:rPr>
          <w:rFonts w:ascii="Arial" w:eastAsia="Times New Roman" w:hAnsi="Arial" w:cs="Arial"/>
          <w:sz w:val="24"/>
          <w:szCs w:val="24"/>
          <w:lang w:eastAsia="en-GB"/>
        </w:rPr>
      </w:pPr>
      <w:r w:rsidRPr="000D59CC">
        <w:rPr>
          <w:rFonts w:ascii="Arial" w:eastAsia="Times New Roman" w:hAnsi="Arial" w:cs="Arial"/>
          <w:sz w:val="24"/>
          <w:szCs w:val="24"/>
          <w:lang w:eastAsia="en-GB"/>
        </w:rPr>
        <w:t>Norfolk &amp; Suffolk NHS Foundation Trust created the CAMHS pathway video to demystify services for young people and families. It combines clinician narration, simple animations and brief service-user testimony to map the journey from referral to discharge. While it clarifies the process and projects a child-centred ethos, it skips over systemic hurdles and nuances that research shows affect outcomes (Ford et al., 2008; NICE, 2013).</w:t>
      </w:r>
    </w:p>
    <w:p w14:paraId="4CDD722B" w14:textId="77777777" w:rsidR="000D59CC" w:rsidRDefault="000D59CC" w:rsidP="000D59CC">
      <w:pPr>
        <w:spacing w:before="100" w:beforeAutospacing="1" w:after="100" w:afterAutospacing="1" w:line="360" w:lineRule="auto"/>
        <w:ind w:left="360"/>
        <w:rPr>
          <w:rFonts w:ascii="Arial" w:eastAsia="Times New Roman" w:hAnsi="Arial" w:cs="Arial"/>
          <w:sz w:val="24"/>
          <w:szCs w:val="24"/>
          <w:lang w:eastAsia="en-GB"/>
        </w:rPr>
      </w:pPr>
      <w:r w:rsidRPr="000D59CC">
        <w:rPr>
          <w:rFonts w:ascii="Arial" w:eastAsia="Times New Roman" w:hAnsi="Arial" w:cs="Arial"/>
          <w:b/>
          <w:bCs/>
          <w:sz w:val="24"/>
          <w:szCs w:val="24"/>
          <w:lang w:eastAsia="en-GB"/>
        </w:rPr>
        <w:t>R</w:t>
      </w:r>
      <w:r w:rsidRPr="000D59CC">
        <w:rPr>
          <w:rFonts w:ascii="Arial" w:eastAsia="Times New Roman" w:hAnsi="Arial" w:cs="Arial"/>
          <w:b/>
          <w:bCs/>
          <w:sz w:val="24"/>
          <w:szCs w:val="24"/>
          <w:lang w:eastAsia="en-GB"/>
        </w:rPr>
        <w:t>eferral stage</w:t>
      </w:r>
      <w:r w:rsidRPr="000D59CC">
        <w:rPr>
          <w:rFonts w:ascii="Arial" w:eastAsia="Times New Roman" w:hAnsi="Arial" w:cs="Arial"/>
          <w:sz w:val="24"/>
          <w:szCs w:val="24"/>
          <w:lang w:eastAsia="en-GB"/>
        </w:rPr>
        <w:br/>
      </w:r>
    </w:p>
    <w:p w14:paraId="2970C152" w14:textId="4CC8C293" w:rsidR="000D59CC" w:rsidRPr="000D59CC" w:rsidRDefault="000D59CC" w:rsidP="000D59CC">
      <w:pPr>
        <w:spacing w:before="100" w:beforeAutospacing="1" w:after="100" w:afterAutospacing="1" w:line="360" w:lineRule="auto"/>
        <w:ind w:left="360"/>
        <w:jc w:val="both"/>
        <w:rPr>
          <w:rFonts w:ascii="Arial" w:eastAsia="Times New Roman" w:hAnsi="Arial" w:cs="Arial"/>
          <w:sz w:val="24"/>
          <w:szCs w:val="24"/>
          <w:lang w:eastAsia="en-GB"/>
        </w:rPr>
      </w:pPr>
      <w:r w:rsidRPr="000D59CC">
        <w:rPr>
          <w:rFonts w:ascii="Arial" w:eastAsia="Times New Roman" w:hAnsi="Arial" w:cs="Arial"/>
          <w:sz w:val="24"/>
          <w:szCs w:val="24"/>
          <w:lang w:eastAsia="en-GB"/>
        </w:rPr>
        <w:t>The film lists GPs, schools, parents and young people as referral sources and notes that urgent cases fast-track to crisis teams. This graphic simplifies access options, which can encourage help-seeking (</w:t>
      </w:r>
      <w:proofErr w:type="spellStart"/>
      <w:r w:rsidRPr="000D59CC">
        <w:rPr>
          <w:rFonts w:ascii="Arial" w:eastAsia="Times New Roman" w:hAnsi="Arial" w:cs="Arial"/>
          <w:sz w:val="24"/>
          <w:szCs w:val="24"/>
          <w:lang w:eastAsia="en-GB"/>
        </w:rPr>
        <w:t>Stancin</w:t>
      </w:r>
      <w:proofErr w:type="spellEnd"/>
      <w:r w:rsidRPr="000D59CC">
        <w:rPr>
          <w:rFonts w:ascii="Arial" w:eastAsia="Times New Roman" w:hAnsi="Arial" w:cs="Arial"/>
          <w:sz w:val="24"/>
          <w:szCs w:val="24"/>
          <w:lang w:eastAsia="en-GB"/>
        </w:rPr>
        <w:t>, 2002). Yet, studies reveal that primary care often under-recognises mental health issues, delaying referrals by weeks or months (Sayal et al., 2010). The video omits current waiting-time averages—around 6–12 weeks in some regions—which risk symptom escalation and dropout (Children’s Commissioner, 2019).</w:t>
      </w:r>
    </w:p>
    <w:p w14:paraId="177C342E" w14:textId="77777777" w:rsidR="00F944D0" w:rsidRDefault="00F944D0" w:rsidP="000D59CC">
      <w:pPr>
        <w:spacing w:before="100" w:beforeAutospacing="1" w:after="100" w:afterAutospacing="1" w:line="360" w:lineRule="auto"/>
        <w:ind w:left="360"/>
        <w:rPr>
          <w:rFonts w:ascii="Arial" w:eastAsia="Times New Roman" w:hAnsi="Arial" w:cs="Arial"/>
          <w:b/>
          <w:bCs/>
          <w:sz w:val="24"/>
          <w:szCs w:val="24"/>
          <w:lang w:eastAsia="en-GB"/>
        </w:rPr>
      </w:pPr>
    </w:p>
    <w:p w14:paraId="356A8919" w14:textId="234B36A6" w:rsidR="000D59CC" w:rsidRDefault="000D59CC" w:rsidP="000D59CC">
      <w:pPr>
        <w:spacing w:before="100" w:beforeAutospacing="1" w:after="100" w:afterAutospacing="1" w:line="360" w:lineRule="auto"/>
        <w:ind w:left="360"/>
        <w:rPr>
          <w:rFonts w:ascii="Arial" w:eastAsia="Times New Roman" w:hAnsi="Arial" w:cs="Arial"/>
          <w:sz w:val="24"/>
          <w:szCs w:val="24"/>
          <w:lang w:eastAsia="en-GB"/>
        </w:rPr>
      </w:pPr>
      <w:r w:rsidRPr="000D59CC">
        <w:rPr>
          <w:rFonts w:ascii="Arial" w:eastAsia="Times New Roman" w:hAnsi="Arial" w:cs="Arial"/>
          <w:b/>
          <w:bCs/>
          <w:sz w:val="24"/>
          <w:szCs w:val="24"/>
          <w:lang w:eastAsia="en-GB"/>
        </w:rPr>
        <w:lastRenderedPageBreak/>
        <w:t>S</w:t>
      </w:r>
      <w:r w:rsidRPr="000D59CC">
        <w:rPr>
          <w:rFonts w:ascii="Arial" w:eastAsia="Times New Roman" w:hAnsi="Arial" w:cs="Arial"/>
          <w:b/>
          <w:bCs/>
          <w:sz w:val="24"/>
          <w:szCs w:val="24"/>
          <w:lang w:eastAsia="en-GB"/>
        </w:rPr>
        <w:t>creening and assessment</w:t>
      </w:r>
    </w:p>
    <w:p w14:paraId="65B523A1" w14:textId="534F7858" w:rsidR="000D59CC" w:rsidRPr="000D59CC" w:rsidRDefault="000D59CC" w:rsidP="000D59CC">
      <w:pPr>
        <w:spacing w:before="100" w:beforeAutospacing="1" w:after="100" w:afterAutospacing="1" w:line="360" w:lineRule="auto"/>
        <w:ind w:left="360"/>
        <w:jc w:val="both"/>
        <w:rPr>
          <w:rFonts w:ascii="Arial" w:eastAsia="Times New Roman" w:hAnsi="Arial" w:cs="Arial"/>
          <w:sz w:val="24"/>
          <w:szCs w:val="24"/>
          <w:lang w:eastAsia="en-GB"/>
        </w:rPr>
      </w:pPr>
      <w:r w:rsidRPr="000D59CC">
        <w:rPr>
          <w:rFonts w:ascii="Arial" w:eastAsia="Times New Roman" w:hAnsi="Arial" w:cs="Arial"/>
          <w:sz w:val="24"/>
          <w:szCs w:val="24"/>
          <w:lang w:eastAsia="en-GB"/>
        </w:rPr>
        <w:t xml:space="preserve">The video </w:t>
      </w:r>
      <w:proofErr w:type="gramStart"/>
      <w:r w:rsidRPr="000D59CC">
        <w:rPr>
          <w:rFonts w:ascii="Arial" w:eastAsia="Times New Roman" w:hAnsi="Arial" w:cs="Arial"/>
          <w:sz w:val="24"/>
          <w:szCs w:val="24"/>
          <w:lang w:eastAsia="en-GB"/>
        </w:rPr>
        <w:t>show</w:t>
      </w:r>
      <w:proofErr w:type="gramEnd"/>
      <w:r w:rsidRPr="000D59CC">
        <w:rPr>
          <w:rFonts w:ascii="Arial" w:eastAsia="Times New Roman" w:hAnsi="Arial" w:cs="Arial"/>
          <w:sz w:val="24"/>
          <w:szCs w:val="24"/>
          <w:lang w:eastAsia="en-GB"/>
        </w:rPr>
        <w:t xml:space="preserve"> a clinician reviewing forms, a child drawing with a parent present, and a psychologist exploring feelings. It correctly highlights family involvement and age-appropriate methods (Cottrell &amp; Boston, 2002). It also flashes multidisciplinary roles, reinforcing evidence that integrated teams improve diagnostic accuracy (</w:t>
      </w:r>
      <w:proofErr w:type="spellStart"/>
      <w:r w:rsidRPr="000D59CC">
        <w:rPr>
          <w:rFonts w:ascii="Arial" w:eastAsia="Times New Roman" w:hAnsi="Arial" w:cs="Arial"/>
          <w:sz w:val="24"/>
          <w:szCs w:val="24"/>
          <w:lang w:eastAsia="en-GB"/>
        </w:rPr>
        <w:t>Fonagy</w:t>
      </w:r>
      <w:proofErr w:type="spellEnd"/>
      <w:r w:rsidRPr="000D59CC">
        <w:rPr>
          <w:rFonts w:ascii="Arial" w:eastAsia="Times New Roman" w:hAnsi="Arial" w:cs="Arial"/>
          <w:sz w:val="24"/>
          <w:szCs w:val="24"/>
          <w:lang w:eastAsia="en-GB"/>
        </w:rPr>
        <w:t xml:space="preserve"> et al., 2015). However, it fails to explain how practitioners build a shared formulation, a vital step in tailoring interventions (Johnstone &amp; Dallos, 2014). Moreover, it lacks reference to cultural or neurodiversity adaptations, missing evidence that standard assessments may </w:t>
      </w:r>
      <w:r w:rsidR="009F0621" w:rsidRPr="000D59CC">
        <w:rPr>
          <w:rFonts w:ascii="Arial" w:eastAsia="Times New Roman" w:hAnsi="Arial" w:cs="Arial"/>
          <w:sz w:val="24"/>
          <w:szCs w:val="24"/>
          <w:lang w:eastAsia="en-GB"/>
        </w:rPr>
        <w:t>pathologize</w:t>
      </w:r>
      <w:r w:rsidRPr="000D59CC">
        <w:rPr>
          <w:rFonts w:ascii="Arial" w:eastAsia="Times New Roman" w:hAnsi="Arial" w:cs="Arial"/>
          <w:sz w:val="24"/>
          <w:szCs w:val="24"/>
          <w:lang w:eastAsia="en-GB"/>
        </w:rPr>
        <w:t xml:space="preserve"> autistic traits or overlook language barriers (Russell et al., 2019).</w:t>
      </w:r>
    </w:p>
    <w:p w14:paraId="75970090" w14:textId="77777777" w:rsidR="000D59CC" w:rsidRDefault="000D59CC" w:rsidP="000D59CC">
      <w:pPr>
        <w:spacing w:before="100" w:beforeAutospacing="1" w:after="100" w:afterAutospacing="1" w:line="360" w:lineRule="auto"/>
        <w:ind w:left="360"/>
        <w:rPr>
          <w:rFonts w:ascii="Arial" w:eastAsia="Times New Roman" w:hAnsi="Arial" w:cs="Arial"/>
          <w:b/>
          <w:bCs/>
          <w:sz w:val="24"/>
          <w:szCs w:val="24"/>
          <w:lang w:eastAsia="en-GB"/>
        </w:rPr>
      </w:pPr>
    </w:p>
    <w:p w14:paraId="33C32D3B" w14:textId="4762AEDC" w:rsidR="000D59CC" w:rsidRDefault="000D59CC" w:rsidP="000D59CC">
      <w:pPr>
        <w:spacing w:before="100" w:beforeAutospacing="1" w:after="100" w:afterAutospacing="1" w:line="360" w:lineRule="auto"/>
        <w:ind w:left="360"/>
        <w:rPr>
          <w:rFonts w:ascii="Arial" w:eastAsia="Times New Roman" w:hAnsi="Arial" w:cs="Arial"/>
          <w:sz w:val="24"/>
          <w:szCs w:val="24"/>
          <w:lang w:eastAsia="en-GB"/>
        </w:rPr>
      </w:pPr>
      <w:r w:rsidRPr="000D59CC">
        <w:rPr>
          <w:rFonts w:ascii="Arial" w:eastAsia="Times New Roman" w:hAnsi="Arial" w:cs="Arial"/>
          <w:b/>
          <w:bCs/>
          <w:sz w:val="24"/>
          <w:szCs w:val="24"/>
          <w:lang w:eastAsia="en-GB"/>
        </w:rPr>
        <w:t>T</w:t>
      </w:r>
      <w:r w:rsidRPr="000D59CC">
        <w:rPr>
          <w:rFonts w:ascii="Arial" w:eastAsia="Times New Roman" w:hAnsi="Arial" w:cs="Arial"/>
          <w:b/>
          <w:bCs/>
          <w:sz w:val="24"/>
          <w:szCs w:val="24"/>
          <w:lang w:eastAsia="en-GB"/>
        </w:rPr>
        <w:t>reatment and intervention</w:t>
      </w:r>
    </w:p>
    <w:p w14:paraId="7124C435" w14:textId="531A51DB" w:rsidR="000D59CC" w:rsidRPr="000D59CC" w:rsidRDefault="000D59CC" w:rsidP="000D59CC">
      <w:pPr>
        <w:spacing w:before="100" w:beforeAutospacing="1" w:after="100" w:afterAutospacing="1" w:line="360" w:lineRule="auto"/>
        <w:ind w:left="360"/>
        <w:jc w:val="both"/>
        <w:rPr>
          <w:rFonts w:ascii="Arial" w:eastAsia="Times New Roman" w:hAnsi="Arial" w:cs="Arial"/>
          <w:sz w:val="24"/>
          <w:szCs w:val="24"/>
          <w:lang w:eastAsia="en-GB"/>
        </w:rPr>
      </w:pPr>
      <w:r w:rsidRPr="000D59CC">
        <w:rPr>
          <w:rFonts w:ascii="Arial" w:eastAsia="Times New Roman" w:hAnsi="Arial" w:cs="Arial"/>
          <w:sz w:val="24"/>
          <w:szCs w:val="24"/>
          <w:lang w:eastAsia="en-GB"/>
        </w:rPr>
        <w:t>A montage presents computer-aided CBT, family group sessions and telephone crisis support. This range reflects stepped-care models, which allocate resources according to severity (NICE, 2005). The simple animations of thought-bubbles and “coping toolkits” make abstract ideas tangible for young viewers (</w:t>
      </w:r>
      <w:proofErr w:type="spellStart"/>
      <w:r w:rsidRPr="000D59CC">
        <w:rPr>
          <w:rFonts w:ascii="Arial" w:eastAsia="Times New Roman" w:hAnsi="Arial" w:cs="Arial"/>
          <w:sz w:val="24"/>
          <w:szCs w:val="24"/>
          <w:lang w:eastAsia="en-GB"/>
        </w:rPr>
        <w:t>Kazdin</w:t>
      </w:r>
      <w:proofErr w:type="spellEnd"/>
      <w:r w:rsidRPr="000D59CC">
        <w:rPr>
          <w:rFonts w:ascii="Arial" w:eastAsia="Times New Roman" w:hAnsi="Arial" w:cs="Arial"/>
          <w:sz w:val="24"/>
          <w:szCs w:val="24"/>
          <w:lang w:eastAsia="en-GB"/>
        </w:rPr>
        <w:t>, 2008). Yet, the film’s brisk pace suggests quick fixes. In reality, CBT often spans 8–12 sessions, and progress fluctuates (Weisz et al., 2006). The video also omits medication management, which guidelines recommend for moderate to severe depression and ADHD (NICE, 2008; National Institute for Health Research, 2017).</w:t>
      </w:r>
    </w:p>
    <w:p w14:paraId="37C6C8ED" w14:textId="601710CD" w:rsidR="000D59CC" w:rsidRDefault="000D59CC" w:rsidP="000D59CC">
      <w:pPr>
        <w:spacing w:before="100" w:beforeAutospacing="1" w:after="100" w:afterAutospacing="1" w:line="360" w:lineRule="auto"/>
        <w:ind w:left="360"/>
        <w:rPr>
          <w:rFonts w:ascii="Arial" w:eastAsia="Times New Roman" w:hAnsi="Arial" w:cs="Arial"/>
          <w:sz w:val="24"/>
          <w:szCs w:val="24"/>
          <w:lang w:eastAsia="en-GB"/>
        </w:rPr>
      </w:pPr>
      <w:r w:rsidRPr="000D59CC">
        <w:rPr>
          <w:rFonts w:ascii="Arial" w:eastAsia="Times New Roman" w:hAnsi="Arial" w:cs="Arial"/>
          <w:b/>
          <w:bCs/>
          <w:sz w:val="24"/>
          <w:szCs w:val="24"/>
          <w:lang w:eastAsia="en-GB"/>
        </w:rPr>
        <w:t>R</w:t>
      </w:r>
      <w:r w:rsidRPr="000D59CC">
        <w:rPr>
          <w:rFonts w:ascii="Arial" w:eastAsia="Times New Roman" w:hAnsi="Arial" w:cs="Arial"/>
          <w:b/>
          <w:bCs/>
          <w:sz w:val="24"/>
          <w:szCs w:val="24"/>
          <w:lang w:eastAsia="en-GB"/>
        </w:rPr>
        <w:t>eview, transition and discharge</w:t>
      </w:r>
    </w:p>
    <w:p w14:paraId="2A881499" w14:textId="294ADB2B" w:rsidR="000D59CC" w:rsidRPr="000D59CC" w:rsidRDefault="000D59CC" w:rsidP="000D59CC">
      <w:pPr>
        <w:spacing w:before="100" w:beforeAutospacing="1" w:after="100" w:afterAutospacing="1" w:line="360" w:lineRule="auto"/>
        <w:ind w:left="360"/>
        <w:jc w:val="both"/>
        <w:rPr>
          <w:rFonts w:ascii="Arial" w:eastAsia="Times New Roman" w:hAnsi="Arial" w:cs="Arial"/>
          <w:sz w:val="24"/>
          <w:szCs w:val="24"/>
          <w:lang w:eastAsia="en-GB"/>
        </w:rPr>
      </w:pPr>
      <w:r w:rsidRPr="000D59CC">
        <w:rPr>
          <w:rFonts w:ascii="Arial" w:eastAsia="Times New Roman" w:hAnsi="Arial" w:cs="Arial"/>
          <w:sz w:val="24"/>
          <w:szCs w:val="24"/>
          <w:lang w:eastAsia="en-GB"/>
        </w:rPr>
        <w:t>In its closing section, the video sketches review points, step-down to universal services and handover to adult teams at 18. Highlighting adult-service transition addresses a known risk area: nearly 60 % of young people disengage during transfer (Paul et al., 2009). The “goal achieved” graphic underlines collaborative outcomes. However, it neglects to show joint CAMHS–AMHS meetings or detailed relapse-prevention plans—elements that research links to sustained wellbeing (Singh et al., 2010).</w:t>
      </w:r>
    </w:p>
    <w:p w14:paraId="4C1D8768" w14:textId="77777777" w:rsidR="00F944D0" w:rsidRDefault="00F944D0" w:rsidP="000D59CC">
      <w:pPr>
        <w:spacing w:before="100" w:beforeAutospacing="1" w:after="100" w:afterAutospacing="1" w:line="360" w:lineRule="auto"/>
        <w:ind w:left="360"/>
        <w:rPr>
          <w:rFonts w:ascii="Arial" w:eastAsia="Times New Roman" w:hAnsi="Arial" w:cs="Arial"/>
          <w:b/>
          <w:bCs/>
          <w:sz w:val="24"/>
          <w:szCs w:val="24"/>
          <w:lang w:eastAsia="en-GB"/>
        </w:rPr>
      </w:pPr>
    </w:p>
    <w:p w14:paraId="46A1B646" w14:textId="12EA9331" w:rsidR="000D59CC" w:rsidRPr="000D59CC" w:rsidRDefault="000D59CC" w:rsidP="000D59CC">
      <w:pPr>
        <w:spacing w:before="100" w:beforeAutospacing="1" w:after="100" w:afterAutospacing="1" w:line="360" w:lineRule="auto"/>
        <w:ind w:left="360"/>
        <w:rPr>
          <w:rFonts w:ascii="Arial" w:eastAsia="Times New Roman" w:hAnsi="Arial" w:cs="Arial"/>
          <w:b/>
          <w:bCs/>
          <w:sz w:val="24"/>
          <w:szCs w:val="24"/>
          <w:lang w:eastAsia="en-GB"/>
        </w:rPr>
      </w:pPr>
      <w:r w:rsidRPr="000D59CC">
        <w:rPr>
          <w:rFonts w:ascii="Arial" w:eastAsia="Times New Roman" w:hAnsi="Arial" w:cs="Arial"/>
          <w:b/>
          <w:bCs/>
          <w:sz w:val="24"/>
          <w:szCs w:val="24"/>
          <w:lang w:eastAsia="en-GB"/>
        </w:rPr>
        <w:t>O</w:t>
      </w:r>
      <w:r w:rsidRPr="000D59CC">
        <w:rPr>
          <w:rFonts w:ascii="Arial" w:eastAsia="Times New Roman" w:hAnsi="Arial" w:cs="Arial"/>
          <w:b/>
          <w:bCs/>
          <w:sz w:val="24"/>
          <w:szCs w:val="24"/>
          <w:lang w:eastAsia="en-GB"/>
        </w:rPr>
        <w:t>verall strengths of the video</w:t>
      </w:r>
    </w:p>
    <w:p w14:paraId="44DA67B5" w14:textId="369DB201" w:rsidR="000D59CC" w:rsidRPr="000D59CC" w:rsidRDefault="000D59CC" w:rsidP="000D59CC">
      <w:pPr>
        <w:spacing w:before="100" w:beforeAutospacing="1" w:after="100" w:afterAutospacing="1" w:line="360" w:lineRule="auto"/>
        <w:ind w:left="360"/>
        <w:jc w:val="both"/>
        <w:rPr>
          <w:rFonts w:ascii="Arial" w:eastAsia="Times New Roman" w:hAnsi="Arial" w:cs="Arial"/>
          <w:sz w:val="24"/>
          <w:szCs w:val="24"/>
          <w:lang w:eastAsia="en-GB"/>
        </w:rPr>
      </w:pPr>
      <w:r w:rsidRPr="000D59CC">
        <w:rPr>
          <w:rFonts w:ascii="Arial" w:eastAsia="Times New Roman" w:hAnsi="Arial" w:cs="Arial"/>
          <w:b/>
          <w:bCs/>
          <w:sz w:val="24"/>
          <w:szCs w:val="24"/>
          <w:lang w:eastAsia="en-GB"/>
        </w:rPr>
        <w:lastRenderedPageBreak/>
        <w:t>A</w:t>
      </w:r>
      <w:r w:rsidRPr="000D59CC">
        <w:rPr>
          <w:rFonts w:ascii="Arial" w:eastAsia="Times New Roman" w:hAnsi="Arial" w:cs="Arial"/>
          <w:b/>
          <w:bCs/>
          <w:sz w:val="24"/>
          <w:szCs w:val="24"/>
          <w:lang w:eastAsia="en-GB"/>
        </w:rPr>
        <w:t>pproachable tone and visuals</w:t>
      </w:r>
      <w:r>
        <w:rPr>
          <w:rFonts w:ascii="Arial" w:eastAsia="Times New Roman" w:hAnsi="Arial" w:cs="Arial"/>
          <w:b/>
          <w:bCs/>
          <w:sz w:val="24"/>
          <w:szCs w:val="24"/>
          <w:lang w:eastAsia="en-GB"/>
        </w:rPr>
        <w:t xml:space="preserve"> - </w:t>
      </w:r>
      <w:r w:rsidRPr="000D59CC">
        <w:rPr>
          <w:rFonts w:ascii="Arial" w:eastAsia="Times New Roman" w:hAnsi="Arial" w:cs="Arial"/>
          <w:sz w:val="24"/>
          <w:szCs w:val="24"/>
          <w:lang w:eastAsia="en-GB"/>
        </w:rPr>
        <w:t>the</w:t>
      </w:r>
      <w:r w:rsidRPr="000D59CC">
        <w:rPr>
          <w:rFonts w:ascii="Arial" w:eastAsia="Times New Roman" w:hAnsi="Arial" w:cs="Arial"/>
          <w:sz w:val="24"/>
          <w:szCs w:val="24"/>
          <w:lang w:eastAsia="en-GB"/>
        </w:rPr>
        <w:t xml:space="preserve"> narrator’s conversational style and the use of soft-coloured animations help demystify clinical settings, reducing anxiety for children and carers (Corrigan, 2014). by showing friendly waiting areas and clinicians kneeling to the child’s eye level, the film models an environment of safety and respect, which research shows encourages young people to engage with services (</w:t>
      </w:r>
      <w:proofErr w:type="spellStart"/>
      <w:r w:rsidRPr="000D59CC">
        <w:rPr>
          <w:rFonts w:ascii="Arial" w:eastAsia="Times New Roman" w:hAnsi="Arial" w:cs="Arial"/>
          <w:sz w:val="24"/>
          <w:szCs w:val="24"/>
          <w:lang w:eastAsia="en-GB"/>
        </w:rPr>
        <w:t>Rickwood</w:t>
      </w:r>
      <w:proofErr w:type="spellEnd"/>
      <w:r w:rsidRPr="000D59CC">
        <w:rPr>
          <w:rFonts w:ascii="Arial" w:eastAsia="Times New Roman" w:hAnsi="Arial" w:cs="Arial"/>
          <w:sz w:val="24"/>
          <w:szCs w:val="24"/>
          <w:lang w:eastAsia="en-GB"/>
        </w:rPr>
        <w:t xml:space="preserve"> et al., 2007).</w:t>
      </w:r>
    </w:p>
    <w:p w14:paraId="09C96126" w14:textId="031C792A" w:rsidR="000D59CC" w:rsidRPr="000D59CC" w:rsidRDefault="000D59CC" w:rsidP="000D59CC">
      <w:pPr>
        <w:spacing w:before="100" w:beforeAutospacing="1" w:after="100" w:afterAutospacing="1" w:line="360" w:lineRule="auto"/>
        <w:ind w:left="360"/>
        <w:jc w:val="both"/>
        <w:rPr>
          <w:rFonts w:ascii="Arial" w:eastAsia="Times New Roman" w:hAnsi="Arial" w:cs="Arial"/>
          <w:sz w:val="24"/>
          <w:szCs w:val="24"/>
          <w:lang w:eastAsia="en-GB"/>
        </w:rPr>
      </w:pPr>
      <w:r w:rsidRPr="000D59CC">
        <w:rPr>
          <w:rFonts w:ascii="Arial" w:eastAsia="Times New Roman" w:hAnsi="Arial" w:cs="Arial"/>
          <w:b/>
          <w:bCs/>
          <w:sz w:val="24"/>
          <w:szCs w:val="24"/>
          <w:lang w:eastAsia="en-GB"/>
        </w:rPr>
        <w:t>C</w:t>
      </w:r>
      <w:r w:rsidRPr="000D59CC">
        <w:rPr>
          <w:rFonts w:ascii="Arial" w:eastAsia="Times New Roman" w:hAnsi="Arial" w:cs="Arial"/>
          <w:b/>
          <w:bCs/>
          <w:sz w:val="24"/>
          <w:szCs w:val="24"/>
          <w:lang w:eastAsia="en-GB"/>
        </w:rPr>
        <w:t>onsistent branding</w:t>
      </w:r>
      <w:r>
        <w:rPr>
          <w:rFonts w:ascii="Arial" w:eastAsia="Times New Roman" w:hAnsi="Arial" w:cs="Arial"/>
          <w:sz w:val="24"/>
          <w:szCs w:val="24"/>
          <w:lang w:eastAsia="en-GB"/>
        </w:rPr>
        <w:t xml:space="preserve"> - </w:t>
      </w:r>
      <w:r w:rsidRPr="000D59CC">
        <w:rPr>
          <w:rFonts w:ascii="Arial" w:eastAsia="Times New Roman" w:hAnsi="Arial" w:cs="Arial"/>
          <w:sz w:val="24"/>
          <w:szCs w:val="24"/>
          <w:lang w:eastAsia="en-GB"/>
        </w:rPr>
        <w:t>the video maintains NHS visual identity throughout—logos, typography and palette—reinforcing trust and signalling that information stems from a reputable, evidence-based source (Department of Health, 2015). this cohesion supports credibility, which is critical given that families often weigh service legitimacy heavily when deciding to seek help (</w:t>
      </w:r>
      <w:proofErr w:type="spellStart"/>
      <w:r w:rsidRPr="000D59CC">
        <w:rPr>
          <w:rFonts w:ascii="Arial" w:eastAsia="Times New Roman" w:hAnsi="Arial" w:cs="Arial"/>
          <w:sz w:val="24"/>
          <w:szCs w:val="24"/>
          <w:lang w:eastAsia="en-GB"/>
        </w:rPr>
        <w:t>Stancin</w:t>
      </w:r>
      <w:proofErr w:type="spellEnd"/>
      <w:r w:rsidRPr="000D59CC">
        <w:rPr>
          <w:rFonts w:ascii="Arial" w:eastAsia="Times New Roman" w:hAnsi="Arial" w:cs="Arial"/>
          <w:sz w:val="24"/>
          <w:szCs w:val="24"/>
          <w:lang w:eastAsia="en-GB"/>
        </w:rPr>
        <w:t>, 2002).</w:t>
      </w:r>
    </w:p>
    <w:p w14:paraId="0DA0B2D8" w14:textId="260A25C1" w:rsidR="000D59CC" w:rsidRPr="000D59CC" w:rsidRDefault="000D59CC" w:rsidP="000D59CC">
      <w:pPr>
        <w:spacing w:before="100" w:beforeAutospacing="1" w:after="100" w:afterAutospacing="1" w:line="360" w:lineRule="auto"/>
        <w:ind w:left="360"/>
        <w:jc w:val="both"/>
        <w:rPr>
          <w:rFonts w:ascii="Arial" w:eastAsia="Times New Roman" w:hAnsi="Arial" w:cs="Arial"/>
          <w:sz w:val="24"/>
          <w:szCs w:val="24"/>
          <w:lang w:eastAsia="en-GB"/>
        </w:rPr>
      </w:pPr>
      <w:r w:rsidRPr="000D59CC">
        <w:rPr>
          <w:rFonts w:ascii="Arial" w:eastAsia="Times New Roman" w:hAnsi="Arial" w:cs="Arial"/>
          <w:b/>
          <w:bCs/>
          <w:sz w:val="24"/>
          <w:szCs w:val="24"/>
          <w:lang w:eastAsia="en-GB"/>
        </w:rPr>
        <w:t>E</w:t>
      </w:r>
      <w:r w:rsidRPr="000D59CC">
        <w:rPr>
          <w:rFonts w:ascii="Arial" w:eastAsia="Times New Roman" w:hAnsi="Arial" w:cs="Arial"/>
          <w:b/>
          <w:bCs/>
          <w:sz w:val="24"/>
          <w:szCs w:val="24"/>
          <w:lang w:eastAsia="en-GB"/>
        </w:rPr>
        <w:t>mpowering language</w:t>
      </w:r>
      <w:r>
        <w:rPr>
          <w:rFonts w:ascii="Arial" w:eastAsia="Times New Roman" w:hAnsi="Arial" w:cs="Arial"/>
          <w:b/>
          <w:bCs/>
          <w:sz w:val="24"/>
          <w:szCs w:val="24"/>
          <w:lang w:eastAsia="en-GB"/>
        </w:rPr>
        <w:t xml:space="preserve"> -</w:t>
      </w:r>
      <w:r w:rsidRPr="000D59CC">
        <w:rPr>
          <w:rFonts w:ascii="Arial" w:eastAsia="Times New Roman" w:hAnsi="Arial" w:cs="Arial"/>
          <w:sz w:val="24"/>
          <w:szCs w:val="24"/>
          <w:lang w:eastAsia="en-GB"/>
        </w:rPr>
        <w:t xml:space="preserve"> phrases such as “we’ll listen to what matters to you” and “together we’ll find strategies that work” position the young person as an active partner in their care, aligning with collaborative practice models shown to improve adherence and outcomes (Schoonover &amp; Henderson, 2016). this emphasis on agency counters fears of being talked about rather than spoken to, which can deter open communication (Sayal et al., 2010).</w:t>
      </w:r>
    </w:p>
    <w:p w14:paraId="68F9B93F" w14:textId="5D348573" w:rsidR="000D59CC" w:rsidRPr="000D59CC" w:rsidRDefault="000D59CC" w:rsidP="000D59CC">
      <w:pPr>
        <w:spacing w:before="100" w:beforeAutospacing="1" w:after="100" w:afterAutospacing="1" w:line="360" w:lineRule="auto"/>
        <w:ind w:left="360"/>
        <w:rPr>
          <w:rFonts w:ascii="Arial" w:eastAsia="Times New Roman" w:hAnsi="Arial" w:cs="Arial"/>
          <w:b/>
          <w:bCs/>
          <w:sz w:val="24"/>
          <w:szCs w:val="24"/>
          <w:lang w:eastAsia="en-GB"/>
        </w:rPr>
      </w:pPr>
      <w:r w:rsidRPr="000D59CC">
        <w:rPr>
          <w:rFonts w:ascii="Arial" w:eastAsia="Times New Roman" w:hAnsi="Arial" w:cs="Arial"/>
          <w:b/>
          <w:bCs/>
          <w:sz w:val="24"/>
          <w:szCs w:val="24"/>
          <w:lang w:eastAsia="en-GB"/>
        </w:rPr>
        <w:t>O</w:t>
      </w:r>
      <w:r w:rsidRPr="000D59CC">
        <w:rPr>
          <w:rFonts w:ascii="Arial" w:eastAsia="Times New Roman" w:hAnsi="Arial" w:cs="Arial"/>
          <w:b/>
          <w:bCs/>
          <w:sz w:val="24"/>
          <w:szCs w:val="24"/>
          <w:lang w:eastAsia="en-GB"/>
        </w:rPr>
        <w:t>verall weaknesses of the video</w:t>
      </w:r>
    </w:p>
    <w:p w14:paraId="4F44893E" w14:textId="161D9D3A" w:rsidR="000D59CC" w:rsidRPr="000D59CC" w:rsidRDefault="000D59CC" w:rsidP="000D59CC">
      <w:pPr>
        <w:spacing w:before="100" w:beforeAutospacing="1" w:after="100" w:afterAutospacing="1" w:line="360" w:lineRule="auto"/>
        <w:ind w:left="360"/>
        <w:jc w:val="both"/>
        <w:rPr>
          <w:rFonts w:ascii="Arial" w:eastAsia="Times New Roman" w:hAnsi="Arial" w:cs="Arial"/>
          <w:sz w:val="24"/>
          <w:szCs w:val="24"/>
          <w:lang w:eastAsia="en-GB"/>
        </w:rPr>
      </w:pPr>
      <w:r w:rsidRPr="000D59CC">
        <w:rPr>
          <w:rFonts w:ascii="Arial" w:eastAsia="Times New Roman" w:hAnsi="Arial" w:cs="Arial"/>
          <w:b/>
          <w:bCs/>
          <w:sz w:val="24"/>
          <w:szCs w:val="24"/>
          <w:lang w:eastAsia="en-GB"/>
        </w:rPr>
        <w:t>P</w:t>
      </w:r>
      <w:r w:rsidRPr="000D59CC">
        <w:rPr>
          <w:rFonts w:ascii="Arial" w:eastAsia="Times New Roman" w:hAnsi="Arial" w:cs="Arial"/>
          <w:b/>
          <w:bCs/>
          <w:sz w:val="24"/>
          <w:szCs w:val="24"/>
          <w:lang w:eastAsia="en-GB"/>
        </w:rPr>
        <w:t>rocess over personal stories</w:t>
      </w:r>
      <w:r>
        <w:rPr>
          <w:rFonts w:ascii="Arial" w:eastAsia="Times New Roman" w:hAnsi="Arial" w:cs="Arial"/>
          <w:b/>
          <w:bCs/>
          <w:sz w:val="24"/>
          <w:szCs w:val="24"/>
          <w:lang w:eastAsia="en-GB"/>
        </w:rPr>
        <w:t xml:space="preserve"> -</w:t>
      </w:r>
      <w:r w:rsidRPr="000D59CC">
        <w:rPr>
          <w:rFonts w:ascii="Arial" w:eastAsia="Times New Roman" w:hAnsi="Arial" w:cs="Arial"/>
          <w:sz w:val="24"/>
          <w:szCs w:val="24"/>
          <w:lang w:eastAsia="en-GB"/>
        </w:rPr>
        <w:t xml:space="preserve"> while the video outlines each step crisply, it misses opportunities to humanise the journey through brief interviews or follow-up clips of a young person describing progress over time. evidence suggests that service-user narratives reduce stigma and foster hope, motivating viewers to pursue support (Corrigan, 2014; </w:t>
      </w:r>
      <w:proofErr w:type="spellStart"/>
      <w:r w:rsidRPr="000D59CC">
        <w:rPr>
          <w:rFonts w:ascii="Arial" w:eastAsia="Times New Roman" w:hAnsi="Arial" w:cs="Arial"/>
          <w:sz w:val="24"/>
          <w:szCs w:val="24"/>
          <w:lang w:eastAsia="en-GB"/>
        </w:rPr>
        <w:t>Rickwood</w:t>
      </w:r>
      <w:proofErr w:type="spellEnd"/>
      <w:r w:rsidRPr="000D59CC">
        <w:rPr>
          <w:rFonts w:ascii="Arial" w:eastAsia="Times New Roman" w:hAnsi="Arial" w:cs="Arial"/>
          <w:sz w:val="24"/>
          <w:szCs w:val="24"/>
          <w:lang w:eastAsia="en-GB"/>
        </w:rPr>
        <w:t xml:space="preserve"> et al., 2007). embedding one or two concise testimonials could bridge the gap between procedural clarity and emotional connection.</w:t>
      </w:r>
    </w:p>
    <w:p w14:paraId="1351E3D2" w14:textId="685F2977" w:rsidR="000D59CC" w:rsidRPr="000D59CC" w:rsidRDefault="000D59CC" w:rsidP="000D59CC">
      <w:pPr>
        <w:spacing w:before="100" w:beforeAutospacing="1" w:after="100" w:afterAutospacing="1" w:line="360" w:lineRule="auto"/>
        <w:ind w:left="360"/>
        <w:jc w:val="both"/>
        <w:rPr>
          <w:rFonts w:ascii="Arial" w:eastAsia="Times New Roman" w:hAnsi="Arial" w:cs="Arial"/>
          <w:sz w:val="24"/>
          <w:szCs w:val="24"/>
          <w:lang w:eastAsia="en-GB"/>
        </w:rPr>
      </w:pPr>
      <w:r w:rsidRPr="000D59CC">
        <w:rPr>
          <w:rFonts w:ascii="Arial" w:eastAsia="Times New Roman" w:hAnsi="Arial" w:cs="Arial"/>
          <w:b/>
          <w:bCs/>
          <w:sz w:val="24"/>
          <w:szCs w:val="24"/>
          <w:lang w:eastAsia="en-GB"/>
        </w:rPr>
        <w:t>O</w:t>
      </w:r>
      <w:r w:rsidRPr="000D59CC">
        <w:rPr>
          <w:rFonts w:ascii="Arial" w:eastAsia="Times New Roman" w:hAnsi="Arial" w:cs="Arial"/>
          <w:b/>
          <w:bCs/>
          <w:sz w:val="24"/>
          <w:szCs w:val="24"/>
          <w:lang w:eastAsia="en-GB"/>
        </w:rPr>
        <w:t>ne-size-fits-all impression</w:t>
      </w:r>
      <w:r>
        <w:rPr>
          <w:rFonts w:ascii="Arial" w:eastAsia="Times New Roman" w:hAnsi="Arial" w:cs="Arial"/>
          <w:b/>
          <w:bCs/>
          <w:sz w:val="24"/>
          <w:szCs w:val="24"/>
          <w:lang w:eastAsia="en-GB"/>
        </w:rPr>
        <w:t xml:space="preserve"> -</w:t>
      </w:r>
      <w:r w:rsidRPr="000D59CC">
        <w:rPr>
          <w:rFonts w:ascii="Arial" w:eastAsia="Times New Roman" w:hAnsi="Arial" w:cs="Arial"/>
          <w:sz w:val="24"/>
          <w:szCs w:val="24"/>
          <w:lang w:eastAsia="en-GB"/>
        </w:rPr>
        <w:t xml:space="preserve"> by presenting a uniform pathway, the film underplays how needs, duration and intensity of support can differ dramatically—for example, a child with severe OCD may require intensive CBT plus pharmacotherapy for six months, whereas another with mild adjustment difficulties might attend just four sessions (NICE, 2005; Weisz et al., 2006). acknowledging this spectrum—perhaps through on-screen text like “this pathway adapts to each young person’s needs”—would better reflect clinical reality.</w:t>
      </w:r>
    </w:p>
    <w:p w14:paraId="479DB007" w14:textId="2BCFF856" w:rsidR="000D59CC" w:rsidRPr="000D59CC" w:rsidRDefault="000D59CC" w:rsidP="000D59CC">
      <w:pPr>
        <w:spacing w:before="100" w:beforeAutospacing="1" w:after="100" w:afterAutospacing="1" w:line="360" w:lineRule="auto"/>
        <w:ind w:left="360"/>
        <w:jc w:val="both"/>
        <w:rPr>
          <w:rFonts w:ascii="Arial" w:eastAsia="Times New Roman" w:hAnsi="Arial" w:cs="Arial"/>
          <w:sz w:val="24"/>
          <w:szCs w:val="24"/>
          <w:lang w:eastAsia="en-GB"/>
        </w:rPr>
      </w:pPr>
      <w:r w:rsidRPr="000D59CC">
        <w:rPr>
          <w:rFonts w:ascii="Arial" w:eastAsia="Times New Roman" w:hAnsi="Arial" w:cs="Arial"/>
          <w:b/>
          <w:bCs/>
          <w:sz w:val="24"/>
          <w:szCs w:val="24"/>
          <w:lang w:eastAsia="en-GB"/>
        </w:rPr>
        <w:lastRenderedPageBreak/>
        <w:t>L</w:t>
      </w:r>
      <w:r w:rsidRPr="000D59CC">
        <w:rPr>
          <w:rFonts w:ascii="Arial" w:eastAsia="Times New Roman" w:hAnsi="Arial" w:cs="Arial"/>
          <w:b/>
          <w:bCs/>
          <w:sz w:val="24"/>
          <w:szCs w:val="24"/>
          <w:lang w:eastAsia="en-GB"/>
        </w:rPr>
        <w:t>imited diversity</w:t>
      </w:r>
      <w:r>
        <w:rPr>
          <w:rFonts w:ascii="Arial" w:eastAsia="Times New Roman" w:hAnsi="Arial" w:cs="Arial"/>
          <w:b/>
          <w:bCs/>
          <w:sz w:val="24"/>
          <w:szCs w:val="24"/>
          <w:lang w:eastAsia="en-GB"/>
        </w:rPr>
        <w:t xml:space="preserve"> -</w:t>
      </w:r>
      <w:r w:rsidRPr="000D59CC">
        <w:rPr>
          <w:rFonts w:ascii="Arial" w:eastAsia="Times New Roman" w:hAnsi="Arial" w:cs="Arial"/>
          <w:sz w:val="24"/>
          <w:szCs w:val="24"/>
          <w:lang w:eastAsia="en-GB"/>
        </w:rPr>
        <w:t xml:space="preserve"> the actors and voice-over represent a narrow demographic profile, without visible ethnic minority or LGBTQ+ figures. given higher rates of mental health challenges in these groups and documented barriers to help-seeking when services feel culturally distant (McCormick et al., 2016; Russell et al., 2019), including diverse faces and scenarios would signal inclusivity and reassure underserved communities that CAMHS welcomes all backgrounds.</w:t>
      </w:r>
    </w:p>
    <w:p w14:paraId="36282B6F" w14:textId="6B7F9DF0" w:rsidR="000D59CC" w:rsidRPr="000D59CC" w:rsidRDefault="000D59CC" w:rsidP="000D59CC">
      <w:pPr>
        <w:spacing w:before="100" w:beforeAutospacing="1" w:after="100" w:afterAutospacing="1" w:line="360" w:lineRule="auto"/>
        <w:ind w:left="360"/>
        <w:rPr>
          <w:rFonts w:ascii="Arial" w:eastAsia="Times New Roman" w:hAnsi="Arial" w:cs="Arial"/>
          <w:b/>
          <w:bCs/>
          <w:sz w:val="24"/>
          <w:szCs w:val="24"/>
          <w:lang w:eastAsia="en-GB"/>
        </w:rPr>
      </w:pPr>
      <w:r w:rsidRPr="000D59CC">
        <w:rPr>
          <w:rFonts w:ascii="Arial" w:eastAsia="Times New Roman" w:hAnsi="Arial" w:cs="Arial"/>
          <w:b/>
          <w:bCs/>
          <w:sz w:val="24"/>
          <w:szCs w:val="24"/>
          <w:lang w:eastAsia="en-GB"/>
        </w:rPr>
        <w:t>K</w:t>
      </w:r>
      <w:r w:rsidRPr="000D59CC">
        <w:rPr>
          <w:rFonts w:ascii="Arial" w:eastAsia="Times New Roman" w:hAnsi="Arial" w:cs="Arial"/>
          <w:b/>
          <w:bCs/>
          <w:sz w:val="24"/>
          <w:szCs w:val="24"/>
          <w:lang w:eastAsia="en-GB"/>
        </w:rPr>
        <w:t>ey approaches and their impact</w:t>
      </w:r>
    </w:p>
    <w:p w14:paraId="3E171565" w14:textId="77777777" w:rsidR="000D59CC" w:rsidRPr="000D59CC" w:rsidRDefault="000D59CC" w:rsidP="000D59CC">
      <w:pPr>
        <w:spacing w:before="100" w:beforeAutospacing="1" w:after="100" w:afterAutospacing="1" w:line="360" w:lineRule="auto"/>
        <w:ind w:left="360"/>
        <w:jc w:val="both"/>
        <w:rPr>
          <w:rFonts w:ascii="Arial" w:eastAsia="Times New Roman" w:hAnsi="Arial" w:cs="Arial"/>
          <w:sz w:val="24"/>
          <w:szCs w:val="24"/>
          <w:lang w:eastAsia="en-GB"/>
        </w:rPr>
      </w:pPr>
      <w:r w:rsidRPr="000D59CC">
        <w:rPr>
          <w:rFonts w:ascii="Arial" w:eastAsia="Times New Roman" w:hAnsi="Arial" w:cs="Arial"/>
          <w:b/>
          <w:bCs/>
          <w:sz w:val="24"/>
          <w:szCs w:val="24"/>
          <w:lang w:eastAsia="en-GB"/>
        </w:rPr>
        <w:t>cognitive behavioural therapy (CBT):</w:t>
      </w:r>
      <w:r w:rsidRPr="000D59CC">
        <w:rPr>
          <w:rFonts w:ascii="Arial" w:eastAsia="Times New Roman" w:hAnsi="Arial" w:cs="Arial"/>
          <w:sz w:val="24"/>
          <w:szCs w:val="24"/>
          <w:lang w:eastAsia="en-GB"/>
        </w:rPr>
        <w:t xml:space="preserve"> Demonstrated to reduce anxiety and depressive symptoms in 60–70 % of adolescents (Kendall et al., 2008).</w:t>
      </w:r>
    </w:p>
    <w:p w14:paraId="169C95E4" w14:textId="77777777" w:rsidR="000D59CC" w:rsidRPr="000D59CC" w:rsidRDefault="000D59CC" w:rsidP="000D59CC">
      <w:pPr>
        <w:spacing w:before="100" w:beforeAutospacing="1" w:after="100" w:afterAutospacing="1" w:line="360" w:lineRule="auto"/>
        <w:ind w:left="360"/>
        <w:jc w:val="both"/>
        <w:rPr>
          <w:rFonts w:ascii="Arial" w:eastAsia="Times New Roman" w:hAnsi="Arial" w:cs="Arial"/>
          <w:sz w:val="24"/>
          <w:szCs w:val="24"/>
          <w:lang w:eastAsia="en-GB"/>
        </w:rPr>
      </w:pPr>
      <w:r w:rsidRPr="000D59CC">
        <w:rPr>
          <w:rFonts w:ascii="Arial" w:eastAsia="Times New Roman" w:hAnsi="Arial" w:cs="Arial"/>
          <w:b/>
          <w:bCs/>
          <w:sz w:val="24"/>
          <w:szCs w:val="24"/>
          <w:lang w:eastAsia="en-GB"/>
        </w:rPr>
        <w:t>family therapy:</w:t>
      </w:r>
      <w:r w:rsidRPr="000D59CC">
        <w:rPr>
          <w:rFonts w:ascii="Arial" w:eastAsia="Times New Roman" w:hAnsi="Arial" w:cs="Arial"/>
          <w:sz w:val="24"/>
          <w:szCs w:val="24"/>
          <w:lang w:eastAsia="en-GB"/>
        </w:rPr>
        <w:t xml:space="preserve"> Improves communication and lowers parental distress, which in turn supports child recovery (</w:t>
      </w:r>
      <w:proofErr w:type="spellStart"/>
      <w:r w:rsidRPr="000D59CC">
        <w:rPr>
          <w:rFonts w:ascii="Arial" w:eastAsia="Times New Roman" w:hAnsi="Arial" w:cs="Arial"/>
          <w:sz w:val="24"/>
          <w:szCs w:val="24"/>
          <w:lang w:eastAsia="en-GB"/>
        </w:rPr>
        <w:t>Carr</w:t>
      </w:r>
      <w:proofErr w:type="spellEnd"/>
      <w:r w:rsidRPr="000D59CC">
        <w:rPr>
          <w:rFonts w:ascii="Arial" w:eastAsia="Times New Roman" w:hAnsi="Arial" w:cs="Arial"/>
          <w:sz w:val="24"/>
          <w:szCs w:val="24"/>
          <w:lang w:eastAsia="en-GB"/>
        </w:rPr>
        <w:t>, 2009).</w:t>
      </w:r>
    </w:p>
    <w:p w14:paraId="102F0946" w14:textId="77777777" w:rsidR="000D59CC" w:rsidRPr="000D59CC" w:rsidRDefault="000D59CC" w:rsidP="000D59CC">
      <w:pPr>
        <w:spacing w:before="100" w:beforeAutospacing="1" w:after="100" w:afterAutospacing="1" w:line="360" w:lineRule="auto"/>
        <w:ind w:left="360"/>
        <w:jc w:val="both"/>
        <w:rPr>
          <w:rFonts w:ascii="Arial" w:eastAsia="Times New Roman" w:hAnsi="Arial" w:cs="Arial"/>
          <w:sz w:val="24"/>
          <w:szCs w:val="24"/>
          <w:lang w:eastAsia="en-GB"/>
        </w:rPr>
      </w:pPr>
      <w:r w:rsidRPr="000D59CC">
        <w:rPr>
          <w:rFonts w:ascii="Arial" w:eastAsia="Times New Roman" w:hAnsi="Arial" w:cs="Arial"/>
          <w:b/>
          <w:bCs/>
          <w:sz w:val="24"/>
          <w:szCs w:val="24"/>
          <w:lang w:eastAsia="en-GB"/>
        </w:rPr>
        <w:t>crisis phone support:</w:t>
      </w:r>
      <w:r w:rsidRPr="000D59CC">
        <w:rPr>
          <w:rFonts w:ascii="Arial" w:eastAsia="Times New Roman" w:hAnsi="Arial" w:cs="Arial"/>
          <w:sz w:val="24"/>
          <w:szCs w:val="24"/>
          <w:lang w:eastAsia="en-GB"/>
        </w:rPr>
        <w:t xml:space="preserve"> Provides rapid risk management, preventing emergency admissions when offered within 24 hours (Goldberg et al., 2015).</w:t>
      </w:r>
    </w:p>
    <w:p w14:paraId="778373CE" w14:textId="77777777" w:rsidR="000D59CC" w:rsidRPr="000D59CC" w:rsidRDefault="000D59CC" w:rsidP="000D59CC">
      <w:pPr>
        <w:spacing w:before="100" w:beforeAutospacing="1" w:after="100" w:afterAutospacing="1" w:line="360" w:lineRule="auto"/>
        <w:ind w:left="360"/>
        <w:jc w:val="both"/>
        <w:rPr>
          <w:rFonts w:ascii="Arial" w:eastAsia="Times New Roman" w:hAnsi="Arial" w:cs="Arial"/>
          <w:sz w:val="24"/>
          <w:szCs w:val="24"/>
          <w:lang w:eastAsia="en-GB"/>
        </w:rPr>
      </w:pPr>
      <w:r w:rsidRPr="000D59CC">
        <w:rPr>
          <w:rFonts w:ascii="Arial" w:eastAsia="Times New Roman" w:hAnsi="Arial" w:cs="Arial"/>
          <w:b/>
          <w:bCs/>
          <w:sz w:val="24"/>
          <w:szCs w:val="24"/>
          <w:lang w:eastAsia="en-GB"/>
        </w:rPr>
        <w:t>community signposting:</w:t>
      </w:r>
      <w:r w:rsidRPr="000D59CC">
        <w:rPr>
          <w:rFonts w:ascii="Arial" w:eastAsia="Times New Roman" w:hAnsi="Arial" w:cs="Arial"/>
          <w:sz w:val="24"/>
          <w:szCs w:val="24"/>
          <w:lang w:eastAsia="en-GB"/>
        </w:rPr>
        <w:t xml:space="preserve"> Engages peer support and third-sector resources, building resilience and reducing isolation (Barry &amp; Jenkins, 2007).</w:t>
      </w:r>
    </w:p>
    <w:p w14:paraId="08FE9A94" w14:textId="77777777" w:rsidR="000D59CC" w:rsidRPr="000D59CC" w:rsidRDefault="000D59CC" w:rsidP="000D59CC">
      <w:pPr>
        <w:spacing w:before="100" w:beforeAutospacing="1" w:after="100" w:afterAutospacing="1" w:line="360" w:lineRule="auto"/>
        <w:ind w:left="360"/>
        <w:jc w:val="both"/>
        <w:rPr>
          <w:rFonts w:ascii="Arial" w:eastAsia="Times New Roman" w:hAnsi="Arial" w:cs="Arial"/>
          <w:sz w:val="24"/>
          <w:szCs w:val="24"/>
          <w:lang w:eastAsia="en-GB"/>
        </w:rPr>
      </w:pPr>
      <w:r w:rsidRPr="000D59CC">
        <w:rPr>
          <w:rFonts w:ascii="Arial" w:eastAsia="Times New Roman" w:hAnsi="Arial" w:cs="Arial"/>
          <w:sz w:val="24"/>
          <w:szCs w:val="24"/>
          <w:lang w:eastAsia="en-GB"/>
        </w:rPr>
        <w:t>implications at each stage</w:t>
      </w:r>
    </w:p>
    <w:p w14:paraId="2A7CD33E" w14:textId="77777777" w:rsidR="000D59CC" w:rsidRPr="000D59CC" w:rsidRDefault="000D59CC" w:rsidP="000D59CC">
      <w:pPr>
        <w:spacing w:before="100" w:beforeAutospacing="1" w:after="100" w:afterAutospacing="1" w:line="360" w:lineRule="auto"/>
        <w:ind w:left="360"/>
        <w:jc w:val="both"/>
        <w:rPr>
          <w:rFonts w:ascii="Arial" w:eastAsia="Times New Roman" w:hAnsi="Arial" w:cs="Arial"/>
          <w:sz w:val="24"/>
          <w:szCs w:val="24"/>
          <w:lang w:eastAsia="en-GB"/>
        </w:rPr>
      </w:pPr>
      <w:r w:rsidRPr="000D59CC">
        <w:rPr>
          <w:rFonts w:ascii="Arial" w:eastAsia="Times New Roman" w:hAnsi="Arial" w:cs="Arial"/>
          <w:b/>
          <w:bCs/>
          <w:sz w:val="24"/>
          <w:szCs w:val="24"/>
          <w:lang w:eastAsia="en-GB"/>
        </w:rPr>
        <w:t>referral delays</w:t>
      </w:r>
      <w:r w:rsidRPr="000D59CC">
        <w:rPr>
          <w:rFonts w:ascii="Arial" w:eastAsia="Times New Roman" w:hAnsi="Arial" w:cs="Arial"/>
          <w:sz w:val="24"/>
          <w:szCs w:val="24"/>
          <w:lang w:eastAsia="en-GB"/>
        </w:rPr>
        <w:t xml:space="preserve"> may allow disorders to deepen, complicating treatments and inflating costs (Hollis et al., 2018).</w:t>
      </w:r>
    </w:p>
    <w:p w14:paraId="11C0C333" w14:textId="77777777" w:rsidR="000D59CC" w:rsidRPr="000D59CC" w:rsidRDefault="000D59CC" w:rsidP="000D59CC">
      <w:pPr>
        <w:spacing w:before="100" w:beforeAutospacing="1" w:after="100" w:afterAutospacing="1" w:line="360" w:lineRule="auto"/>
        <w:ind w:left="360"/>
        <w:jc w:val="both"/>
        <w:rPr>
          <w:rFonts w:ascii="Arial" w:eastAsia="Times New Roman" w:hAnsi="Arial" w:cs="Arial"/>
          <w:sz w:val="24"/>
          <w:szCs w:val="24"/>
          <w:lang w:eastAsia="en-GB"/>
        </w:rPr>
      </w:pPr>
      <w:r w:rsidRPr="000D59CC">
        <w:rPr>
          <w:rFonts w:ascii="Arial" w:eastAsia="Times New Roman" w:hAnsi="Arial" w:cs="Arial"/>
          <w:b/>
          <w:bCs/>
          <w:sz w:val="24"/>
          <w:szCs w:val="24"/>
          <w:lang w:eastAsia="en-GB"/>
        </w:rPr>
        <w:t>inadequate assessments</w:t>
      </w:r>
      <w:r w:rsidRPr="000D59CC">
        <w:rPr>
          <w:rFonts w:ascii="Arial" w:eastAsia="Times New Roman" w:hAnsi="Arial" w:cs="Arial"/>
          <w:sz w:val="24"/>
          <w:szCs w:val="24"/>
          <w:lang w:eastAsia="en-GB"/>
        </w:rPr>
        <w:t xml:space="preserve"> risk overlooking co-occurring issues such as ADHD with anxiety, leading to partial responses (Ford et al., 2008).</w:t>
      </w:r>
    </w:p>
    <w:p w14:paraId="2B0D2E8E" w14:textId="77777777" w:rsidR="000D59CC" w:rsidRPr="000D59CC" w:rsidRDefault="000D59CC" w:rsidP="000D59CC">
      <w:pPr>
        <w:spacing w:before="100" w:beforeAutospacing="1" w:after="100" w:afterAutospacing="1" w:line="360" w:lineRule="auto"/>
        <w:ind w:left="360"/>
        <w:jc w:val="both"/>
        <w:rPr>
          <w:rFonts w:ascii="Arial" w:eastAsia="Times New Roman" w:hAnsi="Arial" w:cs="Arial"/>
          <w:sz w:val="24"/>
          <w:szCs w:val="24"/>
          <w:lang w:eastAsia="en-GB"/>
        </w:rPr>
      </w:pPr>
      <w:r w:rsidRPr="000D59CC">
        <w:rPr>
          <w:rFonts w:ascii="Arial" w:eastAsia="Times New Roman" w:hAnsi="Arial" w:cs="Arial"/>
          <w:b/>
          <w:bCs/>
          <w:sz w:val="24"/>
          <w:szCs w:val="24"/>
          <w:lang w:eastAsia="en-GB"/>
        </w:rPr>
        <w:t>insufficient therapy sessions</w:t>
      </w:r>
      <w:r w:rsidRPr="000D59CC">
        <w:rPr>
          <w:rFonts w:ascii="Arial" w:eastAsia="Times New Roman" w:hAnsi="Arial" w:cs="Arial"/>
          <w:sz w:val="24"/>
          <w:szCs w:val="24"/>
          <w:lang w:eastAsia="en-GB"/>
        </w:rPr>
        <w:t xml:space="preserve"> frequently leave residual symptoms, prompting re-referral (Weisz et al., 2006).</w:t>
      </w:r>
    </w:p>
    <w:p w14:paraId="33BFCBD0" w14:textId="77777777" w:rsidR="000D59CC" w:rsidRPr="000D59CC" w:rsidRDefault="000D59CC" w:rsidP="000D59CC">
      <w:pPr>
        <w:spacing w:before="100" w:beforeAutospacing="1" w:after="100" w:afterAutospacing="1" w:line="360" w:lineRule="auto"/>
        <w:ind w:left="360"/>
        <w:jc w:val="both"/>
        <w:rPr>
          <w:rFonts w:ascii="Arial" w:eastAsia="Times New Roman" w:hAnsi="Arial" w:cs="Arial"/>
          <w:sz w:val="24"/>
          <w:szCs w:val="24"/>
          <w:lang w:eastAsia="en-GB"/>
        </w:rPr>
      </w:pPr>
      <w:r w:rsidRPr="000D59CC">
        <w:rPr>
          <w:rFonts w:ascii="Arial" w:eastAsia="Times New Roman" w:hAnsi="Arial" w:cs="Arial"/>
          <w:b/>
          <w:bCs/>
          <w:sz w:val="24"/>
          <w:szCs w:val="24"/>
          <w:lang w:eastAsia="en-GB"/>
        </w:rPr>
        <w:t>weak discharge planning</w:t>
      </w:r>
      <w:r w:rsidRPr="000D59CC">
        <w:rPr>
          <w:rFonts w:ascii="Arial" w:eastAsia="Times New Roman" w:hAnsi="Arial" w:cs="Arial"/>
          <w:sz w:val="24"/>
          <w:szCs w:val="24"/>
          <w:lang w:eastAsia="en-GB"/>
        </w:rPr>
        <w:t xml:space="preserve"> can trigger relapse or loss of support, especially during the CAMHS–AMHS handover (Singh et al., 2010).</w:t>
      </w:r>
    </w:p>
    <w:p w14:paraId="39FF64A9" w14:textId="77777777" w:rsidR="000D59CC" w:rsidRDefault="000D59CC" w:rsidP="000D59CC">
      <w:pPr>
        <w:spacing w:before="100" w:beforeAutospacing="1" w:after="100" w:afterAutospacing="1" w:line="360" w:lineRule="auto"/>
        <w:ind w:left="360"/>
        <w:rPr>
          <w:rFonts w:ascii="Arial" w:eastAsia="Times New Roman" w:hAnsi="Arial" w:cs="Arial"/>
          <w:b/>
          <w:bCs/>
          <w:sz w:val="24"/>
          <w:szCs w:val="24"/>
          <w:lang w:eastAsia="en-GB"/>
        </w:rPr>
      </w:pPr>
    </w:p>
    <w:p w14:paraId="1594A6E3" w14:textId="6476BB61" w:rsidR="000D59CC" w:rsidRPr="000D59CC" w:rsidRDefault="000D59CC" w:rsidP="000D59CC">
      <w:pPr>
        <w:spacing w:before="100" w:beforeAutospacing="1" w:after="100" w:afterAutospacing="1" w:line="360" w:lineRule="auto"/>
        <w:ind w:left="360"/>
        <w:rPr>
          <w:rFonts w:ascii="Arial" w:eastAsia="Times New Roman" w:hAnsi="Arial" w:cs="Arial"/>
          <w:sz w:val="24"/>
          <w:szCs w:val="24"/>
          <w:lang w:eastAsia="en-GB"/>
        </w:rPr>
      </w:pPr>
      <w:r w:rsidRPr="000D59CC">
        <w:rPr>
          <w:rFonts w:ascii="Arial" w:eastAsia="Times New Roman" w:hAnsi="Arial" w:cs="Arial"/>
          <w:b/>
          <w:bCs/>
          <w:sz w:val="24"/>
          <w:szCs w:val="24"/>
          <w:lang w:eastAsia="en-GB"/>
        </w:rPr>
        <w:lastRenderedPageBreak/>
        <w:t>C</w:t>
      </w:r>
      <w:r w:rsidRPr="000D59CC">
        <w:rPr>
          <w:rFonts w:ascii="Arial" w:eastAsia="Times New Roman" w:hAnsi="Arial" w:cs="Arial"/>
          <w:b/>
          <w:bCs/>
          <w:sz w:val="24"/>
          <w:szCs w:val="24"/>
          <w:lang w:eastAsia="en-GB"/>
        </w:rPr>
        <w:t>onclusion</w:t>
      </w:r>
      <w:r w:rsidRPr="000D59CC">
        <w:rPr>
          <w:rFonts w:ascii="Arial" w:eastAsia="Times New Roman" w:hAnsi="Arial" w:cs="Arial"/>
          <w:sz w:val="24"/>
          <w:szCs w:val="24"/>
          <w:lang w:eastAsia="en-GB"/>
        </w:rPr>
        <w:br/>
      </w:r>
    </w:p>
    <w:p w14:paraId="5FFAB650" w14:textId="0FAA7252" w:rsidR="000D59CC" w:rsidRDefault="000D59CC" w:rsidP="000D59CC">
      <w:pPr>
        <w:spacing w:before="100" w:beforeAutospacing="1" w:after="100" w:afterAutospacing="1" w:line="360" w:lineRule="auto"/>
        <w:ind w:left="360"/>
        <w:jc w:val="both"/>
        <w:rPr>
          <w:rFonts w:ascii="Arial" w:eastAsia="Times New Roman" w:hAnsi="Arial" w:cs="Arial"/>
          <w:sz w:val="24"/>
          <w:szCs w:val="24"/>
          <w:lang w:eastAsia="en-GB"/>
        </w:rPr>
      </w:pPr>
      <w:r w:rsidRPr="000D59CC">
        <w:rPr>
          <w:rFonts w:ascii="Arial" w:eastAsia="Times New Roman" w:hAnsi="Arial" w:cs="Arial"/>
          <w:sz w:val="24"/>
          <w:szCs w:val="24"/>
          <w:lang w:eastAsia="en-GB"/>
        </w:rPr>
        <w:t>The CAMHS video succeeds in making a complex service transparent and less daunting through child-friendly visuals and clear messaging. Yet, its streamlined narrative glosses over real-world hurdles: lengthy waits, nuanced formulations, medication options, diversity considerations and high-risk transitions. To deepen its impact, future editions should weave in authentic success stories, display wait-time data, showcase diverse users and illustrate detailed discharge plans. Such enhancements would not only inform but also forge genuine connections with the young people and families CAMHS strives to support.</w:t>
      </w:r>
    </w:p>
    <w:p w14:paraId="18F07282" w14:textId="5B6599FA" w:rsidR="000D59CC" w:rsidRDefault="000D59CC" w:rsidP="000D59CC">
      <w:pPr>
        <w:spacing w:before="100" w:beforeAutospacing="1" w:after="100" w:afterAutospacing="1" w:line="360" w:lineRule="auto"/>
        <w:ind w:left="360"/>
        <w:jc w:val="both"/>
        <w:rPr>
          <w:rFonts w:ascii="Arial" w:eastAsia="Times New Roman" w:hAnsi="Arial" w:cs="Arial"/>
          <w:sz w:val="24"/>
          <w:szCs w:val="24"/>
          <w:lang w:eastAsia="en-GB"/>
        </w:rPr>
      </w:pPr>
    </w:p>
    <w:p w14:paraId="70B8A170" w14:textId="04EA31A5" w:rsidR="00126DC2" w:rsidRDefault="00F944D0" w:rsidP="00126DC2">
      <w:pPr>
        <w:spacing w:before="100" w:beforeAutospacing="1" w:after="100" w:afterAutospacing="1" w:line="360" w:lineRule="auto"/>
        <w:rPr>
          <w:rFonts w:ascii="Arial" w:eastAsia="Times New Roman" w:hAnsi="Arial" w:cs="Arial"/>
          <w:sz w:val="24"/>
          <w:szCs w:val="24"/>
          <w:lang w:eastAsia="en-GB"/>
        </w:rPr>
      </w:pPr>
      <w:r>
        <w:rPr>
          <w:noProof/>
        </w:rPr>
        <w:lastRenderedPageBreak/>
        <w:drawing>
          <wp:inline distT="0" distB="0" distL="0" distR="0" wp14:anchorId="277F462F" wp14:editId="0383E81E">
            <wp:extent cx="5781675" cy="886333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81675" cy="8863330"/>
                    </a:xfrm>
                    <a:prstGeom prst="rect">
                      <a:avLst/>
                    </a:prstGeom>
                  </pic:spPr>
                </pic:pic>
              </a:graphicData>
            </a:graphic>
          </wp:inline>
        </w:drawing>
      </w:r>
    </w:p>
    <w:p w14:paraId="0302A570" w14:textId="3AFEE85D" w:rsidR="00545F33" w:rsidRDefault="00545F33" w:rsidP="00126DC2">
      <w:pPr>
        <w:spacing w:before="100" w:beforeAutospacing="1" w:after="100" w:afterAutospacing="1" w:line="360" w:lineRule="auto"/>
        <w:rPr>
          <w:rFonts w:ascii="Arial" w:eastAsia="Times New Roman" w:hAnsi="Arial" w:cs="Arial"/>
          <w:b/>
          <w:bCs/>
          <w:sz w:val="24"/>
          <w:szCs w:val="24"/>
          <w:lang w:eastAsia="en-GB"/>
        </w:rPr>
      </w:pPr>
    </w:p>
    <w:p w14:paraId="42E760FB" w14:textId="77777777" w:rsidR="00545F33" w:rsidRDefault="00545F33" w:rsidP="00126DC2">
      <w:pPr>
        <w:spacing w:before="100" w:beforeAutospacing="1" w:after="100" w:afterAutospacing="1" w:line="360" w:lineRule="auto"/>
        <w:rPr>
          <w:rFonts w:ascii="Arial" w:eastAsia="Times New Roman" w:hAnsi="Arial" w:cs="Arial"/>
          <w:b/>
          <w:bCs/>
          <w:sz w:val="24"/>
          <w:szCs w:val="24"/>
          <w:lang w:eastAsia="en-GB"/>
        </w:rPr>
      </w:pPr>
    </w:p>
    <w:p w14:paraId="1027DD05" w14:textId="1791794E" w:rsidR="00126DC2" w:rsidRPr="006566A8" w:rsidRDefault="00126DC2" w:rsidP="00126DC2">
      <w:pPr>
        <w:spacing w:before="100" w:beforeAutospacing="1" w:after="100" w:afterAutospacing="1" w:line="360" w:lineRule="auto"/>
        <w:rPr>
          <w:rFonts w:ascii="Arial" w:eastAsia="Times New Roman" w:hAnsi="Arial" w:cs="Arial"/>
          <w:b/>
          <w:bCs/>
          <w:sz w:val="24"/>
          <w:szCs w:val="24"/>
          <w:lang w:eastAsia="en-GB"/>
        </w:rPr>
      </w:pPr>
      <w:r w:rsidRPr="00126DC2">
        <w:rPr>
          <w:rFonts w:ascii="Arial" w:eastAsia="Times New Roman" w:hAnsi="Arial" w:cs="Arial"/>
          <w:b/>
          <w:bCs/>
          <w:sz w:val="24"/>
          <w:szCs w:val="24"/>
          <w:lang w:eastAsia="en-GB"/>
        </w:rPr>
        <w:t>Blog 1: Right to Education</w:t>
      </w:r>
      <w:r w:rsidRPr="00126DC2">
        <w:rPr>
          <w:rFonts w:ascii="Arial" w:eastAsia="Times New Roman" w:hAnsi="Arial" w:cs="Arial"/>
          <w:b/>
          <w:bCs/>
          <w:sz w:val="24"/>
          <w:szCs w:val="24"/>
          <w:lang w:eastAsia="en-GB"/>
        </w:rPr>
        <w:br/>
      </w:r>
    </w:p>
    <w:p w14:paraId="7ECE7E06" w14:textId="4E46E0B8" w:rsidR="00126DC2" w:rsidRPr="00126DC2" w:rsidRDefault="00126DC2" w:rsidP="006566A8">
      <w:pPr>
        <w:spacing w:before="100" w:beforeAutospacing="1" w:after="100" w:afterAutospacing="1" w:line="360" w:lineRule="auto"/>
        <w:jc w:val="both"/>
        <w:rPr>
          <w:rFonts w:ascii="Arial" w:eastAsia="Times New Roman" w:hAnsi="Arial" w:cs="Arial"/>
          <w:sz w:val="24"/>
          <w:szCs w:val="24"/>
          <w:lang w:eastAsia="en-GB"/>
        </w:rPr>
      </w:pPr>
      <w:r w:rsidRPr="00126DC2">
        <w:rPr>
          <w:rFonts w:ascii="Arial" w:eastAsia="Times New Roman" w:hAnsi="Arial" w:cs="Arial"/>
          <w:sz w:val="24"/>
          <w:szCs w:val="24"/>
          <w:lang w:eastAsia="en-GB"/>
        </w:rPr>
        <w:t xml:space="preserve">The United Nations Convention on the Rights of the Child (UNCRC) guarantees every child’s right to education (Article 28). Education fuels cognitive, social and emotional growth, laying the groundwork for lifelong wellbeing. Bronfenbrenner’s ecological systems theory demonstrates how microsystems (family, school) and </w:t>
      </w:r>
      <w:proofErr w:type="spellStart"/>
      <w:r w:rsidRPr="00126DC2">
        <w:rPr>
          <w:rFonts w:ascii="Arial" w:eastAsia="Times New Roman" w:hAnsi="Arial" w:cs="Arial"/>
          <w:sz w:val="24"/>
          <w:szCs w:val="24"/>
          <w:lang w:eastAsia="en-GB"/>
        </w:rPr>
        <w:t>exosystems</w:t>
      </w:r>
      <w:proofErr w:type="spellEnd"/>
      <w:r w:rsidRPr="00126DC2">
        <w:rPr>
          <w:rFonts w:ascii="Arial" w:eastAsia="Times New Roman" w:hAnsi="Arial" w:cs="Arial"/>
          <w:sz w:val="24"/>
          <w:szCs w:val="24"/>
          <w:lang w:eastAsia="en-GB"/>
        </w:rPr>
        <w:t xml:space="preserve"> (educational policy) interact to shape development; when schools remain accessible and inclusive, children gain knowledge, confidence and resilience (Bronfenbrenner, 1979).</w:t>
      </w:r>
    </w:p>
    <w:p w14:paraId="52C59B86" w14:textId="77777777" w:rsidR="00126DC2" w:rsidRPr="00126DC2" w:rsidRDefault="00126DC2" w:rsidP="006566A8">
      <w:pPr>
        <w:spacing w:before="100" w:beforeAutospacing="1" w:after="100" w:afterAutospacing="1" w:line="360" w:lineRule="auto"/>
        <w:jc w:val="both"/>
        <w:rPr>
          <w:rFonts w:ascii="Arial" w:eastAsia="Times New Roman" w:hAnsi="Arial" w:cs="Arial"/>
          <w:sz w:val="24"/>
          <w:szCs w:val="24"/>
          <w:lang w:eastAsia="en-GB"/>
        </w:rPr>
      </w:pPr>
      <w:r w:rsidRPr="00126DC2">
        <w:rPr>
          <w:rFonts w:ascii="Arial" w:eastAsia="Times New Roman" w:hAnsi="Arial" w:cs="Arial"/>
          <w:sz w:val="24"/>
          <w:szCs w:val="24"/>
          <w:lang w:eastAsia="en-GB"/>
        </w:rPr>
        <w:t>Access to quality schooling protects health by fostering health literacy—children learn about nutrition, hygiene and mental wellbeing, lowering risky behaviours (</w:t>
      </w:r>
      <w:proofErr w:type="spellStart"/>
      <w:r w:rsidRPr="00126DC2">
        <w:rPr>
          <w:rFonts w:ascii="Arial" w:eastAsia="Times New Roman" w:hAnsi="Arial" w:cs="Arial"/>
          <w:sz w:val="24"/>
          <w:szCs w:val="24"/>
          <w:lang w:eastAsia="en-GB"/>
        </w:rPr>
        <w:t>Nutbeam</w:t>
      </w:r>
      <w:proofErr w:type="spellEnd"/>
      <w:r w:rsidRPr="00126DC2">
        <w:rPr>
          <w:rFonts w:ascii="Arial" w:eastAsia="Times New Roman" w:hAnsi="Arial" w:cs="Arial"/>
          <w:sz w:val="24"/>
          <w:szCs w:val="24"/>
          <w:lang w:eastAsia="en-GB"/>
        </w:rPr>
        <w:t xml:space="preserve">, 2000). Attendance also builds peer connections, easing anxiety and depression (World Health Organization, 2012). Furthermore, teachers can spot developmental or emotional concerns early and refer children to support services, which accelerates intervention and preserves wellbeing (Weare &amp; </w:t>
      </w:r>
      <w:proofErr w:type="spellStart"/>
      <w:r w:rsidRPr="00126DC2">
        <w:rPr>
          <w:rFonts w:ascii="Arial" w:eastAsia="Times New Roman" w:hAnsi="Arial" w:cs="Arial"/>
          <w:sz w:val="24"/>
          <w:szCs w:val="24"/>
          <w:lang w:eastAsia="en-GB"/>
        </w:rPr>
        <w:t>Nind</w:t>
      </w:r>
      <w:proofErr w:type="spellEnd"/>
      <w:r w:rsidRPr="00126DC2">
        <w:rPr>
          <w:rFonts w:ascii="Arial" w:eastAsia="Times New Roman" w:hAnsi="Arial" w:cs="Arial"/>
          <w:sz w:val="24"/>
          <w:szCs w:val="24"/>
          <w:lang w:eastAsia="en-GB"/>
        </w:rPr>
        <w:t>, 2011).</w:t>
      </w:r>
    </w:p>
    <w:p w14:paraId="01EC3A87" w14:textId="77777777" w:rsidR="00126DC2" w:rsidRPr="00126DC2" w:rsidRDefault="00126DC2" w:rsidP="006566A8">
      <w:pPr>
        <w:spacing w:before="100" w:beforeAutospacing="1" w:after="100" w:afterAutospacing="1" w:line="360" w:lineRule="auto"/>
        <w:jc w:val="both"/>
        <w:rPr>
          <w:rFonts w:ascii="Arial" w:eastAsia="Times New Roman" w:hAnsi="Arial" w:cs="Arial"/>
          <w:sz w:val="24"/>
          <w:szCs w:val="24"/>
          <w:lang w:eastAsia="en-GB"/>
        </w:rPr>
      </w:pPr>
      <w:r w:rsidRPr="00126DC2">
        <w:rPr>
          <w:rFonts w:ascii="Arial" w:eastAsia="Times New Roman" w:hAnsi="Arial" w:cs="Arial"/>
          <w:sz w:val="24"/>
          <w:szCs w:val="24"/>
          <w:lang w:eastAsia="en-GB"/>
        </w:rPr>
        <w:t>Ensuring education for marginalised groups—including girls, children with disabilities and refugees—reduces inequality. Rights-based theory obliges states to adapt curricula and facilities to every child’s needs, from ramps for wheelchair users to culturally responsive teaching, safeguarding inclusion (Tomaszewski, 2013). Maslow’s hierarchy places learning in the esteem and self-actualisation tiers: when children master skills, they feel empowered, which bolsters mental health (Maslow, 1943).</w:t>
      </w:r>
    </w:p>
    <w:p w14:paraId="5E8DEE29" w14:textId="77777777" w:rsidR="00126DC2" w:rsidRPr="00126DC2" w:rsidRDefault="00126DC2" w:rsidP="006566A8">
      <w:pPr>
        <w:spacing w:before="100" w:beforeAutospacing="1" w:after="100" w:afterAutospacing="1" w:line="360" w:lineRule="auto"/>
        <w:jc w:val="both"/>
        <w:rPr>
          <w:rFonts w:ascii="Arial" w:eastAsia="Times New Roman" w:hAnsi="Arial" w:cs="Arial"/>
          <w:sz w:val="24"/>
          <w:szCs w:val="24"/>
          <w:lang w:eastAsia="en-GB"/>
        </w:rPr>
      </w:pPr>
      <w:r w:rsidRPr="00126DC2">
        <w:rPr>
          <w:rFonts w:ascii="Arial" w:eastAsia="Times New Roman" w:hAnsi="Arial" w:cs="Arial"/>
          <w:sz w:val="24"/>
          <w:szCs w:val="24"/>
          <w:lang w:eastAsia="en-GB"/>
        </w:rPr>
        <w:t>Inclusive schooling supports protective factors identified in resilience theory, such as supportive relationships and a sense of belonging, enabling children to navigate adversity (Masten, 2001). In sum, the right to education extends beyond basic literacy; it cultivates informed, confident individuals who make healthier choices. By embedding this right into policy and practice, societies protect children’s health and craft environments where young people flourish.</w:t>
      </w:r>
    </w:p>
    <w:p w14:paraId="05F570E2" w14:textId="77777777" w:rsidR="00126DC2" w:rsidRDefault="00126DC2" w:rsidP="006566A8">
      <w:pPr>
        <w:spacing w:before="100" w:beforeAutospacing="1" w:after="100" w:afterAutospacing="1" w:line="360" w:lineRule="auto"/>
        <w:jc w:val="both"/>
        <w:rPr>
          <w:rFonts w:ascii="Arial" w:eastAsia="Times New Roman" w:hAnsi="Arial" w:cs="Arial"/>
          <w:sz w:val="24"/>
          <w:szCs w:val="24"/>
          <w:lang w:eastAsia="en-GB"/>
        </w:rPr>
      </w:pPr>
    </w:p>
    <w:p w14:paraId="50BA60BD" w14:textId="77777777" w:rsidR="006566A8" w:rsidRPr="006566A8" w:rsidRDefault="00126DC2" w:rsidP="00126DC2">
      <w:pPr>
        <w:spacing w:before="100" w:beforeAutospacing="1" w:after="100" w:afterAutospacing="1" w:line="360" w:lineRule="auto"/>
        <w:rPr>
          <w:rFonts w:ascii="Arial" w:eastAsia="Times New Roman" w:hAnsi="Arial" w:cs="Arial"/>
          <w:b/>
          <w:bCs/>
          <w:sz w:val="24"/>
          <w:szCs w:val="24"/>
          <w:lang w:eastAsia="en-GB"/>
        </w:rPr>
      </w:pPr>
      <w:r w:rsidRPr="00126DC2">
        <w:rPr>
          <w:rFonts w:ascii="Arial" w:eastAsia="Times New Roman" w:hAnsi="Arial" w:cs="Arial"/>
          <w:b/>
          <w:bCs/>
          <w:sz w:val="24"/>
          <w:szCs w:val="24"/>
          <w:lang w:eastAsia="en-GB"/>
        </w:rPr>
        <w:lastRenderedPageBreak/>
        <w:t>Blog 2: Right to Health</w:t>
      </w:r>
      <w:r w:rsidRPr="00126DC2">
        <w:rPr>
          <w:rFonts w:ascii="Arial" w:eastAsia="Times New Roman" w:hAnsi="Arial" w:cs="Arial"/>
          <w:b/>
          <w:bCs/>
          <w:sz w:val="24"/>
          <w:szCs w:val="24"/>
          <w:lang w:eastAsia="en-GB"/>
        </w:rPr>
        <w:br/>
      </w:r>
    </w:p>
    <w:p w14:paraId="05F67FAE" w14:textId="79F896B4" w:rsidR="00126DC2" w:rsidRPr="00126DC2" w:rsidRDefault="00126DC2" w:rsidP="006566A8">
      <w:pPr>
        <w:spacing w:before="100" w:beforeAutospacing="1" w:after="100" w:afterAutospacing="1" w:line="360" w:lineRule="auto"/>
        <w:jc w:val="both"/>
        <w:rPr>
          <w:rFonts w:ascii="Arial" w:eastAsia="Times New Roman" w:hAnsi="Arial" w:cs="Arial"/>
          <w:sz w:val="24"/>
          <w:szCs w:val="24"/>
          <w:lang w:eastAsia="en-GB"/>
        </w:rPr>
      </w:pPr>
      <w:r w:rsidRPr="00126DC2">
        <w:rPr>
          <w:rFonts w:ascii="Arial" w:eastAsia="Times New Roman" w:hAnsi="Arial" w:cs="Arial"/>
          <w:sz w:val="24"/>
          <w:szCs w:val="24"/>
          <w:lang w:eastAsia="en-GB"/>
        </w:rPr>
        <w:t>The UNCRC enshrines every child’s right to the highest attainable standard of health (Article 24). This right requires accessible healthcare, preventive programmes and health education. Social determinants theory explains that economic, environmental and social factors drive health outcomes; ensuring equity in healthcare addresses disparities early in life (Marmot, 2005).</w:t>
      </w:r>
    </w:p>
    <w:p w14:paraId="5C8CE617" w14:textId="77777777" w:rsidR="00126DC2" w:rsidRPr="00126DC2" w:rsidRDefault="00126DC2" w:rsidP="006566A8">
      <w:pPr>
        <w:spacing w:before="100" w:beforeAutospacing="1" w:after="100" w:afterAutospacing="1" w:line="360" w:lineRule="auto"/>
        <w:jc w:val="both"/>
        <w:rPr>
          <w:rFonts w:ascii="Arial" w:eastAsia="Times New Roman" w:hAnsi="Arial" w:cs="Arial"/>
          <w:sz w:val="24"/>
          <w:szCs w:val="24"/>
          <w:lang w:eastAsia="en-GB"/>
        </w:rPr>
      </w:pPr>
      <w:r w:rsidRPr="00126DC2">
        <w:rPr>
          <w:rFonts w:ascii="Arial" w:eastAsia="Times New Roman" w:hAnsi="Arial" w:cs="Arial"/>
          <w:sz w:val="24"/>
          <w:szCs w:val="24"/>
          <w:lang w:eastAsia="en-GB"/>
        </w:rPr>
        <w:t>Bronfenbrenner’s bioecological model highlights the interplay between a child’s biology and environment (Bronfenbrenner &amp; Ceci, 1994). For example, school-based immunisation programmes curb infectious diseases and safeguard community health (Fine &amp; Chen, 1992). Routine health checks uncover growth or cognitive delays, prompting timely interventions that preserve development (Davids et al., 2011).</w:t>
      </w:r>
    </w:p>
    <w:p w14:paraId="2463DCD2" w14:textId="77777777" w:rsidR="00126DC2" w:rsidRPr="00126DC2" w:rsidRDefault="00126DC2" w:rsidP="006566A8">
      <w:pPr>
        <w:spacing w:before="100" w:beforeAutospacing="1" w:after="100" w:afterAutospacing="1" w:line="360" w:lineRule="auto"/>
        <w:jc w:val="both"/>
        <w:rPr>
          <w:rFonts w:ascii="Arial" w:eastAsia="Times New Roman" w:hAnsi="Arial" w:cs="Arial"/>
          <w:sz w:val="24"/>
          <w:szCs w:val="24"/>
          <w:lang w:eastAsia="en-GB"/>
        </w:rPr>
      </w:pPr>
      <w:r w:rsidRPr="00126DC2">
        <w:rPr>
          <w:rFonts w:ascii="Arial" w:eastAsia="Times New Roman" w:hAnsi="Arial" w:cs="Arial"/>
          <w:sz w:val="24"/>
          <w:szCs w:val="24"/>
          <w:lang w:eastAsia="en-GB"/>
        </w:rPr>
        <w:t>Mental health forms a critical part of the right to health. Integrating psychological support into paediatric care tackles emotional struggles before they worsen, reducing long-term morbidity (Weisz et al., 2006). Rights-based methods obligate states to provide age-appropriate information on sexual and reproductive health, protecting adolescents from exploitation and infection (UNICEF, 2011).</w:t>
      </w:r>
    </w:p>
    <w:p w14:paraId="261B1D50" w14:textId="77777777" w:rsidR="00126DC2" w:rsidRPr="00126DC2" w:rsidRDefault="00126DC2" w:rsidP="006566A8">
      <w:pPr>
        <w:spacing w:before="100" w:beforeAutospacing="1" w:after="100" w:afterAutospacing="1" w:line="360" w:lineRule="auto"/>
        <w:jc w:val="both"/>
        <w:rPr>
          <w:rFonts w:ascii="Arial" w:eastAsia="Times New Roman" w:hAnsi="Arial" w:cs="Arial"/>
          <w:sz w:val="24"/>
          <w:szCs w:val="24"/>
          <w:lang w:eastAsia="en-GB"/>
        </w:rPr>
      </w:pPr>
      <w:r w:rsidRPr="00126DC2">
        <w:rPr>
          <w:rFonts w:ascii="Arial" w:eastAsia="Times New Roman" w:hAnsi="Arial" w:cs="Arial"/>
          <w:sz w:val="24"/>
          <w:szCs w:val="24"/>
          <w:lang w:eastAsia="en-GB"/>
        </w:rPr>
        <w:t>Upholding health rights for disadvantaged children—those living in poverty or conflict zones—calls for mobile clinics, subsidised services and community health workers, which bring care to remote areas and reduce barriers (World Health Organization, 2014). This approach aligns with capability theory, which values individuals’ real freedoms to achieve health (Sen, 1999).</w:t>
      </w:r>
    </w:p>
    <w:p w14:paraId="7940424D" w14:textId="77777777" w:rsidR="00126DC2" w:rsidRPr="00126DC2" w:rsidRDefault="00126DC2" w:rsidP="006566A8">
      <w:pPr>
        <w:spacing w:before="100" w:beforeAutospacing="1" w:after="100" w:afterAutospacing="1" w:line="360" w:lineRule="auto"/>
        <w:jc w:val="both"/>
        <w:rPr>
          <w:rFonts w:ascii="Arial" w:eastAsia="Times New Roman" w:hAnsi="Arial" w:cs="Arial"/>
          <w:sz w:val="24"/>
          <w:szCs w:val="24"/>
          <w:lang w:eastAsia="en-GB"/>
        </w:rPr>
      </w:pPr>
      <w:r w:rsidRPr="00126DC2">
        <w:rPr>
          <w:rFonts w:ascii="Arial" w:eastAsia="Times New Roman" w:hAnsi="Arial" w:cs="Arial"/>
          <w:sz w:val="24"/>
          <w:szCs w:val="24"/>
          <w:lang w:eastAsia="en-GB"/>
        </w:rPr>
        <w:t>Ultimately, the right to health empowers children to reach physical and mental wellbeing. By translating this right into policy, practice and community engagement, stakeholders guarantee that every child secures the care and resources needed to thrive.</w:t>
      </w:r>
    </w:p>
    <w:p w14:paraId="3311424F" w14:textId="77777777" w:rsidR="006566A8" w:rsidRDefault="006566A8" w:rsidP="00126DC2">
      <w:pPr>
        <w:spacing w:before="100" w:beforeAutospacing="1" w:after="100" w:afterAutospacing="1" w:line="360" w:lineRule="auto"/>
        <w:rPr>
          <w:rFonts w:ascii="Arial" w:eastAsia="Times New Roman" w:hAnsi="Arial" w:cs="Arial"/>
          <w:sz w:val="24"/>
          <w:szCs w:val="24"/>
          <w:lang w:eastAsia="en-GB"/>
        </w:rPr>
      </w:pPr>
    </w:p>
    <w:p w14:paraId="2EA622A8" w14:textId="77777777" w:rsidR="006566A8" w:rsidRDefault="006566A8" w:rsidP="00126DC2">
      <w:pPr>
        <w:spacing w:before="100" w:beforeAutospacing="1" w:after="100" w:afterAutospacing="1" w:line="360" w:lineRule="auto"/>
        <w:rPr>
          <w:rFonts w:ascii="Arial" w:eastAsia="Times New Roman" w:hAnsi="Arial" w:cs="Arial"/>
          <w:sz w:val="24"/>
          <w:szCs w:val="24"/>
          <w:lang w:eastAsia="en-GB"/>
        </w:rPr>
      </w:pPr>
    </w:p>
    <w:p w14:paraId="3E3FCCCB" w14:textId="77777777" w:rsidR="006566A8" w:rsidRDefault="006566A8" w:rsidP="00126DC2">
      <w:pPr>
        <w:spacing w:before="100" w:beforeAutospacing="1" w:after="100" w:afterAutospacing="1" w:line="360" w:lineRule="auto"/>
        <w:rPr>
          <w:rFonts w:ascii="Arial" w:eastAsia="Times New Roman" w:hAnsi="Arial" w:cs="Arial"/>
          <w:sz w:val="24"/>
          <w:szCs w:val="24"/>
          <w:lang w:eastAsia="en-GB"/>
        </w:rPr>
      </w:pPr>
    </w:p>
    <w:p w14:paraId="1381CC88" w14:textId="77777777" w:rsidR="006566A8" w:rsidRPr="006566A8" w:rsidRDefault="00126DC2" w:rsidP="00126DC2">
      <w:pPr>
        <w:spacing w:before="100" w:beforeAutospacing="1" w:after="100" w:afterAutospacing="1" w:line="360" w:lineRule="auto"/>
        <w:rPr>
          <w:rFonts w:ascii="Arial" w:eastAsia="Times New Roman" w:hAnsi="Arial" w:cs="Arial"/>
          <w:b/>
          <w:bCs/>
          <w:sz w:val="24"/>
          <w:szCs w:val="24"/>
          <w:lang w:eastAsia="en-GB"/>
        </w:rPr>
      </w:pPr>
      <w:r w:rsidRPr="00126DC2">
        <w:rPr>
          <w:rFonts w:ascii="Arial" w:eastAsia="Times New Roman" w:hAnsi="Arial" w:cs="Arial"/>
          <w:b/>
          <w:bCs/>
          <w:sz w:val="24"/>
          <w:szCs w:val="24"/>
          <w:lang w:eastAsia="en-GB"/>
        </w:rPr>
        <w:lastRenderedPageBreak/>
        <w:t>Blog 3: Right to Protection from Violence</w:t>
      </w:r>
      <w:r w:rsidRPr="00126DC2">
        <w:rPr>
          <w:rFonts w:ascii="Arial" w:eastAsia="Times New Roman" w:hAnsi="Arial" w:cs="Arial"/>
          <w:b/>
          <w:bCs/>
          <w:sz w:val="24"/>
          <w:szCs w:val="24"/>
          <w:lang w:eastAsia="en-GB"/>
        </w:rPr>
        <w:br/>
      </w:r>
    </w:p>
    <w:p w14:paraId="313C85AD" w14:textId="30A05FA3" w:rsidR="00126DC2" w:rsidRPr="00126DC2" w:rsidRDefault="00126DC2" w:rsidP="006566A8">
      <w:pPr>
        <w:spacing w:before="100" w:beforeAutospacing="1" w:after="100" w:afterAutospacing="1" w:line="360" w:lineRule="auto"/>
        <w:jc w:val="both"/>
        <w:rPr>
          <w:rFonts w:ascii="Arial" w:eastAsia="Times New Roman" w:hAnsi="Arial" w:cs="Arial"/>
          <w:sz w:val="24"/>
          <w:szCs w:val="24"/>
          <w:lang w:eastAsia="en-GB"/>
        </w:rPr>
      </w:pPr>
      <w:r w:rsidRPr="00126DC2">
        <w:rPr>
          <w:rFonts w:ascii="Arial" w:eastAsia="Times New Roman" w:hAnsi="Arial" w:cs="Arial"/>
          <w:sz w:val="24"/>
          <w:szCs w:val="24"/>
          <w:lang w:eastAsia="en-GB"/>
        </w:rPr>
        <w:t>Article 19 of the UNCRC obliges states to protect children from all forms of violence. Abuse undermines physical safety and emotional stability, leaving long-lasting impacts on brain development and stress regulation (Anda et al., 2006). Attachment theory shows how secure caregiver bonds buffer stress; without protection, children lose trust and struggle to form healthy relationships (Bowlby, 1969).</w:t>
      </w:r>
    </w:p>
    <w:p w14:paraId="79E10181" w14:textId="77777777" w:rsidR="00126DC2" w:rsidRPr="00126DC2" w:rsidRDefault="00126DC2" w:rsidP="006566A8">
      <w:pPr>
        <w:spacing w:before="100" w:beforeAutospacing="1" w:after="100" w:afterAutospacing="1" w:line="360" w:lineRule="auto"/>
        <w:jc w:val="both"/>
        <w:rPr>
          <w:rFonts w:ascii="Arial" w:eastAsia="Times New Roman" w:hAnsi="Arial" w:cs="Arial"/>
          <w:sz w:val="24"/>
          <w:szCs w:val="24"/>
          <w:lang w:eastAsia="en-GB"/>
        </w:rPr>
      </w:pPr>
      <w:r w:rsidRPr="00126DC2">
        <w:rPr>
          <w:rFonts w:ascii="Arial" w:eastAsia="Times New Roman" w:hAnsi="Arial" w:cs="Arial"/>
          <w:sz w:val="24"/>
          <w:szCs w:val="24"/>
          <w:lang w:eastAsia="en-GB"/>
        </w:rPr>
        <w:t>Effective measures include mandatory reporting, safe housing for at-risk families and school-based anti-bullying initiatives. Ecological frameworks stress that interventions must engage family, school and community levels to break abuse cycles (Heise, 1998). For instance, parenting programmes founded on social learning theory teach non-violent discipline and boost parent–child bonds, which improves emotional security (Patterson, 1982).</w:t>
      </w:r>
    </w:p>
    <w:p w14:paraId="4803B2E4" w14:textId="77777777" w:rsidR="00126DC2" w:rsidRPr="00126DC2" w:rsidRDefault="00126DC2" w:rsidP="006566A8">
      <w:pPr>
        <w:spacing w:before="100" w:beforeAutospacing="1" w:after="100" w:afterAutospacing="1" w:line="360" w:lineRule="auto"/>
        <w:jc w:val="both"/>
        <w:rPr>
          <w:rFonts w:ascii="Arial" w:eastAsia="Times New Roman" w:hAnsi="Arial" w:cs="Arial"/>
          <w:sz w:val="24"/>
          <w:szCs w:val="24"/>
          <w:lang w:eastAsia="en-GB"/>
        </w:rPr>
      </w:pPr>
      <w:r w:rsidRPr="00126DC2">
        <w:rPr>
          <w:rFonts w:ascii="Arial" w:eastAsia="Times New Roman" w:hAnsi="Arial" w:cs="Arial"/>
          <w:sz w:val="24"/>
          <w:szCs w:val="24"/>
          <w:lang w:eastAsia="en-GB"/>
        </w:rPr>
        <w:t>Legal bans on corporal punishment reinforce children’s rights and send a clear message that violence is unacceptable (Gershoff &amp; Grogan-Kaylor, 2016). Trauma-informed services train professionals to recognise and respond to abuse sensitively, preventing further harm and supporting recovery (Bath, 2008).</w:t>
      </w:r>
    </w:p>
    <w:p w14:paraId="50F2A693" w14:textId="77777777" w:rsidR="00126DC2" w:rsidRPr="00126DC2" w:rsidRDefault="00126DC2" w:rsidP="006566A8">
      <w:pPr>
        <w:spacing w:before="100" w:beforeAutospacing="1" w:after="100" w:afterAutospacing="1" w:line="360" w:lineRule="auto"/>
        <w:jc w:val="both"/>
        <w:rPr>
          <w:rFonts w:ascii="Arial" w:eastAsia="Times New Roman" w:hAnsi="Arial" w:cs="Arial"/>
          <w:sz w:val="24"/>
          <w:szCs w:val="24"/>
          <w:lang w:eastAsia="en-GB"/>
        </w:rPr>
      </w:pPr>
      <w:r w:rsidRPr="00126DC2">
        <w:rPr>
          <w:rFonts w:ascii="Arial" w:eastAsia="Times New Roman" w:hAnsi="Arial" w:cs="Arial"/>
          <w:sz w:val="24"/>
          <w:szCs w:val="24"/>
          <w:lang w:eastAsia="en-GB"/>
        </w:rPr>
        <w:t>Addressing modern risks—like cyberbullying and online exploitation—requires safe digital spaces and education on online safety, which reduces exposure to harm (Livingstone et al., 2017). Resilience research indicates that bolstering protective factors, such as supportive adult relationships, enables children to overcome adversity (Masten, 2001).</w:t>
      </w:r>
    </w:p>
    <w:p w14:paraId="07ED35C4" w14:textId="77777777" w:rsidR="00126DC2" w:rsidRPr="00126DC2" w:rsidRDefault="00126DC2" w:rsidP="006566A8">
      <w:pPr>
        <w:spacing w:before="100" w:beforeAutospacing="1" w:after="100" w:afterAutospacing="1" w:line="360" w:lineRule="auto"/>
        <w:jc w:val="both"/>
        <w:rPr>
          <w:rFonts w:ascii="Arial" w:eastAsia="Times New Roman" w:hAnsi="Arial" w:cs="Arial"/>
          <w:sz w:val="24"/>
          <w:szCs w:val="24"/>
          <w:lang w:eastAsia="en-GB"/>
        </w:rPr>
      </w:pPr>
      <w:r w:rsidRPr="00126DC2">
        <w:rPr>
          <w:rFonts w:ascii="Arial" w:eastAsia="Times New Roman" w:hAnsi="Arial" w:cs="Arial"/>
          <w:sz w:val="24"/>
          <w:szCs w:val="24"/>
          <w:lang w:eastAsia="en-GB"/>
        </w:rPr>
        <w:t>By integrating violence prevention into laws, education and social services, societies uphold children’s right to safety and craft environments where young people can grow without fear.</w:t>
      </w:r>
    </w:p>
    <w:p w14:paraId="366E2E42" w14:textId="77777777" w:rsidR="006566A8" w:rsidRPr="006566A8" w:rsidRDefault="00126DC2" w:rsidP="00126DC2">
      <w:pPr>
        <w:spacing w:before="100" w:beforeAutospacing="1" w:after="100" w:afterAutospacing="1" w:line="360" w:lineRule="auto"/>
        <w:rPr>
          <w:rFonts w:ascii="Arial" w:eastAsia="Times New Roman" w:hAnsi="Arial" w:cs="Arial"/>
          <w:sz w:val="24"/>
          <w:szCs w:val="24"/>
          <w:lang w:eastAsia="en-GB"/>
        </w:rPr>
      </w:pPr>
      <w:r w:rsidRPr="00126DC2">
        <w:rPr>
          <w:rFonts w:ascii="Arial" w:eastAsia="Times New Roman" w:hAnsi="Arial" w:cs="Arial"/>
          <w:b/>
          <w:bCs/>
          <w:sz w:val="24"/>
          <w:szCs w:val="24"/>
          <w:lang w:eastAsia="en-GB"/>
        </w:rPr>
        <w:t>Blog 4: Right to Participation</w:t>
      </w:r>
      <w:r w:rsidRPr="00126DC2">
        <w:rPr>
          <w:rFonts w:ascii="Arial" w:eastAsia="Times New Roman" w:hAnsi="Arial" w:cs="Arial"/>
          <w:sz w:val="24"/>
          <w:szCs w:val="24"/>
          <w:lang w:eastAsia="en-GB"/>
        </w:rPr>
        <w:br/>
      </w:r>
    </w:p>
    <w:p w14:paraId="323443F2" w14:textId="7590287D" w:rsidR="00126DC2" w:rsidRPr="00126DC2" w:rsidRDefault="00126DC2" w:rsidP="006566A8">
      <w:pPr>
        <w:spacing w:before="100" w:beforeAutospacing="1" w:after="100" w:afterAutospacing="1" w:line="360" w:lineRule="auto"/>
        <w:jc w:val="both"/>
        <w:rPr>
          <w:rFonts w:ascii="Arial" w:eastAsia="Times New Roman" w:hAnsi="Arial" w:cs="Arial"/>
          <w:sz w:val="24"/>
          <w:szCs w:val="24"/>
          <w:lang w:eastAsia="en-GB"/>
        </w:rPr>
      </w:pPr>
      <w:r w:rsidRPr="00126DC2">
        <w:rPr>
          <w:rFonts w:ascii="Arial" w:eastAsia="Times New Roman" w:hAnsi="Arial" w:cs="Arial"/>
          <w:sz w:val="24"/>
          <w:szCs w:val="24"/>
          <w:lang w:eastAsia="en-GB"/>
        </w:rPr>
        <w:t>Article 12 of the UNCRC affirms each child’s right to express views on matters that affect them and to have those views considered. Involving children in decisions about healthcare, schooling and community projects honours their agency and fosters empowerment (Lansdown, 2005). Participatory theories argue that active involvement nurtures self-efficacy, which correlates with improved mental health (Bandura, 1997).</w:t>
      </w:r>
    </w:p>
    <w:p w14:paraId="1A1F670B" w14:textId="77777777" w:rsidR="00126DC2" w:rsidRPr="00126DC2" w:rsidRDefault="00126DC2" w:rsidP="006566A8">
      <w:pPr>
        <w:spacing w:before="100" w:beforeAutospacing="1" w:after="100" w:afterAutospacing="1" w:line="360" w:lineRule="auto"/>
        <w:jc w:val="both"/>
        <w:rPr>
          <w:rFonts w:ascii="Arial" w:eastAsia="Times New Roman" w:hAnsi="Arial" w:cs="Arial"/>
          <w:sz w:val="24"/>
          <w:szCs w:val="24"/>
          <w:lang w:eastAsia="en-GB"/>
        </w:rPr>
      </w:pPr>
      <w:r w:rsidRPr="00126DC2">
        <w:rPr>
          <w:rFonts w:ascii="Arial" w:eastAsia="Times New Roman" w:hAnsi="Arial" w:cs="Arial"/>
          <w:sz w:val="24"/>
          <w:szCs w:val="24"/>
          <w:lang w:eastAsia="en-GB"/>
        </w:rPr>
        <w:lastRenderedPageBreak/>
        <w:t>In healthcare, shared decision-making adapted to children’s developmental levels improves treatment adherence and satisfaction (Coyne, 2008). In schools, student councils and youth advisory boards encourage civic engagement and reduce helplessness, which supports social wellbeing (</w:t>
      </w:r>
      <w:proofErr w:type="spellStart"/>
      <w:r w:rsidRPr="00126DC2">
        <w:rPr>
          <w:rFonts w:ascii="Arial" w:eastAsia="Times New Roman" w:hAnsi="Arial" w:cs="Arial"/>
          <w:sz w:val="24"/>
          <w:szCs w:val="24"/>
          <w:lang w:eastAsia="en-GB"/>
        </w:rPr>
        <w:t>Checkoway</w:t>
      </w:r>
      <w:proofErr w:type="spellEnd"/>
      <w:r w:rsidRPr="00126DC2">
        <w:rPr>
          <w:rFonts w:ascii="Arial" w:eastAsia="Times New Roman" w:hAnsi="Arial" w:cs="Arial"/>
          <w:sz w:val="24"/>
          <w:szCs w:val="24"/>
          <w:lang w:eastAsia="en-GB"/>
        </w:rPr>
        <w:t xml:space="preserve"> &amp; Richards-Schuster, 2003).</w:t>
      </w:r>
    </w:p>
    <w:p w14:paraId="41C0D974" w14:textId="77777777" w:rsidR="00126DC2" w:rsidRPr="00126DC2" w:rsidRDefault="00126DC2" w:rsidP="006566A8">
      <w:pPr>
        <w:spacing w:before="100" w:beforeAutospacing="1" w:after="100" w:afterAutospacing="1" w:line="360" w:lineRule="auto"/>
        <w:jc w:val="both"/>
        <w:rPr>
          <w:rFonts w:ascii="Arial" w:eastAsia="Times New Roman" w:hAnsi="Arial" w:cs="Arial"/>
          <w:sz w:val="24"/>
          <w:szCs w:val="24"/>
          <w:lang w:eastAsia="en-GB"/>
        </w:rPr>
      </w:pPr>
      <w:r w:rsidRPr="00126DC2">
        <w:rPr>
          <w:rFonts w:ascii="Arial" w:eastAsia="Times New Roman" w:hAnsi="Arial" w:cs="Arial"/>
          <w:sz w:val="24"/>
          <w:szCs w:val="24"/>
          <w:lang w:eastAsia="en-GB"/>
        </w:rPr>
        <w:t>Rights-based practice treats participation as an entitlement, compelling institutions to dismantle barriers—like power imbalances or poor communication—that silence children (Hart, 1992). Inclusive involvement benefits marginalised groups by ensuring diverse perspectives inform policies and services, which promotes equity (Shier, 2001).</w:t>
      </w:r>
    </w:p>
    <w:p w14:paraId="1E63036C" w14:textId="4744A3CD" w:rsidR="00126DC2" w:rsidRPr="00126DC2" w:rsidRDefault="00126DC2" w:rsidP="006566A8">
      <w:pPr>
        <w:spacing w:before="100" w:beforeAutospacing="1" w:after="100" w:afterAutospacing="1" w:line="360" w:lineRule="auto"/>
        <w:jc w:val="both"/>
        <w:rPr>
          <w:rFonts w:ascii="Arial" w:eastAsia="Times New Roman" w:hAnsi="Arial" w:cs="Arial"/>
          <w:sz w:val="24"/>
          <w:szCs w:val="24"/>
          <w:lang w:eastAsia="en-GB"/>
        </w:rPr>
      </w:pPr>
      <w:r w:rsidRPr="00126DC2">
        <w:rPr>
          <w:rFonts w:ascii="Arial" w:eastAsia="Times New Roman" w:hAnsi="Arial" w:cs="Arial"/>
          <w:sz w:val="24"/>
          <w:szCs w:val="24"/>
          <w:lang w:eastAsia="en-GB"/>
        </w:rPr>
        <w:t xml:space="preserve">Research shows that children who feel heard experience lower anxiety and greater life satisfaction (O’Hare et al., 2016). Resilience studies find that having a </w:t>
      </w:r>
      <w:r w:rsidR="00EB30C8" w:rsidRPr="00126DC2">
        <w:rPr>
          <w:rFonts w:ascii="Arial" w:eastAsia="Times New Roman" w:hAnsi="Arial" w:cs="Arial"/>
          <w:sz w:val="24"/>
          <w:szCs w:val="24"/>
          <w:lang w:eastAsia="en-GB"/>
        </w:rPr>
        <w:t>voice build</w:t>
      </w:r>
      <w:r w:rsidRPr="00126DC2">
        <w:rPr>
          <w:rFonts w:ascii="Arial" w:eastAsia="Times New Roman" w:hAnsi="Arial" w:cs="Arial"/>
          <w:sz w:val="24"/>
          <w:szCs w:val="24"/>
          <w:lang w:eastAsia="en-GB"/>
        </w:rPr>
        <w:t xml:space="preserve"> coping skills, helping children navigate challenges more effectively (Ungar, 2008).</w:t>
      </w:r>
    </w:p>
    <w:p w14:paraId="5786F643" w14:textId="4937EDBA" w:rsidR="00126DC2" w:rsidRDefault="00126DC2" w:rsidP="006566A8">
      <w:pPr>
        <w:spacing w:before="100" w:beforeAutospacing="1" w:after="100" w:afterAutospacing="1" w:line="360" w:lineRule="auto"/>
        <w:jc w:val="both"/>
        <w:rPr>
          <w:rFonts w:ascii="Arial" w:eastAsia="Times New Roman" w:hAnsi="Arial" w:cs="Arial"/>
          <w:sz w:val="24"/>
          <w:szCs w:val="24"/>
          <w:lang w:eastAsia="en-GB"/>
        </w:rPr>
      </w:pPr>
      <w:r w:rsidRPr="00126DC2">
        <w:rPr>
          <w:rFonts w:ascii="Arial" w:eastAsia="Times New Roman" w:hAnsi="Arial" w:cs="Arial"/>
          <w:sz w:val="24"/>
          <w:szCs w:val="24"/>
          <w:lang w:eastAsia="en-GB"/>
        </w:rPr>
        <w:t>By embedding children’s participation across sectors, practitioners and policymakers recognise young people’s capacity to contribute meaningfully, safeguard their mental health and cultivate engaged future citizens.</w:t>
      </w:r>
    </w:p>
    <w:p w14:paraId="01A7CAEC" w14:textId="1D2064C0" w:rsidR="00EB30C8" w:rsidRDefault="00EB30C8" w:rsidP="006566A8">
      <w:pPr>
        <w:spacing w:before="100" w:beforeAutospacing="1" w:after="100" w:afterAutospacing="1" w:line="360" w:lineRule="auto"/>
        <w:jc w:val="both"/>
        <w:rPr>
          <w:rFonts w:ascii="Arial" w:eastAsia="Times New Roman" w:hAnsi="Arial" w:cs="Arial"/>
          <w:sz w:val="24"/>
          <w:szCs w:val="24"/>
          <w:lang w:eastAsia="en-GB"/>
        </w:rPr>
      </w:pPr>
    </w:p>
    <w:p w14:paraId="2FB43529" w14:textId="77777777" w:rsidR="00EB30C8" w:rsidRDefault="00EB30C8" w:rsidP="00EB30C8">
      <w:pPr>
        <w:spacing w:before="100" w:beforeAutospacing="1" w:after="100" w:afterAutospacing="1" w:line="360" w:lineRule="auto"/>
        <w:outlineLvl w:val="1"/>
        <w:rPr>
          <w:rFonts w:ascii="Arial" w:eastAsia="Times New Roman" w:hAnsi="Arial" w:cs="Arial"/>
          <w:b/>
          <w:bCs/>
          <w:sz w:val="36"/>
          <w:szCs w:val="36"/>
          <w:lang w:eastAsia="en-GB"/>
        </w:rPr>
      </w:pPr>
    </w:p>
    <w:p w14:paraId="489C37EF" w14:textId="77777777" w:rsidR="00EB30C8" w:rsidRDefault="00EB30C8" w:rsidP="00EB30C8">
      <w:pPr>
        <w:spacing w:before="100" w:beforeAutospacing="1" w:after="100" w:afterAutospacing="1" w:line="360" w:lineRule="auto"/>
        <w:outlineLvl w:val="1"/>
        <w:rPr>
          <w:rFonts w:ascii="Arial" w:eastAsia="Times New Roman" w:hAnsi="Arial" w:cs="Arial"/>
          <w:b/>
          <w:bCs/>
          <w:sz w:val="36"/>
          <w:szCs w:val="36"/>
          <w:lang w:eastAsia="en-GB"/>
        </w:rPr>
      </w:pPr>
    </w:p>
    <w:p w14:paraId="13443419" w14:textId="77777777" w:rsidR="00EB30C8" w:rsidRDefault="00EB30C8" w:rsidP="00EB30C8">
      <w:pPr>
        <w:spacing w:before="100" w:beforeAutospacing="1" w:after="100" w:afterAutospacing="1" w:line="360" w:lineRule="auto"/>
        <w:outlineLvl w:val="1"/>
        <w:rPr>
          <w:rFonts w:ascii="Arial" w:eastAsia="Times New Roman" w:hAnsi="Arial" w:cs="Arial"/>
          <w:b/>
          <w:bCs/>
          <w:sz w:val="36"/>
          <w:szCs w:val="36"/>
          <w:lang w:eastAsia="en-GB"/>
        </w:rPr>
      </w:pPr>
    </w:p>
    <w:p w14:paraId="2BAFF2D1" w14:textId="77777777" w:rsidR="00EB30C8" w:rsidRDefault="00EB30C8" w:rsidP="00EB30C8">
      <w:pPr>
        <w:spacing w:before="100" w:beforeAutospacing="1" w:after="100" w:afterAutospacing="1" w:line="360" w:lineRule="auto"/>
        <w:outlineLvl w:val="1"/>
        <w:rPr>
          <w:rFonts w:ascii="Arial" w:eastAsia="Times New Roman" w:hAnsi="Arial" w:cs="Arial"/>
          <w:b/>
          <w:bCs/>
          <w:sz w:val="36"/>
          <w:szCs w:val="36"/>
          <w:lang w:eastAsia="en-GB"/>
        </w:rPr>
      </w:pPr>
    </w:p>
    <w:p w14:paraId="46225782" w14:textId="77777777" w:rsidR="00EB30C8" w:rsidRDefault="00EB30C8" w:rsidP="00EB30C8">
      <w:pPr>
        <w:spacing w:before="100" w:beforeAutospacing="1" w:after="100" w:afterAutospacing="1" w:line="360" w:lineRule="auto"/>
        <w:outlineLvl w:val="1"/>
        <w:rPr>
          <w:rFonts w:ascii="Arial" w:eastAsia="Times New Roman" w:hAnsi="Arial" w:cs="Arial"/>
          <w:b/>
          <w:bCs/>
          <w:sz w:val="36"/>
          <w:szCs w:val="36"/>
          <w:lang w:eastAsia="en-GB"/>
        </w:rPr>
      </w:pPr>
    </w:p>
    <w:p w14:paraId="180A9D6D" w14:textId="77777777" w:rsidR="00EB30C8" w:rsidRDefault="00EB30C8" w:rsidP="00EB30C8">
      <w:pPr>
        <w:spacing w:before="100" w:beforeAutospacing="1" w:after="100" w:afterAutospacing="1" w:line="360" w:lineRule="auto"/>
        <w:outlineLvl w:val="1"/>
        <w:rPr>
          <w:rFonts w:ascii="Arial" w:eastAsia="Times New Roman" w:hAnsi="Arial" w:cs="Arial"/>
          <w:b/>
          <w:bCs/>
          <w:sz w:val="36"/>
          <w:szCs w:val="36"/>
          <w:lang w:eastAsia="en-GB"/>
        </w:rPr>
      </w:pPr>
    </w:p>
    <w:p w14:paraId="1F2CFDB0" w14:textId="77777777" w:rsidR="00EB30C8" w:rsidRDefault="00EB30C8" w:rsidP="00EB30C8">
      <w:pPr>
        <w:spacing w:before="100" w:beforeAutospacing="1" w:after="100" w:afterAutospacing="1" w:line="360" w:lineRule="auto"/>
        <w:outlineLvl w:val="1"/>
        <w:rPr>
          <w:rFonts w:ascii="Arial" w:eastAsia="Times New Roman" w:hAnsi="Arial" w:cs="Arial"/>
          <w:b/>
          <w:bCs/>
          <w:sz w:val="36"/>
          <w:szCs w:val="36"/>
          <w:lang w:eastAsia="en-GB"/>
        </w:rPr>
      </w:pPr>
    </w:p>
    <w:p w14:paraId="5D77B766" w14:textId="601EE708" w:rsidR="00EB30C8" w:rsidRPr="00EB30C8" w:rsidRDefault="00EB30C8" w:rsidP="00EB30C8">
      <w:pPr>
        <w:spacing w:before="100" w:beforeAutospacing="1" w:after="100" w:afterAutospacing="1" w:line="360" w:lineRule="auto"/>
        <w:outlineLvl w:val="1"/>
        <w:rPr>
          <w:rFonts w:ascii="Arial" w:eastAsia="Times New Roman" w:hAnsi="Arial" w:cs="Arial"/>
          <w:b/>
          <w:bCs/>
          <w:sz w:val="36"/>
          <w:szCs w:val="36"/>
          <w:lang w:eastAsia="en-GB"/>
        </w:rPr>
      </w:pPr>
      <w:r w:rsidRPr="00EB30C8">
        <w:rPr>
          <w:rFonts w:ascii="Arial" w:eastAsia="Times New Roman" w:hAnsi="Arial" w:cs="Arial"/>
          <w:b/>
          <w:bCs/>
          <w:sz w:val="36"/>
          <w:szCs w:val="36"/>
          <w:lang w:eastAsia="en-GB"/>
        </w:rPr>
        <w:lastRenderedPageBreak/>
        <w:t xml:space="preserve">Timeline of </w:t>
      </w:r>
      <w:r>
        <w:rPr>
          <w:rFonts w:ascii="Arial" w:eastAsia="Times New Roman" w:hAnsi="Arial" w:cs="Arial"/>
          <w:b/>
          <w:bCs/>
          <w:sz w:val="36"/>
          <w:szCs w:val="36"/>
          <w:lang w:eastAsia="en-GB"/>
        </w:rPr>
        <w:t>k</w:t>
      </w:r>
      <w:r w:rsidRPr="00EB30C8">
        <w:rPr>
          <w:rFonts w:ascii="Arial" w:eastAsia="Times New Roman" w:hAnsi="Arial" w:cs="Arial"/>
          <w:b/>
          <w:bCs/>
          <w:sz w:val="36"/>
          <w:szCs w:val="36"/>
          <w:lang w:eastAsia="en-GB"/>
        </w:rPr>
        <w:t xml:space="preserve">ey </w:t>
      </w:r>
      <w:r>
        <w:rPr>
          <w:rFonts w:ascii="Arial" w:eastAsia="Times New Roman" w:hAnsi="Arial" w:cs="Arial"/>
          <w:b/>
          <w:bCs/>
          <w:sz w:val="36"/>
          <w:szCs w:val="36"/>
          <w:lang w:eastAsia="en-GB"/>
        </w:rPr>
        <w:t>l</w:t>
      </w:r>
      <w:r w:rsidRPr="00EB30C8">
        <w:rPr>
          <w:rFonts w:ascii="Arial" w:eastAsia="Times New Roman" w:hAnsi="Arial" w:cs="Arial"/>
          <w:b/>
          <w:bCs/>
          <w:sz w:val="36"/>
          <w:szCs w:val="36"/>
          <w:lang w:eastAsia="en-GB"/>
        </w:rPr>
        <w:t>egislation (1960s–2020s)</w:t>
      </w:r>
    </w:p>
    <w:p w14:paraId="4B357935" w14:textId="77777777" w:rsidR="00EB30C8" w:rsidRPr="00EB30C8" w:rsidRDefault="00EB30C8" w:rsidP="00EB30C8">
      <w:pPr>
        <w:spacing w:before="100" w:beforeAutospacing="1" w:after="100" w:afterAutospacing="1" w:line="360" w:lineRule="auto"/>
        <w:rPr>
          <w:rFonts w:ascii="Arial" w:eastAsia="Times New Roman" w:hAnsi="Arial" w:cs="Arial"/>
          <w:b/>
          <w:bCs/>
          <w:sz w:val="24"/>
          <w:szCs w:val="24"/>
          <w:lang w:eastAsia="en-GB"/>
        </w:rPr>
      </w:pPr>
    </w:p>
    <w:p w14:paraId="1780CEDC" w14:textId="77777777" w:rsidR="00EB30C8" w:rsidRDefault="00EB30C8" w:rsidP="00EB30C8">
      <w:pPr>
        <w:spacing w:before="100" w:beforeAutospacing="1" w:after="100" w:afterAutospacing="1" w:line="360" w:lineRule="auto"/>
        <w:rPr>
          <w:rFonts w:ascii="Arial" w:eastAsia="Times New Roman" w:hAnsi="Arial" w:cs="Arial"/>
          <w:sz w:val="24"/>
          <w:szCs w:val="24"/>
          <w:lang w:eastAsia="en-GB"/>
        </w:rPr>
      </w:pPr>
      <w:r w:rsidRPr="00EB30C8">
        <w:rPr>
          <w:rFonts w:ascii="Arial" w:eastAsia="Times New Roman" w:hAnsi="Arial" w:cs="Arial"/>
          <w:b/>
          <w:bCs/>
          <w:sz w:val="24"/>
          <w:szCs w:val="24"/>
          <w:lang w:eastAsia="en-GB"/>
        </w:rPr>
        <w:t>Introduction</w:t>
      </w:r>
      <w:r w:rsidRPr="00EB30C8">
        <w:rPr>
          <w:rFonts w:ascii="Arial" w:eastAsia="Times New Roman" w:hAnsi="Arial" w:cs="Arial"/>
          <w:sz w:val="24"/>
          <w:szCs w:val="24"/>
          <w:lang w:eastAsia="en-GB"/>
        </w:rPr>
        <w:br/>
      </w:r>
    </w:p>
    <w:p w14:paraId="331D3058" w14:textId="4054FD28" w:rsidR="00EB30C8" w:rsidRPr="00EB30C8" w:rsidRDefault="00EB30C8" w:rsidP="00EB30C8">
      <w:pPr>
        <w:spacing w:before="100" w:beforeAutospacing="1" w:after="100" w:afterAutospacing="1" w:line="360" w:lineRule="auto"/>
        <w:jc w:val="both"/>
        <w:rPr>
          <w:rFonts w:ascii="Arial" w:eastAsia="Times New Roman" w:hAnsi="Arial" w:cs="Arial"/>
          <w:sz w:val="24"/>
          <w:szCs w:val="24"/>
          <w:lang w:eastAsia="en-GB"/>
        </w:rPr>
      </w:pPr>
      <w:r w:rsidRPr="00EB30C8">
        <w:rPr>
          <w:rFonts w:ascii="Arial" w:eastAsia="Times New Roman" w:hAnsi="Arial" w:cs="Arial"/>
          <w:sz w:val="24"/>
          <w:szCs w:val="24"/>
          <w:lang w:eastAsia="en-GB"/>
        </w:rPr>
        <w:t>Legislation has shaped how we protect and support children, young people and families for over sixty years. From early declarations of children’s rights to modern frameworks that address mental health, digital safety and long-term wellbeing, each law reflects shifts in how society understands childhood and family life. This timeline highlights landmark statutes in the UK and Wales, shows how they govern services and rights, and evaluates their real-world impact on young lives.</w:t>
      </w:r>
    </w:p>
    <w:p w14:paraId="01D473E4" w14:textId="438C93E8" w:rsidR="00EB30C8" w:rsidRPr="00EB30C8" w:rsidRDefault="00EB30C8" w:rsidP="00EB30C8">
      <w:pPr>
        <w:spacing w:after="0" w:line="360" w:lineRule="auto"/>
        <w:rPr>
          <w:rFonts w:ascii="Arial" w:eastAsia="Times New Roman" w:hAnsi="Arial" w:cs="Arial"/>
          <w:sz w:val="24"/>
          <w:szCs w:val="24"/>
          <w:lang w:eastAsia="en-GB"/>
        </w:rPr>
      </w:pPr>
    </w:p>
    <w:p w14:paraId="084C560B" w14:textId="77777777" w:rsidR="00EB30C8" w:rsidRPr="00EB30C8" w:rsidRDefault="00EB30C8" w:rsidP="00EB30C8">
      <w:pPr>
        <w:spacing w:before="100" w:beforeAutospacing="1" w:after="100" w:afterAutospacing="1" w:line="360" w:lineRule="auto"/>
        <w:outlineLvl w:val="2"/>
        <w:rPr>
          <w:rFonts w:ascii="Arial" w:eastAsia="Times New Roman" w:hAnsi="Arial" w:cs="Arial"/>
          <w:b/>
          <w:bCs/>
          <w:sz w:val="27"/>
          <w:szCs w:val="27"/>
          <w:lang w:eastAsia="en-GB"/>
        </w:rPr>
      </w:pPr>
      <w:r w:rsidRPr="00EB30C8">
        <w:rPr>
          <w:rFonts w:ascii="Arial" w:eastAsia="Times New Roman" w:hAnsi="Arial" w:cs="Arial"/>
          <w:b/>
          <w:bCs/>
          <w:sz w:val="27"/>
          <w:szCs w:val="27"/>
          <w:lang w:eastAsia="en-GB"/>
        </w:rPr>
        <w:t>1960s–1970s</w:t>
      </w:r>
    </w:p>
    <w:p w14:paraId="738DABA0" w14:textId="77777777" w:rsidR="00EB30C8" w:rsidRPr="00EB30C8" w:rsidRDefault="00EB30C8" w:rsidP="00EB30C8">
      <w:pPr>
        <w:spacing w:before="100" w:beforeAutospacing="1" w:after="100" w:afterAutospacing="1" w:line="360" w:lineRule="auto"/>
        <w:rPr>
          <w:rFonts w:ascii="Arial" w:eastAsia="Times New Roman" w:hAnsi="Arial" w:cs="Arial"/>
          <w:sz w:val="24"/>
          <w:szCs w:val="24"/>
          <w:lang w:eastAsia="en-GB"/>
        </w:rPr>
      </w:pPr>
      <w:r w:rsidRPr="00EB30C8">
        <w:rPr>
          <w:rFonts w:ascii="Arial" w:eastAsia="Times New Roman" w:hAnsi="Arial" w:cs="Arial"/>
          <w:b/>
          <w:bCs/>
          <w:sz w:val="24"/>
          <w:szCs w:val="24"/>
          <w:lang w:eastAsia="en-GB"/>
        </w:rPr>
        <w:t>1968 – United Nations Declaration of the Rights of the Child</w:t>
      </w:r>
      <w:r w:rsidRPr="00EB30C8">
        <w:rPr>
          <w:rFonts w:ascii="Arial" w:eastAsia="Times New Roman" w:hAnsi="Arial" w:cs="Arial"/>
          <w:sz w:val="24"/>
          <w:szCs w:val="24"/>
          <w:lang w:eastAsia="en-GB"/>
        </w:rPr>
        <w:br/>
        <w:t>The UN General Assembly set out ten guiding principles affirming every child’s right to protection, health care and education. Governments agreed to adapt national laws to these ideals.</w:t>
      </w:r>
    </w:p>
    <w:p w14:paraId="1CFE0BD8" w14:textId="2B9A155B" w:rsidR="00EB30C8" w:rsidRPr="00EB30C8" w:rsidRDefault="00EB30C8" w:rsidP="00EB30C8">
      <w:pPr>
        <w:numPr>
          <w:ilvl w:val="0"/>
          <w:numId w:val="18"/>
        </w:numPr>
        <w:spacing w:before="100" w:beforeAutospacing="1" w:after="100" w:afterAutospacing="1" w:line="360" w:lineRule="auto"/>
        <w:rPr>
          <w:rFonts w:ascii="Arial" w:eastAsia="Times New Roman" w:hAnsi="Arial" w:cs="Arial"/>
          <w:sz w:val="24"/>
          <w:szCs w:val="24"/>
          <w:lang w:eastAsia="en-GB"/>
        </w:rPr>
      </w:pPr>
      <w:r w:rsidRPr="00EB30C8">
        <w:rPr>
          <w:rFonts w:ascii="Arial" w:eastAsia="Times New Roman" w:hAnsi="Arial" w:cs="Arial"/>
          <w:b/>
          <w:bCs/>
          <w:sz w:val="24"/>
          <w:szCs w:val="24"/>
          <w:lang w:eastAsia="en-GB"/>
        </w:rPr>
        <w:t xml:space="preserve">Governance &amp; </w:t>
      </w:r>
      <w:r>
        <w:rPr>
          <w:rFonts w:ascii="Arial" w:eastAsia="Times New Roman" w:hAnsi="Arial" w:cs="Arial"/>
          <w:b/>
          <w:bCs/>
          <w:sz w:val="24"/>
          <w:szCs w:val="24"/>
          <w:lang w:eastAsia="en-GB"/>
        </w:rPr>
        <w:t>i</w:t>
      </w:r>
      <w:r w:rsidRPr="00EB30C8">
        <w:rPr>
          <w:rFonts w:ascii="Arial" w:eastAsia="Times New Roman" w:hAnsi="Arial" w:cs="Arial"/>
          <w:b/>
          <w:bCs/>
          <w:sz w:val="24"/>
          <w:szCs w:val="24"/>
          <w:lang w:eastAsia="en-GB"/>
        </w:rPr>
        <w:t>mpact:</w:t>
      </w:r>
      <w:r w:rsidRPr="00EB30C8">
        <w:rPr>
          <w:rFonts w:ascii="Arial" w:eastAsia="Times New Roman" w:hAnsi="Arial" w:cs="Arial"/>
          <w:sz w:val="24"/>
          <w:szCs w:val="24"/>
          <w:lang w:eastAsia="en-GB"/>
        </w:rPr>
        <w:t xml:space="preserve"> Guided countries to review child-protection rules and service delivery.</w:t>
      </w:r>
    </w:p>
    <w:p w14:paraId="5919148A" w14:textId="77777777" w:rsidR="00EB30C8" w:rsidRPr="00EB30C8" w:rsidRDefault="00EB30C8" w:rsidP="00EB30C8">
      <w:pPr>
        <w:numPr>
          <w:ilvl w:val="0"/>
          <w:numId w:val="18"/>
        </w:numPr>
        <w:spacing w:before="100" w:beforeAutospacing="1" w:after="100" w:afterAutospacing="1" w:line="360" w:lineRule="auto"/>
        <w:rPr>
          <w:rFonts w:ascii="Arial" w:eastAsia="Times New Roman" w:hAnsi="Arial" w:cs="Arial"/>
          <w:sz w:val="24"/>
          <w:szCs w:val="24"/>
          <w:lang w:eastAsia="en-GB"/>
        </w:rPr>
      </w:pPr>
      <w:r w:rsidRPr="00EB30C8">
        <w:rPr>
          <w:rFonts w:ascii="Arial" w:eastAsia="Times New Roman" w:hAnsi="Arial" w:cs="Arial"/>
          <w:b/>
          <w:bCs/>
          <w:sz w:val="24"/>
          <w:szCs w:val="24"/>
          <w:lang w:eastAsia="en-GB"/>
        </w:rPr>
        <w:t>Evaluation:</w:t>
      </w:r>
      <w:r w:rsidRPr="00EB30C8">
        <w:rPr>
          <w:rFonts w:ascii="Arial" w:eastAsia="Times New Roman" w:hAnsi="Arial" w:cs="Arial"/>
          <w:sz w:val="24"/>
          <w:szCs w:val="24"/>
          <w:lang w:eastAsia="en-GB"/>
        </w:rPr>
        <w:t xml:space="preserve"> Provided moral authority but lacked enforcement mechanisms. Implementation varied widely.</w:t>
      </w:r>
    </w:p>
    <w:p w14:paraId="3235DF61" w14:textId="06392242" w:rsidR="00EB30C8" w:rsidRPr="00EB30C8" w:rsidRDefault="00EB30C8" w:rsidP="00EB30C8">
      <w:pPr>
        <w:spacing w:before="100" w:beforeAutospacing="1" w:after="100" w:afterAutospacing="1" w:line="360" w:lineRule="auto"/>
        <w:rPr>
          <w:rFonts w:ascii="Arial" w:eastAsia="Times New Roman" w:hAnsi="Arial" w:cs="Arial"/>
          <w:sz w:val="24"/>
          <w:szCs w:val="24"/>
          <w:lang w:eastAsia="en-GB"/>
        </w:rPr>
      </w:pPr>
      <w:r w:rsidRPr="00EB30C8">
        <w:rPr>
          <w:rFonts w:ascii="Arial" w:eastAsia="Times New Roman" w:hAnsi="Arial" w:cs="Arial"/>
          <w:b/>
          <w:bCs/>
          <w:sz w:val="24"/>
          <w:szCs w:val="24"/>
          <w:lang w:eastAsia="en-GB"/>
        </w:rPr>
        <w:t xml:space="preserve">1970 – Chronically </w:t>
      </w:r>
      <w:r>
        <w:rPr>
          <w:rFonts w:ascii="Arial" w:eastAsia="Times New Roman" w:hAnsi="Arial" w:cs="Arial"/>
          <w:b/>
          <w:bCs/>
          <w:sz w:val="24"/>
          <w:szCs w:val="24"/>
          <w:lang w:eastAsia="en-GB"/>
        </w:rPr>
        <w:t>S</w:t>
      </w:r>
      <w:r w:rsidRPr="00EB30C8">
        <w:rPr>
          <w:rFonts w:ascii="Arial" w:eastAsia="Times New Roman" w:hAnsi="Arial" w:cs="Arial"/>
          <w:b/>
          <w:bCs/>
          <w:sz w:val="24"/>
          <w:szCs w:val="24"/>
          <w:lang w:eastAsia="en-GB"/>
        </w:rPr>
        <w:t>ick and Disabled Persons Act (UK)</w:t>
      </w:r>
      <w:r w:rsidRPr="00EB30C8">
        <w:rPr>
          <w:rFonts w:ascii="Arial" w:eastAsia="Times New Roman" w:hAnsi="Arial" w:cs="Arial"/>
          <w:sz w:val="24"/>
          <w:szCs w:val="24"/>
          <w:lang w:eastAsia="en-GB"/>
        </w:rPr>
        <w:br/>
        <w:t>For the first time, local authorities in England and Wales had to offer home help, equipment and adaptations to disabled children and adults.</w:t>
      </w:r>
    </w:p>
    <w:p w14:paraId="57C75FA2" w14:textId="3AC42B8C" w:rsidR="00EB30C8" w:rsidRPr="00EB30C8" w:rsidRDefault="00EB30C8" w:rsidP="00EB30C8">
      <w:pPr>
        <w:numPr>
          <w:ilvl w:val="0"/>
          <w:numId w:val="19"/>
        </w:numPr>
        <w:spacing w:before="100" w:beforeAutospacing="1" w:after="100" w:afterAutospacing="1" w:line="360" w:lineRule="auto"/>
        <w:rPr>
          <w:rFonts w:ascii="Arial" w:eastAsia="Times New Roman" w:hAnsi="Arial" w:cs="Arial"/>
          <w:sz w:val="24"/>
          <w:szCs w:val="24"/>
          <w:lang w:eastAsia="en-GB"/>
        </w:rPr>
      </w:pPr>
      <w:r w:rsidRPr="00EB30C8">
        <w:rPr>
          <w:rFonts w:ascii="Arial" w:eastAsia="Times New Roman" w:hAnsi="Arial" w:cs="Arial"/>
          <w:b/>
          <w:bCs/>
          <w:sz w:val="24"/>
          <w:szCs w:val="24"/>
          <w:lang w:eastAsia="en-GB"/>
        </w:rPr>
        <w:t xml:space="preserve">Governance &amp; </w:t>
      </w:r>
      <w:r>
        <w:rPr>
          <w:rFonts w:ascii="Arial" w:eastAsia="Times New Roman" w:hAnsi="Arial" w:cs="Arial"/>
          <w:b/>
          <w:bCs/>
          <w:sz w:val="24"/>
          <w:szCs w:val="24"/>
          <w:lang w:eastAsia="en-GB"/>
        </w:rPr>
        <w:t>i</w:t>
      </w:r>
      <w:r w:rsidRPr="00EB30C8">
        <w:rPr>
          <w:rFonts w:ascii="Arial" w:eastAsia="Times New Roman" w:hAnsi="Arial" w:cs="Arial"/>
          <w:b/>
          <w:bCs/>
          <w:sz w:val="24"/>
          <w:szCs w:val="24"/>
          <w:lang w:eastAsia="en-GB"/>
        </w:rPr>
        <w:t>mpact:</w:t>
      </w:r>
      <w:r w:rsidRPr="00EB30C8">
        <w:rPr>
          <w:rFonts w:ascii="Arial" w:eastAsia="Times New Roman" w:hAnsi="Arial" w:cs="Arial"/>
          <w:sz w:val="24"/>
          <w:szCs w:val="24"/>
          <w:lang w:eastAsia="en-GB"/>
        </w:rPr>
        <w:t xml:space="preserve"> Families gained practical support to keep children living at home.</w:t>
      </w:r>
    </w:p>
    <w:p w14:paraId="16ACAA10" w14:textId="77777777" w:rsidR="00EB30C8" w:rsidRPr="00EB30C8" w:rsidRDefault="00EB30C8" w:rsidP="00EB30C8">
      <w:pPr>
        <w:numPr>
          <w:ilvl w:val="0"/>
          <w:numId w:val="19"/>
        </w:numPr>
        <w:spacing w:before="100" w:beforeAutospacing="1" w:after="100" w:afterAutospacing="1" w:line="360" w:lineRule="auto"/>
        <w:rPr>
          <w:rFonts w:ascii="Arial" w:eastAsia="Times New Roman" w:hAnsi="Arial" w:cs="Arial"/>
          <w:sz w:val="24"/>
          <w:szCs w:val="24"/>
          <w:lang w:eastAsia="en-GB"/>
        </w:rPr>
      </w:pPr>
      <w:r w:rsidRPr="00EB30C8">
        <w:rPr>
          <w:rFonts w:ascii="Arial" w:eastAsia="Times New Roman" w:hAnsi="Arial" w:cs="Arial"/>
          <w:b/>
          <w:bCs/>
          <w:sz w:val="24"/>
          <w:szCs w:val="24"/>
          <w:lang w:eastAsia="en-GB"/>
        </w:rPr>
        <w:t>Evaluation:</w:t>
      </w:r>
      <w:r w:rsidRPr="00EB30C8">
        <w:rPr>
          <w:rFonts w:ascii="Arial" w:eastAsia="Times New Roman" w:hAnsi="Arial" w:cs="Arial"/>
          <w:sz w:val="24"/>
          <w:szCs w:val="24"/>
          <w:lang w:eastAsia="en-GB"/>
        </w:rPr>
        <w:t xml:space="preserve"> Addressed medical needs effectively but did not tackle social inclusion or broader wellbeing.</w:t>
      </w:r>
    </w:p>
    <w:p w14:paraId="4BAAE88D" w14:textId="77777777" w:rsidR="00EB30C8" w:rsidRPr="00EB30C8" w:rsidRDefault="00EB30C8" w:rsidP="00EB30C8">
      <w:pPr>
        <w:spacing w:before="100" w:beforeAutospacing="1" w:after="100" w:afterAutospacing="1" w:line="360" w:lineRule="auto"/>
        <w:outlineLvl w:val="2"/>
        <w:rPr>
          <w:rFonts w:ascii="Arial" w:eastAsia="Times New Roman" w:hAnsi="Arial" w:cs="Arial"/>
          <w:b/>
          <w:bCs/>
          <w:sz w:val="27"/>
          <w:szCs w:val="27"/>
          <w:lang w:eastAsia="en-GB"/>
        </w:rPr>
      </w:pPr>
      <w:r w:rsidRPr="00EB30C8">
        <w:rPr>
          <w:rFonts w:ascii="Arial" w:eastAsia="Times New Roman" w:hAnsi="Arial" w:cs="Arial"/>
          <w:b/>
          <w:bCs/>
          <w:sz w:val="27"/>
          <w:szCs w:val="27"/>
          <w:lang w:eastAsia="en-GB"/>
        </w:rPr>
        <w:lastRenderedPageBreak/>
        <w:t>1980s</w:t>
      </w:r>
    </w:p>
    <w:p w14:paraId="76A85770" w14:textId="77777777" w:rsidR="00EB30C8" w:rsidRPr="00EB30C8" w:rsidRDefault="00EB30C8" w:rsidP="00EB30C8">
      <w:pPr>
        <w:spacing w:before="100" w:beforeAutospacing="1" w:after="100" w:afterAutospacing="1" w:line="360" w:lineRule="auto"/>
        <w:rPr>
          <w:rFonts w:ascii="Arial" w:eastAsia="Times New Roman" w:hAnsi="Arial" w:cs="Arial"/>
          <w:sz w:val="24"/>
          <w:szCs w:val="24"/>
          <w:lang w:eastAsia="en-GB"/>
        </w:rPr>
      </w:pPr>
      <w:r w:rsidRPr="00EB30C8">
        <w:rPr>
          <w:rFonts w:ascii="Arial" w:eastAsia="Times New Roman" w:hAnsi="Arial" w:cs="Arial"/>
          <w:b/>
          <w:bCs/>
          <w:sz w:val="24"/>
          <w:szCs w:val="24"/>
          <w:lang w:eastAsia="en-GB"/>
        </w:rPr>
        <w:t>1980 – Education Act (UK)</w:t>
      </w:r>
      <w:r w:rsidRPr="00EB30C8">
        <w:rPr>
          <w:rFonts w:ascii="Arial" w:eastAsia="Times New Roman" w:hAnsi="Arial" w:cs="Arial"/>
          <w:sz w:val="24"/>
          <w:szCs w:val="24"/>
          <w:lang w:eastAsia="en-GB"/>
        </w:rPr>
        <w:br/>
        <w:t>Introduced “statementing” for special educational needs (SEN), obliging schools and councils to create tailored support plans.</w:t>
      </w:r>
    </w:p>
    <w:p w14:paraId="332F6B4F" w14:textId="77777777" w:rsidR="00EB30C8" w:rsidRPr="00EB30C8" w:rsidRDefault="00EB30C8" w:rsidP="00EB30C8">
      <w:pPr>
        <w:numPr>
          <w:ilvl w:val="0"/>
          <w:numId w:val="20"/>
        </w:numPr>
        <w:spacing w:before="100" w:beforeAutospacing="1" w:after="100" w:afterAutospacing="1" w:line="360" w:lineRule="auto"/>
        <w:rPr>
          <w:rFonts w:ascii="Arial" w:eastAsia="Times New Roman" w:hAnsi="Arial" w:cs="Arial"/>
          <w:sz w:val="24"/>
          <w:szCs w:val="24"/>
          <w:lang w:eastAsia="en-GB"/>
        </w:rPr>
      </w:pPr>
      <w:r w:rsidRPr="00EB30C8">
        <w:rPr>
          <w:rFonts w:ascii="Arial" w:eastAsia="Times New Roman" w:hAnsi="Arial" w:cs="Arial"/>
          <w:b/>
          <w:bCs/>
          <w:sz w:val="24"/>
          <w:szCs w:val="24"/>
          <w:lang w:eastAsia="en-GB"/>
        </w:rPr>
        <w:t>Governance &amp; Impact:</w:t>
      </w:r>
      <w:r w:rsidRPr="00EB30C8">
        <w:rPr>
          <w:rFonts w:ascii="Arial" w:eastAsia="Times New Roman" w:hAnsi="Arial" w:cs="Arial"/>
          <w:sz w:val="24"/>
          <w:szCs w:val="24"/>
          <w:lang w:eastAsia="en-GB"/>
        </w:rPr>
        <w:t xml:space="preserve"> Schools received clear duties to educate children with learning differences.</w:t>
      </w:r>
    </w:p>
    <w:p w14:paraId="3D3486D9" w14:textId="77777777" w:rsidR="00EB30C8" w:rsidRPr="00EB30C8" w:rsidRDefault="00EB30C8" w:rsidP="00EB30C8">
      <w:pPr>
        <w:numPr>
          <w:ilvl w:val="0"/>
          <w:numId w:val="20"/>
        </w:numPr>
        <w:spacing w:before="100" w:beforeAutospacing="1" w:after="100" w:afterAutospacing="1" w:line="360" w:lineRule="auto"/>
        <w:rPr>
          <w:rFonts w:ascii="Arial" w:eastAsia="Times New Roman" w:hAnsi="Arial" w:cs="Arial"/>
          <w:sz w:val="24"/>
          <w:szCs w:val="24"/>
          <w:lang w:eastAsia="en-GB"/>
        </w:rPr>
      </w:pPr>
      <w:r w:rsidRPr="00EB30C8">
        <w:rPr>
          <w:rFonts w:ascii="Arial" w:eastAsia="Times New Roman" w:hAnsi="Arial" w:cs="Arial"/>
          <w:b/>
          <w:bCs/>
          <w:sz w:val="24"/>
          <w:szCs w:val="24"/>
          <w:lang w:eastAsia="en-GB"/>
        </w:rPr>
        <w:t>Evaluation:</w:t>
      </w:r>
      <w:r w:rsidRPr="00EB30C8">
        <w:rPr>
          <w:rFonts w:ascii="Arial" w:eastAsia="Times New Roman" w:hAnsi="Arial" w:cs="Arial"/>
          <w:sz w:val="24"/>
          <w:szCs w:val="24"/>
          <w:lang w:eastAsia="en-GB"/>
        </w:rPr>
        <w:t xml:space="preserve"> Strengthened access but produced uneven service levels across regions.</w:t>
      </w:r>
    </w:p>
    <w:p w14:paraId="232601CF" w14:textId="77777777" w:rsidR="00EB30C8" w:rsidRPr="00EB30C8" w:rsidRDefault="00EB30C8" w:rsidP="00EB30C8">
      <w:pPr>
        <w:spacing w:before="100" w:beforeAutospacing="1" w:after="100" w:afterAutospacing="1" w:line="360" w:lineRule="auto"/>
        <w:rPr>
          <w:rFonts w:ascii="Arial" w:eastAsia="Times New Roman" w:hAnsi="Arial" w:cs="Arial"/>
          <w:sz w:val="24"/>
          <w:szCs w:val="24"/>
          <w:lang w:eastAsia="en-GB"/>
        </w:rPr>
      </w:pPr>
      <w:r w:rsidRPr="00EB30C8">
        <w:rPr>
          <w:rFonts w:ascii="Arial" w:eastAsia="Times New Roman" w:hAnsi="Arial" w:cs="Arial"/>
          <w:b/>
          <w:bCs/>
          <w:sz w:val="24"/>
          <w:szCs w:val="24"/>
          <w:lang w:eastAsia="en-GB"/>
        </w:rPr>
        <w:t>1989 – Children Act (England &amp; Wales)</w:t>
      </w:r>
      <w:r w:rsidRPr="00EB30C8">
        <w:rPr>
          <w:rFonts w:ascii="Arial" w:eastAsia="Times New Roman" w:hAnsi="Arial" w:cs="Arial"/>
          <w:sz w:val="24"/>
          <w:szCs w:val="24"/>
          <w:lang w:eastAsia="en-GB"/>
        </w:rPr>
        <w:br/>
        <w:t>Placed each child’s welfare as the legal first priority. It defined care orders, parental responsibility and created dedicated Children’s Services departments.</w:t>
      </w:r>
    </w:p>
    <w:p w14:paraId="042026EA" w14:textId="77777777" w:rsidR="00EB30C8" w:rsidRPr="00EB30C8" w:rsidRDefault="00EB30C8" w:rsidP="00EB30C8">
      <w:pPr>
        <w:numPr>
          <w:ilvl w:val="0"/>
          <w:numId w:val="21"/>
        </w:numPr>
        <w:spacing w:before="100" w:beforeAutospacing="1" w:after="100" w:afterAutospacing="1" w:line="360" w:lineRule="auto"/>
        <w:rPr>
          <w:rFonts w:ascii="Arial" w:eastAsia="Times New Roman" w:hAnsi="Arial" w:cs="Arial"/>
          <w:sz w:val="24"/>
          <w:szCs w:val="24"/>
          <w:lang w:eastAsia="en-GB"/>
        </w:rPr>
      </w:pPr>
      <w:r w:rsidRPr="00EB30C8">
        <w:rPr>
          <w:rFonts w:ascii="Arial" w:eastAsia="Times New Roman" w:hAnsi="Arial" w:cs="Arial"/>
          <w:b/>
          <w:bCs/>
          <w:sz w:val="24"/>
          <w:szCs w:val="24"/>
          <w:lang w:eastAsia="en-GB"/>
        </w:rPr>
        <w:t>Governance &amp; Impact:</w:t>
      </w:r>
      <w:r w:rsidRPr="00EB30C8">
        <w:rPr>
          <w:rFonts w:ascii="Arial" w:eastAsia="Times New Roman" w:hAnsi="Arial" w:cs="Arial"/>
          <w:sz w:val="24"/>
          <w:szCs w:val="24"/>
          <w:lang w:eastAsia="en-GB"/>
        </w:rPr>
        <w:t xml:space="preserve"> Formalised multi-agency child-protection procedures.</w:t>
      </w:r>
    </w:p>
    <w:p w14:paraId="6BE3DE9D" w14:textId="53D0BC59" w:rsidR="00EB30C8" w:rsidRPr="00EB30C8" w:rsidRDefault="00EB30C8" w:rsidP="00EB30C8">
      <w:pPr>
        <w:numPr>
          <w:ilvl w:val="0"/>
          <w:numId w:val="21"/>
        </w:numPr>
        <w:spacing w:before="100" w:beforeAutospacing="1" w:after="100" w:afterAutospacing="1" w:line="360" w:lineRule="auto"/>
        <w:rPr>
          <w:rFonts w:ascii="Arial" w:eastAsia="Times New Roman" w:hAnsi="Arial" w:cs="Arial"/>
          <w:sz w:val="24"/>
          <w:szCs w:val="24"/>
          <w:lang w:eastAsia="en-GB"/>
        </w:rPr>
      </w:pPr>
      <w:r w:rsidRPr="00EB30C8">
        <w:rPr>
          <w:rFonts w:ascii="Arial" w:eastAsia="Times New Roman" w:hAnsi="Arial" w:cs="Arial"/>
          <w:b/>
          <w:bCs/>
          <w:sz w:val="24"/>
          <w:szCs w:val="24"/>
          <w:lang w:eastAsia="en-GB"/>
        </w:rPr>
        <w:t>Evaluation:</w:t>
      </w:r>
      <w:r w:rsidRPr="00EB30C8">
        <w:rPr>
          <w:rFonts w:ascii="Arial" w:eastAsia="Times New Roman" w:hAnsi="Arial" w:cs="Arial"/>
          <w:sz w:val="24"/>
          <w:szCs w:val="24"/>
          <w:lang w:eastAsia="en-GB"/>
        </w:rPr>
        <w:t xml:space="preserve"> Improved coordination but strained social-service budgets and workforces.</w:t>
      </w:r>
      <w:r w:rsidRPr="00EB30C8">
        <w:rPr>
          <w:rFonts w:ascii="Arial" w:eastAsia="Times New Roman" w:hAnsi="Arial" w:cs="Arial"/>
          <w:b/>
          <w:bCs/>
          <w:sz w:val="27"/>
          <w:szCs w:val="27"/>
          <w:lang w:eastAsia="en-GB"/>
        </w:rPr>
        <w:t>1990s</w:t>
      </w:r>
    </w:p>
    <w:p w14:paraId="1FE01ACF" w14:textId="77777777" w:rsidR="00EB30C8" w:rsidRPr="00EB30C8" w:rsidRDefault="00EB30C8" w:rsidP="00EB30C8">
      <w:pPr>
        <w:spacing w:before="100" w:beforeAutospacing="1" w:after="100" w:afterAutospacing="1" w:line="360" w:lineRule="auto"/>
        <w:rPr>
          <w:rFonts w:ascii="Arial" w:eastAsia="Times New Roman" w:hAnsi="Arial" w:cs="Arial"/>
          <w:sz w:val="24"/>
          <w:szCs w:val="24"/>
          <w:lang w:eastAsia="en-GB"/>
        </w:rPr>
      </w:pPr>
      <w:r w:rsidRPr="00EB30C8">
        <w:rPr>
          <w:rFonts w:ascii="Arial" w:eastAsia="Times New Roman" w:hAnsi="Arial" w:cs="Arial"/>
          <w:b/>
          <w:bCs/>
          <w:sz w:val="24"/>
          <w:szCs w:val="24"/>
          <w:lang w:eastAsia="en-GB"/>
        </w:rPr>
        <w:t>1991 – Protection of Children Act Amendment (UK)</w:t>
      </w:r>
      <w:r w:rsidRPr="00EB30C8">
        <w:rPr>
          <w:rFonts w:ascii="Arial" w:eastAsia="Times New Roman" w:hAnsi="Arial" w:cs="Arial"/>
          <w:sz w:val="24"/>
          <w:szCs w:val="24"/>
          <w:lang w:eastAsia="en-GB"/>
        </w:rPr>
        <w:br/>
        <w:t>Required criminal records checks for individuals working with children, laying foundations for today’s Disclosure and Barring Service (DBS).</w:t>
      </w:r>
    </w:p>
    <w:p w14:paraId="73712EB8" w14:textId="77777777" w:rsidR="00EB30C8" w:rsidRPr="00EB30C8" w:rsidRDefault="00EB30C8" w:rsidP="00EB30C8">
      <w:pPr>
        <w:numPr>
          <w:ilvl w:val="0"/>
          <w:numId w:val="22"/>
        </w:numPr>
        <w:spacing w:before="100" w:beforeAutospacing="1" w:after="100" w:afterAutospacing="1" w:line="360" w:lineRule="auto"/>
        <w:rPr>
          <w:rFonts w:ascii="Arial" w:eastAsia="Times New Roman" w:hAnsi="Arial" w:cs="Arial"/>
          <w:sz w:val="24"/>
          <w:szCs w:val="24"/>
          <w:lang w:eastAsia="en-GB"/>
        </w:rPr>
      </w:pPr>
      <w:r w:rsidRPr="00EB30C8">
        <w:rPr>
          <w:rFonts w:ascii="Arial" w:eastAsia="Times New Roman" w:hAnsi="Arial" w:cs="Arial"/>
          <w:b/>
          <w:bCs/>
          <w:sz w:val="24"/>
          <w:szCs w:val="24"/>
          <w:lang w:eastAsia="en-GB"/>
        </w:rPr>
        <w:t>Governance &amp; Impact:</w:t>
      </w:r>
      <w:r w:rsidRPr="00EB30C8">
        <w:rPr>
          <w:rFonts w:ascii="Arial" w:eastAsia="Times New Roman" w:hAnsi="Arial" w:cs="Arial"/>
          <w:sz w:val="24"/>
          <w:szCs w:val="24"/>
          <w:lang w:eastAsia="en-GB"/>
        </w:rPr>
        <w:t xml:space="preserve"> Organisations began vetting staff to prevent abuse.</w:t>
      </w:r>
    </w:p>
    <w:p w14:paraId="581A3989" w14:textId="77777777" w:rsidR="00EB30C8" w:rsidRPr="00EB30C8" w:rsidRDefault="00EB30C8" w:rsidP="00EB30C8">
      <w:pPr>
        <w:numPr>
          <w:ilvl w:val="0"/>
          <w:numId w:val="22"/>
        </w:numPr>
        <w:spacing w:before="100" w:beforeAutospacing="1" w:after="100" w:afterAutospacing="1" w:line="360" w:lineRule="auto"/>
        <w:rPr>
          <w:rFonts w:ascii="Arial" w:eastAsia="Times New Roman" w:hAnsi="Arial" w:cs="Arial"/>
          <w:sz w:val="24"/>
          <w:szCs w:val="24"/>
          <w:lang w:eastAsia="en-GB"/>
        </w:rPr>
      </w:pPr>
      <w:r w:rsidRPr="00EB30C8">
        <w:rPr>
          <w:rFonts w:ascii="Arial" w:eastAsia="Times New Roman" w:hAnsi="Arial" w:cs="Arial"/>
          <w:b/>
          <w:bCs/>
          <w:sz w:val="24"/>
          <w:szCs w:val="24"/>
          <w:lang w:eastAsia="en-GB"/>
        </w:rPr>
        <w:t>Evaluation:</w:t>
      </w:r>
      <w:r w:rsidRPr="00EB30C8">
        <w:rPr>
          <w:rFonts w:ascii="Arial" w:eastAsia="Times New Roman" w:hAnsi="Arial" w:cs="Arial"/>
          <w:sz w:val="24"/>
          <w:szCs w:val="24"/>
          <w:lang w:eastAsia="en-GB"/>
        </w:rPr>
        <w:t xml:space="preserve"> Marked safety gains, though early checks ran slowly and inconsistently.</w:t>
      </w:r>
    </w:p>
    <w:p w14:paraId="011E1DCE" w14:textId="77777777" w:rsidR="00EB30C8" w:rsidRPr="00EB30C8" w:rsidRDefault="00EB30C8" w:rsidP="00EB30C8">
      <w:pPr>
        <w:spacing w:before="100" w:beforeAutospacing="1" w:after="100" w:afterAutospacing="1" w:line="360" w:lineRule="auto"/>
        <w:rPr>
          <w:rFonts w:ascii="Arial" w:eastAsia="Times New Roman" w:hAnsi="Arial" w:cs="Arial"/>
          <w:sz w:val="24"/>
          <w:szCs w:val="24"/>
          <w:lang w:eastAsia="en-GB"/>
        </w:rPr>
      </w:pPr>
      <w:r w:rsidRPr="00EB30C8">
        <w:rPr>
          <w:rFonts w:ascii="Arial" w:eastAsia="Times New Roman" w:hAnsi="Arial" w:cs="Arial"/>
          <w:b/>
          <w:bCs/>
          <w:sz w:val="24"/>
          <w:szCs w:val="24"/>
          <w:lang w:eastAsia="en-GB"/>
        </w:rPr>
        <w:t>1995 – Children (Scotland) Act</w:t>
      </w:r>
      <w:r w:rsidRPr="00EB30C8">
        <w:rPr>
          <w:rFonts w:ascii="Arial" w:eastAsia="Times New Roman" w:hAnsi="Arial" w:cs="Arial"/>
          <w:sz w:val="24"/>
          <w:szCs w:val="24"/>
          <w:lang w:eastAsia="en-GB"/>
        </w:rPr>
        <w:br/>
        <w:t>Mirrored England’s 1989 Act but added a statutory duty to involve children in decisions affecting them, reflecting the UNCRC’s Article 12.</w:t>
      </w:r>
    </w:p>
    <w:p w14:paraId="7B6A23ED" w14:textId="77777777" w:rsidR="00EB30C8" w:rsidRPr="00EB30C8" w:rsidRDefault="00EB30C8" w:rsidP="00EB30C8">
      <w:pPr>
        <w:numPr>
          <w:ilvl w:val="0"/>
          <w:numId w:val="23"/>
        </w:numPr>
        <w:spacing w:before="100" w:beforeAutospacing="1" w:after="100" w:afterAutospacing="1" w:line="360" w:lineRule="auto"/>
        <w:rPr>
          <w:rFonts w:ascii="Arial" w:eastAsia="Times New Roman" w:hAnsi="Arial" w:cs="Arial"/>
          <w:sz w:val="24"/>
          <w:szCs w:val="24"/>
          <w:lang w:eastAsia="en-GB"/>
        </w:rPr>
      </w:pPr>
      <w:r w:rsidRPr="00EB30C8">
        <w:rPr>
          <w:rFonts w:ascii="Arial" w:eastAsia="Times New Roman" w:hAnsi="Arial" w:cs="Arial"/>
          <w:b/>
          <w:bCs/>
          <w:sz w:val="24"/>
          <w:szCs w:val="24"/>
          <w:lang w:eastAsia="en-GB"/>
        </w:rPr>
        <w:t>Governance &amp; Impact:</w:t>
      </w:r>
      <w:r w:rsidRPr="00EB30C8">
        <w:rPr>
          <w:rFonts w:ascii="Arial" w:eastAsia="Times New Roman" w:hAnsi="Arial" w:cs="Arial"/>
          <w:sz w:val="24"/>
          <w:szCs w:val="24"/>
          <w:lang w:eastAsia="en-GB"/>
        </w:rPr>
        <w:t xml:space="preserve"> Courts and councils consulted children in care and family cases.</w:t>
      </w:r>
    </w:p>
    <w:p w14:paraId="31F12EDD" w14:textId="77777777" w:rsidR="00EB30C8" w:rsidRPr="00EB30C8" w:rsidRDefault="00EB30C8" w:rsidP="00EB30C8">
      <w:pPr>
        <w:numPr>
          <w:ilvl w:val="0"/>
          <w:numId w:val="23"/>
        </w:numPr>
        <w:spacing w:before="100" w:beforeAutospacing="1" w:after="100" w:afterAutospacing="1" w:line="360" w:lineRule="auto"/>
        <w:rPr>
          <w:rFonts w:ascii="Arial" w:eastAsia="Times New Roman" w:hAnsi="Arial" w:cs="Arial"/>
          <w:sz w:val="24"/>
          <w:szCs w:val="24"/>
          <w:lang w:eastAsia="en-GB"/>
        </w:rPr>
      </w:pPr>
      <w:r w:rsidRPr="00EB30C8">
        <w:rPr>
          <w:rFonts w:ascii="Arial" w:eastAsia="Times New Roman" w:hAnsi="Arial" w:cs="Arial"/>
          <w:b/>
          <w:bCs/>
          <w:sz w:val="24"/>
          <w:szCs w:val="24"/>
          <w:lang w:eastAsia="en-GB"/>
        </w:rPr>
        <w:t>Evaluation:</w:t>
      </w:r>
      <w:r w:rsidRPr="00EB30C8">
        <w:rPr>
          <w:rFonts w:ascii="Arial" w:eastAsia="Times New Roman" w:hAnsi="Arial" w:cs="Arial"/>
          <w:sz w:val="24"/>
          <w:szCs w:val="24"/>
          <w:lang w:eastAsia="en-GB"/>
        </w:rPr>
        <w:t xml:space="preserve"> Boosted participation but varied in practice depending on professional training.</w:t>
      </w:r>
    </w:p>
    <w:p w14:paraId="0C9FABBB" w14:textId="12C77008" w:rsidR="00EB30C8" w:rsidRPr="00EB30C8" w:rsidRDefault="00EB30C8" w:rsidP="00EB30C8">
      <w:pPr>
        <w:spacing w:after="0" w:line="360" w:lineRule="auto"/>
        <w:rPr>
          <w:rFonts w:ascii="Arial" w:eastAsia="Times New Roman" w:hAnsi="Arial" w:cs="Arial"/>
          <w:sz w:val="24"/>
          <w:szCs w:val="24"/>
          <w:lang w:eastAsia="en-GB"/>
        </w:rPr>
      </w:pPr>
    </w:p>
    <w:p w14:paraId="648BD76F" w14:textId="77777777" w:rsidR="00EB30C8" w:rsidRPr="00EB30C8" w:rsidRDefault="00EB30C8" w:rsidP="00EB30C8">
      <w:pPr>
        <w:spacing w:before="100" w:beforeAutospacing="1" w:after="100" w:afterAutospacing="1" w:line="360" w:lineRule="auto"/>
        <w:outlineLvl w:val="2"/>
        <w:rPr>
          <w:rFonts w:ascii="Arial" w:eastAsia="Times New Roman" w:hAnsi="Arial" w:cs="Arial"/>
          <w:b/>
          <w:bCs/>
          <w:sz w:val="27"/>
          <w:szCs w:val="27"/>
          <w:lang w:eastAsia="en-GB"/>
        </w:rPr>
      </w:pPr>
      <w:r w:rsidRPr="00EB30C8">
        <w:rPr>
          <w:rFonts w:ascii="Arial" w:eastAsia="Times New Roman" w:hAnsi="Arial" w:cs="Arial"/>
          <w:b/>
          <w:bCs/>
          <w:sz w:val="27"/>
          <w:szCs w:val="27"/>
          <w:lang w:eastAsia="en-GB"/>
        </w:rPr>
        <w:lastRenderedPageBreak/>
        <w:t>2000s</w:t>
      </w:r>
    </w:p>
    <w:p w14:paraId="63D4A77F" w14:textId="77777777" w:rsidR="00EB30C8" w:rsidRPr="00EB30C8" w:rsidRDefault="00EB30C8" w:rsidP="00EB30C8">
      <w:pPr>
        <w:spacing w:before="100" w:beforeAutospacing="1" w:after="100" w:afterAutospacing="1" w:line="360" w:lineRule="auto"/>
        <w:rPr>
          <w:rFonts w:ascii="Arial" w:eastAsia="Times New Roman" w:hAnsi="Arial" w:cs="Arial"/>
          <w:sz w:val="24"/>
          <w:szCs w:val="24"/>
          <w:lang w:eastAsia="en-GB"/>
        </w:rPr>
      </w:pPr>
      <w:r w:rsidRPr="00EB30C8">
        <w:rPr>
          <w:rFonts w:ascii="Arial" w:eastAsia="Times New Roman" w:hAnsi="Arial" w:cs="Arial"/>
          <w:b/>
          <w:bCs/>
          <w:sz w:val="24"/>
          <w:szCs w:val="24"/>
          <w:lang w:eastAsia="en-GB"/>
        </w:rPr>
        <w:t>2002 – Education Act (UK)</w:t>
      </w:r>
      <w:r w:rsidRPr="00EB30C8">
        <w:rPr>
          <w:rFonts w:ascii="Arial" w:eastAsia="Times New Roman" w:hAnsi="Arial" w:cs="Arial"/>
          <w:sz w:val="24"/>
          <w:szCs w:val="24"/>
          <w:lang w:eastAsia="en-GB"/>
        </w:rPr>
        <w:br/>
        <w:t>Mandated every school to adopt a child-protection policy and appoint a designated safeguarding lead.</w:t>
      </w:r>
    </w:p>
    <w:p w14:paraId="702A9BBC" w14:textId="77777777" w:rsidR="00EB30C8" w:rsidRPr="00EB30C8" w:rsidRDefault="00EB30C8" w:rsidP="00EB30C8">
      <w:pPr>
        <w:numPr>
          <w:ilvl w:val="0"/>
          <w:numId w:val="24"/>
        </w:numPr>
        <w:spacing w:before="100" w:beforeAutospacing="1" w:after="100" w:afterAutospacing="1" w:line="360" w:lineRule="auto"/>
        <w:rPr>
          <w:rFonts w:ascii="Arial" w:eastAsia="Times New Roman" w:hAnsi="Arial" w:cs="Arial"/>
          <w:sz w:val="24"/>
          <w:szCs w:val="24"/>
          <w:lang w:eastAsia="en-GB"/>
        </w:rPr>
      </w:pPr>
      <w:r w:rsidRPr="00EB30C8">
        <w:rPr>
          <w:rFonts w:ascii="Arial" w:eastAsia="Times New Roman" w:hAnsi="Arial" w:cs="Arial"/>
          <w:b/>
          <w:bCs/>
          <w:sz w:val="24"/>
          <w:szCs w:val="24"/>
          <w:lang w:eastAsia="en-GB"/>
        </w:rPr>
        <w:t>Governance &amp; Impact:</w:t>
      </w:r>
      <w:r w:rsidRPr="00EB30C8">
        <w:rPr>
          <w:rFonts w:ascii="Arial" w:eastAsia="Times New Roman" w:hAnsi="Arial" w:cs="Arial"/>
          <w:sz w:val="24"/>
          <w:szCs w:val="24"/>
          <w:lang w:eastAsia="en-GB"/>
        </w:rPr>
        <w:t xml:space="preserve"> Strengthened early reporting of abuse in schools.</w:t>
      </w:r>
    </w:p>
    <w:p w14:paraId="2DA56B04" w14:textId="77777777" w:rsidR="00EB30C8" w:rsidRPr="00EB30C8" w:rsidRDefault="00EB30C8" w:rsidP="00EB30C8">
      <w:pPr>
        <w:numPr>
          <w:ilvl w:val="0"/>
          <w:numId w:val="24"/>
        </w:numPr>
        <w:spacing w:before="100" w:beforeAutospacing="1" w:after="100" w:afterAutospacing="1" w:line="360" w:lineRule="auto"/>
        <w:rPr>
          <w:rFonts w:ascii="Arial" w:eastAsia="Times New Roman" w:hAnsi="Arial" w:cs="Arial"/>
          <w:sz w:val="24"/>
          <w:szCs w:val="24"/>
          <w:lang w:eastAsia="en-GB"/>
        </w:rPr>
      </w:pPr>
      <w:r w:rsidRPr="00EB30C8">
        <w:rPr>
          <w:rFonts w:ascii="Arial" w:eastAsia="Times New Roman" w:hAnsi="Arial" w:cs="Arial"/>
          <w:b/>
          <w:bCs/>
          <w:sz w:val="24"/>
          <w:szCs w:val="24"/>
          <w:lang w:eastAsia="en-GB"/>
        </w:rPr>
        <w:t>Evaluation:</w:t>
      </w:r>
      <w:r w:rsidRPr="00EB30C8">
        <w:rPr>
          <w:rFonts w:ascii="Arial" w:eastAsia="Times New Roman" w:hAnsi="Arial" w:cs="Arial"/>
          <w:sz w:val="24"/>
          <w:szCs w:val="24"/>
          <w:lang w:eastAsia="en-GB"/>
        </w:rPr>
        <w:t xml:space="preserve"> Rolled out quickly; some teachers required more in-depth safeguarding training.</w:t>
      </w:r>
    </w:p>
    <w:p w14:paraId="3E074BB3" w14:textId="6F364562" w:rsidR="00EB30C8" w:rsidRPr="00EB30C8" w:rsidRDefault="00EB30C8" w:rsidP="00EB30C8">
      <w:pPr>
        <w:spacing w:before="100" w:beforeAutospacing="1" w:after="100" w:afterAutospacing="1" w:line="360" w:lineRule="auto"/>
        <w:rPr>
          <w:rFonts w:ascii="Arial" w:eastAsia="Times New Roman" w:hAnsi="Arial" w:cs="Arial"/>
          <w:sz w:val="24"/>
          <w:szCs w:val="24"/>
          <w:lang w:eastAsia="en-GB"/>
        </w:rPr>
      </w:pPr>
      <w:r w:rsidRPr="00EB30C8">
        <w:rPr>
          <w:rFonts w:ascii="Arial" w:eastAsia="Times New Roman" w:hAnsi="Arial" w:cs="Arial"/>
          <w:b/>
          <w:bCs/>
          <w:sz w:val="24"/>
          <w:szCs w:val="24"/>
          <w:lang w:eastAsia="en-GB"/>
        </w:rPr>
        <w:t>2004 – Children Act (England &amp; Wales)</w:t>
      </w:r>
      <w:r w:rsidRPr="00EB30C8">
        <w:rPr>
          <w:rFonts w:ascii="Arial" w:eastAsia="Times New Roman" w:hAnsi="Arial" w:cs="Arial"/>
          <w:sz w:val="24"/>
          <w:szCs w:val="24"/>
          <w:lang w:eastAsia="en-GB"/>
        </w:rPr>
        <w:br/>
        <w:t xml:space="preserve">Launched </w:t>
      </w:r>
      <w:r w:rsidR="009F0621" w:rsidRPr="00EB30C8">
        <w:rPr>
          <w:rFonts w:ascii="Arial" w:eastAsia="Times New Roman" w:hAnsi="Arial" w:cs="Arial"/>
          <w:sz w:val="24"/>
          <w:szCs w:val="24"/>
          <w:lang w:eastAsia="en-GB"/>
        </w:rPr>
        <w:t>Every</w:t>
      </w:r>
      <w:r w:rsidRPr="00EB30C8">
        <w:rPr>
          <w:rFonts w:ascii="Arial" w:eastAsia="Times New Roman" w:hAnsi="Arial" w:cs="Arial"/>
          <w:sz w:val="24"/>
          <w:szCs w:val="24"/>
          <w:lang w:eastAsia="en-GB"/>
        </w:rPr>
        <w:t xml:space="preserve"> Child Matters framework and set up Local Safeguarding Children Boards (LSCBs) to coordinate health, education and social care.</w:t>
      </w:r>
    </w:p>
    <w:p w14:paraId="38EFE44D" w14:textId="77777777" w:rsidR="00EB30C8" w:rsidRPr="00EB30C8" w:rsidRDefault="00EB30C8" w:rsidP="00EB30C8">
      <w:pPr>
        <w:numPr>
          <w:ilvl w:val="0"/>
          <w:numId w:val="25"/>
        </w:numPr>
        <w:spacing w:before="100" w:beforeAutospacing="1" w:after="100" w:afterAutospacing="1" w:line="360" w:lineRule="auto"/>
        <w:rPr>
          <w:rFonts w:ascii="Arial" w:eastAsia="Times New Roman" w:hAnsi="Arial" w:cs="Arial"/>
          <w:sz w:val="24"/>
          <w:szCs w:val="24"/>
          <w:lang w:eastAsia="en-GB"/>
        </w:rPr>
      </w:pPr>
      <w:r w:rsidRPr="00EB30C8">
        <w:rPr>
          <w:rFonts w:ascii="Arial" w:eastAsia="Times New Roman" w:hAnsi="Arial" w:cs="Arial"/>
          <w:b/>
          <w:bCs/>
          <w:sz w:val="24"/>
          <w:szCs w:val="24"/>
          <w:lang w:eastAsia="en-GB"/>
        </w:rPr>
        <w:t>Governance &amp; Impact:</w:t>
      </w:r>
      <w:r w:rsidRPr="00EB30C8">
        <w:rPr>
          <w:rFonts w:ascii="Arial" w:eastAsia="Times New Roman" w:hAnsi="Arial" w:cs="Arial"/>
          <w:sz w:val="24"/>
          <w:szCs w:val="24"/>
          <w:lang w:eastAsia="en-GB"/>
        </w:rPr>
        <w:t xml:space="preserve"> Promoted shared investigations and serious incident reviews.</w:t>
      </w:r>
    </w:p>
    <w:p w14:paraId="66162261" w14:textId="77777777" w:rsidR="00EB30C8" w:rsidRPr="00EB30C8" w:rsidRDefault="00EB30C8" w:rsidP="00EB30C8">
      <w:pPr>
        <w:numPr>
          <w:ilvl w:val="0"/>
          <w:numId w:val="25"/>
        </w:numPr>
        <w:spacing w:before="100" w:beforeAutospacing="1" w:after="100" w:afterAutospacing="1" w:line="360" w:lineRule="auto"/>
        <w:rPr>
          <w:rFonts w:ascii="Arial" w:eastAsia="Times New Roman" w:hAnsi="Arial" w:cs="Arial"/>
          <w:sz w:val="24"/>
          <w:szCs w:val="24"/>
          <w:lang w:eastAsia="en-GB"/>
        </w:rPr>
      </w:pPr>
      <w:r w:rsidRPr="00EB30C8">
        <w:rPr>
          <w:rFonts w:ascii="Arial" w:eastAsia="Times New Roman" w:hAnsi="Arial" w:cs="Arial"/>
          <w:b/>
          <w:bCs/>
          <w:sz w:val="24"/>
          <w:szCs w:val="24"/>
          <w:lang w:eastAsia="en-GB"/>
        </w:rPr>
        <w:t>Evaluation:</w:t>
      </w:r>
      <w:r w:rsidRPr="00EB30C8">
        <w:rPr>
          <w:rFonts w:ascii="Arial" w:eastAsia="Times New Roman" w:hAnsi="Arial" w:cs="Arial"/>
          <w:sz w:val="24"/>
          <w:szCs w:val="24"/>
          <w:lang w:eastAsia="en-GB"/>
        </w:rPr>
        <w:t xml:space="preserve"> Some LSCBs excelled; others suffered from unclear leadership and funding gaps.</w:t>
      </w:r>
    </w:p>
    <w:p w14:paraId="7A31DD38" w14:textId="2563FC2A" w:rsidR="00EB30C8" w:rsidRPr="00EB30C8" w:rsidRDefault="00EB30C8" w:rsidP="00EB30C8">
      <w:pPr>
        <w:spacing w:after="0" w:line="360" w:lineRule="auto"/>
        <w:rPr>
          <w:rFonts w:ascii="Arial" w:eastAsia="Times New Roman" w:hAnsi="Arial" w:cs="Arial"/>
          <w:sz w:val="24"/>
          <w:szCs w:val="24"/>
          <w:lang w:eastAsia="en-GB"/>
        </w:rPr>
      </w:pPr>
    </w:p>
    <w:p w14:paraId="6600A274" w14:textId="77777777" w:rsidR="00EB30C8" w:rsidRPr="00EB30C8" w:rsidRDefault="00EB30C8" w:rsidP="00EB30C8">
      <w:pPr>
        <w:spacing w:before="100" w:beforeAutospacing="1" w:after="100" w:afterAutospacing="1" w:line="360" w:lineRule="auto"/>
        <w:outlineLvl w:val="2"/>
        <w:rPr>
          <w:rFonts w:ascii="Arial" w:eastAsia="Times New Roman" w:hAnsi="Arial" w:cs="Arial"/>
          <w:b/>
          <w:bCs/>
          <w:sz w:val="27"/>
          <w:szCs w:val="27"/>
          <w:lang w:eastAsia="en-GB"/>
        </w:rPr>
      </w:pPr>
      <w:r w:rsidRPr="00EB30C8">
        <w:rPr>
          <w:rFonts w:ascii="Arial" w:eastAsia="Times New Roman" w:hAnsi="Arial" w:cs="Arial"/>
          <w:b/>
          <w:bCs/>
          <w:sz w:val="27"/>
          <w:szCs w:val="27"/>
          <w:lang w:eastAsia="en-GB"/>
        </w:rPr>
        <w:t>2010s</w:t>
      </w:r>
    </w:p>
    <w:p w14:paraId="416538BF" w14:textId="77777777" w:rsidR="00EB30C8" w:rsidRPr="00EB30C8" w:rsidRDefault="00EB30C8" w:rsidP="00EB30C8">
      <w:pPr>
        <w:spacing w:before="100" w:beforeAutospacing="1" w:after="100" w:afterAutospacing="1" w:line="360" w:lineRule="auto"/>
        <w:rPr>
          <w:rFonts w:ascii="Arial" w:eastAsia="Times New Roman" w:hAnsi="Arial" w:cs="Arial"/>
          <w:sz w:val="24"/>
          <w:szCs w:val="24"/>
          <w:lang w:eastAsia="en-GB"/>
        </w:rPr>
      </w:pPr>
      <w:r w:rsidRPr="00EB30C8">
        <w:rPr>
          <w:rFonts w:ascii="Arial" w:eastAsia="Times New Roman" w:hAnsi="Arial" w:cs="Arial"/>
          <w:b/>
          <w:bCs/>
          <w:sz w:val="24"/>
          <w:szCs w:val="24"/>
          <w:lang w:eastAsia="en-GB"/>
        </w:rPr>
        <w:t>2010 – Equality Act (UK)</w:t>
      </w:r>
      <w:r w:rsidRPr="00EB30C8">
        <w:rPr>
          <w:rFonts w:ascii="Arial" w:eastAsia="Times New Roman" w:hAnsi="Arial" w:cs="Arial"/>
          <w:sz w:val="24"/>
          <w:szCs w:val="24"/>
          <w:lang w:eastAsia="en-GB"/>
        </w:rPr>
        <w:br/>
        <w:t>Unified anti-discrimination law, protecting children against bias due to disability, race, gender reassignment, religion, sexual orientation and more.</w:t>
      </w:r>
    </w:p>
    <w:p w14:paraId="633ED3D9" w14:textId="77777777" w:rsidR="00EB30C8" w:rsidRPr="00EB30C8" w:rsidRDefault="00EB30C8" w:rsidP="00EB30C8">
      <w:pPr>
        <w:numPr>
          <w:ilvl w:val="0"/>
          <w:numId w:val="26"/>
        </w:numPr>
        <w:spacing w:before="100" w:beforeAutospacing="1" w:after="100" w:afterAutospacing="1" w:line="360" w:lineRule="auto"/>
        <w:rPr>
          <w:rFonts w:ascii="Arial" w:eastAsia="Times New Roman" w:hAnsi="Arial" w:cs="Arial"/>
          <w:sz w:val="24"/>
          <w:szCs w:val="24"/>
          <w:lang w:eastAsia="en-GB"/>
        </w:rPr>
      </w:pPr>
      <w:r w:rsidRPr="00EB30C8">
        <w:rPr>
          <w:rFonts w:ascii="Arial" w:eastAsia="Times New Roman" w:hAnsi="Arial" w:cs="Arial"/>
          <w:b/>
          <w:bCs/>
          <w:sz w:val="24"/>
          <w:szCs w:val="24"/>
          <w:lang w:eastAsia="en-GB"/>
        </w:rPr>
        <w:t>Governance &amp; Impact:</w:t>
      </w:r>
      <w:r w:rsidRPr="00EB30C8">
        <w:rPr>
          <w:rFonts w:ascii="Arial" w:eastAsia="Times New Roman" w:hAnsi="Arial" w:cs="Arial"/>
          <w:sz w:val="24"/>
          <w:szCs w:val="24"/>
          <w:lang w:eastAsia="en-GB"/>
        </w:rPr>
        <w:t xml:space="preserve"> Required schools and services to remove barriers and promote fairness.</w:t>
      </w:r>
    </w:p>
    <w:p w14:paraId="7C520B36" w14:textId="77777777" w:rsidR="00EB30C8" w:rsidRPr="00EB30C8" w:rsidRDefault="00EB30C8" w:rsidP="00EB30C8">
      <w:pPr>
        <w:numPr>
          <w:ilvl w:val="0"/>
          <w:numId w:val="26"/>
        </w:numPr>
        <w:spacing w:before="100" w:beforeAutospacing="1" w:after="100" w:afterAutospacing="1" w:line="360" w:lineRule="auto"/>
        <w:rPr>
          <w:rFonts w:ascii="Arial" w:eastAsia="Times New Roman" w:hAnsi="Arial" w:cs="Arial"/>
          <w:sz w:val="24"/>
          <w:szCs w:val="24"/>
          <w:lang w:eastAsia="en-GB"/>
        </w:rPr>
      </w:pPr>
      <w:r w:rsidRPr="00EB30C8">
        <w:rPr>
          <w:rFonts w:ascii="Arial" w:eastAsia="Times New Roman" w:hAnsi="Arial" w:cs="Arial"/>
          <w:b/>
          <w:bCs/>
          <w:sz w:val="24"/>
          <w:szCs w:val="24"/>
          <w:lang w:eastAsia="en-GB"/>
        </w:rPr>
        <w:t>Evaluation:</w:t>
      </w:r>
      <w:r w:rsidRPr="00EB30C8">
        <w:rPr>
          <w:rFonts w:ascii="Arial" w:eastAsia="Times New Roman" w:hAnsi="Arial" w:cs="Arial"/>
          <w:sz w:val="24"/>
          <w:szCs w:val="24"/>
          <w:lang w:eastAsia="en-GB"/>
        </w:rPr>
        <w:t xml:space="preserve"> Strengthened rights on paper; practice lags where resources remain tight.</w:t>
      </w:r>
    </w:p>
    <w:p w14:paraId="72851F95" w14:textId="77777777" w:rsidR="00EB30C8" w:rsidRPr="00EB30C8" w:rsidRDefault="00EB30C8" w:rsidP="00EB30C8">
      <w:pPr>
        <w:spacing w:before="100" w:beforeAutospacing="1" w:after="100" w:afterAutospacing="1" w:line="360" w:lineRule="auto"/>
        <w:rPr>
          <w:rFonts w:ascii="Arial" w:eastAsia="Times New Roman" w:hAnsi="Arial" w:cs="Arial"/>
          <w:sz w:val="24"/>
          <w:szCs w:val="24"/>
          <w:lang w:eastAsia="en-GB"/>
        </w:rPr>
      </w:pPr>
      <w:r w:rsidRPr="00EB30C8">
        <w:rPr>
          <w:rFonts w:ascii="Arial" w:eastAsia="Times New Roman" w:hAnsi="Arial" w:cs="Arial"/>
          <w:b/>
          <w:bCs/>
          <w:sz w:val="24"/>
          <w:szCs w:val="24"/>
          <w:lang w:eastAsia="en-GB"/>
        </w:rPr>
        <w:t>2015 – Well-being of Future Generations (Wales) Act</w:t>
      </w:r>
      <w:r w:rsidRPr="00EB30C8">
        <w:rPr>
          <w:rFonts w:ascii="Arial" w:eastAsia="Times New Roman" w:hAnsi="Arial" w:cs="Arial"/>
          <w:sz w:val="24"/>
          <w:szCs w:val="24"/>
          <w:lang w:eastAsia="en-GB"/>
        </w:rPr>
        <w:br/>
        <w:t>Compelled Welsh public bodies to plan for long-term social, economic, environmental and cultural wellbeing, explicitly considering children’s needs.</w:t>
      </w:r>
    </w:p>
    <w:p w14:paraId="781998D4" w14:textId="77777777" w:rsidR="00EB30C8" w:rsidRPr="00EB30C8" w:rsidRDefault="00EB30C8" w:rsidP="00EB30C8">
      <w:pPr>
        <w:numPr>
          <w:ilvl w:val="0"/>
          <w:numId w:val="27"/>
        </w:numPr>
        <w:spacing w:before="100" w:beforeAutospacing="1" w:after="100" w:afterAutospacing="1" w:line="360" w:lineRule="auto"/>
        <w:rPr>
          <w:rFonts w:ascii="Arial" w:eastAsia="Times New Roman" w:hAnsi="Arial" w:cs="Arial"/>
          <w:sz w:val="24"/>
          <w:szCs w:val="24"/>
          <w:lang w:eastAsia="en-GB"/>
        </w:rPr>
      </w:pPr>
      <w:r w:rsidRPr="00EB30C8">
        <w:rPr>
          <w:rFonts w:ascii="Arial" w:eastAsia="Times New Roman" w:hAnsi="Arial" w:cs="Arial"/>
          <w:b/>
          <w:bCs/>
          <w:sz w:val="24"/>
          <w:szCs w:val="24"/>
          <w:lang w:eastAsia="en-GB"/>
        </w:rPr>
        <w:lastRenderedPageBreak/>
        <w:t>Governance &amp; Impact:</w:t>
      </w:r>
      <w:r w:rsidRPr="00EB30C8">
        <w:rPr>
          <w:rFonts w:ascii="Arial" w:eastAsia="Times New Roman" w:hAnsi="Arial" w:cs="Arial"/>
          <w:sz w:val="24"/>
          <w:szCs w:val="24"/>
          <w:lang w:eastAsia="en-GB"/>
        </w:rPr>
        <w:t xml:space="preserve"> Local councils began embedding child health and education in strategic plans.</w:t>
      </w:r>
    </w:p>
    <w:p w14:paraId="0908E70B" w14:textId="77777777" w:rsidR="00EB30C8" w:rsidRPr="00EB30C8" w:rsidRDefault="00EB30C8" w:rsidP="00EB30C8">
      <w:pPr>
        <w:numPr>
          <w:ilvl w:val="0"/>
          <w:numId w:val="27"/>
        </w:numPr>
        <w:spacing w:before="100" w:beforeAutospacing="1" w:after="100" w:afterAutospacing="1" w:line="360" w:lineRule="auto"/>
        <w:rPr>
          <w:rFonts w:ascii="Arial" w:eastAsia="Times New Roman" w:hAnsi="Arial" w:cs="Arial"/>
          <w:sz w:val="24"/>
          <w:szCs w:val="24"/>
          <w:lang w:eastAsia="en-GB"/>
        </w:rPr>
      </w:pPr>
      <w:r w:rsidRPr="00EB30C8">
        <w:rPr>
          <w:rFonts w:ascii="Arial" w:eastAsia="Times New Roman" w:hAnsi="Arial" w:cs="Arial"/>
          <w:b/>
          <w:bCs/>
          <w:sz w:val="24"/>
          <w:szCs w:val="24"/>
          <w:lang w:eastAsia="en-GB"/>
        </w:rPr>
        <w:t>Evaluation:</w:t>
      </w:r>
      <w:r w:rsidRPr="00EB30C8">
        <w:rPr>
          <w:rFonts w:ascii="Arial" w:eastAsia="Times New Roman" w:hAnsi="Arial" w:cs="Arial"/>
          <w:sz w:val="24"/>
          <w:szCs w:val="24"/>
          <w:lang w:eastAsia="en-GB"/>
        </w:rPr>
        <w:t xml:space="preserve"> Pioneered holistic policy but needs more outcome data on child wellbeing.</w:t>
      </w:r>
    </w:p>
    <w:p w14:paraId="3594455F" w14:textId="0821920A" w:rsidR="00EB30C8" w:rsidRPr="00EB30C8" w:rsidRDefault="00EB30C8" w:rsidP="00EB30C8">
      <w:pPr>
        <w:spacing w:after="0" w:line="360" w:lineRule="auto"/>
        <w:rPr>
          <w:rFonts w:ascii="Arial" w:eastAsia="Times New Roman" w:hAnsi="Arial" w:cs="Arial"/>
          <w:sz w:val="24"/>
          <w:szCs w:val="24"/>
          <w:lang w:eastAsia="en-GB"/>
        </w:rPr>
      </w:pPr>
    </w:p>
    <w:p w14:paraId="14362614" w14:textId="77777777" w:rsidR="00EB30C8" w:rsidRPr="00EB30C8" w:rsidRDefault="00EB30C8" w:rsidP="00EB30C8">
      <w:pPr>
        <w:spacing w:before="100" w:beforeAutospacing="1" w:after="100" w:afterAutospacing="1" w:line="360" w:lineRule="auto"/>
        <w:outlineLvl w:val="2"/>
        <w:rPr>
          <w:rFonts w:ascii="Arial" w:eastAsia="Times New Roman" w:hAnsi="Arial" w:cs="Arial"/>
          <w:b/>
          <w:bCs/>
          <w:sz w:val="27"/>
          <w:szCs w:val="27"/>
          <w:lang w:eastAsia="en-GB"/>
        </w:rPr>
      </w:pPr>
      <w:r w:rsidRPr="00EB30C8">
        <w:rPr>
          <w:rFonts w:ascii="Arial" w:eastAsia="Times New Roman" w:hAnsi="Arial" w:cs="Arial"/>
          <w:b/>
          <w:bCs/>
          <w:sz w:val="27"/>
          <w:szCs w:val="27"/>
          <w:lang w:eastAsia="en-GB"/>
        </w:rPr>
        <w:t>2020s</w:t>
      </w:r>
    </w:p>
    <w:p w14:paraId="7C5F9B90" w14:textId="77777777" w:rsidR="00EB30C8" w:rsidRPr="00EB30C8" w:rsidRDefault="00EB30C8" w:rsidP="00EB30C8">
      <w:pPr>
        <w:spacing w:before="100" w:beforeAutospacing="1" w:after="100" w:afterAutospacing="1" w:line="360" w:lineRule="auto"/>
        <w:rPr>
          <w:rFonts w:ascii="Arial" w:eastAsia="Times New Roman" w:hAnsi="Arial" w:cs="Arial"/>
          <w:sz w:val="24"/>
          <w:szCs w:val="24"/>
          <w:lang w:eastAsia="en-GB"/>
        </w:rPr>
      </w:pPr>
      <w:r w:rsidRPr="00EB30C8">
        <w:rPr>
          <w:rFonts w:ascii="Arial" w:eastAsia="Times New Roman" w:hAnsi="Arial" w:cs="Arial"/>
          <w:b/>
          <w:bCs/>
          <w:sz w:val="24"/>
          <w:szCs w:val="24"/>
          <w:lang w:eastAsia="en-GB"/>
        </w:rPr>
        <w:t>2021 – Domestic Abuse Act (England &amp; Wales)</w:t>
      </w:r>
      <w:r w:rsidRPr="00EB30C8">
        <w:rPr>
          <w:rFonts w:ascii="Arial" w:eastAsia="Times New Roman" w:hAnsi="Arial" w:cs="Arial"/>
          <w:sz w:val="24"/>
          <w:szCs w:val="24"/>
          <w:lang w:eastAsia="en-GB"/>
        </w:rPr>
        <w:br/>
        <w:t>Recognised children who live with domestic abuse as victims in their own right, granting protective orders and targeted support.</w:t>
      </w:r>
    </w:p>
    <w:p w14:paraId="7ADFDC65" w14:textId="77777777" w:rsidR="00EB30C8" w:rsidRPr="00EB30C8" w:rsidRDefault="00EB30C8" w:rsidP="00EB30C8">
      <w:pPr>
        <w:numPr>
          <w:ilvl w:val="0"/>
          <w:numId w:val="28"/>
        </w:numPr>
        <w:spacing w:before="100" w:beforeAutospacing="1" w:after="100" w:afterAutospacing="1" w:line="360" w:lineRule="auto"/>
        <w:rPr>
          <w:rFonts w:ascii="Arial" w:eastAsia="Times New Roman" w:hAnsi="Arial" w:cs="Arial"/>
          <w:sz w:val="24"/>
          <w:szCs w:val="24"/>
          <w:lang w:eastAsia="en-GB"/>
        </w:rPr>
      </w:pPr>
      <w:r w:rsidRPr="00EB30C8">
        <w:rPr>
          <w:rFonts w:ascii="Arial" w:eastAsia="Times New Roman" w:hAnsi="Arial" w:cs="Arial"/>
          <w:b/>
          <w:bCs/>
          <w:sz w:val="24"/>
          <w:szCs w:val="24"/>
          <w:lang w:eastAsia="en-GB"/>
        </w:rPr>
        <w:t>Governance &amp; Impact:</w:t>
      </w:r>
      <w:r w:rsidRPr="00EB30C8">
        <w:rPr>
          <w:rFonts w:ascii="Arial" w:eastAsia="Times New Roman" w:hAnsi="Arial" w:cs="Arial"/>
          <w:sz w:val="24"/>
          <w:szCs w:val="24"/>
          <w:lang w:eastAsia="en-GB"/>
        </w:rPr>
        <w:t xml:space="preserve"> Courts and police assess children’s experiences directly when enforcing restraining orders.</w:t>
      </w:r>
    </w:p>
    <w:p w14:paraId="7916FCE8" w14:textId="77777777" w:rsidR="00EB30C8" w:rsidRPr="00EB30C8" w:rsidRDefault="00EB30C8" w:rsidP="00EB30C8">
      <w:pPr>
        <w:numPr>
          <w:ilvl w:val="0"/>
          <w:numId w:val="28"/>
        </w:numPr>
        <w:spacing w:before="100" w:beforeAutospacing="1" w:after="100" w:afterAutospacing="1" w:line="360" w:lineRule="auto"/>
        <w:rPr>
          <w:rFonts w:ascii="Arial" w:eastAsia="Times New Roman" w:hAnsi="Arial" w:cs="Arial"/>
          <w:sz w:val="24"/>
          <w:szCs w:val="24"/>
          <w:lang w:eastAsia="en-GB"/>
        </w:rPr>
      </w:pPr>
      <w:r w:rsidRPr="00EB30C8">
        <w:rPr>
          <w:rFonts w:ascii="Arial" w:eastAsia="Times New Roman" w:hAnsi="Arial" w:cs="Arial"/>
          <w:b/>
          <w:bCs/>
          <w:sz w:val="24"/>
          <w:szCs w:val="24"/>
          <w:lang w:eastAsia="en-GB"/>
        </w:rPr>
        <w:t>Evaluation:</w:t>
      </w:r>
      <w:r w:rsidRPr="00EB30C8">
        <w:rPr>
          <w:rFonts w:ascii="Arial" w:eastAsia="Times New Roman" w:hAnsi="Arial" w:cs="Arial"/>
          <w:sz w:val="24"/>
          <w:szCs w:val="24"/>
          <w:lang w:eastAsia="en-GB"/>
        </w:rPr>
        <w:t xml:space="preserve"> Marks progress in trauma-informed response; success depends on training frontline staff.</w:t>
      </w:r>
    </w:p>
    <w:p w14:paraId="01F157FB" w14:textId="0AEC46C7" w:rsidR="00EB30C8" w:rsidRPr="00EB30C8" w:rsidRDefault="00EB30C8" w:rsidP="00EB30C8">
      <w:pPr>
        <w:spacing w:after="0" w:line="360" w:lineRule="auto"/>
        <w:rPr>
          <w:rFonts w:ascii="Arial" w:eastAsia="Times New Roman" w:hAnsi="Arial" w:cs="Arial"/>
          <w:sz w:val="24"/>
          <w:szCs w:val="24"/>
          <w:lang w:eastAsia="en-GB"/>
        </w:rPr>
      </w:pPr>
    </w:p>
    <w:p w14:paraId="22C8E9DD" w14:textId="3EBD00A8" w:rsidR="00EB30C8" w:rsidRPr="00EB30C8" w:rsidRDefault="00EB30C8" w:rsidP="00EB30C8">
      <w:pPr>
        <w:spacing w:before="100" w:beforeAutospacing="1" w:after="100" w:afterAutospacing="1" w:line="360" w:lineRule="auto"/>
        <w:outlineLvl w:val="1"/>
        <w:rPr>
          <w:rFonts w:ascii="Arial" w:eastAsia="Times New Roman" w:hAnsi="Arial" w:cs="Arial"/>
          <w:b/>
          <w:bCs/>
          <w:sz w:val="36"/>
          <w:szCs w:val="36"/>
          <w:lang w:eastAsia="en-GB"/>
        </w:rPr>
      </w:pPr>
      <w:r w:rsidRPr="00EB30C8">
        <w:rPr>
          <w:rFonts w:ascii="Arial" w:eastAsia="Times New Roman" w:hAnsi="Arial" w:cs="Arial"/>
          <w:b/>
          <w:bCs/>
          <w:sz w:val="36"/>
          <w:szCs w:val="36"/>
          <w:lang w:eastAsia="en-GB"/>
        </w:rPr>
        <w:t>Cross-</w:t>
      </w:r>
      <w:r>
        <w:rPr>
          <w:rFonts w:ascii="Arial" w:eastAsia="Times New Roman" w:hAnsi="Arial" w:cs="Arial"/>
          <w:b/>
          <w:bCs/>
          <w:sz w:val="36"/>
          <w:szCs w:val="36"/>
          <w:lang w:eastAsia="en-GB"/>
        </w:rPr>
        <w:t>c</w:t>
      </w:r>
      <w:r w:rsidRPr="00EB30C8">
        <w:rPr>
          <w:rFonts w:ascii="Arial" w:eastAsia="Times New Roman" w:hAnsi="Arial" w:cs="Arial"/>
          <w:b/>
          <w:bCs/>
          <w:sz w:val="36"/>
          <w:szCs w:val="36"/>
          <w:lang w:eastAsia="en-GB"/>
        </w:rPr>
        <w:t xml:space="preserve">utting </w:t>
      </w:r>
      <w:r>
        <w:rPr>
          <w:rFonts w:ascii="Arial" w:eastAsia="Times New Roman" w:hAnsi="Arial" w:cs="Arial"/>
          <w:b/>
          <w:bCs/>
          <w:sz w:val="36"/>
          <w:szCs w:val="36"/>
          <w:lang w:eastAsia="en-GB"/>
        </w:rPr>
        <w:t>t</w:t>
      </w:r>
      <w:r w:rsidRPr="00EB30C8">
        <w:rPr>
          <w:rFonts w:ascii="Arial" w:eastAsia="Times New Roman" w:hAnsi="Arial" w:cs="Arial"/>
          <w:b/>
          <w:bCs/>
          <w:sz w:val="36"/>
          <w:szCs w:val="36"/>
          <w:lang w:eastAsia="en-GB"/>
        </w:rPr>
        <w:t xml:space="preserve">hemes &amp; </w:t>
      </w:r>
      <w:r>
        <w:rPr>
          <w:rFonts w:ascii="Arial" w:eastAsia="Times New Roman" w:hAnsi="Arial" w:cs="Arial"/>
          <w:b/>
          <w:bCs/>
          <w:sz w:val="36"/>
          <w:szCs w:val="36"/>
          <w:lang w:eastAsia="en-GB"/>
        </w:rPr>
        <w:t>e</w:t>
      </w:r>
      <w:r w:rsidRPr="00EB30C8">
        <w:rPr>
          <w:rFonts w:ascii="Arial" w:eastAsia="Times New Roman" w:hAnsi="Arial" w:cs="Arial"/>
          <w:b/>
          <w:bCs/>
          <w:sz w:val="36"/>
          <w:szCs w:val="36"/>
          <w:lang w:eastAsia="en-GB"/>
        </w:rPr>
        <w:t>valuation</w:t>
      </w:r>
    </w:p>
    <w:p w14:paraId="10C0872D" w14:textId="61148EE9" w:rsidR="00EB30C8" w:rsidRPr="00EB30C8" w:rsidRDefault="00EB30C8" w:rsidP="00EB30C8">
      <w:pPr>
        <w:numPr>
          <w:ilvl w:val="0"/>
          <w:numId w:val="29"/>
        </w:numPr>
        <w:spacing w:before="100" w:beforeAutospacing="1" w:after="100" w:afterAutospacing="1" w:line="360" w:lineRule="auto"/>
        <w:rPr>
          <w:rFonts w:ascii="Arial" w:eastAsia="Times New Roman" w:hAnsi="Arial" w:cs="Arial"/>
          <w:sz w:val="24"/>
          <w:szCs w:val="24"/>
          <w:lang w:eastAsia="en-GB"/>
        </w:rPr>
      </w:pPr>
      <w:r w:rsidRPr="00EB30C8">
        <w:rPr>
          <w:rFonts w:ascii="Arial" w:eastAsia="Times New Roman" w:hAnsi="Arial" w:cs="Arial"/>
          <w:b/>
          <w:bCs/>
          <w:sz w:val="24"/>
          <w:szCs w:val="24"/>
          <w:lang w:eastAsia="en-GB"/>
        </w:rPr>
        <w:t xml:space="preserve">Biopsychosocial &amp; </w:t>
      </w:r>
      <w:r>
        <w:rPr>
          <w:rFonts w:ascii="Arial" w:eastAsia="Times New Roman" w:hAnsi="Arial" w:cs="Arial"/>
          <w:b/>
          <w:bCs/>
          <w:sz w:val="24"/>
          <w:szCs w:val="24"/>
          <w:lang w:eastAsia="en-GB"/>
        </w:rPr>
        <w:t>s</w:t>
      </w:r>
      <w:r w:rsidRPr="00EB30C8">
        <w:rPr>
          <w:rFonts w:ascii="Arial" w:eastAsia="Times New Roman" w:hAnsi="Arial" w:cs="Arial"/>
          <w:b/>
          <w:bCs/>
          <w:sz w:val="24"/>
          <w:szCs w:val="24"/>
          <w:lang w:eastAsia="en-GB"/>
        </w:rPr>
        <w:t xml:space="preserve">ocioeconomic </w:t>
      </w:r>
      <w:r>
        <w:rPr>
          <w:rFonts w:ascii="Arial" w:eastAsia="Times New Roman" w:hAnsi="Arial" w:cs="Arial"/>
          <w:b/>
          <w:bCs/>
          <w:sz w:val="24"/>
          <w:szCs w:val="24"/>
          <w:lang w:eastAsia="en-GB"/>
        </w:rPr>
        <w:t>c</w:t>
      </w:r>
      <w:r w:rsidRPr="00EB30C8">
        <w:rPr>
          <w:rFonts w:ascii="Arial" w:eastAsia="Times New Roman" w:hAnsi="Arial" w:cs="Arial"/>
          <w:b/>
          <w:bCs/>
          <w:sz w:val="24"/>
          <w:szCs w:val="24"/>
          <w:lang w:eastAsia="en-GB"/>
        </w:rPr>
        <w:t>ontext</w:t>
      </w:r>
    </w:p>
    <w:p w14:paraId="450E8331" w14:textId="77777777" w:rsidR="00EB30C8" w:rsidRPr="00EB30C8" w:rsidRDefault="00EB30C8" w:rsidP="00EB30C8">
      <w:pPr>
        <w:numPr>
          <w:ilvl w:val="1"/>
          <w:numId w:val="29"/>
        </w:numPr>
        <w:spacing w:before="100" w:beforeAutospacing="1" w:after="100" w:afterAutospacing="1" w:line="360" w:lineRule="auto"/>
        <w:rPr>
          <w:rFonts w:ascii="Arial" w:eastAsia="Times New Roman" w:hAnsi="Arial" w:cs="Arial"/>
          <w:sz w:val="24"/>
          <w:szCs w:val="24"/>
          <w:lang w:eastAsia="en-GB"/>
        </w:rPr>
      </w:pPr>
      <w:r w:rsidRPr="00EB30C8">
        <w:rPr>
          <w:rFonts w:ascii="Arial" w:eastAsia="Times New Roman" w:hAnsi="Arial" w:cs="Arial"/>
          <w:sz w:val="24"/>
          <w:szCs w:val="24"/>
          <w:lang w:eastAsia="en-GB"/>
        </w:rPr>
        <w:t>Early laws tackled medical or educational deficits. Modern legislation (Wales 2015, Equality 2010) addresses broader drivers of health—income, housing, community resources—echoing an ecological view of child development.</w:t>
      </w:r>
    </w:p>
    <w:p w14:paraId="58CBD155" w14:textId="7DA9E2E5" w:rsidR="00EB30C8" w:rsidRPr="00EB30C8" w:rsidRDefault="00EB30C8" w:rsidP="00EB30C8">
      <w:pPr>
        <w:numPr>
          <w:ilvl w:val="0"/>
          <w:numId w:val="29"/>
        </w:numPr>
        <w:spacing w:before="100" w:beforeAutospacing="1" w:after="100" w:afterAutospacing="1" w:line="360" w:lineRule="auto"/>
        <w:rPr>
          <w:rFonts w:ascii="Arial" w:eastAsia="Times New Roman" w:hAnsi="Arial" w:cs="Arial"/>
          <w:sz w:val="24"/>
          <w:szCs w:val="24"/>
          <w:lang w:eastAsia="en-GB"/>
        </w:rPr>
      </w:pPr>
      <w:r w:rsidRPr="00EB30C8">
        <w:rPr>
          <w:rFonts w:ascii="Arial" w:eastAsia="Times New Roman" w:hAnsi="Arial" w:cs="Arial"/>
          <w:b/>
          <w:bCs/>
          <w:sz w:val="24"/>
          <w:szCs w:val="24"/>
          <w:lang w:eastAsia="en-GB"/>
        </w:rPr>
        <w:t xml:space="preserve">Models of </w:t>
      </w:r>
      <w:r>
        <w:rPr>
          <w:rFonts w:ascii="Arial" w:eastAsia="Times New Roman" w:hAnsi="Arial" w:cs="Arial"/>
          <w:b/>
          <w:bCs/>
          <w:sz w:val="24"/>
          <w:szCs w:val="24"/>
          <w:lang w:eastAsia="en-GB"/>
        </w:rPr>
        <w:t>l</w:t>
      </w:r>
      <w:r w:rsidRPr="00EB30C8">
        <w:rPr>
          <w:rFonts w:ascii="Arial" w:eastAsia="Times New Roman" w:hAnsi="Arial" w:cs="Arial"/>
          <w:b/>
          <w:bCs/>
          <w:sz w:val="24"/>
          <w:szCs w:val="24"/>
          <w:lang w:eastAsia="en-GB"/>
        </w:rPr>
        <w:t xml:space="preserve">earning &amp; </w:t>
      </w:r>
      <w:r>
        <w:rPr>
          <w:rFonts w:ascii="Arial" w:eastAsia="Times New Roman" w:hAnsi="Arial" w:cs="Arial"/>
          <w:b/>
          <w:bCs/>
          <w:sz w:val="24"/>
          <w:szCs w:val="24"/>
          <w:lang w:eastAsia="en-GB"/>
        </w:rPr>
        <w:t>d</w:t>
      </w:r>
      <w:r w:rsidRPr="00EB30C8">
        <w:rPr>
          <w:rFonts w:ascii="Arial" w:eastAsia="Times New Roman" w:hAnsi="Arial" w:cs="Arial"/>
          <w:b/>
          <w:bCs/>
          <w:sz w:val="24"/>
          <w:szCs w:val="24"/>
          <w:lang w:eastAsia="en-GB"/>
        </w:rPr>
        <w:t>evelopment</w:t>
      </w:r>
    </w:p>
    <w:p w14:paraId="1E2A7E40" w14:textId="77777777" w:rsidR="00EB30C8" w:rsidRPr="00EB30C8" w:rsidRDefault="00EB30C8" w:rsidP="00EB30C8">
      <w:pPr>
        <w:numPr>
          <w:ilvl w:val="1"/>
          <w:numId w:val="29"/>
        </w:numPr>
        <w:spacing w:before="100" w:beforeAutospacing="1" w:after="100" w:afterAutospacing="1" w:line="360" w:lineRule="auto"/>
        <w:rPr>
          <w:rFonts w:ascii="Arial" w:eastAsia="Times New Roman" w:hAnsi="Arial" w:cs="Arial"/>
          <w:sz w:val="24"/>
          <w:szCs w:val="24"/>
          <w:lang w:eastAsia="en-GB"/>
        </w:rPr>
      </w:pPr>
      <w:r w:rsidRPr="00EB30C8">
        <w:rPr>
          <w:rFonts w:ascii="Arial" w:eastAsia="Times New Roman" w:hAnsi="Arial" w:cs="Arial"/>
          <w:sz w:val="24"/>
          <w:szCs w:val="24"/>
          <w:lang w:eastAsia="en-GB"/>
        </w:rPr>
        <w:t>SEN “statementing” and social-emotional learning (SEL) programmes rely on behaviourist and humanistic theories. Their success hinges on well-trained educators and family–school collaboration.</w:t>
      </w:r>
    </w:p>
    <w:p w14:paraId="5F3A24F4" w14:textId="00833DB0" w:rsidR="00EB30C8" w:rsidRPr="00EB30C8" w:rsidRDefault="00EB30C8" w:rsidP="00EB30C8">
      <w:pPr>
        <w:numPr>
          <w:ilvl w:val="0"/>
          <w:numId w:val="29"/>
        </w:numPr>
        <w:spacing w:before="100" w:beforeAutospacing="1" w:after="100" w:afterAutospacing="1" w:line="360" w:lineRule="auto"/>
        <w:rPr>
          <w:rFonts w:ascii="Arial" w:eastAsia="Times New Roman" w:hAnsi="Arial" w:cs="Arial"/>
          <w:sz w:val="24"/>
          <w:szCs w:val="24"/>
          <w:lang w:eastAsia="en-GB"/>
        </w:rPr>
      </w:pPr>
      <w:r w:rsidRPr="00EB30C8">
        <w:rPr>
          <w:rFonts w:ascii="Arial" w:eastAsia="Times New Roman" w:hAnsi="Arial" w:cs="Arial"/>
          <w:b/>
          <w:bCs/>
          <w:sz w:val="24"/>
          <w:szCs w:val="24"/>
          <w:lang w:eastAsia="en-GB"/>
        </w:rPr>
        <w:t xml:space="preserve">Local, </w:t>
      </w:r>
      <w:r>
        <w:rPr>
          <w:rFonts w:ascii="Arial" w:eastAsia="Times New Roman" w:hAnsi="Arial" w:cs="Arial"/>
          <w:b/>
          <w:bCs/>
          <w:sz w:val="24"/>
          <w:szCs w:val="24"/>
          <w:lang w:eastAsia="en-GB"/>
        </w:rPr>
        <w:t>n</w:t>
      </w:r>
      <w:r w:rsidRPr="00EB30C8">
        <w:rPr>
          <w:rFonts w:ascii="Arial" w:eastAsia="Times New Roman" w:hAnsi="Arial" w:cs="Arial"/>
          <w:b/>
          <w:bCs/>
          <w:sz w:val="24"/>
          <w:szCs w:val="24"/>
          <w:lang w:eastAsia="en-GB"/>
        </w:rPr>
        <w:t xml:space="preserve">ational &amp; </w:t>
      </w:r>
      <w:r>
        <w:rPr>
          <w:rFonts w:ascii="Arial" w:eastAsia="Times New Roman" w:hAnsi="Arial" w:cs="Arial"/>
          <w:b/>
          <w:bCs/>
          <w:sz w:val="24"/>
          <w:szCs w:val="24"/>
          <w:lang w:eastAsia="en-GB"/>
        </w:rPr>
        <w:t>i</w:t>
      </w:r>
      <w:r w:rsidRPr="00EB30C8">
        <w:rPr>
          <w:rFonts w:ascii="Arial" w:eastAsia="Times New Roman" w:hAnsi="Arial" w:cs="Arial"/>
          <w:b/>
          <w:bCs/>
          <w:sz w:val="24"/>
          <w:szCs w:val="24"/>
          <w:lang w:eastAsia="en-GB"/>
        </w:rPr>
        <w:t xml:space="preserve">nternational </w:t>
      </w:r>
      <w:r>
        <w:rPr>
          <w:rFonts w:ascii="Arial" w:eastAsia="Times New Roman" w:hAnsi="Arial" w:cs="Arial"/>
          <w:b/>
          <w:bCs/>
          <w:sz w:val="24"/>
          <w:szCs w:val="24"/>
          <w:lang w:eastAsia="en-GB"/>
        </w:rPr>
        <w:t>s</w:t>
      </w:r>
      <w:r w:rsidRPr="00EB30C8">
        <w:rPr>
          <w:rFonts w:ascii="Arial" w:eastAsia="Times New Roman" w:hAnsi="Arial" w:cs="Arial"/>
          <w:b/>
          <w:bCs/>
          <w:sz w:val="24"/>
          <w:szCs w:val="24"/>
          <w:lang w:eastAsia="en-GB"/>
        </w:rPr>
        <w:t>ynergy</w:t>
      </w:r>
    </w:p>
    <w:p w14:paraId="54A89E53" w14:textId="77777777" w:rsidR="00EB30C8" w:rsidRPr="00EB30C8" w:rsidRDefault="00EB30C8" w:rsidP="00EB30C8">
      <w:pPr>
        <w:numPr>
          <w:ilvl w:val="1"/>
          <w:numId w:val="29"/>
        </w:numPr>
        <w:spacing w:before="100" w:beforeAutospacing="1" w:after="100" w:afterAutospacing="1" w:line="360" w:lineRule="auto"/>
        <w:rPr>
          <w:rFonts w:ascii="Arial" w:eastAsia="Times New Roman" w:hAnsi="Arial" w:cs="Arial"/>
          <w:sz w:val="24"/>
          <w:szCs w:val="24"/>
          <w:lang w:eastAsia="en-GB"/>
        </w:rPr>
      </w:pPr>
      <w:r w:rsidRPr="00EB30C8">
        <w:rPr>
          <w:rFonts w:ascii="Arial" w:eastAsia="Times New Roman" w:hAnsi="Arial" w:cs="Arial"/>
          <w:sz w:val="24"/>
          <w:szCs w:val="24"/>
          <w:lang w:eastAsia="en-GB"/>
        </w:rPr>
        <w:t>Devolved acts (Scotland 1995, Wales 2015) often lead on participation and prevention. National laws set uniform duties. The UNCRC drives updates, but effective local delivery determines real impact.</w:t>
      </w:r>
    </w:p>
    <w:p w14:paraId="139C1286" w14:textId="77777777" w:rsidR="00EB30C8" w:rsidRPr="00EB30C8" w:rsidRDefault="00EB30C8" w:rsidP="00EB30C8">
      <w:pPr>
        <w:spacing w:before="100" w:beforeAutospacing="1" w:after="100" w:afterAutospacing="1" w:line="360" w:lineRule="auto"/>
        <w:ind w:left="720"/>
        <w:rPr>
          <w:rFonts w:ascii="Arial" w:eastAsia="Times New Roman" w:hAnsi="Arial" w:cs="Arial"/>
          <w:sz w:val="24"/>
          <w:szCs w:val="24"/>
          <w:lang w:eastAsia="en-GB"/>
        </w:rPr>
      </w:pPr>
    </w:p>
    <w:p w14:paraId="63CEAF64" w14:textId="62B8C098" w:rsidR="00EB30C8" w:rsidRPr="00EB30C8" w:rsidRDefault="00EB30C8" w:rsidP="00EB30C8">
      <w:pPr>
        <w:numPr>
          <w:ilvl w:val="0"/>
          <w:numId w:val="29"/>
        </w:numPr>
        <w:spacing w:before="100" w:beforeAutospacing="1" w:after="100" w:afterAutospacing="1" w:line="360" w:lineRule="auto"/>
        <w:rPr>
          <w:rFonts w:ascii="Arial" w:eastAsia="Times New Roman" w:hAnsi="Arial" w:cs="Arial"/>
          <w:sz w:val="24"/>
          <w:szCs w:val="24"/>
          <w:lang w:eastAsia="en-GB"/>
        </w:rPr>
      </w:pPr>
      <w:r w:rsidRPr="00EB30C8">
        <w:rPr>
          <w:rFonts w:ascii="Arial" w:eastAsia="Times New Roman" w:hAnsi="Arial" w:cs="Arial"/>
          <w:b/>
          <w:bCs/>
          <w:sz w:val="24"/>
          <w:szCs w:val="24"/>
          <w:lang w:eastAsia="en-GB"/>
        </w:rPr>
        <w:lastRenderedPageBreak/>
        <w:t xml:space="preserve">Safeguarding &amp; </w:t>
      </w:r>
      <w:r>
        <w:rPr>
          <w:rFonts w:ascii="Arial" w:eastAsia="Times New Roman" w:hAnsi="Arial" w:cs="Arial"/>
          <w:b/>
          <w:bCs/>
          <w:sz w:val="24"/>
          <w:szCs w:val="24"/>
          <w:lang w:eastAsia="en-GB"/>
        </w:rPr>
        <w:t>c</w:t>
      </w:r>
      <w:r w:rsidRPr="00EB30C8">
        <w:rPr>
          <w:rFonts w:ascii="Arial" w:eastAsia="Times New Roman" w:hAnsi="Arial" w:cs="Arial"/>
          <w:b/>
          <w:bCs/>
          <w:sz w:val="24"/>
          <w:szCs w:val="24"/>
          <w:lang w:eastAsia="en-GB"/>
        </w:rPr>
        <w:t>ollaboration</w:t>
      </w:r>
    </w:p>
    <w:p w14:paraId="0B2B75FC" w14:textId="77777777" w:rsidR="00EB30C8" w:rsidRPr="00EB30C8" w:rsidRDefault="00EB30C8" w:rsidP="00EB30C8">
      <w:pPr>
        <w:numPr>
          <w:ilvl w:val="1"/>
          <w:numId w:val="29"/>
        </w:numPr>
        <w:spacing w:before="100" w:beforeAutospacing="1" w:after="100" w:afterAutospacing="1" w:line="360" w:lineRule="auto"/>
        <w:rPr>
          <w:rFonts w:ascii="Arial" w:eastAsia="Times New Roman" w:hAnsi="Arial" w:cs="Arial"/>
          <w:sz w:val="24"/>
          <w:szCs w:val="24"/>
          <w:lang w:eastAsia="en-GB"/>
        </w:rPr>
      </w:pPr>
      <w:r w:rsidRPr="00EB30C8">
        <w:rPr>
          <w:rFonts w:ascii="Arial" w:eastAsia="Times New Roman" w:hAnsi="Arial" w:cs="Arial"/>
          <w:sz w:val="24"/>
          <w:szCs w:val="24"/>
          <w:lang w:eastAsia="en-GB"/>
        </w:rPr>
        <w:t>Criminal checks, designated leads and LSCBs form layered protections. Each step improved prevention, yet consistent funding and data-sharing remain essential to maintain gains.</w:t>
      </w:r>
    </w:p>
    <w:p w14:paraId="1D59F22E" w14:textId="52D82396" w:rsidR="00EB30C8" w:rsidRPr="00EB30C8" w:rsidRDefault="00EB30C8" w:rsidP="00EB30C8">
      <w:pPr>
        <w:numPr>
          <w:ilvl w:val="0"/>
          <w:numId w:val="29"/>
        </w:numPr>
        <w:spacing w:before="100" w:beforeAutospacing="1" w:after="100" w:afterAutospacing="1" w:line="360" w:lineRule="auto"/>
        <w:rPr>
          <w:rFonts w:ascii="Arial" w:eastAsia="Times New Roman" w:hAnsi="Arial" w:cs="Arial"/>
          <w:sz w:val="24"/>
          <w:szCs w:val="24"/>
          <w:lang w:eastAsia="en-GB"/>
        </w:rPr>
      </w:pPr>
      <w:r w:rsidRPr="00EB30C8">
        <w:rPr>
          <w:rFonts w:ascii="Arial" w:eastAsia="Times New Roman" w:hAnsi="Arial" w:cs="Arial"/>
          <w:b/>
          <w:bCs/>
          <w:sz w:val="24"/>
          <w:szCs w:val="24"/>
          <w:lang w:eastAsia="en-GB"/>
        </w:rPr>
        <w:t xml:space="preserve">Child </w:t>
      </w:r>
      <w:r>
        <w:rPr>
          <w:rFonts w:ascii="Arial" w:eastAsia="Times New Roman" w:hAnsi="Arial" w:cs="Arial"/>
          <w:b/>
          <w:bCs/>
          <w:sz w:val="24"/>
          <w:szCs w:val="24"/>
          <w:lang w:eastAsia="en-GB"/>
        </w:rPr>
        <w:t>p</w:t>
      </w:r>
      <w:r w:rsidRPr="00EB30C8">
        <w:rPr>
          <w:rFonts w:ascii="Arial" w:eastAsia="Times New Roman" w:hAnsi="Arial" w:cs="Arial"/>
          <w:b/>
          <w:bCs/>
          <w:sz w:val="24"/>
          <w:szCs w:val="24"/>
          <w:lang w:eastAsia="en-GB"/>
        </w:rPr>
        <w:t xml:space="preserve">articipation &amp; </w:t>
      </w:r>
      <w:r>
        <w:rPr>
          <w:rFonts w:ascii="Arial" w:eastAsia="Times New Roman" w:hAnsi="Arial" w:cs="Arial"/>
          <w:b/>
          <w:bCs/>
          <w:sz w:val="24"/>
          <w:szCs w:val="24"/>
          <w:lang w:eastAsia="en-GB"/>
        </w:rPr>
        <w:t>e</w:t>
      </w:r>
      <w:r w:rsidRPr="00EB30C8">
        <w:rPr>
          <w:rFonts w:ascii="Arial" w:eastAsia="Times New Roman" w:hAnsi="Arial" w:cs="Arial"/>
          <w:b/>
          <w:bCs/>
          <w:sz w:val="24"/>
          <w:szCs w:val="24"/>
          <w:lang w:eastAsia="en-GB"/>
        </w:rPr>
        <w:t>mpowerment</w:t>
      </w:r>
    </w:p>
    <w:p w14:paraId="1EAC99F1" w14:textId="77777777" w:rsidR="00EB30C8" w:rsidRPr="00EB30C8" w:rsidRDefault="00EB30C8" w:rsidP="00EB30C8">
      <w:pPr>
        <w:numPr>
          <w:ilvl w:val="1"/>
          <w:numId w:val="29"/>
        </w:numPr>
        <w:spacing w:before="100" w:beforeAutospacing="1" w:after="100" w:afterAutospacing="1" w:line="360" w:lineRule="auto"/>
        <w:rPr>
          <w:rFonts w:ascii="Arial" w:eastAsia="Times New Roman" w:hAnsi="Arial" w:cs="Arial"/>
          <w:sz w:val="24"/>
          <w:szCs w:val="24"/>
          <w:lang w:eastAsia="en-GB"/>
        </w:rPr>
      </w:pPr>
      <w:r w:rsidRPr="00EB30C8">
        <w:rPr>
          <w:rFonts w:ascii="Arial" w:eastAsia="Times New Roman" w:hAnsi="Arial" w:cs="Arial"/>
          <w:sz w:val="24"/>
          <w:szCs w:val="24"/>
          <w:lang w:eastAsia="en-GB"/>
        </w:rPr>
        <w:t>Statutory duties to involve children (Scotland 1995, UNCRC) shifted practice from child-centric protection to child-led wellbeing. Genuine engagement boosts self-confidence and supports safer choices.</w:t>
      </w:r>
    </w:p>
    <w:p w14:paraId="5E9A741D" w14:textId="328D565D" w:rsidR="00EB30C8" w:rsidRPr="00EB30C8" w:rsidRDefault="00EB30C8" w:rsidP="00EB30C8">
      <w:pPr>
        <w:numPr>
          <w:ilvl w:val="0"/>
          <w:numId w:val="29"/>
        </w:numPr>
        <w:spacing w:before="100" w:beforeAutospacing="1" w:after="100" w:afterAutospacing="1" w:line="360" w:lineRule="auto"/>
        <w:rPr>
          <w:rFonts w:ascii="Arial" w:eastAsia="Times New Roman" w:hAnsi="Arial" w:cs="Arial"/>
          <w:sz w:val="24"/>
          <w:szCs w:val="24"/>
          <w:lang w:eastAsia="en-GB"/>
        </w:rPr>
      </w:pPr>
      <w:r w:rsidRPr="00EB30C8">
        <w:rPr>
          <w:rFonts w:ascii="Arial" w:eastAsia="Times New Roman" w:hAnsi="Arial" w:cs="Arial"/>
          <w:b/>
          <w:bCs/>
          <w:sz w:val="24"/>
          <w:szCs w:val="24"/>
          <w:lang w:eastAsia="en-GB"/>
        </w:rPr>
        <w:t xml:space="preserve">Community </w:t>
      </w:r>
      <w:r>
        <w:rPr>
          <w:rFonts w:ascii="Arial" w:eastAsia="Times New Roman" w:hAnsi="Arial" w:cs="Arial"/>
          <w:b/>
          <w:bCs/>
          <w:sz w:val="24"/>
          <w:szCs w:val="24"/>
          <w:lang w:eastAsia="en-GB"/>
        </w:rPr>
        <w:t>e</w:t>
      </w:r>
      <w:r w:rsidRPr="00EB30C8">
        <w:rPr>
          <w:rFonts w:ascii="Arial" w:eastAsia="Times New Roman" w:hAnsi="Arial" w:cs="Arial"/>
          <w:b/>
          <w:bCs/>
          <w:sz w:val="24"/>
          <w:szCs w:val="24"/>
          <w:lang w:eastAsia="en-GB"/>
        </w:rPr>
        <w:t xml:space="preserve">ngagement &amp; </w:t>
      </w:r>
      <w:r>
        <w:rPr>
          <w:rFonts w:ascii="Arial" w:eastAsia="Times New Roman" w:hAnsi="Arial" w:cs="Arial"/>
          <w:b/>
          <w:bCs/>
          <w:sz w:val="24"/>
          <w:szCs w:val="24"/>
          <w:lang w:eastAsia="en-GB"/>
        </w:rPr>
        <w:t>s</w:t>
      </w:r>
      <w:r w:rsidRPr="00EB30C8">
        <w:rPr>
          <w:rFonts w:ascii="Arial" w:eastAsia="Times New Roman" w:hAnsi="Arial" w:cs="Arial"/>
          <w:b/>
          <w:bCs/>
          <w:sz w:val="24"/>
          <w:szCs w:val="24"/>
          <w:lang w:eastAsia="en-GB"/>
        </w:rPr>
        <w:t>elf-</w:t>
      </w:r>
      <w:r>
        <w:rPr>
          <w:rFonts w:ascii="Arial" w:eastAsia="Times New Roman" w:hAnsi="Arial" w:cs="Arial"/>
          <w:b/>
          <w:bCs/>
          <w:sz w:val="24"/>
          <w:szCs w:val="24"/>
          <w:lang w:eastAsia="en-GB"/>
        </w:rPr>
        <w:t>e</w:t>
      </w:r>
      <w:r w:rsidRPr="00EB30C8">
        <w:rPr>
          <w:rFonts w:ascii="Arial" w:eastAsia="Times New Roman" w:hAnsi="Arial" w:cs="Arial"/>
          <w:b/>
          <w:bCs/>
          <w:sz w:val="24"/>
          <w:szCs w:val="24"/>
          <w:lang w:eastAsia="en-GB"/>
        </w:rPr>
        <w:t>steem</w:t>
      </w:r>
    </w:p>
    <w:p w14:paraId="666553E6" w14:textId="77777777" w:rsidR="00EB30C8" w:rsidRPr="00EB30C8" w:rsidRDefault="00EB30C8" w:rsidP="00EB30C8">
      <w:pPr>
        <w:numPr>
          <w:ilvl w:val="1"/>
          <w:numId w:val="29"/>
        </w:numPr>
        <w:spacing w:before="100" w:beforeAutospacing="1" w:after="100" w:afterAutospacing="1" w:line="360" w:lineRule="auto"/>
        <w:rPr>
          <w:rFonts w:ascii="Arial" w:eastAsia="Times New Roman" w:hAnsi="Arial" w:cs="Arial"/>
          <w:sz w:val="24"/>
          <w:szCs w:val="24"/>
          <w:lang w:eastAsia="en-GB"/>
        </w:rPr>
      </w:pPr>
      <w:r w:rsidRPr="00EB30C8">
        <w:rPr>
          <w:rFonts w:ascii="Arial" w:eastAsia="Times New Roman" w:hAnsi="Arial" w:cs="Arial"/>
          <w:sz w:val="24"/>
          <w:szCs w:val="24"/>
          <w:lang w:eastAsia="en-GB"/>
        </w:rPr>
        <w:t>Equality Act 2010 and community programmes foster inclusion. Youth clubs, sports teams and advisory councils build leadership skills and social networks that underpin resilience.</w:t>
      </w:r>
    </w:p>
    <w:p w14:paraId="585096D0" w14:textId="742E7303" w:rsidR="00EB30C8" w:rsidRPr="00EB30C8" w:rsidRDefault="00EB30C8" w:rsidP="00EB30C8">
      <w:pPr>
        <w:numPr>
          <w:ilvl w:val="0"/>
          <w:numId w:val="29"/>
        </w:numPr>
        <w:spacing w:before="100" w:beforeAutospacing="1" w:after="100" w:afterAutospacing="1" w:line="360" w:lineRule="auto"/>
        <w:rPr>
          <w:rFonts w:ascii="Arial" w:eastAsia="Times New Roman" w:hAnsi="Arial" w:cs="Arial"/>
          <w:sz w:val="24"/>
          <w:szCs w:val="24"/>
          <w:lang w:eastAsia="en-GB"/>
        </w:rPr>
      </w:pPr>
      <w:r w:rsidRPr="00EB30C8">
        <w:rPr>
          <w:rFonts w:ascii="Arial" w:eastAsia="Times New Roman" w:hAnsi="Arial" w:cs="Arial"/>
          <w:b/>
          <w:bCs/>
          <w:sz w:val="24"/>
          <w:szCs w:val="24"/>
          <w:lang w:eastAsia="en-GB"/>
        </w:rPr>
        <w:t xml:space="preserve">Risk </w:t>
      </w:r>
      <w:r>
        <w:rPr>
          <w:rFonts w:ascii="Arial" w:eastAsia="Times New Roman" w:hAnsi="Arial" w:cs="Arial"/>
          <w:b/>
          <w:bCs/>
          <w:sz w:val="24"/>
          <w:szCs w:val="24"/>
          <w:lang w:eastAsia="en-GB"/>
        </w:rPr>
        <w:t>a</w:t>
      </w:r>
      <w:r w:rsidRPr="00EB30C8">
        <w:rPr>
          <w:rFonts w:ascii="Arial" w:eastAsia="Times New Roman" w:hAnsi="Arial" w:cs="Arial"/>
          <w:b/>
          <w:bCs/>
          <w:sz w:val="24"/>
          <w:szCs w:val="24"/>
          <w:lang w:eastAsia="en-GB"/>
        </w:rPr>
        <w:t xml:space="preserve">ssessment &amp; </w:t>
      </w:r>
      <w:r>
        <w:rPr>
          <w:rFonts w:ascii="Arial" w:eastAsia="Times New Roman" w:hAnsi="Arial" w:cs="Arial"/>
          <w:b/>
          <w:bCs/>
          <w:sz w:val="24"/>
          <w:szCs w:val="24"/>
          <w:lang w:eastAsia="en-GB"/>
        </w:rPr>
        <w:t>i</w:t>
      </w:r>
      <w:r w:rsidRPr="00EB30C8">
        <w:rPr>
          <w:rFonts w:ascii="Arial" w:eastAsia="Times New Roman" w:hAnsi="Arial" w:cs="Arial"/>
          <w:b/>
          <w:bCs/>
          <w:sz w:val="24"/>
          <w:szCs w:val="24"/>
          <w:lang w:eastAsia="en-GB"/>
        </w:rPr>
        <w:t>ndependence</w:t>
      </w:r>
    </w:p>
    <w:p w14:paraId="26B697DC" w14:textId="77777777" w:rsidR="00EB30C8" w:rsidRPr="00EB30C8" w:rsidRDefault="00EB30C8" w:rsidP="00EB30C8">
      <w:pPr>
        <w:numPr>
          <w:ilvl w:val="1"/>
          <w:numId w:val="29"/>
        </w:numPr>
        <w:spacing w:before="100" w:beforeAutospacing="1" w:after="100" w:afterAutospacing="1" w:line="360" w:lineRule="auto"/>
        <w:rPr>
          <w:rFonts w:ascii="Arial" w:eastAsia="Times New Roman" w:hAnsi="Arial" w:cs="Arial"/>
          <w:sz w:val="24"/>
          <w:szCs w:val="24"/>
          <w:lang w:eastAsia="en-GB"/>
        </w:rPr>
      </w:pPr>
      <w:r w:rsidRPr="00EB30C8">
        <w:rPr>
          <w:rFonts w:ascii="Arial" w:eastAsia="Times New Roman" w:hAnsi="Arial" w:cs="Arial"/>
          <w:sz w:val="24"/>
          <w:szCs w:val="24"/>
          <w:lang w:eastAsia="en-GB"/>
        </w:rPr>
        <w:t>Legislation now supports guided risk-taking: SEL lessons, peer mentoring and youth forums teach children to assess danger, make decisions and build independence safely.</w:t>
      </w:r>
    </w:p>
    <w:p w14:paraId="45EC94C9" w14:textId="7CE894C9" w:rsidR="00EB30C8" w:rsidRPr="00EB30C8" w:rsidRDefault="00EB30C8" w:rsidP="00EB30C8">
      <w:pPr>
        <w:numPr>
          <w:ilvl w:val="0"/>
          <w:numId w:val="29"/>
        </w:numPr>
        <w:spacing w:before="100" w:beforeAutospacing="1" w:after="100" w:afterAutospacing="1" w:line="360" w:lineRule="auto"/>
        <w:rPr>
          <w:rFonts w:ascii="Arial" w:eastAsia="Times New Roman" w:hAnsi="Arial" w:cs="Arial"/>
          <w:sz w:val="24"/>
          <w:szCs w:val="24"/>
          <w:lang w:eastAsia="en-GB"/>
        </w:rPr>
      </w:pPr>
      <w:r w:rsidRPr="00EB30C8">
        <w:rPr>
          <w:rFonts w:ascii="Arial" w:eastAsia="Times New Roman" w:hAnsi="Arial" w:cs="Arial"/>
          <w:b/>
          <w:bCs/>
          <w:sz w:val="24"/>
          <w:szCs w:val="24"/>
          <w:lang w:eastAsia="en-GB"/>
        </w:rPr>
        <w:t xml:space="preserve">Informed </w:t>
      </w:r>
      <w:r>
        <w:rPr>
          <w:rFonts w:ascii="Arial" w:eastAsia="Times New Roman" w:hAnsi="Arial" w:cs="Arial"/>
          <w:b/>
          <w:bCs/>
          <w:sz w:val="24"/>
          <w:szCs w:val="24"/>
          <w:lang w:eastAsia="en-GB"/>
        </w:rPr>
        <w:t>c</w:t>
      </w:r>
      <w:r w:rsidRPr="00EB30C8">
        <w:rPr>
          <w:rFonts w:ascii="Arial" w:eastAsia="Times New Roman" w:hAnsi="Arial" w:cs="Arial"/>
          <w:b/>
          <w:bCs/>
          <w:sz w:val="24"/>
          <w:szCs w:val="24"/>
          <w:lang w:eastAsia="en-GB"/>
        </w:rPr>
        <w:t xml:space="preserve">hoices &amp; </w:t>
      </w:r>
      <w:r>
        <w:rPr>
          <w:rFonts w:ascii="Arial" w:eastAsia="Times New Roman" w:hAnsi="Arial" w:cs="Arial"/>
          <w:b/>
          <w:bCs/>
          <w:sz w:val="24"/>
          <w:szCs w:val="24"/>
          <w:lang w:eastAsia="en-GB"/>
        </w:rPr>
        <w:t>a</w:t>
      </w:r>
      <w:r w:rsidRPr="00EB30C8">
        <w:rPr>
          <w:rFonts w:ascii="Arial" w:eastAsia="Times New Roman" w:hAnsi="Arial" w:cs="Arial"/>
          <w:b/>
          <w:bCs/>
          <w:sz w:val="24"/>
          <w:szCs w:val="24"/>
          <w:lang w:eastAsia="en-GB"/>
        </w:rPr>
        <w:t>gency</w:t>
      </w:r>
    </w:p>
    <w:p w14:paraId="2014AFE6" w14:textId="01A0E912" w:rsidR="00EB30C8" w:rsidRDefault="00EB30C8" w:rsidP="00EB30C8">
      <w:pPr>
        <w:numPr>
          <w:ilvl w:val="1"/>
          <w:numId w:val="29"/>
        </w:numPr>
        <w:spacing w:before="100" w:beforeAutospacing="1" w:after="100" w:afterAutospacing="1" w:line="360" w:lineRule="auto"/>
        <w:rPr>
          <w:rFonts w:ascii="Arial" w:eastAsia="Times New Roman" w:hAnsi="Arial" w:cs="Arial"/>
          <w:sz w:val="24"/>
          <w:szCs w:val="24"/>
          <w:lang w:eastAsia="en-GB"/>
        </w:rPr>
      </w:pPr>
      <w:r w:rsidRPr="00EB30C8">
        <w:rPr>
          <w:rFonts w:ascii="Arial" w:eastAsia="Times New Roman" w:hAnsi="Arial" w:cs="Arial"/>
          <w:sz w:val="24"/>
          <w:szCs w:val="24"/>
          <w:lang w:eastAsia="en-GB"/>
        </w:rPr>
        <w:t>Recent laws treat children as rights-holders who need accessible information and tools—crisis cards, online guides, apps—to make positive health and safety decisions.</w:t>
      </w:r>
    </w:p>
    <w:p w14:paraId="6D90083B" w14:textId="77777777" w:rsidR="00EB30C8" w:rsidRDefault="00EB30C8" w:rsidP="00EB30C8">
      <w:pPr>
        <w:spacing w:before="100" w:beforeAutospacing="1" w:after="100" w:afterAutospacing="1" w:line="360" w:lineRule="auto"/>
        <w:jc w:val="both"/>
        <w:rPr>
          <w:rStyle w:val="Strong"/>
          <w:rFonts w:ascii="Arial" w:hAnsi="Arial" w:cs="Arial"/>
          <w:sz w:val="24"/>
          <w:szCs w:val="24"/>
        </w:rPr>
      </w:pPr>
    </w:p>
    <w:p w14:paraId="7FBE12D8" w14:textId="77777777" w:rsidR="00EB30C8" w:rsidRDefault="00EB30C8" w:rsidP="00EB30C8">
      <w:pPr>
        <w:spacing w:before="100" w:beforeAutospacing="1" w:after="100" w:afterAutospacing="1" w:line="360" w:lineRule="auto"/>
        <w:jc w:val="both"/>
        <w:rPr>
          <w:rStyle w:val="Strong"/>
          <w:rFonts w:ascii="Arial" w:hAnsi="Arial" w:cs="Arial"/>
          <w:sz w:val="24"/>
          <w:szCs w:val="24"/>
        </w:rPr>
      </w:pPr>
    </w:p>
    <w:p w14:paraId="42D14F07" w14:textId="77777777" w:rsidR="00EB30C8" w:rsidRDefault="00EB30C8" w:rsidP="00EB30C8">
      <w:pPr>
        <w:spacing w:before="100" w:beforeAutospacing="1" w:after="100" w:afterAutospacing="1" w:line="360" w:lineRule="auto"/>
        <w:jc w:val="both"/>
        <w:rPr>
          <w:rStyle w:val="Strong"/>
          <w:rFonts w:ascii="Arial" w:hAnsi="Arial" w:cs="Arial"/>
          <w:sz w:val="24"/>
          <w:szCs w:val="24"/>
        </w:rPr>
      </w:pPr>
    </w:p>
    <w:p w14:paraId="6FED1FA4" w14:textId="77777777" w:rsidR="00EB30C8" w:rsidRDefault="00EB30C8" w:rsidP="00EB30C8">
      <w:pPr>
        <w:spacing w:before="100" w:beforeAutospacing="1" w:after="100" w:afterAutospacing="1" w:line="360" w:lineRule="auto"/>
        <w:jc w:val="both"/>
        <w:rPr>
          <w:rStyle w:val="Strong"/>
          <w:rFonts w:ascii="Arial" w:hAnsi="Arial" w:cs="Arial"/>
          <w:sz w:val="24"/>
          <w:szCs w:val="24"/>
        </w:rPr>
      </w:pPr>
    </w:p>
    <w:p w14:paraId="190D7DF2" w14:textId="77777777" w:rsidR="00EB30C8" w:rsidRDefault="00EB30C8" w:rsidP="00EB30C8">
      <w:pPr>
        <w:spacing w:before="100" w:beforeAutospacing="1" w:after="100" w:afterAutospacing="1" w:line="360" w:lineRule="auto"/>
        <w:jc w:val="both"/>
        <w:rPr>
          <w:rStyle w:val="Strong"/>
          <w:rFonts w:ascii="Arial" w:hAnsi="Arial" w:cs="Arial"/>
          <w:sz w:val="24"/>
          <w:szCs w:val="24"/>
        </w:rPr>
      </w:pPr>
    </w:p>
    <w:p w14:paraId="28244353" w14:textId="77777777" w:rsidR="00EB30C8" w:rsidRDefault="00EB30C8" w:rsidP="00EB30C8">
      <w:pPr>
        <w:spacing w:before="100" w:beforeAutospacing="1" w:after="100" w:afterAutospacing="1" w:line="360" w:lineRule="auto"/>
        <w:jc w:val="both"/>
        <w:rPr>
          <w:rStyle w:val="Strong"/>
          <w:rFonts w:ascii="Arial" w:hAnsi="Arial" w:cs="Arial"/>
          <w:sz w:val="24"/>
          <w:szCs w:val="24"/>
        </w:rPr>
      </w:pPr>
    </w:p>
    <w:p w14:paraId="7881A077" w14:textId="77777777" w:rsidR="00EB30C8" w:rsidRDefault="00EB30C8" w:rsidP="00EB30C8">
      <w:pPr>
        <w:spacing w:before="100" w:beforeAutospacing="1" w:after="100" w:afterAutospacing="1" w:line="360" w:lineRule="auto"/>
        <w:jc w:val="both"/>
        <w:rPr>
          <w:rStyle w:val="Strong"/>
          <w:rFonts w:ascii="Arial" w:hAnsi="Arial" w:cs="Arial"/>
          <w:sz w:val="24"/>
          <w:szCs w:val="24"/>
        </w:rPr>
      </w:pPr>
    </w:p>
    <w:p w14:paraId="022FB23D" w14:textId="1FF5DC1C" w:rsidR="00EB30C8" w:rsidRDefault="00EB30C8" w:rsidP="00EB30C8">
      <w:pPr>
        <w:spacing w:before="100" w:beforeAutospacing="1" w:after="100" w:afterAutospacing="1" w:line="360" w:lineRule="auto"/>
        <w:jc w:val="both"/>
        <w:rPr>
          <w:rFonts w:ascii="Arial" w:hAnsi="Arial" w:cs="Arial"/>
          <w:sz w:val="24"/>
          <w:szCs w:val="24"/>
        </w:rPr>
      </w:pPr>
      <w:r w:rsidRPr="00EB30C8">
        <w:rPr>
          <w:rStyle w:val="Strong"/>
          <w:rFonts w:ascii="Arial" w:hAnsi="Arial" w:cs="Arial"/>
          <w:sz w:val="24"/>
          <w:szCs w:val="24"/>
        </w:rPr>
        <w:lastRenderedPageBreak/>
        <w:t>Conclusion</w:t>
      </w:r>
      <w:r w:rsidRPr="00EB30C8">
        <w:rPr>
          <w:rFonts w:ascii="Arial" w:hAnsi="Arial" w:cs="Arial"/>
          <w:sz w:val="24"/>
          <w:szCs w:val="24"/>
        </w:rPr>
        <w:br/>
      </w:r>
    </w:p>
    <w:p w14:paraId="3644F1AA" w14:textId="77777777" w:rsidR="00EB30C8" w:rsidRPr="00EB30C8" w:rsidRDefault="00EB30C8" w:rsidP="00EB30C8">
      <w:pPr>
        <w:spacing w:before="100" w:beforeAutospacing="1" w:after="100" w:afterAutospacing="1" w:line="360" w:lineRule="auto"/>
        <w:jc w:val="both"/>
        <w:rPr>
          <w:rFonts w:ascii="Arial" w:hAnsi="Arial" w:cs="Arial"/>
          <w:sz w:val="24"/>
          <w:szCs w:val="24"/>
        </w:rPr>
      </w:pPr>
      <w:r w:rsidRPr="00EB30C8">
        <w:rPr>
          <w:rFonts w:ascii="Arial" w:hAnsi="Arial" w:cs="Arial"/>
          <w:sz w:val="24"/>
          <w:szCs w:val="24"/>
        </w:rPr>
        <w:t>Over six decades, legislation has shifted from addressing only medical or educational deficits to embracing the full spectrum of children’s needs—physical, mental and social. Early laws, such as the Chronically Sick and Disabled Persons Act 1970, laid groundwork for practical support at home (UK, 1970). The Children Act 1989 then placed each child’s welfare first, creating a unified framework for care orders and multi-agency response (UK, 1989). Subsequent updates—like mandatory safeguarding leads in schools under the Education Act 2002—strengthened early reporting of harm (UK, 2002). Equality protections under the Equality Act 2010 tackled discrimination across multiple grounds, promoting social inclusion (UK, 2010). The Well-being of Future Generations (Wales) Act 2015 broadened focus to long-term community health, economic and environmental factors (Wales, 2015). Most recently, the Domestic Abuse Act 2021 recognised children living with abuse as victims in their own right (UK, 2021).</w:t>
      </w:r>
    </w:p>
    <w:p w14:paraId="0DF7D19D" w14:textId="77777777" w:rsidR="00EB30C8" w:rsidRPr="00EB30C8" w:rsidRDefault="00EB30C8" w:rsidP="00EB30C8">
      <w:pPr>
        <w:spacing w:before="100" w:beforeAutospacing="1" w:after="100" w:afterAutospacing="1" w:line="360" w:lineRule="auto"/>
        <w:jc w:val="both"/>
        <w:rPr>
          <w:rFonts w:ascii="Arial" w:hAnsi="Arial" w:cs="Arial"/>
          <w:sz w:val="24"/>
          <w:szCs w:val="24"/>
        </w:rPr>
      </w:pPr>
      <w:r w:rsidRPr="00EB30C8">
        <w:rPr>
          <w:rFonts w:ascii="Arial" w:hAnsi="Arial" w:cs="Arial"/>
          <w:sz w:val="24"/>
          <w:szCs w:val="24"/>
        </w:rPr>
        <w:t>Each statute built on ecological and biopsychosocial principles, recognising how social, economic and environmental contexts shape development (Bronfenbrenner, 1979). Laws mandating special educational needs assessments and social-emotional learning reflect behaviourist and humanistic models, but they succeed only when educators, families and communities collaborate (Durlak et al., 2011). Devolved administrations in Scotland and Wales pioneered child participation and preventative planning, demonstrating how local innovation can drive national reform (Scotland, 1995; Wales, 2015).</w:t>
      </w:r>
    </w:p>
    <w:p w14:paraId="7731391E" w14:textId="77777777" w:rsidR="00EB30C8" w:rsidRPr="00EB30C8" w:rsidRDefault="00EB30C8" w:rsidP="00EB30C8">
      <w:pPr>
        <w:spacing w:before="100" w:beforeAutospacing="1" w:after="100" w:afterAutospacing="1" w:line="360" w:lineRule="auto"/>
        <w:jc w:val="both"/>
        <w:rPr>
          <w:rFonts w:ascii="Arial" w:hAnsi="Arial" w:cs="Arial"/>
          <w:sz w:val="24"/>
          <w:szCs w:val="24"/>
        </w:rPr>
      </w:pPr>
      <w:r w:rsidRPr="00EB30C8">
        <w:rPr>
          <w:rFonts w:ascii="Arial" w:hAnsi="Arial" w:cs="Arial"/>
          <w:sz w:val="24"/>
          <w:szCs w:val="24"/>
        </w:rPr>
        <w:t>To sustain progress, agencies must monitor outcomes rigorously, invest in workforce training and ensure consistent funding for preventive and therapeutic services. By treating children as rights-holders and equipping them with support—through early intervention, community engagement and digital tools—we empower them to make informed choices and thrive.</w:t>
      </w:r>
    </w:p>
    <w:p w14:paraId="36691FDF" w14:textId="43855F24" w:rsidR="00EB30C8" w:rsidRPr="00EB30C8" w:rsidRDefault="00EB30C8" w:rsidP="00EB30C8">
      <w:pPr>
        <w:spacing w:before="100" w:beforeAutospacing="1" w:after="100" w:afterAutospacing="1" w:line="360" w:lineRule="auto"/>
        <w:jc w:val="both"/>
        <w:rPr>
          <w:rFonts w:ascii="Arial" w:hAnsi="Arial" w:cs="Arial"/>
          <w:sz w:val="24"/>
          <w:szCs w:val="24"/>
        </w:rPr>
      </w:pPr>
    </w:p>
    <w:p w14:paraId="7EC5E93F" w14:textId="77777777" w:rsidR="00EB30C8" w:rsidRPr="00126DC2" w:rsidRDefault="00EB30C8" w:rsidP="006566A8">
      <w:pPr>
        <w:spacing w:before="100" w:beforeAutospacing="1" w:after="100" w:afterAutospacing="1" w:line="360" w:lineRule="auto"/>
        <w:jc w:val="both"/>
        <w:rPr>
          <w:rFonts w:ascii="Arial" w:eastAsia="Times New Roman" w:hAnsi="Arial" w:cs="Arial"/>
          <w:sz w:val="24"/>
          <w:szCs w:val="24"/>
          <w:lang w:eastAsia="en-GB"/>
        </w:rPr>
      </w:pPr>
    </w:p>
    <w:p w14:paraId="743B46AE" w14:textId="77777777" w:rsidR="00126DC2" w:rsidRDefault="00126DC2" w:rsidP="000D59CC">
      <w:pPr>
        <w:spacing w:before="100" w:beforeAutospacing="1" w:after="100" w:afterAutospacing="1" w:line="360" w:lineRule="auto"/>
        <w:ind w:left="360"/>
        <w:rPr>
          <w:rStyle w:val="Strong"/>
          <w:rFonts w:ascii="Arial" w:hAnsi="Arial" w:cs="Arial"/>
          <w:sz w:val="24"/>
          <w:szCs w:val="24"/>
        </w:rPr>
      </w:pPr>
    </w:p>
    <w:p w14:paraId="7111A42E" w14:textId="77777777" w:rsidR="00F944D0" w:rsidRDefault="00F944D0" w:rsidP="000D59CC">
      <w:pPr>
        <w:spacing w:before="100" w:beforeAutospacing="1" w:after="100" w:afterAutospacing="1" w:line="360" w:lineRule="auto"/>
        <w:ind w:left="360"/>
        <w:rPr>
          <w:rStyle w:val="Strong"/>
          <w:rFonts w:ascii="Arial" w:hAnsi="Arial" w:cs="Arial"/>
          <w:sz w:val="24"/>
          <w:szCs w:val="24"/>
        </w:rPr>
      </w:pPr>
    </w:p>
    <w:p w14:paraId="0C103347" w14:textId="77777777" w:rsidR="00F944D0" w:rsidRDefault="00F944D0" w:rsidP="000D59CC">
      <w:pPr>
        <w:spacing w:before="100" w:beforeAutospacing="1" w:after="100" w:afterAutospacing="1" w:line="360" w:lineRule="auto"/>
        <w:ind w:left="360"/>
        <w:rPr>
          <w:rStyle w:val="Strong"/>
          <w:rFonts w:ascii="Arial" w:hAnsi="Arial" w:cs="Arial"/>
          <w:sz w:val="24"/>
          <w:szCs w:val="24"/>
        </w:rPr>
      </w:pPr>
    </w:p>
    <w:p w14:paraId="48D98E39" w14:textId="40915EBF" w:rsidR="00126DC2" w:rsidRPr="009F0621" w:rsidRDefault="000D59CC" w:rsidP="009F0621">
      <w:pPr>
        <w:spacing w:before="100" w:beforeAutospacing="1" w:after="100" w:afterAutospacing="1" w:line="360" w:lineRule="auto"/>
        <w:ind w:firstLine="360"/>
        <w:rPr>
          <w:rFonts w:ascii="Arial" w:hAnsi="Arial" w:cs="Arial"/>
          <w:sz w:val="24"/>
          <w:szCs w:val="24"/>
        </w:rPr>
      </w:pPr>
      <w:r w:rsidRPr="000D59CC">
        <w:rPr>
          <w:rStyle w:val="Strong"/>
          <w:rFonts w:ascii="Arial" w:hAnsi="Arial" w:cs="Arial"/>
          <w:sz w:val="24"/>
          <w:szCs w:val="24"/>
        </w:rPr>
        <w:t>References</w:t>
      </w:r>
      <w:r w:rsidRPr="000D59CC">
        <w:rPr>
          <w:rFonts w:ascii="Arial" w:hAnsi="Arial" w:cs="Arial"/>
          <w:sz w:val="24"/>
          <w:szCs w:val="24"/>
        </w:rPr>
        <w:br/>
      </w:r>
    </w:p>
    <w:p w14:paraId="52B9F3F2" w14:textId="24DD258D" w:rsidR="009F0621" w:rsidRPr="009F0621" w:rsidRDefault="009F0621" w:rsidP="009F0621">
      <w:pPr>
        <w:pStyle w:val="ListParagraph"/>
        <w:numPr>
          <w:ilvl w:val="0"/>
          <w:numId w:val="30"/>
        </w:numPr>
        <w:spacing w:before="100" w:beforeAutospacing="1" w:after="100" w:afterAutospacing="1" w:line="360" w:lineRule="auto"/>
        <w:rPr>
          <w:rFonts w:ascii="Arial" w:eastAsia="Times New Roman" w:hAnsi="Arial" w:cs="Arial"/>
          <w:sz w:val="24"/>
          <w:szCs w:val="24"/>
          <w:lang w:eastAsia="en-GB"/>
        </w:rPr>
      </w:pPr>
      <w:r w:rsidRPr="009F0621">
        <w:rPr>
          <w:rFonts w:ascii="Arial" w:eastAsia="Times New Roman" w:hAnsi="Arial" w:cs="Arial"/>
          <w:sz w:val="24"/>
          <w:szCs w:val="24"/>
          <w:lang w:eastAsia="en-GB"/>
        </w:rPr>
        <w:t xml:space="preserve"> Anda, R.F., </w:t>
      </w:r>
      <w:proofErr w:type="spellStart"/>
      <w:r w:rsidRPr="009F0621">
        <w:rPr>
          <w:rFonts w:ascii="Arial" w:eastAsia="Times New Roman" w:hAnsi="Arial" w:cs="Arial"/>
          <w:sz w:val="24"/>
          <w:szCs w:val="24"/>
          <w:lang w:eastAsia="en-GB"/>
        </w:rPr>
        <w:t>Felitti</w:t>
      </w:r>
      <w:proofErr w:type="spellEnd"/>
      <w:r w:rsidRPr="009F0621">
        <w:rPr>
          <w:rFonts w:ascii="Arial" w:eastAsia="Times New Roman" w:hAnsi="Arial" w:cs="Arial"/>
          <w:sz w:val="24"/>
          <w:szCs w:val="24"/>
          <w:lang w:eastAsia="en-GB"/>
        </w:rPr>
        <w:t xml:space="preserve">, V.J., Bremner, J.D., Walker, J.D., Whitfield, C., Perry, B.D., Dube, S.R. &amp; Giles, W.H., 2006. The enduring effects of abuse and related adverse experiences in childhood. </w:t>
      </w:r>
      <w:r w:rsidRPr="009F0621">
        <w:rPr>
          <w:rFonts w:ascii="Arial" w:eastAsia="Times New Roman" w:hAnsi="Arial" w:cs="Arial"/>
          <w:i/>
          <w:iCs/>
          <w:sz w:val="24"/>
          <w:szCs w:val="24"/>
          <w:lang w:eastAsia="en-GB"/>
        </w:rPr>
        <w:t>European Archives of Psychiatry and Clinical Neuroscience</w:t>
      </w:r>
      <w:r w:rsidRPr="009F0621">
        <w:rPr>
          <w:rFonts w:ascii="Arial" w:eastAsia="Times New Roman" w:hAnsi="Arial" w:cs="Arial"/>
          <w:sz w:val="24"/>
          <w:szCs w:val="24"/>
          <w:lang w:eastAsia="en-GB"/>
        </w:rPr>
        <w:t>, 256(3), pp.174–186.</w:t>
      </w:r>
    </w:p>
    <w:p w14:paraId="42D05D7C" w14:textId="318FB7A8" w:rsidR="009F0621" w:rsidRPr="009F0621" w:rsidRDefault="009F0621" w:rsidP="009F0621">
      <w:pPr>
        <w:pStyle w:val="ListParagraph"/>
        <w:numPr>
          <w:ilvl w:val="0"/>
          <w:numId w:val="30"/>
        </w:numPr>
        <w:spacing w:before="100" w:beforeAutospacing="1" w:after="100" w:afterAutospacing="1" w:line="360" w:lineRule="auto"/>
        <w:rPr>
          <w:rFonts w:ascii="Arial" w:eastAsia="Times New Roman" w:hAnsi="Arial" w:cs="Arial"/>
          <w:sz w:val="24"/>
          <w:szCs w:val="24"/>
          <w:lang w:eastAsia="en-GB"/>
        </w:rPr>
      </w:pPr>
      <w:r w:rsidRPr="009F0621">
        <w:rPr>
          <w:rFonts w:ascii="Arial" w:eastAsia="Times New Roman" w:hAnsi="Arial" w:cs="Arial"/>
          <w:sz w:val="24"/>
          <w:szCs w:val="24"/>
          <w:lang w:eastAsia="en-GB"/>
        </w:rPr>
        <w:t xml:space="preserve">Bandura, A., 1997. </w:t>
      </w:r>
      <w:r w:rsidRPr="009F0621">
        <w:rPr>
          <w:rFonts w:ascii="Arial" w:eastAsia="Times New Roman" w:hAnsi="Arial" w:cs="Arial"/>
          <w:i/>
          <w:iCs/>
          <w:sz w:val="24"/>
          <w:szCs w:val="24"/>
          <w:lang w:eastAsia="en-GB"/>
        </w:rPr>
        <w:t>Self</w:t>
      </w:r>
      <w:r w:rsidRPr="009F0621">
        <w:rPr>
          <w:rFonts w:ascii="Cambria Math" w:eastAsia="Times New Roman" w:hAnsi="Cambria Math" w:cs="Cambria Math"/>
          <w:i/>
          <w:iCs/>
          <w:sz w:val="24"/>
          <w:szCs w:val="24"/>
          <w:lang w:eastAsia="en-GB"/>
        </w:rPr>
        <w:t>‐</w:t>
      </w:r>
      <w:r w:rsidRPr="009F0621">
        <w:rPr>
          <w:rFonts w:ascii="Arial" w:eastAsia="Times New Roman" w:hAnsi="Arial" w:cs="Arial"/>
          <w:i/>
          <w:iCs/>
          <w:sz w:val="24"/>
          <w:szCs w:val="24"/>
          <w:lang w:eastAsia="en-GB"/>
        </w:rPr>
        <w:t>efficacy: the exercise of control</w:t>
      </w:r>
      <w:r w:rsidRPr="009F0621">
        <w:rPr>
          <w:rFonts w:ascii="Arial" w:eastAsia="Times New Roman" w:hAnsi="Arial" w:cs="Arial"/>
          <w:sz w:val="24"/>
          <w:szCs w:val="24"/>
          <w:lang w:eastAsia="en-GB"/>
        </w:rPr>
        <w:t>. New York: W. H. Freeman.</w:t>
      </w:r>
    </w:p>
    <w:p w14:paraId="4E9F3E54" w14:textId="6B07CFAF" w:rsidR="009F0621" w:rsidRPr="009F0621" w:rsidRDefault="009F0621" w:rsidP="009F0621">
      <w:pPr>
        <w:pStyle w:val="ListParagraph"/>
        <w:numPr>
          <w:ilvl w:val="0"/>
          <w:numId w:val="30"/>
        </w:numPr>
        <w:spacing w:before="100" w:beforeAutospacing="1" w:after="100" w:afterAutospacing="1" w:line="360" w:lineRule="auto"/>
        <w:rPr>
          <w:rFonts w:ascii="Arial" w:eastAsia="Times New Roman" w:hAnsi="Arial" w:cs="Arial"/>
          <w:sz w:val="24"/>
          <w:szCs w:val="24"/>
          <w:lang w:eastAsia="en-GB"/>
        </w:rPr>
      </w:pPr>
      <w:r w:rsidRPr="009F0621">
        <w:rPr>
          <w:rFonts w:ascii="Arial" w:eastAsia="Times New Roman" w:hAnsi="Arial" w:cs="Arial"/>
          <w:sz w:val="24"/>
          <w:szCs w:val="24"/>
          <w:lang w:eastAsia="en-GB"/>
        </w:rPr>
        <w:t>Barry, M. &amp; Jenkins, R., 2007. Implementing mental health promotion. London: Elsevier.</w:t>
      </w:r>
    </w:p>
    <w:p w14:paraId="4E270604" w14:textId="6A84247C" w:rsidR="009F0621" w:rsidRPr="009F0621" w:rsidRDefault="009F0621" w:rsidP="009F0621">
      <w:pPr>
        <w:pStyle w:val="ListParagraph"/>
        <w:numPr>
          <w:ilvl w:val="0"/>
          <w:numId w:val="30"/>
        </w:numPr>
        <w:spacing w:before="100" w:beforeAutospacing="1" w:after="100" w:afterAutospacing="1" w:line="360" w:lineRule="auto"/>
        <w:rPr>
          <w:rFonts w:ascii="Arial" w:eastAsia="Times New Roman" w:hAnsi="Arial" w:cs="Arial"/>
          <w:sz w:val="24"/>
          <w:szCs w:val="24"/>
          <w:lang w:eastAsia="en-GB"/>
        </w:rPr>
      </w:pPr>
      <w:r w:rsidRPr="009F0621">
        <w:rPr>
          <w:rFonts w:ascii="Arial" w:eastAsia="Times New Roman" w:hAnsi="Arial" w:cs="Arial"/>
          <w:sz w:val="24"/>
          <w:szCs w:val="24"/>
          <w:lang w:eastAsia="en-GB"/>
        </w:rPr>
        <w:t>Bath, H., 2008. The three pillars of trauma</w:t>
      </w:r>
      <w:r w:rsidRPr="009F0621">
        <w:rPr>
          <w:rFonts w:ascii="Cambria Math" w:eastAsia="Times New Roman" w:hAnsi="Cambria Math" w:cs="Cambria Math"/>
          <w:sz w:val="24"/>
          <w:szCs w:val="24"/>
          <w:lang w:eastAsia="en-GB"/>
        </w:rPr>
        <w:t>‐</w:t>
      </w:r>
      <w:r w:rsidRPr="009F0621">
        <w:rPr>
          <w:rFonts w:ascii="Arial" w:eastAsia="Times New Roman" w:hAnsi="Arial" w:cs="Arial"/>
          <w:sz w:val="24"/>
          <w:szCs w:val="24"/>
          <w:lang w:eastAsia="en-GB"/>
        </w:rPr>
        <w:t xml:space="preserve">informed care. </w:t>
      </w:r>
      <w:r w:rsidRPr="009F0621">
        <w:rPr>
          <w:rFonts w:ascii="Arial" w:eastAsia="Times New Roman" w:hAnsi="Arial" w:cs="Arial"/>
          <w:i/>
          <w:iCs/>
          <w:sz w:val="24"/>
          <w:szCs w:val="24"/>
          <w:lang w:eastAsia="en-GB"/>
        </w:rPr>
        <w:t>Reclaiming Children and Youth</w:t>
      </w:r>
      <w:r w:rsidRPr="009F0621">
        <w:rPr>
          <w:rFonts w:ascii="Arial" w:eastAsia="Times New Roman" w:hAnsi="Arial" w:cs="Arial"/>
          <w:sz w:val="24"/>
          <w:szCs w:val="24"/>
          <w:lang w:eastAsia="en-GB"/>
        </w:rPr>
        <w:t>, 17(3), pp.17–21.</w:t>
      </w:r>
    </w:p>
    <w:p w14:paraId="4A1E97B3" w14:textId="15CC7A5D" w:rsidR="009F0621" w:rsidRPr="009F0621" w:rsidRDefault="009F0621" w:rsidP="009F0621">
      <w:pPr>
        <w:pStyle w:val="ListParagraph"/>
        <w:numPr>
          <w:ilvl w:val="0"/>
          <w:numId w:val="30"/>
        </w:numPr>
        <w:spacing w:before="100" w:beforeAutospacing="1" w:after="100" w:afterAutospacing="1" w:line="360" w:lineRule="auto"/>
        <w:rPr>
          <w:rFonts w:ascii="Arial" w:eastAsia="Times New Roman" w:hAnsi="Arial" w:cs="Arial"/>
          <w:sz w:val="24"/>
          <w:szCs w:val="24"/>
          <w:lang w:eastAsia="en-GB"/>
        </w:rPr>
      </w:pPr>
      <w:r w:rsidRPr="009F0621">
        <w:rPr>
          <w:rFonts w:ascii="Arial" w:eastAsia="Times New Roman" w:hAnsi="Arial" w:cs="Arial"/>
          <w:sz w:val="24"/>
          <w:szCs w:val="24"/>
          <w:lang w:eastAsia="en-GB"/>
        </w:rPr>
        <w:t>Black, R.E., Victora, C.G., Walker, S.P., Bhutta, Z.A., Christian, P., de Onis, M., Ezzati, M., Grantham</w:t>
      </w:r>
      <w:r w:rsidRPr="009F0621">
        <w:rPr>
          <w:rFonts w:ascii="Cambria Math" w:eastAsia="Times New Roman" w:hAnsi="Cambria Math" w:cs="Cambria Math"/>
          <w:sz w:val="24"/>
          <w:szCs w:val="24"/>
          <w:lang w:eastAsia="en-GB"/>
        </w:rPr>
        <w:t>‐</w:t>
      </w:r>
      <w:r w:rsidRPr="009F0621">
        <w:rPr>
          <w:rFonts w:ascii="Arial" w:eastAsia="Times New Roman" w:hAnsi="Arial" w:cs="Arial"/>
          <w:sz w:val="24"/>
          <w:szCs w:val="24"/>
          <w:lang w:eastAsia="en-GB"/>
        </w:rPr>
        <w:t xml:space="preserve">McGregor, S., Katz, J., Martorell, R. &amp; </w:t>
      </w:r>
      <w:proofErr w:type="spellStart"/>
      <w:r w:rsidRPr="009F0621">
        <w:rPr>
          <w:rFonts w:ascii="Arial" w:eastAsia="Times New Roman" w:hAnsi="Arial" w:cs="Arial"/>
          <w:sz w:val="24"/>
          <w:szCs w:val="24"/>
          <w:lang w:eastAsia="en-GB"/>
        </w:rPr>
        <w:t>Uauy</w:t>
      </w:r>
      <w:proofErr w:type="spellEnd"/>
      <w:r w:rsidRPr="009F0621">
        <w:rPr>
          <w:rFonts w:ascii="Arial" w:eastAsia="Times New Roman" w:hAnsi="Arial" w:cs="Arial"/>
          <w:sz w:val="24"/>
          <w:szCs w:val="24"/>
          <w:lang w:eastAsia="en-GB"/>
        </w:rPr>
        <w:t>, R., 2013. Maternal and child undernutrition and overweight in low</w:t>
      </w:r>
      <w:r w:rsidRPr="009F0621">
        <w:rPr>
          <w:rFonts w:ascii="Cambria Math" w:eastAsia="Times New Roman" w:hAnsi="Cambria Math" w:cs="Cambria Math"/>
          <w:sz w:val="24"/>
          <w:szCs w:val="24"/>
          <w:lang w:eastAsia="en-GB"/>
        </w:rPr>
        <w:t>‐</w:t>
      </w:r>
      <w:r w:rsidRPr="009F0621">
        <w:rPr>
          <w:rFonts w:ascii="Arial" w:eastAsia="Times New Roman" w:hAnsi="Arial" w:cs="Arial"/>
          <w:sz w:val="24"/>
          <w:szCs w:val="24"/>
          <w:lang w:eastAsia="en-GB"/>
        </w:rPr>
        <w:t>income and middle</w:t>
      </w:r>
      <w:r w:rsidRPr="009F0621">
        <w:rPr>
          <w:rFonts w:ascii="Cambria Math" w:eastAsia="Times New Roman" w:hAnsi="Cambria Math" w:cs="Cambria Math"/>
          <w:sz w:val="24"/>
          <w:szCs w:val="24"/>
          <w:lang w:eastAsia="en-GB"/>
        </w:rPr>
        <w:t>‐</w:t>
      </w:r>
      <w:r w:rsidRPr="009F0621">
        <w:rPr>
          <w:rFonts w:ascii="Arial" w:eastAsia="Times New Roman" w:hAnsi="Arial" w:cs="Arial"/>
          <w:sz w:val="24"/>
          <w:szCs w:val="24"/>
          <w:lang w:eastAsia="en-GB"/>
        </w:rPr>
        <w:t xml:space="preserve">income countries. </w:t>
      </w:r>
      <w:r w:rsidRPr="009F0621">
        <w:rPr>
          <w:rFonts w:ascii="Arial" w:eastAsia="Times New Roman" w:hAnsi="Arial" w:cs="Arial"/>
          <w:i/>
          <w:iCs/>
          <w:sz w:val="24"/>
          <w:szCs w:val="24"/>
          <w:lang w:eastAsia="en-GB"/>
        </w:rPr>
        <w:t>The Lancet</w:t>
      </w:r>
      <w:r w:rsidRPr="009F0621">
        <w:rPr>
          <w:rFonts w:ascii="Arial" w:eastAsia="Times New Roman" w:hAnsi="Arial" w:cs="Arial"/>
          <w:sz w:val="24"/>
          <w:szCs w:val="24"/>
          <w:lang w:eastAsia="en-GB"/>
        </w:rPr>
        <w:t>, 382(9890), pp.427–451.</w:t>
      </w:r>
    </w:p>
    <w:p w14:paraId="12AE9C7A" w14:textId="6A8CA478" w:rsidR="009F0621" w:rsidRPr="009F0621" w:rsidRDefault="009F0621" w:rsidP="009F0621">
      <w:pPr>
        <w:pStyle w:val="ListParagraph"/>
        <w:numPr>
          <w:ilvl w:val="0"/>
          <w:numId w:val="30"/>
        </w:numPr>
        <w:spacing w:before="100" w:beforeAutospacing="1" w:after="100" w:afterAutospacing="1" w:line="360" w:lineRule="auto"/>
        <w:rPr>
          <w:rFonts w:ascii="Arial" w:eastAsia="Times New Roman" w:hAnsi="Arial" w:cs="Arial"/>
          <w:sz w:val="24"/>
          <w:szCs w:val="24"/>
          <w:lang w:eastAsia="en-GB"/>
        </w:rPr>
      </w:pPr>
      <w:r w:rsidRPr="009F0621">
        <w:rPr>
          <w:rFonts w:ascii="Arial" w:eastAsia="Times New Roman" w:hAnsi="Arial" w:cs="Arial"/>
          <w:sz w:val="24"/>
          <w:szCs w:val="24"/>
          <w:lang w:eastAsia="en-GB"/>
        </w:rPr>
        <w:t xml:space="preserve">Bowlby, J., 1969. </w:t>
      </w:r>
      <w:r w:rsidRPr="009F0621">
        <w:rPr>
          <w:rFonts w:ascii="Arial" w:eastAsia="Times New Roman" w:hAnsi="Arial" w:cs="Arial"/>
          <w:i/>
          <w:iCs/>
          <w:sz w:val="24"/>
          <w:szCs w:val="24"/>
          <w:lang w:eastAsia="en-GB"/>
        </w:rPr>
        <w:t>Attachment and loss: volume I. Attachment</w:t>
      </w:r>
      <w:r w:rsidRPr="009F0621">
        <w:rPr>
          <w:rFonts w:ascii="Arial" w:eastAsia="Times New Roman" w:hAnsi="Arial" w:cs="Arial"/>
          <w:sz w:val="24"/>
          <w:szCs w:val="24"/>
          <w:lang w:eastAsia="en-GB"/>
        </w:rPr>
        <w:t>. London: Hogarth Press.</w:t>
      </w:r>
    </w:p>
    <w:p w14:paraId="4FB59DC1" w14:textId="25CA1D14" w:rsidR="009F0621" w:rsidRPr="009F0621" w:rsidRDefault="009F0621" w:rsidP="009F0621">
      <w:pPr>
        <w:pStyle w:val="ListParagraph"/>
        <w:numPr>
          <w:ilvl w:val="0"/>
          <w:numId w:val="30"/>
        </w:numPr>
        <w:spacing w:before="100" w:beforeAutospacing="1" w:after="100" w:afterAutospacing="1" w:line="360" w:lineRule="auto"/>
        <w:rPr>
          <w:rFonts w:ascii="Arial" w:eastAsia="Times New Roman" w:hAnsi="Arial" w:cs="Arial"/>
          <w:sz w:val="24"/>
          <w:szCs w:val="24"/>
          <w:lang w:eastAsia="en-GB"/>
        </w:rPr>
      </w:pPr>
      <w:r w:rsidRPr="009F0621">
        <w:rPr>
          <w:rFonts w:ascii="Arial" w:eastAsia="Times New Roman" w:hAnsi="Arial" w:cs="Arial"/>
          <w:sz w:val="24"/>
          <w:szCs w:val="24"/>
          <w:lang w:eastAsia="en-GB"/>
        </w:rPr>
        <w:t xml:space="preserve">Bronfenbrenner, U., 1979. </w:t>
      </w:r>
      <w:r w:rsidRPr="009F0621">
        <w:rPr>
          <w:rFonts w:ascii="Arial" w:eastAsia="Times New Roman" w:hAnsi="Arial" w:cs="Arial"/>
          <w:i/>
          <w:iCs/>
          <w:sz w:val="24"/>
          <w:szCs w:val="24"/>
          <w:lang w:eastAsia="en-GB"/>
        </w:rPr>
        <w:t>The ecology of human development</w:t>
      </w:r>
      <w:r w:rsidRPr="009F0621">
        <w:rPr>
          <w:rFonts w:ascii="Arial" w:eastAsia="Times New Roman" w:hAnsi="Arial" w:cs="Arial"/>
          <w:sz w:val="24"/>
          <w:szCs w:val="24"/>
          <w:lang w:eastAsia="en-GB"/>
        </w:rPr>
        <w:t>. Cambridge, MA: Harvard University Press.</w:t>
      </w:r>
    </w:p>
    <w:p w14:paraId="0571E01D" w14:textId="74C2BF1C" w:rsidR="009F0621" w:rsidRPr="009F0621" w:rsidRDefault="009F0621" w:rsidP="009F0621">
      <w:pPr>
        <w:pStyle w:val="ListParagraph"/>
        <w:numPr>
          <w:ilvl w:val="0"/>
          <w:numId w:val="30"/>
        </w:numPr>
        <w:spacing w:before="100" w:beforeAutospacing="1" w:after="100" w:afterAutospacing="1" w:line="360" w:lineRule="auto"/>
        <w:rPr>
          <w:rFonts w:ascii="Arial" w:eastAsia="Times New Roman" w:hAnsi="Arial" w:cs="Arial"/>
          <w:sz w:val="24"/>
          <w:szCs w:val="24"/>
          <w:lang w:eastAsia="en-GB"/>
        </w:rPr>
      </w:pPr>
      <w:r w:rsidRPr="009F0621">
        <w:rPr>
          <w:rFonts w:ascii="Arial" w:eastAsia="Times New Roman" w:hAnsi="Arial" w:cs="Arial"/>
          <w:sz w:val="24"/>
          <w:szCs w:val="24"/>
          <w:lang w:eastAsia="en-GB"/>
        </w:rPr>
        <w:t xml:space="preserve">Bronfenbrenner, U. &amp; Ceci, S.J., 1994. Nature–nurture reconceptualised in developmental perspective: a bioecological model. </w:t>
      </w:r>
      <w:r w:rsidRPr="009F0621">
        <w:rPr>
          <w:rFonts w:ascii="Arial" w:eastAsia="Times New Roman" w:hAnsi="Arial" w:cs="Arial"/>
          <w:i/>
          <w:iCs/>
          <w:sz w:val="24"/>
          <w:szCs w:val="24"/>
          <w:lang w:eastAsia="en-GB"/>
        </w:rPr>
        <w:t>Psychological Review</w:t>
      </w:r>
      <w:r w:rsidRPr="009F0621">
        <w:rPr>
          <w:rFonts w:ascii="Arial" w:eastAsia="Times New Roman" w:hAnsi="Arial" w:cs="Arial"/>
          <w:sz w:val="24"/>
          <w:szCs w:val="24"/>
          <w:lang w:eastAsia="en-GB"/>
        </w:rPr>
        <w:t>, 101(4), pp.568–586.</w:t>
      </w:r>
    </w:p>
    <w:p w14:paraId="7CAF7AB2" w14:textId="34E0456B" w:rsidR="009F0621" w:rsidRPr="009F0621" w:rsidRDefault="009F0621" w:rsidP="009F0621">
      <w:pPr>
        <w:pStyle w:val="ListParagraph"/>
        <w:numPr>
          <w:ilvl w:val="0"/>
          <w:numId w:val="30"/>
        </w:numPr>
        <w:spacing w:before="100" w:beforeAutospacing="1" w:after="100" w:afterAutospacing="1" w:line="360" w:lineRule="auto"/>
        <w:rPr>
          <w:rFonts w:ascii="Arial" w:eastAsia="Times New Roman" w:hAnsi="Arial" w:cs="Arial"/>
          <w:sz w:val="24"/>
          <w:szCs w:val="24"/>
          <w:lang w:eastAsia="en-GB"/>
        </w:rPr>
      </w:pPr>
      <w:proofErr w:type="spellStart"/>
      <w:r w:rsidRPr="009F0621">
        <w:rPr>
          <w:rFonts w:ascii="Arial" w:eastAsia="Times New Roman" w:hAnsi="Arial" w:cs="Arial"/>
          <w:sz w:val="24"/>
          <w:szCs w:val="24"/>
          <w:lang w:eastAsia="en-GB"/>
        </w:rPr>
        <w:t>Carr</w:t>
      </w:r>
      <w:proofErr w:type="spellEnd"/>
      <w:r w:rsidRPr="009F0621">
        <w:rPr>
          <w:rFonts w:ascii="Arial" w:eastAsia="Times New Roman" w:hAnsi="Arial" w:cs="Arial"/>
          <w:sz w:val="24"/>
          <w:szCs w:val="24"/>
          <w:lang w:eastAsia="en-GB"/>
        </w:rPr>
        <w:t>, A., 2009. The effectiveness of family therapy and systemic interventions for child</w:t>
      </w:r>
      <w:r w:rsidRPr="009F0621">
        <w:rPr>
          <w:rFonts w:ascii="Cambria Math" w:eastAsia="Times New Roman" w:hAnsi="Cambria Math" w:cs="Cambria Math"/>
          <w:sz w:val="24"/>
          <w:szCs w:val="24"/>
          <w:lang w:eastAsia="en-GB"/>
        </w:rPr>
        <w:t>‐</w:t>
      </w:r>
      <w:r w:rsidRPr="009F0621">
        <w:rPr>
          <w:rFonts w:ascii="Arial" w:eastAsia="Times New Roman" w:hAnsi="Arial" w:cs="Arial"/>
          <w:sz w:val="24"/>
          <w:szCs w:val="24"/>
          <w:lang w:eastAsia="en-GB"/>
        </w:rPr>
        <w:t xml:space="preserve">focused problems. </w:t>
      </w:r>
      <w:r w:rsidRPr="009F0621">
        <w:rPr>
          <w:rFonts w:ascii="Arial" w:eastAsia="Times New Roman" w:hAnsi="Arial" w:cs="Arial"/>
          <w:i/>
          <w:iCs/>
          <w:sz w:val="24"/>
          <w:szCs w:val="24"/>
          <w:lang w:eastAsia="en-GB"/>
        </w:rPr>
        <w:t>Journal of Family Therapy</w:t>
      </w:r>
      <w:r w:rsidRPr="009F0621">
        <w:rPr>
          <w:rFonts w:ascii="Arial" w:eastAsia="Times New Roman" w:hAnsi="Arial" w:cs="Arial"/>
          <w:sz w:val="24"/>
          <w:szCs w:val="24"/>
          <w:lang w:eastAsia="en-GB"/>
        </w:rPr>
        <w:t>, 31(1), pp.3–45.</w:t>
      </w:r>
    </w:p>
    <w:p w14:paraId="7302E769" w14:textId="339A747A" w:rsidR="009F0621" w:rsidRPr="009F0621" w:rsidRDefault="009F0621" w:rsidP="009F0621">
      <w:pPr>
        <w:pStyle w:val="ListParagraph"/>
        <w:numPr>
          <w:ilvl w:val="0"/>
          <w:numId w:val="30"/>
        </w:numPr>
        <w:spacing w:before="100" w:beforeAutospacing="1" w:after="100" w:afterAutospacing="1" w:line="360" w:lineRule="auto"/>
        <w:rPr>
          <w:rFonts w:ascii="Arial" w:eastAsia="Times New Roman" w:hAnsi="Arial" w:cs="Arial"/>
          <w:sz w:val="24"/>
          <w:szCs w:val="24"/>
          <w:lang w:eastAsia="en-GB"/>
        </w:rPr>
      </w:pPr>
      <w:proofErr w:type="spellStart"/>
      <w:r w:rsidRPr="009F0621">
        <w:rPr>
          <w:rFonts w:ascii="Arial" w:eastAsia="Times New Roman" w:hAnsi="Arial" w:cs="Arial"/>
          <w:sz w:val="24"/>
          <w:szCs w:val="24"/>
          <w:lang w:eastAsia="en-GB"/>
        </w:rPr>
        <w:t>Checkoway</w:t>
      </w:r>
      <w:proofErr w:type="spellEnd"/>
      <w:r w:rsidRPr="009F0621">
        <w:rPr>
          <w:rFonts w:ascii="Arial" w:eastAsia="Times New Roman" w:hAnsi="Arial" w:cs="Arial"/>
          <w:sz w:val="24"/>
          <w:szCs w:val="24"/>
          <w:lang w:eastAsia="en-GB"/>
        </w:rPr>
        <w:t>, B. &amp; Richards</w:t>
      </w:r>
      <w:r w:rsidRPr="009F0621">
        <w:rPr>
          <w:rFonts w:ascii="Cambria Math" w:eastAsia="Times New Roman" w:hAnsi="Cambria Math" w:cs="Cambria Math"/>
          <w:sz w:val="24"/>
          <w:szCs w:val="24"/>
          <w:lang w:eastAsia="en-GB"/>
        </w:rPr>
        <w:t>‐</w:t>
      </w:r>
      <w:r w:rsidRPr="009F0621">
        <w:rPr>
          <w:rFonts w:ascii="Arial" w:eastAsia="Times New Roman" w:hAnsi="Arial" w:cs="Arial"/>
          <w:sz w:val="24"/>
          <w:szCs w:val="24"/>
          <w:lang w:eastAsia="en-GB"/>
        </w:rPr>
        <w:t xml:space="preserve">Schuster, K., 2003. Youth participation as social justice. </w:t>
      </w:r>
      <w:r w:rsidRPr="009F0621">
        <w:rPr>
          <w:rFonts w:ascii="Arial" w:eastAsia="Times New Roman" w:hAnsi="Arial" w:cs="Arial"/>
          <w:i/>
          <w:iCs/>
          <w:sz w:val="24"/>
          <w:szCs w:val="24"/>
          <w:lang w:eastAsia="en-GB"/>
        </w:rPr>
        <w:t>Applied Developmental Science</w:t>
      </w:r>
      <w:r w:rsidRPr="009F0621">
        <w:rPr>
          <w:rFonts w:ascii="Arial" w:eastAsia="Times New Roman" w:hAnsi="Arial" w:cs="Arial"/>
          <w:sz w:val="24"/>
          <w:szCs w:val="24"/>
          <w:lang w:eastAsia="en-GB"/>
        </w:rPr>
        <w:t>, 7(4), pp.258–263.</w:t>
      </w:r>
    </w:p>
    <w:p w14:paraId="5174A4F3" w14:textId="79707ED0" w:rsidR="009F0621" w:rsidRPr="009F0621" w:rsidRDefault="009F0621" w:rsidP="009F0621">
      <w:pPr>
        <w:pStyle w:val="ListParagraph"/>
        <w:numPr>
          <w:ilvl w:val="0"/>
          <w:numId w:val="30"/>
        </w:numPr>
        <w:spacing w:before="100" w:beforeAutospacing="1" w:after="100" w:afterAutospacing="1" w:line="360" w:lineRule="auto"/>
        <w:rPr>
          <w:rFonts w:ascii="Arial" w:eastAsia="Times New Roman" w:hAnsi="Arial" w:cs="Arial"/>
          <w:sz w:val="24"/>
          <w:szCs w:val="24"/>
          <w:lang w:eastAsia="en-GB"/>
        </w:rPr>
      </w:pPr>
      <w:r w:rsidRPr="009F0621">
        <w:rPr>
          <w:rFonts w:ascii="Arial" w:eastAsia="Times New Roman" w:hAnsi="Arial" w:cs="Arial"/>
          <w:sz w:val="24"/>
          <w:szCs w:val="24"/>
          <w:lang w:eastAsia="en-GB"/>
        </w:rPr>
        <w:t>Cottrell, D. &amp; Boston, P., 2002. Playing with power: child</w:t>
      </w:r>
      <w:r w:rsidRPr="009F0621">
        <w:rPr>
          <w:rFonts w:ascii="Cambria Math" w:eastAsia="Times New Roman" w:hAnsi="Cambria Math" w:cs="Cambria Math"/>
          <w:sz w:val="24"/>
          <w:szCs w:val="24"/>
          <w:lang w:eastAsia="en-GB"/>
        </w:rPr>
        <w:t>‐</w:t>
      </w:r>
      <w:r w:rsidRPr="009F0621">
        <w:rPr>
          <w:rFonts w:ascii="Arial" w:eastAsia="Times New Roman" w:hAnsi="Arial" w:cs="Arial"/>
          <w:sz w:val="24"/>
          <w:szCs w:val="24"/>
          <w:lang w:eastAsia="en-GB"/>
        </w:rPr>
        <w:t xml:space="preserve">centred assessment in CAMHS. </w:t>
      </w:r>
      <w:r w:rsidRPr="009F0621">
        <w:rPr>
          <w:rFonts w:ascii="Arial" w:eastAsia="Times New Roman" w:hAnsi="Arial" w:cs="Arial"/>
          <w:i/>
          <w:iCs/>
          <w:sz w:val="24"/>
          <w:szCs w:val="24"/>
          <w:lang w:eastAsia="en-GB"/>
        </w:rPr>
        <w:t>Clinical Child Psychology and Psychiatry</w:t>
      </w:r>
      <w:r w:rsidRPr="009F0621">
        <w:rPr>
          <w:rFonts w:ascii="Arial" w:eastAsia="Times New Roman" w:hAnsi="Arial" w:cs="Arial"/>
          <w:sz w:val="24"/>
          <w:szCs w:val="24"/>
          <w:lang w:eastAsia="en-GB"/>
        </w:rPr>
        <w:t>, 7(3), pp.383–396.</w:t>
      </w:r>
    </w:p>
    <w:p w14:paraId="02E8D739" w14:textId="512C62FE" w:rsidR="009F0621" w:rsidRPr="009F0621" w:rsidRDefault="009F0621" w:rsidP="009F0621">
      <w:pPr>
        <w:pStyle w:val="ListParagraph"/>
        <w:numPr>
          <w:ilvl w:val="0"/>
          <w:numId w:val="30"/>
        </w:numPr>
        <w:spacing w:before="100" w:beforeAutospacing="1" w:after="100" w:afterAutospacing="1" w:line="360" w:lineRule="auto"/>
        <w:rPr>
          <w:rFonts w:ascii="Arial" w:eastAsia="Times New Roman" w:hAnsi="Arial" w:cs="Arial"/>
          <w:sz w:val="24"/>
          <w:szCs w:val="24"/>
          <w:lang w:eastAsia="en-GB"/>
        </w:rPr>
      </w:pPr>
      <w:r w:rsidRPr="009F0621">
        <w:rPr>
          <w:rFonts w:ascii="Arial" w:eastAsia="Times New Roman" w:hAnsi="Arial" w:cs="Arial"/>
          <w:sz w:val="24"/>
          <w:szCs w:val="24"/>
          <w:lang w:eastAsia="en-GB"/>
        </w:rPr>
        <w:t xml:space="preserve">Corrigan, P., 2014. Reducing the stigma of mental illness. </w:t>
      </w:r>
      <w:r w:rsidRPr="009F0621">
        <w:rPr>
          <w:rFonts w:ascii="Arial" w:eastAsia="Times New Roman" w:hAnsi="Arial" w:cs="Arial"/>
          <w:i/>
          <w:iCs/>
          <w:sz w:val="24"/>
          <w:szCs w:val="24"/>
          <w:lang w:eastAsia="en-GB"/>
        </w:rPr>
        <w:t>Psychiatric Services</w:t>
      </w:r>
      <w:r w:rsidRPr="009F0621">
        <w:rPr>
          <w:rFonts w:ascii="Arial" w:eastAsia="Times New Roman" w:hAnsi="Arial" w:cs="Arial"/>
          <w:sz w:val="24"/>
          <w:szCs w:val="24"/>
          <w:lang w:eastAsia="en-GB"/>
        </w:rPr>
        <w:t>, 65(9), pp.1041–1042.</w:t>
      </w:r>
    </w:p>
    <w:p w14:paraId="39954A1F" w14:textId="3152264A" w:rsidR="009F0621" w:rsidRPr="009F0621" w:rsidRDefault="009F0621" w:rsidP="009F0621">
      <w:pPr>
        <w:pStyle w:val="ListParagraph"/>
        <w:numPr>
          <w:ilvl w:val="0"/>
          <w:numId w:val="30"/>
        </w:numPr>
        <w:spacing w:before="100" w:beforeAutospacing="1" w:after="100" w:afterAutospacing="1" w:line="360" w:lineRule="auto"/>
        <w:rPr>
          <w:rFonts w:ascii="Arial" w:eastAsia="Times New Roman" w:hAnsi="Arial" w:cs="Arial"/>
          <w:sz w:val="24"/>
          <w:szCs w:val="24"/>
          <w:lang w:eastAsia="en-GB"/>
        </w:rPr>
      </w:pPr>
      <w:r w:rsidRPr="009F0621">
        <w:rPr>
          <w:rFonts w:ascii="Arial" w:eastAsia="Times New Roman" w:hAnsi="Arial" w:cs="Arial"/>
          <w:sz w:val="24"/>
          <w:szCs w:val="24"/>
          <w:lang w:eastAsia="en-GB"/>
        </w:rPr>
        <w:lastRenderedPageBreak/>
        <w:t xml:space="preserve">Coyne, I., 2008. Children’s participation in decisions about healthcare: challenging the framework. </w:t>
      </w:r>
      <w:r w:rsidRPr="009F0621">
        <w:rPr>
          <w:rFonts w:ascii="Arial" w:eastAsia="Times New Roman" w:hAnsi="Arial" w:cs="Arial"/>
          <w:i/>
          <w:iCs/>
          <w:sz w:val="24"/>
          <w:szCs w:val="24"/>
          <w:lang w:eastAsia="en-GB"/>
        </w:rPr>
        <w:t>Journal of Clinical Nursing</w:t>
      </w:r>
      <w:r w:rsidRPr="009F0621">
        <w:rPr>
          <w:rFonts w:ascii="Arial" w:eastAsia="Times New Roman" w:hAnsi="Arial" w:cs="Arial"/>
          <w:sz w:val="24"/>
          <w:szCs w:val="24"/>
          <w:lang w:eastAsia="en-GB"/>
        </w:rPr>
        <w:t>, 17(15), pp.2053–2063.</w:t>
      </w:r>
    </w:p>
    <w:p w14:paraId="2F496BBF" w14:textId="6CD9A2CC" w:rsidR="009F0621" w:rsidRPr="009F0621" w:rsidRDefault="009F0621" w:rsidP="009F0621">
      <w:pPr>
        <w:pStyle w:val="ListParagraph"/>
        <w:numPr>
          <w:ilvl w:val="0"/>
          <w:numId w:val="30"/>
        </w:numPr>
        <w:spacing w:before="100" w:beforeAutospacing="1" w:after="100" w:afterAutospacing="1" w:line="360" w:lineRule="auto"/>
        <w:rPr>
          <w:rFonts w:ascii="Arial" w:eastAsia="Times New Roman" w:hAnsi="Arial" w:cs="Arial"/>
          <w:sz w:val="24"/>
          <w:szCs w:val="24"/>
          <w:lang w:eastAsia="en-GB"/>
        </w:rPr>
      </w:pPr>
      <w:r w:rsidRPr="009F0621">
        <w:rPr>
          <w:rFonts w:ascii="Arial" w:eastAsia="Times New Roman" w:hAnsi="Arial" w:cs="Arial"/>
          <w:sz w:val="24"/>
          <w:szCs w:val="24"/>
          <w:lang w:eastAsia="en-GB"/>
        </w:rPr>
        <w:t xml:space="preserve">Davids, E.L., Roman, N.V. &amp; Mahlangu, P., 2011. Early childhood development and the health sector. </w:t>
      </w:r>
      <w:r w:rsidRPr="009F0621">
        <w:rPr>
          <w:rFonts w:ascii="Arial" w:eastAsia="Times New Roman" w:hAnsi="Arial" w:cs="Arial"/>
          <w:i/>
          <w:iCs/>
          <w:sz w:val="24"/>
          <w:szCs w:val="24"/>
          <w:lang w:eastAsia="en-GB"/>
        </w:rPr>
        <w:t>South African Journal of Childhood Education</w:t>
      </w:r>
      <w:r w:rsidRPr="009F0621">
        <w:rPr>
          <w:rFonts w:ascii="Arial" w:eastAsia="Times New Roman" w:hAnsi="Arial" w:cs="Arial"/>
          <w:sz w:val="24"/>
          <w:szCs w:val="24"/>
          <w:lang w:eastAsia="en-GB"/>
        </w:rPr>
        <w:t>, 1(1), pp.20–30.</w:t>
      </w:r>
    </w:p>
    <w:p w14:paraId="2EB738C2" w14:textId="3A88BBBC" w:rsidR="009F0621" w:rsidRPr="009F0621" w:rsidRDefault="009F0621" w:rsidP="009F0621">
      <w:pPr>
        <w:pStyle w:val="ListParagraph"/>
        <w:numPr>
          <w:ilvl w:val="0"/>
          <w:numId w:val="30"/>
        </w:numPr>
        <w:spacing w:before="100" w:beforeAutospacing="1" w:after="100" w:afterAutospacing="1" w:line="360" w:lineRule="auto"/>
        <w:rPr>
          <w:rFonts w:ascii="Arial" w:eastAsia="Times New Roman" w:hAnsi="Arial" w:cs="Arial"/>
          <w:sz w:val="24"/>
          <w:szCs w:val="24"/>
          <w:lang w:eastAsia="en-GB"/>
        </w:rPr>
      </w:pPr>
      <w:r w:rsidRPr="009F0621">
        <w:rPr>
          <w:rFonts w:ascii="Arial" w:eastAsia="Times New Roman" w:hAnsi="Arial" w:cs="Arial"/>
          <w:sz w:val="24"/>
          <w:szCs w:val="24"/>
          <w:lang w:eastAsia="en-GB"/>
        </w:rPr>
        <w:t xml:space="preserve">Department of Health, 2015. </w:t>
      </w:r>
      <w:r w:rsidRPr="009F0621">
        <w:rPr>
          <w:rFonts w:ascii="Arial" w:eastAsia="Times New Roman" w:hAnsi="Arial" w:cs="Arial"/>
          <w:i/>
          <w:iCs/>
          <w:sz w:val="24"/>
          <w:szCs w:val="24"/>
          <w:lang w:eastAsia="en-GB"/>
        </w:rPr>
        <w:t>Future in Mind: promoting, protecting and improving our children and young people’s mental health and wellbeing</w:t>
      </w:r>
      <w:r w:rsidRPr="009F0621">
        <w:rPr>
          <w:rFonts w:ascii="Arial" w:eastAsia="Times New Roman" w:hAnsi="Arial" w:cs="Arial"/>
          <w:sz w:val="24"/>
          <w:szCs w:val="24"/>
          <w:lang w:eastAsia="en-GB"/>
        </w:rPr>
        <w:t>. London: DH.</w:t>
      </w:r>
    </w:p>
    <w:p w14:paraId="4609310F" w14:textId="21A25FAF" w:rsidR="009F0621" w:rsidRPr="009F0621" w:rsidRDefault="009F0621" w:rsidP="009F0621">
      <w:pPr>
        <w:pStyle w:val="ListParagraph"/>
        <w:numPr>
          <w:ilvl w:val="0"/>
          <w:numId w:val="30"/>
        </w:numPr>
        <w:spacing w:before="100" w:beforeAutospacing="1" w:after="100" w:afterAutospacing="1" w:line="360" w:lineRule="auto"/>
        <w:rPr>
          <w:rFonts w:ascii="Arial" w:eastAsia="Times New Roman" w:hAnsi="Arial" w:cs="Arial"/>
          <w:sz w:val="24"/>
          <w:szCs w:val="24"/>
          <w:lang w:eastAsia="en-GB"/>
        </w:rPr>
      </w:pPr>
      <w:r w:rsidRPr="009F0621">
        <w:rPr>
          <w:rFonts w:ascii="Arial" w:eastAsia="Times New Roman" w:hAnsi="Arial" w:cs="Arial"/>
          <w:sz w:val="24"/>
          <w:szCs w:val="24"/>
          <w:lang w:eastAsia="en-GB"/>
        </w:rPr>
        <w:t xml:space="preserve">Fine, P. &amp; Chen, R.T., 1992. Conflicting public health and political agendas: the role of science in the controversy over vaccine safety. </w:t>
      </w:r>
      <w:r w:rsidRPr="009F0621">
        <w:rPr>
          <w:rFonts w:ascii="Arial" w:eastAsia="Times New Roman" w:hAnsi="Arial" w:cs="Arial"/>
          <w:i/>
          <w:iCs/>
          <w:sz w:val="24"/>
          <w:szCs w:val="24"/>
          <w:lang w:eastAsia="en-GB"/>
        </w:rPr>
        <w:t>American Journal of Public Health</w:t>
      </w:r>
      <w:r w:rsidRPr="009F0621">
        <w:rPr>
          <w:rFonts w:ascii="Arial" w:eastAsia="Times New Roman" w:hAnsi="Arial" w:cs="Arial"/>
          <w:sz w:val="24"/>
          <w:szCs w:val="24"/>
          <w:lang w:eastAsia="en-GB"/>
        </w:rPr>
        <w:t>, 82(11), pp.1668–1671.</w:t>
      </w:r>
    </w:p>
    <w:p w14:paraId="69ABEA55" w14:textId="278BA7AC" w:rsidR="009F0621" w:rsidRPr="009F0621" w:rsidRDefault="009F0621" w:rsidP="009F0621">
      <w:pPr>
        <w:pStyle w:val="ListParagraph"/>
        <w:numPr>
          <w:ilvl w:val="0"/>
          <w:numId w:val="30"/>
        </w:numPr>
        <w:spacing w:before="100" w:beforeAutospacing="1" w:after="100" w:afterAutospacing="1" w:line="360" w:lineRule="auto"/>
        <w:rPr>
          <w:rFonts w:ascii="Arial" w:eastAsia="Times New Roman" w:hAnsi="Arial" w:cs="Arial"/>
          <w:sz w:val="24"/>
          <w:szCs w:val="24"/>
          <w:lang w:eastAsia="en-GB"/>
        </w:rPr>
      </w:pPr>
      <w:r w:rsidRPr="009F0621">
        <w:rPr>
          <w:rFonts w:ascii="Arial" w:eastAsia="Times New Roman" w:hAnsi="Arial" w:cs="Arial"/>
          <w:sz w:val="24"/>
          <w:szCs w:val="24"/>
          <w:lang w:eastAsia="en-GB"/>
        </w:rPr>
        <w:t xml:space="preserve">Ford, T., Goodman, R. &amp; Meltzer, H., 2008. The British Child and Adolescent Mental Health Surveys. </w:t>
      </w:r>
      <w:r w:rsidRPr="009F0621">
        <w:rPr>
          <w:rFonts w:ascii="Arial" w:eastAsia="Times New Roman" w:hAnsi="Arial" w:cs="Arial"/>
          <w:i/>
          <w:iCs/>
          <w:sz w:val="24"/>
          <w:szCs w:val="24"/>
          <w:lang w:eastAsia="en-GB"/>
        </w:rPr>
        <w:t>Journal of the American Academy of Child &amp; Adolescent Psychiatry</w:t>
      </w:r>
      <w:r w:rsidRPr="009F0621">
        <w:rPr>
          <w:rFonts w:ascii="Arial" w:eastAsia="Times New Roman" w:hAnsi="Arial" w:cs="Arial"/>
          <w:sz w:val="24"/>
          <w:szCs w:val="24"/>
          <w:lang w:eastAsia="en-GB"/>
        </w:rPr>
        <w:t>, 47(9), pp.1029–1037.</w:t>
      </w:r>
    </w:p>
    <w:p w14:paraId="0349AF93" w14:textId="3542D799" w:rsidR="009F0621" w:rsidRPr="009F0621" w:rsidRDefault="009F0621" w:rsidP="009F0621">
      <w:pPr>
        <w:pStyle w:val="ListParagraph"/>
        <w:numPr>
          <w:ilvl w:val="0"/>
          <w:numId w:val="30"/>
        </w:numPr>
        <w:spacing w:before="100" w:beforeAutospacing="1" w:after="100" w:afterAutospacing="1" w:line="360" w:lineRule="auto"/>
        <w:rPr>
          <w:rFonts w:ascii="Arial" w:eastAsia="Times New Roman" w:hAnsi="Arial" w:cs="Arial"/>
          <w:sz w:val="24"/>
          <w:szCs w:val="24"/>
          <w:lang w:eastAsia="en-GB"/>
        </w:rPr>
      </w:pPr>
      <w:proofErr w:type="spellStart"/>
      <w:r w:rsidRPr="009F0621">
        <w:rPr>
          <w:rFonts w:ascii="Arial" w:eastAsia="Times New Roman" w:hAnsi="Arial" w:cs="Arial"/>
          <w:sz w:val="24"/>
          <w:szCs w:val="24"/>
          <w:lang w:eastAsia="en-GB"/>
        </w:rPr>
        <w:t>Fonagy</w:t>
      </w:r>
      <w:proofErr w:type="spellEnd"/>
      <w:r w:rsidRPr="009F0621">
        <w:rPr>
          <w:rFonts w:ascii="Arial" w:eastAsia="Times New Roman" w:hAnsi="Arial" w:cs="Arial"/>
          <w:sz w:val="24"/>
          <w:szCs w:val="24"/>
          <w:lang w:eastAsia="en-GB"/>
        </w:rPr>
        <w:t xml:space="preserve">, P. et al., 2015. </w:t>
      </w:r>
      <w:r w:rsidRPr="009F0621">
        <w:rPr>
          <w:rFonts w:ascii="Arial" w:eastAsia="Times New Roman" w:hAnsi="Arial" w:cs="Arial"/>
          <w:i/>
          <w:iCs/>
          <w:sz w:val="24"/>
          <w:szCs w:val="24"/>
          <w:lang w:eastAsia="en-GB"/>
        </w:rPr>
        <w:t>Integrated group psychotherapy for severe child and adolescent disorders</w:t>
      </w:r>
      <w:r w:rsidRPr="009F0621">
        <w:rPr>
          <w:rFonts w:ascii="Arial" w:eastAsia="Times New Roman" w:hAnsi="Arial" w:cs="Arial"/>
          <w:sz w:val="24"/>
          <w:szCs w:val="24"/>
          <w:lang w:eastAsia="en-GB"/>
        </w:rPr>
        <w:t>. Oxford: Oxford University Press.</w:t>
      </w:r>
    </w:p>
    <w:p w14:paraId="3CE15512" w14:textId="0ABF2998" w:rsidR="009F0621" w:rsidRPr="009F0621" w:rsidRDefault="009F0621" w:rsidP="009F0621">
      <w:pPr>
        <w:pStyle w:val="ListParagraph"/>
        <w:numPr>
          <w:ilvl w:val="0"/>
          <w:numId w:val="30"/>
        </w:numPr>
        <w:spacing w:before="100" w:beforeAutospacing="1" w:after="100" w:afterAutospacing="1" w:line="360" w:lineRule="auto"/>
        <w:rPr>
          <w:rFonts w:ascii="Arial" w:eastAsia="Times New Roman" w:hAnsi="Arial" w:cs="Arial"/>
          <w:sz w:val="24"/>
          <w:szCs w:val="24"/>
          <w:lang w:eastAsia="en-GB"/>
        </w:rPr>
      </w:pPr>
      <w:r w:rsidRPr="009F0621">
        <w:rPr>
          <w:rFonts w:ascii="Arial" w:eastAsia="Times New Roman" w:hAnsi="Arial" w:cs="Arial"/>
          <w:sz w:val="24"/>
          <w:szCs w:val="24"/>
          <w:lang w:eastAsia="en-GB"/>
        </w:rPr>
        <w:t>Gershoff, E.T. &amp; Grogan</w:t>
      </w:r>
      <w:r w:rsidRPr="009F0621">
        <w:rPr>
          <w:rFonts w:ascii="Cambria Math" w:eastAsia="Times New Roman" w:hAnsi="Cambria Math" w:cs="Cambria Math"/>
          <w:sz w:val="24"/>
          <w:szCs w:val="24"/>
          <w:lang w:eastAsia="en-GB"/>
        </w:rPr>
        <w:t>‐</w:t>
      </w:r>
      <w:r w:rsidRPr="009F0621">
        <w:rPr>
          <w:rFonts w:ascii="Arial" w:eastAsia="Times New Roman" w:hAnsi="Arial" w:cs="Arial"/>
          <w:sz w:val="24"/>
          <w:szCs w:val="24"/>
          <w:lang w:eastAsia="en-GB"/>
        </w:rPr>
        <w:t>Kaylor, A., 2016. Spanking and child outcomes: old controversies and new meta</w:t>
      </w:r>
      <w:r w:rsidRPr="009F0621">
        <w:rPr>
          <w:rFonts w:ascii="Cambria Math" w:eastAsia="Times New Roman" w:hAnsi="Cambria Math" w:cs="Cambria Math"/>
          <w:sz w:val="24"/>
          <w:szCs w:val="24"/>
          <w:lang w:eastAsia="en-GB"/>
        </w:rPr>
        <w:t>‐</w:t>
      </w:r>
      <w:r w:rsidRPr="009F0621">
        <w:rPr>
          <w:rFonts w:ascii="Arial" w:eastAsia="Times New Roman" w:hAnsi="Arial" w:cs="Arial"/>
          <w:sz w:val="24"/>
          <w:szCs w:val="24"/>
          <w:lang w:eastAsia="en-GB"/>
        </w:rPr>
        <w:t xml:space="preserve">analyses. </w:t>
      </w:r>
      <w:r w:rsidRPr="009F0621">
        <w:rPr>
          <w:rFonts w:ascii="Arial" w:eastAsia="Times New Roman" w:hAnsi="Arial" w:cs="Arial"/>
          <w:i/>
          <w:iCs/>
          <w:sz w:val="24"/>
          <w:szCs w:val="24"/>
          <w:lang w:eastAsia="en-GB"/>
        </w:rPr>
        <w:t>Journal of Family Psychology</w:t>
      </w:r>
      <w:r w:rsidRPr="009F0621">
        <w:rPr>
          <w:rFonts w:ascii="Arial" w:eastAsia="Times New Roman" w:hAnsi="Arial" w:cs="Arial"/>
          <w:sz w:val="24"/>
          <w:szCs w:val="24"/>
          <w:lang w:eastAsia="en-GB"/>
        </w:rPr>
        <w:t>, 30(4), pp.453–469.</w:t>
      </w:r>
    </w:p>
    <w:p w14:paraId="2B897600" w14:textId="6CF64ADB" w:rsidR="009F0621" w:rsidRPr="009F0621" w:rsidRDefault="009F0621" w:rsidP="009F0621">
      <w:pPr>
        <w:pStyle w:val="ListParagraph"/>
        <w:numPr>
          <w:ilvl w:val="0"/>
          <w:numId w:val="30"/>
        </w:numPr>
        <w:spacing w:before="100" w:beforeAutospacing="1" w:after="100" w:afterAutospacing="1" w:line="360" w:lineRule="auto"/>
        <w:rPr>
          <w:rFonts w:ascii="Arial" w:eastAsia="Times New Roman" w:hAnsi="Arial" w:cs="Arial"/>
          <w:sz w:val="24"/>
          <w:szCs w:val="24"/>
          <w:lang w:eastAsia="en-GB"/>
        </w:rPr>
      </w:pPr>
      <w:r w:rsidRPr="009F0621">
        <w:rPr>
          <w:rFonts w:ascii="Arial" w:eastAsia="Times New Roman" w:hAnsi="Arial" w:cs="Arial"/>
          <w:sz w:val="24"/>
          <w:szCs w:val="24"/>
          <w:lang w:eastAsia="en-GB"/>
        </w:rPr>
        <w:t xml:space="preserve">Goldberg, D. et al., 2015. Effectiveness of crisis resolution and home treatment teams. </w:t>
      </w:r>
      <w:proofErr w:type="spellStart"/>
      <w:r w:rsidRPr="009F0621">
        <w:rPr>
          <w:rFonts w:ascii="Arial" w:eastAsia="Times New Roman" w:hAnsi="Arial" w:cs="Arial"/>
          <w:i/>
          <w:iCs/>
          <w:sz w:val="24"/>
          <w:szCs w:val="24"/>
          <w:lang w:eastAsia="en-GB"/>
        </w:rPr>
        <w:t>BJPsych</w:t>
      </w:r>
      <w:proofErr w:type="spellEnd"/>
      <w:r w:rsidRPr="009F0621">
        <w:rPr>
          <w:rFonts w:ascii="Arial" w:eastAsia="Times New Roman" w:hAnsi="Arial" w:cs="Arial"/>
          <w:i/>
          <w:iCs/>
          <w:sz w:val="24"/>
          <w:szCs w:val="24"/>
          <w:lang w:eastAsia="en-GB"/>
        </w:rPr>
        <w:t xml:space="preserve"> Open</w:t>
      </w:r>
      <w:r w:rsidRPr="009F0621">
        <w:rPr>
          <w:rFonts w:ascii="Arial" w:eastAsia="Times New Roman" w:hAnsi="Arial" w:cs="Arial"/>
          <w:sz w:val="24"/>
          <w:szCs w:val="24"/>
          <w:lang w:eastAsia="en-GB"/>
        </w:rPr>
        <w:t>, 1(1), pp.56–62.</w:t>
      </w:r>
    </w:p>
    <w:p w14:paraId="53809C0A" w14:textId="7696BE72" w:rsidR="009F0621" w:rsidRPr="009F0621" w:rsidRDefault="009F0621" w:rsidP="009F0621">
      <w:pPr>
        <w:pStyle w:val="ListParagraph"/>
        <w:numPr>
          <w:ilvl w:val="0"/>
          <w:numId w:val="30"/>
        </w:numPr>
        <w:spacing w:before="100" w:beforeAutospacing="1" w:after="100" w:afterAutospacing="1" w:line="360" w:lineRule="auto"/>
        <w:rPr>
          <w:rFonts w:ascii="Arial" w:eastAsia="Times New Roman" w:hAnsi="Arial" w:cs="Arial"/>
          <w:sz w:val="24"/>
          <w:szCs w:val="24"/>
          <w:lang w:eastAsia="en-GB"/>
        </w:rPr>
      </w:pPr>
      <w:r w:rsidRPr="009F0621">
        <w:rPr>
          <w:rFonts w:ascii="Arial" w:eastAsia="Times New Roman" w:hAnsi="Arial" w:cs="Arial"/>
          <w:sz w:val="24"/>
          <w:szCs w:val="24"/>
          <w:lang w:eastAsia="en-GB"/>
        </w:rPr>
        <w:t xml:space="preserve">Hart, R., 1992. </w:t>
      </w:r>
      <w:r w:rsidRPr="009F0621">
        <w:rPr>
          <w:rFonts w:ascii="Arial" w:eastAsia="Times New Roman" w:hAnsi="Arial" w:cs="Arial"/>
          <w:i/>
          <w:iCs/>
          <w:sz w:val="24"/>
          <w:szCs w:val="24"/>
          <w:lang w:eastAsia="en-GB"/>
        </w:rPr>
        <w:t>Children’s participation: from tokenism to citizenship</w:t>
      </w:r>
      <w:r w:rsidRPr="009F0621">
        <w:rPr>
          <w:rFonts w:ascii="Arial" w:eastAsia="Times New Roman" w:hAnsi="Arial" w:cs="Arial"/>
          <w:sz w:val="24"/>
          <w:szCs w:val="24"/>
          <w:lang w:eastAsia="en-GB"/>
        </w:rPr>
        <w:t>. Florence: UNICEF Innocenti Research Centre.</w:t>
      </w:r>
    </w:p>
    <w:p w14:paraId="07EF14C3" w14:textId="09922070" w:rsidR="009F0621" w:rsidRPr="009F0621" w:rsidRDefault="009F0621" w:rsidP="009F0621">
      <w:pPr>
        <w:pStyle w:val="ListParagraph"/>
        <w:numPr>
          <w:ilvl w:val="0"/>
          <w:numId w:val="30"/>
        </w:numPr>
        <w:spacing w:before="100" w:beforeAutospacing="1" w:after="100" w:afterAutospacing="1" w:line="360" w:lineRule="auto"/>
        <w:rPr>
          <w:rFonts w:ascii="Arial" w:eastAsia="Times New Roman" w:hAnsi="Arial" w:cs="Arial"/>
          <w:sz w:val="24"/>
          <w:szCs w:val="24"/>
          <w:lang w:eastAsia="en-GB"/>
        </w:rPr>
      </w:pPr>
      <w:r w:rsidRPr="009F0621">
        <w:rPr>
          <w:rFonts w:ascii="Arial" w:eastAsia="Times New Roman" w:hAnsi="Arial" w:cs="Arial"/>
          <w:sz w:val="24"/>
          <w:szCs w:val="24"/>
          <w:lang w:eastAsia="en-GB"/>
        </w:rPr>
        <w:t xml:space="preserve">Heise, L., 1998. Violence against women: an integrated ecological framework. </w:t>
      </w:r>
      <w:r w:rsidRPr="009F0621">
        <w:rPr>
          <w:rFonts w:ascii="Arial" w:eastAsia="Times New Roman" w:hAnsi="Arial" w:cs="Arial"/>
          <w:i/>
          <w:iCs/>
          <w:sz w:val="24"/>
          <w:szCs w:val="24"/>
          <w:lang w:eastAsia="en-GB"/>
        </w:rPr>
        <w:t>Violence Against Women</w:t>
      </w:r>
      <w:r w:rsidRPr="009F0621">
        <w:rPr>
          <w:rFonts w:ascii="Arial" w:eastAsia="Times New Roman" w:hAnsi="Arial" w:cs="Arial"/>
          <w:sz w:val="24"/>
          <w:szCs w:val="24"/>
          <w:lang w:eastAsia="en-GB"/>
        </w:rPr>
        <w:t>, 4(3), pp.262–290.</w:t>
      </w:r>
    </w:p>
    <w:p w14:paraId="79FC2A3E" w14:textId="66973CA9" w:rsidR="009F0621" w:rsidRPr="009F0621" w:rsidRDefault="009F0621" w:rsidP="009F0621">
      <w:pPr>
        <w:pStyle w:val="ListParagraph"/>
        <w:numPr>
          <w:ilvl w:val="0"/>
          <w:numId w:val="30"/>
        </w:numPr>
        <w:spacing w:before="100" w:beforeAutospacing="1" w:after="100" w:afterAutospacing="1" w:line="360" w:lineRule="auto"/>
        <w:rPr>
          <w:rFonts w:ascii="Arial" w:eastAsia="Times New Roman" w:hAnsi="Arial" w:cs="Arial"/>
          <w:sz w:val="24"/>
          <w:szCs w:val="24"/>
          <w:lang w:eastAsia="en-GB"/>
        </w:rPr>
      </w:pPr>
      <w:r w:rsidRPr="009F0621">
        <w:rPr>
          <w:rFonts w:ascii="Arial" w:eastAsia="Times New Roman" w:hAnsi="Arial" w:cs="Arial"/>
          <w:sz w:val="24"/>
          <w:szCs w:val="24"/>
          <w:lang w:eastAsia="en-GB"/>
        </w:rPr>
        <w:t xml:space="preserve">Hollis, C. et al., 2018. Digital health interventions in child and adolescent mental health services. </w:t>
      </w:r>
      <w:r w:rsidRPr="009F0621">
        <w:rPr>
          <w:rFonts w:ascii="Arial" w:eastAsia="Times New Roman" w:hAnsi="Arial" w:cs="Arial"/>
          <w:i/>
          <w:iCs/>
          <w:sz w:val="24"/>
          <w:szCs w:val="24"/>
          <w:lang w:eastAsia="en-GB"/>
        </w:rPr>
        <w:t>The Lancet Psychiatry</w:t>
      </w:r>
      <w:r w:rsidRPr="009F0621">
        <w:rPr>
          <w:rFonts w:ascii="Arial" w:eastAsia="Times New Roman" w:hAnsi="Arial" w:cs="Arial"/>
          <w:sz w:val="24"/>
          <w:szCs w:val="24"/>
          <w:lang w:eastAsia="en-GB"/>
        </w:rPr>
        <w:t>, 5(2), pp.177–190.</w:t>
      </w:r>
    </w:p>
    <w:p w14:paraId="59ED8F92" w14:textId="4E02817E" w:rsidR="009F0621" w:rsidRPr="009F0621" w:rsidRDefault="009F0621" w:rsidP="009F0621">
      <w:pPr>
        <w:pStyle w:val="ListParagraph"/>
        <w:numPr>
          <w:ilvl w:val="0"/>
          <w:numId w:val="30"/>
        </w:numPr>
        <w:spacing w:before="100" w:beforeAutospacing="1" w:after="100" w:afterAutospacing="1" w:line="360" w:lineRule="auto"/>
        <w:rPr>
          <w:rFonts w:ascii="Arial" w:eastAsia="Times New Roman" w:hAnsi="Arial" w:cs="Arial"/>
          <w:sz w:val="24"/>
          <w:szCs w:val="24"/>
          <w:lang w:eastAsia="en-GB"/>
        </w:rPr>
      </w:pPr>
      <w:r w:rsidRPr="009F0621">
        <w:rPr>
          <w:rFonts w:ascii="Arial" w:eastAsia="Times New Roman" w:hAnsi="Arial" w:cs="Arial"/>
          <w:sz w:val="24"/>
          <w:szCs w:val="24"/>
          <w:lang w:eastAsia="en-GB"/>
        </w:rPr>
        <w:t xml:space="preserve">Johnstone, L. &amp; Dallos, R., 2014. </w:t>
      </w:r>
      <w:r w:rsidRPr="009F0621">
        <w:rPr>
          <w:rFonts w:ascii="Arial" w:eastAsia="Times New Roman" w:hAnsi="Arial" w:cs="Arial"/>
          <w:i/>
          <w:iCs/>
          <w:sz w:val="24"/>
          <w:szCs w:val="24"/>
          <w:lang w:eastAsia="en-GB"/>
        </w:rPr>
        <w:t>Formulation in psychology and psychotherapy: making sense of people’s problems</w:t>
      </w:r>
      <w:r w:rsidRPr="009F0621">
        <w:rPr>
          <w:rFonts w:ascii="Arial" w:eastAsia="Times New Roman" w:hAnsi="Arial" w:cs="Arial"/>
          <w:sz w:val="24"/>
          <w:szCs w:val="24"/>
          <w:lang w:eastAsia="en-GB"/>
        </w:rPr>
        <w:t xml:space="preserve">. 2nd </w:t>
      </w:r>
      <w:proofErr w:type="spellStart"/>
      <w:r w:rsidRPr="009F0621">
        <w:rPr>
          <w:rFonts w:ascii="Arial" w:eastAsia="Times New Roman" w:hAnsi="Arial" w:cs="Arial"/>
          <w:sz w:val="24"/>
          <w:szCs w:val="24"/>
          <w:lang w:eastAsia="en-GB"/>
        </w:rPr>
        <w:t>edn</w:t>
      </w:r>
      <w:proofErr w:type="spellEnd"/>
      <w:r w:rsidRPr="009F0621">
        <w:rPr>
          <w:rFonts w:ascii="Arial" w:eastAsia="Times New Roman" w:hAnsi="Arial" w:cs="Arial"/>
          <w:sz w:val="24"/>
          <w:szCs w:val="24"/>
          <w:lang w:eastAsia="en-GB"/>
        </w:rPr>
        <w:t>. Abingdon: Routledge.</w:t>
      </w:r>
    </w:p>
    <w:p w14:paraId="09A9C868" w14:textId="2A030A01" w:rsidR="009F0621" w:rsidRPr="009F0621" w:rsidRDefault="009F0621" w:rsidP="009F0621">
      <w:pPr>
        <w:pStyle w:val="ListParagraph"/>
        <w:numPr>
          <w:ilvl w:val="0"/>
          <w:numId w:val="30"/>
        </w:numPr>
        <w:spacing w:before="100" w:beforeAutospacing="1" w:after="100" w:afterAutospacing="1" w:line="360" w:lineRule="auto"/>
        <w:rPr>
          <w:rFonts w:ascii="Arial" w:eastAsia="Times New Roman" w:hAnsi="Arial" w:cs="Arial"/>
          <w:sz w:val="24"/>
          <w:szCs w:val="24"/>
          <w:lang w:eastAsia="en-GB"/>
        </w:rPr>
      </w:pPr>
      <w:proofErr w:type="spellStart"/>
      <w:r w:rsidRPr="009F0621">
        <w:rPr>
          <w:rFonts w:ascii="Arial" w:eastAsia="Times New Roman" w:hAnsi="Arial" w:cs="Arial"/>
          <w:sz w:val="24"/>
          <w:szCs w:val="24"/>
          <w:lang w:eastAsia="en-GB"/>
        </w:rPr>
        <w:t>Kazdin</w:t>
      </w:r>
      <w:proofErr w:type="spellEnd"/>
      <w:r w:rsidRPr="009F0621">
        <w:rPr>
          <w:rFonts w:ascii="Arial" w:eastAsia="Times New Roman" w:hAnsi="Arial" w:cs="Arial"/>
          <w:sz w:val="24"/>
          <w:szCs w:val="24"/>
          <w:lang w:eastAsia="en-GB"/>
        </w:rPr>
        <w:t xml:space="preserve">, A.E., 2008. </w:t>
      </w:r>
      <w:r w:rsidRPr="009F0621">
        <w:rPr>
          <w:rFonts w:ascii="Arial" w:eastAsia="Times New Roman" w:hAnsi="Arial" w:cs="Arial"/>
          <w:i/>
          <w:iCs/>
          <w:sz w:val="24"/>
          <w:szCs w:val="24"/>
          <w:lang w:eastAsia="en-GB"/>
        </w:rPr>
        <w:t>Evidence</w:t>
      </w:r>
      <w:r w:rsidRPr="009F0621">
        <w:rPr>
          <w:rFonts w:ascii="Cambria Math" w:eastAsia="Times New Roman" w:hAnsi="Cambria Math" w:cs="Cambria Math"/>
          <w:i/>
          <w:iCs/>
          <w:sz w:val="24"/>
          <w:szCs w:val="24"/>
          <w:lang w:eastAsia="en-GB"/>
        </w:rPr>
        <w:t>‐</w:t>
      </w:r>
      <w:r w:rsidRPr="009F0621">
        <w:rPr>
          <w:rFonts w:ascii="Arial" w:eastAsia="Times New Roman" w:hAnsi="Arial" w:cs="Arial"/>
          <w:i/>
          <w:iCs/>
          <w:sz w:val="24"/>
          <w:szCs w:val="24"/>
          <w:lang w:eastAsia="en-GB"/>
        </w:rPr>
        <w:t>based treatment and practice in child and adolescent psychopathology</w:t>
      </w:r>
      <w:r w:rsidRPr="009F0621">
        <w:rPr>
          <w:rFonts w:ascii="Arial" w:eastAsia="Times New Roman" w:hAnsi="Arial" w:cs="Arial"/>
          <w:sz w:val="24"/>
          <w:szCs w:val="24"/>
          <w:lang w:eastAsia="en-GB"/>
        </w:rPr>
        <w:t>. New York: Routledge.</w:t>
      </w:r>
    </w:p>
    <w:p w14:paraId="5179F4A1" w14:textId="546F66BD" w:rsidR="009F0621" w:rsidRPr="009F0621" w:rsidRDefault="009F0621" w:rsidP="009F0621">
      <w:pPr>
        <w:pStyle w:val="ListParagraph"/>
        <w:numPr>
          <w:ilvl w:val="0"/>
          <w:numId w:val="30"/>
        </w:numPr>
        <w:spacing w:before="100" w:beforeAutospacing="1" w:after="100" w:afterAutospacing="1" w:line="360" w:lineRule="auto"/>
        <w:rPr>
          <w:rFonts w:ascii="Arial" w:eastAsia="Times New Roman" w:hAnsi="Arial" w:cs="Arial"/>
          <w:sz w:val="24"/>
          <w:szCs w:val="24"/>
          <w:lang w:eastAsia="en-GB"/>
        </w:rPr>
      </w:pPr>
      <w:r w:rsidRPr="009F0621">
        <w:rPr>
          <w:rFonts w:ascii="Arial" w:eastAsia="Times New Roman" w:hAnsi="Arial" w:cs="Arial"/>
          <w:sz w:val="24"/>
          <w:szCs w:val="24"/>
          <w:lang w:eastAsia="en-GB"/>
        </w:rPr>
        <w:t>Kendall, P.C. et al., 2008. Cognitive</w:t>
      </w:r>
      <w:r w:rsidRPr="009F0621">
        <w:rPr>
          <w:rFonts w:ascii="Cambria Math" w:eastAsia="Times New Roman" w:hAnsi="Cambria Math" w:cs="Cambria Math"/>
          <w:sz w:val="24"/>
          <w:szCs w:val="24"/>
          <w:lang w:eastAsia="en-GB"/>
        </w:rPr>
        <w:t>‐</w:t>
      </w:r>
      <w:proofErr w:type="spellStart"/>
      <w:r w:rsidRPr="009F0621">
        <w:rPr>
          <w:rFonts w:ascii="Arial" w:eastAsia="Times New Roman" w:hAnsi="Arial" w:cs="Arial"/>
          <w:sz w:val="24"/>
          <w:szCs w:val="24"/>
          <w:lang w:eastAsia="en-GB"/>
        </w:rPr>
        <w:t>behavioral</w:t>
      </w:r>
      <w:proofErr w:type="spellEnd"/>
      <w:r w:rsidRPr="009F0621">
        <w:rPr>
          <w:rFonts w:ascii="Arial" w:eastAsia="Times New Roman" w:hAnsi="Arial" w:cs="Arial"/>
          <w:sz w:val="24"/>
          <w:szCs w:val="24"/>
          <w:lang w:eastAsia="en-GB"/>
        </w:rPr>
        <w:t xml:space="preserve"> therapy for anxious youth: a meta</w:t>
      </w:r>
      <w:r w:rsidRPr="009F0621">
        <w:rPr>
          <w:rFonts w:ascii="Cambria Math" w:eastAsia="Times New Roman" w:hAnsi="Cambria Math" w:cs="Cambria Math"/>
          <w:sz w:val="24"/>
          <w:szCs w:val="24"/>
          <w:lang w:eastAsia="en-GB"/>
        </w:rPr>
        <w:t>‐</w:t>
      </w:r>
      <w:r w:rsidRPr="009F0621">
        <w:rPr>
          <w:rFonts w:ascii="Arial" w:eastAsia="Times New Roman" w:hAnsi="Arial" w:cs="Arial"/>
          <w:sz w:val="24"/>
          <w:szCs w:val="24"/>
          <w:lang w:eastAsia="en-GB"/>
        </w:rPr>
        <w:t xml:space="preserve">analysis. </w:t>
      </w:r>
      <w:r w:rsidRPr="009F0621">
        <w:rPr>
          <w:rFonts w:ascii="Arial" w:eastAsia="Times New Roman" w:hAnsi="Arial" w:cs="Arial"/>
          <w:i/>
          <w:iCs/>
          <w:sz w:val="24"/>
          <w:szCs w:val="24"/>
          <w:lang w:eastAsia="en-GB"/>
        </w:rPr>
        <w:t>Clinical Psychology Review</w:t>
      </w:r>
      <w:r w:rsidRPr="009F0621">
        <w:rPr>
          <w:rFonts w:ascii="Arial" w:eastAsia="Times New Roman" w:hAnsi="Arial" w:cs="Arial"/>
          <w:sz w:val="24"/>
          <w:szCs w:val="24"/>
          <w:lang w:eastAsia="en-GB"/>
        </w:rPr>
        <w:t>, 28(6), pp.871–889.</w:t>
      </w:r>
    </w:p>
    <w:p w14:paraId="4EAA9CD4" w14:textId="2458637F" w:rsidR="009F0621" w:rsidRPr="009F0621" w:rsidRDefault="009F0621" w:rsidP="009F0621">
      <w:pPr>
        <w:pStyle w:val="ListParagraph"/>
        <w:numPr>
          <w:ilvl w:val="0"/>
          <w:numId w:val="30"/>
        </w:numPr>
        <w:spacing w:before="100" w:beforeAutospacing="1" w:after="100" w:afterAutospacing="1" w:line="360" w:lineRule="auto"/>
        <w:rPr>
          <w:rFonts w:ascii="Arial" w:eastAsia="Times New Roman" w:hAnsi="Arial" w:cs="Arial"/>
          <w:sz w:val="24"/>
          <w:szCs w:val="24"/>
          <w:lang w:eastAsia="en-GB"/>
        </w:rPr>
      </w:pPr>
      <w:r w:rsidRPr="009F0621">
        <w:rPr>
          <w:rFonts w:ascii="Arial" w:eastAsia="Times New Roman" w:hAnsi="Arial" w:cs="Arial"/>
          <w:sz w:val="24"/>
          <w:szCs w:val="24"/>
          <w:lang w:eastAsia="en-GB"/>
        </w:rPr>
        <w:t xml:space="preserve">Lansdown, G., 2005. </w:t>
      </w:r>
      <w:r w:rsidRPr="009F0621">
        <w:rPr>
          <w:rFonts w:ascii="Arial" w:eastAsia="Times New Roman" w:hAnsi="Arial" w:cs="Arial"/>
          <w:i/>
          <w:iCs/>
          <w:sz w:val="24"/>
          <w:szCs w:val="24"/>
          <w:lang w:eastAsia="en-GB"/>
        </w:rPr>
        <w:t>The evolving capacities of the child</w:t>
      </w:r>
      <w:r w:rsidRPr="009F0621">
        <w:rPr>
          <w:rFonts w:ascii="Arial" w:eastAsia="Times New Roman" w:hAnsi="Arial" w:cs="Arial"/>
          <w:sz w:val="24"/>
          <w:szCs w:val="24"/>
          <w:lang w:eastAsia="en-GB"/>
        </w:rPr>
        <w:t>. Florence: UNICEF Innocenti Research Centre.</w:t>
      </w:r>
    </w:p>
    <w:p w14:paraId="024F50C7" w14:textId="7147738B" w:rsidR="009F0621" w:rsidRPr="009F0621" w:rsidRDefault="009F0621" w:rsidP="009F0621">
      <w:pPr>
        <w:pStyle w:val="ListParagraph"/>
        <w:numPr>
          <w:ilvl w:val="0"/>
          <w:numId w:val="30"/>
        </w:numPr>
        <w:spacing w:before="100" w:beforeAutospacing="1" w:after="100" w:afterAutospacing="1" w:line="360" w:lineRule="auto"/>
        <w:rPr>
          <w:rFonts w:ascii="Arial" w:eastAsia="Times New Roman" w:hAnsi="Arial" w:cs="Arial"/>
          <w:sz w:val="24"/>
          <w:szCs w:val="24"/>
          <w:lang w:eastAsia="en-GB"/>
        </w:rPr>
      </w:pPr>
      <w:r w:rsidRPr="009F0621">
        <w:rPr>
          <w:rFonts w:ascii="Arial" w:eastAsia="Times New Roman" w:hAnsi="Arial" w:cs="Arial"/>
          <w:sz w:val="24"/>
          <w:szCs w:val="24"/>
          <w:lang w:eastAsia="en-GB"/>
        </w:rPr>
        <w:lastRenderedPageBreak/>
        <w:t xml:space="preserve">Livingstone, S., Haddon, L., </w:t>
      </w:r>
      <w:proofErr w:type="spellStart"/>
      <w:r w:rsidRPr="009F0621">
        <w:rPr>
          <w:rFonts w:ascii="Arial" w:eastAsia="Times New Roman" w:hAnsi="Arial" w:cs="Arial"/>
          <w:sz w:val="24"/>
          <w:szCs w:val="24"/>
          <w:lang w:eastAsia="en-GB"/>
        </w:rPr>
        <w:t>Görzig</w:t>
      </w:r>
      <w:proofErr w:type="spellEnd"/>
      <w:r w:rsidRPr="009F0621">
        <w:rPr>
          <w:rFonts w:ascii="Arial" w:eastAsia="Times New Roman" w:hAnsi="Arial" w:cs="Arial"/>
          <w:sz w:val="24"/>
          <w:szCs w:val="24"/>
          <w:lang w:eastAsia="en-GB"/>
        </w:rPr>
        <w:t>, A. &amp; Ólafsson, K., 2017. EU Kids Online 2018: Survey results from 19 countries. Middlesex University.</w:t>
      </w:r>
    </w:p>
    <w:p w14:paraId="37DA9B04" w14:textId="303C2DB6" w:rsidR="009F0621" w:rsidRPr="009F0621" w:rsidRDefault="009F0621" w:rsidP="009F0621">
      <w:pPr>
        <w:pStyle w:val="ListParagraph"/>
        <w:numPr>
          <w:ilvl w:val="0"/>
          <w:numId w:val="30"/>
        </w:numPr>
        <w:spacing w:before="100" w:beforeAutospacing="1" w:after="100" w:afterAutospacing="1" w:line="360" w:lineRule="auto"/>
        <w:rPr>
          <w:rFonts w:ascii="Arial" w:eastAsia="Times New Roman" w:hAnsi="Arial" w:cs="Arial"/>
          <w:sz w:val="24"/>
          <w:szCs w:val="24"/>
          <w:lang w:eastAsia="en-GB"/>
        </w:rPr>
      </w:pPr>
      <w:r w:rsidRPr="009F0621">
        <w:rPr>
          <w:rFonts w:ascii="Arial" w:eastAsia="Times New Roman" w:hAnsi="Arial" w:cs="Arial"/>
          <w:sz w:val="24"/>
          <w:szCs w:val="24"/>
          <w:lang w:eastAsia="en-GB"/>
        </w:rPr>
        <w:t xml:space="preserve">Marmot, M., 2005. Social determinants of health inequalities. </w:t>
      </w:r>
      <w:r w:rsidRPr="009F0621">
        <w:rPr>
          <w:rFonts w:ascii="Arial" w:eastAsia="Times New Roman" w:hAnsi="Arial" w:cs="Arial"/>
          <w:i/>
          <w:iCs/>
          <w:sz w:val="24"/>
          <w:szCs w:val="24"/>
          <w:lang w:eastAsia="en-GB"/>
        </w:rPr>
        <w:t>The Lancet</w:t>
      </w:r>
      <w:r w:rsidRPr="009F0621">
        <w:rPr>
          <w:rFonts w:ascii="Arial" w:eastAsia="Times New Roman" w:hAnsi="Arial" w:cs="Arial"/>
          <w:sz w:val="24"/>
          <w:szCs w:val="24"/>
          <w:lang w:eastAsia="en-GB"/>
        </w:rPr>
        <w:t>, 365(9464), pp.1099–1104.</w:t>
      </w:r>
    </w:p>
    <w:p w14:paraId="5879AF30" w14:textId="592BA7B2" w:rsidR="009F0621" w:rsidRPr="009F0621" w:rsidRDefault="009F0621" w:rsidP="009F0621">
      <w:pPr>
        <w:pStyle w:val="ListParagraph"/>
        <w:numPr>
          <w:ilvl w:val="0"/>
          <w:numId w:val="30"/>
        </w:numPr>
        <w:spacing w:before="100" w:beforeAutospacing="1" w:after="100" w:afterAutospacing="1" w:line="360" w:lineRule="auto"/>
        <w:rPr>
          <w:rFonts w:ascii="Arial" w:eastAsia="Times New Roman" w:hAnsi="Arial" w:cs="Arial"/>
          <w:sz w:val="24"/>
          <w:szCs w:val="24"/>
          <w:lang w:eastAsia="en-GB"/>
        </w:rPr>
      </w:pPr>
      <w:r w:rsidRPr="009F0621">
        <w:rPr>
          <w:rFonts w:ascii="Arial" w:eastAsia="Times New Roman" w:hAnsi="Arial" w:cs="Arial"/>
          <w:sz w:val="24"/>
          <w:szCs w:val="24"/>
          <w:lang w:eastAsia="en-GB"/>
        </w:rPr>
        <w:t xml:space="preserve">Maslow, A.H., 1943. A theory of human motivation. </w:t>
      </w:r>
      <w:r w:rsidRPr="009F0621">
        <w:rPr>
          <w:rFonts w:ascii="Arial" w:eastAsia="Times New Roman" w:hAnsi="Arial" w:cs="Arial"/>
          <w:i/>
          <w:iCs/>
          <w:sz w:val="24"/>
          <w:szCs w:val="24"/>
          <w:lang w:eastAsia="en-GB"/>
        </w:rPr>
        <w:t>Psychological Review</w:t>
      </w:r>
      <w:r w:rsidRPr="009F0621">
        <w:rPr>
          <w:rFonts w:ascii="Arial" w:eastAsia="Times New Roman" w:hAnsi="Arial" w:cs="Arial"/>
          <w:sz w:val="24"/>
          <w:szCs w:val="24"/>
          <w:lang w:eastAsia="en-GB"/>
        </w:rPr>
        <w:t>, 50(4), pp.370–396.</w:t>
      </w:r>
    </w:p>
    <w:p w14:paraId="4F42A0E6" w14:textId="14C30C73" w:rsidR="009F0621" w:rsidRPr="009F0621" w:rsidRDefault="009F0621" w:rsidP="009F0621">
      <w:pPr>
        <w:pStyle w:val="ListParagraph"/>
        <w:numPr>
          <w:ilvl w:val="0"/>
          <w:numId w:val="30"/>
        </w:numPr>
        <w:spacing w:before="100" w:beforeAutospacing="1" w:after="100" w:afterAutospacing="1" w:line="360" w:lineRule="auto"/>
        <w:rPr>
          <w:rFonts w:ascii="Arial" w:eastAsia="Times New Roman" w:hAnsi="Arial" w:cs="Arial"/>
          <w:sz w:val="24"/>
          <w:szCs w:val="24"/>
          <w:lang w:eastAsia="en-GB"/>
        </w:rPr>
      </w:pPr>
      <w:r w:rsidRPr="009F0621">
        <w:rPr>
          <w:rFonts w:ascii="Arial" w:eastAsia="Times New Roman" w:hAnsi="Arial" w:cs="Arial"/>
          <w:sz w:val="24"/>
          <w:szCs w:val="24"/>
          <w:lang w:eastAsia="en-GB"/>
        </w:rPr>
        <w:t xml:space="preserve">Masten, A.S., 2001. Ordinary magic: resilience processes in development. </w:t>
      </w:r>
      <w:r w:rsidRPr="009F0621">
        <w:rPr>
          <w:rFonts w:ascii="Arial" w:eastAsia="Times New Roman" w:hAnsi="Arial" w:cs="Arial"/>
          <w:i/>
          <w:iCs/>
          <w:sz w:val="24"/>
          <w:szCs w:val="24"/>
          <w:lang w:eastAsia="en-GB"/>
        </w:rPr>
        <w:t>American Psychologist</w:t>
      </w:r>
      <w:r w:rsidRPr="009F0621">
        <w:rPr>
          <w:rFonts w:ascii="Arial" w:eastAsia="Times New Roman" w:hAnsi="Arial" w:cs="Arial"/>
          <w:sz w:val="24"/>
          <w:szCs w:val="24"/>
          <w:lang w:eastAsia="en-GB"/>
        </w:rPr>
        <w:t>, 56(3), pp.227–238.</w:t>
      </w:r>
    </w:p>
    <w:p w14:paraId="4A2376F0" w14:textId="5E007E6E" w:rsidR="009F0621" w:rsidRPr="009F0621" w:rsidRDefault="009F0621" w:rsidP="009F0621">
      <w:pPr>
        <w:pStyle w:val="ListParagraph"/>
        <w:numPr>
          <w:ilvl w:val="0"/>
          <w:numId w:val="30"/>
        </w:numPr>
        <w:spacing w:before="100" w:beforeAutospacing="1" w:after="100" w:afterAutospacing="1" w:line="360" w:lineRule="auto"/>
        <w:rPr>
          <w:rFonts w:ascii="Arial" w:eastAsia="Times New Roman" w:hAnsi="Arial" w:cs="Arial"/>
          <w:sz w:val="24"/>
          <w:szCs w:val="24"/>
          <w:lang w:eastAsia="en-GB"/>
        </w:rPr>
      </w:pPr>
      <w:r w:rsidRPr="009F0621">
        <w:rPr>
          <w:rFonts w:ascii="Arial" w:eastAsia="Times New Roman" w:hAnsi="Arial" w:cs="Arial"/>
          <w:sz w:val="24"/>
          <w:szCs w:val="24"/>
          <w:lang w:eastAsia="en-GB"/>
        </w:rPr>
        <w:t xml:space="preserve">McCormick, R. et al., 2016. Addressing LGBTQ+ mental health in CAMHS. </w:t>
      </w:r>
      <w:r w:rsidRPr="009F0621">
        <w:rPr>
          <w:rFonts w:ascii="Arial" w:eastAsia="Times New Roman" w:hAnsi="Arial" w:cs="Arial"/>
          <w:i/>
          <w:iCs/>
          <w:sz w:val="24"/>
          <w:szCs w:val="24"/>
          <w:lang w:eastAsia="en-GB"/>
        </w:rPr>
        <w:t>Clinical Child Psychology and Psychiatry</w:t>
      </w:r>
      <w:r w:rsidRPr="009F0621">
        <w:rPr>
          <w:rFonts w:ascii="Arial" w:eastAsia="Times New Roman" w:hAnsi="Arial" w:cs="Arial"/>
          <w:sz w:val="24"/>
          <w:szCs w:val="24"/>
          <w:lang w:eastAsia="en-GB"/>
        </w:rPr>
        <w:t>, 21(2), pp.231–240.</w:t>
      </w:r>
    </w:p>
    <w:p w14:paraId="4D96B7CB" w14:textId="52E5FEC0" w:rsidR="009F0621" w:rsidRPr="009F0621" w:rsidRDefault="009F0621" w:rsidP="009F0621">
      <w:pPr>
        <w:pStyle w:val="ListParagraph"/>
        <w:numPr>
          <w:ilvl w:val="0"/>
          <w:numId w:val="30"/>
        </w:numPr>
        <w:spacing w:before="100" w:beforeAutospacing="1" w:after="100" w:afterAutospacing="1" w:line="360" w:lineRule="auto"/>
        <w:rPr>
          <w:rFonts w:ascii="Arial" w:eastAsia="Times New Roman" w:hAnsi="Arial" w:cs="Arial"/>
          <w:sz w:val="24"/>
          <w:szCs w:val="24"/>
          <w:lang w:eastAsia="en-GB"/>
        </w:rPr>
      </w:pPr>
      <w:r w:rsidRPr="009F0621">
        <w:rPr>
          <w:rFonts w:ascii="Arial" w:eastAsia="Times New Roman" w:hAnsi="Arial" w:cs="Arial"/>
          <w:sz w:val="24"/>
          <w:szCs w:val="24"/>
          <w:lang w:eastAsia="en-GB"/>
        </w:rPr>
        <w:t xml:space="preserve">National Institute for Health and Care Excellence, 2005. </w:t>
      </w:r>
      <w:r w:rsidRPr="009F0621">
        <w:rPr>
          <w:rFonts w:ascii="Arial" w:eastAsia="Times New Roman" w:hAnsi="Arial" w:cs="Arial"/>
          <w:i/>
          <w:iCs/>
          <w:sz w:val="24"/>
          <w:szCs w:val="24"/>
          <w:lang w:eastAsia="en-GB"/>
        </w:rPr>
        <w:t>Depression in children and young people: identification and management</w:t>
      </w:r>
      <w:r w:rsidRPr="009F0621">
        <w:rPr>
          <w:rFonts w:ascii="Arial" w:eastAsia="Times New Roman" w:hAnsi="Arial" w:cs="Arial"/>
          <w:sz w:val="24"/>
          <w:szCs w:val="24"/>
          <w:lang w:eastAsia="en-GB"/>
        </w:rPr>
        <w:t>, NICE Guideline CG28. London: NICE.</w:t>
      </w:r>
    </w:p>
    <w:p w14:paraId="2A15C216" w14:textId="18818872" w:rsidR="009F0621" w:rsidRPr="009F0621" w:rsidRDefault="009F0621" w:rsidP="009F0621">
      <w:pPr>
        <w:pStyle w:val="ListParagraph"/>
        <w:numPr>
          <w:ilvl w:val="0"/>
          <w:numId w:val="30"/>
        </w:numPr>
        <w:spacing w:before="100" w:beforeAutospacing="1" w:after="100" w:afterAutospacing="1" w:line="360" w:lineRule="auto"/>
        <w:rPr>
          <w:rFonts w:ascii="Arial" w:eastAsia="Times New Roman" w:hAnsi="Arial" w:cs="Arial"/>
          <w:sz w:val="24"/>
          <w:szCs w:val="24"/>
          <w:lang w:eastAsia="en-GB"/>
        </w:rPr>
      </w:pPr>
      <w:r w:rsidRPr="009F0621">
        <w:rPr>
          <w:rFonts w:ascii="Arial" w:eastAsia="Times New Roman" w:hAnsi="Arial" w:cs="Arial"/>
          <w:sz w:val="24"/>
          <w:szCs w:val="24"/>
          <w:lang w:eastAsia="en-GB"/>
        </w:rPr>
        <w:t xml:space="preserve">National Institute for Health and Care Excellence, 2008. </w:t>
      </w:r>
      <w:r w:rsidRPr="009F0621">
        <w:rPr>
          <w:rFonts w:ascii="Arial" w:eastAsia="Times New Roman" w:hAnsi="Arial" w:cs="Arial"/>
          <w:i/>
          <w:iCs/>
          <w:sz w:val="24"/>
          <w:szCs w:val="24"/>
          <w:lang w:eastAsia="en-GB"/>
        </w:rPr>
        <w:t>Attention deficit hyperactivity disorder: diagnosis and management</w:t>
      </w:r>
      <w:r w:rsidRPr="009F0621">
        <w:rPr>
          <w:rFonts w:ascii="Arial" w:eastAsia="Times New Roman" w:hAnsi="Arial" w:cs="Arial"/>
          <w:sz w:val="24"/>
          <w:szCs w:val="24"/>
          <w:lang w:eastAsia="en-GB"/>
        </w:rPr>
        <w:t>, NICE Guideline CG72. London: NICE.</w:t>
      </w:r>
    </w:p>
    <w:p w14:paraId="1FC38994" w14:textId="2F298AFA" w:rsidR="009F0621" w:rsidRPr="009F0621" w:rsidRDefault="009F0621" w:rsidP="009F0621">
      <w:pPr>
        <w:pStyle w:val="ListParagraph"/>
        <w:numPr>
          <w:ilvl w:val="0"/>
          <w:numId w:val="30"/>
        </w:numPr>
        <w:spacing w:before="100" w:beforeAutospacing="1" w:after="100" w:afterAutospacing="1" w:line="360" w:lineRule="auto"/>
        <w:rPr>
          <w:rFonts w:ascii="Arial" w:eastAsia="Times New Roman" w:hAnsi="Arial" w:cs="Arial"/>
          <w:sz w:val="24"/>
          <w:szCs w:val="24"/>
          <w:lang w:eastAsia="en-GB"/>
        </w:rPr>
      </w:pPr>
      <w:r w:rsidRPr="009F0621">
        <w:rPr>
          <w:rFonts w:ascii="Arial" w:eastAsia="Times New Roman" w:hAnsi="Arial" w:cs="Arial"/>
          <w:sz w:val="24"/>
          <w:szCs w:val="24"/>
          <w:lang w:eastAsia="en-GB"/>
        </w:rPr>
        <w:t>National Institute for Health Research, 2017. Psychopharmacology in adolescents. NIHR Evidence. London: NIHR.</w:t>
      </w:r>
    </w:p>
    <w:p w14:paraId="2B81C676" w14:textId="746A9D3E" w:rsidR="009F0621" w:rsidRPr="009F0621" w:rsidRDefault="009F0621" w:rsidP="009F0621">
      <w:pPr>
        <w:pStyle w:val="ListParagraph"/>
        <w:numPr>
          <w:ilvl w:val="0"/>
          <w:numId w:val="30"/>
        </w:numPr>
        <w:spacing w:before="100" w:beforeAutospacing="1" w:after="100" w:afterAutospacing="1" w:line="360" w:lineRule="auto"/>
        <w:rPr>
          <w:rFonts w:ascii="Arial" w:eastAsia="Times New Roman" w:hAnsi="Arial" w:cs="Arial"/>
          <w:sz w:val="24"/>
          <w:szCs w:val="24"/>
          <w:lang w:eastAsia="en-GB"/>
        </w:rPr>
      </w:pPr>
      <w:proofErr w:type="spellStart"/>
      <w:r w:rsidRPr="009F0621">
        <w:rPr>
          <w:rFonts w:ascii="Arial" w:eastAsia="Times New Roman" w:hAnsi="Arial" w:cs="Arial"/>
          <w:sz w:val="24"/>
          <w:szCs w:val="24"/>
          <w:lang w:eastAsia="en-GB"/>
        </w:rPr>
        <w:t>Nutbeam</w:t>
      </w:r>
      <w:proofErr w:type="spellEnd"/>
      <w:r w:rsidRPr="009F0621">
        <w:rPr>
          <w:rFonts w:ascii="Arial" w:eastAsia="Times New Roman" w:hAnsi="Arial" w:cs="Arial"/>
          <w:sz w:val="24"/>
          <w:szCs w:val="24"/>
          <w:lang w:eastAsia="en-GB"/>
        </w:rPr>
        <w:t xml:space="preserve">, D., 2000. Health literacy as a public health goal. </w:t>
      </w:r>
      <w:r w:rsidRPr="009F0621">
        <w:rPr>
          <w:rFonts w:ascii="Arial" w:eastAsia="Times New Roman" w:hAnsi="Arial" w:cs="Arial"/>
          <w:i/>
          <w:iCs/>
          <w:sz w:val="24"/>
          <w:szCs w:val="24"/>
          <w:lang w:eastAsia="en-GB"/>
        </w:rPr>
        <w:t>Health Promotion International</w:t>
      </w:r>
      <w:r w:rsidRPr="009F0621">
        <w:rPr>
          <w:rFonts w:ascii="Arial" w:eastAsia="Times New Roman" w:hAnsi="Arial" w:cs="Arial"/>
          <w:sz w:val="24"/>
          <w:szCs w:val="24"/>
          <w:lang w:eastAsia="en-GB"/>
        </w:rPr>
        <w:t>, 15(3), pp.259–267.</w:t>
      </w:r>
    </w:p>
    <w:p w14:paraId="2CA77296" w14:textId="25183CDB" w:rsidR="009F0621" w:rsidRPr="009F0621" w:rsidRDefault="009F0621" w:rsidP="009F0621">
      <w:pPr>
        <w:pStyle w:val="ListParagraph"/>
        <w:numPr>
          <w:ilvl w:val="0"/>
          <w:numId w:val="30"/>
        </w:numPr>
        <w:spacing w:before="100" w:beforeAutospacing="1" w:after="100" w:afterAutospacing="1" w:line="360" w:lineRule="auto"/>
        <w:rPr>
          <w:rFonts w:ascii="Arial" w:eastAsia="Times New Roman" w:hAnsi="Arial" w:cs="Arial"/>
          <w:sz w:val="24"/>
          <w:szCs w:val="24"/>
          <w:lang w:eastAsia="en-GB"/>
        </w:rPr>
      </w:pPr>
      <w:r w:rsidRPr="009F0621">
        <w:rPr>
          <w:rFonts w:ascii="Arial" w:eastAsia="Times New Roman" w:hAnsi="Arial" w:cs="Arial"/>
          <w:sz w:val="24"/>
          <w:szCs w:val="24"/>
          <w:lang w:eastAsia="en-GB"/>
        </w:rPr>
        <w:t xml:space="preserve">O’Hare, L., Westcott, H.L. &amp; Ratliffe, S., 2016. Children’s understanding of anxiety: the impact of cognitive development and parental communication. </w:t>
      </w:r>
      <w:r w:rsidRPr="009F0621">
        <w:rPr>
          <w:rFonts w:ascii="Arial" w:eastAsia="Times New Roman" w:hAnsi="Arial" w:cs="Arial"/>
          <w:i/>
          <w:iCs/>
          <w:sz w:val="24"/>
          <w:szCs w:val="24"/>
          <w:lang w:eastAsia="en-GB"/>
        </w:rPr>
        <w:t>Child: Care, Health and Development</w:t>
      </w:r>
      <w:r w:rsidRPr="009F0621">
        <w:rPr>
          <w:rFonts w:ascii="Arial" w:eastAsia="Times New Roman" w:hAnsi="Arial" w:cs="Arial"/>
          <w:sz w:val="24"/>
          <w:szCs w:val="24"/>
          <w:lang w:eastAsia="en-GB"/>
        </w:rPr>
        <w:t>, 42(6), pp.902–909.</w:t>
      </w:r>
    </w:p>
    <w:p w14:paraId="2EE3B68A" w14:textId="60985BF9" w:rsidR="009F0621" w:rsidRPr="009F0621" w:rsidRDefault="009F0621" w:rsidP="009F0621">
      <w:pPr>
        <w:pStyle w:val="ListParagraph"/>
        <w:numPr>
          <w:ilvl w:val="0"/>
          <w:numId w:val="30"/>
        </w:numPr>
        <w:spacing w:before="100" w:beforeAutospacing="1" w:after="100" w:afterAutospacing="1" w:line="360" w:lineRule="auto"/>
        <w:rPr>
          <w:rFonts w:ascii="Arial" w:eastAsia="Times New Roman" w:hAnsi="Arial" w:cs="Arial"/>
          <w:sz w:val="24"/>
          <w:szCs w:val="24"/>
          <w:lang w:eastAsia="en-GB"/>
        </w:rPr>
      </w:pPr>
      <w:r w:rsidRPr="009F0621">
        <w:rPr>
          <w:rFonts w:ascii="Arial" w:eastAsia="Times New Roman" w:hAnsi="Arial" w:cs="Arial"/>
          <w:sz w:val="24"/>
          <w:szCs w:val="24"/>
          <w:lang w:eastAsia="en-GB"/>
        </w:rPr>
        <w:t xml:space="preserve">Patterson, G.R., 1982. </w:t>
      </w:r>
      <w:r w:rsidRPr="009F0621">
        <w:rPr>
          <w:rFonts w:ascii="Arial" w:eastAsia="Times New Roman" w:hAnsi="Arial" w:cs="Arial"/>
          <w:i/>
          <w:iCs/>
          <w:sz w:val="24"/>
          <w:szCs w:val="24"/>
          <w:lang w:eastAsia="en-GB"/>
        </w:rPr>
        <w:t>Coercive family process</w:t>
      </w:r>
      <w:r w:rsidRPr="009F0621">
        <w:rPr>
          <w:rFonts w:ascii="Arial" w:eastAsia="Times New Roman" w:hAnsi="Arial" w:cs="Arial"/>
          <w:sz w:val="24"/>
          <w:szCs w:val="24"/>
          <w:lang w:eastAsia="en-GB"/>
        </w:rPr>
        <w:t>. Eugene, OR: Castalia.</w:t>
      </w:r>
    </w:p>
    <w:p w14:paraId="70DEA1FF" w14:textId="64653E39" w:rsidR="009F0621" w:rsidRPr="009F0621" w:rsidRDefault="009F0621" w:rsidP="009F0621">
      <w:pPr>
        <w:pStyle w:val="ListParagraph"/>
        <w:numPr>
          <w:ilvl w:val="0"/>
          <w:numId w:val="30"/>
        </w:numPr>
        <w:spacing w:before="100" w:beforeAutospacing="1" w:after="100" w:afterAutospacing="1" w:line="360" w:lineRule="auto"/>
        <w:rPr>
          <w:rFonts w:ascii="Arial" w:eastAsia="Times New Roman" w:hAnsi="Arial" w:cs="Arial"/>
          <w:sz w:val="24"/>
          <w:szCs w:val="24"/>
          <w:lang w:eastAsia="en-GB"/>
        </w:rPr>
      </w:pPr>
      <w:r w:rsidRPr="009F0621">
        <w:rPr>
          <w:rFonts w:ascii="Arial" w:eastAsia="Times New Roman" w:hAnsi="Arial" w:cs="Arial"/>
          <w:sz w:val="24"/>
          <w:szCs w:val="24"/>
          <w:lang w:eastAsia="en-GB"/>
        </w:rPr>
        <w:t xml:space="preserve">Paul, M. et al., 2009. Transition to adult services for young people with mental health needs. </w:t>
      </w:r>
      <w:r w:rsidRPr="009F0621">
        <w:rPr>
          <w:rFonts w:ascii="Arial" w:eastAsia="Times New Roman" w:hAnsi="Arial" w:cs="Arial"/>
          <w:i/>
          <w:iCs/>
          <w:sz w:val="24"/>
          <w:szCs w:val="24"/>
          <w:lang w:eastAsia="en-GB"/>
        </w:rPr>
        <w:t>The British Journal of Psychiatry</w:t>
      </w:r>
      <w:r w:rsidRPr="009F0621">
        <w:rPr>
          <w:rFonts w:ascii="Arial" w:eastAsia="Times New Roman" w:hAnsi="Arial" w:cs="Arial"/>
          <w:sz w:val="24"/>
          <w:szCs w:val="24"/>
          <w:lang w:eastAsia="en-GB"/>
        </w:rPr>
        <w:t>, 192(6), pp.444–451.</w:t>
      </w:r>
    </w:p>
    <w:p w14:paraId="27F9B9FC" w14:textId="5D7ADD14" w:rsidR="009F0621" w:rsidRPr="009F0621" w:rsidRDefault="009F0621" w:rsidP="009F0621">
      <w:pPr>
        <w:pStyle w:val="ListParagraph"/>
        <w:numPr>
          <w:ilvl w:val="0"/>
          <w:numId w:val="30"/>
        </w:numPr>
        <w:spacing w:before="100" w:beforeAutospacing="1" w:after="100" w:afterAutospacing="1" w:line="360" w:lineRule="auto"/>
        <w:rPr>
          <w:rFonts w:ascii="Arial" w:eastAsia="Times New Roman" w:hAnsi="Arial" w:cs="Arial"/>
          <w:sz w:val="24"/>
          <w:szCs w:val="24"/>
          <w:lang w:eastAsia="en-GB"/>
        </w:rPr>
      </w:pPr>
      <w:proofErr w:type="spellStart"/>
      <w:r w:rsidRPr="009F0621">
        <w:rPr>
          <w:rFonts w:ascii="Arial" w:eastAsia="Times New Roman" w:hAnsi="Arial" w:cs="Arial"/>
          <w:sz w:val="24"/>
          <w:szCs w:val="24"/>
          <w:lang w:eastAsia="en-GB"/>
        </w:rPr>
        <w:t>Rickwood</w:t>
      </w:r>
      <w:proofErr w:type="spellEnd"/>
      <w:r w:rsidRPr="009F0621">
        <w:rPr>
          <w:rFonts w:ascii="Arial" w:eastAsia="Times New Roman" w:hAnsi="Arial" w:cs="Arial"/>
          <w:sz w:val="24"/>
          <w:szCs w:val="24"/>
          <w:lang w:eastAsia="en-GB"/>
        </w:rPr>
        <w:t xml:space="preserve">, D. et al., 2007. When and how do young people seek professional help for mental health problems? </w:t>
      </w:r>
      <w:r w:rsidRPr="009F0621">
        <w:rPr>
          <w:rFonts w:ascii="Arial" w:eastAsia="Times New Roman" w:hAnsi="Arial" w:cs="Arial"/>
          <w:i/>
          <w:iCs/>
          <w:sz w:val="24"/>
          <w:szCs w:val="24"/>
          <w:lang w:eastAsia="en-GB"/>
        </w:rPr>
        <w:t>Medical Journal of Australia</w:t>
      </w:r>
      <w:r w:rsidRPr="009F0621">
        <w:rPr>
          <w:rFonts w:ascii="Arial" w:eastAsia="Times New Roman" w:hAnsi="Arial" w:cs="Arial"/>
          <w:sz w:val="24"/>
          <w:szCs w:val="24"/>
          <w:lang w:eastAsia="en-GB"/>
        </w:rPr>
        <w:t xml:space="preserve">, 187(S7), </w:t>
      </w:r>
      <w:proofErr w:type="gramStart"/>
      <w:r w:rsidRPr="009F0621">
        <w:rPr>
          <w:rFonts w:ascii="Arial" w:eastAsia="Times New Roman" w:hAnsi="Arial" w:cs="Arial"/>
          <w:sz w:val="24"/>
          <w:szCs w:val="24"/>
          <w:lang w:eastAsia="en-GB"/>
        </w:rPr>
        <w:t>pp.S</w:t>
      </w:r>
      <w:proofErr w:type="gramEnd"/>
      <w:r w:rsidRPr="009F0621">
        <w:rPr>
          <w:rFonts w:ascii="Arial" w:eastAsia="Times New Roman" w:hAnsi="Arial" w:cs="Arial"/>
          <w:sz w:val="24"/>
          <w:szCs w:val="24"/>
          <w:lang w:eastAsia="en-GB"/>
        </w:rPr>
        <w:t>35–S39.</w:t>
      </w:r>
    </w:p>
    <w:p w14:paraId="3260C640" w14:textId="2B94524B" w:rsidR="009F0621" w:rsidRPr="009F0621" w:rsidRDefault="009F0621" w:rsidP="009F0621">
      <w:pPr>
        <w:pStyle w:val="ListParagraph"/>
        <w:numPr>
          <w:ilvl w:val="0"/>
          <w:numId w:val="30"/>
        </w:numPr>
        <w:spacing w:before="100" w:beforeAutospacing="1" w:after="100" w:afterAutospacing="1" w:line="360" w:lineRule="auto"/>
        <w:rPr>
          <w:rFonts w:ascii="Arial" w:eastAsia="Times New Roman" w:hAnsi="Arial" w:cs="Arial"/>
          <w:sz w:val="24"/>
          <w:szCs w:val="24"/>
          <w:lang w:eastAsia="en-GB"/>
        </w:rPr>
      </w:pPr>
      <w:r w:rsidRPr="009F0621">
        <w:rPr>
          <w:rFonts w:ascii="Arial" w:eastAsia="Times New Roman" w:hAnsi="Arial" w:cs="Arial"/>
          <w:sz w:val="24"/>
          <w:szCs w:val="24"/>
          <w:lang w:eastAsia="en-GB"/>
        </w:rPr>
        <w:t xml:space="preserve">Russell, G. et al., 2019. Identification in health records of children and young people with autism spectrum disorder. </w:t>
      </w:r>
      <w:r w:rsidRPr="009F0621">
        <w:rPr>
          <w:rFonts w:ascii="Arial" w:eastAsia="Times New Roman" w:hAnsi="Arial" w:cs="Arial"/>
          <w:i/>
          <w:iCs/>
          <w:sz w:val="24"/>
          <w:szCs w:val="24"/>
          <w:lang w:eastAsia="en-GB"/>
        </w:rPr>
        <w:t>Archives of Disease in Childhood</w:t>
      </w:r>
      <w:r w:rsidRPr="009F0621">
        <w:rPr>
          <w:rFonts w:ascii="Arial" w:eastAsia="Times New Roman" w:hAnsi="Arial" w:cs="Arial"/>
          <w:sz w:val="24"/>
          <w:szCs w:val="24"/>
          <w:lang w:eastAsia="en-GB"/>
        </w:rPr>
        <w:t>, 104(2), pp.147–151.</w:t>
      </w:r>
    </w:p>
    <w:p w14:paraId="45A24696" w14:textId="4491FB2A" w:rsidR="009F0621" w:rsidRPr="009F0621" w:rsidRDefault="009F0621" w:rsidP="009F0621">
      <w:pPr>
        <w:pStyle w:val="ListParagraph"/>
        <w:numPr>
          <w:ilvl w:val="0"/>
          <w:numId w:val="30"/>
        </w:numPr>
        <w:spacing w:before="100" w:beforeAutospacing="1" w:after="100" w:afterAutospacing="1" w:line="360" w:lineRule="auto"/>
        <w:rPr>
          <w:rFonts w:ascii="Arial" w:eastAsia="Times New Roman" w:hAnsi="Arial" w:cs="Arial"/>
          <w:sz w:val="24"/>
          <w:szCs w:val="24"/>
          <w:lang w:eastAsia="en-GB"/>
        </w:rPr>
      </w:pPr>
      <w:r w:rsidRPr="009F0621">
        <w:rPr>
          <w:rFonts w:ascii="Arial" w:eastAsia="Times New Roman" w:hAnsi="Arial" w:cs="Arial"/>
          <w:sz w:val="24"/>
          <w:szCs w:val="24"/>
          <w:lang w:eastAsia="en-GB"/>
        </w:rPr>
        <w:t xml:space="preserve">Sayal, K. et al., 2010. Recognition of child mental health disorders by paediatricians and child health nurses. </w:t>
      </w:r>
      <w:r w:rsidRPr="009F0621">
        <w:rPr>
          <w:rFonts w:ascii="Arial" w:eastAsia="Times New Roman" w:hAnsi="Arial" w:cs="Arial"/>
          <w:i/>
          <w:iCs/>
          <w:sz w:val="24"/>
          <w:szCs w:val="24"/>
          <w:lang w:eastAsia="en-GB"/>
        </w:rPr>
        <w:t>European Child &amp; Adolescent Psychiatry</w:t>
      </w:r>
      <w:r w:rsidRPr="009F0621">
        <w:rPr>
          <w:rFonts w:ascii="Arial" w:eastAsia="Times New Roman" w:hAnsi="Arial" w:cs="Arial"/>
          <w:sz w:val="24"/>
          <w:szCs w:val="24"/>
          <w:lang w:eastAsia="en-GB"/>
        </w:rPr>
        <w:t>, 19(6), pp.469–478.</w:t>
      </w:r>
    </w:p>
    <w:p w14:paraId="7D7AD150" w14:textId="6908A11B" w:rsidR="009F0621" w:rsidRPr="009F0621" w:rsidRDefault="009F0621" w:rsidP="009F0621">
      <w:pPr>
        <w:pStyle w:val="ListParagraph"/>
        <w:numPr>
          <w:ilvl w:val="0"/>
          <w:numId w:val="30"/>
        </w:numPr>
        <w:spacing w:before="100" w:beforeAutospacing="1" w:after="100" w:afterAutospacing="1" w:line="360" w:lineRule="auto"/>
        <w:rPr>
          <w:rFonts w:ascii="Arial" w:eastAsia="Times New Roman" w:hAnsi="Arial" w:cs="Arial"/>
          <w:sz w:val="24"/>
          <w:szCs w:val="24"/>
          <w:lang w:eastAsia="en-GB"/>
        </w:rPr>
      </w:pPr>
      <w:r w:rsidRPr="009F0621">
        <w:rPr>
          <w:rFonts w:ascii="Arial" w:eastAsia="Times New Roman" w:hAnsi="Arial" w:cs="Arial"/>
          <w:sz w:val="24"/>
          <w:szCs w:val="24"/>
          <w:lang w:eastAsia="en-GB"/>
        </w:rPr>
        <w:t xml:space="preserve">Sen, A., 1999. </w:t>
      </w:r>
      <w:r w:rsidRPr="009F0621">
        <w:rPr>
          <w:rFonts w:ascii="Arial" w:eastAsia="Times New Roman" w:hAnsi="Arial" w:cs="Arial"/>
          <w:i/>
          <w:iCs/>
          <w:sz w:val="24"/>
          <w:szCs w:val="24"/>
          <w:lang w:eastAsia="en-GB"/>
        </w:rPr>
        <w:t>Development as freedom</w:t>
      </w:r>
      <w:r w:rsidRPr="009F0621">
        <w:rPr>
          <w:rFonts w:ascii="Arial" w:eastAsia="Times New Roman" w:hAnsi="Arial" w:cs="Arial"/>
          <w:sz w:val="24"/>
          <w:szCs w:val="24"/>
          <w:lang w:eastAsia="en-GB"/>
        </w:rPr>
        <w:t>. Oxford: Oxford University Press.</w:t>
      </w:r>
    </w:p>
    <w:p w14:paraId="6BBCEEAF" w14:textId="2E43A4B6" w:rsidR="009F0621" w:rsidRPr="009F0621" w:rsidRDefault="009F0621" w:rsidP="009F0621">
      <w:pPr>
        <w:pStyle w:val="ListParagraph"/>
        <w:numPr>
          <w:ilvl w:val="0"/>
          <w:numId w:val="30"/>
        </w:numPr>
        <w:spacing w:before="100" w:beforeAutospacing="1" w:after="100" w:afterAutospacing="1" w:line="360" w:lineRule="auto"/>
        <w:rPr>
          <w:rFonts w:ascii="Arial" w:eastAsia="Times New Roman" w:hAnsi="Arial" w:cs="Arial"/>
          <w:sz w:val="24"/>
          <w:szCs w:val="24"/>
          <w:lang w:eastAsia="en-GB"/>
        </w:rPr>
      </w:pPr>
      <w:r w:rsidRPr="009F0621">
        <w:rPr>
          <w:rFonts w:ascii="Arial" w:eastAsia="Times New Roman" w:hAnsi="Arial" w:cs="Arial"/>
          <w:sz w:val="24"/>
          <w:szCs w:val="24"/>
          <w:lang w:eastAsia="en-GB"/>
        </w:rPr>
        <w:lastRenderedPageBreak/>
        <w:t xml:space="preserve">Shier, H., 2001. Pathways to participation: openings, opportunities and obligations. </w:t>
      </w:r>
      <w:r w:rsidRPr="009F0621">
        <w:rPr>
          <w:rFonts w:ascii="Arial" w:eastAsia="Times New Roman" w:hAnsi="Arial" w:cs="Arial"/>
          <w:i/>
          <w:iCs/>
          <w:sz w:val="24"/>
          <w:szCs w:val="24"/>
          <w:lang w:eastAsia="en-GB"/>
        </w:rPr>
        <w:t>Children &amp; Society</w:t>
      </w:r>
      <w:r w:rsidRPr="009F0621">
        <w:rPr>
          <w:rFonts w:ascii="Arial" w:eastAsia="Times New Roman" w:hAnsi="Arial" w:cs="Arial"/>
          <w:sz w:val="24"/>
          <w:szCs w:val="24"/>
          <w:lang w:eastAsia="en-GB"/>
        </w:rPr>
        <w:t>, 15(2), pp.107–117.</w:t>
      </w:r>
    </w:p>
    <w:p w14:paraId="4A1D9CE5" w14:textId="27E7D62C" w:rsidR="009F0621" w:rsidRPr="009F0621" w:rsidRDefault="009F0621" w:rsidP="009F0621">
      <w:pPr>
        <w:pStyle w:val="ListParagraph"/>
        <w:numPr>
          <w:ilvl w:val="0"/>
          <w:numId w:val="30"/>
        </w:numPr>
        <w:spacing w:before="100" w:beforeAutospacing="1" w:after="100" w:afterAutospacing="1" w:line="360" w:lineRule="auto"/>
        <w:rPr>
          <w:rFonts w:ascii="Arial" w:eastAsia="Times New Roman" w:hAnsi="Arial" w:cs="Arial"/>
          <w:sz w:val="24"/>
          <w:szCs w:val="24"/>
          <w:lang w:eastAsia="en-GB"/>
        </w:rPr>
      </w:pPr>
      <w:r w:rsidRPr="009F0621">
        <w:rPr>
          <w:rFonts w:ascii="Arial" w:eastAsia="Times New Roman" w:hAnsi="Arial" w:cs="Arial"/>
          <w:sz w:val="24"/>
          <w:szCs w:val="24"/>
          <w:lang w:eastAsia="en-GB"/>
        </w:rPr>
        <w:t xml:space="preserve">Singh, S.P. et al., 2010. Transition from CAMHS to adult mental health services. </w:t>
      </w:r>
      <w:r w:rsidRPr="009F0621">
        <w:rPr>
          <w:rFonts w:ascii="Arial" w:eastAsia="Times New Roman" w:hAnsi="Arial" w:cs="Arial"/>
          <w:i/>
          <w:iCs/>
          <w:sz w:val="24"/>
          <w:szCs w:val="24"/>
          <w:lang w:eastAsia="en-GB"/>
        </w:rPr>
        <w:t>The British Journal of Psychiatry</w:t>
      </w:r>
      <w:r w:rsidRPr="009F0621">
        <w:rPr>
          <w:rFonts w:ascii="Arial" w:eastAsia="Times New Roman" w:hAnsi="Arial" w:cs="Arial"/>
          <w:sz w:val="24"/>
          <w:szCs w:val="24"/>
          <w:lang w:eastAsia="en-GB"/>
        </w:rPr>
        <w:t>, 196(4), pp.268–275.</w:t>
      </w:r>
    </w:p>
    <w:p w14:paraId="6D18D7A1" w14:textId="79621C2C" w:rsidR="009F0621" w:rsidRPr="009F0621" w:rsidRDefault="009F0621" w:rsidP="009F0621">
      <w:pPr>
        <w:pStyle w:val="ListParagraph"/>
        <w:numPr>
          <w:ilvl w:val="0"/>
          <w:numId w:val="30"/>
        </w:numPr>
        <w:spacing w:before="100" w:beforeAutospacing="1" w:after="100" w:afterAutospacing="1" w:line="360" w:lineRule="auto"/>
        <w:rPr>
          <w:rFonts w:ascii="Arial" w:eastAsia="Times New Roman" w:hAnsi="Arial" w:cs="Arial"/>
          <w:sz w:val="24"/>
          <w:szCs w:val="24"/>
          <w:lang w:eastAsia="en-GB"/>
        </w:rPr>
      </w:pPr>
      <w:proofErr w:type="spellStart"/>
      <w:r w:rsidRPr="009F0621">
        <w:rPr>
          <w:rFonts w:ascii="Arial" w:eastAsia="Times New Roman" w:hAnsi="Arial" w:cs="Arial"/>
          <w:sz w:val="24"/>
          <w:szCs w:val="24"/>
          <w:lang w:eastAsia="en-GB"/>
        </w:rPr>
        <w:t>Stancin</w:t>
      </w:r>
      <w:proofErr w:type="spellEnd"/>
      <w:r w:rsidRPr="009F0621">
        <w:rPr>
          <w:rFonts w:ascii="Arial" w:eastAsia="Times New Roman" w:hAnsi="Arial" w:cs="Arial"/>
          <w:sz w:val="24"/>
          <w:szCs w:val="24"/>
          <w:lang w:eastAsia="en-GB"/>
        </w:rPr>
        <w:t xml:space="preserve">, T., 2002. Patterns of referral to CAMHS. </w:t>
      </w:r>
      <w:r w:rsidRPr="009F0621">
        <w:rPr>
          <w:rFonts w:ascii="Arial" w:eastAsia="Times New Roman" w:hAnsi="Arial" w:cs="Arial"/>
          <w:i/>
          <w:iCs/>
          <w:sz w:val="24"/>
          <w:szCs w:val="24"/>
          <w:lang w:eastAsia="en-GB"/>
        </w:rPr>
        <w:t>Journal of Child Psychology and Psychiatry</w:t>
      </w:r>
      <w:r w:rsidRPr="009F0621">
        <w:rPr>
          <w:rFonts w:ascii="Arial" w:eastAsia="Times New Roman" w:hAnsi="Arial" w:cs="Arial"/>
          <w:sz w:val="24"/>
          <w:szCs w:val="24"/>
          <w:lang w:eastAsia="en-GB"/>
        </w:rPr>
        <w:t>, 43(6), pp.773–785.</w:t>
      </w:r>
    </w:p>
    <w:p w14:paraId="6D151E8B" w14:textId="38733280" w:rsidR="009F0621" w:rsidRPr="009F0621" w:rsidRDefault="009F0621" w:rsidP="009F0621">
      <w:pPr>
        <w:pStyle w:val="ListParagraph"/>
        <w:numPr>
          <w:ilvl w:val="0"/>
          <w:numId w:val="30"/>
        </w:numPr>
        <w:spacing w:before="100" w:beforeAutospacing="1" w:after="100" w:afterAutospacing="1" w:line="360" w:lineRule="auto"/>
        <w:rPr>
          <w:rFonts w:ascii="Arial" w:eastAsia="Times New Roman" w:hAnsi="Arial" w:cs="Arial"/>
          <w:sz w:val="24"/>
          <w:szCs w:val="24"/>
          <w:lang w:eastAsia="en-GB"/>
        </w:rPr>
      </w:pPr>
      <w:r w:rsidRPr="009F0621">
        <w:rPr>
          <w:rFonts w:ascii="Arial" w:eastAsia="Times New Roman" w:hAnsi="Arial" w:cs="Arial"/>
          <w:sz w:val="24"/>
          <w:szCs w:val="24"/>
          <w:lang w:eastAsia="en-GB"/>
        </w:rPr>
        <w:t xml:space="preserve">Tomaszewski, W., 2013. Inclusive education: the rights-based approach. </w:t>
      </w:r>
      <w:r w:rsidRPr="009F0621">
        <w:rPr>
          <w:rFonts w:ascii="Arial" w:eastAsia="Times New Roman" w:hAnsi="Arial" w:cs="Arial"/>
          <w:i/>
          <w:iCs/>
          <w:sz w:val="24"/>
          <w:szCs w:val="24"/>
          <w:lang w:eastAsia="en-GB"/>
        </w:rPr>
        <w:t>Journal of Education and Practice</w:t>
      </w:r>
      <w:r w:rsidRPr="009F0621">
        <w:rPr>
          <w:rFonts w:ascii="Arial" w:eastAsia="Times New Roman" w:hAnsi="Arial" w:cs="Arial"/>
          <w:sz w:val="24"/>
          <w:szCs w:val="24"/>
          <w:lang w:eastAsia="en-GB"/>
        </w:rPr>
        <w:t>, 4(11), pp.1–8.</w:t>
      </w:r>
    </w:p>
    <w:p w14:paraId="5E41996E" w14:textId="57B15349" w:rsidR="009F0621" w:rsidRPr="009F0621" w:rsidRDefault="009F0621" w:rsidP="009F0621">
      <w:pPr>
        <w:pStyle w:val="ListParagraph"/>
        <w:numPr>
          <w:ilvl w:val="0"/>
          <w:numId w:val="30"/>
        </w:numPr>
        <w:spacing w:before="100" w:beforeAutospacing="1" w:after="100" w:afterAutospacing="1" w:line="360" w:lineRule="auto"/>
        <w:rPr>
          <w:rFonts w:ascii="Arial" w:eastAsia="Times New Roman" w:hAnsi="Arial" w:cs="Arial"/>
          <w:sz w:val="24"/>
          <w:szCs w:val="24"/>
          <w:lang w:eastAsia="en-GB"/>
        </w:rPr>
      </w:pPr>
      <w:r w:rsidRPr="009F0621">
        <w:rPr>
          <w:rFonts w:ascii="Arial" w:eastAsia="Times New Roman" w:hAnsi="Arial" w:cs="Arial"/>
          <w:sz w:val="24"/>
          <w:szCs w:val="24"/>
          <w:lang w:eastAsia="en-GB"/>
        </w:rPr>
        <w:t xml:space="preserve">UNICEF, 2011. </w:t>
      </w:r>
      <w:r w:rsidRPr="009F0621">
        <w:rPr>
          <w:rFonts w:ascii="Arial" w:eastAsia="Times New Roman" w:hAnsi="Arial" w:cs="Arial"/>
          <w:i/>
          <w:iCs/>
          <w:sz w:val="24"/>
          <w:szCs w:val="24"/>
          <w:lang w:eastAsia="en-GB"/>
        </w:rPr>
        <w:t>Adolescence: an age of opportunity</w:t>
      </w:r>
      <w:r w:rsidRPr="009F0621">
        <w:rPr>
          <w:rFonts w:ascii="Arial" w:eastAsia="Times New Roman" w:hAnsi="Arial" w:cs="Arial"/>
          <w:sz w:val="24"/>
          <w:szCs w:val="24"/>
          <w:lang w:eastAsia="en-GB"/>
        </w:rPr>
        <w:t>. New York: UNICEF.</w:t>
      </w:r>
    </w:p>
    <w:p w14:paraId="15A7F033" w14:textId="68459450" w:rsidR="009F0621" w:rsidRPr="009F0621" w:rsidRDefault="009F0621" w:rsidP="009F0621">
      <w:pPr>
        <w:pStyle w:val="ListParagraph"/>
        <w:numPr>
          <w:ilvl w:val="0"/>
          <w:numId w:val="30"/>
        </w:numPr>
        <w:spacing w:before="100" w:beforeAutospacing="1" w:after="100" w:afterAutospacing="1" w:line="360" w:lineRule="auto"/>
        <w:rPr>
          <w:rFonts w:ascii="Arial" w:eastAsia="Times New Roman" w:hAnsi="Arial" w:cs="Arial"/>
          <w:sz w:val="24"/>
          <w:szCs w:val="24"/>
          <w:lang w:eastAsia="en-GB"/>
        </w:rPr>
      </w:pPr>
      <w:r w:rsidRPr="009F0621">
        <w:rPr>
          <w:rFonts w:ascii="Arial" w:eastAsia="Times New Roman" w:hAnsi="Arial" w:cs="Arial"/>
          <w:sz w:val="24"/>
          <w:szCs w:val="24"/>
          <w:lang w:eastAsia="en-GB"/>
        </w:rPr>
        <w:t xml:space="preserve">Weare, K. &amp; </w:t>
      </w:r>
      <w:proofErr w:type="spellStart"/>
      <w:r w:rsidRPr="009F0621">
        <w:rPr>
          <w:rFonts w:ascii="Arial" w:eastAsia="Times New Roman" w:hAnsi="Arial" w:cs="Arial"/>
          <w:sz w:val="24"/>
          <w:szCs w:val="24"/>
          <w:lang w:eastAsia="en-GB"/>
        </w:rPr>
        <w:t>Nind</w:t>
      </w:r>
      <w:proofErr w:type="spellEnd"/>
      <w:r w:rsidRPr="009F0621">
        <w:rPr>
          <w:rFonts w:ascii="Arial" w:eastAsia="Times New Roman" w:hAnsi="Arial" w:cs="Arial"/>
          <w:sz w:val="24"/>
          <w:szCs w:val="24"/>
          <w:lang w:eastAsia="en-GB"/>
        </w:rPr>
        <w:t xml:space="preserve">, M., 2011. Mental health promotion and problem prevention in schools. </w:t>
      </w:r>
      <w:r w:rsidRPr="009F0621">
        <w:rPr>
          <w:rFonts w:ascii="Arial" w:eastAsia="Times New Roman" w:hAnsi="Arial" w:cs="Arial"/>
          <w:i/>
          <w:iCs/>
          <w:sz w:val="24"/>
          <w:szCs w:val="24"/>
          <w:lang w:eastAsia="en-GB"/>
        </w:rPr>
        <w:t>Health Promotion International</w:t>
      </w:r>
      <w:r w:rsidRPr="009F0621">
        <w:rPr>
          <w:rFonts w:ascii="Arial" w:eastAsia="Times New Roman" w:hAnsi="Arial" w:cs="Arial"/>
          <w:sz w:val="24"/>
          <w:szCs w:val="24"/>
          <w:lang w:eastAsia="en-GB"/>
        </w:rPr>
        <w:t xml:space="preserve">, 26(s1), </w:t>
      </w:r>
      <w:proofErr w:type="gramStart"/>
      <w:r w:rsidRPr="009F0621">
        <w:rPr>
          <w:rFonts w:ascii="Arial" w:eastAsia="Times New Roman" w:hAnsi="Arial" w:cs="Arial"/>
          <w:sz w:val="24"/>
          <w:szCs w:val="24"/>
          <w:lang w:eastAsia="en-GB"/>
        </w:rPr>
        <w:t>pp.i</w:t>
      </w:r>
      <w:proofErr w:type="gramEnd"/>
      <w:r w:rsidRPr="009F0621">
        <w:rPr>
          <w:rFonts w:ascii="Arial" w:eastAsia="Times New Roman" w:hAnsi="Arial" w:cs="Arial"/>
          <w:sz w:val="24"/>
          <w:szCs w:val="24"/>
          <w:lang w:eastAsia="en-GB"/>
        </w:rPr>
        <w:t>29–i69.</w:t>
      </w:r>
    </w:p>
    <w:p w14:paraId="66B682D5" w14:textId="633079F4" w:rsidR="009F0621" w:rsidRPr="009F0621" w:rsidRDefault="009F0621" w:rsidP="009F0621">
      <w:pPr>
        <w:pStyle w:val="ListParagraph"/>
        <w:numPr>
          <w:ilvl w:val="0"/>
          <w:numId w:val="30"/>
        </w:numPr>
        <w:spacing w:before="100" w:beforeAutospacing="1" w:after="100" w:afterAutospacing="1" w:line="360" w:lineRule="auto"/>
        <w:rPr>
          <w:rFonts w:ascii="Arial" w:eastAsia="Times New Roman" w:hAnsi="Arial" w:cs="Arial"/>
          <w:sz w:val="24"/>
          <w:szCs w:val="24"/>
          <w:lang w:eastAsia="en-GB"/>
        </w:rPr>
      </w:pPr>
      <w:r w:rsidRPr="009F0621">
        <w:rPr>
          <w:rFonts w:ascii="Arial" w:eastAsia="Times New Roman" w:hAnsi="Arial" w:cs="Arial"/>
          <w:sz w:val="24"/>
          <w:szCs w:val="24"/>
          <w:lang w:eastAsia="en-GB"/>
        </w:rPr>
        <w:t xml:space="preserve">Weisz, J.R. &amp; </w:t>
      </w:r>
      <w:proofErr w:type="spellStart"/>
      <w:r w:rsidRPr="009F0621">
        <w:rPr>
          <w:rFonts w:ascii="Arial" w:eastAsia="Times New Roman" w:hAnsi="Arial" w:cs="Arial"/>
          <w:sz w:val="24"/>
          <w:szCs w:val="24"/>
          <w:lang w:eastAsia="en-GB"/>
        </w:rPr>
        <w:t>Kazdin</w:t>
      </w:r>
      <w:proofErr w:type="spellEnd"/>
      <w:r w:rsidRPr="009F0621">
        <w:rPr>
          <w:rFonts w:ascii="Arial" w:eastAsia="Times New Roman" w:hAnsi="Arial" w:cs="Arial"/>
          <w:sz w:val="24"/>
          <w:szCs w:val="24"/>
          <w:lang w:eastAsia="en-GB"/>
        </w:rPr>
        <w:t xml:space="preserve">, A.E., 2010. </w:t>
      </w:r>
      <w:r w:rsidRPr="009F0621">
        <w:rPr>
          <w:rFonts w:ascii="Arial" w:eastAsia="Times New Roman" w:hAnsi="Arial" w:cs="Arial"/>
          <w:i/>
          <w:iCs/>
          <w:sz w:val="24"/>
          <w:szCs w:val="24"/>
          <w:lang w:eastAsia="en-GB"/>
        </w:rPr>
        <w:t>Evidence-based psychotherapies for children and adolescents</w:t>
      </w:r>
      <w:r w:rsidRPr="009F0621">
        <w:rPr>
          <w:rFonts w:ascii="Arial" w:eastAsia="Times New Roman" w:hAnsi="Arial" w:cs="Arial"/>
          <w:sz w:val="24"/>
          <w:szCs w:val="24"/>
          <w:lang w:eastAsia="en-GB"/>
        </w:rPr>
        <w:t xml:space="preserve">. 2nd </w:t>
      </w:r>
      <w:proofErr w:type="spellStart"/>
      <w:r w:rsidRPr="009F0621">
        <w:rPr>
          <w:rFonts w:ascii="Arial" w:eastAsia="Times New Roman" w:hAnsi="Arial" w:cs="Arial"/>
          <w:sz w:val="24"/>
          <w:szCs w:val="24"/>
          <w:lang w:eastAsia="en-GB"/>
        </w:rPr>
        <w:t>edn</w:t>
      </w:r>
      <w:proofErr w:type="spellEnd"/>
      <w:r w:rsidRPr="009F0621">
        <w:rPr>
          <w:rFonts w:ascii="Arial" w:eastAsia="Times New Roman" w:hAnsi="Arial" w:cs="Arial"/>
          <w:sz w:val="24"/>
          <w:szCs w:val="24"/>
          <w:lang w:eastAsia="en-GB"/>
        </w:rPr>
        <w:t>. New York: Guilford Press.</w:t>
      </w:r>
    </w:p>
    <w:p w14:paraId="02C608F6" w14:textId="3FBE4CDB" w:rsidR="009F0621" w:rsidRPr="009F0621" w:rsidRDefault="009F0621" w:rsidP="009F0621">
      <w:pPr>
        <w:pStyle w:val="ListParagraph"/>
        <w:numPr>
          <w:ilvl w:val="0"/>
          <w:numId w:val="30"/>
        </w:numPr>
        <w:spacing w:before="100" w:beforeAutospacing="1" w:after="100" w:afterAutospacing="1" w:line="360" w:lineRule="auto"/>
        <w:rPr>
          <w:rFonts w:ascii="Arial" w:eastAsia="Times New Roman" w:hAnsi="Arial" w:cs="Arial"/>
          <w:sz w:val="24"/>
          <w:szCs w:val="24"/>
          <w:lang w:eastAsia="en-GB"/>
        </w:rPr>
      </w:pPr>
      <w:r w:rsidRPr="009F0621">
        <w:rPr>
          <w:rFonts w:ascii="Arial" w:eastAsia="Times New Roman" w:hAnsi="Arial" w:cs="Arial"/>
          <w:sz w:val="24"/>
          <w:szCs w:val="24"/>
          <w:lang w:eastAsia="en-GB"/>
        </w:rPr>
        <w:t xml:space="preserve">Weisz, J.R. et al., 2006. Effects of psychotherapy for depression in children and adolescents: a meta-analysis. </w:t>
      </w:r>
      <w:r w:rsidRPr="009F0621">
        <w:rPr>
          <w:rFonts w:ascii="Arial" w:eastAsia="Times New Roman" w:hAnsi="Arial" w:cs="Arial"/>
          <w:i/>
          <w:iCs/>
          <w:sz w:val="24"/>
          <w:szCs w:val="24"/>
          <w:lang w:eastAsia="en-GB"/>
        </w:rPr>
        <w:t>Psychological Bulletin</w:t>
      </w:r>
      <w:r w:rsidRPr="009F0621">
        <w:rPr>
          <w:rFonts w:ascii="Arial" w:eastAsia="Times New Roman" w:hAnsi="Arial" w:cs="Arial"/>
          <w:sz w:val="24"/>
          <w:szCs w:val="24"/>
          <w:lang w:eastAsia="en-GB"/>
        </w:rPr>
        <w:t>, 132(1), pp.132–149.</w:t>
      </w:r>
    </w:p>
    <w:p w14:paraId="02528835" w14:textId="3BCE1ECF" w:rsidR="009F0621" w:rsidRPr="009F0621" w:rsidRDefault="009F0621" w:rsidP="009F0621">
      <w:pPr>
        <w:pStyle w:val="ListParagraph"/>
        <w:numPr>
          <w:ilvl w:val="0"/>
          <w:numId w:val="30"/>
        </w:numPr>
        <w:spacing w:before="100" w:beforeAutospacing="1" w:after="100" w:afterAutospacing="1" w:line="360" w:lineRule="auto"/>
        <w:rPr>
          <w:rFonts w:ascii="Arial" w:eastAsia="Times New Roman" w:hAnsi="Arial" w:cs="Arial"/>
          <w:sz w:val="24"/>
          <w:szCs w:val="24"/>
          <w:lang w:eastAsia="en-GB"/>
        </w:rPr>
      </w:pPr>
      <w:r w:rsidRPr="009F0621">
        <w:rPr>
          <w:rFonts w:ascii="Arial" w:eastAsia="Times New Roman" w:hAnsi="Arial" w:cs="Arial"/>
          <w:sz w:val="24"/>
          <w:szCs w:val="24"/>
          <w:lang w:eastAsia="en-GB"/>
        </w:rPr>
        <w:t xml:space="preserve">World Health Organization, 2012. </w:t>
      </w:r>
      <w:r w:rsidRPr="009F0621">
        <w:rPr>
          <w:rFonts w:ascii="Arial" w:eastAsia="Times New Roman" w:hAnsi="Arial" w:cs="Arial"/>
          <w:i/>
          <w:iCs/>
          <w:sz w:val="24"/>
          <w:szCs w:val="24"/>
          <w:lang w:eastAsia="en-GB"/>
        </w:rPr>
        <w:t>School health services: a global overview</w:t>
      </w:r>
      <w:r w:rsidRPr="009F0621">
        <w:rPr>
          <w:rFonts w:ascii="Arial" w:eastAsia="Times New Roman" w:hAnsi="Arial" w:cs="Arial"/>
          <w:sz w:val="24"/>
          <w:szCs w:val="24"/>
          <w:lang w:eastAsia="en-GB"/>
        </w:rPr>
        <w:t>. Geneva: WHO.</w:t>
      </w:r>
    </w:p>
    <w:p w14:paraId="33400DA2" w14:textId="5C57849D" w:rsidR="009F0621" w:rsidRPr="009F0621" w:rsidRDefault="009F0621" w:rsidP="009F0621">
      <w:pPr>
        <w:pStyle w:val="ListParagraph"/>
        <w:numPr>
          <w:ilvl w:val="0"/>
          <w:numId w:val="30"/>
        </w:numPr>
        <w:spacing w:before="100" w:beforeAutospacing="1" w:after="100" w:afterAutospacing="1" w:line="360" w:lineRule="auto"/>
        <w:rPr>
          <w:rFonts w:ascii="Arial" w:eastAsia="Times New Roman" w:hAnsi="Arial" w:cs="Arial"/>
          <w:sz w:val="24"/>
          <w:szCs w:val="24"/>
          <w:lang w:eastAsia="en-GB"/>
        </w:rPr>
      </w:pPr>
      <w:r w:rsidRPr="009F0621">
        <w:rPr>
          <w:rFonts w:ascii="Arial" w:eastAsia="Times New Roman" w:hAnsi="Arial" w:cs="Arial"/>
          <w:sz w:val="24"/>
          <w:szCs w:val="24"/>
          <w:lang w:eastAsia="en-GB"/>
        </w:rPr>
        <w:t xml:space="preserve">World Health Organization, 2016. </w:t>
      </w:r>
      <w:r w:rsidRPr="009F0621">
        <w:rPr>
          <w:rFonts w:ascii="Arial" w:eastAsia="Times New Roman" w:hAnsi="Arial" w:cs="Arial"/>
          <w:i/>
          <w:iCs/>
          <w:sz w:val="24"/>
          <w:szCs w:val="24"/>
          <w:lang w:eastAsia="en-GB"/>
        </w:rPr>
        <w:t>WHO guidelines on physical activity, sedentary behaviour and sleep for children under 5 years of age</w:t>
      </w:r>
      <w:r w:rsidRPr="009F0621">
        <w:rPr>
          <w:rFonts w:ascii="Arial" w:eastAsia="Times New Roman" w:hAnsi="Arial" w:cs="Arial"/>
          <w:sz w:val="24"/>
          <w:szCs w:val="24"/>
          <w:lang w:eastAsia="en-GB"/>
        </w:rPr>
        <w:t>. Geneva: WHO.</w:t>
      </w:r>
    </w:p>
    <w:p w14:paraId="691517AD" w14:textId="3B57C90D" w:rsidR="00DE699A" w:rsidRPr="000D59CC" w:rsidRDefault="00DE699A" w:rsidP="009F0621">
      <w:pPr>
        <w:spacing w:before="100" w:beforeAutospacing="1" w:after="100" w:afterAutospacing="1" w:line="240" w:lineRule="auto"/>
      </w:pPr>
    </w:p>
    <w:sectPr w:rsidR="00DE699A" w:rsidRPr="000D59CC" w:rsidSect="009F0621">
      <w:pgSz w:w="11906" w:h="16838"/>
      <w:pgMar w:top="1440" w:right="707"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57186"/>
    <w:multiLevelType w:val="multilevel"/>
    <w:tmpl w:val="E1DC3B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006F20"/>
    <w:multiLevelType w:val="multilevel"/>
    <w:tmpl w:val="DA7C61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E47F7F"/>
    <w:multiLevelType w:val="multilevel"/>
    <w:tmpl w:val="E16C81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FF619E"/>
    <w:multiLevelType w:val="multilevel"/>
    <w:tmpl w:val="73E8131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42221C8"/>
    <w:multiLevelType w:val="multilevel"/>
    <w:tmpl w:val="57BE88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3373DA2"/>
    <w:multiLevelType w:val="multilevel"/>
    <w:tmpl w:val="54D62F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7E40A03"/>
    <w:multiLevelType w:val="multilevel"/>
    <w:tmpl w:val="6A34A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CF90DCC"/>
    <w:multiLevelType w:val="multilevel"/>
    <w:tmpl w:val="EE3E72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F7274D3"/>
    <w:multiLevelType w:val="multilevel"/>
    <w:tmpl w:val="2C6C7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621472E"/>
    <w:multiLevelType w:val="multilevel"/>
    <w:tmpl w:val="F54A9B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6E40E58"/>
    <w:multiLevelType w:val="multilevel"/>
    <w:tmpl w:val="DCFC42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C124671"/>
    <w:multiLevelType w:val="multilevel"/>
    <w:tmpl w:val="347AA1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C32788A"/>
    <w:multiLevelType w:val="multilevel"/>
    <w:tmpl w:val="2F7AB0D6"/>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00F3223"/>
    <w:multiLevelType w:val="multilevel"/>
    <w:tmpl w:val="2F2AAF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3B53CE6"/>
    <w:multiLevelType w:val="multilevel"/>
    <w:tmpl w:val="29C61C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47C1077"/>
    <w:multiLevelType w:val="multilevel"/>
    <w:tmpl w:val="B2FE3364"/>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49716E4"/>
    <w:multiLevelType w:val="multilevel"/>
    <w:tmpl w:val="9B28D9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E067C6B"/>
    <w:multiLevelType w:val="multilevel"/>
    <w:tmpl w:val="CB4CC9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189492D"/>
    <w:multiLevelType w:val="multilevel"/>
    <w:tmpl w:val="133AE892"/>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55B3AF4"/>
    <w:multiLevelType w:val="multilevel"/>
    <w:tmpl w:val="D21640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6CE58FD"/>
    <w:multiLevelType w:val="multilevel"/>
    <w:tmpl w:val="3F005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9222A72"/>
    <w:multiLevelType w:val="multilevel"/>
    <w:tmpl w:val="26BC8380"/>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B5C20DF"/>
    <w:multiLevelType w:val="multilevel"/>
    <w:tmpl w:val="82DA83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61D21DA"/>
    <w:multiLevelType w:val="multilevel"/>
    <w:tmpl w:val="E2BABB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875303C"/>
    <w:multiLevelType w:val="multilevel"/>
    <w:tmpl w:val="4B149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A2979EE"/>
    <w:multiLevelType w:val="multilevel"/>
    <w:tmpl w:val="FFA63854"/>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B195C08"/>
    <w:multiLevelType w:val="multilevel"/>
    <w:tmpl w:val="DF6271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F5855B8"/>
    <w:multiLevelType w:val="multilevel"/>
    <w:tmpl w:val="7A5C7CC0"/>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073365C"/>
    <w:multiLevelType w:val="multilevel"/>
    <w:tmpl w:val="5E0A24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46F2A70"/>
    <w:multiLevelType w:val="hybridMultilevel"/>
    <w:tmpl w:val="862A91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81242177">
    <w:abstractNumId w:val="4"/>
  </w:num>
  <w:num w:numId="2" w16cid:durableId="163977406">
    <w:abstractNumId w:val="16"/>
  </w:num>
  <w:num w:numId="3" w16cid:durableId="1780762494">
    <w:abstractNumId w:val="24"/>
  </w:num>
  <w:num w:numId="4" w16cid:durableId="1852452147">
    <w:abstractNumId w:val="0"/>
  </w:num>
  <w:num w:numId="5" w16cid:durableId="897589384">
    <w:abstractNumId w:val="22"/>
  </w:num>
  <w:num w:numId="6" w16cid:durableId="786655242">
    <w:abstractNumId w:val="10"/>
  </w:num>
  <w:num w:numId="7" w16cid:durableId="495000644">
    <w:abstractNumId w:val="25"/>
  </w:num>
  <w:num w:numId="8" w16cid:durableId="334573907">
    <w:abstractNumId w:val="26"/>
  </w:num>
  <w:num w:numId="9" w16cid:durableId="1822960013">
    <w:abstractNumId w:val="18"/>
  </w:num>
  <w:num w:numId="10" w16cid:durableId="1115252439">
    <w:abstractNumId w:val="19"/>
  </w:num>
  <w:num w:numId="11" w16cid:durableId="271935521">
    <w:abstractNumId w:val="15"/>
  </w:num>
  <w:num w:numId="12" w16cid:durableId="62604151">
    <w:abstractNumId w:val="17"/>
  </w:num>
  <w:num w:numId="13" w16cid:durableId="1694115619">
    <w:abstractNumId w:val="27"/>
  </w:num>
  <w:num w:numId="14" w16cid:durableId="1893226791">
    <w:abstractNumId w:val="12"/>
  </w:num>
  <w:num w:numId="15" w16cid:durableId="1697581045">
    <w:abstractNumId w:val="8"/>
  </w:num>
  <w:num w:numId="16" w16cid:durableId="1825389100">
    <w:abstractNumId w:val="21"/>
  </w:num>
  <w:num w:numId="17" w16cid:durableId="1934824679">
    <w:abstractNumId w:val="28"/>
  </w:num>
  <w:num w:numId="18" w16cid:durableId="1173377316">
    <w:abstractNumId w:val="6"/>
  </w:num>
  <w:num w:numId="19" w16cid:durableId="461385671">
    <w:abstractNumId w:val="2"/>
  </w:num>
  <w:num w:numId="20" w16cid:durableId="747385534">
    <w:abstractNumId w:val="20"/>
  </w:num>
  <w:num w:numId="21" w16cid:durableId="1297368288">
    <w:abstractNumId w:val="23"/>
  </w:num>
  <w:num w:numId="22" w16cid:durableId="2127693337">
    <w:abstractNumId w:val="9"/>
  </w:num>
  <w:num w:numId="23" w16cid:durableId="622006119">
    <w:abstractNumId w:val="7"/>
  </w:num>
  <w:num w:numId="24" w16cid:durableId="313875814">
    <w:abstractNumId w:val="1"/>
  </w:num>
  <w:num w:numId="25" w16cid:durableId="1252087993">
    <w:abstractNumId w:val="14"/>
  </w:num>
  <w:num w:numId="26" w16cid:durableId="2004963526">
    <w:abstractNumId w:val="5"/>
  </w:num>
  <w:num w:numId="27" w16cid:durableId="222641241">
    <w:abstractNumId w:val="13"/>
  </w:num>
  <w:num w:numId="28" w16cid:durableId="1965892052">
    <w:abstractNumId w:val="11"/>
  </w:num>
  <w:num w:numId="29" w16cid:durableId="223492925">
    <w:abstractNumId w:val="3"/>
  </w:num>
  <w:num w:numId="30" w16cid:durableId="258607450">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59CC"/>
    <w:rsid w:val="000D59CC"/>
    <w:rsid w:val="00126DC2"/>
    <w:rsid w:val="00545F33"/>
    <w:rsid w:val="006566A8"/>
    <w:rsid w:val="009F0621"/>
    <w:rsid w:val="00DE699A"/>
    <w:rsid w:val="00EB30C8"/>
    <w:rsid w:val="00F944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617521"/>
  <w15:chartTrackingRefBased/>
  <w15:docId w15:val="{506EE692-7139-418C-984B-D17EF91C4A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EB30C8"/>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EB30C8"/>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0D59CC"/>
    <w:rPr>
      <w:b/>
      <w:bCs/>
    </w:rPr>
  </w:style>
  <w:style w:type="character" w:styleId="Emphasis">
    <w:name w:val="Emphasis"/>
    <w:basedOn w:val="DefaultParagraphFont"/>
    <w:uiPriority w:val="20"/>
    <w:qFormat/>
    <w:rsid w:val="000D59CC"/>
    <w:rPr>
      <w:i/>
      <w:iCs/>
    </w:rPr>
  </w:style>
  <w:style w:type="character" w:customStyle="1" w:styleId="Heading2Char">
    <w:name w:val="Heading 2 Char"/>
    <w:basedOn w:val="DefaultParagraphFont"/>
    <w:link w:val="Heading2"/>
    <w:uiPriority w:val="9"/>
    <w:rsid w:val="00EB30C8"/>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EB30C8"/>
    <w:rPr>
      <w:rFonts w:ascii="Times New Roman" w:eastAsia="Times New Roman" w:hAnsi="Times New Roman" w:cs="Times New Roman"/>
      <w:b/>
      <w:bCs/>
      <w:sz w:val="27"/>
      <w:szCs w:val="27"/>
      <w:lang w:eastAsia="en-GB"/>
    </w:rPr>
  </w:style>
  <w:style w:type="paragraph" w:styleId="ListParagraph">
    <w:name w:val="List Paragraph"/>
    <w:basedOn w:val="Normal"/>
    <w:uiPriority w:val="34"/>
    <w:qFormat/>
    <w:rsid w:val="009F0621"/>
    <w:pPr>
      <w:ind w:left="720"/>
      <w:contextualSpacing/>
    </w:pPr>
  </w:style>
  <w:style w:type="paragraph" w:styleId="NoSpacing">
    <w:name w:val="No Spacing"/>
    <w:link w:val="NoSpacingChar"/>
    <w:uiPriority w:val="1"/>
    <w:qFormat/>
    <w:rsid w:val="009F062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F0621"/>
    <w:rPr>
      <w:rFonts w:eastAsiaTheme="minorEastAsia"/>
      <w:lang w:val="en-US"/>
    </w:rPr>
  </w:style>
  <w:style w:type="character" w:styleId="Hyperlink">
    <w:name w:val="Hyperlink"/>
    <w:basedOn w:val="DefaultParagraphFont"/>
    <w:uiPriority w:val="99"/>
    <w:unhideWhenUsed/>
    <w:rsid w:val="009F0621"/>
    <w:rPr>
      <w:color w:val="0563C1" w:themeColor="hyperlink"/>
      <w:u w:val="single"/>
    </w:rPr>
  </w:style>
  <w:style w:type="character" w:styleId="UnresolvedMention">
    <w:name w:val="Unresolved Mention"/>
    <w:basedOn w:val="DefaultParagraphFont"/>
    <w:uiPriority w:val="99"/>
    <w:semiHidden/>
    <w:unhideWhenUsed/>
    <w:rsid w:val="009F062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9461697">
      <w:bodyDiv w:val="1"/>
      <w:marLeft w:val="0"/>
      <w:marRight w:val="0"/>
      <w:marTop w:val="0"/>
      <w:marBottom w:val="0"/>
      <w:divBdr>
        <w:top w:val="none" w:sz="0" w:space="0" w:color="auto"/>
        <w:left w:val="none" w:sz="0" w:space="0" w:color="auto"/>
        <w:bottom w:val="none" w:sz="0" w:space="0" w:color="auto"/>
        <w:right w:val="none" w:sz="0" w:space="0" w:color="auto"/>
      </w:divBdr>
      <w:divsChild>
        <w:div w:id="80296437">
          <w:marLeft w:val="0"/>
          <w:marRight w:val="0"/>
          <w:marTop w:val="0"/>
          <w:marBottom w:val="0"/>
          <w:divBdr>
            <w:top w:val="none" w:sz="0" w:space="0" w:color="auto"/>
            <w:left w:val="none" w:sz="0" w:space="0" w:color="auto"/>
            <w:bottom w:val="none" w:sz="0" w:space="0" w:color="auto"/>
            <w:right w:val="none" w:sz="0" w:space="0" w:color="auto"/>
          </w:divBdr>
          <w:divsChild>
            <w:div w:id="1122261719">
              <w:marLeft w:val="0"/>
              <w:marRight w:val="0"/>
              <w:marTop w:val="0"/>
              <w:marBottom w:val="0"/>
              <w:divBdr>
                <w:top w:val="none" w:sz="0" w:space="0" w:color="auto"/>
                <w:left w:val="none" w:sz="0" w:space="0" w:color="auto"/>
                <w:bottom w:val="none" w:sz="0" w:space="0" w:color="auto"/>
                <w:right w:val="none" w:sz="0" w:space="0" w:color="auto"/>
              </w:divBdr>
              <w:divsChild>
                <w:div w:id="500001951">
                  <w:marLeft w:val="0"/>
                  <w:marRight w:val="0"/>
                  <w:marTop w:val="0"/>
                  <w:marBottom w:val="0"/>
                  <w:divBdr>
                    <w:top w:val="none" w:sz="0" w:space="0" w:color="auto"/>
                    <w:left w:val="none" w:sz="0" w:space="0" w:color="auto"/>
                    <w:bottom w:val="none" w:sz="0" w:space="0" w:color="auto"/>
                    <w:right w:val="none" w:sz="0" w:space="0" w:color="auto"/>
                  </w:divBdr>
                  <w:divsChild>
                    <w:div w:id="66156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6814383">
      <w:bodyDiv w:val="1"/>
      <w:marLeft w:val="0"/>
      <w:marRight w:val="0"/>
      <w:marTop w:val="0"/>
      <w:marBottom w:val="0"/>
      <w:divBdr>
        <w:top w:val="none" w:sz="0" w:space="0" w:color="auto"/>
        <w:left w:val="none" w:sz="0" w:space="0" w:color="auto"/>
        <w:bottom w:val="none" w:sz="0" w:space="0" w:color="auto"/>
        <w:right w:val="none" w:sz="0" w:space="0" w:color="auto"/>
      </w:divBdr>
    </w:div>
    <w:div w:id="672875788">
      <w:bodyDiv w:val="1"/>
      <w:marLeft w:val="0"/>
      <w:marRight w:val="0"/>
      <w:marTop w:val="0"/>
      <w:marBottom w:val="0"/>
      <w:divBdr>
        <w:top w:val="none" w:sz="0" w:space="0" w:color="auto"/>
        <w:left w:val="none" w:sz="0" w:space="0" w:color="auto"/>
        <w:bottom w:val="none" w:sz="0" w:space="0" w:color="auto"/>
        <w:right w:val="none" w:sz="0" w:space="0" w:color="auto"/>
      </w:divBdr>
      <w:divsChild>
        <w:div w:id="2097245820">
          <w:marLeft w:val="0"/>
          <w:marRight w:val="0"/>
          <w:marTop w:val="0"/>
          <w:marBottom w:val="0"/>
          <w:divBdr>
            <w:top w:val="none" w:sz="0" w:space="0" w:color="auto"/>
            <w:left w:val="none" w:sz="0" w:space="0" w:color="auto"/>
            <w:bottom w:val="none" w:sz="0" w:space="0" w:color="auto"/>
            <w:right w:val="none" w:sz="0" w:space="0" w:color="auto"/>
          </w:divBdr>
          <w:divsChild>
            <w:div w:id="1769962968">
              <w:marLeft w:val="0"/>
              <w:marRight w:val="0"/>
              <w:marTop w:val="0"/>
              <w:marBottom w:val="0"/>
              <w:divBdr>
                <w:top w:val="none" w:sz="0" w:space="0" w:color="auto"/>
                <w:left w:val="none" w:sz="0" w:space="0" w:color="auto"/>
                <w:bottom w:val="none" w:sz="0" w:space="0" w:color="auto"/>
                <w:right w:val="none" w:sz="0" w:space="0" w:color="auto"/>
              </w:divBdr>
              <w:divsChild>
                <w:div w:id="1712537687">
                  <w:marLeft w:val="0"/>
                  <w:marRight w:val="0"/>
                  <w:marTop w:val="0"/>
                  <w:marBottom w:val="0"/>
                  <w:divBdr>
                    <w:top w:val="none" w:sz="0" w:space="0" w:color="auto"/>
                    <w:left w:val="none" w:sz="0" w:space="0" w:color="auto"/>
                    <w:bottom w:val="none" w:sz="0" w:space="0" w:color="auto"/>
                    <w:right w:val="none" w:sz="0" w:space="0" w:color="auto"/>
                  </w:divBdr>
                  <w:divsChild>
                    <w:div w:id="1021779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2122396">
      <w:bodyDiv w:val="1"/>
      <w:marLeft w:val="0"/>
      <w:marRight w:val="0"/>
      <w:marTop w:val="0"/>
      <w:marBottom w:val="0"/>
      <w:divBdr>
        <w:top w:val="none" w:sz="0" w:space="0" w:color="auto"/>
        <w:left w:val="none" w:sz="0" w:space="0" w:color="auto"/>
        <w:bottom w:val="none" w:sz="0" w:space="0" w:color="auto"/>
        <w:right w:val="none" w:sz="0" w:space="0" w:color="auto"/>
      </w:divBdr>
    </w:div>
    <w:div w:id="748502454">
      <w:bodyDiv w:val="1"/>
      <w:marLeft w:val="0"/>
      <w:marRight w:val="0"/>
      <w:marTop w:val="0"/>
      <w:marBottom w:val="0"/>
      <w:divBdr>
        <w:top w:val="none" w:sz="0" w:space="0" w:color="auto"/>
        <w:left w:val="none" w:sz="0" w:space="0" w:color="auto"/>
        <w:bottom w:val="none" w:sz="0" w:space="0" w:color="auto"/>
        <w:right w:val="none" w:sz="0" w:space="0" w:color="auto"/>
      </w:divBdr>
    </w:div>
    <w:div w:id="814689082">
      <w:bodyDiv w:val="1"/>
      <w:marLeft w:val="0"/>
      <w:marRight w:val="0"/>
      <w:marTop w:val="0"/>
      <w:marBottom w:val="0"/>
      <w:divBdr>
        <w:top w:val="none" w:sz="0" w:space="0" w:color="auto"/>
        <w:left w:val="none" w:sz="0" w:space="0" w:color="auto"/>
        <w:bottom w:val="none" w:sz="0" w:space="0" w:color="auto"/>
        <w:right w:val="none" w:sz="0" w:space="0" w:color="auto"/>
      </w:divBdr>
    </w:div>
    <w:div w:id="858743279">
      <w:bodyDiv w:val="1"/>
      <w:marLeft w:val="0"/>
      <w:marRight w:val="0"/>
      <w:marTop w:val="0"/>
      <w:marBottom w:val="0"/>
      <w:divBdr>
        <w:top w:val="none" w:sz="0" w:space="0" w:color="auto"/>
        <w:left w:val="none" w:sz="0" w:space="0" w:color="auto"/>
        <w:bottom w:val="none" w:sz="0" w:space="0" w:color="auto"/>
        <w:right w:val="none" w:sz="0" w:space="0" w:color="auto"/>
      </w:divBdr>
    </w:div>
    <w:div w:id="1110784405">
      <w:bodyDiv w:val="1"/>
      <w:marLeft w:val="0"/>
      <w:marRight w:val="0"/>
      <w:marTop w:val="0"/>
      <w:marBottom w:val="0"/>
      <w:divBdr>
        <w:top w:val="none" w:sz="0" w:space="0" w:color="auto"/>
        <w:left w:val="none" w:sz="0" w:space="0" w:color="auto"/>
        <w:bottom w:val="none" w:sz="0" w:space="0" w:color="auto"/>
        <w:right w:val="none" w:sz="0" w:space="0" w:color="auto"/>
      </w:divBdr>
    </w:div>
    <w:div w:id="1194923430">
      <w:bodyDiv w:val="1"/>
      <w:marLeft w:val="0"/>
      <w:marRight w:val="0"/>
      <w:marTop w:val="0"/>
      <w:marBottom w:val="0"/>
      <w:divBdr>
        <w:top w:val="none" w:sz="0" w:space="0" w:color="auto"/>
        <w:left w:val="none" w:sz="0" w:space="0" w:color="auto"/>
        <w:bottom w:val="none" w:sz="0" w:space="0" w:color="auto"/>
        <w:right w:val="none" w:sz="0" w:space="0" w:color="auto"/>
      </w:divBdr>
    </w:div>
    <w:div w:id="1413163023">
      <w:bodyDiv w:val="1"/>
      <w:marLeft w:val="0"/>
      <w:marRight w:val="0"/>
      <w:marTop w:val="0"/>
      <w:marBottom w:val="0"/>
      <w:divBdr>
        <w:top w:val="none" w:sz="0" w:space="0" w:color="auto"/>
        <w:left w:val="none" w:sz="0" w:space="0" w:color="auto"/>
        <w:bottom w:val="none" w:sz="0" w:space="0" w:color="auto"/>
        <w:right w:val="none" w:sz="0" w:space="0" w:color="auto"/>
      </w:divBdr>
    </w:div>
    <w:div w:id="1488669828">
      <w:bodyDiv w:val="1"/>
      <w:marLeft w:val="0"/>
      <w:marRight w:val="0"/>
      <w:marTop w:val="0"/>
      <w:marBottom w:val="0"/>
      <w:divBdr>
        <w:top w:val="none" w:sz="0" w:space="0" w:color="auto"/>
        <w:left w:val="none" w:sz="0" w:space="0" w:color="auto"/>
        <w:bottom w:val="none" w:sz="0" w:space="0" w:color="auto"/>
        <w:right w:val="none" w:sz="0" w:space="0" w:color="auto"/>
      </w:divBdr>
    </w:div>
    <w:div w:id="1545368405">
      <w:bodyDiv w:val="1"/>
      <w:marLeft w:val="0"/>
      <w:marRight w:val="0"/>
      <w:marTop w:val="0"/>
      <w:marBottom w:val="0"/>
      <w:divBdr>
        <w:top w:val="none" w:sz="0" w:space="0" w:color="auto"/>
        <w:left w:val="none" w:sz="0" w:space="0" w:color="auto"/>
        <w:bottom w:val="none" w:sz="0" w:space="0" w:color="auto"/>
        <w:right w:val="none" w:sz="0" w:space="0" w:color="auto"/>
      </w:divBdr>
    </w:div>
    <w:div w:id="1689060366">
      <w:bodyDiv w:val="1"/>
      <w:marLeft w:val="0"/>
      <w:marRight w:val="0"/>
      <w:marTop w:val="0"/>
      <w:marBottom w:val="0"/>
      <w:divBdr>
        <w:top w:val="none" w:sz="0" w:space="0" w:color="auto"/>
        <w:left w:val="none" w:sz="0" w:space="0" w:color="auto"/>
        <w:bottom w:val="none" w:sz="0" w:space="0" w:color="auto"/>
        <w:right w:val="none" w:sz="0" w:space="0" w:color="auto"/>
      </w:divBdr>
    </w:div>
    <w:div w:id="17021285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g"/><Relationship Id="rId5" Type="http://schemas.openxmlformats.org/officeDocument/2006/relationships/hyperlink" Target="https://www.youtube.com/embed/em1yckn5TJ4?feature=oembed"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TotalTime>
  <Pages>21</Pages>
  <Words>4496</Words>
  <Characters>25628</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Children and Young People's Health, Wellbeing and Community Engagement(BMHP5018)</Company>
  <LinksUpToDate>false</LinksUpToDate>
  <CharactersWithSpaces>30064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Health and Wellbeing of Children and Young People</dc:title>
  <dc:subject>Portfolio</dc:subject>
  <dc:creator>Andrei</dc:creator>
  <cp:keywords/>
  <dc:description/>
  <cp:lastModifiedBy>Andrei</cp:lastModifiedBy>
  <cp:revision>1</cp:revision>
  <dcterms:created xsi:type="dcterms:W3CDTF">2025-05-07T19:39:00Z</dcterms:created>
  <dcterms:modified xsi:type="dcterms:W3CDTF">2025-05-07T21:13:00Z</dcterms:modified>
</cp:coreProperties>
</file>