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530A0" w14:textId="77777777" w:rsidR="007C2C8E" w:rsidRPr="007C2C8E" w:rsidRDefault="007C2C8E" w:rsidP="001761B8">
      <w:pPr>
        <w:jc w:val="center"/>
      </w:pPr>
      <w:r w:rsidRPr="007C2C8E">
        <w:rPr>
          <w:noProof/>
        </w:rPr>
        <w:drawing>
          <wp:inline distT="0" distB="0" distL="0" distR="0" wp14:anchorId="3041BAF8" wp14:editId="64AE78B5">
            <wp:extent cx="2668941" cy="11112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629" cy="1112786"/>
                    </a:xfrm>
                    <a:prstGeom prst="rect">
                      <a:avLst/>
                    </a:prstGeom>
                    <a:noFill/>
                  </pic:spPr>
                </pic:pic>
              </a:graphicData>
            </a:graphic>
          </wp:inline>
        </w:drawing>
      </w:r>
    </w:p>
    <w:p w14:paraId="01575427" w14:textId="77777777" w:rsidR="007C2C8E" w:rsidRPr="007C2C8E" w:rsidRDefault="007C2C8E" w:rsidP="007C2C8E">
      <w:pPr>
        <w:jc w:val="center"/>
        <w:rPr>
          <w:b/>
          <w:bCs/>
          <w:sz w:val="28"/>
          <w:szCs w:val="24"/>
        </w:rPr>
      </w:pPr>
    </w:p>
    <w:p w14:paraId="0E441079" w14:textId="77777777" w:rsidR="007C2C8E" w:rsidRPr="007C2C8E" w:rsidRDefault="007C2C8E" w:rsidP="007C2C8E">
      <w:pPr>
        <w:jc w:val="center"/>
        <w:rPr>
          <w:b/>
          <w:bCs/>
          <w:sz w:val="40"/>
          <w:szCs w:val="36"/>
        </w:rPr>
      </w:pPr>
      <w:r w:rsidRPr="007C2C8E">
        <w:rPr>
          <w:b/>
          <w:bCs/>
          <w:sz w:val="28"/>
          <w:szCs w:val="24"/>
        </w:rPr>
        <w:t>Knowledge and Prevention of Urinary Tract Infection Among Adolescents (10–19 Years) in the United Kingdom: A Systematic Review</w:t>
      </w:r>
    </w:p>
    <w:p w14:paraId="64389D31" w14:textId="77777777" w:rsidR="007C2C8E" w:rsidRPr="007C2C8E" w:rsidRDefault="007C2C8E" w:rsidP="007C2C8E">
      <w:pPr>
        <w:jc w:val="center"/>
      </w:pPr>
    </w:p>
    <w:p w14:paraId="6AF33EB9" w14:textId="77777777" w:rsidR="007C2C8E" w:rsidRPr="007C2C8E" w:rsidRDefault="007C2C8E" w:rsidP="007C2C8E">
      <w:pPr>
        <w:spacing w:line="480" w:lineRule="auto"/>
        <w:jc w:val="center"/>
      </w:pPr>
      <w:r w:rsidRPr="007C2C8E">
        <w:t>By</w:t>
      </w:r>
    </w:p>
    <w:p w14:paraId="10BA202B" w14:textId="77777777" w:rsidR="007C2C8E" w:rsidRPr="007C2C8E" w:rsidRDefault="007C2C8E" w:rsidP="007C2C8E">
      <w:pPr>
        <w:spacing w:line="480" w:lineRule="auto"/>
        <w:jc w:val="center"/>
      </w:pPr>
      <w:r w:rsidRPr="007C2C8E">
        <w:rPr>
          <w:b/>
          <w:bCs/>
        </w:rPr>
        <w:t>Md Jewel Ahmad</w:t>
      </w:r>
      <w:r w:rsidRPr="007C2C8E">
        <w:rPr>
          <w:b/>
          <w:bCs/>
        </w:rPr>
        <w:br/>
        <w:t>2504951</w:t>
      </w:r>
      <w:r w:rsidRPr="007C2C8E">
        <w:br/>
        <w:t>MSc in Public Health and Social Care in Practice</w:t>
      </w:r>
      <w:r w:rsidRPr="007C2C8E">
        <w:br/>
        <w:t>Supervisor: Dr Christopher Mafuva</w:t>
      </w:r>
      <w:r w:rsidRPr="007C2C8E">
        <w:br/>
      </w:r>
    </w:p>
    <w:p w14:paraId="4F70C6E5" w14:textId="1D06BEBF" w:rsidR="001761B8" w:rsidRDefault="007C2C8E" w:rsidP="007C2C8E">
      <w:pPr>
        <w:spacing w:line="480" w:lineRule="auto"/>
        <w:jc w:val="center"/>
      </w:pPr>
      <w:r w:rsidRPr="007C2C8E">
        <w:t>2026</w:t>
      </w:r>
    </w:p>
    <w:p w14:paraId="26D07231" w14:textId="77777777" w:rsidR="001761B8" w:rsidRDefault="001761B8">
      <w:pPr>
        <w:spacing w:line="259" w:lineRule="auto"/>
        <w:jc w:val="left"/>
      </w:pPr>
      <w:r>
        <w:br w:type="page"/>
      </w:r>
    </w:p>
    <w:p w14:paraId="1EC6BD40" w14:textId="77777777" w:rsidR="001761B8" w:rsidRPr="007514DC" w:rsidRDefault="001761B8" w:rsidP="007514DC">
      <w:pPr>
        <w:pStyle w:val="Heading1"/>
      </w:pPr>
      <w:bookmarkStart w:id="0" w:name="_Toc240927720"/>
      <w:r w:rsidRPr="001761B8">
        <w:rPr>
          <w:lang w:val="hr-HR"/>
        </w:rPr>
        <w:t>DECLARATION</w:t>
      </w:r>
      <w:bookmarkEnd w:id="0"/>
    </w:p>
    <w:p w14:paraId="495710A6" w14:textId="77777777" w:rsidR="001761B8" w:rsidRPr="001761B8" w:rsidRDefault="001761B8" w:rsidP="001761B8">
      <w:pPr>
        <w:rPr>
          <w:b/>
          <w:bCs/>
          <w:lang w:val="hr-HR"/>
        </w:rPr>
      </w:pPr>
    </w:p>
    <w:p w14:paraId="2C268653" w14:textId="25AECEBA" w:rsidR="001761B8" w:rsidRPr="001761B8" w:rsidRDefault="001761B8" w:rsidP="002844A5">
      <w:pPr>
        <w:rPr>
          <w:lang w:val="hr-HR"/>
        </w:rPr>
      </w:pPr>
      <w:r w:rsidRPr="001761B8">
        <w:rPr>
          <w:noProof/>
          <w:lang w:val="en-GB"/>
        </w:rPr>
        <mc:AlternateContent>
          <mc:Choice Requires="wpi">
            <w:drawing>
              <wp:anchor distT="0" distB="0" distL="114300" distR="114300" simplePos="0" relativeHeight="251681792" behindDoc="0" locked="0" layoutInCell="1" allowOverlap="1" wp14:anchorId="125F8CEC" wp14:editId="3B841175">
                <wp:simplePos x="0" y="0"/>
                <wp:positionH relativeFrom="column">
                  <wp:posOffset>-2084070</wp:posOffset>
                </wp:positionH>
                <wp:positionV relativeFrom="paragraph">
                  <wp:posOffset>-224790</wp:posOffset>
                </wp:positionV>
                <wp:extent cx="920750" cy="920750"/>
                <wp:effectExtent l="1905" t="3810" r="1270" b="0"/>
                <wp:wrapNone/>
                <wp:docPr id="50" name="Ink 5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1EC016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0" o:spid="_x0000_s1026" type="#_x0000_t75" style="position:absolute;margin-left:-164.1pt;margin-top:-17.7pt;width:72.5pt;height:7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2816" behindDoc="0" locked="0" layoutInCell="1" allowOverlap="1" wp14:anchorId="76ADFEE4" wp14:editId="7F538ABE">
                <wp:simplePos x="0" y="0"/>
                <wp:positionH relativeFrom="column">
                  <wp:posOffset>-2084070</wp:posOffset>
                </wp:positionH>
                <wp:positionV relativeFrom="paragraph">
                  <wp:posOffset>233045</wp:posOffset>
                </wp:positionV>
                <wp:extent cx="920750" cy="40640"/>
                <wp:effectExtent l="1905" t="4445" r="1270" b="2540"/>
                <wp:wrapNone/>
                <wp:docPr id="49" name="Ink 4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3E7BAB77" id="Ink 49" o:spid="_x0000_s1026" type="#_x0000_t75" style="position:absolute;margin-left:-164.1pt;margin-top:18.35pt;width:72.5pt;height:3.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3840" behindDoc="0" locked="0" layoutInCell="1" allowOverlap="1" wp14:anchorId="0C1863C6" wp14:editId="1DBC3B1A">
                <wp:simplePos x="0" y="0"/>
                <wp:positionH relativeFrom="column">
                  <wp:posOffset>-2084070</wp:posOffset>
                </wp:positionH>
                <wp:positionV relativeFrom="paragraph">
                  <wp:posOffset>-214630</wp:posOffset>
                </wp:positionV>
                <wp:extent cx="920750" cy="920750"/>
                <wp:effectExtent l="1905" t="4445" r="1270" b="0"/>
                <wp:wrapNone/>
                <wp:docPr id="48" name="Ink 4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1D4F3177" id="Ink 48" o:spid="_x0000_s1026" type="#_x0000_t75" style="position:absolute;margin-left:-164.1pt;margin-top:-16.9pt;width:72.5pt;height: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4864" behindDoc="0" locked="0" layoutInCell="1" allowOverlap="1" wp14:anchorId="1EB8489F" wp14:editId="31E8E6A8">
                <wp:simplePos x="0" y="0"/>
                <wp:positionH relativeFrom="column">
                  <wp:posOffset>-2395855</wp:posOffset>
                </wp:positionH>
                <wp:positionV relativeFrom="paragraph">
                  <wp:posOffset>-216535</wp:posOffset>
                </wp:positionV>
                <wp:extent cx="920750" cy="920750"/>
                <wp:effectExtent l="4445" t="2540" r="0" b="635"/>
                <wp:wrapNone/>
                <wp:docPr id="47" name="Ink 4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C31A097" id="Ink 47" o:spid="_x0000_s1026" type="#_x0000_t75" style="position:absolute;margin-left:-188.65pt;margin-top:-17.05pt;width:72.5pt;height:7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lang w:val="hr-HR"/>
        </w:rPr>
        <w:t xml:space="preserve">I, </w:t>
      </w:r>
      <w:r w:rsidR="002844A5" w:rsidRPr="002844A5">
        <w:rPr>
          <w:b/>
          <w:bCs/>
          <w:u w:val="single"/>
        </w:rPr>
        <w:t>Md Jewel Ahmad</w:t>
      </w:r>
      <w:r w:rsidRPr="001761B8">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CFBE5B5" w14:textId="77777777" w:rsidR="001761B8" w:rsidRPr="001761B8" w:rsidRDefault="001761B8" w:rsidP="001761B8">
      <w:pPr>
        <w:rPr>
          <w:b/>
          <w:bCs/>
          <w:lang w:val="hr-HR"/>
        </w:rPr>
      </w:pPr>
    </w:p>
    <w:p w14:paraId="46A83C80" w14:textId="77777777" w:rsidR="001761B8" w:rsidRPr="001761B8" w:rsidRDefault="001761B8" w:rsidP="001761B8">
      <w:pPr>
        <w:rPr>
          <w:b/>
          <w:bCs/>
          <w:lang w:val="hr-HR"/>
        </w:rPr>
      </w:pPr>
    </w:p>
    <w:p w14:paraId="3F25DBFB" w14:textId="64E67A0D" w:rsidR="001761B8" w:rsidRPr="001761B8" w:rsidRDefault="001761B8" w:rsidP="001761B8">
      <w:pPr>
        <w:rPr>
          <w:b/>
          <w:bCs/>
          <w:lang w:val="hr-HR"/>
        </w:rPr>
      </w:pPr>
      <w:r w:rsidRPr="001761B8">
        <w:rPr>
          <w:b/>
          <w:bCs/>
          <w:lang w:val="hr-HR"/>
        </w:rPr>
        <w:t>Signed:……</w:t>
      </w:r>
      <w:r w:rsidR="00E679F8" w:rsidRPr="00E679F8">
        <w:t xml:space="preserve"> </w:t>
      </w:r>
      <w:r w:rsidR="00E679F8" w:rsidRPr="00E679F8">
        <w:rPr>
          <w:b/>
          <w:bCs/>
          <w:lang w:val="hr-HR"/>
        </w:rPr>
        <w:t xml:space="preserve">Jewel Ahmad </w:t>
      </w:r>
      <w:r w:rsidRPr="001761B8">
        <w:rPr>
          <w:b/>
          <w:bCs/>
          <w:lang w:val="hr-HR"/>
        </w:rPr>
        <w:t>……………………………………</w:t>
      </w:r>
    </w:p>
    <w:p w14:paraId="2A751216" w14:textId="77777777" w:rsidR="001761B8" w:rsidRPr="001761B8" w:rsidRDefault="001761B8" w:rsidP="001761B8">
      <w:pPr>
        <w:rPr>
          <w:b/>
          <w:bCs/>
          <w:lang w:val="hr-HR"/>
        </w:rPr>
      </w:pPr>
    </w:p>
    <w:p w14:paraId="6843B107" w14:textId="10A1036B" w:rsidR="001761B8" w:rsidRPr="001761B8" w:rsidRDefault="001761B8" w:rsidP="001761B8">
      <w:pPr>
        <w:rPr>
          <w:b/>
          <w:bCs/>
          <w:lang w:val="hr-HR"/>
        </w:rPr>
      </w:pPr>
      <w:r w:rsidRPr="001761B8">
        <w:rPr>
          <w:b/>
          <w:bCs/>
          <w:lang w:val="hr-HR"/>
        </w:rPr>
        <w:t>Date:...</w:t>
      </w:r>
      <w:r w:rsidR="00E679F8">
        <w:rPr>
          <w:b/>
          <w:bCs/>
          <w:lang w:val="hr-HR"/>
        </w:rPr>
        <w:t>22.09.2026</w:t>
      </w:r>
      <w:r w:rsidRPr="001761B8">
        <w:rPr>
          <w:b/>
          <w:bCs/>
          <w:lang w:val="hr-HR"/>
        </w:rPr>
        <w:t>………………………………………………</w:t>
      </w:r>
    </w:p>
    <w:p w14:paraId="19062D5B" w14:textId="77777777" w:rsidR="007C2C8E" w:rsidRPr="001761B8" w:rsidRDefault="007C2C8E" w:rsidP="001761B8">
      <w:pPr>
        <w:rPr>
          <w:b/>
          <w:bCs/>
        </w:rPr>
      </w:pPr>
    </w:p>
    <w:p w14:paraId="348B1EA7" w14:textId="77777777" w:rsidR="007C2C8E" w:rsidRPr="007C2C8E" w:rsidRDefault="007C2C8E" w:rsidP="007C2C8E">
      <w:pPr>
        <w:spacing w:line="259" w:lineRule="auto"/>
        <w:jc w:val="left"/>
      </w:pPr>
      <w:r w:rsidRPr="007C2C8E">
        <w:br w:type="page"/>
      </w:r>
    </w:p>
    <w:p w14:paraId="5823AFE1" w14:textId="77777777" w:rsidR="007C2C8E" w:rsidRPr="007C2C8E" w:rsidRDefault="007C2C8E" w:rsidP="007514DC">
      <w:pPr>
        <w:pStyle w:val="Heading1"/>
      </w:pPr>
      <w:bookmarkStart w:id="1" w:name="_Toc240927721"/>
      <w:r w:rsidRPr="007C2C8E">
        <w:t>Acknowledgements</w:t>
      </w:r>
      <w:bookmarkEnd w:id="1"/>
    </w:p>
    <w:p w14:paraId="6C1F21F4" w14:textId="0D6AECDA" w:rsidR="007C2C8E" w:rsidRPr="007C2C8E" w:rsidRDefault="007C2C8E" w:rsidP="007C2C8E">
      <w:r w:rsidRPr="007C2C8E">
        <w:t xml:space="preserve">I would like to express my heartfelt thanks to my supervisor, Dr Christopher Mafuva, for guidance, constructive comments, encouragement and academic support throughout the process of writing this dissertation. </w:t>
      </w:r>
    </w:p>
    <w:p w14:paraId="016677F8" w14:textId="77777777" w:rsidR="007C2C8E" w:rsidRPr="007C2C8E" w:rsidRDefault="007C2C8E" w:rsidP="007C2C8E">
      <w:r w:rsidRPr="007C2C8E">
        <w:t>I also wish to express my gratitude to the staff of the MSc in Public Health and Social Care in Practice programme for all their knowledge, resources and support that were made available throughout my studies.</w:t>
      </w:r>
    </w:p>
    <w:p w14:paraId="53150EFA" w14:textId="77777777" w:rsidR="007C2C8E" w:rsidRPr="007C2C8E" w:rsidRDefault="007C2C8E" w:rsidP="007C2C8E">
      <w:r w:rsidRPr="007C2C8E">
        <w:t>I would like to thank my family and friends for their patience, encouragement and support throughout this dissertation. They have been a pillar of support for me in my learning process, and it is their understanding and motivation that have always helped me.</w:t>
      </w:r>
    </w:p>
    <w:p w14:paraId="69EC7B43" w14:textId="67ABB116" w:rsidR="007C2C8E" w:rsidRPr="007C2C8E" w:rsidRDefault="007C2C8E" w:rsidP="007C2C8E">
      <w:r w:rsidRPr="007C2C8E">
        <w:t>Last</w:t>
      </w:r>
      <w:r w:rsidR="00E679F8">
        <w:t>ly</w:t>
      </w:r>
      <w:r w:rsidRPr="007C2C8E">
        <w:t>, I would like to thank all the researchers and organisations who have published their studies, clinical guidelines, and public health resources, which have contributed to the evidence that has been included in this dissertation.</w:t>
      </w:r>
    </w:p>
    <w:p w14:paraId="23CD7E06" w14:textId="77777777" w:rsidR="00900B3D" w:rsidRPr="000059FF" w:rsidRDefault="00900B3D" w:rsidP="008723B6">
      <w:pPr>
        <w:spacing w:line="480" w:lineRule="auto"/>
        <w:jc w:val="left"/>
      </w:pPr>
    </w:p>
    <w:p w14:paraId="4F6605F8" w14:textId="77777777" w:rsidR="00103A4A" w:rsidRDefault="00103A4A">
      <w:pPr>
        <w:spacing w:line="259" w:lineRule="auto"/>
        <w:jc w:val="left"/>
      </w:pPr>
      <w:r>
        <w:br w:type="page"/>
      </w:r>
    </w:p>
    <w:p w14:paraId="5AB1E248" w14:textId="2938D97B" w:rsidR="005F4D3F" w:rsidRDefault="005F4D3F" w:rsidP="001245E2">
      <w:pPr>
        <w:pStyle w:val="Heading1"/>
      </w:pPr>
      <w:bookmarkStart w:id="2" w:name="_Toc240927722"/>
      <w:r w:rsidRPr="005F4D3F">
        <w:t>Abstract</w:t>
      </w:r>
      <w:bookmarkEnd w:id="2"/>
    </w:p>
    <w:p w14:paraId="3CD8E47B" w14:textId="77777777" w:rsidR="00307562" w:rsidRDefault="00307562" w:rsidP="00307562">
      <w:r w:rsidRPr="00E679F8">
        <w:rPr>
          <w:b/>
          <w:bCs/>
        </w:rPr>
        <w:t>Background:</w:t>
      </w:r>
      <w:r>
        <w:t xml:space="preserve"> UTI is a major clinical and public health concern, with effective prevention requiring adequate knowledge of symptoms, risk factors, UTI prevention practices and prompt seeking of help. However, there is little evidence that specifically focuses on knowledge and prevention of UTIs in adolescents aged 10–19 years in the United Kingdom (UK).</w:t>
      </w:r>
    </w:p>
    <w:p w14:paraId="67C207FD" w14:textId="77777777" w:rsidR="00307562" w:rsidRDefault="00307562" w:rsidP="00307562">
      <w:r w:rsidRPr="00E679F8">
        <w:rPr>
          <w:b/>
          <w:bCs/>
        </w:rPr>
        <w:t>Objective:</w:t>
      </w:r>
      <w:r>
        <w:t xml:space="preserve"> The aim of this systematic review was to explore factors associated with knowledge, awareness and prevention practices of adolescents about UTIs, especially in the UK context.</w:t>
      </w:r>
    </w:p>
    <w:p w14:paraId="19B975CA" w14:textId="77777777" w:rsidR="00307562" w:rsidRDefault="00307562" w:rsidP="00307562">
      <w:r w:rsidRPr="00E679F8">
        <w:rPr>
          <w:b/>
          <w:bCs/>
        </w:rPr>
        <w:t>Methods:</w:t>
      </w:r>
      <w:r>
        <w:t xml:space="preserve"> Literature from January 2016 to August 2026 was searched on MEDLINE/PubMed, CINAHL, Embase, Web of Science, ScienceDirect, Cochrane Library and additional Google Scholar/citation searches. The selection of studies was based on the PRISMA 2020 and PRISMA-S principles. A total of 200 unique records were screened from 290 identified records, 43 articles were available in full text to be assessed, and 13 studies were included in the final synthesis.</w:t>
      </w:r>
    </w:p>
    <w:p w14:paraId="7AE88A0A" w14:textId="77777777" w:rsidR="00307562" w:rsidRDefault="00307562" w:rsidP="00307562">
      <w:r w:rsidRPr="00E679F8">
        <w:rPr>
          <w:b/>
          <w:bCs/>
        </w:rPr>
        <w:t>Results:</w:t>
      </w:r>
      <w:r>
        <w:t xml:space="preserve"> All 13 Studies involved female adolescent participants and took place in India and Egypt. The five themes that were identified were: Incomplete knowledge of UTI; Inconsistent preventive practices; Immediate improvement after structured education; Knowledge and behaviour gap; and Educational and social context.</w:t>
      </w:r>
    </w:p>
    <w:p w14:paraId="5C14D9B6" w14:textId="4604A2A9" w:rsidR="000968CB" w:rsidRPr="000968CB" w:rsidRDefault="00307562" w:rsidP="00307562">
      <w:r w:rsidRPr="00E679F8">
        <w:rPr>
          <w:b/>
          <w:bCs/>
        </w:rPr>
        <w:t>Summary:</w:t>
      </w:r>
      <w:r>
        <w:t xml:space="preserve"> Prevention of adolescent UTI is more than just providing information. There may also be aspects of confidence, opportunity, daily life and social setting that affect behaviour. There is a need for research specific to UK adolescents (ages 10-19 years) that includes both girls and boys.</w:t>
      </w:r>
    </w:p>
    <w:p w14:paraId="7CFE7662" w14:textId="77777777" w:rsidR="005F4D3F" w:rsidRPr="005F4D3F" w:rsidRDefault="005F4D3F" w:rsidP="005F4D3F">
      <w:r w:rsidRPr="005F4D3F">
        <w:rPr>
          <w:b/>
          <w:bCs/>
        </w:rPr>
        <w:t>Keywords:</w:t>
      </w:r>
      <w:r w:rsidRPr="005F4D3F">
        <w:t xml:space="preserve"> Urinary tract infection; UTI; adolescents; knowledge; awareness; prevention; preventive practice; health literacy; self-care; United Kingdom.</w:t>
      </w:r>
    </w:p>
    <w:p w14:paraId="73D2B140" w14:textId="1EB83776" w:rsidR="000968CB" w:rsidRPr="00CA2E76" w:rsidRDefault="000968CB">
      <w:pPr>
        <w:spacing w:line="259" w:lineRule="auto"/>
        <w:jc w:val="left"/>
        <w:rPr>
          <w:b/>
          <w:bCs/>
        </w:rPr>
      </w:pPr>
      <w:r>
        <w:br w:type="page"/>
      </w:r>
    </w:p>
    <w:p w14:paraId="7FB7A0F1" w14:textId="77777777" w:rsidR="003452EB" w:rsidRPr="003452EB" w:rsidRDefault="003452EB" w:rsidP="003452EB">
      <w:pPr>
        <w:pStyle w:val="Heading1"/>
      </w:pPr>
      <w:bookmarkStart w:id="3" w:name="_Toc240927723"/>
      <w:r w:rsidRPr="003452EB">
        <w:t>List of Abbreviations</w:t>
      </w:r>
      <w:bookmarkEnd w:id="3"/>
    </w:p>
    <w:tbl>
      <w:tblPr>
        <w:tblStyle w:val="TableGrid"/>
        <w:tblW w:w="0" w:type="auto"/>
        <w:tblLook w:val="04A0" w:firstRow="1" w:lastRow="0" w:firstColumn="1" w:lastColumn="0" w:noHBand="0" w:noVBand="1"/>
      </w:tblPr>
      <w:tblGrid>
        <w:gridCol w:w="1561"/>
        <w:gridCol w:w="7736"/>
      </w:tblGrid>
      <w:tr w:rsidR="003452EB" w:rsidRPr="003452EB" w14:paraId="4387157E" w14:textId="77777777" w:rsidTr="003452EB">
        <w:tc>
          <w:tcPr>
            <w:tcW w:w="1525" w:type="dxa"/>
            <w:hideMark/>
          </w:tcPr>
          <w:p w14:paraId="42A64AB7" w14:textId="77777777" w:rsidR="003452EB" w:rsidRPr="003452EB" w:rsidRDefault="003452EB" w:rsidP="003452EB">
            <w:pPr>
              <w:spacing w:after="160" w:line="259" w:lineRule="auto"/>
              <w:jc w:val="left"/>
              <w:rPr>
                <w:b/>
                <w:bCs/>
              </w:rPr>
            </w:pPr>
            <w:r w:rsidRPr="003452EB">
              <w:rPr>
                <w:b/>
                <w:bCs/>
              </w:rPr>
              <w:t>Abbreviation</w:t>
            </w:r>
          </w:p>
        </w:tc>
        <w:tc>
          <w:tcPr>
            <w:tcW w:w="7736" w:type="dxa"/>
            <w:hideMark/>
          </w:tcPr>
          <w:p w14:paraId="008D306A" w14:textId="77777777" w:rsidR="003452EB" w:rsidRPr="003452EB" w:rsidRDefault="003452EB" w:rsidP="003452EB">
            <w:pPr>
              <w:spacing w:after="160" w:line="259" w:lineRule="auto"/>
              <w:jc w:val="left"/>
              <w:rPr>
                <w:b/>
                <w:bCs/>
              </w:rPr>
            </w:pPr>
            <w:r w:rsidRPr="003452EB">
              <w:rPr>
                <w:b/>
                <w:bCs/>
              </w:rPr>
              <w:t>Full Form</w:t>
            </w:r>
          </w:p>
        </w:tc>
      </w:tr>
      <w:tr w:rsidR="003452EB" w:rsidRPr="003452EB" w14:paraId="0F9DDFB6" w14:textId="77777777" w:rsidTr="003452EB">
        <w:tc>
          <w:tcPr>
            <w:tcW w:w="1525" w:type="dxa"/>
            <w:hideMark/>
          </w:tcPr>
          <w:p w14:paraId="30506B73" w14:textId="77777777" w:rsidR="003452EB" w:rsidRPr="003452EB" w:rsidRDefault="003452EB" w:rsidP="003452EB">
            <w:pPr>
              <w:spacing w:after="160" w:line="259" w:lineRule="auto"/>
              <w:jc w:val="left"/>
            </w:pPr>
            <w:r w:rsidRPr="003452EB">
              <w:t>AMR</w:t>
            </w:r>
          </w:p>
        </w:tc>
        <w:tc>
          <w:tcPr>
            <w:tcW w:w="7736" w:type="dxa"/>
            <w:hideMark/>
          </w:tcPr>
          <w:p w14:paraId="1836F691" w14:textId="77777777" w:rsidR="003452EB" w:rsidRPr="003452EB" w:rsidRDefault="003452EB" w:rsidP="003452EB">
            <w:pPr>
              <w:spacing w:after="160" w:line="259" w:lineRule="auto"/>
              <w:jc w:val="left"/>
            </w:pPr>
            <w:r w:rsidRPr="003452EB">
              <w:t>Antimicrobial Resistance</w:t>
            </w:r>
          </w:p>
        </w:tc>
      </w:tr>
      <w:tr w:rsidR="003452EB" w:rsidRPr="003452EB" w14:paraId="60B37548" w14:textId="77777777" w:rsidTr="003452EB">
        <w:tc>
          <w:tcPr>
            <w:tcW w:w="1525" w:type="dxa"/>
            <w:hideMark/>
          </w:tcPr>
          <w:p w14:paraId="369C0416" w14:textId="77777777" w:rsidR="003452EB" w:rsidRPr="003452EB" w:rsidRDefault="003452EB" w:rsidP="003452EB">
            <w:pPr>
              <w:spacing w:after="160" w:line="259" w:lineRule="auto"/>
              <w:jc w:val="left"/>
            </w:pPr>
            <w:r w:rsidRPr="003452EB">
              <w:t>CASP</w:t>
            </w:r>
          </w:p>
        </w:tc>
        <w:tc>
          <w:tcPr>
            <w:tcW w:w="7736" w:type="dxa"/>
            <w:hideMark/>
          </w:tcPr>
          <w:p w14:paraId="1A5597F6" w14:textId="77777777" w:rsidR="003452EB" w:rsidRPr="003452EB" w:rsidRDefault="003452EB" w:rsidP="003452EB">
            <w:pPr>
              <w:spacing w:after="160" w:line="259" w:lineRule="auto"/>
              <w:jc w:val="left"/>
            </w:pPr>
            <w:r w:rsidRPr="003452EB">
              <w:t>Critical Appraisal Skills Programme</w:t>
            </w:r>
          </w:p>
        </w:tc>
      </w:tr>
      <w:tr w:rsidR="003452EB" w:rsidRPr="003452EB" w14:paraId="0886905F" w14:textId="77777777" w:rsidTr="003452EB">
        <w:tc>
          <w:tcPr>
            <w:tcW w:w="1525" w:type="dxa"/>
            <w:hideMark/>
          </w:tcPr>
          <w:p w14:paraId="5FA73ED8" w14:textId="77777777" w:rsidR="003452EB" w:rsidRPr="003452EB" w:rsidRDefault="003452EB" w:rsidP="003452EB">
            <w:pPr>
              <w:spacing w:after="160" w:line="259" w:lineRule="auto"/>
              <w:jc w:val="left"/>
            </w:pPr>
            <w:r w:rsidRPr="003452EB">
              <w:t>COM-B</w:t>
            </w:r>
          </w:p>
        </w:tc>
        <w:tc>
          <w:tcPr>
            <w:tcW w:w="7736" w:type="dxa"/>
            <w:hideMark/>
          </w:tcPr>
          <w:p w14:paraId="2E22CFB1" w14:textId="77777777" w:rsidR="003452EB" w:rsidRPr="003452EB" w:rsidRDefault="003452EB" w:rsidP="003452EB">
            <w:pPr>
              <w:spacing w:after="160" w:line="259" w:lineRule="auto"/>
              <w:jc w:val="left"/>
            </w:pPr>
            <w:r w:rsidRPr="003452EB">
              <w:t>Capability, Opportunity, Motivation–Behaviour</w:t>
            </w:r>
          </w:p>
        </w:tc>
      </w:tr>
      <w:tr w:rsidR="003452EB" w:rsidRPr="003452EB" w14:paraId="2066A3CE" w14:textId="77777777" w:rsidTr="003452EB">
        <w:tc>
          <w:tcPr>
            <w:tcW w:w="1525" w:type="dxa"/>
            <w:hideMark/>
          </w:tcPr>
          <w:p w14:paraId="2D5D4289" w14:textId="77777777" w:rsidR="003452EB" w:rsidRPr="003452EB" w:rsidRDefault="003452EB" w:rsidP="003452EB">
            <w:pPr>
              <w:spacing w:after="160" w:line="259" w:lineRule="auto"/>
              <w:jc w:val="left"/>
            </w:pPr>
            <w:r w:rsidRPr="003452EB">
              <w:t>DDD</w:t>
            </w:r>
          </w:p>
        </w:tc>
        <w:tc>
          <w:tcPr>
            <w:tcW w:w="7736" w:type="dxa"/>
            <w:hideMark/>
          </w:tcPr>
          <w:p w14:paraId="6DCE5A2F" w14:textId="77777777" w:rsidR="003452EB" w:rsidRPr="003452EB" w:rsidRDefault="003452EB" w:rsidP="003452EB">
            <w:pPr>
              <w:spacing w:after="160" w:line="259" w:lineRule="auto"/>
              <w:jc w:val="left"/>
            </w:pPr>
            <w:r w:rsidRPr="003452EB">
              <w:t>Defined Daily Dose</w:t>
            </w:r>
          </w:p>
        </w:tc>
      </w:tr>
      <w:tr w:rsidR="003452EB" w:rsidRPr="003452EB" w14:paraId="1E7F4AF0" w14:textId="77777777" w:rsidTr="003452EB">
        <w:tc>
          <w:tcPr>
            <w:tcW w:w="1525" w:type="dxa"/>
            <w:hideMark/>
          </w:tcPr>
          <w:p w14:paraId="1CA6CA83" w14:textId="77777777" w:rsidR="003452EB" w:rsidRPr="003452EB" w:rsidRDefault="003452EB" w:rsidP="003452EB">
            <w:pPr>
              <w:spacing w:after="160" w:line="259" w:lineRule="auto"/>
              <w:jc w:val="left"/>
            </w:pPr>
            <w:r w:rsidRPr="003452EB">
              <w:t>GP</w:t>
            </w:r>
          </w:p>
        </w:tc>
        <w:tc>
          <w:tcPr>
            <w:tcW w:w="7736" w:type="dxa"/>
            <w:hideMark/>
          </w:tcPr>
          <w:p w14:paraId="45B3D1AA" w14:textId="77777777" w:rsidR="003452EB" w:rsidRPr="003452EB" w:rsidRDefault="003452EB" w:rsidP="003452EB">
            <w:pPr>
              <w:spacing w:after="160" w:line="259" w:lineRule="auto"/>
              <w:jc w:val="left"/>
            </w:pPr>
            <w:r w:rsidRPr="003452EB">
              <w:t>General Practitioner</w:t>
            </w:r>
          </w:p>
        </w:tc>
      </w:tr>
      <w:tr w:rsidR="003452EB" w:rsidRPr="003452EB" w14:paraId="0A5F4293" w14:textId="77777777" w:rsidTr="003452EB">
        <w:tc>
          <w:tcPr>
            <w:tcW w:w="1525" w:type="dxa"/>
            <w:hideMark/>
          </w:tcPr>
          <w:p w14:paraId="146AAD69" w14:textId="77777777" w:rsidR="003452EB" w:rsidRPr="003452EB" w:rsidRDefault="003452EB" w:rsidP="003452EB">
            <w:pPr>
              <w:spacing w:after="160" w:line="259" w:lineRule="auto"/>
              <w:jc w:val="left"/>
            </w:pPr>
            <w:r w:rsidRPr="003452EB">
              <w:t>HRA</w:t>
            </w:r>
          </w:p>
        </w:tc>
        <w:tc>
          <w:tcPr>
            <w:tcW w:w="7736" w:type="dxa"/>
            <w:hideMark/>
          </w:tcPr>
          <w:p w14:paraId="5B8B4EEA" w14:textId="77777777" w:rsidR="003452EB" w:rsidRPr="003452EB" w:rsidRDefault="003452EB" w:rsidP="003452EB">
            <w:pPr>
              <w:spacing w:after="160" w:line="259" w:lineRule="auto"/>
              <w:jc w:val="left"/>
            </w:pPr>
            <w:r w:rsidRPr="003452EB">
              <w:t>Health Research Authority</w:t>
            </w:r>
          </w:p>
        </w:tc>
      </w:tr>
      <w:tr w:rsidR="003452EB" w:rsidRPr="003452EB" w14:paraId="5F693C80" w14:textId="77777777" w:rsidTr="003452EB">
        <w:tc>
          <w:tcPr>
            <w:tcW w:w="1525" w:type="dxa"/>
            <w:hideMark/>
          </w:tcPr>
          <w:p w14:paraId="0389B389" w14:textId="77777777" w:rsidR="003452EB" w:rsidRPr="003452EB" w:rsidRDefault="003452EB" w:rsidP="003452EB">
            <w:pPr>
              <w:spacing w:after="160" w:line="259" w:lineRule="auto"/>
              <w:jc w:val="left"/>
            </w:pPr>
            <w:r w:rsidRPr="003452EB">
              <w:t>JBI</w:t>
            </w:r>
          </w:p>
        </w:tc>
        <w:tc>
          <w:tcPr>
            <w:tcW w:w="7736" w:type="dxa"/>
            <w:hideMark/>
          </w:tcPr>
          <w:p w14:paraId="54B92FBD" w14:textId="77777777" w:rsidR="003452EB" w:rsidRPr="003452EB" w:rsidRDefault="003452EB" w:rsidP="003452EB">
            <w:pPr>
              <w:spacing w:after="160" w:line="259" w:lineRule="auto"/>
              <w:jc w:val="left"/>
            </w:pPr>
            <w:r w:rsidRPr="003452EB">
              <w:t>Joanna Briggs Institute</w:t>
            </w:r>
          </w:p>
        </w:tc>
      </w:tr>
      <w:tr w:rsidR="003452EB" w:rsidRPr="003452EB" w14:paraId="3F6AF0FD" w14:textId="77777777" w:rsidTr="003452EB">
        <w:tc>
          <w:tcPr>
            <w:tcW w:w="1525" w:type="dxa"/>
            <w:hideMark/>
          </w:tcPr>
          <w:p w14:paraId="6342E858" w14:textId="77777777" w:rsidR="003452EB" w:rsidRPr="003452EB" w:rsidRDefault="003452EB" w:rsidP="003452EB">
            <w:pPr>
              <w:spacing w:after="160" w:line="259" w:lineRule="auto"/>
              <w:jc w:val="left"/>
            </w:pPr>
            <w:r w:rsidRPr="003452EB">
              <w:t>MeSH</w:t>
            </w:r>
          </w:p>
        </w:tc>
        <w:tc>
          <w:tcPr>
            <w:tcW w:w="7736" w:type="dxa"/>
            <w:hideMark/>
          </w:tcPr>
          <w:p w14:paraId="18D85CC0" w14:textId="77777777" w:rsidR="003452EB" w:rsidRPr="003452EB" w:rsidRDefault="003452EB" w:rsidP="003452EB">
            <w:pPr>
              <w:spacing w:after="160" w:line="259" w:lineRule="auto"/>
              <w:jc w:val="left"/>
            </w:pPr>
            <w:r w:rsidRPr="003452EB">
              <w:t>Medical Subject Headings</w:t>
            </w:r>
          </w:p>
        </w:tc>
      </w:tr>
      <w:tr w:rsidR="003452EB" w:rsidRPr="003452EB" w14:paraId="42F43591" w14:textId="77777777" w:rsidTr="003452EB">
        <w:tc>
          <w:tcPr>
            <w:tcW w:w="1525" w:type="dxa"/>
            <w:hideMark/>
          </w:tcPr>
          <w:p w14:paraId="04ABFF71" w14:textId="77777777" w:rsidR="003452EB" w:rsidRPr="003452EB" w:rsidRDefault="003452EB" w:rsidP="003452EB">
            <w:pPr>
              <w:spacing w:after="160" w:line="259" w:lineRule="auto"/>
              <w:jc w:val="left"/>
            </w:pPr>
            <w:r w:rsidRPr="003452EB">
              <w:t>MMAT</w:t>
            </w:r>
          </w:p>
        </w:tc>
        <w:tc>
          <w:tcPr>
            <w:tcW w:w="7736" w:type="dxa"/>
            <w:hideMark/>
          </w:tcPr>
          <w:p w14:paraId="55734A3F" w14:textId="77777777" w:rsidR="003452EB" w:rsidRPr="003452EB" w:rsidRDefault="003452EB" w:rsidP="003452EB">
            <w:pPr>
              <w:spacing w:after="160" w:line="259" w:lineRule="auto"/>
              <w:jc w:val="left"/>
            </w:pPr>
            <w:r w:rsidRPr="003452EB">
              <w:t>Mixed Methods Appraisal Tool</w:t>
            </w:r>
          </w:p>
        </w:tc>
      </w:tr>
      <w:tr w:rsidR="003452EB" w:rsidRPr="003452EB" w14:paraId="025E632A" w14:textId="77777777" w:rsidTr="003452EB">
        <w:tc>
          <w:tcPr>
            <w:tcW w:w="1525" w:type="dxa"/>
            <w:hideMark/>
          </w:tcPr>
          <w:p w14:paraId="2DB7DDFC" w14:textId="77777777" w:rsidR="003452EB" w:rsidRPr="003452EB" w:rsidRDefault="003452EB" w:rsidP="003452EB">
            <w:pPr>
              <w:spacing w:after="160" w:line="259" w:lineRule="auto"/>
              <w:jc w:val="left"/>
            </w:pPr>
            <w:r w:rsidRPr="003452EB">
              <w:t>NHS</w:t>
            </w:r>
          </w:p>
        </w:tc>
        <w:tc>
          <w:tcPr>
            <w:tcW w:w="7736" w:type="dxa"/>
            <w:hideMark/>
          </w:tcPr>
          <w:p w14:paraId="01CBCC04" w14:textId="77777777" w:rsidR="003452EB" w:rsidRPr="003452EB" w:rsidRDefault="003452EB" w:rsidP="003452EB">
            <w:pPr>
              <w:spacing w:after="160" w:line="259" w:lineRule="auto"/>
              <w:jc w:val="left"/>
            </w:pPr>
            <w:r w:rsidRPr="003452EB">
              <w:t>National Health Service</w:t>
            </w:r>
          </w:p>
        </w:tc>
      </w:tr>
      <w:tr w:rsidR="003452EB" w:rsidRPr="003452EB" w14:paraId="4DA76300" w14:textId="77777777" w:rsidTr="003452EB">
        <w:tc>
          <w:tcPr>
            <w:tcW w:w="1525" w:type="dxa"/>
            <w:hideMark/>
          </w:tcPr>
          <w:p w14:paraId="7A0EEE17" w14:textId="77777777" w:rsidR="003452EB" w:rsidRPr="003452EB" w:rsidRDefault="003452EB" w:rsidP="003452EB">
            <w:pPr>
              <w:spacing w:after="160" w:line="259" w:lineRule="auto"/>
              <w:jc w:val="left"/>
            </w:pPr>
            <w:r w:rsidRPr="003452EB">
              <w:t>NICE</w:t>
            </w:r>
          </w:p>
        </w:tc>
        <w:tc>
          <w:tcPr>
            <w:tcW w:w="7736" w:type="dxa"/>
            <w:hideMark/>
          </w:tcPr>
          <w:p w14:paraId="29D0E329" w14:textId="77777777" w:rsidR="003452EB" w:rsidRPr="003452EB" w:rsidRDefault="003452EB" w:rsidP="003452EB">
            <w:pPr>
              <w:spacing w:after="160" w:line="259" w:lineRule="auto"/>
              <w:jc w:val="left"/>
            </w:pPr>
            <w:r w:rsidRPr="003452EB">
              <w:t>National Institute for Health and Care Excellence</w:t>
            </w:r>
          </w:p>
        </w:tc>
      </w:tr>
      <w:tr w:rsidR="003452EB" w:rsidRPr="003452EB" w14:paraId="4FDB1594" w14:textId="77777777" w:rsidTr="003452EB">
        <w:tc>
          <w:tcPr>
            <w:tcW w:w="1525" w:type="dxa"/>
            <w:hideMark/>
          </w:tcPr>
          <w:p w14:paraId="298DDF4D" w14:textId="77777777" w:rsidR="003452EB" w:rsidRPr="003452EB" w:rsidRDefault="003452EB" w:rsidP="003452EB">
            <w:pPr>
              <w:spacing w:after="160" w:line="259" w:lineRule="auto"/>
              <w:jc w:val="left"/>
            </w:pPr>
            <w:r w:rsidRPr="003452EB">
              <w:t>PRISMA</w:t>
            </w:r>
          </w:p>
        </w:tc>
        <w:tc>
          <w:tcPr>
            <w:tcW w:w="7736" w:type="dxa"/>
            <w:hideMark/>
          </w:tcPr>
          <w:p w14:paraId="42BC60D1" w14:textId="77777777" w:rsidR="003452EB" w:rsidRPr="003452EB" w:rsidRDefault="003452EB" w:rsidP="003452EB">
            <w:pPr>
              <w:spacing w:after="160" w:line="259" w:lineRule="auto"/>
              <w:jc w:val="left"/>
            </w:pPr>
            <w:r w:rsidRPr="003452EB">
              <w:t>Preferred Reporting Items for Systematic Reviews and Meta-Analyses</w:t>
            </w:r>
          </w:p>
        </w:tc>
      </w:tr>
      <w:tr w:rsidR="003452EB" w:rsidRPr="003452EB" w14:paraId="193EA0FE" w14:textId="77777777" w:rsidTr="003452EB">
        <w:tc>
          <w:tcPr>
            <w:tcW w:w="1525" w:type="dxa"/>
            <w:hideMark/>
          </w:tcPr>
          <w:p w14:paraId="22D7BEEF" w14:textId="77777777" w:rsidR="003452EB" w:rsidRPr="003452EB" w:rsidRDefault="003452EB" w:rsidP="003452EB">
            <w:pPr>
              <w:spacing w:after="160" w:line="259" w:lineRule="auto"/>
              <w:jc w:val="left"/>
            </w:pPr>
            <w:r w:rsidRPr="003452EB">
              <w:t>PRISMA-S</w:t>
            </w:r>
          </w:p>
        </w:tc>
        <w:tc>
          <w:tcPr>
            <w:tcW w:w="7736" w:type="dxa"/>
            <w:hideMark/>
          </w:tcPr>
          <w:p w14:paraId="49C4AD71" w14:textId="77777777" w:rsidR="003452EB" w:rsidRPr="003452EB" w:rsidRDefault="003452EB" w:rsidP="003452EB">
            <w:pPr>
              <w:spacing w:after="160" w:line="259" w:lineRule="auto"/>
              <w:jc w:val="left"/>
            </w:pPr>
            <w:r w:rsidRPr="003452EB">
              <w:t>PRISMA Statement for Reporting Literature Searches in Systematic Reviews</w:t>
            </w:r>
          </w:p>
        </w:tc>
      </w:tr>
      <w:tr w:rsidR="003452EB" w:rsidRPr="003452EB" w14:paraId="3A38C29F" w14:textId="77777777" w:rsidTr="003452EB">
        <w:tc>
          <w:tcPr>
            <w:tcW w:w="1525" w:type="dxa"/>
            <w:hideMark/>
          </w:tcPr>
          <w:p w14:paraId="12B2FB0E" w14:textId="77777777" w:rsidR="003452EB" w:rsidRPr="003452EB" w:rsidRDefault="003452EB" w:rsidP="003452EB">
            <w:pPr>
              <w:spacing w:after="160" w:line="259" w:lineRule="auto"/>
              <w:jc w:val="left"/>
            </w:pPr>
            <w:r w:rsidRPr="003452EB">
              <w:t>REC</w:t>
            </w:r>
          </w:p>
        </w:tc>
        <w:tc>
          <w:tcPr>
            <w:tcW w:w="7736" w:type="dxa"/>
            <w:hideMark/>
          </w:tcPr>
          <w:p w14:paraId="77560633" w14:textId="77777777" w:rsidR="003452EB" w:rsidRPr="003452EB" w:rsidRDefault="003452EB" w:rsidP="003452EB">
            <w:pPr>
              <w:spacing w:after="160" w:line="259" w:lineRule="auto"/>
              <w:jc w:val="left"/>
            </w:pPr>
            <w:r w:rsidRPr="003452EB">
              <w:t>Research Ethics Committee</w:t>
            </w:r>
          </w:p>
        </w:tc>
      </w:tr>
      <w:tr w:rsidR="003452EB" w:rsidRPr="003452EB" w14:paraId="0CF515A9" w14:textId="77777777" w:rsidTr="003452EB">
        <w:tc>
          <w:tcPr>
            <w:tcW w:w="1525" w:type="dxa"/>
            <w:hideMark/>
          </w:tcPr>
          <w:p w14:paraId="2E8F1D69" w14:textId="77777777" w:rsidR="003452EB" w:rsidRPr="003452EB" w:rsidRDefault="003452EB" w:rsidP="003452EB">
            <w:pPr>
              <w:spacing w:after="160" w:line="259" w:lineRule="auto"/>
              <w:jc w:val="left"/>
            </w:pPr>
            <w:r w:rsidRPr="003452EB">
              <w:t>rUTI</w:t>
            </w:r>
          </w:p>
        </w:tc>
        <w:tc>
          <w:tcPr>
            <w:tcW w:w="7736" w:type="dxa"/>
            <w:hideMark/>
          </w:tcPr>
          <w:p w14:paraId="43682235" w14:textId="77777777" w:rsidR="003452EB" w:rsidRPr="003452EB" w:rsidRDefault="003452EB" w:rsidP="003452EB">
            <w:pPr>
              <w:spacing w:after="160" w:line="259" w:lineRule="auto"/>
              <w:jc w:val="left"/>
            </w:pPr>
            <w:r w:rsidRPr="003452EB">
              <w:t>Recurrent Urinary Tract Infection</w:t>
            </w:r>
          </w:p>
        </w:tc>
      </w:tr>
      <w:tr w:rsidR="003452EB" w:rsidRPr="003452EB" w14:paraId="27512B4D" w14:textId="77777777" w:rsidTr="003452EB">
        <w:tc>
          <w:tcPr>
            <w:tcW w:w="1525" w:type="dxa"/>
            <w:hideMark/>
          </w:tcPr>
          <w:p w14:paraId="314CB608" w14:textId="77777777" w:rsidR="003452EB" w:rsidRPr="003452EB" w:rsidRDefault="003452EB" w:rsidP="003452EB">
            <w:pPr>
              <w:spacing w:after="160" w:line="259" w:lineRule="auto"/>
              <w:jc w:val="left"/>
            </w:pPr>
            <w:r w:rsidRPr="003452EB">
              <w:t>TDF</w:t>
            </w:r>
          </w:p>
        </w:tc>
        <w:tc>
          <w:tcPr>
            <w:tcW w:w="7736" w:type="dxa"/>
            <w:hideMark/>
          </w:tcPr>
          <w:p w14:paraId="66F02F3D" w14:textId="77777777" w:rsidR="003452EB" w:rsidRPr="003452EB" w:rsidRDefault="003452EB" w:rsidP="003452EB">
            <w:pPr>
              <w:spacing w:after="160" w:line="259" w:lineRule="auto"/>
              <w:jc w:val="left"/>
            </w:pPr>
            <w:r w:rsidRPr="003452EB">
              <w:t>Theoretical Domains Framework</w:t>
            </w:r>
          </w:p>
        </w:tc>
      </w:tr>
      <w:tr w:rsidR="003452EB" w:rsidRPr="003452EB" w14:paraId="78AC87C5" w14:textId="77777777" w:rsidTr="003452EB">
        <w:tc>
          <w:tcPr>
            <w:tcW w:w="1525" w:type="dxa"/>
            <w:hideMark/>
          </w:tcPr>
          <w:p w14:paraId="6FF6F147" w14:textId="77777777" w:rsidR="003452EB" w:rsidRPr="003452EB" w:rsidRDefault="003452EB" w:rsidP="003452EB">
            <w:pPr>
              <w:spacing w:after="160" w:line="259" w:lineRule="auto"/>
              <w:jc w:val="left"/>
            </w:pPr>
            <w:r w:rsidRPr="003452EB">
              <w:t>UK</w:t>
            </w:r>
          </w:p>
        </w:tc>
        <w:tc>
          <w:tcPr>
            <w:tcW w:w="7736" w:type="dxa"/>
            <w:hideMark/>
          </w:tcPr>
          <w:p w14:paraId="6F93157E" w14:textId="77777777" w:rsidR="003452EB" w:rsidRPr="003452EB" w:rsidRDefault="003452EB" w:rsidP="003452EB">
            <w:pPr>
              <w:spacing w:after="160" w:line="259" w:lineRule="auto"/>
              <w:jc w:val="left"/>
            </w:pPr>
            <w:r w:rsidRPr="003452EB">
              <w:t>United Kingdom</w:t>
            </w:r>
          </w:p>
        </w:tc>
      </w:tr>
      <w:tr w:rsidR="003452EB" w:rsidRPr="003452EB" w14:paraId="654A7138" w14:textId="77777777" w:rsidTr="003452EB">
        <w:tc>
          <w:tcPr>
            <w:tcW w:w="1525" w:type="dxa"/>
            <w:hideMark/>
          </w:tcPr>
          <w:p w14:paraId="0DE17A4B" w14:textId="77777777" w:rsidR="003452EB" w:rsidRPr="003452EB" w:rsidRDefault="003452EB" w:rsidP="003452EB">
            <w:pPr>
              <w:spacing w:after="160" w:line="259" w:lineRule="auto"/>
              <w:jc w:val="left"/>
            </w:pPr>
            <w:r w:rsidRPr="003452EB">
              <w:t>UKHSA</w:t>
            </w:r>
          </w:p>
        </w:tc>
        <w:tc>
          <w:tcPr>
            <w:tcW w:w="7736" w:type="dxa"/>
            <w:hideMark/>
          </w:tcPr>
          <w:p w14:paraId="1E1D4E1D" w14:textId="77777777" w:rsidR="003452EB" w:rsidRPr="003452EB" w:rsidRDefault="003452EB" w:rsidP="003452EB">
            <w:pPr>
              <w:spacing w:after="160" w:line="259" w:lineRule="auto"/>
              <w:jc w:val="left"/>
            </w:pPr>
            <w:r w:rsidRPr="003452EB">
              <w:t>UK Health Security Agency</w:t>
            </w:r>
          </w:p>
        </w:tc>
      </w:tr>
      <w:tr w:rsidR="003452EB" w:rsidRPr="003452EB" w14:paraId="773016D1" w14:textId="77777777" w:rsidTr="003452EB">
        <w:tc>
          <w:tcPr>
            <w:tcW w:w="1525" w:type="dxa"/>
            <w:hideMark/>
          </w:tcPr>
          <w:p w14:paraId="73E66481" w14:textId="77777777" w:rsidR="003452EB" w:rsidRPr="003452EB" w:rsidRDefault="003452EB" w:rsidP="003452EB">
            <w:pPr>
              <w:spacing w:after="160" w:line="259" w:lineRule="auto"/>
              <w:jc w:val="left"/>
            </w:pPr>
            <w:r w:rsidRPr="003452EB">
              <w:t>UTI</w:t>
            </w:r>
          </w:p>
        </w:tc>
        <w:tc>
          <w:tcPr>
            <w:tcW w:w="7736" w:type="dxa"/>
            <w:hideMark/>
          </w:tcPr>
          <w:p w14:paraId="68AAB008" w14:textId="77777777" w:rsidR="003452EB" w:rsidRPr="003452EB" w:rsidRDefault="003452EB" w:rsidP="003452EB">
            <w:pPr>
              <w:spacing w:after="160" w:line="259" w:lineRule="auto"/>
              <w:jc w:val="left"/>
            </w:pPr>
            <w:r w:rsidRPr="003452EB">
              <w:t>Urinary Tract Infection</w:t>
            </w:r>
          </w:p>
        </w:tc>
      </w:tr>
      <w:tr w:rsidR="003452EB" w:rsidRPr="003452EB" w14:paraId="68C229A2" w14:textId="77777777" w:rsidTr="003452EB">
        <w:tc>
          <w:tcPr>
            <w:tcW w:w="1525" w:type="dxa"/>
            <w:hideMark/>
          </w:tcPr>
          <w:p w14:paraId="0AE8500F" w14:textId="77777777" w:rsidR="003452EB" w:rsidRPr="003452EB" w:rsidRDefault="003452EB" w:rsidP="003452EB">
            <w:pPr>
              <w:spacing w:after="160" w:line="259" w:lineRule="auto"/>
              <w:jc w:val="left"/>
            </w:pPr>
            <w:r w:rsidRPr="003452EB">
              <w:t>WHO</w:t>
            </w:r>
          </w:p>
        </w:tc>
        <w:tc>
          <w:tcPr>
            <w:tcW w:w="7736" w:type="dxa"/>
            <w:hideMark/>
          </w:tcPr>
          <w:p w14:paraId="0D53F3F1" w14:textId="77777777" w:rsidR="003452EB" w:rsidRPr="003452EB" w:rsidRDefault="003452EB" w:rsidP="003452EB">
            <w:pPr>
              <w:spacing w:after="160" w:line="259" w:lineRule="auto"/>
              <w:jc w:val="left"/>
            </w:pPr>
            <w:r w:rsidRPr="003452EB">
              <w:t>World Health Organization</w:t>
            </w:r>
          </w:p>
        </w:tc>
      </w:tr>
    </w:tbl>
    <w:p w14:paraId="3EDFFC4C" w14:textId="77777777" w:rsidR="003452EB" w:rsidRDefault="003452EB">
      <w:pPr>
        <w:spacing w:line="259" w:lineRule="auto"/>
        <w:jc w:val="left"/>
        <w:rPr>
          <w:rFonts w:eastAsia="Times New Roman"/>
          <w:b/>
          <w:bCs/>
          <w:color w:val="FFFFFF" w:themeColor="background1"/>
          <w:sz w:val="32"/>
          <w:szCs w:val="32"/>
        </w:rPr>
      </w:pPr>
      <w:r>
        <w:br w:type="page"/>
      </w:r>
    </w:p>
    <w:p w14:paraId="3EC92214" w14:textId="441A4543" w:rsidR="00BD6B40" w:rsidRPr="00BD6B40" w:rsidRDefault="00BD6B40" w:rsidP="00BD6B40">
      <w:pPr>
        <w:pStyle w:val="Heading1"/>
      </w:pPr>
      <w:bookmarkStart w:id="4" w:name="_Toc240927724"/>
      <w:r w:rsidRPr="00BD6B40">
        <w:t>List of Tables</w:t>
      </w:r>
      <w:bookmarkEnd w:id="4"/>
    </w:p>
    <w:tbl>
      <w:tblPr>
        <w:tblStyle w:val="TableGrid"/>
        <w:tblW w:w="0" w:type="auto"/>
        <w:tblLook w:val="04A0" w:firstRow="1" w:lastRow="0" w:firstColumn="1" w:lastColumn="0" w:noHBand="0" w:noVBand="1"/>
      </w:tblPr>
      <w:tblGrid>
        <w:gridCol w:w="9350"/>
      </w:tblGrid>
      <w:tr w:rsidR="0082143F" w:rsidRPr="0082143F" w14:paraId="4BAD9B77" w14:textId="77777777" w:rsidTr="0082143F">
        <w:tc>
          <w:tcPr>
            <w:tcW w:w="9350" w:type="dxa"/>
          </w:tcPr>
          <w:p w14:paraId="73818A90" w14:textId="77777777" w:rsidR="0082143F" w:rsidRPr="0082143F" w:rsidRDefault="0082143F" w:rsidP="00710D34">
            <w:pPr>
              <w:jc w:val="left"/>
            </w:pPr>
            <w:r w:rsidRPr="00BD6B40">
              <w:t>Table 2.1: Key Literature Themes and Evidence Focus</w:t>
            </w:r>
          </w:p>
        </w:tc>
      </w:tr>
      <w:tr w:rsidR="0082143F" w:rsidRPr="0082143F" w14:paraId="402EBBBA" w14:textId="77777777" w:rsidTr="0082143F">
        <w:tc>
          <w:tcPr>
            <w:tcW w:w="9350" w:type="dxa"/>
          </w:tcPr>
          <w:p w14:paraId="5E320676" w14:textId="77777777" w:rsidR="0082143F" w:rsidRPr="0082143F" w:rsidRDefault="0082143F" w:rsidP="00710D34">
            <w:pPr>
              <w:jc w:val="left"/>
            </w:pPr>
            <w:r w:rsidRPr="00BD6B40">
              <w:t>Table 3.1: Search Framework and Search Concepts</w:t>
            </w:r>
          </w:p>
        </w:tc>
      </w:tr>
      <w:tr w:rsidR="0082143F" w:rsidRPr="0082143F" w14:paraId="6DDE58A9" w14:textId="77777777" w:rsidTr="0082143F">
        <w:tc>
          <w:tcPr>
            <w:tcW w:w="9350" w:type="dxa"/>
          </w:tcPr>
          <w:p w14:paraId="5BE4A6C2" w14:textId="77777777" w:rsidR="0082143F" w:rsidRPr="0082143F" w:rsidRDefault="0082143F" w:rsidP="00710D34">
            <w:pPr>
              <w:jc w:val="left"/>
            </w:pPr>
            <w:r w:rsidRPr="00BD6B40">
              <w:t>Table 3.2: Revised Database Search Record for the PRISMA Flow</w:t>
            </w:r>
          </w:p>
        </w:tc>
      </w:tr>
      <w:tr w:rsidR="0082143F" w:rsidRPr="0082143F" w14:paraId="3732A944" w14:textId="77777777" w:rsidTr="0082143F">
        <w:tc>
          <w:tcPr>
            <w:tcW w:w="9350" w:type="dxa"/>
          </w:tcPr>
          <w:p w14:paraId="05FC32B9" w14:textId="77777777" w:rsidR="0082143F" w:rsidRPr="0082143F" w:rsidRDefault="0082143F" w:rsidP="00710D34">
            <w:pPr>
              <w:jc w:val="left"/>
            </w:pPr>
            <w:r w:rsidRPr="00BD6B40">
              <w:t>Table 3.3: Inclusion and Exclusion Criteria</w:t>
            </w:r>
          </w:p>
        </w:tc>
      </w:tr>
      <w:tr w:rsidR="0082143F" w:rsidRPr="0082143F" w14:paraId="3193A429" w14:textId="77777777" w:rsidTr="0082143F">
        <w:tc>
          <w:tcPr>
            <w:tcW w:w="9350" w:type="dxa"/>
          </w:tcPr>
          <w:p w14:paraId="2D94692D" w14:textId="77777777" w:rsidR="0082143F" w:rsidRPr="0082143F" w:rsidRDefault="0082143F" w:rsidP="00710D34">
            <w:pPr>
              <w:jc w:val="left"/>
            </w:pPr>
            <w:r w:rsidRPr="00BD6B40">
              <w:t>Table 3.4: PRISMA Study-Selection Record</w:t>
            </w:r>
          </w:p>
        </w:tc>
      </w:tr>
      <w:tr w:rsidR="0082143F" w:rsidRPr="0082143F" w14:paraId="0C726015" w14:textId="77777777" w:rsidTr="0082143F">
        <w:tc>
          <w:tcPr>
            <w:tcW w:w="9350" w:type="dxa"/>
          </w:tcPr>
          <w:p w14:paraId="080D974F" w14:textId="77777777" w:rsidR="0082143F" w:rsidRPr="0082143F" w:rsidRDefault="0082143F" w:rsidP="00710D34">
            <w:pPr>
              <w:jc w:val="left"/>
            </w:pPr>
            <w:r w:rsidRPr="00BD6B40">
              <w:t>Table 3.5: Design-Specific Quality Appraisal Framework</w:t>
            </w:r>
          </w:p>
        </w:tc>
      </w:tr>
      <w:tr w:rsidR="0082143F" w:rsidRPr="0082143F" w14:paraId="233715A5" w14:textId="77777777" w:rsidTr="0082143F">
        <w:tc>
          <w:tcPr>
            <w:tcW w:w="9350" w:type="dxa"/>
          </w:tcPr>
          <w:p w14:paraId="1ADCC9D1" w14:textId="77777777" w:rsidR="0082143F" w:rsidRPr="0082143F" w:rsidRDefault="0082143F" w:rsidP="00710D34">
            <w:pPr>
              <w:jc w:val="left"/>
            </w:pPr>
            <w:r w:rsidRPr="00BD6B40">
              <w:t>Table 3.6: Data Extraction Framework</w:t>
            </w:r>
          </w:p>
        </w:tc>
      </w:tr>
      <w:tr w:rsidR="0082143F" w:rsidRPr="0082143F" w14:paraId="01D4CE59" w14:textId="77777777" w:rsidTr="0082143F">
        <w:tc>
          <w:tcPr>
            <w:tcW w:w="9350" w:type="dxa"/>
          </w:tcPr>
          <w:p w14:paraId="13460FB2" w14:textId="77777777" w:rsidR="0082143F" w:rsidRPr="0082143F" w:rsidRDefault="0082143F" w:rsidP="00710D34">
            <w:pPr>
              <w:jc w:val="left"/>
            </w:pPr>
            <w:r w:rsidRPr="00BD6B40">
              <w:t>Table 3.7: Thematic Synthesis Process</w:t>
            </w:r>
          </w:p>
        </w:tc>
      </w:tr>
      <w:tr w:rsidR="0082143F" w:rsidRPr="0082143F" w14:paraId="10116F25" w14:textId="77777777" w:rsidTr="0082143F">
        <w:tc>
          <w:tcPr>
            <w:tcW w:w="9350" w:type="dxa"/>
          </w:tcPr>
          <w:p w14:paraId="5BFCE607" w14:textId="77777777" w:rsidR="0082143F" w:rsidRPr="0082143F" w:rsidRDefault="0082143F" w:rsidP="00710D34">
            <w:pPr>
              <w:jc w:val="left"/>
            </w:pPr>
            <w:r w:rsidRPr="00BD6B40">
              <w:t>Table 4.1: Characteristics and Data Extraction of the 13 Included Studies</w:t>
            </w:r>
          </w:p>
        </w:tc>
      </w:tr>
      <w:tr w:rsidR="0082143F" w:rsidRPr="0082143F" w14:paraId="71C4CBC4" w14:textId="77777777" w:rsidTr="0082143F">
        <w:tc>
          <w:tcPr>
            <w:tcW w:w="9350" w:type="dxa"/>
          </w:tcPr>
          <w:p w14:paraId="07E18555" w14:textId="77777777" w:rsidR="0082143F" w:rsidRPr="0082143F" w:rsidRDefault="0082143F" w:rsidP="00710D34">
            <w:pPr>
              <w:jc w:val="left"/>
            </w:pPr>
            <w:r w:rsidRPr="00BD6B40">
              <w:t>Table 4.2: Development of the Main Themes</w:t>
            </w:r>
          </w:p>
        </w:tc>
      </w:tr>
      <w:tr w:rsidR="0082143F" w:rsidRPr="0082143F" w14:paraId="56310B33" w14:textId="77777777" w:rsidTr="0082143F">
        <w:tc>
          <w:tcPr>
            <w:tcW w:w="9350" w:type="dxa"/>
          </w:tcPr>
          <w:p w14:paraId="25CA1FC2" w14:textId="77777777" w:rsidR="0082143F" w:rsidRPr="0082143F" w:rsidRDefault="0082143F" w:rsidP="00710D34">
            <w:pPr>
              <w:jc w:val="left"/>
            </w:pPr>
            <w:r w:rsidRPr="00BD6B40">
              <w:t>Table 4.3: Cross-Study Comparison and Evidence Directness</w:t>
            </w:r>
          </w:p>
        </w:tc>
      </w:tr>
    </w:tbl>
    <w:p w14:paraId="1C8A29C5" w14:textId="77777777" w:rsidR="00BD6B40" w:rsidRPr="00BD6B40" w:rsidRDefault="00BD6B40" w:rsidP="00BD6B40">
      <w:pPr>
        <w:pStyle w:val="Heading1"/>
      </w:pPr>
      <w:bookmarkStart w:id="5" w:name="_Toc240927725"/>
      <w:r w:rsidRPr="00BD6B40">
        <w:t>List of Figures</w:t>
      </w:r>
      <w:bookmarkEnd w:id="5"/>
    </w:p>
    <w:tbl>
      <w:tblPr>
        <w:tblStyle w:val="TableGrid"/>
        <w:tblW w:w="0" w:type="auto"/>
        <w:tblLook w:val="04A0" w:firstRow="1" w:lastRow="0" w:firstColumn="1" w:lastColumn="0" w:noHBand="0" w:noVBand="1"/>
      </w:tblPr>
      <w:tblGrid>
        <w:gridCol w:w="9350"/>
      </w:tblGrid>
      <w:tr w:rsidR="0082143F" w:rsidRPr="0082143F" w14:paraId="1C282401" w14:textId="77777777" w:rsidTr="0082143F">
        <w:tc>
          <w:tcPr>
            <w:tcW w:w="9350" w:type="dxa"/>
          </w:tcPr>
          <w:p w14:paraId="1277E20F" w14:textId="77777777" w:rsidR="0082143F" w:rsidRPr="0082143F" w:rsidRDefault="0082143F" w:rsidP="00DB4D7C">
            <w:pPr>
              <w:jc w:val="left"/>
            </w:pPr>
            <w:r w:rsidRPr="00BD6B40">
              <w:t>Figure 1.1: Adolescent UTI Age and UK Care-Pathway Context (10–19 Years)</w:t>
            </w:r>
          </w:p>
        </w:tc>
      </w:tr>
      <w:tr w:rsidR="0082143F" w:rsidRPr="0082143F" w14:paraId="755C1247" w14:textId="77777777" w:rsidTr="0082143F">
        <w:tc>
          <w:tcPr>
            <w:tcW w:w="9350" w:type="dxa"/>
          </w:tcPr>
          <w:p w14:paraId="4AFA09F0" w14:textId="77777777" w:rsidR="0082143F" w:rsidRPr="0082143F" w:rsidRDefault="0082143F" w:rsidP="00DB4D7C">
            <w:pPr>
              <w:jc w:val="left"/>
            </w:pPr>
            <w:r w:rsidRPr="00BD6B40">
              <w:t>Figure 1.2: Private Non-NHS Antibiotic Consumption in England, 2019–2024</w:t>
            </w:r>
          </w:p>
        </w:tc>
      </w:tr>
      <w:tr w:rsidR="0082143F" w:rsidRPr="0082143F" w14:paraId="7FDD54D5" w14:textId="77777777" w:rsidTr="0082143F">
        <w:tc>
          <w:tcPr>
            <w:tcW w:w="9350" w:type="dxa"/>
          </w:tcPr>
          <w:p w14:paraId="683622AE" w14:textId="77777777" w:rsidR="0082143F" w:rsidRPr="0082143F" w:rsidRDefault="0082143F" w:rsidP="00DB4D7C">
            <w:pPr>
              <w:jc w:val="left"/>
            </w:pPr>
            <w:r w:rsidRPr="00BD6B40">
              <w:t>Figure 1.3: Dissertation Chapter Flow</w:t>
            </w:r>
          </w:p>
        </w:tc>
      </w:tr>
      <w:tr w:rsidR="0082143F" w:rsidRPr="0082143F" w14:paraId="1E550B1D" w14:textId="77777777" w:rsidTr="0082143F">
        <w:tc>
          <w:tcPr>
            <w:tcW w:w="9350" w:type="dxa"/>
          </w:tcPr>
          <w:p w14:paraId="690C7799" w14:textId="77777777" w:rsidR="0082143F" w:rsidRPr="0082143F" w:rsidRDefault="0082143F" w:rsidP="00DB4D7C">
            <w:pPr>
              <w:jc w:val="left"/>
            </w:pPr>
            <w:r w:rsidRPr="00BD6B40">
              <w:t>Figure 2.1: Health Literacy Framework for UTI Knowledge and Prevention among Adolescents</w:t>
            </w:r>
          </w:p>
        </w:tc>
      </w:tr>
      <w:tr w:rsidR="0082143F" w:rsidRPr="0082143F" w14:paraId="4BD92AFD" w14:textId="77777777" w:rsidTr="0082143F">
        <w:tc>
          <w:tcPr>
            <w:tcW w:w="9350" w:type="dxa"/>
          </w:tcPr>
          <w:p w14:paraId="3F982BE8" w14:textId="77777777" w:rsidR="0082143F" w:rsidRPr="0082143F" w:rsidRDefault="0082143F" w:rsidP="00DB4D7C">
            <w:pPr>
              <w:jc w:val="left"/>
            </w:pPr>
            <w:r w:rsidRPr="00BD6B40">
              <w:t>Figure 2.2: Self-Efficacy Framework for UTI Preventive Behaviour and Help-Seeking among Adolescents</w:t>
            </w:r>
          </w:p>
        </w:tc>
      </w:tr>
      <w:tr w:rsidR="0082143F" w:rsidRPr="0082143F" w14:paraId="3C1653AC" w14:textId="77777777" w:rsidTr="0082143F">
        <w:tc>
          <w:tcPr>
            <w:tcW w:w="9350" w:type="dxa"/>
          </w:tcPr>
          <w:p w14:paraId="6552FF3A" w14:textId="77777777" w:rsidR="0082143F" w:rsidRPr="0082143F" w:rsidRDefault="0082143F" w:rsidP="00DB4D7C">
            <w:pPr>
              <w:jc w:val="left"/>
            </w:pPr>
            <w:r w:rsidRPr="00BD6B40">
              <w:t>Figure 2.3: Orem’s Self-Care Framework for UTI Risk Management among Adolescents</w:t>
            </w:r>
          </w:p>
        </w:tc>
      </w:tr>
      <w:tr w:rsidR="0082143F" w:rsidRPr="0082143F" w14:paraId="4B9B16B6" w14:textId="77777777" w:rsidTr="0082143F">
        <w:tc>
          <w:tcPr>
            <w:tcW w:w="9350" w:type="dxa"/>
          </w:tcPr>
          <w:p w14:paraId="3F94D423" w14:textId="77777777" w:rsidR="0082143F" w:rsidRPr="0082143F" w:rsidRDefault="0082143F" w:rsidP="00DB4D7C">
            <w:pPr>
              <w:jc w:val="left"/>
            </w:pPr>
            <w:r w:rsidRPr="00BD6B40">
              <w:t>Figure 2.4: COM-B Model for UTI Prevention Behaviour among Adolescents</w:t>
            </w:r>
          </w:p>
        </w:tc>
      </w:tr>
      <w:tr w:rsidR="0082143F" w:rsidRPr="0082143F" w14:paraId="31308AE5" w14:textId="77777777" w:rsidTr="0082143F">
        <w:tc>
          <w:tcPr>
            <w:tcW w:w="9350" w:type="dxa"/>
          </w:tcPr>
          <w:p w14:paraId="17C30F59" w14:textId="77777777" w:rsidR="0082143F" w:rsidRPr="0082143F" w:rsidRDefault="0082143F" w:rsidP="00DB4D7C">
            <w:pPr>
              <w:jc w:val="left"/>
            </w:pPr>
            <w:r w:rsidRPr="00BD6B40">
              <w:t>Figure 2.5: Theoretical Domains Framework for UTI Prevention and Help-Seeking Behaviour among Adolescents</w:t>
            </w:r>
          </w:p>
        </w:tc>
      </w:tr>
      <w:tr w:rsidR="0082143F" w:rsidRPr="00BD6B40" w14:paraId="663221D8" w14:textId="77777777" w:rsidTr="0082143F">
        <w:tc>
          <w:tcPr>
            <w:tcW w:w="9350" w:type="dxa"/>
          </w:tcPr>
          <w:p w14:paraId="2E4D4A8F" w14:textId="77777777" w:rsidR="0082143F" w:rsidRPr="00BD6B40" w:rsidRDefault="0082143F" w:rsidP="00DB4D7C">
            <w:pPr>
              <w:jc w:val="left"/>
            </w:pPr>
            <w:r w:rsidRPr="00BD6B40">
              <w:t>Figure 4.1: PRISMA 2020 Flow Diagram of Study Selection</w:t>
            </w:r>
          </w:p>
        </w:tc>
      </w:tr>
    </w:tbl>
    <w:p w14:paraId="7B711965" w14:textId="042ECCEA" w:rsidR="00BD6B40" w:rsidRPr="00BD6B40" w:rsidRDefault="00BD6B40" w:rsidP="00BD6B40">
      <w:pPr>
        <w:jc w:val="left"/>
      </w:pPr>
    </w:p>
    <w:p w14:paraId="13945339" w14:textId="77777777" w:rsidR="00BD6B40" w:rsidRPr="00BD6B40" w:rsidRDefault="00BD6B40" w:rsidP="00BD6B40">
      <w:pPr>
        <w:jc w:val="left"/>
      </w:pPr>
    </w:p>
    <w:p w14:paraId="1DC8F252" w14:textId="77777777" w:rsidR="005F4D3F" w:rsidRPr="005F4D3F" w:rsidRDefault="005F4D3F" w:rsidP="005F4D3F"/>
    <w:p w14:paraId="06AE5395" w14:textId="1185A70B" w:rsidR="00572539" w:rsidRPr="000059FF" w:rsidRDefault="00572539" w:rsidP="00504F58">
      <w:r w:rsidRPr="000059FF">
        <w:br w:type="page"/>
      </w:r>
    </w:p>
    <w:sdt>
      <w:sdtPr>
        <w:rPr>
          <w:rFonts w:ascii="Arial" w:eastAsiaTheme="minorHAnsi" w:hAnsi="Arial" w:cs="Arial"/>
          <w:color w:val="000000" w:themeColor="text1"/>
          <w:sz w:val="22"/>
          <w:szCs w:val="20"/>
        </w:rPr>
        <w:id w:val="838207238"/>
        <w:docPartObj>
          <w:docPartGallery w:val="Table of Contents"/>
          <w:docPartUnique/>
        </w:docPartObj>
      </w:sdtPr>
      <w:sdtEndPr>
        <w:rPr>
          <w:b/>
          <w:bCs/>
          <w:noProof/>
        </w:rPr>
      </w:sdtEndPr>
      <w:sdtContent>
        <w:p w14:paraId="7E0698EA" w14:textId="4E186585" w:rsidR="00AF6D14" w:rsidRDefault="00AF6D14" w:rsidP="008A5861">
          <w:pPr>
            <w:pStyle w:val="TOCHeading"/>
          </w:pPr>
          <w:r>
            <w:t>Table of Contents</w:t>
          </w:r>
        </w:p>
        <w:p w14:paraId="48F5946F" w14:textId="6FD0B81E" w:rsidR="00EF655F" w:rsidRDefault="00AF6D14">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240927720" w:history="1">
            <w:r w:rsidR="00EF655F" w:rsidRPr="009F47B9">
              <w:rPr>
                <w:rStyle w:val="Hyperlink"/>
                <w:noProof/>
                <w:lang w:val="hr-HR"/>
              </w:rPr>
              <w:t>DECLARATION</w:t>
            </w:r>
            <w:r w:rsidR="00EF655F">
              <w:rPr>
                <w:noProof/>
                <w:webHidden/>
              </w:rPr>
              <w:tab/>
            </w:r>
            <w:r w:rsidR="00EF655F">
              <w:rPr>
                <w:noProof/>
                <w:webHidden/>
              </w:rPr>
              <w:fldChar w:fldCharType="begin"/>
            </w:r>
            <w:r w:rsidR="00EF655F">
              <w:rPr>
                <w:noProof/>
                <w:webHidden/>
              </w:rPr>
              <w:instrText xml:space="preserve"> PAGEREF _Toc240927720 \h </w:instrText>
            </w:r>
            <w:r w:rsidR="00EF655F">
              <w:rPr>
                <w:noProof/>
                <w:webHidden/>
              </w:rPr>
            </w:r>
            <w:r w:rsidR="00EF655F">
              <w:rPr>
                <w:noProof/>
                <w:webHidden/>
              </w:rPr>
              <w:fldChar w:fldCharType="separate"/>
            </w:r>
            <w:r w:rsidR="00EF655F">
              <w:rPr>
                <w:noProof/>
                <w:webHidden/>
              </w:rPr>
              <w:t>2</w:t>
            </w:r>
            <w:r w:rsidR="00EF655F">
              <w:rPr>
                <w:noProof/>
                <w:webHidden/>
              </w:rPr>
              <w:fldChar w:fldCharType="end"/>
            </w:r>
          </w:hyperlink>
        </w:p>
        <w:p w14:paraId="104C4B55" w14:textId="017E584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1" w:history="1">
            <w:r w:rsidRPr="009F47B9">
              <w:rPr>
                <w:rStyle w:val="Hyperlink"/>
                <w:noProof/>
              </w:rPr>
              <w:t>Acknowledgements</w:t>
            </w:r>
            <w:r>
              <w:rPr>
                <w:noProof/>
                <w:webHidden/>
              </w:rPr>
              <w:tab/>
            </w:r>
            <w:r>
              <w:rPr>
                <w:noProof/>
                <w:webHidden/>
              </w:rPr>
              <w:fldChar w:fldCharType="begin"/>
            </w:r>
            <w:r>
              <w:rPr>
                <w:noProof/>
                <w:webHidden/>
              </w:rPr>
              <w:instrText xml:space="preserve"> PAGEREF _Toc240927721 \h </w:instrText>
            </w:r>
            <w:r>
              <w:rPr>
                <w:noProof/>
                <w:webHidden/>
              </w:rPr>
            </w:r>
            <w:r>
              <w:rPr>
                <w:noProof/>
                <w:webHidden/>
              </w:rPr>
              <w:fldChar w:fldCharType="separate"/>
            </w:r>
            <w:r>
              <w:rPr>
                <w:noProof/>
                <w:webHidden/>
              </w:rPr>
              <w:t>3</w:t>
            </w:r>
            <w:r>
              <w:rPr>
                <w:noProof/>
                <w:webHidden/>
              </w:rPr>
              <w:fldChar w:fldCharType="end"/>
            </w:r>
          </w:hyperlink>
        </w:p>
        <w:p w14:paraId="59F2A9A9" w14:textId="28A6AFDC"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2" w:history="1">
            <w:r w:rsidRPr="009F47B9">
              <w:rPr>
                <w:rStyle w:val="Hyperlink"/>
                <w:noProof/>
              </w:rPr>
              <w:t>Abstract</w:t>
            </w:r>
            <w:r>
              <w:rPr>
                <w:noProof/>
                <w:webHidden/>
              </w:rPr>
              <w:tab/>
            </w:r>
            <w:r>
              <w:rPr>
                <w:noProof/>
                <w:webHidden/>
              </w:rPr>
              <w:fldChar w:fldCharType="begin"/>
            </w:r>
            <w:r>
              <w:rPr>
                <w:noProof/>
                <w:webHidden/>
              </w:rPr>
              <w:instrText xml:space="preserve"> PAGEREF _Toc240927722 \h </w:instrText>
            </w:r>
            <w:r>
              <w:rPr>
                <w:noProof/>
                <w:webHidden/>
              </w:rPr>
            </w:r>
            <w:r>
              <w:rPr>
                <w:noProof/>
                <w:webHidden/>
              </w:rPr>
              <w:fldChar w:fldCharType="separate"/>
            </w:r>
            <w:r>
              <w:rPr>
                <w:noProof/>
                <w:webHidden/>
              </w:rPr>
              <w:t>4</w:t>
            </w:r>
            <w:r>
              <w:rPr>
                <w:noProof/>
                <w:webHidden/>
              </w:rPr>
              <w:fldChar w:fldCharType="end"/>
            </w:r>
          </w:hyperlink>
        </w:p>
        <w:p w14:paraId="4D63918F" w14:textId="62C190CE"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3" w:history="1">
            <w:r w:rsidRPr="009F47B9">
              <w:rPr>
                <w:rStyle w:val="Hyperlink"/>
                <w:noProof/>
              </w:rPr>
              <w:t>List of Abbreviations</w:t>
            </w:r>
            <w:r>
              <w:rPr>
                <w:noProof/>
                <w:webHidden/>
              </w:rPr>
              <w:tab/>
            </w:r>
            <w:r>
              <w:rPr>
                <w:noProof/>
                <w:webHidden/>
              </w:rPr>
              <w:fldChar w:fldCharType="begin"/>
            </w:r>
            <w:r>
              <w:rPr>
                <w:noProof/>
                <w:webHidden/>
              </w:rPr>
              <w:instrText xml:space="preserve"> PAGEREF _Toc240927723 \h </w:instrText>
            </w:r>
            <w:r>
              <w:rPr>
                <w:noProof/>
                <w:webHidden/>
              </w:rPr>
            </w:r>
            <w:r>
              <w:rPr>
                <w:noProof/>
                <w:webHidden/>
              </w:rPr>
              <w:fldChar w:fldCharType="separate"/>
            </w:r>
            <w:r>
              <w:rPr>
                <w:noProof/>
                <w:webHidden/>
              </w:rPr>
              <w:t>5</w:t>
            </w:r>
            <w:r>
              <w:rPr>
                <w:noProof/>
                <w:webHidden/>
              </w:rPr>
              <w:fldChar w:fldCharType="end"/>
            </w:r>
          </w:hyperlink>
        </w:p>
        <w:p w14:paraId="7FD3FAA1" w14:textId="067B8FE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4" w:history="1">
            <w:r w:rsidRPr="009F47B9">
              <w:rPr>
                <w:rStyle w:val="Hyperlink"/>
                <w:noProof/>
              </w:rPr>
              <w:t>List of Tables</w:t>
            </w:r>
            <w:r>
              <w:rPr>
                <w:noProof/>
                <w:webHidden/>
              </w:rPr>
              <w:tab/>
            </w:r>
            <w:r>
              <w:rPr>
                <w:noProof/>
                <w:webHidden/>
              </w:rPr>
              <w:fldChar w:fldCharType="begin"/>
            </w:r>
            <w:r>
              <w:rPr>
                <w:noProof/>
                <w:webHidden/>
              </w:rPr>
              <w:instrText xml:space="preserve"> PAGEREF _Toc240927724 \h </w:instrText>
            </w:r>
            <w:r>
              <w:rPr>
                <w:noProof/>
                <w:webHidden/>
              </w:rPr>
            </w:r>
            <w:r>
              <w:rPr>
                <w:noProof/>
                <w:webHidden/>
              </w:rPr>
              <w:fldChar w:fldCharType="separate"/>
            </w:r>
            <w:r>
              <w:rPr>
                <w:noProof/>
                <w:webHidden/>
              </w:rPr>
              <w:t>6</w:t>
            </w:r>
            <w:r>
              <w:rPr>
                <w:noProof/>
                <w:webHidden/>
              </w:rPr>
              <w:fldChar w:fldCharType="end"/>
            </w:r>
          </w:hyperlink>
        </w:p>
        <w:p w14:paraId="0242F0F9" w14:textId="32ED2EE4"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5" w:history="1">
            <w:r w:rsidRPr="009F47B9">
              <w:rPr>
                <w:rStyle w:val="Hyperlink"/>
                <w:noProof/>
              </w:rPr>
              <w:t>List of Figures</w:t>
            </w:r>
            <w:r>
              <w:rPr>
                <w:noProof/>
                <w:webHidden/>
              </w:rPr>
              <w:tab/>
            </w:r>
            <w:r>
              <w:rPr>
                <w:noProof/>
                <w:webHidden/>
              </w:rPr>
              <w:fldChar w:fldCharType="begin"/>
            </w:r>
            <w:r>
              <w:rPr>
                <w:noProof/>
                <w:webHidden/>
              </w:rPr>
              <w:instrText xml:space="preserve"> PAGEREF _Toc240927725 \h </w:instrText>
            </w:r>
            <w:r>
              <w:rPr>
                <w:noProof/>
                <w:webHidden/>
              </w:rPr>
            </w:r>
            <w:r>
              <w:rPr>
                <w:noProof/>
                <w:webHidden/>
              </w:rPr>
              <w:fldChar w:fldCharType="separate"/>
            </w:r>
            <w:r>
              <w:rPr>
                <w:noProof/>
                <w:webHidden/>
              </w:rPr>
              <w:t>6</w:t>
            </w:r>
            <w:r>
              <w:rPr>
                <w:noProof/>
                <w:webHidden/>
              </w:rPr>
              <w:fldChar w:fldCharType="end"/>
            </w:r>
          </w:hyperlink>
        </w:p>
        <w:p w14:paraId="5D2324F2" w14:textId="3A379C26"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6" w:history="1">
            <w:r w:rsidRPr="009F47B9">
              <w:rPr>
                <w:rStyle w:val="Hyperlink"/>
                <w:noProof/>
              </w:rPr>
              <w:t>CHAPTER 1: INTRODUCTION</w:t>
            </w:r>
            <w:r>
              <w:rPr>
                <w:noProof/>
                <w:webHidden/>
              </w:rPr>
              <w:tab/>
            </w:r>
            <w:r>
              <w:rPr>
                <w:noProof/>
                <w:webHidden/>
              </w:rPr>
              <w:fldChar w:fldCharType="begin"/>
            </w:r>
            <w:r>
              <w:rPr>
                <w:noProof/>
                <w:webHidden/>
              </w:rPr>
              <w:instrText xml:space="preserve"> PAGEREF _Toc240927726 \h </w:instrText>
            </w:r>
            <w:r>
              <w:rPr>
                <w:noProof/>
                <w:webHidden/>
              </w:rPr>
            </w:r>
            <w:r>
              <w:rPr>
                <w:noProof/>
                <w:webHidden/>
              </w:rPr>
              <w:fldChar w:fldCharType="separate"/>
            </w:r>
            <w:r>
              <w:rPr>
                <w:noProof/>
                <w:webHidden/>
              </w:rPr>
              <w:t>11</w:t>
            </w:r>
            <w:r>
              <w:rPr>
                <w:noProof/>
                <w:webHidden/>
              </w:rPr>
              <w:fldChar w:fldCharType="end"/>
            </w:r>
          </w:hyperlink>
        </w:p>
        <w:p w14:paraId="284D435E" w14:textId="2D1BF97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7" w:history="1">
            <w:r w:rsidRPr="009F47B9">
              <w:rPr>
                <w:rStyle w:val="Hyperlink"/>
                <w:noProof/>
              </w:rPr>
              <w:t>1.1 Introduction</w:t>
            </w:r>
            <w:r>
              <w:rPr>
                <w:noProof/>
                <w:webHidden/>
              </w:rPr>
              <w:tab/>
            </w:r>
            <w:r>
              <w:rPr>
                <w:noProof/>
                <w:webHidden/>
              </w:rPr>
              <w:fldChar w:fldCharType="begin"/>
            </w:r>
            <w:r>
              <w:rPr>
                <w:noProof/>
                <w:webHidden/>
              </w:rPr>
              <w:instrText xml:space="preserve"> PAGEREF _Toc240927727 \h </w:instrText>
            </w:r>
            <w:r>
              <w:rPr>
                <w:noProof/>
                <w:webHidden/>
              </w:rPr>
            </w:r>
            <w:r>
              <w:rPr>
                <w:noProof/>
                <w:webHidden/>
              </w:rPr>
              <w:fldChar w:fldCharType="separate"/>
            </w:r>
            <w:r>
              <w:rPr>
                <w:noProof/>
                <w:webHidden/>
              </w:rPr>
              <w:t>11</w:t>
            </w:r>
            <w:r>
              <w:rPr>
                <w:noProof/>
                <w:webHidden/>
              </w:rPr>
              <w:fldChar w:fldCharType="end"/>
            </w:r>
          </w:hyperlink>
        </w:p>
        <w:p w14:paraId="371E2366" w14:textId="349B0F8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8" w:history="1">
            <w:r w:rsidRPr="009F47B9">
              <w:rPr>
                <w:rStyle w:val="Hyperlink"/>
                <w:noProof/>
              </w:rPr>
              <w:t>1.2 Background of the Study</w:t>
            </w:r>
            <w:r>
              <w:rPr>
                <w:noProof/>
                <w:webHidden/>
              </w:rPr>
              <w:tab/>
            </w:r>
            <w:r>
              <w:rPr>
                <w:noProof/>
                <w:webHidden/>
              </w:rPr>
              <w:fldChar w:fldCharType="begin"/>
            </w:r>
            <w:r>
              <w:rPr>
                <w:noProof/>
                <w:webHidden/>
              </w:rPr>
              <w:instrText xml:space="preserve"> PAGEREF _Toc240927728 \h </w:instrText>
            </w:r>
            <w:r>
              <w:rPr>
                <w:noProof/>
                <w:webHidden/>
              </w:rPr>
            </w:r>
            <w:r>
              <w:rPr>
                <w:noProof/>
                <w:webHidden/>
              </w:rPr>
              <w:fldChar w:fldCharType="separate"/>
            </w:r>
            <w:r>
              <w:rPr>
                <w:noProof/>
                <w:webHidden/>
              </w:rPr>
              <w:t>11</w:t>
            </w:r>
            <w:r>
              <w:rPr>
                <w:noProof/>
                <w:webHidden/>
              </w:rPr>
              <w:fldChar w:fldCharType="end"/>
            </w:r>
          </w:hyperlink>
        </w:p>
        <w:p w14:paraId="1A40C704" w14:textId="680FD2E4"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9" w:history="1">
            <w:r w:rsidRPr="009F47B9">
              <w:rPr>
                <w:rStyle w:val="Hyperlink"/>
                <w:noProof/>
              </w:rPr>
              <w:t>1.3 Statement of the Problem</w:t>
            </w:r>
            <w:r>
              <w:rPr>
                <w:noProof/>
                <w:webHidden/>
              </w:rPr>
              <w:tab/>
            </w:r>
            <w:r>
              <w:rPr>
                <w:noProof/>
                <w:webHidden/>
              </w:rPr>
              <w:fldChar w:fldCharType="begin"/>
            </w:r>
            <w:r>
              <w:rPr>
                <w:noProof/>
                <w:webHidden/>
              </w:rPr>
              <w:instrText xml:space="preserve"> PAGEREF _Toc240927729 \h </w:instrText>
            </w:r>
            <w:r>
              <w:rPr>
                <w:noProof/>
                <w:webHidden/>
              </w:rPr>
            </w:r>
            <w:r>
              <w:rPr>
                <w:noProof/>
                <w:webHidden/>
              </w:rPr>
              <w:fldChar w:fldCharType="separate"/>
            </w:r>
            <w:r>
              <w:rPr>
                <w:noProof/>
                <w:webHidden/>
              </w:rPr>
              <w:t>14</w:t>
            </w:r>
            <w:r>
              <w:rPr>
                <w:noProof/>
                <w:webHidden/>
              </w:rPr>
              <w:fldChar w:fldCharType="end"/>
            </w:r>
          </w:hyperlink>
        </w:p>
        <w:p w14:paraId="421F9874" w14:textId="0929ED2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0" w:history="1">
            <w:r w:rsidRPr="009F47B9">
              <w:rPr>
                <w:rStyle w:val="Hyperlink"/>
                <w:noProof/>
              </w:rPr>
              <w:t>1.4 Rationale of the Research</w:t>
            </w:r>
            <w:r>
              <w:rPr>
                <w:noProof/>
                <w:webHidden/>
              </w:rPr>
              <w:tab/>
            </w:r>
            <w:r>
              <w:rPr>
                <w:noProof/>
                <w:webHidden/>
              </w:rPr>
              <w:fldChar w:fldCharType="begin"/>
            </w:r>
            <w:r>
              <w:rPr>
                <w:noProof/>
                <w:webHidden/>
              </w:rPr>
              <w:instrText xml:space="preserve"> PAGEREF _Toc240927730 \h </w:instrText>
            </w:r>
            <w:r>
              <w:rPr>
                <w:noProof/>
                <w:webHidden/>
              </w:rPr>
            </w:r>
            <w:r>
              <w:rPr>
                <w:noProof/>
                <w:webHidden/>
              </w:rPr>
              <w:fldChar w:fldCharType="separate"/>
            </w:r>
            <w:r>
              <w:rPr>
                <w:noProof/>
                <w:webHidden/>
              </w:rPr>
              <w:t>14</w:t>
            </w:r>
            <w:r>
              <w:rPr>
                <w:noProof/>
                <w:webHidden/>
              </w:rPr>
              <w:fldChar w:fldCharType="end"/>
            </w:r>
          </w:hyperlink>
        </w:p>
        <w:p w14:paraId="5128763A" w14:textId="4489FF6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1" w:history="1">
            <w:r w:rsidRPr="009F47B9">
              <w:rPr>
                <w:rStyle w:val="Hyperlink"/>
                <w:noProof/>
              </w:rPr>
              <w:t>1.5 Research Question, Research Aim and Research Objectives</w:t>
            </w:r>
            <w:r>
              <w:rPr>
                <w:noProof/>
                <w:webHidden/>
              </w:rPr>
              <w:tab/>
            </w:r>
            <w:r>
              <w:rPr>
                <w:noProof/>
                <w:webHidden/>
              </w:rPr>
              <w:fldChar w:fldCharType="begin"/>
            </w:r>
            <w:r>
              <w:rPr>
                <w:noProof/>
                <w:webHidden/>
              </w:rPr>
              <w:instrText xml:space="preserve"> PAGEREF _Toc240927731 \h </w:instrText>
            </w:r>
            <w:r>
              <w:rPr>
                <w:noProof/>
                <w:webHidden/>
              </w:rPr>
            </w:r>
            <w:r>
              <w:rPr>
                <w:noProof/>
                <w:webHidden/>
              </w:rPr>
              <w:fldChar w:fldCharType="separate"/>
            </w:r>
            <w:r>
              <w:rPr>
                <w:noProof/>
                <w:webHidden/>
              </w:rPr>
              <w:t>14</w:t>
            </w:r>
            <w:r>
              <w:rPr>
                <w:noProof/>
                <w:webHidden/>
              </w:rPr>
              <w:fldChar w:fldCharType="end"/>
            </w:r>
          </w:hyperlink>
        </w:p>
        <w:p w14:paraId="184C71FA" w14:textId="3588C54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2" w:history="1">
            <w:r w:rsidRPr="009F47B9">
              <w:rPr>
                <w:rStyle w:val="Hyperlink"/>
                <w:noProof/>
              </w:rPr>
              <w:t>1.6 Significance of the Study</w:t>
            </w:r>
            <w:r>
              <w:rPr>
                <w:noProof/>
                <w:webHidden/>
              </w:rPr>
              <w:tab/>
            </w:r>
            <w:r>
              <w:rPr>
                <w:noProof/>
                <w:webHidden/>
              </w:rPr>
              <w:fldChar w:fldCharType="begin"/>
            </w:r>
            <w:r>
              <w:rPr>
                <w:noProof/>
                <w:webHidden/>
              </w:rPr>
              <w:instrText xml:space="preserve"> PAGEREF _Toc240927732 \h </w:instrText>
            </w:r>
            <w:r>
              <w:rPr>
                <w:noProof/>
                <w:webHidden/>
              </w:rPr>
            </w:r>
            <w:r>
              <w:rPr>
                <w:noProof/>
                <w:webHidden/>
              </w:rPr>
              <w:fldChar w:fldCharType="separate"/>
            </w:r>
            <w:r>
              <w:rPr>
                <w:noProof/>
                <w:webHidden/>
              </w:rPr>
              <w:t>15</w:t>
            </w:r>
            <w:r>
              <w:rPr>
                <w:noProof/>
                <w:webHidden/>
              </w:rPr>
              <w:fldChar w:fldCharType="end"/>
            </w:r>
          </w:hyperlink>
        </w:p>
        <w:p w14:paraId="47BD54AB" w14:textId="3456427C"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3" w:history="1">
            <w:r w:rsidRPr="009F47B9">
              <w:rPr>
                <w:rStyle w:val="Hyperlink"/>
                <w:noProof/>
              </w:rPr>
              <w:t>1.7 Structure of the Dissertation</w:t>
            </w:r>
            <w:r>
              <w:rPr>
                <w:noProof/>
                <w:webHidden/>
              </w:rPr>
              <w:tab/>
            </w:r>
            <w:r>
              <w:rPr>
                <w:noProof/>
                <w:webHidden/>
              </w:rPr>
              <w:fldChar w:fldCharType="begin"/>
            </w:r>
            <w:r>
              <w:rPr>
                <w:noProof/>
                <w:webHidden/>
              </w:rPr>
              <w:instrText xml:space="preserve"> PAGEREF _Toc240927733 \h </w:instrText>
            </w:r>
            <w:r>
              <w:rPr>
                <w:noProof/>
                <w:webHidden/>
              </w:rPr>
            </w:r>
            <w:r>
              <w:rPr>
                <w:noProof/>
                <w:webHidden/>
              </w:rPr>
              <w:fldChar w:fldCharType="separate"/>
            </w:r>
            <w:r>
              <w:rPr>
                <w:noProof/>
                <w:webHidden/>
              </w:rPr>
              <w:t>15</w:t>
            </w:r>
            <w:r>
              <w:rPr>
                <w:noProof/>
                <w:webHidden/>
              </w:rPr>
              <w:fldChar w:fldCharType="end"/>
            </w:r>
          </w:hyperlink>
        </w:p>
        <w:p w14:paraId="4565FD96" w14:textId="4AA5294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4" w:history="1">
            <w:r w:rsidRPr="009F47B9">
              <w:rPr>
                <w:rStyle w:val="Hyperlink"/>
                <w:noProof/>
              </w:rPr>
              <w:t>1.8 Chapter Summary</w:t>
            </w:r>
            <w:r>
              <w:rPr>
                <w:noProof/>
                <w:webHidden/>
              </w:rPr>
              <w:tab/>
            </w:r>
            <w:r>
              <w:rPr>
                <w:noProof/>
                <w:webHidden/>
              </w:rPr>
              <w:fldChar w:fldCharType="begin"/>
            </w:r>
            <w:r>
              <w:rPr>
                <w:noProof/>
                <w:webHidden/>
              </w:rPr>
              <w:instrText xml:space="preserve"> PAGEREF _Toc240927734 \h </w:instrText>
            </w:r>
            <w:r>
              <w:rPr>
                <w:noProof/>
                <w:webHidden/>
              </w:rPr>
            </w:r>
            <w:r>
              <w:rPr>
                <w:noProof/>
                <w:webHidden/>
              </w:rPr>
              <w:fldChar w:fldCharType="separate"/>
            </w:r>
            <w:r>
              <w:rPr>
                <w:noProof/>
                <w:webHidden/>
              </w:rPr>
              <w:t>16</w:t>
            </w:r>
            <w:r>
              <w:rPr>
                <w:noProof/>
                <w:webHidden/>
              </w:rPr>
              <w:fldChar w:fldCharType="end"/>
            </w:r>
          </w:hyperlink>
        </w:p>
        <w:p w14:paraId="74BE38AF" w14:textId="5E7DE2B5"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5" w:history="1">
            <w:r w:rsidRPr="009F47B9">
              <w:rPr>
                <w:rStyle w:val="Hyperlink"/>
                <w:noProof/>
              </w:rPr>
              <w:t>CHAPTER 2: LITERATURE REVIEW</w:t>
            </w:r>
            <w:r>
              <w:rPr>
                <w:noProof/>
                <w:webHidden/>
              </w:rPr>
              <w:tab/>
            </w:r>
            <w:r>
              <w:rPr>
                <w:noProof/>
                <w:webHidden/>
              </w:rPr>
              <w:fldChar w:fldCharType="begin"/>
            </w:r>
            <w:r>
              <w:rPr>
                <w:noProof/>
                <w:webHidden/>
              </w:rPr>
              <w:instrText xml:space="preserve"> PAGEREF _Toc240927735 \h </w:instrText>
            </w:r>
            <w:r>
              <w:rPr>
                <w:noProof/>
                <w:webHidden/>
              </w:rPr>
            </w:r>
            <w:r>
              <w:rPr>
                <w:noProof/>
                <w:webHidden/>
              </w:rPr>
              <w:fldChar w:fldCharType="separate"/>
            </w:r>
            <w:r>
              <w:rPr>
                <w:noProof/>
                <w:webHidden/>
              </w:rPr>
              <w:t>17</w:t>
            </w:r>
            <w:r>
              <w:rPr>
                <w:noProof/>
                <w:webHidden/>
              </w:rPr>
              <w:fldChar w:fldCharType="end"/>
            </w:r>
          </w:hyperlink>
        </w:p>
        <w:p w14:paraId="40917F92" w14:textId="4CB9069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6" w:history="1">
            <w:r w:rsidRPr="009F47B9">
              <w:rPr>
                <w:rStyle w:val="Hyperlink"/>
                <w:noProof/>
              </w:rPr>
              <w:t>2.1 Introduction</w:t>
            </w:r>
            <w:r>
              <w:rPr>
                <w:noProof/>
                <w:webHidden/>
              </w:rPr>
              <w:tab/>
            </w:r>
            <w:r>
              <w:rPr>
                <w:noProof/>
                <w:webHidden/>
              </w:rPr>
              <w:fldChar w:fldCharType="begin"/>
            </w:r>
            <w:r>
              <w:rPr>
                <w:noProof/>
                <w:webHidden/>
              </w:rPr>
              <w:instrText xml:space="preserve"> PAGEREF _Toc240927736 \h </w:instrText>
            </w:r>
            <w:r>
              <w:rPr>
                <w:noProof/>
                <w:webHidden/>
              </w:rPr>
            </w:r>
            <w:r>
              <w:rPr>
                <w:noProof/>
                <w:webHidden/>
              </w:rPr>
              <w:fldChar w:fldCharType="separate"/>
            </w:r>
            <w:r>
              <w:rPr>
                <w:noProof/>
                <w:webHidden/>
              </w:rPr>
              <w:t>17</w:t>
            </w:r>
            <w:r>
              <w:rPr>
                <w:noProof/>
                <w:webHidden/>
              </w:rPr>
              <w:fldChar w:fldCharType="end"/>
            </w:r>
          </w:hyperlink>
        </w:p>
        <w:p w14:paraId="28D7D065" w14:textId="029C729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7" w:history="1">
            <w:r w:rsidRPr="009F47B9">
              <w:rPr>
                <w:rStyle w:val="Hyperlink"/>
                <w:noProof/>
              </w:rPr>
              <w:t>2.2 Literature Search Strategy</w:t>
            </w:r>
            <w:r>
              <w:rPr>
                <w:noProof/>
                <w:webHidden/>
              </w:rPr>
              <w:tab/>
            </w:r>
            <w:r>
              <w:rPr>
                <w:noProof/>
                <w:webHidden/>
              </w:rPr>
              <w:fldChar w:fldCharType="begin"/>
            </w:r>
            <w:r>
              <w:rPr>
                <w:noProof/>
                <w:webHidden/>
              </w:rPr>
              <w:instrText xml:space="preserve"> PAGEREF _Toc240927737 \h </w:instrText>
            </w:r>
            <w:r>
              <w:rPr>
                <w:noProof/>
                <w:webHidden/>
              </w:rPr>
            </w:r>
            <w:r>
              <w:rPr>
                <w:noProof/>
                <w:webHidden/>
              </w:rPr>
              <w:fldChar w:fldCharType="separate"/>
            </w:r>
            <w:r>
              <w:rPr>
                <w:noProof/>
                <w:webHidden/>
              </w:rPr>
              <w:t>17</w:t>
            </w:r>
            <w:r>
              <w:rPr>
                <w:noProof/>
                <w:webHidden/>
              </w:rPr>
              <w:fldChar w:fldCharType="end"/>
            </w:r>
          </w:hyperlink>
        </w:p>
        <w:p w14:paraId="7A6269AF" w14:textId="7CBB2F7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8" w:history="1">
            <w:r w:rsidRPr="009F47B9">
              <w:rPr>
                <w:rStyle w:val="Hyperlink"/>
                <w:noProof/>
              </w:rPr>
              <w:t>2.3 Cases, Impact, Interventions and Challenges</w:t>
            </w:r>
            <w:r>
              <w:rPr>
                <w:noProof/>
                <w:webHidden/>
              </w:rPr>
              <w:tab/>
            </w:r>
            <w:r>
              <w:rPr>
                <w:noProof/>
                <w:webHidden/>
              </w:rPr>
              <w:fldChar w:fldCharType="begin"/>
            </w:r>
            <w:r>
              <w:rPr>
                <w:noProof/>
                <w:webHidden/>
              </w:rPr>
              <w:instrText xml:space="preserve"> PAGEREF _Toc240927738 \h </w:instrText>
            </w:r>
            <w:r>
              <w:rPr>
                <w:noProof/>
                <w:webHidden/>
              </w:rPr>
            </w:r>
            <w:r>
              <w:rPr>
                <w:noProof/>
                <w:webHidden/>
              </w:rPr>
              <w:fldChar w:fldCharType="separate"/>
            </w:r>
            <w:r>
              <w:rPr>
                <w:noProof/>
                <w:webHidden/>
              </w:rPr>
              <w:t>17</w:t>
            </w:r>
            <w:r>
              <w:rPr>
                <w:noProof/>
                <w:webHidden/>
              </w:rPr>
              <w:fldChar w:fldCharType="end"/>
            </w:r>
          </w:hyperlink>
        </w:p>
        <w:p w14:paraId="2C7D6B37" w14:textId="75A066B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9" w:history="1">
            <w:r w:rsidRPr="009F47B9">
              <w:rPr>
                <w:rStyle w:val="Hyperlink"/>
                <w:noProof/>
              </w:rPr>
              <w:t>2.4 Knowledge, Awareness and Preventive Behaviour</w:t>
            </w:r>
            <w:r>
              <w:rPr>
                <w:noProof/>
                <w:webHidden/>
              </w:rPr>
              <w:tab/>
            </w:r>
            <w:r>
              <w:rPr>
                <w:noProof/>
                <w:webHidden/>
              </w:rPr>
              <w:fldChar w:fldCharType="begin"/>
            </w:r>
            <w:r>
              <w:rPr>
                <w:noProof/>
                <w:webHidden/>
              </w:rPr>
              <w:instrText xml:space="preserve"> PAGEREF _Toc240927739 \h </w:instrText>
            </w:r>
            <w:r>
              <w:rPr>
                <w:noProof/>
                <w:webHidden/>
              </w:rPr>
            </w:r>
            <w:r>
              <w:rPr>
                <w:noProof/>
                <w:webHidden/>
              </w:rPr>
              <w:fldChar w:fldCharType="separate"/>
            </w:r>
            <w:r>
              <w:rPr>
                <w:noProof/>
                <w:webHidden/>
              </w:rPr>
              <w:t>20</w:t>
            </w:r>
            <w:r>
              <w:rPr>
                <w:noProof/>
                <w:webHidden/>
              </w:rPr>
              <w:fldChar w:fldCharType="end"/>
            </w:r>
          </w:hyperlink>
        </w:p>
        <w:p w14:paraId="6286F492" w14:textId="4F0D24F8"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0" w:history="1">
            <w:r w:rsidRPr="009F47B9">
              <w:rPr>
                <w:rStyle w:val="Hyperlink"/>
                <w:noProof/>
              </w:rPr>
              <w:t>2.4.1 UTI knowledge and symptom awareness among adolescents</w:t>
            </w:r>
            <w:r>
              <w:rPr>
                <w:noProof/>
                <w:webHidden/>
              </w:rPr>
              <w:tab/>
            </w:r>
            <w:r>
              <w:rPr>
                <w:noProof/>
                <w:webHidden/>
              </w:rPr>
              <w:fldChar w:fldCharType="begin"/>
            </w:r>
            <w:r>
              <w:rPr>
                <w:noProof/>
                <w:webHidden/>
              </w:rPr>
              <w:instrText xml:space="preserve"> PAGEREF _Toc240927740 \h </w:instrText>
            </w:r>
            <w:r>
              <w:rPr>
                <w:noProof/>
                <w:webHidden/>
              </w:rPr>
            </w:r>
            <w:r>
              <w:rPr>
                <w:noProof/>
                <w:webHidden/>
              </w:rPr>
              <w:fldChar w:fldCharType="separate"/>
            </w:r>
            <w:r>
              <w:rPr>
                <w:noProof/>
                <w:webHidden/>
              </w:rPr>
              <w:t>20</w:t>
            </w:r>
            <w:r>
              <w:rPr>
                <w:noProof/>
                <w:webHidden/>
              </w:rPr>
              <w:fldChar w:fldCharType="end"/>
            </w:r>
          </w:hyperlink>
        </w:p>
        <w:p w14:paraId="6E616BD7" w14:textId="3E99975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1" w:history="1">
            <w:r w:rsidRPr="009F47B9">
              <w:rPr>
                <w:rStyle w:val="Hyperlink"/>
                <w:noProof/>
              </w:rPr>
              <w:t>2.4.2 Health literacy, self-efficacy and translation into action</w:t>
            </w:r>
            <w:r>
              <w:rPr>
                <w:noProof/>
                <w:webHidden/>
              </w:rPr>
              <w:tab/>
            </w:r>
            <w:r>
              <w:rPr>
                <w:noProof/>
                <w:webHidden/>
              </w:rPr>
              <w:fldChar w:fldCharType="begin"/>
            </w:r>
            <w:r>
              <w:rPr>
                <w:noProof/>
                <w:webHidden/>
              </w:rPr>
              <w:instrText xml:space="preserve"> PAGEREF _Toc240927741 \h </w:instrText>
            </w:r>
            <w:r>
              <w:rPr>
                <w:noProof/>
                <w:webHidden/>
              </w:rPr>
            </w:r>
            <w:r>
              <w:rPr>
                <w:noProof/>
                <w:webHidden/>
              </w:rPr>
              <w:fldChar w:fldCharType="separate"/>
            </w:r>
            <w:r>
              <w:rPr>
                <w:noProof/>
                <w:webHidden/>
              </w:rPr>
              <w:t>20</w:t>
            </w:r>
            <w:r>
              <w:rPr>
                <w:noProof/>
                <w:webHidden/>
              </w:rPr>
              <w:fldChar w:fldCharType="end"/>
            </w:r>
          </w:hyperlink>
        </w:p>
        <w:p w14:paraId="2A72F90A" w14:textId="48F42162"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2" w:history="1">
            <w:r w:rsidRPr="009F47B9">
              <w:rPr>
                <w:rStyle w:val="Hyperlink"/>
                <w:noProof/>
              </w:rPr>
              <w:t>2.4.3 Specific prevention practices and communication needs</w:t>
            </w:r>
            <w:r>
              <w:rPr>
                <w:noProof/>
                <w:webHidden/>
              </w:rPr>
              <w:tab/>
            </w:r>
            <w:r>
              <w:rPr>
                <w:noProof/>
                <w:webHidden/>
              </w:rPr>
              <w:fldChar w:fldCharType="begin"/>
            </w:r>
            <w:r>
              <w:rPr>
                <w:noProof/>
                <w:webHidden/>
              </w:rPr>
              <w:instrText xml:space="preserve"> PAGEREF _Toc240927742 \h </w:instrText>
            </w:r>
            <w:r>
              <w:rPr>
                <w:noProof/>
                <w:webHidden/>
              </w:rPr>
            </w:r>
            <w:r>
              <w:rPr>
                <w:noProof/>
                <w:webHidden/>
              </w:rPr>
              <w:fldChar w:fldCharType="separate"/>
            </w:r>
            <w:r>
              <w:rPr>
                <w:noProof/>
                <w:webHidden/>
              </w:rPr>
              <w:t>21</w:t>
            </w:r>
            <w:r>
              <w:rPr>
                <w:noProof/>
                <w:webHidden/>
              </w:rPr>
              <w:fldChar w:fldCharType="end"/>
            </w:r>
          </w:hyperlink>
        </w:p>
        <w:p w14:paraId="17C8B7B2" w14:textId="2A47CE6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3" w:history="1">
            <w:r w:rsidRPr="009F47B9">
              <w:rPr>
                <w:rStyle w:val="Hyperlink"/>
                <w:noProof/>
              </w:rPr>
              <w:t>2.5 Healthcare-Seeking, Patient Experience and Communication</w:t>
            </w:r>
            <w:r>
              <w:rPr>
                <w:noProof/>
                <w:webHidden/>
              </w:rPr>
              <w:tab/>
            </w:r>
            <w:r>
              <w:rPr>
                <w:noProof/>
                <w:webHidden/>
              </w:rPr>
              <w:fldChar w:fldCharType="begin"/>
            </w:r>
            <w:r>
              <w:rPr>
                <w:noProof/>
                <w:webHidden/>
              </w:rPr>
              <w:instrText xml:space="preserve"> PAGEREF _Toc240927743 \h </w:instrText>
            </w:r>
            <w:r>
              <w:rPr>
                <w:noProof/>
                <w:webHidden/>
              </w:rPr>
            </w:r>
            <w:r>
              <w:rPr>
                <w:noProof/>
                <w:webHidden/>
              </w:rPr>
              <w:fldChar w:fldCharType="separate"/>
            </w:r>
            <w:r>
              <w:rPr>
                <w:noProof/>
                <w:webHidden/>
              </w:rPr>
              <w:t>21</w:t>
            </w:r>
            <w:r>
              <w:rPr>
                <w:noProof/>
                <w:webHidden/>
              </w:rPr>
              <w:fldChar w:fldCharType="end"/>
            </w:r>
          </w:hyperlink>
        </w:p>
        <w:p w14:paraId="0A3BF0F3" w14:textId="123BA1C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4" w:history="1">
            <w:r w:rsidRPr="009F47B9">
              <w:rPr>
                <w:rStyle w:val="Hyperlink"/>
                <w:noProof/>
              </w:rPr>
              <w:t>2.5.1 Access, symptom interpretation and care pathways</w:t>
            </w:r>
            <w:r>
              <w:rPr>
                <w:noProof/>
                <w:webHidden/>
              </w:rPr>
              <w:tab/>
            </w:r>
            <w:r>
              <w:rPr>
                <w:noProof/>
                <w:webHidden/>
              </w:rPr>
              <w:fldChar w:fldCharType="begin"/>
            </w:r>
            <w:r>
              <w:rPr>
                <w:noProof/>
                <w:webHidden/>
              </w:rPr>
              <w:instrText xml:space="preserve"> PAGEREF _Toc240927744 \h </w:instrText>
            </w:r>
            <w:r>
              <w:rPr>
                <w:noProof/>
                <w:webHidden/>
              </w:rPr>
            </w:r>
            <w:r>
              <w:rPr>
                <w:noProof/>
                <w:webHidden/>
              </w:rPr>
              <w:fldChar w:fldCharType="separate"/>
            </w:r>
            <w:r>
              <w:rPr>
                <w:noProof/>
                <w:webHidden/>
              </w:rPr>
              <w:t>21</w:t>
            </w:r>
            <w:r>
              <w:rPr>
                <w:noProof/>
                <w:webHidden/>
              </w:rPr>
              <w:fldChar w:fldCharType="end"/>
            </w:r>
          </w:hyperlink>
        </w:p>
        <w:p w14:paraId="3897401E" w14:textId="52AA9D72"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5" w:history="1">
            <w:r w:rsidRPr="009F47B9">
              <w:rPr>
                <w:rStyle w:val="Hyperlink"/>
                <w:noProof/>
              </w:rPr>
              <w:t>2.5.2 Patient experience, trust and communication quality</w:t>
            </w:r>
            <w:r>
              <w:rPr>
                <w:noProof/>
                <w:webHidden/>
              </w:rPr>
              <w:tab/>
            </w:r>
            <w:r>
              <w:rPr>
                <w:noProof/>
                <w:webHidden/>
              </w:rPr>
              <w:fldChar w:fldCharType="begin"/>
            </w:r>
            <w:r>
              <w:rPr>
                <w:noProof/>
                <w:webHidden/>
              </w:rPr>
              <w:instrText xml:space="preserve"> PAGEREF _Toc240927745 \h </w:instrText>
            </w:r>
            <w:r>
              <w:rPr>
                <w:noProof/>
                <w:webHidden/>
              </w:rPr>
            </w:r>
            <w:r>
              <w:rPr>
                <w:noProof/>
                <w:webHidden/>
              </w:rPr>
              <w:fldChar w:fldCharType="separate"/>
            </w:r>
            <w:r>
              <w:rPr>
                <w:noProof/>
                <w:webHidden/>
              </w:rPr>
              <w:t>21</w:t>
            </w:r>
            <w:r>
              <w:rPr>
                <w:noProof/>
                <w:webHidden/>
              </w:rPr>
              <w:fldChar w:fldCharType="end"/>
            </w:r>
          </w:hyperlink>
        </w:p>
        <w:p w14:paraId="1D838E53" w14:textId="2797EF1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6" w:history="1">
            <w:r w:rsidRPr="009F47B9">
              <w:rPr>
                <w:rStyle w:val="Hyperlink"/>
                <w:noProof/>
              </w:rPr>
              <w:t>2.5.3 Professional decision-making and consistency of advice</w:t>
            </w:r>
            <w:r>
              <w:rPr>
                <w:noProof/>
                <w:webHidden/>
              </w:rPr>
              <w:tab/>
            </w:r>
            <w:r>
              <w:rPr>
                <w:noProof/>
                <w:webHidden/>
              </w:rPr>
              <w:fldChar w:fldCharType="begin"/>
            </w:r>
            <w:r>
              <w:rPr>
                <w:noProof/>
                <w:webHidden/>
              </w:rPr>
              <w:instrText xml:space="preserve"> PAGEREF _Toc240927746 \h </w:instrText>
            </w:r>
            <w:r>
              <w:rPr>
                <w:noProof/>
                <w:webHidden/>
              </w:rPr>
            </w:r>
            <w:r>
              <w:rPr>
                <w:noProof/>
                <w:webHidden/>
              </w:rPr>
              <w:fldChar w:fldCharType="separate"/>
            </w:r>
            <w:r>
              <w:rPr>
                <w:noProof/>
                <w:webHidden/>
              </w:rPr>
              <w:t>22</w:t>
            </w:r>
            <w:r>
              <w:rPr>
                <w:noProof/>
                <w:webHidden/>
              </w:rPr>
              <w:fldChar w:fldCharType="end"/>
            </w:r>
          </w:hyperlink>
        </w:p>
        <w:p w14:paraId="5AF7CE4F" w14:textId="77567A8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7" w:history="1">
            <w:r w:rsidRPr="009F47B9">
              <w:rPr>
                <w:rStyle w:val="Hyperlink"/>
                <w:noProof/>
              </w:rPr>
              <w:t>2.6 Antibiotic Use, Recurrent UTI and AMR</w:t>
            </w:r>
            <w:r>
              <w:rPr>
                <w:noProof/>
                <w:webHidden/>
              </w:rPr>
              <w:tab/>
            </w:r>
            <w:r>
              <w:rPr>
                <w:noProof/>
                <w:webHidden/>
              </w:rPr>
              <w:fldChar w:fldCharType="begin"/>
            </w:r>
            <w:r>
              <w:rPr>
                <w:noProof/>
                <w:webHidden/>
              </w:rPr>
              <w:instrText xml:space="preserve"> PAGEREF _Toc240927747 \h </w:instrText>
            </w:r>
            <w:r>
              <w:rPr>
                <w:noProof/>
                <w:webHidden/>
              </w:rPr>
            </w:r>
            <w:r>
              <w:rPr>
                <w:noProof/>
                <w:webHidden/>
              </w:rPr>
              <w:fldChar w:fldCharType="separate"/>
            </w:r>
            <w:r>
              <w:rPr>
                <w:noProof/>
                <w:webHidden/>
              </w:rPr>
              <w:t>22</w:t>
            </w:r>
            <w:r>
              <w:rPr>
                <w:noProof/>
                <w:webHidden/>
              </w:rPr>
              <w:fldChar w:fldCharType="end"/>
            </w:r>
          </w:hyperlink>
        </w:p>
        <w:p w14:paraId="6FB28377" w14:textId="3537EFDC"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8" w:history="1">
            <w:r w:rsidRPr="009F47B9">
              <w:rPr>
                <w:rStyle w:val="Hyperlink"/>
                <w:noProof/>
              </w:rPr>
              <w:t>2.6.1 Antibiotic treatment and stewardship concerns</w:t>
            </w:r>
            <w:r>
              <w:rPr>
                <w:noProof/>
                <w:webHidden/>
              </w:rPr>
              <w:tab/>
            </w:r>
            <w:r>
              <w:rPr>
                <w:noProof/>
                <w:webHidden/>
              </w:rPr>
              <w:fldChar w:fldCharType="begin"/>
            </w:r>
            <w:r>
              <w:rPr>
                <w:noProof/>
                <w:webHidden/>
              </w:rPr>
              <w:instrText xml:space="preserve"> PAGEREF _Toc240927748 \h </w:instrText>
            </w:r>
            <w:r>
              <w:rPr>
                <w:noProof/>
                <w:webHidden/>
              </w:rPr>
            </w:r>
            <w:r>
              <w:rPr>
                <w:noProof/>
                <w:webHidden/>
              </w:rPr>
              <w:fldChar w:fldCharType="separate"/>
            </w:r>
            <w:r>
              <w:rPr>
                <w:noProof/>
                <w:webHidden/>
              </w:rPr>
              <w:t>22</w:t>
            </w:r>
            <w:r>
              <w:rPr>
                <w:noProof/>
                <w:webHidden/>
              </w:rPr>
              <w:fldChar w:fldCharType="end"/>
            </w:r>
          </w:hyperlink>
        </w:p>
        <w:p w14:paraId="2E6A531C" w14:textId="58F63E19"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9" w:history="1">
            <w:r w:rsidRPr="009F47B9">
              <w:rPr>
                <w:rStyle w:val="Hyperlink"/>
                <w:noProof/>
              </w:rPr>
              <w:t>2.6.2 AMR, primary care and recurrent UTI</w:t>
            </w:r>
            <w:r>
              <w:rPr>
                <w:noProof/>
                <w:webHidden/>
              </w:rPr>
              <w:tab/>
            </w:r>
            <w:r>
              <w:rPr>
                <w:noProof/>
                <w:webHidden/>
              </w:rPr>
              <w:fldChar w:fldCharType="begin"/>
            </w:r>
            <w:r>
              <w:rPr>
                <w:noProof/>
                <w:webHidden/>
              </w:rPr>
              <w:instrText xml:space="preserve"> PAGEREF _Toc240927749 \h </w:instrText>
            </w:r>
            <w:r>
              <w:rPr>
                <w:noProof/>
                <w:webHidden/>
              </w:rPr>
            </w:r>
            <w:r>
              <w:rPr>
                <w:noProof/>
                <w:webHidden/>
              </w:rPr>
              <w:fldChar w:fldCharType="separate"/>
            </w:r>
            <w:r>
              <w:rPr>
                <w:noProof/>
                <w:webHidden/>
              </w:rPr>
              <w:t>22</w:t>
            </w:r>
            <w:r>
              <w:rPr>
                <w:noProof/>
                <w:webHidden/>
              </w:rPr>
              <w:fldChar w:fldCharType="end"/>
            </w:r>
          </w:hyperlink>
        </w:p>
        <w:p w14:paraId="40031BC9" w14:textId="221354D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0" w:history="1">
            <w:r w:rsidRPr="009F47B9">
              <w:rPr>
                <w:rStyle w:val="Hyperlink"/>
                <w:noProof/>
              </w:rPr>
              <w:t>2.6.3 Alternatives, diagnostic uncertainty and prevention relevance</w:t>
            </w:r>
            <w:r>
              <w:rPr>
                <w:noProof/>
                <w:webHidden/>
              </w:rPr>
              <w:tab/>
            </w:r>
            <w:r>
              <w:rPr>
                <w:noProof/>
                <w:webHidden/>
              </w:rPr>
              <w:fldChar w:fldCharType="begin"/>
            </w:r>
            <w:r>
              <w:rPr>
                <w:noProof/>
                <w:webHidden/>
              </w:rPr>
              <w:instrText xml:space="preserve"> PAGEREF _Toc240927750 \h </w:instrText>
            </w:r>
            <w:r>
              <w:rPr>
                <w:noProof/>
                <w:webHidden/>
              </w:rPr>
            </w:r>
            <w:r>
              <w:rPr>
                <w:noProof/>
                <w:webHidden/>
              </w:rPr>
              <w:fldChar w:fldCharType="separate"/>
            </w:r>
            <w:r>
              <w:rPr>
                <w:noProof/>
                <w:webHidden/>
              </w:rPr>
              <w:t>23</w:t>
            </w:r>
            <w:r>
              <w:rPr>
                <w:noProof/>
                <w:webHidden/>
              </w:rPr>
              <w:fldChar w:fldCharType="end"/>
            </w:r>
          </w:hyperlink>
        </w:p>
        <w:p w14:paraId="524DB3DA" w14:textId="079B838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1" w:history="1">
            <w:r w:rsidRPr="009F47B9">
              <w:rPr>
                <w:rStyle w:val="Hyperlink"/>
                <w:noProof/>
              </w:rPr>
              <w:t>2.7 Theoretical Framework</w:t>
            </w:r>
            <w:r>
              <w:rPr>
                <w:noProof/>
                <w:webHidden/>
              </w:rPr>
              <w:tab/>
            </w:r>
            <w:r>
              <w:rPr>
                <w:noProof/>
                <w:webHidden/>
              </w:rPr>
              <w:fldChar w:fldCharType="begin"/>
            </w:r>
            <w:r>
              <w:rPr>
                <w:noProof/>
                <w:webHidden/>
              </w:rPr>
              <w:instrText xml:space="preserve"> PAGEREF _Toc240927751 \h </w:instrText>
            </w:r>
            <w:r>
              <w:rPr>
                <w:noProof/>
                <w:webHidden/>
              </w:rPr>
            </w:r>
            <w:r>
              <w:rPr>
                <w:noProof/>
                <w:webHidden/>
              </w:rPr>
              <w:fldChar w:fldCharType="separate"/>
            </w:r>
            <w:r>
              <w:rPr>
                <w:noProof/>
                <w:webHidden/>
              </w:rPr>
              <w:t>23</w:t>
            </w:r>
            <w:r>
              <w:rPr>
                <w:noProof/>
                <w:webHidden/>
              </w:rPr>
              <w:fldChar w:fldCharType="end"/>
            </w:r>
          </w:hyperlink>
        </w:p>
        <w:p w14:paraId="09F99721" w14:textId="164C8EC5"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2" w:history="1">
            <w:r w:rsidRPr="009F47B9">
              <w:rPr>
                <w:rStyle w:val="Hyperlink"/>
                <w:noProof/>
              </w:rPr>
              <w:t>2.7.1 Health Literacy Theory</w:t>
            </w:r>
            <w:r>
              <w:rPr>
                <w:noProof/>
                <w:webHidden/>
              </w:rPr>
              <w:tab/>
            </w:r>
            <w:r>
              <w:rPr>
                <w:noProof/>
                <w:webHidden/>
              </w:rPr>
              <w:fldChar w:fldCharType="begin"/>
            </w:r>
            <w:r>
              <w:rPr>
                <w:noProof/>
                <w:webHidden/>
              </w:rPr>
              <w:instrText xml:space="preserve"> PAGEREF _Toc240927752 \h </w:instrText>
            </w:r>
            <w:r>
              <w:rPr>
                <w:noProof/>
                <w:webHidden/>
              </w:rPr>
            </w:r>
            <w:r>
              <w:rPr>
                <w:noProof/>
                <w:webHidden/>
              </w:rPr>
              <w:fldChar w:fldCharType="separate"/>
            </w:r>
            <w:r>
              <w:rPr>
                <w:noProof/>
                <w:webHidden/>
              </w:rPr>
              <w:t>23</w:t>
            </w:r>
            <w:r>
              <w:rPr>
                <w:noProof/>
                <w:webHidden/>
              </w:rPr>
              <w:fldChar w:fldCharType="end"/>
            </w:r>
          </w:hyperlink>
        </w:p>
        <w:p w14:paraId="472773CD" w14:textId="09F72EB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3" w:history="1">
            <w:r w:rsidRPr="009F47B9">
              <w:rPr>
                <w:rStyle w:val="Hyperlink"/>
                <w:noProof/>
              </w:rPr>
              <w:t>2.7.2 Self-Efficacy Theory</w:t>
            </w:r>
            <w:r>
              <w:rPr>
                <w:noProof/>
                <w:webHidden/>
              </w:rPr>
              <w:tab/>
            </w:r>
            <w:r>
              <w:rPr>
                <w:noProof/>
                <w:webHidden/>
              </w:rPr>
              <w:fldChar w:fldCharType="begin"/>
            </w:r>
            <w:r>
              <w:rPr>
                <w:noProof/>
                <w:webHidden/>
              </w:rPr>
              <w:instrText xml:space="preserve"> PAGEREF _Toc240927753 \h </w:instrText>
            </w:r>
            <w:r>
              <w:rPr>
                <w:noProof/>
                <w:webHidden/>
              </w:rPr>
            </w:r>
            <w:r>
              <w:rPr>
                <w:noProof/>
                <w:webHidden/>
              </w:rPr>
              <w:fldChar w:fldCharType="separate"/>
            </w:r>
            <w:r>
              <w:rPr>
                <w:noProof/>
                <w:webHidden/>
              </w:rPr>
              <w:t>24</w:t>
            </w:r>
            <w:r>
              <w:rPr>
                <w:noProof/>
                <w:webHidden/>
              </w:rPr>
              <w:fldChar w:fldCharType="end"/>
            </w:r>
          </w:hyperlink>
        </w:p>
        <w:p w14:paraId="4F925CC2" w14:textId="3C369614"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4" w:history="1">
            <w:r w:rsidRPr="009F47B9">
              <w:rPr>
                <w:rStyle w:val="Hyperlink"/>
                <w:noProof/>
              </w:rPr>
              <w:t>2.7.3 Orem’s Self-Care Theory</w:t>
            </w:r>
            <w:r>
              <w:rPr>
                <w:noProof/>
                <w:webHidden/>
              </w:rPr>
              <w:tab/>
            </w:r>
            <w:r>
              <w:rPr>
                <w:noProof/>
                <w:webHidden/>
              </w:rPr>
              <w:fldChar w:fldCharType="begin"/>
            </w:r>
            <w:r>
              <w:rPr>
                <w:noProof/>
                <w:webHidden/>
              </w:rPr>
              <w:instrText xml:space="preserve"> PAGEREF _Toc240927754 \h </w:instrText>
            </w:r>
            <w:r>
              <w:rPr>
                <w:noProof/>
                <w:webHidden/>
              </w:rPr>
            </w:r>
            <w:r>
              <w:rPr>
                <w:noProof/>
                <w:webHidden/>
              </w:rPr>
              <w:fldChar w:fldCharType="separate"/>
            </w:r>
            <w:r>
              <w:rPr>
                <w:noProof/>
                <w:webHidden/>
              </w:rPr>
              <w:t>25</w:t>
            </w:r>
            <w:r>
              <w:rPr>
                <w:noProof/>
                <w:webHidden/>
              </w:rPr>
              <w:fldChar w:fldCharType="end"/>
            </w:r>
          </w:hyperlink>
        </w:p>
        <w:p w14:paraId="3CFD5DC9" w14:textId="200A2AA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5" w:history="1">
            <w:r w:rsidRPr="009F47B9">
              <w:rPr>
                <w:rStyle w:val="Hyperlink"/>
                <w:noProof/>
              </w:rPr>
              <w:t>2.7.4 COM-B Model</w:t>
            </w:r>
            <w:r>
              <w:rPr>
                <w:noProof/>
                <w:webHidden/>
              </w:rPr>
              <w:tab/>
            </w:r>
            <w:r>
              <w:rPr>
                <w:noProof/>
                <w:webHidden/>
              </w:rPr>
              <w:fldChar w:fldCharType="begin"/>
            </w:r>
            <w:r>
              <w:rPr>
                <w:noProof/>
                <w:webHidden/>
              </w:rPr>
              <w:instrText xml:space="preserve"> PAGEREF _Toc240927755 \h </w:instrText>
            </w:r>
            <w:r>
              <w:rPr>
                <w:noProof/>
                <w:webHidden/>
              </w:rPr>
            </w:r>
            <w:r>
              <w:rPr>
                <w:noProof/>
                <w:webHidden/>
              </w:rPr>
              <w:fldChar w:fldCharType="separate"/>
            </w:r>
            <w:r>
              <w:rPr>
                <w:noProof/>
                <w:webHidden/>
              </w:rPr>
              <w:t>26</w:t>
            </w:r>
            <w:r>
              <w:rPr>
                <w:noProof/>
                <w:webHidden/>
              </w:rPr>
              <w:fldChar w:fldCharType="end"/>
            </w:r>
          </w:hyperlink>
        </w:p>
        <w:p w14:paraId="5F03C3A8" w14:textId="44CBD69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6" w:history="1">
            <w:r w:rsidRPr="009F47B9">
              <w:rPr>
                <w:rStyle w:val="Hyperlink"/>
                <w:noProof/>
              </w:rPr>
              <w:t>2.7.5 Theoretical Domains Framework</w:t>
            </w:r>
            <w:r>
              <w:rPr>
                <w:noProof/>
                <w:webHidden/>
              </w:rPr>
              <w:tab/>
            </w:r>
            <w:r>
              <w:rPr>
                <w:noProof/>
                <w:webHidden/>
              </w:rPr>
              <w:fldChar w:fldCharType="begin"/>
            </w:r>
            <w:r>
              <w:rPr>
                <w:noProof/>
                <w:webHidden/>
              </w:rPr>
              <w:instrText xml:space="preserve"> PAGEREF _Toc240927756 \h </w:instrText>
            </w:r>
            <w:r>
              <w:rPr>
                <w:noProof/>
                <w:webHidden/>
              </w:rPr>
            </w:r>
            <w:r>
              <w:rPr>
                <w:noProof/>
                <w:webHidden/>
              </w:rPr>
              <w:fldChar w:fldCharType="separate"/>
            </w:r>
            <w:r>
              <w:rPr>
                <w:noProof/>
                <w:webHidden/>
              </w:rPr>
              <w:t>27</w:t>
            </w:r>
            <w:r>
              <w:rPr>
                <w:noProof/>
                <w:webHidden/>
              </w:rPr>
              <w:fldChar w:fldCharType="end"/>
            </w:r>
          </w:hyperlink>
        </w:p>
        <w:p w14:paraId="2E75E37E" w14:textId="1D2C801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7" w:history="1">
            <w:r w:rsidRPr="009F47B9">
              <w:rPr>
                <w:rStyle w:val="Hyperlink"/>
                <w:noProof/>
              </w:rPr>
              <w:t>2.8 Gaps in Literature</w:t>
            </w:r>
            <w:r>
              <w:rPr>
                <w:noProof/>
                <w:webHidden/>
              </w:rPr>
              <w:tab/>
            </w:r>
            <w:r>
              <w:rPr>
                <w:noProof/>
                <w:webHidden/>
              </w:rPr>
              <w:fldChar w:fldCharType="begin"/>
            </w:r>
            <w:r>
              <w:rPr>
                <w:noProof/>
                <w:webHidden/>
              </w:rPr>
              <w:instrText xml:space="preserve"> PAGEREF _Toc240927757 \h </w:instrText>
            </w:r>
            <w:r>
              <w:rPr>
                <w:noProof/>
                <w:webHidden/>
              </w:rPr>
            </w:r>
            <w:r>
              <w:rPr>
                <w:noProof/>
                <w:webHidden/>
              </w:rPr>
              <w:fldChar w:fldCharType="separate"/>
            </w:r>
            <w:r>
              <w:rPr>
                <w:noProof/>
                <w:webHidden/>
              </w:rPr>
              <w:t>28</w:t>
            </w:r>
            <w:r>
              <w:rPr>
                <w:noProof/>
                <w:webHidden/>
              </w:rPr>
              <w:fldChar w:fldCharType="end"/>
            </w:r>
          </w:hyperlink>
        </w:p>
        <w:p w14:paraId="7BA51BFB" w14:textId="4967E0C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8" w:history="1">
            <w:r w:rsidRPr="009F47B9">
              <w:rPr>
                <w:rStyle w:val="Hyperlink"/>
                <w:noProof/>
              </w:rPr>
              <w:t>2.9 Chapter Summary</w:t>
            </w:r>
            <w:r>
              <w:rPr>
                <w:noProof/>
                <w:webHidden/>
              </w:rPr>
              <w:tab/>
            </w:r>
            <w:r>
              <w:rPr>
                <w:noProof/>
                <w:webHidden/>
              </w:rPr>
              <w:fldChar w:fldCharType="begin"/>
            </w:r>
            <w:r>
              <w:rPr>
                <w:noProof/>
                <w:webHidden/>
              </w:rPr>
              <w:instrText xml:space="preserve"> PAGEREF _Toc240927758 \h </w:instrText>
            </w:r>
            <w:r>
              <w:rPr>
                <w:noProof/>
                <w:webHidden/>
              </w:rPr>
            </w:r>
            <w:r>
              <w:rPr>
                <w:noProof/>
                <w:webHidden/>
              </w:rPr>
              <w:fldChar w:fldCharType="separate"/>
            </w:r>
            <w:r>
              <w:rPr>
                <w:noProof/>
                <w:webHidden/>
              </w:rPr>
              <w:t>29</w:t>
            </w:r>
            <w:r>
              <w:rPr>
                <w:noProof/>
                <w:webHidden/>
              </w:rPr>
              <w:fldChar w:fldCharType="end"/>
            </w:r>
          </w:hyperlink>
        </w:p>
        <w:p w14:paraId="082F69C4" w14:textId="4D95BA8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9" w:history="1">
            <w:r w:rsidRPr="009F47B9">
              <w:rPr>
                <w:rStyle w:val="Hyperlink"/>
                <w:noProof/>
              </w:rPr>
              <w:t>CHAPTER 3: RESEARCH METHODOLOGY</w:t>
            </w:r>
            <w:r>
              <w:rPr>
                <w:noProof/>
                <w:webHidden/>
              </w:rPr>
              <w:tab/>
            </w:r>
            <w:r>
              <w:rPr>
                <w:noProof/>
                <w:webHidden/>
              </w:rPr>
              <w:fldChar w:fldCharType="begin"/>
            </w:r>
            <w:r>
              <w:rPr>
                <w:noProof/>
                <w:webHidden/>
              </w:rPr>
              <w:instrText xml:space="preserve"> PAGEREF _Toc240927759 \h </w:instrText>
            </w:r>
            <w:r>
              <w:rPr>
                <w:noProof/>
                <w:webHidden/>
              </w:rPr>
            </w:r>
            <w:r>
              <w:rPr>
                <w:noProof/>
                <w:webHidden/>
              </w:rPr>
              <w:fldChar w:fldCharType="separate"/>
            </w:r>
            <w:r>
              <w:rPr>
                <w:noProof/>
                <w:webHidden/>
              </w:rPr>
              <w:t>30</w:t>
            </w:r>
            <w:r>
              <w:rPr>
                <w:noProof/>
                <w:webHidden/>
              </w:rPr>
              <w:fldChar w:fldCharType="end"/>
            </w:r>
          </w:hyperlink>
        </w:p>
        <w:p w14:paraId="1DF9482A" w14:textId="695952F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0" w:history="1">
            <w:r w:rsidRPr="009F47B9">
              <w:rPr>
                <w:rStyle w:val="Hyperlink"/>
                <w:noProof/>
              </w:rPr>
              <w:t>3.1 Introduction</w:t>
            </w:r>
            <w:r>
              <w:rPr>
                <w:noProof/>
                <w:webHidden/>
              </w:rPr>
              <w:tab/>
            </w:r>
            <w:r>
              <w:rPr>
                <w:noProof/>
                <w:webHidden/>
              </w:rPr>
              <w:fldChar w:fldCharType="begin"/>
            </w:r>
            <w:r>
              <w:rPr>
                <w:noProof/>
                <w:webHidden/>
              </w:rPr>
              <w:instrText xml:space="preserve"> PAGEREF _Toc240927760 \h </w:instrText>
            </w:r>
            <w:r>
              <w:rPr>
                <w:noProof/>
                <w:webHidden/>
              </w:rPr>
            </w:r>
            <w:r>
              <w:rPr>
                <w:noProof/>
                <w:webHidden/>
              </w:rPr>
              <w:fldChar w:fldCharType="separate"/>
            </w:r>
            <w:r>
              <w:rPr>
                <w:noProof/>
                <w:webHidden/>
              </w:rPr>
              <w:t>30</w:t>
            </w:r>
            <w:r>
              <w:rPr>
                <w:noProof/>
                <w:webHidden/>
              </w:rPr>
              <w:fldChar w:fldCharType="end"/>
            </w:r>
          </w:hyperlink>
        </w:p>
        <w:p w14:paraId="7F52436D" w14:textId="6CA4C52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1" w:history="1">
            <w:r w:rsidRPr="009F47B9">
              <w:rPr>
                <w:rStyle w:val="Hyperlink"/>
                <w:noProof/>
              </w:rPr>
              <w:t>3.2 Research Philosophy and Paradigm</w:t>
            </w:r>
            <w:r>
              <w:rPr>
                <w:noProof/>
                <w:webHidden/>
              </w:rPr>
              <w:tab/>
            </w:r>
            <w:r>
              <w:rPr>
                <w:noProof/>
                <w:webHidden/>
              </w:rPr>
              <w:fldChar w:fldCharType="begin"/>
            </w:r>
            <w:r>
              <w:rPr>
                <w:noProof/>
                <w:webHidden/>
              </w:rPr>
              <w:instrText xml:space="preserve"> PAGEREF _Toc240927761 \h </w:instrText>
            </w:r>
            <w:r>
              <w:rPr>
                <w:noProof/>
                <w:webHidden/>
              </w:rPr>
            </w:r>
            <w:r>
              <w:rPr>
                <w:noProof/>
                <w:webHidden/>
              </w:rPr>
              <w:fldChar w:fldCharType="separate"/>
            </w:r>
            <w:r>
              <w:rPr>
                <w:noProof/>
                <w:webHidden/>
              </w:rPr>
              <w:t>30</w:t>
            </w:r>
            <w:r>
              <w:rPr>
                <w:noProof/>
                <w:webHidden/>
              </w:rPr>
              <w:fldChar w:fldCharType="end"/>
            </w:r>
          </w:hyperlink>
        </w:p>
        <w:p w14:paraId="11F1BA71" w14:textId="35E56D2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2" w:history="1">
            <w:r w:rsidRPr="009F47B9">
              <w:rPr>
                <w:rStyle w:val="Hyperlink"/>
                <w:noProof/>
              </w:rPr>
              <w:t>3.3 Ethical Considerations</w:t>
            </w:r>
            <w:r>
              <w:rPr>
                <w:noProof/>
                <w:webHidden/>
              </w:rPr>
              <w:tab/>
            </w:r>
            <w:r>
              <w:rPr>
                <w:noProof/>
                <w:webHidden/>
              </w:rPr>
              <w:fldChar w:fldCharType="begin"/>
            </w:r>
            <w:r>
              <w:rPr>
                <w:noProof/>
                <w:webHidden/>
              </w:rPr>
              <w:instrText xml:space="preserve"> PAGEREF _Toc240927762 \h </w:instrText>
            </w:r>
            <w:r>
              <w:rPr>
                <w:noProof/>
                <w:webHidden/>
              </w:rPr>
            </w:r>
            <w:r>
              <w:rPr>
                <w:noProof/>
                <w:webHidden/>
              </w:rPr>
              <w:fldChar w:fldCharType="separate"/>
            </w:r>
            <w:r>
              <w:rPr>
                <w:noProof/>
                <w:webHidden/>
              </w:rPr>
              <w:t>30</w:t>
            </w:r>
            <w:r>
              <w:rPr>
                <w:noProof/>
                <w:webHidden/>
              </w:rPr>
              <w:fldChar w:fldCharType="end"/>
            </w:r>
          </w:hyperlink>
        </w:p>
        <w:p w14:paraId="018A2EB0" w14:textId="68B5E82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3" w:history="1">
            <w:r w:rsidRPr="009F47B9">
              <w:rPr>
                <w:rStyle w:val="Hyperlink"/>
                <w:noProof/>
              </w:rPr>
              <w:t>3.4 Research Approach and Study Design</w:t>
            </w:r>
            <w:r>
              <w:rPr>
                <w:noProof/>
                <w:webHidden/>
              </w:rPr>
              <w:tab/>
            </w:r>
            <w:r>
              <w:rPr>
                <w:noProof/>
                <w:webHidden/>
              </w:rPr>
              <w:fldChar w:fldCharType="begin"/>
            </w:r>
            <w:r>
              <w:rPr>
                <w:noProof/>
                <w:webHidden/>
              </w:rPr>
              <w:instrText xml:space="preserve"> PAGEREF _Toc240927763 \h </w:instrText>
            </w:r>
            <w:r>
              <w:rPr>
                <w:noProof/>
                <w:webHidden/>
              </w:rPr>
            </w:r>
            <w:r>
              <w:rPr>
                <w:noProof/>
                <w:webHidden/>
              </w:rPr>
              <w:fldChar w:fldCharType="separate"/>
            </w:r>
            <w:r>
              <w:rPr>
                <w:noProof/>
                <w:webHidden/>
              </w:rPr>
              <w:t>31</w:t>
            </w:r>
            <w:r>
              <w:rPr>
                <w:noProof/>
                <w:webHidden/>
              </w:rPr>
              <w:fldChar w:fldCharType="end"/>
            </w:r>
          </w:hyperlink>
        </w:p>
        <w:p w14:paraId="2D2DBACE" w14:textId="11DC7C8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4" w:history="1">
            <w:r w:rsidRPr="009F47B9">
              <w:rPr>
                <w:rStyle w:val="Hyperlink"/>
                <w:noProof/>
              </w:rPr>
              <w:t>3.5 Method of Data Collection</w:t>
            </w:r>
            <w:r>
              <w:rPr>
                <w:noProof/>
                <w:webHidden/>
              </w:rPr>
              <w:tab/>
            </w:r>
            <w:r>
              <w:rPr>
                <w:noProof/>
                <w:webHidden/>
              </w:rPr>
              <w:fldChar w:fldCharType="begin"/>
            </w:r>
            <w:r>
              <w:rPr>
                <w:noProof/>
                <w:webHidden/>
              </w:rPr>
              <w:instrText xml:space="preserve"> PAGEREF _Toc240927764 \h </w:instrText>
            </w:r>
            <w:r>
              <w:rPr>
                <w:noProof/>
                <w:webHidden/>
              </w:rPr>
            </w:r>
            <w:r>
              <w:rPr>
                <w:noProof/>
                <w:webHidden/>
              </w:rPr>
              <w:fldChar w:fldCharType="separate"/>
            </w:r>
            <w:r>
              <w:rPr>
                <w:noProof/>
                <w:webHidden/>
              </w:rPr>
              <w:t>31</w:t>
            </w:r>
            <w:r>
              <w:rPr>
                <w:noProof/>
                <w:webHidden/>
              </w:rPr>
              <w:fldChar w:fldCharType="end"/>
            </w:r>
          </w:hyperlink>
        </w:p>
        <w:p w14:paraId="4E643266" w14:textId="46A7E4D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5" w:history="1">
            <w:r w:rsidRPr="009F47B9">
              <w:rPr>
                <w:rStyle w:val="Hyperlink"/>
                <w:noProof/>
              </w:rPr>
              <w:t>3.5.1 Search Strategy</w:t>
            </w:r>
            <w:r>
              <w:rPr>
                <w:noProof/>
                <w:webHidden/>
              </w:rPr>
              <w:tab/>
            </w:r>
            <w:r>
              <w:rPr>
                <w:noProof/>
                <w:webHidden/>
              </w:rPr>
              <w:fldChar w:fldCharType="begin"/>
            </w:r>
            <w:r>
              <w:rPr>
                <w:noProof/>
                <w:webHidden/>
              </w:rPr>
              <w:instrText xml:space="preserve"> PAGEREF _Toc240927765 \h </w:instrText>
            </w:r>
            <w:r>
              <w:rPr>
                <w:noProof/>
                <w:webHidden/>
              </w:rPr>
            </w:r>
            <w:r>
              <w:rPr>
                <w:noProof/>
                <w:webHidden/>
              </w:rPr>
              <w:fldChar w:fldCharType="separate"/>
            </w:r>
            <w:r>
              <w:rPr>
                <w:noProof/>
                <w:webHidden/>
              </w:rPr>
              <w:t>32</w:t>
            </w:r>
            <w:r>
              <w:rPr>
                <w:noProof/>
                <w:webHidden/>
              </w:rPr>
              <w:fldChar w:fldCharType="end"/>
            </w:r>
          </w:hyperlink>
        </w:p>
        <w:p w14:paraId="74EE55EB" w14:textId="65119BA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6" w:history="1">
            <w:r w:rsidRPr="009F47B9">
              <w:rPr>
                <w:rStyle w:val="Hyperlink"/>
                <w:noProof/>
              </w:rPr>
              <w:t>3.5.2 Hand Searching and Grey Literature</w:t>
            </w:r>
            <w:r>
              <w:rPr>
                <w:noProof/>
                <w:webHidden/>
              </w:rPr>
              <w:tab/>
            </w:r>
            <w:r>
              <w:rPr>
                <w:noProof/>
                <w:webHidden/>
              </w:rPr>
              <w:fldChar w:fldCharType="begin"/>
            </w:r>
            <w:r>
              <w:rPr>
                <w:noProof/>
                <w:webHidden/>
              </w:rPr>
              <w:instrText xml:space="preserve"> PAGEREF _Toc240927766 \h </w:instrText>
            </w:r>
            <w:r>
              <w:rPr>
                <w:noProof/>
                <w:webHidden/>
              </w:rPr>
            </w:r>
            <w:r>
              <w:rPr>
                <w:noProof/>
                <w:webHidden/>
              </w:rPr>
              <w:fldChar w:fldCharType="separate"/>
            </w:r>
            <w:r>
              <w:rPr>
                <w:noProof/>
                <w:webHidden/>
              </w:rPr>
              <w:t>33</w:t>
            </w:r>
            <w:r>
              <w:rPr>
                <w:noProof/>
                <w:webHidden/>
              </w:rPr>
              <w:fldChar w:fldCharType="end"/>
            </w:r>
          </w:hyperlink>
        </w:p>
        <w:p w14:paraId="76631F3D" w14:textId="26822F9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7" w:history="1">
            <w:r w:rsidRPr="009F47B9">
              <w:rPr>
                <w:rStyle w:val="Hyperlink"/>
                <w:noProof/>
              </w:rPr>
              <w:t>3.6 Eligibility Criteria</w:t>
            </w:r>
            <w:r>
              <w:rPr>
                <w:noProof/>
                <w:webHidden/>
              </w:rPr>
              <w:tab/>
            </w:r>
            <w:r>
              <w:rPr>
                <w:noProof/>
                <w:webHidden/>
              </w:rPr>
              <w:fldChar w:fldCharType="begin"/>
            </w:r>
            <w:r>
              <w:rPr>
                <w:noProof/>
                <w:webHidden/>
              </w:rPr>
              <w:instrText xml:space="preserve"> PAGEREF _Toc240927767 \h </w:instrText>
            </w:r>
            <w:r>
              <w:rPr>
                <w:noProof/>
                <w:webHidden/>
              </w:rPr>
            </w:r>
            <w:r>
              <w:rPr>
                <w:noProof/>
                <w:webHidden/>
              </w:rPr>
              <w:fldChar w:fldCharType="separate"/>
            </w:r>
            <w:r>
              <w:rPr>
                <w:noProof/>
                <w:webHidden/>
              </w:rPr>
              <w:t>34</w:t>
            </w:r>
            <w:r>
              <w:rPr>
                <w:noProof/>
                <w:webHidden/>
              </w:rPr>
              <w:fldChar w:fldCharType="end"/>
            </w:r>
          </w:hyperlink>
        </w:p>
        <w:p w14:paraId="53B26590" w14:textId="05BAA788"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8" w:history="1">
            <w:r w:rsidRPr="009F47B9">
              <w:rPr>
                <w:rStyle w:val="Hyperlink"/>
                <w:noProof/>
              </w:rPr>
              <w:t>3.7 Study Selection and PRISMA Reporting</w:t>
            </w:r>
            <w:r>
              <w:rPr>
                <w:noProof/>
                <w:webHidden/>
              </w:rPr>
              <w:tab/>
            </w:r>
            <w:r>
              <w:rPr>
                <w:noProof/>
                <w:webHidden/>
              </w:rPr>
              <w:fldChar w:fldCharType="begin"/>
            </w:r>
            <w:r>
              <w:rPr>
                <w:noProof/>
                <w:webHidden/>
              </w:rPr>
              <w:instrText xml:space="preserve"> PAGEREF _Toc240927768 \h </w:instrText>
            </w:r>
            <w:r>
              <w:rPr>
                <w:noProof/>
                <w:webHidden/>
              </w:rPr>
            </w:r>
            <w:r>
              <w:rPr>
                <w:noProof/>
                <w:webHidden/>
              </w:rPr>
              <w:fldChar w:fldCharType="separate"/>
            </w:r>
            <w:r>
              <w:rPr>
                <w:noProof/>
                <w:webHidden/>
              </w:rPr>
              <w:t>35</w:t>
            </w:r>
            <w:r>
              <w:rPr>
                <w:noProof/>
                <w:webHidden/>
              </w:rPr>
              <w:fldChar w:fldCharType="end"/>
            </w:r>
          </w:hyperlink>
        </w:p>
        <w:p w14:paraId="7DEF2FA2" w14:textId="6344D8AC"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9" w:history="1">
            <w:r w:rsidRPr="009F47B9">
              <w:rPr>
                <w:rStyle w:val="Hyperlink"/>
                <w:noProof/>
              </w:rPr>
              <w:t>3.8 Quality Appraisal and Risk of Bias</w:t>
            </w:r>
            <w:r>
              <w:rPr>
                <w:noProof/>
                <w:webHidden/>
              </w:rPr>
              <w:tab/>
            </w:r>
            <w:r>
              <w:rPr>
                <w:noProof/>
                <w:webHidden/>
              </w:rPr>
              <w:fldChar w:fldCharType="begin"/>
            </w:r>
            <w:r>
              <w:rPr>
                <w:noProof/>
                <w:webHidden/>
              </w:rPr>
              <w:instrText xml:space="preserve"> PAGEREF _Toc240927769 \h </w:instrText>
            </w:r>
            <w:r>
              <w:rPr>
                <w:noProof/>
                <w:webHidden/>
              </w:rPr>
            </w:r>
            <w:r>
              <w:rPr>
                <w:noProof/>
                <w:webHidden/>
              </w:rPr>
              <w:fldChar w:fldCharType="separate"/>
            </w:r>
            <w:r>
              <w:rPr>
                <w:noProof/>
                <w:webHidden/>
              </w:rPr>
              <w:t>36</w:t>
            </w:r>
            <w:r>
              <w:rPr>
                <w:noProof/>
                <w:webHidden/>
              </w:rPr>
              <w:fldChar w:fldCharType="end"/>
            </w:r>
          </w:hyperlink>
        </w:p>
        <w:p w14:paraId="5C035063" w14:textId="45244EC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0" w:history="1">
            <w:r w:rsidRPr="009F47B9">
              <w:rPr>
                <w:rStyle w:val="Hyperlink"/>
                <w:noProof/>
              </w:rPr>
              <w:t>3.9 Data Extraction</w:t>
            </w:r>
            <w:r>
              <w:rPr>
                <w:noProof/>
                <w:webHidden/>
              </w:rPr>
              <w:tab/>
            </w:r>
            <w:r>
              <w:rPr>
                <w:noProof/>
                <w:webHidden/>
              </w:rPr>
              <w:fldChar w:fldCharType="begin"/>
            </w:r>
            <w:r>
              <w:rPr>
                <w:noProof/>
                <w:webHidden/>
              </w:rPr>
              <w:instrText xml:space="preserve"> PAGEREF _Toc240927770 \h </w:instrText>
            </w:r>
            <w:r>
              <w:rPr>
                <w:noProof/>
                <w:webHidden/>
              </w:rPr>
            </w:r>
            <w:r>
              <w:rPr>
                <w:noProof/>
                <w:webHidden/>
              </w:rPr>
              <w:fldChar w:fldCharType="separate"/>
            </w:r>
            <w:r>
              <w:rPr>
                <w:noProof/>
                <w:webHidden/>
              </w:rPr>
              <w:t>38</w:t>
            </w:r>
            <w:r>
              <w:rPr>
                <w:noProof/>
                <w:webHidden/>
              </w:rPr>
              <w:fldChar w:fldCharType="end"/>
            </w:r>
          </w:hyperlink>
        </w:p>
        <w:p w14:paraId="062FCD98" w14:textId="3C1A3F58"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1" w:history="1">
            <w:r w:rsidRPr="009F47B9">
              <w:rPr>
                <w:rStyle w:val="Hyperlink"/>
                <w:noProof/>
              </w:rPr>
              <w:t>3.10 Data Synthesis</w:t>
            </w:r>
            <w:r>
              <w:rPr>
                <w:noProof/>
                <w:webHidden/>
              </w:rPr>
              <w:tab/>
            </w:r>
            <w:r>
              <w:rPr>
                <w:noProof/>
                <w:webHidden/>
              </w:rPr>
              <w:fldChar w:fldCharType="begin"/>
            </w:r>
            <w:r>
              <w:rPr>
                <w:noProof/>
                <w:webHidden/>
              </w:rPr>
              <w:instrText xml:space="preserve"> PAGEREF _Toc240927771 \h </w:instrText>
            </w:r>
            <w:r>
              <w:rPr>
                <w:noProof/>
                <w:webHidden/>
              </w:rPr>
            </w:r>
            <w:r>
              <w:rPr>
                <w:noProof/>
                <w:webHidden/>
              </w:rPr>
              <w:fldChar w:fldCharType="separate"/>
            </w:r>
            <w:r>
              <w:rPr>
                <w:noProof/>
                <w:webHidden/>
              </w:rPr>
              <w:t>38</w:t>
            </w:r>
            <w:r>
              <w:rPr>
                <w:noProof/>
                <w:webHidden/>
              </w:rPr>
              <w:fldChar w:fldCharType="end"/>
            </w:r>
          </w:hyperlink>
        </w:p>
        <w:p w14:paraId="72EEFBB6" w14:textId="7D85BBD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2" w:history="1">
            <w:r w:rsidRPr="009F47B9">
              <w:rPr>
                <w:rStyle w:val="Hyperlink"/>
                <w:noProof/>
              </w:rPr>
              <w:t>3.11 Methodological Limitations</w:t>
            </w:r>
            <w:r>
              <w:rPr>
                <w:noProof/>
                <w:webHidden/>
              </w:rPr>
              <w:tab/>
            </w:r>
            <w:r>
              <w:rPr>
                <w:noProof/>
                <w:webHidden/>
              </w:rPr>
              <w:fldChar w:fldCharType="begin"/>
            </w:r>
            <w:r>
              <w:rPr>
                <w:noProof/>
                <w:webHidden/>
              </w:rPr>
              <w:instrText xml:space="preserve"> PAGEREF _Toc240927772 \h </w:instrText>
            </w:r>
            <w:r>
              <w:rPr>
                <w:noProof/>
                <w:webHidden/>
              </w:rPr>
            </w:r>
            <w:r>
              <w:rPr>
                <w:noProof/>
                <w:webHidden/>
              </w:rPr>
              <w:fldChar w:fldCharType="separate"/>
            </w:r>
            <w:r>
              <w:rPr>
                <w:noProof/>
                <w:webHidden/>
              </w:rPr>
              <w:t>39</w:t>
            </w:r>
            <w:r>
              <w:rPr>
                <w:noProof/>
                <w:webHidden/>
              </w:rPr>
              <w:fldChar w:fldCharType="end"/>
            </w:r>
          </w:hyperlink>
        </w:p>
        <w:p w14:paraId="553B577F" w14:textId="2FE6FB0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3" w:history="1">
            <w:r w:rsidRPr="009F47B9">
              <w:rPr>
                <w:rStyle w:val="Hyperlink"/>
                <w:noProof/>
              </w:rPr>
              <w:t>3.12 Chapter Summary</w:t>
            </w:r>
            <w:r>
              <w:rPr>
                <w:noProof/>
                <w:webHidden/>
              </w:rPr>
              <w:tab/>
            </w:r>
            <w:r>
              <w:rPr>
                <w:noProof/>
                <w:webHidden/>
              </w:rPr>
              <w:fldChar w:fldCharType="begin"/>
            </w:r>
            <w:r>
              <w:rPr>
                <w:noProof/>
                <w:webHidden/>
              </w:rPr>
              <w:instrText xml:space="preserve"> PAGEREF _Toc240927773 \h </w:instrText>
            </w:r>
            <w:r>
              <w:rPr>
                <w:noProof/>
                <w:webHidden/>
              </w:rPr>
            </w:r>
            <w:r>
              <w:rPr>
                <w:noProof/>
                <w:webHidden/>
              </w:rPr>
              <w:fldChar w:fldCharType="separate"/>
            </w:r>
            <w:r>
              <w:rPr>
                <w:noProof/>
                <w:webHidden/>
              </w:rPr>
              <w:t>39</w:t>
            </w:r>
            <w:r>
              <w:rPr>
                <w:noProof/>
                <w:webHidden/>
              </w:rPr>
              <w:fldChar w:fldCharType="end"/>
            </w:r>
          </w:hyperlink>
        </w:p>
        <w:p w14:paraId="60989002" w14:textId="3D185B36"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4" w:history="1">
            <w:r w:rsidRPr="009F47B9">
              <w:rPr>
                <w:rStyle w:val="Hyperlink"/>
                <w:noProof/>
              </w:rPr>
              <w:t>CHAPTER 4: RESULTS AND FINDINGS</w:t>
            </w:r>
            <w:r>
              <w:rPr>
                <w:noProof/>
                <w:webHidden/>
              </w:rPr>
              <w:tab/>
            </w:r>
            <w:r>
              <w:rPr>
                <w:noProof/>
                <w:webHidden/>
              </w:rPr>
              <w:fldChar w:fldCharType="begin"/>
            </w:r>
            <w:r>
              <w:rPr>
                <w:noProof/>
                <w:webHidden/>
              </w:rPr>
              <w:instrText xml:space="preserve"> PAGEREF _Toc240927774 \h </w:instrText>
            </w:r>
            <w:r>
              <w:rPr>
                <w:noProof/>
                <w:webHidden/>
              </w:rPr>
            </w:r>
            <w:r>
              <w:rPr>
                <w:noProof/>
                <w:webHidden/>
              </w:rPr>
              <w:fldChar w:fldCharType="separate"/>
            </w:r>
            <w:r>
              <w:rPr>
                <w:noProof/>
                <w:webHidden/>
              </w:rPr>
              <w:t>40</w:t>
            </w:r>
            <w:r>
              <w:rPr>
                <w:noProof/>
                <w:webHidden/>
              </w:rPr>
              <w:fldChar w:fldCharType="end"/>
            </w:r>
          </w:hyperlink>
        </w:p>
        <w:p w14:paraId="57D973A4" w14:textId="1B05210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5" w:history="1">
            <w:r w:rsidRPr="009F47B9">
              <w:rPr>
                <w:rStyle w:val="Hyperlink"/>
                <w:noProof/>
              </w:rPr>
              <w:t>4.1 Introduction</w:t>
            </w:r>
            <w:r>
              <w:rPr>
                <w:noProof/>
                <w:webHidden/>
              </w:rPr>
              <w:tab/>
            </w:r>
            <w:r>
              <w:rPr>
                <w:noProof/>
                <w:webHidden/>
              </w:rPr>
              <w:fldChar w:fldCharType="begin"/>
            </w:r>
            <w:r>
              <w:rPr>
                <w:noProof/>
                <w:webHidden/>
              </w:rPr>
              <w:instrText xml:space="preserve"> PAGEREF _Toc240927775 \h </w:instrText>
            </w:r>
            <w:r>
              <w:rPr>
                <w:noProof/>
                <w:webHidden/>
              </w:rPr>
            </w:r>
            <w:r>
              <w:rPr>
                <w:noProof/>
                <w:webHidden/>
              </w:rPr>
              <w:fldChar w:fldCharType="separate"/>
            </w:r>
            <w:r>
              <w:rPr>
                <w:noProof/>
                <w:webHidden/>
              </w:rPr>
              <w:t>40</w:t>
            </w:r>
            <w:r>
              <w:rPr>
                <w:noProof/>
                <w:webHidden/>
              </w:rPr>
              <w:fldChar w:fldCharType="end"/>
            </w:r>
          </w:hyperlink>
        </w:p>
        <w:p w14:paraId="4C364F64" w14:textId="21F4164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6" w:history="1">
            <w:r w:rsidRPr="009F47B9">
              <w:rPr>
                <w:rStyle w:val="Hyperlink"/>
                <w:noProof/>
              </w:rPr>
              <w:t>4.2 Study Selection Results</w:t>
            </w:r>
            <w:r>
              <w:rPr>
                <w:noProof/>
                <w:webHidden/>
              </w:rPr>
              <w:tab/>
            </w:r>
            <w:r>
              <w:rPr>
                <w:noProof/>
                <w:webHidden/>
              </w:rPr>
              <w:fldChar w:fldCharType="begin"/>
            </w:r>
            <w:r>
              <w:rPr>
                <w:noProof/>
                <w:webHidden/>
              </w:rPr>
              <w:instrText xml:space="preserve"> PAGEREF _Toc240927776 \h </w:instrText>
            </w:r>
            <w:r>
              <w:rPr>
                <w:noProof/>
                <w:webHidden/>
              </w:rPr>
            </w:r>
            <w:r>
              <w:rPr>
                <w:noProof/>
                <w:webHidden/>
              </w:rPr>
              <w:fldChar w:fldCharType="separate"/>
            </w:r>
            <w:r>
              <w:rPr>
                <w:noProof/>
                <w:webHidden/>
              </w:rPr>
              <w:t>40</w:t>
            </w:r>
            <w:r>
              <w:rPr>
                <w:noProof/>
                <w:webHidden/>
              </w:rPr>
              <w:fldChar w:fldCharType="end"/>
            </w:r>
          </w:hyperlink>
        </w:p>
        <w:p w14:paraId="5A908FFC" w14:textId="1BB2793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7" w:history="1">
            <w:r w:rsidRPr="009F47B9">
              <w:rPr>
                <w:rStyle w:val="Hyperlink"/>
                <w:noProof/>
              </w:rPr>
              <w:t>4.3 Characteristics of the Included Studies</w:t>
            </w:r>
            <w:r>
              <w:rPr>
                <w:noProof/>
                <w:webHidden/>
              </w:rPr>
              <w:tab/>
            </w:r>
            <w:r>
              <w:rPr>
                <w:noProof/>
                <w:webHidden/>
              </w:rPr>
              <w:fldChar w:fldCharType="begin"/>
            </w:r>
            <w:r>
              <w:rPr>
                <w:noProof/>
                <w:webHidden/>
              </w:rPr>
              <w:instrText xml:space="preserve"> PAGEREF _Toc240927777 \h </w:instrText>
            </w:r>
            <w:r>
              <w:rPr>
                <w:noProof/>
                <w:webHidden/>
              </w:rPr>
            </w:r>
            <w:r>
              <w:rPr>
                <w:noProof/>
                <w:webHidden/>
              </w:rPr>
              <w:fldChar w:fldCharType="separate"/>
            </w:r>
            <w:r>
              <w:rPr>
                <w:noProof/>
                <w:webHidden/>
              </w:rPr>
              <w:t>41</w:t>
            </w:r>
            <w:r>
              <w:rPr>
                <w:noProof/>
                <w:webHidden/>
              </w:rPr>
              <w:fldChar w:fldCharType="end"/>
            </w:r>
          </w:hyperlink>
        </w:p>
        <w:p w14:paraId="76F09C85" w14:textId="4B75034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8" w:history="1">
            <w:r w:rsidRPr="009F47B9">
              <w:rPr>
                <w:rStyle w:val="Hyperlink"/>
                <w:noProof/>
              </w:rPr>
              <w:t>4.4 Quality and Methodological Profile of the Evidence</w:t>
            </w:r>
            <w:r>
              <w:rPr>
                <w:noProof/>
                <w:webHidden/>
              </w:rPr>
              <w:tab/>
            </w:r>
            <w:r>
              <w:rPr>
                <w:noProof/>
                <w:webHidden/>
              </w:rPr>
              <w:fldChar w:fldCharType="begin"/>
            </w:r>
            <w:r>
              <w:rPr>
                <w:noProof/>
                <w:webHidden/>
              </w:rPr>
              <w:instrText xml:space="preserve"> PAGEREF _Toc240927778 \h </w:instrText>
            </w:r>
            <w:r>
              <w:rPr>
                <w:noProof/>
                <w:webHidden/>
              </w:rPr>
            </w:r>
            <w:r>
              <w:rPr>
                <w:noProof/>
                <w:webHidden/>
              </w:rPr>
              <w:fldChar w:fldCharType="separate"/>
            </w:r>
            <w:r>
              <w:rPr>
                <w:noProof/>
                <w:webHidden/>
              </w:rPr>
              <w:t>44</w:t>
            </w:r>
            <w:r>
              <w:rPr>
                <w:noProof/>
                <w:webHidden/>
              </w:rPr>
              <w:fldChar w:fldCharType="end"/>
            </w:r>
          </w:hyperlink>
        </w:p>
        <w:p w14:paraId="07B1A2B1" w14:textId="6CC1DF61"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9" w:history="1">
            <w:r w:rsidRPr="009F47B9">
              <w:rPr>
                <w:rStyle w:val="Hyperlink"/>
                <w:noProof/>
              </w:rPr>
              <w:t>4.5 Data Extraction and Theme Development</w:t>
            </w:r>
            <w:r>
              <w:rPr>
                <w:noProof/>
                <w:webHidden/>
              </w:rPr>
              <w:tab/>
            </w:r>
            <w:r>
              <w:rPr>
                <w:noProof/>
                <w:webHidden/>
              </w:rPr>
              <w:fldChar w:fldCharType="begin"/>
            </w:r>
            <w:r>
              <w:rPr>
                <w:noProof/>
                <w:webHidden/>
              </w:rPr>
              <w:instrText xml:space="preserve"> PAGEREF _Toc240927779 \h </w:instrText>
            </w:r>
            <w:r>
              <w:rPr>
                <w:noProof/>
                <w:webHidden/>
              </w:rPr>
            </w:r>
            <w:r>
              <w:rPr>
                <w:noProof/>
                <w:webHidden/>
              </w:rPr>
              <w:fldChar w:fldCharType="separate"/>
            </w:r>
            <w:r>
              <w:rPr>
                <w:noProof/>
                <w:webHidden/>
              </w:rPr>
              <w:t>44</w:t>
            </w:r>
            <w:r>
              <w:rPr>
                <w:noProof/>
                <w:webHidden/>
              </w:rPr>
              <w:fldChar w:fldCharType="end"/>
            </w:r>
          </w:hyperlink>
        </w:p>
        <w:p w14:paraId="44BB03E4" w14:textId="653D7B9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0" w:history="1">
            <w:r w:rsidRPr="009F47B9">
              <w:rPr>
                <w:rStyle w:val="Hyperlink"/>
                <w:noProof/>
              </w:rPr>
              <w:t>4.6 Thematic Findings</w:t>
            </w:r>
            <w:r>
              <w:rPr>
                <w:noProof/>
                <w:webHidden/>
              </w:rPr>
              <w:tab/>
            </w:r>
            <w:r>
              <w:rPr>
                <w:noProof/>
                <w:webHidden/>
              </w:rPr>
              <w:fldChar w:fldCharType="begin"/>
            </w:r>
            <w:r>
              <w:rPr>
                <w:noProof/>
                <w:webHidden/>
              </w:rPr>
              <w:instrText xml:space="preserve"> PAGEREF _Toc240927780 \h </w:instrText>
            </w:r>
            <w:r>
              <w:rPr>
                <w:noProof/>
                <w:webHidden/>
              </w:rPr>
            </w:r>
            <w:r>
              <w:rPr>
                <w:noProof/>
                <w:webHidden/>
              </w:rPr>
              <w:fldChar w:fldCharType="separate"/>
            </w:r>
            <w:r>
              <w:rPr>
                <w:noProof/>
                <w:webHidden/>
              </w:rPr>
              <w:t>45</w:t>
            </w:r>
            <w:r>
              <w:rPr>
                <w:noProof/>
                <w:webHidden/>
              </w:rPr>
              <w:fldChar w:fldCharType="end"/>
            </w:r>
          </w:hyperlink>
        </w:p>
        <w:p w14:paraId="55912662" w14:textId="3CF4440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1" w:history="1">
            <w:r w:rsidRPr="009F47B9">
              <w:rPr>
                <w:rStyle w:val="Hyperlink"/>
                <w:noProof/>
              </w:rPr>
              <w:t>4.6.1 Theme 1: Incomplete and Uneven UTI Knowledge</w:t>
            </w:r>
            <w:r>
              <w:rPr>
                <w:noProof/>
                <w:webHidden/>
              </w:rPr>
              <w:tab/>
            </w:r>
            <w:r>
              <w:rPr>
                <w:noProof/>
                <w:webHidden/>
              </w:rPr>
              <w:fldChar w:fldCharType="begin"/>
            </w:r>
            <w:r>
              <w:rPr>
                <w:noProof/>
                <w:webHidden/>
              </w:rPr>
              <w:instrText xml:space="preserve"> PAGEREF _Toc240927781 \h </w:instrText>
            </w:r>
            <w:r>
              <w:rPr>
                <w:noProof/>
                <w:webHidden/>
              </w:rPr>
            </w:r>
            <w:r>
              <w:rPr>
                <w:noProof/>
                <w:webHidden/>
              </w:rPr>
              <w:fldChar w:fldCharType="separate"/>
            </w:r>
            <w:r>
              <w:rPr>
                <w:noProof/>
                <w:webHidden/>
              </w:rPr>
              <w:t>45</w:t>
            </w:r>
            <w:r>
              <w:rPr>
                <w:noProof/>
                <w:webHidden/>
              </w:rPr>
              <w:fldChar w:fldCharType="end"/>
            </w:r>
          </w:hyperlink>
        </w:p>
        <w:p w14:paraId="3C7A4E4D" w14:textId="686FE6EC"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2" w:history="1">
            <w:r w:rsidRPr="009F47B9">
              <w:rPr>
                <w:rStyle w:val="Hyperlink"/>
                <w:noProof/>
              </w:rPr>
              <w:t>4.6.2 Theme 2: Preventive Practices and Everyday Self-Care Were Inconsistent</w:t>
            </w:r>
            <w:r>
              <w:rPr>
                <w:noProof/>
                <w:webHidden/>
              </w:rPr>
              <w:tab/>
            </w:r>
            <w:r>
              <w:rPr>
                <w:noProof/>
                <w:webHidden/>
              </w:rPr>
              <w:fldChar w:fldCharType="begin"/>
            </w:r>
            <w:r>
              <w:rPr>
                <w:noProof/>
                <w:webHidden/>
              </w:rPr>
              <w:instrText xml:space="preserve"> PAGEREF _Toc240927782 \h </w:instrText>
            </w:r>
            <w:r>
              <w:rPr>
                <w:noProof/>
                <w:webHidden/>
              </w:rPr>
            </w:r>
            <w:r>
              <w:rPr>
                <w:noProof/>
                <w:webHidden/>
              </w:rPr>
              <w:fldChar w:fldCharType="separate"/>
            </w:r>
            <w:r>
              <w:rPr>
                <w:noProof/>
                <w:webHidden/>
              </w:rPr>
              <w:t>45</w:t>
            </w:r>
            <w:r>
              <w:rPr>
                <w:noProof/>
                <w:webHidden/>
              </w:rPr>
              <w:fldChar w:fldCharType="end"/>
            </w:r>
          </w:hyperlink>
        </w:p>
        <w:p w14:paraId="3B1AAB80" w14:textId="0379B1ED"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3" w:history="1">
            <w:r w:rsidRPr="009F47B9">
              <w:rPr>
                <w:rStyle w:val="Hyperlink"/>
                <w:noProof/>
              </w:rPr>
              <w:t>4.6.3 Theme 3: Structured Education Consistently Improved Short-Term Knowledge</w:t>
            </w:r>
            <w:r>
              <w:rPr>
                <w:noProof/>
                <w:webHidden/>
              </w:rPr>
              <w:tab/>
            </w:r>
            <w:r>
              <w:rPr>
                <w:noProof/>
                <w:webHidden/>
              </w:rPr>
              <w:fldChar w:fldCharType="begin"/>
            </w:r>
            <w:r>
              <w:rPr>
                <w:noProof/>
                <w:webHidden/>
              </w:rPr>
              <w:instrText xml:space="preserve"> PAGEREF _Toc240927783 \h </w:instrText>
            </w:r>
            <w:r>
              <w:rPr>
                <w:noProof/>
                <w:webHidden/>
              </w:rPr>
            </w:r>
            <w:r>
              <w:rPr>
                <w:noProof/>
                <w:webHidden/>
              </w:rPr>
              <w:fldChar w:fldCharType="separate"/>
            </w:r>
            <w:r>
              <w:rPr>
                <w:noProof/>
                <w:webHidden/>
              </w:rPr>
              <w:t>46</w:t>
            </w:r>
            <w:r>
              <w:rPr>
                <w:noProof/>
                <w:webHidden/>
              </w:rPr>
              <w:fldChar w:fldCharType="end"/>
            </w:r>
          </w:hyperlink>
        </w:p>
        <w:p w14:paraId="09322AF0" w14:textId="29A2BA74"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4" w:history="1">
            <w:r w:rsidRPr="009F47B9">
              <w:rPr>
                <w:rStyle w:val="Hyperlink"/>
                <w:noProof/>
              </w:rPr>
              <w:t>4.6.4 Theme 4: Knowledge Did Not Automatically Translate into Preventive Practice</w:t>
            </w:r>
            <w:r>
              <w:rPr>
                <w:noProof/>
                <w:webHidden/>
              </w:rPr>
              <w:tab/>
            </w:r>
            <w:r>
              <w:rPr>
                <w:noProof/>
                <w:webHidden/>
              </w:rPr>
              <w:fldChar w:fldCharType="begin"/>
            </w:r>
            <w:r>
              <w:rPr>
                <w:noProof/>
                <w:webHidden/>
              </w:rPr>
              <w:instrText xml:space="preserve"> PAGEREF _Toc240927784 \h </w:instrText>
            </w:r>
            <w:r>
              <w:rPr>
                <w:noProof/>
                <w:webHidden/>
              </w:rPr>
            </w:r>
            <w:r>
              <w:rPr>
                <w:noProof/>
                <w:webHidden/>
              </w:rPr>
              <w:fldChar w:fldCharType="separate"/>
            </w:r>
            <w:r>
              <w:rPr>
                <w:noProof/>
                <w:webHidden/>
              </w:rPr>
              <w:t>46</w:t>
            </w:r>
            <w:r>
              <w:rPr>
                <w:noProof/>
                <w:webHidden/>
              </w:rPr>
              <w:fldChar w:fldCharType="end"/>
            </w:r>
          </w:hyperlink>
        </w:p>
        <w:p w14:paraId="64A60011" w14:textId="26D32C1D"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5" w:history="1">
            <w:r w:rsidRPr="009F47B9">
              <w:rPr>
                <w:rStyle w:val="Hyperlink"/>
                <w:noProof/>
              </w:rPr>
              <w:t>4.6.5 Theme 5: Educational and Social Context Shaped Knowledge and Practice</w:t>
            </w:r>
            <w:r>
              <w:rPr>
                <w:noProof/>
                <w:webHidden/>
              </w:rPr>
              <w:tab/>
            </w:r>
            <w:r>
              <w:rPr>
                <w:noProof/>
                <w:webHidden/>
              </w:rPr>
              <w:fldChar w:fldCharType="begin"/>
            </w:r>
            <w:r>
              <w:rPr>
                <w:noProof/>
                <w:webHidden/>
              </w:rPr>
              <w:instrText xml:space="preserve"> PAGEREF _Toc240927785 \h </w:instrText>
            </w:r>
            <w:r>
              <w:rPr>
                <w:noProof/>
                <w:webHidden/>
              </w:rPr>
            </w:r>
            <w:r>
              <w:rPr>
                <w:noProof/>
                <w:webHidden/>
              </w:rPr>
              <w:fldChar w:fldCharType="separate"/>
            </w:r>
            <w:r>
              <w:rPr>
                <w:noProof/>
                <w:webHidden/>
              </w:rPr>
              <w:t>47</w:t>
            </w:r>
            <w:r>
              <w:rPr>
                <w:noProof/>
                <w:webHidden/>
              </w:rPr>
              <w:fldChar w:fldCharType="end"/>
            </w:r>
          </w:hyperlink>
        </w:p>
        <w:p w14:paraId="4F5D85EF" w14:textId="15BC380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6" w:history="1">
            <w:r w:rsidRPr="009F47B9">
              <w:rPr>
                <w:rStyle w:val="Hyperlink"/>
                <w:noProof/>
              </w:rPr>
              <w:t>4.7 Cross-Study Comparison and Evidence Directness</w:t>
            </w:r>
            <w:r>
              <w:rPr>
                <w:noProof/>
                <w:webHidden/>
              </w:rPr>
              <w:tab/>
            </w:r>
            <w:r>
              <w:rPr>
                <w:noProof/>
                <w:webHidden/>
              </w:rPr>
              <w:fldChar w:fldCharType="begin"/>
            </w:r>
            <w:r>
              <w:rPr>
                <w:noProof/>
                <w:webHidden/>
              </w:rPr>
              <w:instrText xml:space="preserve"> PAGEREF _Toc240927786 \h </w:instrText>
            </w:r>
            <w:r>
              <w:rPr>
                <w:noProof/>
                <w:webHidden/>
              </w:rPr>
            </w:r>
            <w:r>
              <w:rPr>
                <w:noProof/>
                <w:webHidden/>
              </w:rPr>
              <w:fldChar w:fldCharType="separate"/>
            </w:r>
            <w:r>
              <w:rPr>
                <w:noProof/>
                <w:webHidden/>
              </w:rPr>
              <w:t>47</w:t>
            </w:r>
            <w:r>
              <w:rPr>
                <w:noProof/>
                <w:webHidden/>
              </w:rPr>
              <w:fldChar w:fldCharType="end"/>
            </w:r>
          </w:hyperlink>
        </w:p>
        <w:p w14:paraId="51E80208" w14:textId="269FB60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7" w:history="1">
            <w:r w:rsidRPr="009F47B9">
              <w:rPr>
                <w:rStyle w:val="Hyperlink"/>
                <w:noProof/>
              </w:rPr>
              <w:t>4.8 Findings in Relation to the Research Objectives</w:t>
            </w:r>
            <w:r>
              <w:rPr>
                <w:noProof/>
                <w:webHidden/>
              </w:rPr>
              <w:tab/>
            </w:r>
            <w:r>
              <w:rPr>
                <w:noProof/>
                <w:webHidden/>
              </w:rPr>
              <w:fldChar w:fldCharType="begin"/>
            </w:r>
            <w:r>
              <w:rPr>
                <w:noProof/>
                <w:webHidden/>
              </w:rPr>
              <w:instrText xml:space="preserve"> PAGEREF _Toc240927787 \h </w:instrText>
            </w:r>
            <w:r>
              <w:rPr>
                <w:noProof/>
                <w:webHidden/>
              </w:rPr>
            </w:r>
            <w:r>
              <w:rPr>
                <w:noProof/>
                <w:webHidden/>
              </w:rPr>
              <w:fldChar w:fldCharType="separate"/>
            </w:r>
            <w:r>
              <w:rPr>
                <w:noProof/>
                <w:webHidden/>
              </w:rPr>
              <w:t>48</w:t>
            </w:r>
            <w:r>
              <w:rPr>
                <w:noProof/>
                <w:webHidden/>
              </w:rPr>
              <w:fldChar w:fldCharType="end"/>
            </w:r>
          </w:hyperlink>
        </w:p>
        <w:p w14:paraId="4CA2CF70" w14:textId="50E7D09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8" w:history="1">
            <w:r w:rsidRPr="009F47B9">
              <w:rPr>
                <w:rStyle w:val="Hyperlink"/>
                <w:noProof/>
              </w:rPr>
              <w:t>4.9 Summary of Main Findings</w:t>
            </w:r>
            <w:r>
              <w:rPr>
                <w:noProof/>
                <w:webHidden/>
              </w:rPr>
              <w:tab/>
            </w:r>
            <w:r>
              <w:rPr>
                <w:noProof/>
                <w:webHidden/>
              </w:rPr>
              <w:fldChar w:fldCharType="begin"/>
            </w:r>
            <w:r>
              <w:rPr>
                <w:noProof/>
                <w:webHidden/>
              </w:rPr>
              <w:instrText xml:space="preserve"> PAGEREF _Toc240927788 \h </w:instrText>
            </w:r>
            <w:r>
              <w:rPr>
                <w:noProof/>
                <w:webHidden/>
              </w:rPr>
            </w:r>
            <w:r>
              <w:rPr>
                <w:noProof/>
                <w:webHidden/>
              </w:rPr>
              <w:fldChar w:fldCharType="separate"/>
            </w:r>
            <w:r>
              <w:rPr>
                <w:noProof/>
                <w:webHidden/>
              </w:rPr>
              <w:t>49</w:t>
            </w:r>
            <w:r>
              <w:rPr>
                <w:noProof/>
                <w:webHidden/>
              </w:rPr>
              <w:fldChar w:fldCharType="end"/>
            </w:r>
          </w:hyperlink>
        </w:p>
        <w:p w14:paraId="1CFCD00F" w14:textId="2795B36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9" w:history="1">
            <w:r w:rsidRPr="009F47B9">
              <w:rPr>
                <w:rStyle w:val="Hyperlink"/>
                <w:noProof/>
              </w:rPr>
              <w:t>4.10 Chapter Summary</w:t>
            </w:r>
            <w:r>
              <w:rPr>
                <w:noProof/>
                <w:webHidden/>
              </w:rPr>
              <w:tab/>
            </w:r>
            <w:r>
              <w:rPr>
                <w:noProof/>
                <w:webHidden/>
              </w:rPr>
              <w:fldChar w:fldCharType="begin"/>
            </w:r>
            <w:r>
              <w:rPr>
                <w:noProof/>
                <w:webHidden/>
              </w:rPr>
              <w:instrText xml:space="preserve"> PAGEREF _Toc240927789 \h </w:instrText>
            </w:r>
            <w:r>
              <w:rPr>
                <w:noProof/>
                <w:webHidden/>
              </w:rPr>
            </w:r>
            <w:r>
              <w:rPr>
                <w:noProof/>
                <w:webHidden/>
              </w:rPr>
              <w:fldChar w:fldCharType="separate"/>
            </w:r>
            <w:r>
              <w:rPr>
                <w:noProof/>
                <w:webHidden/>
              </w:rPr>
              <w:t>49</w:t>
            </w:r>
            <w:r>
              <w:rPr>
                <w:noProof/>
                <w:webHidden/>
              </w:rPr>
              <w:fldChar w:fldCharType="end"/>
            </w:r>
          </w:hyperlink>
        </w:p>
        <w:p w14:paraId="29C69728" w14:textId="7AD89734"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0" w:history="1">
            <w:r w:rsidRPr="009F47B9">
              <w:rPr>
                <w:rStyle w:val="Hyperlink"/>
                <w:noProof/>
              </w:rPr>
              <w:t>CHAPTER 5: DISCUSSION, IMPLICATIONS AND CONCLUSION</w:t>
            </w:r>
            <w:r>
              <w:rPr>
                <w:noProof/>
                <w:webHidden/>
              </w:rPr>
              <w:tab/>
            </w:r>
            <w:r>
              <w:rPr>
                <w:noProof/>
                <w:webHidden/>
              </w:rPr>
              <w:fldChar w:fldCharType="begin"/>
            </w:r>
            <w:r>
              <w:rPr>
                <w:noProof/>
                <w:webHidden/>
              </w:rPr>
              <w:instrText xml:space="preserve"> PAGEREF _Toc240927790 \h </w:instrText>
            </w:r>
            <w:r>
              <w:rPr>
                <w:noProof/>
                <w:webHidden/>
              </w:rPr>
            </w:r>
            <w:r>
              <w:rPr>
                <w:noProof/>
                <w:webHidden/>
              </w:rPr>
              <w:fldChar w:fldCharType="separate"/>
            </w:r>
            <w:r>
              <w:rPr>
                <w:noProof/>
                <w:webHidden/>
              </w:rPr>
              <w:t>51</w:t>
            </w:r>
            <w:r>
              <w:rPr>
                <w:noProof/>
                <w:webHidden/>
              </w:rPr>
              <w:fldChar w:fldCharType="end"/>
            </w:r>
          </w:hyperlink>
        </w:p>
        <w:p w14:paraId="42A1ACDA" w14:textId="090D36C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1" w:history="1">
            <w:r w:rsidRPr="009F47B9">
              <w:rPr>
                <w:rStyle w:val="Hyperlink"/>
                <w:noProof/>
              </w:rPr>
              <w:t>5.1 Introduction</w:t>
            </w:r>
            <w:r>
              <w:rPr>
                <w:noProof/>
                <w:webHidden/>
              </w:rPr>
              <w:tab/>
            </w:r>
            <w:r>
              <w:rPr>
                <w:noProof/>
                <w:webHidden/>
              </w:rPr>
              <w:fldChar w:fldCharType="begin"/>
            </w:r>
            <w:r>
              <w:rPr>
                <w:noProof/>
                <w:webHidden/>
              </w:rPr>
              <w:instrText xml:space="preserve"> PAGEREF _Toc240927791 \h </w:instrText>
            </w:r>
            <w:r>
              <w:rPr>
                <w:noProof/>
                <w:webHidden/>
              </w:rPr>
            </w:r>
            <w:r>
              <w:rPr>
                <w:noProof/>
                <w:webHidden/>
              </w:rPr>
              <w:fldChar w:fldCharType="separate"/>
            </w:r>
            <w:r>
              <w:rPr>
                <w:noProof/>
                <w:webHidden/>
              </w:rPr>
              <w:t>51</w:t>
            </w:r>
            <w:r>
              <w:rPr>
                <w:noProof/>
                <w:webHidden/>
              </w:rPr>
              <w:fldChar w:fldCharType="end"/>
            </w:r>
          </w:hyperlink>
        </w:p>
        <w:p w14:paraId="4F71006F" w14:textId="7A5744E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2" w:history="1">
            <w:r w:rsidRPr="009F47B9">
              <w:rPr>
                <w:rStyle w:val="Hyperlink"/>
                <w:noProof/>
              </w:rPr>
              <w:t>5.2 Critical Discussion of the Main Findings</w:t>
            </w:r>
            <w:r>
              <w:rPr>
                <w:noProof/>
                <w:webHidden/>
              </w:rPr>
              <w:tab/>
            </w:r>
            <w:r>
              <w:rPr>
                <w:noProof/>
                <w:webHidden/>
              </w:rPr>
              <w:fldChar w:fldCharType="begin"/>
            </w:r>
            <w:r>
              <w:rPr>
                <w:noProof/>
                <w:webHidden/>
              </w:rPr>
              <w:instrText xml:space="preserve"> PAGEREF _Toc240927792 \h </w:instrText>
            </w:r>
            <w:r>
              <w:rPr>
                <w:noProof/>
                <w:webHidden/>
              </w:rPr>
            </w:r>
            <w:r>
              <w:rPr>
                <w:noProof/>
                <w:webHidden/>
              </w:rPr>
              <w:fldChar w:fldCharType="separate"/>
            </w:r>
            <w:r>
              <w:rPr>
                <w:noProof/>
                <w:webHidden/>
              </w:rPr>
              <w:t>51</w:t>
            </w:r>
            <w:r>
              <w:rPr>
                <w:noProof/>
                <w:webHidden/>
              </w:rPr>
              <w:fldChar w:fldCharType="end"/>
            </w:r>
          </w:hyperlink>
        </w:p>
        <w:p w14:paraId="3D2A88FA" w14:textId="04FC2C6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3" w:history="1">
            <w:r w:rsidRPr="009F47B9">
              <w:rPr>
                <w:rStyle w:val="Hyperlink"/>
                <w:noProof/>
              </w:rPr>
              <w:t>5.2.1 Incomplete and Uneven UTI Knowledge</w:t>
            </w:r>
            <w:r>
              <w:rPr>
                <w:noProof/>
                <w:webHidden/>
              </w:rPr>
              <w:tab/>
            </w:r>
            <w:r>
              <w:rPr>
                <w:noProof/>
                <w:webHidden/>
              </w:rPr>
              <w:fldChar w:fldCharType="begin"/>
            </w:r>
            <w:r>
              <w:rPr>
                <w:noProof/>
                <w:webHidden/>
              </w:rPr>
              <w:instrText xml:space="preserve"> PAGEREF _Toc240927793 \h </w:instrText>
            </w:r>
            <w:r>
              <w:rPr>
                <w:noProof/>
                <w:webHidden/>
              </w:rPr>
            </w:r>
            <w:r>
              <w:rPr>
                <w:noProof/>
                <w:webHidden/>
              </w:rPr>
              <w:fldChar w:fldCharType="separate"/>
            </w:r>
            <w:r>
              <w:rPr>
                <w:noProof/>
                <w:webHidden/>
              </w:rPr>
              <w:t>51</w:t>
            </w:r>
            <w:r>
              <w:rPr>
                <w:noProof/>
                <w:webHidden/>
              </w:rPr>
              <w:fldChar w:fldCharType="end"/>
            </w:r>
          </w:hyperlink>
        </w:p>
        <w:p w14:paraId="23D5B2D1" w14:textId="10F1996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4" w:history="1">
            <w:r w:rsidRPr="009F47B9">
              <w:rPr>
                <w:rStyle w:val="Hyperlink"/>
                <w:noProof/>
              </w:rPr>
              <w:t>5.2.2 Preventive Practices and Everyday Self-Care</w:t>
            </w:r>
            <w:r>
              <w:rPr>
                <w:noProof/>
                <w:webHidden/>
              </w:rPr>
              <w:tab/>
            </w:r>
            <w:r>
              <w:rPr>
                <w:noProof/>
                <w:webHidden/>
              </w:rPr>
              <w:fldChar w:fldCharType="begin"/>
            </w:r>
            <w:r>
              <w:rPr>
                <w:noProof/>
                <w:webHidden/>
              </w:rPr>
              <w:instrText xml:space="preserve"> PAGEREF _Toc240927794 \h </w:instrText>
            </w:r>
            <w:r>
              <w:rPr>
                <w:noProof/>
                <w:webHidden/>
              </w:rPr>
            </w:r>
            <w:r>
              <w:rPr>
                <w:noProof/>
                <w:webHidden/>
              </w:rPr>
              <w:fldChar w:fldCharType="separate"/>
            </w:r>
            <w:r>
              <w:rPr>
                <w:noProof/>
                <w:webHidden/>
              </w:rPr>
              <w:t>52</w:t>
            </w:r>
            <w:r>
              <w:rPr>
                <w:noProof/>
                <w:webHidden/>
              </w:rPr>
              <w:fldChar w:fldCharType="end"/>
            </w:r>
          </w:hyperlink>
        </w:p>
        <w:p w14:paraId="5839C727" w14:textId="07FEFBA3"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5" w:history="1">
            <w:r w:rsidRPr="009F47B9">
              <w:rPr>
                <w:rStyle w:val="Hyperlink"/>
                <w:noProof/>
              </w:rPr>
              <w:t>5.2.3 Effect of Structured UTI Education</w:t>
            </w:r>
            <w:r>
              <w:rPr>
                <w:noProof/>
                <w:webHidden/>
              </w:rPr>
              <w:tab/>
            </w:r>
            <w:r>
              <w:rPr>
                <w:noProof/>
                <w:webHidden/>
              </w:rPr>
              <w:fldChar w:fldCharType="begin"/>
            </w:r>
            <w:r>
              <w:rPr>
                <w:noProof/>
                <w:webHidden/>
              </w:rPr>
              <w:instrText xml:space="preserve"> PAGEREF _Toc240927795 \h </w:instrText>
            </w:r>
            <w:r>
              <w:rPr>
                <w:noProof/>
                <w:webHidden/>
              </w:rPr>
            </w:r>
            <w:r>
              <w:rPr>
                <w:noProof/>
                <w:webHidden/>
              </w:rPr>
              <w:fldChar w:fldCharType="separate"/>
            </w:r>
            <w:r>
              <w:rPr>
                <w:noProof/>
                <w:webHidden/>
              </w:rPr>
              <w:t>52</w:t>
            </w:r>
            <w:r>
              <w:rPr>
                <w:noProof/>
                <w:webHidden/>
              </w:rPr>
              <w:fldChar w:fldCharType="end"/>
            </w:r>
          </w:hyperlink>
        </w:p>
        <w:p w14:paraId="3B9A0B18" w14:textId="294BCE3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6" w:history="1">
            <w:r w:rsidRPr="009F47B9">
              <w:rPr>
                <w:rStyle w:val="Hyperlink"/>
                <w:noProof/>
              </w:rPr>
              <w:t>5.2.4 The Knowledge-Practice Gap</w:t>
            </w:r>
            <w:r>
              <w:rPr>
                <w:noProof/>
                <w:webHidden/>
              </w:rPr>
              <w:tab/>
            </w:r>
            <w:r>
              <w:rPr>
                <w:noProof/>
                <w:webHidden/>
              </w:rPr>
              <w:fldChar w:fldCharType="begin"/>
            </w:r>
            <w:r>
              <w:rPr>
                <w:noProof/>
                <w:webHidden/>
              </w:rPr>
              <w:instrText xml:space="preserve"> PAGEREF _Toc240927796 \h </w:instrText>
            </w:r>
            <w:r>
              <w:rPr>
                <w:noProof/>
                <w:webHidden/>
              </w:rPr>
            </w:r>
            <w:r>
              <w:rPr>
                <w:noProof/>
                <w:webHidden/>
              </w:rPr>
              <w:fldChar w:fldCharType="separate"/>
            </w:r>
            <w:r>
              <w:rPr>
                <w:noProof/>
                <w:webHidden/>
              </w:rPr>
              <w:t>53</w:t>
            </w:r>
            <w:r>
              <w:rPr>
                <w:noProof/>
                <w:webHidden/>
              </w:rPr>
              <w:fldChar w:fldCharType="end"/>
            </w:r>
          </w:hyperlink>
        </w:p>
        <w:p w14:paraId="1FA86F16" w14:textId="5FB68F4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7" w:history="1">
            <w:r w:rsidRPr="009F47B9">
              <w:rPr>
                <w:rStyle w:val="Hyperlink"/>
                <w:noProof/>
              </w:rPr>
              <w:t>5.2.5 Educational, Social and Environmental Context</w:t>
            </w:r>
            <w:r>
              <w:rPr>
                <w:noProof/>
                <w:webHidden/>
              </w:rPr>
              <w:tab/>
            </w:r>
            <w:r>
              <w:rPr>
                <w:noProof/>
                <w:webHidden/>
              </w:rPr>
              <w:fldChar w:fldCharType="begin"/>
            </w:r>
            <w:r>
              <w:rPr>
                <w:noProof/>
                <w:webHidden/>
              </w:rPr>
              <w:instrText xml:space="preserve"> PAGEREF _Toc240927797 \h </w:instrText>
            </w:r>
            <w:r>
              <w:rPr>
                <w:noProof/>
                <w:webHidden/>
              </w:rPr>
            </w:r>
            <w:r>
              <w:rPr>
                <w:noProof/>
                <w:webHidden/>
              </w:rPr>
              <w:fldChar w:fldCharType="separate"/>
            </w:r>
            <w:r>
              <w:rPr>
                <w:noProof/>
                <w:webHidden/>
              </w:rPr>
              <w:t>53</w:t>
            </w:r>
            <w:r>
              <w:rPr>
                <w:noProof/>
                <w:webHidden/>
              </w:rPr>
              <w:fldChar w:fldCharType="end"/>
            </w:r>
          </w:hyperlink>
        </w:p>
        <w:p w14:paraId="1BBA70E4" w14:textId="72B6F6C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8" w:history="1">
            <w:r w:rsidRPr="009F47B9">
              <w:rPr>
                <w:rStyle w:val="Hyperlink"/>
                <w:noProof/>
              </w:rPr>
              <w:t>5.3 Findings in Relation to the Research Question and Objectives</w:t>
            </w:r>
            <w:r>
              <w:rPr>
                <w:noProof/>
                <w:webHidden/>
              </w:rPr>
              <w:tab/>
            </w:r>
            <w:r>
              <w:rPr>
                <w:noProof/>
                <w:webHidden/>
              </w:rPr>
              <w:fldChar w:fldCharType="begin"/>
            </w:r>
            <w:r>
              <w:rPr>
                <w:noProof/>
                <w:webHidden/>
              </w:rPr>
              <w:instrText xml:space="preserve"> PAGEREF _Toc240927798 \h </w:instrText>
            </w:r>
            <w:r>
              <w:rPr>
                <w:noProof/>
                <w:webHidden/>
              </w:rPr>
            </w:r>
            <w:r>
              <w:rPr>
                <w:noProof/>
                <w:webHidden/>
              </w:rPr>
              <w:fldChar w:fldCharType="separate"/>
            </w:r>
            <w:r>
              <w:rPr>
                <w:noProof/>
                <w:webHidden/>
              </w:rPr>
              <w:t>54</w:t>
            </w:r>
            <w:r>
              <w:rPr>
                <w:noProof/>
                <w:webHidden/>
              </w:rPr>
              <w:fldChar w:fldCharType="end"/>
            </w:r>
          </w:hyperlink>
        </w:p>
        <w:p w14:paraId="5A89A2C2" w14:textId="43EF460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9" w:history="1">
            <w:r w:rsidRPr="009F47B9">
              <w:rPr>
                <w:rStyle w:val="Hyperlink"/>
                <w:noProof/>
              </w:rPr>
              <w:t>5.4 Implications and Evidence-Based Recommendations</w:t>
            </w:r>
            <w:r>
              <w:rPr>
                <w:noProof/>
                <w:webHidden/>
              </w:rPr>
              <w:tab/>
            </w:r>
            <w:r>
              <w:rPr>
                <w:noProof/>
                <w:webHidden/>
              </w:rPr>
              <w:fldChar w:fldCharType="begin"/>
            </w:r>
            <w:r>
              <w:rPr>
                <w:noProof/>
                <w:webHidden/>
              </w:rPr>
              <w:instrText xml:space="preserve"> PAGEREF _Toc240927799 \h </w:instrText>
            </w:r>
            <w:r>
              <w:rPr>
                <w:noProof/>
                <w:webHidden/>
              </w:rPr>
            </w:r>
            <w:r>
              <w:rPr>
                <w:noProof/>
                <w:webHidden/>
              </w:rPr>
              <w:fldChar w:fldCharType="separate"/>
            </w:r>
            <w:r>
              <w:rPr>
                <w:noProof/>
                <w:webHidden/>
              </w:rPr>
              <w:t>54</w:t>
            </w:r>
            <w:r>
              <w:rPr>
                <w:noProof/>
                <w:webHidden/>
              </w:rPr>
              <w:fldChar w:fldCharType="end"/>
            </w:r>
          </w:hyperlink>
        </w:p>
        <w:p w14:paraId="6D35D4B3" w14:textId="0BB05834"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0" w:history="1">
            <w:r w:rsidRPr="009F47B9">
              <w:rPr>
                <w:rStyle w:val="Hyperlink"/>
                <w:noProof/>
              </w:rPr>
              <w:t>5.5 Strengths, Limitations and Future Research</w:t>
            </w:r>
            <w:r>
              <w:rPr>
                <w:noProof/>
                <w:webHidden/>
              </w:rPr>
              <w:tab/>
            </w:r>
            <w:r>
              <w:rPr>
                <w:noProof/>
                <w:webHidden/>
              </w:rPr>
              <w:fldChar w:fldCharType="begin"/>
            </w:r>
            <w:r>
              <w:rPr>
                <w:noProof/>
                <w:webHidden/>
              </w:rPr>
              <w:instrText xml:space="preserve"> PAGEREF _Toc240927800 \h </w:instrText>
            </w:r>
            <w:r>
              <w:rPr>
                <w:noProof/>
                <w:webHidden/>
              </w:rPr>
            </w:r>
            <w:r>
              <w:rPr>
                <w:noProof/>
                <w:webHidden/>
              </w:rPr>
              <w:fldChar w:fldCharType="separate"/>
            </w:r>
            <w:r>
              <w:rPr>
                <w:noProof/>
                <w:webHidden/>
              </w:rPr>
              <w:t>55</w:t>
            </w:r>
            <w:r>
              <w:rPr>
                <w:noProof/>
                <w:webHidden/>
              </w:rPr>
              <w:fldChar w:fldCharType="end"/>
            </w:r>
          </w:hyperlink>
        </w:p>
        <w:p w14:paraId="452DCA44" w14:textId="3624D00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1" w:history="1">
            <w:r w:rsidRPr="009F47B9">
              <w:rPr>
                <w:rStyle w:val="Hyperlink"/>
                <w:noProof/>
              </w:rPr>
              <w:t>5.6 Conclusion</w:t>
            </w:r>
            <w:r>
              <w:rPr>
                <w:noProof/>
                <w:webHidden/>
              </w:rPr>
              <w:tab/>
            </w:r>
            <w:r>
              <w:rPr>
                <w:noProof/>
                <w:webHidden/>
              </w:rPr>
              <w:fldChar w:fldCharType="begin"/>
            </w:r>
            <w:r>
              <w:rPr>
                <w:noProof/>
                <w:webHidden/>
              </w:rPr>
              <w:instrText xml:space="preserve"> PAGEREF _Toc240927801 \h </w:instrText>
            </w:r>
            <w:r>
              <w:rPr>
                <w:noProof/>
                <w:webHidden/>
              </w:rPr>
            </w:r>
            <w:r>
              <w:rPr>
                <w:noProof/>
                <w:webHidden/>
              </w:rPr>
              <w:fldChar w:fldCharType="separate"/>
            </w:r>
            <w:r>
              <w:rPr>
                <w:noProof/>
                <w:webHidden/>
              </w:rPr>
              <w:t>55</w:t>
            </w:r>
            <w:r>
              <w:rPr>
                <w:noProof/>
                <w:webHidden/>
              </w:rPr>
              <w:fldChar w:fldCharType="end"/>
            </w:r>
          </w:hyperlink>
        </w:p>
        <w:p w14:paraId="08B57AA2" w14:textId="2EC75015"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2" w:history="1">
            <w:r w:rsidRPr="009F47B9">
              <w:rPr>
                <w:rStyle w:val="Hyperlink"/>
                <w:noProof/>
              </w:rPr>
              <w:t>REFERENCES</w:t>
            </w:r>
            <w:r>
              <w:rPr>
                <w:noProof/>
                <w:webHidden/>
              </w:rPr>
              <w:tab/>
            </w:r>
            <w:r>
              <w:rPr>
                <w:noProof/>
                <w:webHidden/>
              </w:rPr>
              <w:fldChar w:fldCharType="begin"/>
            </w:r>
            <w:r>
              <w:rPr>
                <w:noProof/>
                <w:webHidden/>
              </w:rPr>
              <w:instrText xml:space="preserve"> PAGEREF _Toc240927802 \h </w:instrText>
            </w:r>
            <w:r>
              <w:rPr>
                <w:noProof/>
                <w:webHidden/>
              </w:rPr>
            </w:r>
            <w:r>
              <w:rPr>
                <w:noProof/>
                <w:webHidden/>
              </w:rPr>
              <w:fldChar w:fldCharType="separate"/>
            </w:r>
            <w:r>
              <w:rPr>
                <w:noProof/>
                <w:webHidden/>
              </w:rPr>
              <w:t>57</w:t>
            </w:r>
            <w:r>
              <w:rPr>
                <w:noProof/>
                <w:webHidden/>
              </w:rPr>
              <w:fldChar w:fldCharType="end"/>
            </w:r>
          </w:hyperlink>
        </w:p>
        <w:p w14:paraId="352E49DB" w14:textId="7E2E56F8"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3" w:history="1">
            <w:r w:rsidRPr="009F47B9">
              <w:rPr>
                <w:rStyle w:val="Hyperlink"/>
                <w:noProof/>
              </w:rPr>
              <w:t>Appendices</w:t>
            </w:r>
            <w:r>
              <w:rPr>
                <w:noProof/>
                <w:webHidden/>
              </w:rPr>
              <w:tab/>
            </w:r>
            <w:r>
              <w:rPr>
                <w:noProof/>
                <w:webHidden/>
              </w:rPr>
              <w:fldChar w:fldCharType="begin"/>
            </w:r>
            <w:r>
              <w:rPr>
                <w:noProof/>
                <w:webHidden/>
              </w:rPr>
              <w:instrText xml:space="preserve"> PAGEREF _Toc240927803 \h </w:instrText>
            </w:r>
            <w:r>
              <w:rPr>
                <w:noProof/>
                <w:webHidden/>
              </w:rPr>
            </w:r>
            <w:r>
              <w:rPr>
                <w:noProof/>
                <w:webHidden/>
              </w:rPr>
              <w:fldChar w:fldCharType="separate"/>
            </w:r>
            <w:r>
              <w:rPr>
                <w:noProof/>
                <w:webHidden/>
              </w:rPr>
              <w:t>67</w:t>
            </w:r>
            <w:r>
              <w:rPr>
                <w:noProof/>
                <w:webHidden/>
              </w:rPr>
              <w:fldChar w:fldCharType="end"/>
            </w:r>
          </w:hyperlink>
        </w:p>
        <w:p w14:paraId="4BD42874" w14:textId="2163E7D1"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4" w:history="1">
            <w:r w:rsidRPr="009F47B9">
              <w:rPr>
                <w:rStyle w:val="Hyperlink"/>
                <w:noProof/>
              </w:rPr>
              <w:t>Appendix 1 – Quality Appraisal and Methodological Summary</w:t>
            </w:r>
            <w:r>
              <w:rPr>
                <w:noProof/>
                <w:webHidden/>
              </w:rPr>
              <w:tab/>
            </w:r>
            <w:r>
              <w:rPr>
                <w:noProof/>
                <w:webHidden/>
              </w:rPr>
              <w:fldChar w:fldCharType="begin"/>
            </w:r>
            <w:r>
              <w:rPr>
                <w:noProof/>
                <w:webHidden/>
              </w:rPr>
              <w:instrText xml:space="preserve"> PAGEREF _Toc240927804 \h </w:instrText>
            </w:r>
            <w:r>
              <w:rPr>
                <w:noProof/>
                <w:webHidden/>
              </w:rPr>
            </w:r>
            <w:r>
              <w:rPr>
                <w:noProof/>
                <w:webHidden/>
              </w:rPr>
              <w:fldChar w:fldCharType="separate"/>
            </w:r>
            <w:r>
              <w:rPr>
                <w:noProof/>
                <w:webHidden/>
              </w:rPr>
              <w:t>67</w:t>
            </w:r>
            <w:r>
              <w:rPr>
                <w:noProof/>
                <w:webHidden/>
              </w:rPr>
              <w:fldChar w:fldCharType="end"/>
            </w:r>
          </w:hyperlink>
        </w:p>
        <w:p w14:paraId="2520D870" w14:textId="15103CC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5" w:history="1">
            <w:r w:rsidRPr="009F47B9">
              <w:rPr>
                <w:rStyle w:val="Hyperlink"/>
                <w:noProof/>
              </w:rPr>
              <w:t>Appendix 2 – Search Record Summary and Main Search Strategy</w:t>
            </w:r>
            <w:r>
              <w:rPr>
                <w:noProof/>
                <w:webHidden/>
              </w:rPr>
              <w:tab/>
            </w:r>
            <w:r>
              <w:rPr>
                <w:noProof/>
                <w:webHidden/>
              </w:rPr>
              <w:fldChar w:fldCharType="begin"/>
            </w:r>
            <w:r>
              <w:rPr>
                <w:noProof/>
                <w:webHidden/>
              </w:rPr>
              <w:instrText xml:space="preserve"> PAGEREF _Toc240927805 \h </w:instrText>
            </w:r>
            <w:r>
              <w:rPr>
                <w:noProof/>
                <w:webHidden/>
              </w:rPr>
            </w:r>
            <w:r>
              <w:rPr>
                <w:noProof/>
                <w:webHidden/>
              </w:rPr>
              <w:fldChar w:fldCharType="separate"/>
            </w:r>
            <w:r>
              <w:rPr>
                <w:noProof/>
                <w:webHidden/>
              </w:rPr>
              <w:t>69</w:t>
            </w:r>
            <w:r>
              <w:rPr>
                <w:noProof/>
                <w:webHidden/>
              </w:rPr>
              <w:fldChar w:fldCharType="end"/>
            </w:r>
          </w:hyperlink>
        </w:p>
        <w:p w14:paraId="781C028C" w14:textId="03CB106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6" w:history="1">
            <w:r w:rsidRPr="009F47B9">
              <w:rPr>
                <w:rStyle w:val="Hyperlink"/>
                <w:rFonts w:ascii="Times New Roman" w:hAnsi="Times New Roman"/>
                <w:noProof/>
              </w:rPr>
              <w:t>Main Search Concepts</w:t>
            </w:r>
            <w:r>
              <w:rPr>
                <w:noProof/>
                <w:webHidden/>
              </w:rPr>
              <w:tab/>
            </w:r>
            <w:r>
              <w:rPr>
                <w:noProof/>
                <w:webHidden/>
              </w:rPr>
              <w:fldChar w:fldCharType="begin"/>
            </w:r>
            <w:r>
              <w:rPr>
                <w:noProof/>
                <w:webHidden/>
              </w:rPr>
              <w:instrText xml:space="preserve"> PAGEREF _Toc240927806 \h </w:instrText>
            </w:r>
            <w:r>
              <w:rPr>
                <w:noProof/>
                <w:webHidden/>
              </w:rPr>
            </w:r>
            <w:r>
              <w:rPr>
                <w:noProof/>
                <w:webHidden/>
              </w:rPr>
              <w:fldChar w:fldCharType="separate"/>
            </w:r>
            <w:r>
              <w:rPr>
                <w:noProof/>
                <w:webHidden/>
              </w:rPr>
              <w:t>69</w:t>
            </w:r>
            <w:r>
              <w:rPr>
                <w:noProof/>
                <w:webHidden/>
              </w:rPr>
              <w:fldChar w:fldCharType="end"/>
            </w:r>
          </w:hyperlink>
        </w:p>
        <w:p w14:paraId="659AA819" w14:textId="087A7D3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7" w:history="1">
            <w:r w:rsidRPr="009F47B9">
              <w:rPr>
                <w:rStyle w:val="Hyperlink"/>
                <w:noProof/>
              </w:rPr>
              <w:t>Appendix 3 – Eligibility and Full-Text Exclusion Summary</w:t>
            </w:r>
            <w:r>
              <w:rPr>
                <w:noProof/>
                <w:webHidden/>
              </w:rPr>
              <w:tab/>
            </w:r>
            <w:r>
              <w:rPr>
                <w:noProof/>
                <w:webHidden/>
              </w:rPr>
              <w:fldChar w:fldCharType="begin"/>
            </w:r>
            <w:r>
              <w:rPr>
                <w:noProof/>
                <w:webHidden/>
              </w:rPr>
              <w:instrText xml:space="preserve"> PAGEREF _Toc240927807 \h </w:instrText>
            </w:r>
            <w:r>
              <w:rPr>
                <w:noProof/>
                <w:webHidden/>
              </w:rPr>
            </w:r>
            <w:r>
              <w:rPr>
                <w:noProof/>
                <w:webHidden/>
              </w:rPr>
              <w:fldChar w:fldCharType="separate"/>
            </w:r>
            <w:r>
              <w:rPr>
                <w:noProof/>
                <w:webHidden/>
              </w:rPr>
              <w:t>70</w:t>
            </w:r>
            <w:r>
              <w:rPr>
                <w:noProof/>
                <w:webHidden/>
              </w:rPr>
              <w:fldChar w:fldCharType="end"/>
            </w:r>
          </w:hyperlink>
        </w:p>
        <w:p w14:paraId="792FAF01" w14:textId="4E2A9E4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8" w:history="1">
            <w:r w:rsidRPr="009F47B9">
              <w:rPr>
                <w:rStyle w:val="Hyperlink"/>
                <w:noProof/>
              </w:rPr>
              <w:t>Appendix 4 – Detailed Data Extraction Matrix for the 13 Included Studies</w:t>
            </w:r>
            <w:r>
              <w:rPr>
                <w:noProof/>
                <w:webHidden/>
              </w:rPr>
              <w:tab/>
            </w:r>
            <w:r>
              <w:rPr>
                <w:noProof/>
                <w:webHidden/>
              </w:rPr>
              <w:fldChar w:fldCharType="begin"/>
            </w:r>
            <w:r>
              <w:rPr>
                <w:noProof/>
                <w:webHidden/>
              </w:rPr>
              <w:instrText xml:space="preserve"> PAGEREF _Toc240927808 \h </w:instrText>
            </w:r>
            <w:r>
              <w:rPr>
                <w:noProof/>
                <w:webHidden/>
              </w:rPr>
            </w:r>
            <w:r>
              <w:rPr>
                <w:noProof/>
                <w:webHidden/>
              </w:rPr>
              <w:fldChar w:fldCharType="separate"/>
            </w:r>
            <w:r>
              <w:rPr>
                <w:noProof/>
                <w:webHidden/>
              </w:rPr>
              <w:t>71</w:t>
            </w:r>
            <w:r>
              <w:rPr>
                <w:noProof/>
                <w:webHidden/>
              </w:rPr>
              <w:fldChar w:fldCharType="end"/>
            </w:r>
          </w:hyperlink>
        </w:p>
        <w:p w14:paraId="3559B718" w14:textId="0051BC0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9" w:history="1">
            <w:r w:rsidRPr="009F47B9">
              <w:rPr>
                <w:rStyle w:val="Hyperlink"/>
                <w:noProof/>
              </w:rPr>
              <w:t>Appendix 5 – Theme Development and Evidence-Directness Audit Trail</w:t>
            </w:r>
            <w:r>
              <w:rPr>
                <w:noProof/>
                <w:webHidden/>
              </w:rPr>
              <w:tab/>
            </w:r>
            <w:r>
              <w:rPr>
                <w:noProof/>
                <w:webHidden/>
              </w:rPr>
              <w:fldChar w:fldCharType="begin"/>
            </w:r>
            <w:r>
              <w:rPr>
                <w:noProof/>
                <w:webHidden/>
              </w:rPr>
              <w:instrText xml:space="preserve"> PAGEREF _Toc240927809 \h </w:instrText>
            </w:r>
            <w:r>
              <w:rPr>
                <w:noProof/>
                <w:webHidden/>
              </w:rPr>
            </w:r>
            <w:r>
              <w:rPr>
                <w:noProof/>
                <w:webHidden/>
              </w:rPr>
              <w:fldChar w:fldCharType="separate"/>
            </w:r>
            <w:r>
              <w:rPr>
                <w:noProof/>
                <w:webHidden/>
              </w:rPr>
              <w:t>73</w:t>
            </w:r>
            <w:r>
              <w:rPr>
                <w:noProof/>
                <w:webHidden/>
              </w:rPr>
              <w:fldChar w:fldCharType="end"/>
            </w:r>
          </w:hyperlink>
        </w:p>
        <w:p w14:paraId="5E25355A" w14:textId="4DD1E5C4" w:rsidR="00AF6D14" w:rsidRDefault="00AF6D14">
          <w:r>
            <w:rPr>
              <w:b/>
              <w:bCs/>
              <w:noProof/>
            </w:rPr>
            <w:fldChar w:fldCharType="end"/>
          </w:r>
        </w:p>
      </w:sdtContent>
    </w:sdt>
    <w:p w14:paraId="398F3FC3" w14:textId="4DC19B65" w:rsidR="00AF7199" w:rsidRPr="000059FF" w:rsidRDefault="00AF7199" w:rsidP="00504F58"/>
    <w:p w14:paraId="478DF169" w14:textId="77777777" w:rsidR="00572539" w:rsidRPr="000059FF" w:rsidRDefault="00572539" w:rsidP="00504F58">
      <w:r w:rsidRPr="000059FF">
        <w:br w:type="page"/>
      </w:r>
    </w:p>
    <w:p w14:paraId="2B732442" w14:textId="77777777" w:rsidR="00572539" w:rsidRPr="000059FF" w:rsidRDefault="008F1C02" w:rsidP="008A5861">
      <w:pPr>
        <w:pStyle w:val="Heading1"/>
      </w:pPr>
      <w:bookmarkStart w:id="6" w:name="_Toc239679717"/>
      <w:bookmarkStart w:id="7" w:name="_Toc240927726"/>
      <w:r w:rsidRPr="000059FF">
        <w:t>CHAPTER 1: INTRODUCTION</w:t>
      </w:r>
      <w:bookmarkEnd w:id="6"/>
      <w:bookmarkEnd w:id="7"/>
    </w:p>
    <w:p w14:paraId="7B42CD04" w14:textId="77777777" w:rsidR="00572539" w:rsidRPr="000059FF" w:rsidRDefault="00572539" w:rsidP="00504F58">
      <w:pPr>
        <w:pStyle w:val="Heading2"/>
      </w:pPr>
      <w:bookmarkStart w:id="8" w:name="_Toc239679718"/>
      <w:bookmarkStart w:id="9" w:name="_Toc240927727"/>
      <w:r w:rsidRPr="000059FF">
        <w:t>1.1 Introduction</w:t>
      </w:r>
      <w:bookmarkEnd w:id="8"/>
      <w:bookmarkEnd w:id="9"/>
    </w:p>
    <w:p w14:paraId="4CC018E0" w14:textId="0D13D036" w:rsidR="00572539" w:rsidRPr="000059FF" w:rsidRDefault="00850E5E" w:rsidP="00504F58">
      <w:r w:rsidRPr="000059FF">
        <w:t>This chapter introduces the study of urinary tract infection (UTI) as a public health problem and then looks at adolescents aged 10-19 years in the United Kingdom (UK). Adolescence is a transitional life stage, 10-19 years, where health knowledge, autonomy and health-related behaviours are being formed, as defined by the World Health Organisation</w:t>
      </w:r>
      <w:r w:rsidR="003958F5">
        <w:t xml:space="preserve"> (Fleary et al., 2018; Sukys et al., 2026)</w:t>
      </w:r>
      <w:r w:rsidRPr="000059FF">
        <w:t>. The background, problem statement, research question, aim and objectives, along with the significance of this systematic review with a focus on awareness and preventive practices, are outlined.</w:t>
      </w:r>
    </w:p>
    <w:p w14:paraId="00871E20" w14:textId="77777777" w:rsidR="00572539" w:rsidRPr="000059FF" w:rsidRDefault="00572539" w:rsidP="00504F58">
      <w:pPr>
        <w:pStyle w:val="Heading2"/>
      </w:pPr>
      <w:bookmarkStart w:id="10" w:name="_Toc239679719"/>
      <w:bookmarkStart w:id="11" w:name="_Toc240927728"/>
      <w:r w:rsidRPr="000059FF">
        <w:t>1.2 Background of the Study</w:t>
      </w:r>
      <w:bookmarkEnd w:id="10"/>
      <w:bookmarkEnd w:id="11"/>
    </w:p>
    <w:p w14:paraId="5A9B4F72" w14:textId="38C11FA6" w:rsidR="00092FD8" w:rsidRPr="000059FF" w:rsidRDefault="00092FD8" w:rsidP="00504F58">
      <w:r w:rsidRPr="000059FF">
        <w:t xml:space="preserve">UTIs happen when germs (usually bacteria) enter a section of the urinary system, specifically the urethra, bladder or kidneys. Signs and symptoms include dysuria, increased urinary frequency or urgency, cloudy or bloody urine, lower abdominal pain and, if there is a more severe infection, fever and flank pain </w:t>
      </w:r>
      <w:r w:rsidR="00952DD3" w:rsidRPr="000059FF">
        <w:t xml:space="preserve">(NICE, 2022; </w:t>
      </w:r>
      <w:r w:rsidR="00C138BB">
        <w:t>Kaufman et al., 2019; Mattoo et al., 2021</w:t>
      </w:r>
      <w:r w:rsidR="00952DD3" w:rsidRPr="000059FF">
        <w:t>)</w:t>
      </w:r>
      <w:r w:rsidRPr="000059FF">
        <w:t>. Early recognition is important as urine cannot be taken as soon as they present with signs of upper UTI or systemic infection, and as diagnosis is essential to prevent inappropriate antibiotic use, it is important (NICE, 2022; NICE, 2018).</w:t>
      </w:r>
    </w:p>
    <w:p w14:paraId="1343AD7F" w14:textId="77777777" w:rsidR="00092FD8" w:rsidRPr="000059FF" w:rsidRDefault="00092FD8" w:rsidP="00504F58">
      <w:r w:rsidRPr="000059FF">
        <w:t>Adolescence is a transitional period between childhood and adulthood, according to the World Health Organisation, from the age of 10 to 19 years, and includes fast physical, cognitive, and social growth (WHO, 2024). There is little evidence available in the UK on UTI awareness and prevention in this age range. The view that UTI is an adolescent-specific condition is not supported by exposure data related to infections in childhood prior to age 5 because a recent population-based cohort of Welsh children supports UTI as an important paediatric clinical condition (Hughes et al., 2024). Adolescent risk and prevention are therefore defined here according to UK guidelines on symptoms, hydration, toileting, genital hygiene, sexual health-related prevention and appropriate help-seeking of adolescents, rather than by assuming that prevalence rates for younger children or adults would be applicable (NHS, 2025; NICE, 2022).</w:t>
      </w:r>
    </w:p>
    <w:p w14:paraId="2663A15A" w14:textId="77777777" w:rsidR="00092FD8" w:rsidRPr="000059FF" w:rsidRDefault="00092FD8" w:rsidP="00504F58">
      <w:r w:rsidRPr="000059FF">
        <w:t>UTI has a significant burden in terms of diagnosis and treatment in the UK across healthcare services. A large number of investigations have been reported for suspected lower UTI in English primary care research, and there is a high level of emphasis on accurate diagnosis, appropriate prescribing and prevention in NHS and national antimicrobial surveillance (Ciaccio et al., 2024; NHS England, 2023; UK Health Security Agency, 2026). These service-level data are not specific to the age of the person and are used to give background information, but not as an accurate estimate of the burden of UTIs in 10–19-year-olds.</w:t>
      </w:r>
    </w:p>
    <w:p w14:paraId="5731C6B8" w14:textId="77777777" w:rsidR="00091CE9" w:rsidRPr="000059FF" w:rsidRDefault="00504F58" w:rsidP="00092FD8">
      <w:pPr>
        <w:pStyle w:val="TableCaption"/>
        <w:jc w:val="center"/>
        <w:rPr>
          <w:rFonts w:cs="Arial"/>
          <w:color w:val="000000" w:themeColor="text1"/>
        </w:rPr>
      </w:pPr>
      <w:r w:rsidRPr="000059FF">
        <w:rPr>
          <w:rFonts w:cs="Arial"/>
          <w:color w:val="000000" w:themeColor="text1"/>
        </w:rPr>
        <w:t>Figure 1.1: Adolescent UTI age and UK care-pathway context (10–19 years)</w:t>
      </w:r>
    </w:p>
    <w:p w14:paraId="2BA1768F" w14:textId="77777777" w:rsidR="00091CE9" w:rsidRPr="000059FF" w:rsidRDefault="00504F58" w:rsidP="00504F58">
      <w:r w:rsidRPr="000059FF">
        <w:rPr>
          <w:noProof/>
        </w:rPr>
        <w:drawing>
          <wp:inline distT="0" distB="0" distL="0" distR="0" wp14:anchorId="753B15DD" wp14:editId="76C2A94E">
            <wp:extent cx="5760720" cy="32421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olescent_uti_care_pathway_flowchart.png"/>
                    <pic:cNvPicPr/>
                  </pic:nvPicPr>
                  <pic:blipFill>
                    <a:blip r:embed="rId13"/>
                    <a:stretch>
                      <a:fillRect/>
                    </a:stretch>
                  </pic:blipFill>
                  <pic:spPr>
                    <a:xfrm>
                      <a:off x="0" y="0"/>
                      <a:ext cx="5760720" cy="3242128"/>
                    </a:xfrm>
                    <a:prstGeom prst="rect">
                      <a:avLst/>
                    </a:prstGeom>
                  </pic:spPr>
                </pic:pic>
              </a:graphicData>
            </a:graphic>
          </wp:inline>
        </w:drawing>
      </w:r>
    </w:p>
    <w:p w14:paraId="6C4E0D22" w14:textId="77777777" w:rsidR="00091CE9" w:rsidRPr="000059FF" w:rsidRDefault="00504F58" w:rsidP="00092FD8">
      <w:pPr>
        <w:pStyle w:val="TableNote"/>
        <w:jc w:val="center"/>
        <w:rPr>
          <w:rFonts w:cs="Arial"/>
          <w:color w:val="000000" w:themeColor="text1"/>
        </w:rPr>
      </w:pPr>
      <w:r w:rsidRPr="000059FF">
        <w:rPr>
          <w:rFonts w:cs="Arial"/>
          <w:color w:val="000000" w:themeColor="text1"/>
        </w:rPr>
        <w:t>Source: Author-developed from WHO (2024), NICE (2018), NICE (2022) and NHS (2025).</w:t>
      </w:r>
    </w:p>
    <w:p w14:paraId="095AD29B" w14:textId="77777777" w:rsidR="009C7EB1" w:rsidRPr="000059FF" w:rsidRDefault="009C7EB1" w:rsidP="00504F58">
      <w:r w:rsidRPr="000059FF">
        <w:t>Adolescent age range encompasses two significant UK care contexts: younger adolescents (those aged below 16) are covered by guidance for NICE for people under 16, and older adolescents (aged 16–19) are accessed by prescribing and pathways in adult and young-person UTI, which are managed separately from guidance for children and young people. This reinforces the importance of age-appropriate recognition of symptoms, prevention and where to seek care (NICE, 2022; NICE, 2018; NHS, 2025).</w:t>
      </w:r>
    </w:p>
    <w:p w14:paraId="7C4E4485" w14:textId="77B8A479" w:rsidR="009C7EB1" w:rsidRPr="000059FF" w:rsidRDefault="009C7EB1" w:rsidP="000A10C9">
      <w:r w:rsidRPr="000059FF">
        <w:t>Awareness and everyday behaviour are closely interrelated with UTI prevention</w:t>
      </w:r>
      <w:r w:rsidR="000A10C9">
        <w:t xml:space="preserve"> (Hooton et al., 2018; Shoham et al., 2021)</w:t>
      </w:r>
      <w:r w:rsidRPr="000059FF">
        <w:t xml:space="preserve">. Also recommended by the NHS are drinking plenty of water, not waiting to go to the toilet, keeping the genital area clean and dry, wiping from front to back, if relevant, urinating after sex and seeking appropriate care when symptoms or red flags are present (NHS, 2025). Age-appropriate communication is also supported by the wider UK health-literacy context: NHS England Knowledge and Library Services have been testing health and digital literacy work with </w:t>
      </w:r>
      <w:r w:rsidR="00E679F8" w:rsidRPr="000059FF">
        <w:t>16–25-year-olds</w:t>
      </w:r>
      <w:r w:rsidRPr="000059FF">
        <w:t>, which has involved co-designed resources, community engagement and social media (NHS England Knowledge and Library Services, 2023a). This is not a UTI-specific project but relevant evidence from the UK that health information for older adolescents needs to be accessible, usable and developed with the young person as the user</w:t>
      </w:r>
      <w:r w:rsidR="00C5460F">
        <w:t xml:space="preserve"> </w:t>
      </w:r>
      <w:r w:rsidR="00C5460F" w:rsidRPr="00C5460F">
        <w:t>(Smith et al., 2021; Paakkari et al., 2023)</w:t>
      </w:r>
      <w:r w:rsidRPr="000059FF">
        <w:t>.</w:t>
      </w:r>
    </w:p>
    <w:p w14:paraId="61A795B4" w14:textId="76A40BD0" w:rsidR="00572539" w:rsidRPr="000059FF" w:rsidRDefault="009C7EB1" w:rsidP="00504F58">
      <w:r w:rsidRPr="000059FF">
        <w:t xml:space="preserve">An additional background concern is antibiotic use. </w:t>
      </w:r>
      <w:r w:rsidR="00105968" w:rsidRPr="000059FF">
        <w:t>Antibiotics are used in treating UTIs. Antimicrobial stewardship therefore highlights the correct diagnosis and avoiding unnecessary antibiotic use, as this can help to contribute to antimicrobial resistance (AMR) (UK Health Security Agency, 2026</w:t>
      </w:r>
      <w:r w:rsidR="000C160E">
        <w:t>; Langner et al., 2021; Wagenlehner et al., 2022</w:t>
      </w:r>
      <w:r w:rsidR="00105968" w:rsidRPr="000059FF">
        <w:t>). Children and young people aged under 16 years should be assessed and treated with appropriate antimicrobial treatment for their age, in a timely fashion, as per NICE guidance (NICE, 2022; NICE, 2018).</w:t>
      </w:r>
      <w:r w:rsidRPr="000059FF">
        <w:t xml:space="preserve"> Adolescents aged 16 years or over can be referred to the adult prescribing pathway, but the guidance for children and young people under 16 is to assess promptly and treat with appropriate antimicrobial treatment for age (NICE, 2022; NICE, 2018). Therefore, prevention and understanding how UTIs can be detected and the proper expectations regarding antibiotics are relevant, important aspects of adolescent UTI education.</w:t>
      </w:r>
    </w:p>
    <w:p w14:paraId="7527101A" w14:textId="77777777" w:rsidR="00572539" w:rsidRPr="000059FF" w:rsidRDefault="00537FF3" w:rsidP="007E3E9D">
      <w:pPr>
        <w:jc w:val="center"/>
      </w:pPr>
      <w:r w:rsidRPr="000059FF">
        <w:t>Figure 1.2: Private non-NHS antibiotic consumption in England, 2019-2024</w:t>
      </w:r>
    </w:p>
    <w:p w14:paraId="76A19CFE" w14:textId="77777777" w:rsidR="00537FF3" w:rsidRPr="000059FF" w:rsidRDefault="00537FF3" w:rsidP="007E3E9D">
      <w:pPr>
        <w:jc w:val="center"/>
      </w:pPr>
      <w:r w:rsidRPr="000059FF">
        <w:rPr>
          <w:noProof/>
        </w:rPr>
        <w:drawing>
          <wp:inline distT="0" distB="0" distL="0" distR="0" wp14:anchorId="24E61670" wp14:editId="29F79F54">
            <wp:extent cx="4572000" cy="2743200"/>
            <wp:effectExtent l="0" t="0" r="0" b="0"/>
            <wp:docPr id="3" name="Chart 3">
              <a:extLst xmlns:a="http://schemas.openxmlformats.org/drawingml/2006/main">
                <a:ext uri="{FF2B5EF4-FFF2-40B4-BE49-F238E27FC236}">
                  <a16:creationId xmlns:a16="http://schemas.microsoft.com/office/drawing/2014/main" id="{FC629D83-566A-E1AA-7C82-514FB289B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10BDAD" w14:textId="77777777" w:rsidR="00085FF3" w:rsidRPr="000059FF" w:rsidRDefault="00085FF3" w:rsidP="007E3E9D">
      <w:pPr>
        <w:jc w:val="center"/>
        <w:rPr>
          <w:i/>
          <w:iCs/>
        </w:rPr>
      </w:pPr>
      <w:r w:rsidRPr="000059FF">
        <w:t>Source: (UK Health Security Agency, 2026)</w:t>
      </w:r>
    </w:p>
    <w:p w14:paraId="6A4963FF" w14:textId="77777777" w:rsidR="00E44F0E" w:rsidRPr="000059FF" w:rsidRDefault="00197FD8" w:rsidP="00504F58">
      <w:r w:rsidRPr="000059FF">
        <w:t>The consumption of private non-NHS antibiotics rose from 0.49 defined daily doses (DDDs) per 1,000 inhabitants per day in 2019 to 0.80 in 2024 in England (Figure 1.2) (UK Health Security Agency, 2026). While these figures are not specifically adolescent, they do provide context to the dissertation for national stewardship, as to why dependence on antibiotics, and the need for prevention and responsible expectations of antibiotic use, continue to be public health concerns.</w:t>
      </w:r>
    </w:p>
    <w:p w14:paraId="1C8E18C9" w14:textId="77777777" w:rsidR="005E4B39" w:rsidRPr="000059FF" w:rsidRDefault="005E4B39" w:rsidP="00504F58">
      <w:pPr>
        <w:pStyle w:val="Heading2"/>
      </w:pPr>
      <w:bookmarkStart w:id="12" w:name="_Toc239679720"/>
      <w:bookmarkStart w:id="13" w:name="_Toc240927729"/>
      <w:r w:rsidRPr="000059FF">
        <w:t>1.3 Statement of the Problem</w:t>
      </w:r>
      <w:bookmarkEnd w:id="12"/>
      <w:bookmarkEnd w:id="13"/>
    </w:p>
    <w:p w14:paraId="1259A71F" w14:textId="77777777" w:rsidR="00D8405E" w:rsidRPr="000059FF" w:rsidRDefault="00D8405E" w:rsidP="00504F58">
      <w:r w:rsidRPr="000059FF">
        <w:t>The lack of evidence specifically about knowledge, awareness and preventive practices of UTI among adolescents (aged 10-19 years) in the UK is a key problem. UK research, conducted at nearby ages and in adults, is also available to inform recent observations of the levels of adolescent awareness and preventive behaviour; for example, childhood data from the Welsh population and primary-care management studies in England, with a focus on recurrent-UTI studies in Wales (Hughes et al., 2024; Cooper et al., 2023; Sanyaolu et al., 2024). The under-16 and 16-plus UTI care pathways overlap in the UK; therefore, the need for age-appropriate awareness of symptoms, preventive practices and use of appropriate services is particularly important (NICE, 2022; NICE, 2018; NHS, 2025). This systematic review can therefore not be analysed without addressing the substantive evidence gap of the lack of directly transferable UK adolescent behavioural evidence.</w:t>
      </w:r>
    </w:p>
    <w:p w14:paraId="146D0A69" w14:textId="77777777" w:rsidR="005E4B39" w:rsidRPr="000059FF" w:rsidRDefault="005E4B39" w:rsidP="00504F58">
      <w:pPr>
        <w:pStyle w:val="Heading2"/>
      </w:pPr>
      <w:bookmarkStart w:id="14" w:name="_Toc239679721"/>
      <w:bookmarkStart w:id="15" w:name="_Toc240927730"/>
      <w:r w:rsidRPr="000059FF">
        <w:t>1.4 Rationale of the Research</w:t>
      </w:r>
      <w:bookmarkEnd w:id="14"/>
      <w:bookmarkEnd w:id="15"/>
    </w:p>
    <w:p w14:paraId="36350FD3" w14:textId="2B06EF61" w:rsidR="005E4B39" w:rsidRPr="000059FF" w:rsidRDefault="00D8405E" w:rsidP="00504F58">
      <w:r w:rsidRPr="000059FF">
        <w:t>The rationale for this research is that UTI prevention among adolescents is a clinical problem, as well as a knowledge, health literacy, behaviour and access to the right advice problem. Adolescence is a developmental stage in which the autonomy and health decision-making capacities are growing (WHO, 2024). NHS health-literacy initiatives have a clear focus in England to improve the capacity of citizens to access, understand and apply reliable health information</w:t>
      </w:r>
      <w:r w:rsidR="00A53B56">
        <w:t xml:space="preserve"> </w:t>
      </w:r>
      <w:r w:rsidR="00A53B56" w:rsidRPr="00A53B56">
        <w:t>(Jafari et al., 2021; Rouquette et al., 2022)</w:t>
      </w:r>
      <w:r w:rsidRPr="000059FF">
        <w:t>, and pilot projects have focused on young people, involving young people aged 16-25 in co-design (NHS England Knowledge and Library Services, 2023a; NHS England Knowledge and Library Services, 2023b). This is complemented by UK UTI guidance on prevention and age-dependent care pathways, which will support a systematic review of what adolescents need to know, how they might be able to use information to prevent UTI and where there remains a gap in the UK evidence base (NHS, 2025; NICE, 2022).</w:t>
      </w:r>
    </w:p>
    <w:p w14:paraId="2CACD58A" w14:textId="77777777" w:rsidR="00572539" w:rsidRPr="000059FF" w:rsidRDefault="00572539" w:rsidP="00504F58">
      <w:pPr>
        <w:pStyle w:val="Heading2"/>
      </w:pPr>
      <w:bookmarkStart w:id="16" w:name="_Toc239679722"/>
      <w:bookmarkStart w:id="17" w:name="_Toc240927731"/>
      <w:r w:rsidRPr="000059FF">
        <w:t xml:space="preserve">1.5 </w:t>
      </w:r>
      <w:r w:rsidR="00AF7199" w:rsidRPr="000059FF">
        <w:t>Research Question, Research Aim and Research Objectives</w:t>
      </w:r>
      <w:bookmarkEnd w:id="16"/>
      <w:bookmarkEnd w:id="17"/>
    </w:p>
    <w:p w14:paraId="7D88D856" w14:textId="77777777" w:rsidR="00AF7199" w:rsidRPr="000059FF" w:rsidRDefault="00AF7199" w:rsidP="00504F58">
      <w:r w:rsidRPr="000059FF">
        <w:t>Research Question</w:t>
      </w:r>
    </w:p>
    <w:p w14:paraId="05E046D8" w14:textId="77777777" w:rsidR="003E04CA" w:rsidRPr="000059FF" w:rsidRDefault="00D8405E" w:rsidP="00504F58">
      <w:r w:rsidRPr="000059FF">
        <w:t>What factors are there that impact upon knowledge, awareness and preventative practice of urinary tract infection in adolescents (10–19 years) in the UK?</w:t>
      </w:r>
    </w:p>
    <w:p w14:paraId="080A79A7" w14:textId="77777777" w:rsidR="00572539" w:rsidRPr="000059FF" w:rsidRDefault="00572539" w:rsidP="00504F58">
      <w:r w:rsidRPr="000059FF">
        <w:t>Research Aim</w:t>
      </w:r>
    </w:p>
    <w:p w14:paraId="14E9C374" w14:textId="77777777" w:rsidR="009D4987" w:rsidRPr="000059FF" w:rsidRDefault="00DD0880" w:rsidP="00504F58">
      <w:r w:rsidRPr="000059FF">
        <w:t>To review systematically the factors that influence knowledge and awareness of and preventive practices for UTI in the adolescent age group (10–19 years) in the UK.</w:t>
      </w:r>
    </w:p>
    <w:p w14:paraId="66FBED10" w14:textId="77777777" w:rsidR="00572539" w:rsidRPr="000059FF" w:rsidRDefault="00572539" w:rsidP="00504F58">
      <w:r w:rsidRPr="000059FF">
        <w:t>Research Objectives</w:t>
      </w:r>
    </w:p>
    <w:p w14:paraId="69C27A4B" w14:textId="77777777" w:rsidR="00DD0880" w:rsidRPr="000059FF" w:rsidRDefault="00DD0880" w:rsidP="00504F58">
      <w:pPr>
        <w:pStyle w:val="ListParagraph"/>
        <w:numPr>
          <w:ilvl w:val="0"/>
          <w:numId w:val="1"/>
        </w:numPr>
      </w:pPr>
      <w:r w:rsidRPr="000059FF">
        <w:t>To evaluate the accessibility and relevance of public health information and awareness-raising campaigns around UTI prevention for adolescents in the UK.</w:t>
      </w:r>
    </w:p>
    <w:p w14:paraId="64DA7645" w14:textId="77777777" w:rsidR="00DD0880" w:rsidRPr="000059FF" w:rsidRDefault="00DD0880" w:rsidP="00504F58">
      <w:pPr>
        <w:pStyle w:val="ListParagraph"/>
        <w:numPr>
          <w:ilvl w:val="0"/>
          <w:numId w:val="1"/>
        </w:numPr>
      </w:pPr>
      <w:r w:rsidRPr="000059FF">
        <w:t>To describe adolescent (10-19 years) risk factors and contextual factors for UTI.</w:t>
      </w:r>
    </w:p>
    <w:p w14:paraId="2BF82BE7" w14:textId="77777777" w:rsidR="00DD0880" w:rsidRPr="000059FF" w:rsidRDefault="00DD0880" w:rsidP="00504F58">
      <w:pPr>
        <w:pStyle w:val="ListParagraph"/>
        <w:numPr>
          <w:ilvl w:val="0"/>
          <w:numId w:val="1"/>
        </w:numPr>
      </w:pPr>
      <w:r w:rsidRPr="000059FF">
        <w:t>To assess adolescents' knowledge about preventive measures for reducing the risk of UTI.</w:t>
      </w:r>
    </w:p>
    <w:p w14:paraId="6AB919E7" w14:textId="77777777" w:rsidR="00DD0880" w:rsidRPr="000059FF" w:rsidRDefault="00DD0880" w:rsidP="00504F58">
      <w:pPr>
        <w:pStyle w:val="ListParagraph"/>
        <w:numPr>
          <w:ilvl w:val="0"/>
          <w:numId w:val="1"/>
        </w:numPr>
      </w:pPr>
      <w:r w:rsidRPr="000059FF">
        <w:t>To examine the relationship between UTI knowledge, awareness and preventive practices among adolescents.</w:t>
      </w:r>
    </w:p>
    <w:p w14:paraId="5A239CB7" w14:textId="77777777" w:rsidR="00433026" w:rsidRPr="000059FF" w:rsidRDefault="00DD0880" w:rsidP="00504F58">
      <w:pPr>
        <w:pStyle w:val="ListParagraph"/>
        <w:numPr>
          <w:ilvl w:val="0"/>
          <w:numId w:val="1"/>
        </w:numPr>
      </w:pPr>
      <w:r w:rsidRPr="000059FF">
        <w:t>To suggest evidence-based recommendations to improve awareness, prevention and timely response to UTIs among UK adolescents.</w:t>
      </w:r>
    </w:p>
    <w:p w14:paraId="2340049B" w14:textId="77777777" w:rsidR="00572539" w:rsidRPr="000059FF" w:rsidRDefault="00572539" w:rsidP="00504F58">
      <w:pPr>
        <w:pStyle w:val="Heading2"/>
      </w:pPr>
      <w:bookmarkStart w:id="18" w:name="_Toc239679723"/>
      <w:bookmarkStart w:id="19" w:name="_Toc240927732"/>
      <w:r w:rsidRPr="000059FF">
        <w:t>1</w:t>
      </w:r>
      <w:r w:rsidR="00AF7199" w:rsidRPr="000059FF">
        <w:t xml:space="preserve">.6 </w:t>
      </w:r>
      <w:r w:rsidRPr="000059FF">
        <w:t>Significance of the Study</w:t>
      </w:r>
      <w:bookmarkEnd w:id="18"/>
      <w:bookmarkEnd w:id="19"/>
    </w:p>
    <w:p w14:paraId="69FD65E7" w14:textId="3DD94BB4" w:rsidR="00572539" w:rsidRPr="000059FF" w:rsidRDefault="006E1FD2" w:rsidP="00504F58">
      <w:r w:rsidRPr="000059FF">
        <w:t>This study is important as it may be able to detect the knowledge and prevention information gaps regarding UTIs in adolescents and establish the scope of where there is a lack of direct evidence from the UK. Adolescence is a time of developing decision-making and autonomy in relation to health-related decisions (WHO</w:t>
      </w:r>
      <w:r w:rsidR="00952DD3" w:rsidRPr="000059FF">
        <w:t>,</w:t>
      </w:r>
      <w:r w:rsidRPr="000059FF">
        <w:t xml:space="preserve"> 2024). The skills to access, evaluate and apply good quality health information are also part of the policy and pilot activities recommended in UK health-literacy policy and pilot work (NHS England Knowledge and Library Services, 2023a; NHS England Knowledge and Library Services, 2023b</w:t>
      </w:r>
      <w:r w:rsidR="00472939">
        <w:t>; McAnally and Hagger, 2023; Riemann et al., 2021</w:t>
      </w:r>
      <w:r w:rsidRPr="000059FF">
        <w:t>). The results could then be used to support school/community health education, NHS primary care/pharmacy communication, sexual-health services and family/carer guidance, without making claims for the effectiveness of the interventions if the evidence for use with adolescents is absent from the UK</w:t>
      </w:r>
      <w:r w:rsidR="0032112A">
        <w:t xml:space="preserve"> (Lawrence et al., 2025; Agostino and Toulany, 2023)</w:t>
      </w:r>
      <w:r w:rsidRPr="000059FF">
        <w:t>.</w:t>
      </w:r>
    </w:p>
    <w:p w14:paraId="393B4694" w14:textId="77777777" w:rsidR="00572539" w:rsidRPr="000059FF" w:rsidRDefault="00572539" w:rsidP="00504F58">
      <w:pPr>
        <w:pStyle w:val="Heading2"/>
      </w:pPr>
      <w:bookmarkStart w:id="20" w:name="_Toc239679724"/>
      <w:bookmarkStart w:id="21" w:name="_Toc240927733"/>
      <w:r w:rsidRPr="000059FF">
        <w:t>1.</w:t>
      </w:r>
      <w:r w:rsidR="00AF7199" w:rsidRPr="000059FF">
        <w:t>7</w:t>
      </w:r>
      <w:r w:rsidRPr="000059FF">
        <w:t xml:space="preserve"> Structure of the Dissertation</w:t>
      </w:r>
      <w:bookmarkEnd w:id="20"/>
      <w:bookmarkEnd w:id="21"/>
    </w:p>
    <w:p w14:paraId="320F78AE" w14:textId="77777777" w:rsidR="00572539" w:rsidRPr="000059FF" w:rsidRDefault="00492CA5" w:rsidP="00504F58">
      <w:r w:rsidRPr="000059FF">
        <w:t>Chapter 1 provides an introduction to the research topic, adolescent population, UK context, rationale, research question, aim and objectives and significance. Chapter 2 summarises evidence of the burden of UTI, adolescent knowledge and preventive behaviours, healthcare-seeking, antibiotic use, antimicrobial resistance and behavioural theory and has clearly differentiated between adolescent evidence and indirect adult evidence. The methodology used in the systematic review is explained in Chapter 3, which also consists of the updated ideas of adolescents for search, eligibility criteria, PRISMA reporting, quality appraisal, data extraction and thematic synthesis. Chapters 4 and 5 will present the final study-selection results, themes, discussion, implications, limitations, recommendations and conclusion.</w:t>
      </w:r>
    </w:p>
    <w:p w14:paraId="169567AE" w14:textId="77777777" w:rsidR="00572539" w:rsidRPr="000059FF" w:rsidRDefault="00572539" w:rsidP="007E3E9D">
      <w:pPr>
        <w:jc w:val="center"/>
      </w:pPr>
      <w:r w:rsidRPr="000059FF">
        <w:t>Figure 1.</w:t>
      </w:r>
      <w:r w:rsidR="007126A1" w:rsidRPr="000059FF">
        <w:t>3</w:t>
      </w:r>
      <w:r w:rsidRPr="000059FF">
        <w:t>: Dissertation chapter flow</w:t>
      </w:r>
    </w:p>
    <w:p w14:paraId="7CB74816" w14:textId="77777777" w:rsidR="00A27258" w:rsidRPr="000059FF" w:rsidRDefault="001C4171" w:rsidP="007E3E9D">
      <w:pPr>
        <w:jc w:val="center"/>
      </w:pPr>
      <w:r w:rsidRPr="000059FF">
        <w:rPr>
          <w:noProof/>
        </w:rPr>
        <w:drawing>
          <wp:inline distT="0" distB="0" distL="0" distR="0" wp14:anchorId="1BA82EC9" wp14:editId="1E17A39F">
            <wp:extent cx="2790311" cy="309982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03630" cy="3114622"/>
                    </a:xfrm>
                    <a:prstGeom prst="rect">
                      <a:avLst/>
                    </a:prstGeom>
                    <a:noFill/>
                  </pic:spPr>
                </pic:pic>
              </a:graphicData>
            </a:graphic>
          </wp:inline>
        </w:drawing>
      </w:r>
    </w:p>
    <w:p w14:paraId="1E5577F1" w14:textId="77777777" w:rsidR="00B16025" w:rsidRPr="000059FF" w:rsidRDefault="00B16025" w:rsidP="007E3E9D">
      <w:pPr>
        <w:jc w:val="center"/>
      </w:pPr>
      <w:r w:rsidRPr="000059FF">
        <w:t>Source: Author developed</w:t>
      </w:r>
    </w:p>
    <w:p w14:paraId="4FE72D72" w14:textId="77777777" w:rsidR="00572539" w:rsidRPr="000059FF" w:rsidRDefault="00572539" w:rsidP="00504F58">
      <w:pPr>
        <w:pStyle w:val="Heading2"/>
      </w:pPr>
      <w:bookmarkStart w:id="22" w:name="_Toc239679725"/>
      <w:bookmarkStart w:id="23" w:name="_Toc240927734"/>
      <w:r w:rsidRPr="000059FF">
        <w:t>1.</w:t>
      </w:r>
      <w:r w:rsidR="00AF7199" w:rsidRPr="000059FF">
        <w:t>8</w:t>
      </w:r>
      <w:r w:rsidRPr="000059FF">
        <w:t xml:space="preserve"> Chapter Summary</w:t>
      </w:r>
      <w:bookmarkEnd w:id="22"/>
      <w:bookmarkEnd w:id="23"/>
    </w:p>
    <w:p w14:paraId="72C74088" w14:textId="77777777" w:rsidR="00792157" w:rsidRPr="000059FF" w:rsidRDefault="00D72F58" w:rsidP="00504F58">
      <w:r w:rsidRPr="000059FF">
        <w:t>This chapter has described UTI as a public health problem and focused the population of the dissertation to adolescents (aged 10-19 years) in the UK. It raised awareness of symptoms, prevention, help-seeking and responsible expectations of antibiotics, and acknowledged the need to consider that much of the evidence available in the UK is not adolescent-specific. The new research question, aim and objectives now specifically highlight adolescent knowledge, awareness and prevention and form the basis of the literature review in Chapter 2.</w:t>
      </w:r>
    </w:p>
    <w:p w14:paraId="6103A49B" w14:textId="77777777" w:rsidR="00792157" w:rsidRPr="000059FF" w:rsidRDefault="00792157" w:rsidP="00504F58">
      <w:r w:rsidRPr="000059FF">
        <w:br w:type="page"/>
      </w:r>
    </w:p>
    <w:p w14:paraId="63CEAA3E" w14:textId="77777777" w:rsidR="0066174F" w:rsidRPr="000059FF" w:rsidRDefault="00FC4F01" w:rsidP="008A5861">
      <w:pPr>
        <w:pStyle w:val="Heading1"/>
        <w:rPr>
          <w:rFonts w:eastAsiaTheme="majorEastAsia"/>
        </w:rPr>
      </w:pPr>
      <w:bookmarkStart w:id="24" w:name="_Toc236001829"/>
      <w:bookmarkStart w:id="25" w:name="_Toc239679726"/>
      <w:bookmarkStart w:id="26" w:name="_Toc240927735"/>
      <w:r w:rsidRPr="000059FF">
        <w:t>CHAPTER 2: LITERATURE REVIEW</w:t>
      </w:r>
      <w:bookmarkEnd w:id="24"/>
      <w:bookmarkEnd w:id="25"/>
      <w:bookmarkEnd w:id="26"/>
    </w:p>
    <w:p w14:paraId="0A6607DC" w14:textId="77777777" w:rsidR="0066174F" w:rsidRPr="000059FF" w:rsidRDefault="0066174F" w:rsidP="00504F58">
      <w:pPr>
        <w:pStyle w:val="Heading2"/>
      </w:pPr>
      <w:bookmarkStart w:id="27" w:name="_Toc236001830"/>
      <w:bookmarkStart w:id="28" w:name="_Toc239679727"/>
      <w:bookmarkStart w:id="29" w:name="_Toc240927736"/>
      <w:r w:rsidRPr="000059FF">
        <w:t>2.1 Introduction</w:t>
      </w:r>
      <w:bookmarkEnd w:id="27"/>
      <w:bookmarkEnd w:id="28"/>
      <w:bookmarkEnd w:id="29"/>
    </w:p>
    <w:p w14:paraId="074835A7" w14:textId="77777777" w:rsidR="0066174F" w:rsidRPr="000059FF" w:rsidRDefault="002A2608" w:rsidP="00504F58">
      <w:r w:rsidRPr="000059FF">
        <w:t>The literature has been reviewed that details the burden, knowledge, awareness, preventative behaviour, and health-seeking and antibiotic use in relation to UTIs in adolescents aged 10–19 years in the UK. The chapter separates direct UK adolescent evidence from wider UK child, adult and service level evidence used for contextual interpretation, as there is less direct UK evidence of relevance to adolescents. Authoritative sources from the UK are also relied on to set care pathways, prevention messages and health-literacy priorities. The chapter also explores behavioural theories and public health theories that might account for the "translational process" of getting people to engage in preventive activity.</w:t>
      </w:r>
    </w:p>
    <w:p w14:paraId="783EFA04" w14:textId="77777777" w:rsidR="0066174F" w:rsidRPr="000059FF" w:rsidRDefault="0066174F" w:rsidP="00504F58">
      <w:pPr>
        <w:pStyle w:val="Heading2"/>
      </w:pPr>
      <w:bookmarkStart w:id="30" w:name="_Toc236001831"/>
      <w:bookmarkStart w:id="31" w:name="_Toc239679728"/>
      <w:bookmarkStart w:id="32" w:name="_Toc240927737"/>
      <w:r w:rsidRPr="000059FF">
        <w:t>2.2 Literature Search Strategy</w:t>
      </w:r>
      <w:bookmarkEnd w:id="30"/>
      <w:bookmarkEnd w:id="31"/>
      <w:bookmarkEnd w:id="32"/>
    </w:p>
    <w:p w14:paraId="230A6E0E" w14:textId="77777777" w:rsidR="00DB525E" w:rsidRPr="000059FF" w:rsidRDefault="00DB525E" w:rsidP="00504F58">
      <w:r w:rsidRPr="000059FF">
        <w:t>The literature search in this chapter was not the last search carried out to select the articles for the PRISMA study, but a scoping search to set the background and theory for this chapter. Searches focused on UTI and its synonyms, adolescents aged 10–19 years, knowledge and awareness, prevention, self-care, help-seeking and the UK. The literature consulted was peer-reviewed literature from MEDLINE/PubMed, CINAHL, Embase, Web of Science, ScienceDirect and authoritative definitions, policy, clinical pathways and antimicrobial-stewardship context from WHO, NHS, NICE and UK Health Security Agency sources (WHO, 2024; NICE, 2022; UK Health Security Agency, 2026).</w:t>
      </w:r>
    </w:p>
    <w:p w14:paraId="622CD9A3" w14:textId="77777777" w:rsidR="0066174F" w:rsidRPr="000059FF" w:rsidRDefault="00DB525E" w:rsidP="00504F58">
      <w:r w:rsidRPr="000059FF">
        <w:t>The search terms were ‘urinary tract infection*, ‘UTI’, ‘cystitis’, ‘bladder infection*’, ‘urinary infection*’, ‘lower urinary tract infection*’ and pyelonephritis; knowledge, awareness, ‘health literacy’; prevention; ‘preventive practice*’; self-care and help-seeking; and adolescent*, teen*, teenager*, ‘young people’. The term “United Kingdom” and UK were included in the UK terms, which also comprised England, Scotland, Wales and “Northern Ireland”. For some areas where there is little evidence in the UK, an international adolescent search was conducted instead. Evidence for 2016-2026 is given priority, with earlier methodological or guideline sources kept if they are still current or are foundational.</w:t>
      </w:r>
    </w:p>
    <w:p w14:paraId="6DA63826" w14:textId="77777777" w:rsidR="0066174F" w:rsidRPr="000059FF" w:rsidRDefault="0066174F" w:rsidP="00504F58">
      <w:pPr>
        <w:pStyle w:val="Heading2"/>
      </w:pPr>
      <w:bookmarkStart w:id="33" w:name="_Toc236001832"/>
      <w:bookmarkStart w:id="34" w:name="_Toc239679729"/>
      <w:bookmarkStart w:id="35" w:name="_Toc240927738"/>
      <w:r w:rsidRPr="000059FF">
        <w:t>2.3 Cases, Impact, Interventions and Challenges</w:t>
      </w:r>
      <w:bookmarkEnd w:id="33"/>
      <w:bookmarkEnd w:id="34"/>
      <w:bookmarkEnd w:id="35"/>
    </w:p>
    <w:p w14:paraId="1CC50643" w14:textId="10F5F793" w:rsidR="00BC68EC" w:rsidRPr="000059FF" w:rsidRDefault="00BC68EC" w:rsidP="00504F58">
      <w:r w:rsidRPr="000059FF">
        <w:t>Evidence in the UK has shown that UTI is a significant clinical problem in children and in the primary care setting, but the available evidence does not span the entire age range within adolescents (10–19 years)</w:t>
      </w:r>
      <w:r w:rsidR="00985B58">
        <w:t xml:space="preserve"> (Boon et al., 2021; Simões e Silva et al., 2020)</w:t>
      </w:r>
      <w:r w:rsidRPr="000059FF">
        <w:t>. NICE has specific guidance on diagnosis and management of children and young people aged &lt;16 years, and a large population-based cohort has improved the understanding of outcomes following a UTI, but the UTIs in this cohort were exposed before age five and so are not contextual but rather specific to children. There is also specific guidance from NICE for children and young people aged &lt;16 years, and a large population-based cohort has increased understanding of outcomes following UTIs, although these were exposed before age five and so are not contextual but rather specific to children. The wider primary-care English context also provides evidence of a significant level of diagnostic activity, with these types of service-level studies not being direct evidence of adolescent knowledge and/or preventative behaviour (Cooper et al., 2020; Ciaccio et al., 2024).</w:t>
      </w:r>
    </w:p>
    <w:p w14:paraId="4D8E06F0" w14:textId="3ACA1F28" w:rsidR="00BC68EC" w:rsidRPr="000059FF" w:rsidRDefault="00BC68EC" w:rsidP="00504F58">
      <w:r w:rsidRPr="000059FF">
        <w:t>UTI can also impact confidence, wellbeing and experiences of healthcare. The best recent qualitative UK evidence is from a group of adult women and a recurrent-UTI group, rather than adolescents. Dababneh et al</w:t>
      </w:r>
      <w:r w:rsidR="00047466" w:rsidRPr="000059FF">
        <w:t>.</w:t>
      </w:r>
      <w:r w:rsidRPr="000059FF">
        <w:t xml:space="preserve"> (2025) reported women's experience of UTI assessment and management in England, and Newlands et al (2026) concluded that there were barriers and facilitators to quality recurrent-UTI care for adults in the UK. These studies are subsequently included only as indirect evidence of possible mechanisms: uncertainty, communication quality, trust and shared decision making; not as direct evidence from the adolescent perspective</w:t>
      </w:r>
      <w:r w:rsidR="00D74662">
        <w:t xml:space="preserve"> (Sanyaolu et al., 2023; Toye et al., 2023)</w:t>
      </w:r>
      <w:r w:rsidRPr="000059FF">
        <w:t>.</w:t>
      </w:r>
    </w:p>
    <w:p w14:paraId="5CAD13C8" w14:textId="77777777" w:rsidR="00BC68EC" w:rsidRPr="000059FF" w:rsidRDefault="00BC68EC" w:rsidP="00504F58">
      <w:r w:rsidRPr="000059FF">
        <w:t>Interventions in the UK are increasingly integrated and provide treatment, diagnostic support, antimicrobial stewardship and public information. The available campaigns and implementation studies are not specifically for adolescents, but there is recognition of NHS service issues around UTI prevention and communication at both the NHS England and commissioning level (NHS England, 2023; Sides et al., 2025). The health-system context will be provided by such evidence for this dissertation, and age-relevant conclusions will have to be based on adolescent evidence.</w:t>
      </w:r>
    </w:p>
    <w:p w14:paraId="76DCBD63" w14:textId="3EC5BE9B" w:rsidR="00BC68EC" w:rsidRPr="000059FF" w:rsidRDefault="00BC68EC" w:rsidP="00504F58">
      <w:r w:rsidRPr="000059FF">
        <w:t>One of the main public health barriers is that information is not enough to elicit preventive action when confidence is also a key component, as is access to credible information or services provided in an appropriate context</w:t>
      </w:r>
      <w:r w:rsidR="00C5144D">
        <w:t xml:space="preserve"> (Freeman et al., 2018; McKinnon et al., 2020)</w:t>
      </w:r>
      <w:r w:rsidRPr="000059FF">
        <w:t>. There is a clear focus on user access to health information, its evaluation and use in NHS health-literacy work in England (NHS England Knowledge and Library Services, 2023b); and the importance of context in implementation is recognised in UK behaviour-change research (Soames and Pettigrew, 2024). During the COVID-19 period, there were also service pressures in English primary care that impacted on antimicrobial-stewardship support and prescribing settings (Campbell et al., 2023; Zhu et al., 2021). The prevention of UTIs is thus a personal knowledge problem, as well as a health system communication and access problem.</w:t>
      </w:r>
    </w:p>
    <w:p w14:paraId="0D5A8816" w14:textId="3D7BBF3C" w:rsidR="0066174F" w:rsidRPr="000059FF" w:rsidRDefault="00BC68EC" w:rsidP="00504F58">
      <w:r w:rsidRPr="000059FF">
        <w:t>One of the dilemmas is that separating the service-level evidence from the adolescent-level evidence of behaviour is a significant challenge. Workload and diagnostic decision-making and antimicrobial prescribing studies report on primary-care workload and antimicrobial prescribing, but do not report separately on 10–19-year-olds' knowledge, awareness or preventative behaviours for UTIs (Cooper et al., 2023; Ciaccio et al., 2024). Meanwhile, pilots for NHS health and digital literacy demonstrate a desire to find ways to engage and support young people (aged 16-25) in building confidence to access and use health information in ways that suit them (NHS England Knowledge and Library Services 2023a</w:t>
      </w:r>
      <w:r w:rsidR="000C2475">
        <w:t xml:space="preserve">; </w:t>
      </w:r>
      <w:r w:rsidR="00404565">
        <w:t>Freeman et al., 2020; Freeman et al., 2023</w:t>
      </w:r>
      <w:r w:rsidRPr="000059FF">
        <w:t>). The gap is thus not that there is no evidence of UTI and youth-health-literacy in the UK, but that there is little evidence of research that specifically links the two for adolescents.</w:t>
      </w:r>
    </w:p>
    <w:p w14:paraId="6523770D" w14:textId="77777777" w:rsidR="0066174F" w:rsidRPr="000059FF" w:rsidRDefault="0066174F" w:rsidP="00504F58">
      <w:r w:rsidRPr="000059FF">
        <w:t>Table 2.1: Key literature themes and evidence focus</w:t>
      </w:r>
    </w:p>
    <w:tbl>
      <w:tblPr>
        <w:tblStyle w:val="TableGrid"/>
        <w:tblW w:w="0" w:type="auto"/>
        <w:jc w:val="center"/>
        <w:tblLook w:val="04A0" w:firstRow="1" w:lastRow="0" w:firstColumn="1" w:lastColumn="0" w:noHBand="0" w:noVBand="1"/>
      </w:tblPr>
      <w:tblGrid>
        <w:gridCol w:w="2338"/>
        <w:gridCol w:w="2337"/>
        <w:gridCol w:w="2338"/>
        <w:gridCol w:w="2337"/>
      </w:tblGrid>
      <w:tr w:rsidR="00D32A34" w:rsidRPr="000059FF" w14:paraId="1DC53BA4" w14:textId="77777777" w:rsidTr="009F74BB">
        <w:trPr>
          <w:cantSplit/>
          <w:tblHeader/>
          <w:jc w:val="center"/>
        </w:trPr>
        <w:tc>
          <w:tcPr>
            <w:tcW w:w="2338" w:type="dxa"/>
            <w:tcBorders>
              <w:top w:val="single" w:sz="4" w:space="0" w:color="auto"/>
              <w:left w:val="single" w:sz="4" w:space="0" w:color="auto"/>
              <w:bottom w:val="single" w:sz="4" w:space="0" w:color="auto"/>
              <w:right w:val="single" w:sz="4" w:space="0" w:color="auto"/>
            </w:tcBorders>
            <w:hideMark/>
          </w:tcPr>
          <w:p w14:paraId="1C9B1D5E" w14:textId="77777777" w:rsidR="0066174F" w:rsidRPr="000059FF" w:rsidRDefault="0066174F" w:rsidP="00504F58">
            <w:r w:rsidRPr="000059FF">
              <w:t>Theme</w:t>
            </w:r>
          </w:p>
        </w:tc>
        <w:tc>
          <w:tcPr>
            <w:tcW w:w="2337" w:type="dxa"/>
            <w:tcBorders>
              <w:top w:val="single" w:sz="4" w:space="0" w:color="auto"/>
              <w:left w:val="single" w:sz="4" w:space="0" w:color="auto"/>
              <w:bottom w:val="single" w:sz="4" w:space="0" w:color="auto"/>
              <w:right w:val="single" w:sz="4" w:space="0" w:color="auto"/>
            </w:tcBorders>
            <w:hideMark/>
          </w:tcPr>
          <w:p w14:paraId="05C26B5B" w14:textId="77777777" w:rsidR="0066174F" w:rsidRPr="000059FF" w:rsidRDefault="0066174F" w:rsidP="00504F58">
            <w:r w:rsidRPr="000059FF">
              <w:t>Key evidence</w:t>
            </w:r>
          </w:p>
        </w:tc>
        <w:tc>
          <w:tcPr>
            <w:tcW w:w="2338" w:type="dxa"/>
            <w:tcBorders>
              <w:top w:val="single" w:sz="4" w:space="0" w:color="auto"/>
              <w:left w:val="single" w:sz="4" w:space="0" w:color="auto"/>
              <w:bottom w:val="single" w:sz="4" w:space="0" w:color="auto"/>
              <w:right w:val="single" w:sz="4" w:space="0" w:color="auto"/>
            </w:tcBorders>
            <w:hideMark/>
          </w:tcPr>
          <w:p w14:paraId="0E9D2B1F" w14:textId="77777777" w:rsidR="0066174F" w:rsidRPr="000059FF" w:rsidRDefault="0066174F" w:rsidP="00504F58">
            <w:r w:rsidRPr="000059FF">
              <w:t>Main contribution</w:t>
            </w:r>
          </w:p>
        </w:tc>
        <w:tc>
          <w:tcPr>
            <w:tcW w:w="2337" w:type="dxa"/>
            <w:tcBorders>
              <w:top w:val="single" w:sz="4" w:space="0" w:color="auto"/>
              <w:left w:val="single" w:sz="4" w:space="0" w:color="auto"/>
              <w:bottom w:val="single" w:sz="4" w:space="0" w:color="auto"/>
              <w:right w:val="single" w:sz="4" w:space="0" w:color="auto"/>
            </w:tcBorders>
            <w:hideMark/>
          </w:tcPr>
          <w:p w14:paraId="3E8C0C6B" w14:textId="77777777" w:rsidR="0066174F" w:rsidRPr="000059FF" w:rsidRDefault="0066174F" w:rsidP="00504F58">
            <w:r w:rsidRPr="000059FF">
              <w:t>Link to objective</w:t>
            </w:r>
          </w:p>
        </w:tc>
      </w:tr>
      <w:tr w:rsidR="00D32A34" w:rsidRPr="000059FF" w14:paraId="0457F456"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328DC318" w14:textId="77777777" w:rsidR="0066174F" w:rsidRPr="000059FF" w:rsidRDefault="0066174F" w:rsidP="00504F58">
            <w:r w:rsidRPr="000059FF">
              <w:t>Burden and diagnosis</w:t>
            </w:r>
          </w:p>
        </w:tc>
        <w:tc>
          <w:tcPr>
            <w:tcW w:w="2337" w:type="dxa"/>
            <w:tcBorders>
              <w:top w:val="single" w:sz="4" w:space="0" w:color="auto"/>
              <w:left w:val="single" w:sz="4" w:space="0" w:color="auto"/>
              <w:bottom w:val="single" w:sz="4" w:space="0" w:color="auto"/>
              <w:right w:val="single" w:sz="4" w:space="0" w:color="auto"/>
            </w:tcBorders>
            <w:hideMark/>
          </w:tcPr>
          <w:p w14:paraId="03823242" w14:textId="77777777" w:rsidR="0066174F" w:rsidRPr="000059FF" w:rsidRDefault="0066174F" w:rsidP="00504F58">
            <w:r w:rsidRPr="000059FF">
              <w:t>Ciaccio et al. (2024); Wilcox et al. (2025)</w:t>
            </w:r>
          </w:p>
        </w:tc>
        <w:tc>
          <w:tcPr>
            <w:tcW w:w="2338" w:type="dxa"/>
            <w:tcBorders>
              <w:top w:val="single" w:sz="4" w:space="0" w:color="auto"/>
              <w:left w:val="single" w:sz="4" w:space="0" w:color="auto"/>
              <w:bottom w:val="single" w:sz="4" w:space="0" w:color="auto"/>
              <w:right w:val="single" w:sz="4" w:space="0" w:color="auto"/>
            </w:tcBorders>
            <w:hideMark/>
          </w:tcPr>
          <w:p w14:paraId="34CECCD8" w14:textId="77777777" w:rsidR="0066174F" w:rsidRPr="000059FF" w:rsidRDefault="0066174F" w:rsidP="00504F58">
            <w:r w:rsidRPr="000059FF">
              <w:t>Provides UK service-level burden and diagnostic context; not adolescent-specific.</w:t>
            </w:r>
          </w:p>
        </w:tc>
        <w:tc>
          <w:tcPr>
            <w:tcW w:w="2337" w:type="dxa"/>
            <w:tcBorders>
              <w:top w:val="single" w:sz="4" w:space="0" w:color="auto"/>
              <w:left w:val="single" w:sz="4" w:space="0" w:color="auto"/>
              <w:bottom w:val="single" w:sz="4" w:space="0" w:color="auto"/>
              <w:right w:val="single" w:sz="4" w:space="0" w:color="auto"/>
            </w:tcBorders>
            <w:hideMark/>
          </w:tcPr>
          <w:p w14:paraId="7C953D27" w14:textId="77777777" w:rsidR="0066174F" w:rsidRPr="000059FF" w:rsidRDefault="0066174F" w:rsidP="00504F58">
            <w:r w:rsidRPr="000059FF">
              <w:t>Rates and UK context</w:t>
            </w:r>
          </w:p>
        </w:tc>
      </w:tr>
      <w:tr w:rsidR="00D32A34" w:rsidRPr="000059FF" w14:paraId="62885BC0"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3D4541C3" w14:textId="77777777" w:rsidR="0066174F" w:rsidRPr="000059FF" w:rsidRDefault="0066174F" w:rsidP="00504F58">
            <w:r w:rsidRPr="000059FF">
              <w:t>Patient experience</w:t>
            </w:r>
          </w:p>
        </w:tc>
        <w:tc>
          <w:tcPr>
            <w:tcW w:w="2337" w:type="dxa"/>
            <w:tcBorders>
              <w:top w:val="single" w:sz="4" w:space="0" w:color="auto"/>
              <w:left w:val="single" w:sz="4" w:space="0" w:color="auto"/>
              <w:bottom w:val="single" w:sz="4" w:space="0" w:color="auto"/>
              <w:right w:val="single" w:sz="4" w:space="0" w:color="auto"/>
            </w:tcBorders>
            <w:hideMark/>
          </w:tcPr>
          <w:p w14:paraId="24F8AA5C" w14:textId="77777777" w:rsidR="0066174F" w:rsidRPr="000059FF" w:rsidRDefault="0066174F" w:rsidP="00504F58">
            <w:r w:rsidRPr="000059FF">
              <w:t>Dababneh et al. (2025); Newlands et al. (2026)</w:t>
            </w:r>
          </w:p>
        </w:tc>
        <w:tc>
          <w:tcPr>
            <w:tcW w:w="2338" w:type="dxa"/>
            <w:tcBorders>
              <w:top w:val="single" w:sz="4" w:space="0" w:color="auto"/>
              <w:left w:val="single" w:sz="4" w:space="0" w:color="auto"/>
              <w:bottom w:val="single" w:sz="4" w:space="0" w:color="auto"/>
              <w:right w:val="single" w:sz="4" w:space="0" w:color="auto"/>
            </w:tcBorders>
            <w:hideMark/>
          </w:tcPr>
          <w:p w14:paraId="72AC6110" w14:textId="77777777" w:rsidR="0066174F" w:rsidRPr="000059FF" w:rsidRDefault="0066174F" w:rsidP="00504F58">
            <w:r w:rsidRPr="000059FF">
              <w:t>Provides indirect UK adult evidence on communication, uncertainty and help-seeking.</w:t>
            </w:r>
          </w:p>
        </w:tc>
        <w:tc>
          <w:tcPr>
            <w:tcW w:w="2337" w:type="dxa"/>
            <w:tcBorders>
              <w:top w:val="single" w:sz="4" w:space="0" w:color="auto"/>
              <w:left w:val="single" w:sz="4" w:space="0" w:color="auto"/>
              <w:bottom w:val="single" w:sz="4" w:space="0" w:color="auto"/>
              <w:right w:val="single" w:sz="4" w:space="0" w:color="auto"/>
            </w:tcBorders>
            <w:hideMark/>
          </w:tcPr>
          <w:p w14:paraId="5A149441" w14:textId="77777777" w:rsidR="0066174F" w:rsidRPr="000059FF" w:rsidRDefault="0066174F" w:rsidP="00504F58">
            <w:r w:rsidRPr="000059FF">
              <w:t>Reasons and help-seeking</w:t>
            </w:r>
          </w:p>
        </w:tc>
      </w:tr>
      <w:tr w:rsidR="00D32A34" w:rsidRPr="000059FF" w14:paraId="7732DB05"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2434C24C" w14:textId="77777777" w:rsidR="0066174F" w:rsidRPr="000059FF" w:rsidRDefault="0066174F" w:rsidP="00504F58">
            <w:r w:rsidRPr="000059FF">
              <w:t>Knowledge and prevention</w:t>
            </w:r>
          </w:p>
        </w:tc>
        <w:tc>
          <w:tcPr>
            <w:tcW w:w="2337" w:type="dxa"/>
            <w:tcBorders>
              <w:top w:val="single" w:sz="4" w:space="0" w:color="auto"/>
              <w:left w:val="single" w:sz="4" w:space="0" w:color="auto"/>
              <w:bottom w:val="single" w:sz="4" w:space="0" w:color="auto"/>
              <w:right w:val="single" w:sz="4" w:space="0" w:color="auto"/>
            </w:tcBorders>
            <w:hideMark/>
          </w:tcPr>
          <w:p w14:paraId="170EA684" w14:textId="77777777" w:rsidR="0066174F" w:rsidRPr="000059FF" w:rsidRDefault="0066174F" w:rsidP="00504F58">
            <w:r w:rsidRPr="000059FF">
              <w:t>NHS England Knowledge and Library Services (2023a, 2023b); NHS (2025)</w:t>
            </w:r>
          </w:p>
        </w:tc>
        <w:tc>
          <w:tcPr>
            <w:tcW w:w="2338" w:type="dxa"/>
            <w:tcBorders>
              <w:top w:val="single" w:sz="4" w:space="0" w:color="auto"/>
              <w:left w:val="single" w:sz="4" w:space="0" w:color="auto"/>
              <w:bottom w:val="single" w:sz="4" w:space="0" w:color="auto"/>
              <w:right w:val="single" w:sz="4" w:space="0" w:color="auto"/>
            </w:tcBorders>
            <w:hideMark/>
          </w:tcPr>
          <w:p w14:paraId="2816E5AE" w14:textId="77777777" w:rsidR="0066174F" w:rsidRPr="000059FF" w:rsidRDefault="0066174F" w:rsidP="00504F58">
            <w:r w:rsidRPr="000059FF">
              <w:t>Provides UK health-literacy and prevention-information context, while highlighting the absence of UTI-specific adolescent outcome evidence.</w:t>
            </w:r>
          </w:p>
        </w:tc>
        <w:tc>
          <w:tcPr>
            <w:tcW w:w="2337" w:type="dxa"/>
            <w:tcBorders>
              <w:top w:val="single" w:sz="4" w:space="0" w:color="auto"/>
              <w:left w:val="single" w:sz="4" w:space="0" w:color="auto"/>
              <w:bottom w:val="single" w:sz="4" w:space="0" w:color="auto"/>
              <w:right w:val="single" w:sz="4" w:space="0" w:color="auto"/>
            </w:tcBorders>
            <w:hideMark/>
          </w:tcPr>
          <w:p w14:paraId="117601E1" w14:textId="77777777" w:rsidR="0066174F" w:rsidRPr="000059FF" w:rsidRDefault="0066174F" w:rsidP="00504F58">
            <w:r w:rsidRPr="000059FF">
              <w:t>Awareness and prevention</w:t>
            </w:r>
          </w:p>
        </w:tc>
      </w:tr>
      <w:tr w:rsidR="00D32A34" w:rsidRPr="000059FF" w14:paraId="7CA2E766"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75093730" w14:textId="77777777" w:rsidR="0066174F" w:rsidRPr="000059FF" w:rsidRDefault="0066174F" w:rsidP="00504F58">
            <w:r w:rsidRPr="000059FF">
              <w:t>Antibiotics and AMR</w:t>
            </w:r>
          </w:p>
        </w:tc>
        <w:tc>
          <w:tcPr>
            <w:tcW w:w="2337" w:type="dxa"/>
            <w:tcBorders>
              <w:top w:val="single" w:sz="4" w:space="0" w:color="auto"/>
              <w:left w:val="single" w:sz="4" w:space="0" w:color="auto"/>
              <w:bottom w:val="single" w:sz="4" w:space="0" w:color="auto"/>
              <w:right w:val="single" w:sz="4" w:space="0" w:color="auto"/>
            </w:tcBorders>
            <w:hideMark/>
          </w:tcPr>
          <w:p w14:paraId="7D972DAF" w14:textId="77777777" w:rsidR="0066174F" w:rsidRPr="000059FF" w:rsidRDefault="0066174F" w:rsidP="00504F58">
            <w:r w:rsidRPr="000059FF">
              <w:t>Gadalla et al. (2022); McDonnell et al. (2025)</w:t>
            </w:r>
          </w:p>
        </w:tc>
        <w:tc>
          <w:tcPr>
            <w:tcW w:w="2338" w:type="dxa"/>
            <w:tcBorders>
              <w:top w:val="single" w:sz="4" w:space="0" w:color="auto"/>
              <w:left w:val="single" w:sz="4" w:space="0" w:color="auto"/>
              <w:bottom w:val="single" w:sz="4" w:space="0" w:color="auto"/>
              <w:right w:val="single" w:sz="4" w:space="0" w:color="auto"/>
            </w:tcBorders>
            <w:hideMark/>
          </w:tcPr>
          <w:p w14:paraId="2BC09F84" w14:textId="77777777" w:rsidR="0066174F" w:rsidRPr="000059FF" w:rsidRDefault="0066174F" w:rsidP="00504F58">
            <w:r w:rsidRPr="000059FF">
              <w:t>Provides antimicrobial-prescribing and resistance context relevant to stewardship.</w:t>
            </w:r>
          </w:p>
        </w:tc>
        <w:tc>
          <w:tcPr>
            <w:tcW w:w="2337" w:type="dxa"/>
            <w:tcBorders>
              <w:top w:val="single" w:sz="4" w:space="0" w:color="auto"/>
              <w:left w:val="single" w:sz="4" w:space="0" w:color="auto"/>
              <w:bottom w:val="single" w:sz="4" w:space="0" w:color="auto"/>
              <w:right w:val="single" w:sz="4" w:space="0" w:color="auto"/>
            </w:tcBorders>
            <w:hideMark/>
          </w:tcPr>
          <w:p w14:paraId="17B4580F" w14:textId="77777777" w:rsidR="0066174F" w:rsidRPr="000059FF" w:rsidRDefault="0066174F" w:rsidP="00504F58">
            <w:r w:rsidRPr="000059FF">
              <w:t>AMR and stewardship</w:t>
            </w:r>
          </w:p>
        </w:tc>
      </w:tr>
      <w:tr w:rsidR="00D32A34" w:rsidRPr="000059FF" w14:paraId="77518603"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10943DDA" w14:textId="77777777" w:rsidR="0066174F" w:rsidRPr="000059FF" w:rsidRDefault="0066174F" w:rsidP="00504F58">
            <w:r w:rsidRPr="000059FF">
              <w:t>Theory and behaviour</w:t>
            </w:r>
          </w:p>
        </w:tc>
        <w:tc>
          <w:tcPr>
            <w:tcW w:w="2337" w:type="dxa"/>
            <w:tcBorders>
              <w:top w:val="single" w:sz="4" w:space="0" w:color="auto"/>
              <w:left w:val="single" w:sz="4" w:space="0" w:color="auto"/>
              <w:bottom w:val="single" w:sz="4" w:space="0" w:color="auto"/>
              <w:right w:val="single" w:sz="4" w:space="0" w:color="auto"/>
            </w:tcBorders>
            <w:hideMark/>
          </w:tcPr>
          <w:p w14:paraId="2215892C" w14:textId="77777777" w:rsidR="0066174F" w:rsidRPr="000059FF" w:rsidRDefault="0066174F" w:rsidP="00504F58">
            <w:r w:rsidRPr="000059FF">
              <w:t>Michie, van Stralen and West (2011); Dyson and Cowdell (2021)</w:t>
            </w:r>
          </w:p>
        </w:tc>
        <w:tc>
          <w:tcPr>
            <w:tcW w:w="2338" w:type="dxa"/>
            <w:tcBorders>
              <w:top w:val="single" w:sz="4" w:space="0" w:color="auto"/>
              <w:left w:val="single" w:sz="4" w:space="0" w:color="auto"/>
              <w:bottom w:val="single" w:sz="4" w:space="0" w:color="auto"/>
              <w:right w:val="single" w:sz="4" w:space="0" w:color="auto"/>
            </w:tcBorders>
            <w:hideMark/>
          </w:tcPr>
          <w:p w14:paraId="2F3C2092" w14:textId="77777777" w:rsidR="0066174F" w:rsidRPr="000059FF" w:rsidRDefault="0066174F" w:rsidP="00504F58">
            <w:r w:rsidRPr="000059FF">
              <w:t>Provides established COM-B and TDF structures for interpreting capability, opportunity, motivation and behavioural barriers.</w:t>
            </w:r>
          </w:p>
        </w:tc>
        <w:tc>
          <w:tcPr>
            <w:tcW w:w="2337" w:type="dxa"/>
            <w:tcBorders>
              <w:top w:val="single" w:sz="4" w:space="0" w:color="auto"/>
              <w:left w:val="single" w:sz="4" w:space="0" w:color="auto"/>
              <w:bottom w:val="single" w:sz="4" w:space="0" w:color="auto"/>
              <w:right w:val="single" w:sz="4" w:space="0" w:color="auto"/>
            </w:tcBorders>
            <w:hideMark/>
          </w:tcPr>
          <w:p w14:paraId="30BA54BC" w14:textId="77777777" w:rsidR="0066174F" w:rsidRPr="000059FF" w:rsidRDefault="0066174F" w:rsidP="00504F58">
            <w:r w:rsidRPr="000059FF">
              <w:t>Theoretical framework</w:t>
            </w:r>
          </w:p>
        </w:tc>
      </w:tr>
    </w:tbl>
    <w:p w14:paraId="0D8F1981" w14:textId="77777777" w:rsidR="0066174F" w:rsidRPr="000059FF" w:rsidRDefault="0066174F" w:rsidP="00504F58">
      <w:r w:rsidRPr="000059FF">
        <w:t>Source: Author's synthesis based on the reviewed literature (2026).</w:t>
      </w:r>
    </w:p>
    <w:p w14:paraId="45D21971" w14:textId="77777777" w:rsidR="0066174F" w:rsidRPr="000059FF" w:rsidRDefault="0066174F" w:rsidP="00504F58">
      <w:pPr>
        <w:pStyle w:val="Heading2"/>
      </w:pPr>
      <w:bookmarkStart w:id="36" w:name="_Toc236001833"/>
      <w:bookmarkStart w:id="37" w:name="_Toc239679730"/>
      <w:bookmarkStart w:id="38" w:name="_Toc240927739"/>
      <w:r w:rsidRPr="000059FF">
        <w:t>2.4 Knowledge, Awareness and Preventive Behaviour</w:t>
      </w:r>
      <w:bookmarkEnd w:id="36"/>
      <w:bookmarkEnd w:id="37"/>
      <w:bookmarkEnd w:id="38"/>
    </w:p>
    <w:p w14:paraId="2826EB01" w14:textId="77777777" w:rsidR="0066174F" w:rsidRPr="000059FF" w:rsidRDefault="0066174F" w:rsidP="00504F58">
      <w:pPr>
        <w:pStyle w:val="Heading3"/>
      </w:pPr>
      <w:bookmarkStart w:id="39" w:name="_Toc236001834"/>
      <w:bookmarkStart w:id="40" w:name="_Toc239679731"/>
      <w:bookmarkStart w:id="41" w:name="_Toc240927740"/>
      <w:bookmarkEnd w:id="39"/>
      <w:r w:rsidRPr="000059FF">
        <w:t>2.4.1 UTI knowledge and symptom awareness among adolescents</w:t>
      </w:r>
      <w:bookmarkEnd w:id="40"/>
      <w:bookmarkEnd w:id="41"/>
    </w:p>
    <w:p w14:paraId="78124EDD" w14:textId="77777777" w:rsidR="0066174F" w:rsidRPr="000059FF" w:rsidRDefault="00BC68EC" w:rsidP="00504F58">
      <w:r w:rsidRPr="000059FF">
        <w:t>Adolescent UTI prevention relies on knowledge and awareness, with the young person needing to be aware of symptoms, modifiable risk factors, and when self-care is not enough. A scoping search was conducted to inform this chapter, which failed to locate any strong UK study that quantified knowledge of and preventive practice for UTI specifically amongst adolescent children aged 10–19 years. However, there is current evidence from the UK that would enable adolescents to understand the content of the NHS prevention advice that includes hydration, toileting and genital care, and there are age-specific diagnostic and management pathways available from NICE for adolescents under 16 (NHS, 2025; NICE, 2022). The skills needed to access, evaluate and utilise good quality health information are emphasised by NHS health-literacy work (NHS England Knowledge and Library Services, 2023b). This reflects the dissertation's emphasis on information and evidence that is available but not known about adolescents.</w:t>
      </w:r>
    </w:p>
    <w:p w14:paraId="71687BC1" w14:textId="77777777" w:rsidR="0066174F" w:rsidRPr="000059FF" w:rsidRDefault="0066174F" w:rsidP="00504F58">
      <w:pPr>
        <w:pStyle w:val="Heading3"/>
      </w:pPr>
      <w:bookmarkStart w:id="42" w:name="_Toc236001835"/>
      <w:bookmarkStart w:id="43" w:name="_Toc239679732"/>
      <w:bookmarkStart w:id="44" w:name="_Toc240927741"/>
      <w:r w:rsidRPr="000059FF">
        <w:t>2.4.2 Health literacy, self-efficacy and translation into action</w:t>
      </w:r>
      <w:bookmarkEnd w:id="42"/>
      <w:bookmarkEnd w:id="43"/>
      <w:bookmarkEnd w:id="44"/>
    </w:p>
    <w:p w14:paraId="50608489" w14:textId="77777777" w:rsidR="0066174F" w:rsidRPr="000059FF" w:rsidRDefault="00841B1B" w:rsidP="00504F58">
      <w:r w:rsidRPr="000059FF">
        <w:t>Understanding the relationship between awareness and preventive action can help with understanding health literacy and self-efficacy. NHS England's health-literacy work outlines the three priorities for supporting patients to access, evaluate and engage with health information and make decisions about their health; and youth-specific pilots have shown that health-literacy skills can be enhanced through co-design, outreach and accessible resources (NHS England Knowledge and Library Services, 2023a; NHS England Knowledge and Library Services, 2023b). Adolescence is also a period of development in which the skills of decision-making and autonomy are still developing (WHO, 2024). The review thus employs the concepts of health literacy and confidence as explanatory mechanisms but does not assume that the findings of adult UTI studies necessarily apply to UK adolescents.</w:t>
      </w:r>
    </w:p>
    <w:p w14:paraId="21C96B7D" w14:textId="77777777" w:rsidR="0066174F" w:rsidRPr="000059FF" w:rsidRDefault="0066174F" w:rsidP="00504F58">
      <w:pPr>
        <w:pStyle w:val="Heading3"/>
      </w:pPr>
      <w:bookmarkStart w:id="45" w:name="_Toc236001836"/>
      <w:bookmarkStart w:id="46" w:name="_Toc239679733"/>
      <w:bookmarkStart w:id="47" w:name="_Toc240927742"/>
      <w:r w:rsidRPr="000059FF">
        <w:t>2.4.3 Specific prevention practices and communication needs</w:t>
      </w:r>
      <w:bookmarkEnd w:id="45"/>
      <w:bookmarkEnd w:id="46"/>
      <w:bookmarkEnd w:id="47"/>
    </w:p>
    <w:p w14:paraId="472D6D95" w14:textId="6BA68B6A" w:rsidR="0066174F" w:rsidRPr="000059FF" w:rsidRDefault="00841B1B" w:rsidP="00504F58">
      <w:r w:rsidRPr="000059FF">
        <w:t>Adolescent prevention messages should be specific, age-appropriate and congruent with UK guidance</w:t>
      </w:r>
      <w:r w:rsidR="00A25DB4">
        <w:t xml:space="preserve"> (Salerno et al., 2025; Raeside et al., 2022)</w:t>
      </w:r>
      <w:r w:rsidRPr="000059FF">
        <w:t>. The NHS recommends drinking plenty of water, emptying the bladder regularly, wiping front to back, maintaining a clean and dry genital area and, if applicable, urinating after sexual intercourse (NHS, 2025). NICE offers specific guidance for diagnosis and management of children and young people aged under 16</w:t>
      </w:r>
      <w:r w:rsidR="004E1BA9">
        <w:t xml:space="preserve"> </w:t>
      </w:r>
      <w:r w:rsidR="004E1BA9" w:rsidRPr="004E1BA9">
        <w:t>(Okarska-Napierała et al., 2017; Chua et al., 2018)</w:t>
      </w:r>
      <w:r w:rsidRPr="000059FF">
        <w:t>, and the UKHSA primary-care diagnostic resource should redirect children and young people to the NICE pathway, rather than using adult tools on them (NICE, 2022; UK Health Security Agency and NHS England, 2025). These sources both facilitate effective age-specific communication and affirm the need for continued prevention education to go hand-in-hand with, rather than replace, proper clinical screening.</w:t>
      </w:r>
    </w:p>
    <w:p w14:paraId="34D1B86F" w14:textId="77777777" w:rsidR="0066174F" w:rsidRPr="000059FF" w:rsidRDefault="0066174F" w:rsidP="00504F58">
      <w:pPr>
        <w:pStyle w:val="Heading2"/>
      </w:pPr>
      <w:bookmarkStart w:id="48" w:name="_Toc236001837"/>
      <w:bookmarkStart w:id="49" w:name="_Toc239679734"/>
      <w:bookmarkStart w:id="50" w:name="_Toc240927743"/>
      <w:r w:rsidRPr="000059FF">
        <w:t>2.5 Healthcare-Seeking, Patient Experience and Communication</w:t>
      </w:r>
      <w:bookmarkEnd w:id="48"/>
      <w:bookmarkEnd w:id="49"/>
      <w:bookmarkEnd w:id="50"/>
    </w:p>
    <w:p w14:paraId="6C9D42DA" w14:textId="77777777" w:rsidR="0066174F" w:rsidRPr="000059FF" w:rsidRDefault="0066174F" w:rsidP="00504F58">
      <w:pPr>
        <w:pStyle w:val="Heading3"/>
      </w:pPr>
      <w:bookmarkStart w:id="51" w:name="_Toc236001838"/>
      <w:bookmarkStart w:id="52" w:name="_Toc239679735"/>
      <w:bookmarkStart w:id="53" w:name="_Toc240927744"/>
      <w:r w:rsidRPr="000059FF">
        <w:t>2.5.1 Access, symptom interpretation and care pathways</w:t>
      </w:r>
      <w:bookmarkEnd w:id="51"/>
      <w:bookmarkEnd w:id="52"/>
      <w:bookmarkEnd w:id="53"/>
    </w:p>
    <w:p w14:paraId="681A9ECD" w14:textId="7AE54AE2" w:rsidR="0066174F" w:rsidRPr="000059FF" w:rsidRDefault="00D2199B" w:rsidP="00504F58">
      <w:r w:rsidRPr="000059FF">
        <w:t>Interpretation of symptoms, age, confidentiality, family/carer involvement and knowledge of services are important factors in influencing the health-seeking behaviours of adolescents</w:t>
      </w:r>
      <w:r w:rsidR="00E7052A">
        <w:t xml:space="preserve"> (Schapiro and Mejia, 2018; Sobode et al., 2024)</w:t>
      </w:r>
      <w:r w:rsidRPr="000059FF">
        <w:t xml:space="preserve">. The NHS recommends that </w:t>
      </w:r>
      <w:r w:rsidR="002B2468" w:rsidRPr="000059FF">
        <w:t xml:space="preserve">children aged 15 years or younger </w:t>
      </w:r>
      <w:r w:rsidRPr="000059FF">
        <w:t>should be seen by a GP or NHS 111 as soon as possible if a UTI is suspected, while in the UK, women and girls aged 16–64 can be directed from NHS to community pharmacy pathways for uncomplicated UTI (NHS, 2025). NICE also has a separate diagnostic and management pathway for under-16s (NICE, 2022). The place and timing of getting help are age-dependent, and awareness of these factors is a critical component to adolescent UTI prevention.</w:t>
      </w:r>
    </w:p>
    <w:p w14:paraId="604B172E" w14:textId="77777777" w:rsidR="0066174F" w:rsidRPr="000059FF" w:rsidRDefault="0066174F" w:rsidP="00504F58">
      <w:pPr>
        <w:pStyle w:val="Heading3"/>
      </w:pPr>
      <w:bookmarkStart w:id="54" w:name="_Toc236001839"/>
      <w:bookmarkStart w:id="55" w:name="_Toc239679736"/>
      <w:bookmarkStart w:id="56" w:name="_Toc240927745"/>
      <w:r w:rsidRPr="000059FF">
        <w:t>2.5.2 Patient experience, trust and communication quality</w:t>
      </w:r>
      <w:bookmarkEnd w:id="54"/>
      <w:bookmarkEnd w:id="55"/>
      <w:bookmarkEnd w:id="56"/>
    </w:p>
    <w:p w14:paraId="3BC53174" w14:textId="52AF41E7" w:rsidR="0066174F" w:rsidRPr="000059FF" w:rsidRDefault="00D2199B" w:rsidP="00504F58">
      <w:r w:rsidRPr="000059FF">
        <w:t>The evidence base for the potential impact of communication quality, validation and shared decision-making on UTI healthcare experiences is adult-focused due to recent UK qualitative studies. In England, Dababneh et al. (2025) were interested in women's experience of assessment and management for UTIs, and in the UK, Newlands et al. (2026) analysed recurrent UTI health care experiences of 26 women using the Theoretical Domains Framework. These findings are considered only indirect evidence in adolescents. They inform research for adolescents in the future, with respect to communication and service aspects that should be investigated, such as explanations that are understandable, communication that is taken seriously, continuity, and shared and joint decisions</w:t>
      </w:r>
      <w:r w:rsidR="00FC662F">
        <w:t xml:space="preserve"> (Jordan et al., 2018; Bjønness et al., 2020)</w:t>
      </w:r>
      <w:r w:rsidRPr="000059FF">
        <w:t>.</w:t>
      </w:r>
    </w:p>
    <w:p w14:paraId="1706FEA4" w14:textId="77777777" w:rsidR="0066174F" w:rsidRPr="000059FF" w:rsidRDefault="0066174F" w:rsidP="00504F58">
      <w:pPr>
        <w:pStyle w:val="Heading3"/>
      </w:pPr>
      <w:bookmarkStart w:id="57" w:name="_Toc236001840"/>
      <w:bookmarkStart w:id="58" w:name="_Toc239679737"/>
      <w:bookmarkStart w:id="59" w:name="_Toc240927746"/>
      <w:r w:rsidRPr="000059FF">
        <w:t>2.5.3 Professional decision-making and consistency of advice</w:t>
      </w:r>
      <w:bookmarkEnd w:id="57"/>
      <w:bookmarkEnd w:id="58"/>
      <w:bookmarkEnd w:id="59"/>
    </w:p>
    <w:p w14:paraId="0263A8B5" w14:textId="77777777" w:rsidR="0066174F" w:rsidRPr="000059FF" w:rsidRDefault="00D2199B" w:rsidP="00504F58">
      <w:r w:rsidRPr="000059FF">
        <w:t>Symptom evaluation, uncertainty regarding the diagnosis, and antimicrobial stewardship all need to be considered in making an informed professional choice. There have been previous UK primary-care research studies on the diagnosis and management of UTIs, and the most recent UKHSA quick-reference resource is intended to help improve the accurate diagnosis and use of antibiotics, and to make sure children and young people are directed to NICE guidance on the topic (Cooper et al., 2020; UK Health Security Agency and NHS England, 2025). For adolescents, age will be a consideration as there is a child/young person and an adult lower UTI specialist pathway in UK guidance (NICE, 2022; NICE, 2018). Routes to care should therefore be clear for public-facing information to be age-appropriate.</w:t>
      </w:r>
    </w:p>
    <w:p w14:paraId="444BD409" w14:textId="77777777" w:rsidR="0066174F" w:rsidRPr="000059FF" w:rsidRDefault="0066174F" w:rsidP="00504F58">
      <w:pPr>
        <w:pStyle w:val="Heading2"/>
      </w:pPr>
      <w:bookmarkStart w:id="60" w:name="_Toc236001841"/>
      <w:bookmarkStart w:id="61" w:name="_Toc239679738"/>
      <w:bookmarkStart w:id="62" w:name="_Toc240927747"/>
      <w:r w:rsidRPr="000059FF">
        <w:t>2.6 Antibiotic Use, Recurrent UTI and AMR</w:t>
      </w:r>
      <w:bookmarkEnd w:id="60"/>
      <w:bookmarkEnd w:id="61"/>
      <w:bookmarkEnd w:id="62"/>
    </w:p>
    <w:p w14:paraId="2C124486" w14:textId="77777777" w:rsidR="0066174F" w:rsidRPr="000059FF" w:rsidRDefault="0066174F" w:rsidP="00504F58">
      <w:pPr>
        <w:pStyle w:val="Heading3"/>
      </w:pPr>
      <w:bookmarkStart w:id="63" w:name="_Toc236001842"/>
      <w:bookmarkStart w:id="64" w:name="_Toc239679739"/>
      <w:bookmarkStart w:id="65" w:name="_Toc240927748"/>
      <w:r w:rsidRPr="000059FF">
        <w:t>2.6.1 Antibiotic treatment and stewardship concerns</w:t>
      </w:r>
      <w:bookmarkEnd w:id="63"/>
      <w:bookmarkEnd w:id="64"/>
      <w:bookmarkEnd w:id="65"/>
    </w:p>
    <w:p w14:paraId="53DB9EB2" w14:textId="24F716FA" w:rsidR="0066174F" w:rsidRPr="000059FF" w:rsidRDefault="009420BC" w:rsidP="00504F58">
      <w:r w:rsidRPr="000059FF">
        <w:t>Treatment for UTIs is generally antibiotics, but being mindful of antimicrobial stewardship is key, as unnecessary or repeated use can all lead to development of resistance (Gadalla et al., 2022; UK Health Security Agency, 2026). NICE makes recommendations for lower UTI antibiotic treatment for children and young people under 16 years old, and NICE also makes recommendations for the treatment of people aged 16 years and over (NICE, 2018; NICE, 2022). Timely use of health care services, therefore, should be encouraged in addition to an understanding of responsible attitudes toward antibiotics in adolescent education, not routine self-medication or non-use of pharmacologic interventions that are indicated</w:t>
      </w:r>
      <w:r w:rsidR="00FA5458">
        <w:t xml:space="preserve"> (Kurotschka et al., 2024; Agrawal et al., 2024)</w:t>
      </w:r>
      <w:r w:rsidRPr="000059FF">
        <w:t>.</w:t>
      </w:r>
    </w:p>
    <w:p w14:paraId="2B640096" w14:textId="77777777" w:rsidR="0066174F" w:rsidRPr="000059FF" w:rsidRDefault="0066174F" w:rsidP="00504F58">
      <w:pPr>
        <w:pStyle w:val="Heading3"/>
      </w:pPr>
      <w:bookmarkStart w:id="66" w:name="_Toc236001843"/>
      <w:bookmarkStart w:id="67" w:name="_Toc239679740"/>
      <w:bookmarkStart w:id="68" w:name="_Toc240927749"/>
      <w:r w:rsidRPr="000059FF">
        <w:t>2.6.2 AMR, primary care and recurrent UTI</w:t>
      </w:r>
      <w:bookmarkEnd w:id="66"/>
      <w:bookmarkEnd w:id="67"/>
      <w:bookmarkEnd w:id="68"/>
    </w:p>
    <w:p w14:paraId="36773FE0" w14:textId="0922D12F" w:rsidR="0066174F" w:rsidRPr="000059FF" w:rsidRDefault="009420BC" w:rsidP="00504F58">
      <w:r w:rsidRPr="000059FF">
        <w:t>The issue of antimicrobial resistance is a significant public-health issue in the UK (UK Government, 2024). From the English evidence, primary-care stewardship interventions can impact antimicrobial resistance in E. coli bacteraemia (Aliabadi et al., 2021). In Scotland, previous community antimicrobial prescribing for UTI was found to be linked to antimicrobial resistance in subsequent E. coli bacteraemia (McCowan et al., 2022). However, a recent ecological study of 13 urban communities found no significant link between ‘any antibiotic’ prescribing and area-level resistance of UTI pathogens; in some cases, prescribing–resistance relationships are not as straightforward as they may appear (McDonnell et al., 2025). A secondary stewardship challenge is the use of recurrent-UTI (rUTI) prophylaxis</w:t>
      </w:r>
      <w:r w:rsidR="00010710">
        <w:t xml:space="preserve"> (Bakhit et al., 2021; Kale and Somani, 2023)</w:t>
      </w:r>
      <w:r w:rsidRPr="000059FF">
        <w:t>, but the evidence is limited and largely comes from adults and cannot be generalised to adolescents without further study (Harding et al., 2022; Sanyaolu et al., 2026</w:t>
      </w:r>
      <w:r w:rsidR="00A87728">
        <w:t>; Mavi et al., 2024; Alhazmi et al., 2026</w:t>
      </w:r>
      <w:r w:rsidRPr="000059FF">
        <w:t>).</w:t>
      </w:r>
    </w:p>
    <w:p w14:paraId="17DA55DC" w14:textId="77777777" w:rsidR="0066174F" w:rsidRPr="000059FF" w:rsidRDefault="0066174F" w:rsidP="00504F58">
      <w:pPr>
        <w:pStyle w:val="Heading3"/>
      </w:pPr>
      <w:bookmarkStart w:id="69" w:name="_Toc236001844"/>
      <w:bookmarkStart w:id="70" w:name="_Toc239679741"/>
      <w:bookmarkStart w:id="71" w:name="_Toc240927750"/>
      <w:r w:rsidRPr="000059FF">
        <w:t>2.6.3 Alternatives, diagnostic uncertainty and prevention relevance</w:t>
      </w:r>
      <w:bookmarkEnd w:id="69"/>
      <w:bookmarkEnd w:id="70"/>
      <w:bookmarkEnd w:id="71"/>
    </w:p>
    <w:p w14:paraId="2E1C9876" w14:textId="74708908" w:rsidR="0066174F" w:rsidRPr="000059FF" w:rsidRDefault="00616903" w:rsidP="00504F58">
      <w:r w:rsidRPr="000059FF">
        <w:t>Most of the evidence regarding recurrent-UTI prophylaxis and the non-antibiotic alternative is in adults, not in adolescents</w:t>
      </w:r>
      <w:r w:rsidR="006449B1">
        <w:t xml:space="preserve"> (Hayward et al., 2024; Williams et al., 2023)</w:t>
      </w:r>
      <w:r w:rsidRPr="000059FF">
        <w:t>. Methenamine hippurate was observed to be a potential alternative to antibiotic prophylaxis in the UK ALTAR trial for women with recurrent UTI (</w:t>
      </w:r>
      <w:r w:rsidR="00F7435A" w:rsidRPr="000059FF">
        <w:t>Harding et al., 2022</w:t>
      </w:r>
      <w:r w:rsidR="006C4256">
        <w:t xml:space="preserve">; </w:t>
      </w:r>
      <w:r w:rsidR="00871E5B">
        <w:t>Davidson et al., 2024; Munir et al., 2026</w:t>
      </w:r>
      <w:r w:rsidRPr="000059FF">
        <w:t>), and recent research into the resistance implications of preventive antibiotic use (Harding et al., 2022; Sanyaolu et al., 2026) has been conducted in the SAIL Databank. These studies are useful for the stewardship conversation and are tangential to adolescents aged 10 to 19 years old. A more relevant issue for adolescents is how likely they are to know signs, care and understand how to prevent health issues.</w:t>
      </w:r>
    </w:p>
    <w:p w14:paraId="1A11C1E8" w14:textId="77777777" w:rsidR="0066174F" w:rsidRPr="000059FF" w:rsidRDefault="0066174F" w:rsidP="00504F58">
      <w:pPr>
        <w:pStyle w:val="Heading2"/>
      </w:pPr>
      <w:bookmarkStart w:id="72" w:name="_Toc236001845"/>
      <w:bookmarkStart w:id="73" w:name="_Toc239679742"/>
      <w:bookmarkStart w:id="74" w:name="_Toc240927751"/>
      <w:r w:rsidRPr="000059FF">
        <w:t>2.7 Theoretical Framework</w:t>
      </w:r>
      <w:bookmarkEnd w:id="72"/>
      <w:bookmarkEnd w:id="73"/>
      <w:bookmarkEnd w:id="74"/>
    </w:p>
    <w:p w14:paraId="3648AF5C" w14:textId="77777777" w:rsidR="0066174F" w:rsidRPr="000059FF" w:rsidRDefault="002B1BDA" w:rsidP="00504F58">
      <w:r w:rsidRPr="000059FF">
        <w:t>This dissertation uses five complementary theoretical perspectives: health literacy, self-efficacy, Orem’s self-care theory, COM-B and the Theoretical Domains Framework (TDF). They serve as interpretive tools, as abnormal or inadequate knowledge, self-efficacy, opportunities to receive advice, services and/or barriers to behaviour in the social or physical environment can be a factor in adolescent UTI prevention. Adolescence occurs when a youth's decision-making capacity and autonomy are developing, and COM-B conceptualises behaviour as being reliant on capability, opportunity and motivation (Michie, van Stralen and West, 2011; WHO, 2024). The theories are used to organise and interpret evidence, but they are not used to prove adolescent UTI behaviour.</w:t>
      </w:r>
    </w:p>
    <w:p w14:paraId="1D7C1A3D" w14:textId="77777777" w:rsidR="0066174F" w:rsidRPr="000059FF" w:rsidRDefault="0066174F" w:rsidP="00504F58">
      <w:pPr>
        <w:pStyle w:val="Heading3"/>
      </w:pPr>
      <w:bookmarkStart w:id="75" w:name="_Toc236001846"/>
      <w:bookmarkStart w:id="76" w:name="_Toc239679743"/>
      <w:bookmarkStart w:id="77" w:name="_Toc240927752"/>
      <w:r w:rsidRPr="000059FF">
        <w:t>2.7.1 Health Literacy Theory</w:t>
      </w:r>
      <w:bookmarkEnd w:id="75"/>
      <w:bookmarkEnd w:id="76"/>
      <w:bookmarkEnd w:id="77"/>
    </w:p>
    <w:p w14:paraId="3D076A61" w14:textId="2C1E834D" w:rsidR="0066174F" w:rsidRPr="000059FF" w:rsidRDefault="005A101B" w:rsidP="00504F58">
      <w:r w:rsidRPr="000059FF">
        <w:t>The relevance of health literacy is that adolescents should get, comprehend and apply information related to UTI symptoms, risk factors, prevention, help-seeking and others. NHS England Knowledge and Library Services has highlighted access to high-quality health information and the skills required to access, assess and use it, whether in secondary or tertiary care or in the community for example, schools and pharmacies (NHS England Knowledge and Library Services, 2023b). The adolescent application also needs to be linguistically appropriate for adolescents and to focus on developing autonomy and decision-making skills (WHO</w:t>
      </w:r>
      <w:r w:rsidR="006804CD">
        <w:t>,</w:t>
      </w:r>
      <w:r w:rsidRPr="000059FF">
        <w:t xml:space="preserve"> 2024).</w:t>
      </w:r>
    </w:p>
    <w:p w14:paraId="6088EB5F" w14:textId="77777777" w:rsidR="0066174F" w:rsidRPr="000059FF" w:rsidRDefault="00143FC7" w:rsidP="00504F58">
      <w:pPr>
        <w:jc w:val="center"/>
      </w:pPr>
      <w:r w:rsidRPr="000059FF">
        <w:rPr>
          <w:noProof/>
        </w:rPr>
        <w:drawing>
          <wp:inline distT="0" distB="0" distL="0" distR="0" wp14:anchorId="0BECD2FF" wp14:editId="17673803">
            <wp:extent cx="2785427" cy="3713903"/>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96472" cy="3728630"/>
                    </a:xfrm>
                    <a:prstGeom prst="rect">
                      <a:avLst/>
                    </a:prstGeom>
                    <a:noFill/>
                  </pic:spPr>
                </pic:pic>
              </a:graphicData>
            </a:graphic>
          </wp:inline>
        </w:drawing>
      </w:r>
    </w:p>
    <w:p w14:paraId="7FBA7712" w14:textId="77777777" w:rsidR="0066174F" w:rsidRPr="000059FF" w:rsidRDefault="0066174F" w:rsidP="00504F58">
      <w:pPr>
        <w:jc w:val="center"/>
        <w:rPr>
          <w:iCs/>
          <w:sz w:val="20"/>
          <w:szCs w:val="16"/>
        </w:rPr>
      </w:pPr>
      <w:r w:rsidRPr="000059FF">
        <w:rPr>
          <w:sz w:val="20"/>
          <w:szCs w:val="18"/>
        </w:rPr>
        <w:t>Figure 2.1: Health Literacy Framework for UTI Knowledge and Prevention among Adolescents</w:t>
      </w:r>
    </w:p>
    <w:p w14:paraId="2F76EC65" w14:textId="77777777" w:rsidR="0066174F" w:rsidRPr="000059FF" w:rsidRDefault="0066174F" w:rsidP="00504F58">
      <w:pPr>
        <w:jc w:val="center"/>
        <w:rPr>
          <w:iCs/>
          <w:sz w:val="20"/>
          <w:szCs w:val="16"/>
        </w:rPr>
      </w:pPr>
      <w:r w:rsidRPr="000059FF">
        <w:rPr>
          <w:sz w:val="20"/>
          <w:szCs w:val="18"/>
        </w:rPr>
        <w:t>Source: Author-developed from WHO (2024) and NHS England Knowledge and Library Services (2023b).</w:t>
      </w:r>
    </w:p>
    <w:p w14:paraId="0057A61A" w14:textId="77777777" w:rsidR="0066174F" w:rsidRPr="000059FF" w:rsidRDefault="0066174F" w:rsidP="00504F58">
      <w:pPr>
        <w:pStyle w:val="Heading3"/>
      </w:pPr>
      <w:bookmarkStart w:id="78" w:name="_Toc236001847"/>
      <w:bookmarkStart w:id="79" w:name="_Toc239679744"/>
      <w:bookmarkStart w:id="80" w:name="_Toc240927753"/>
      <w:r w:rsidRPr="000059FF">
        <w:t>2.7.2 Self-Efficacy Theory</w:t>
      </w:r>
      <w:bookmarkEnd w:id="78"/>
      <w:bookmarkEnd w:id="79"/>
      <w:bookmarkEnd w:id="80"/>
    </w:p>
    <w:p w14:paraId="3D8BEAE5" w14:textId="77777777" w:rsidR="0066174F" w:rsidRPr="000059FF" w:rsidRDefault="000F77F2" w:rsidP="00504F58">
      <w:r w:rsidRPr="000059FF">
        <w:t>Here, self-efficacy is defined as confidence in taking preventive action and getting the right help. Edutainment, knowledge about hydration, hygiene or symptom red flags may not be sufficient for adolescents to take action if they are uncomfortable or embarrassed about services, have limited confidence in their abilities or may be unsure about what to do. Health-literacy programmes within the NHS are specifically designed to provide tools and confidence for citizens to access, evaluate and apply trusted health information, and pilots with young people focused on young people have successfully been undertaken using co-designed approaches (NHS England Knowledge and Library Services, 2023a; NHS England Knowledge and Library Services, 2023b). The framework is thus used as an interpretive device as opposed to being something that has previously been measured in adolescents in the United Kingdom with UTI.</w:t>
      </w:r>
    </w:p>
    <w:p w14:paraId="3BBF168E" w14:textId="77777777" w:rsidR="0066174F" w:rsidRPr="000059FF" w:rsidRDefault="00143FC7" w:rsidP="00504F58">
      <w:pPr>
        <w:jc w:val="center"/>
      </w:pPr>
      <w:r w:rsidRPr="000059FF">
        <w:rPr>
          <w:noProof/>
        </w:rPr>
        <w:drawing>
          <wp:inline distT="0" distB="0" distL="0" distR="0" wp14:anchorId="6DDC877B" wp14:editId="404662F5">
            <wp:extent cx="2722841" cy="3402337"/>
            <wp:effectExtent l="0" t="0" r="190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35738" cy="3418452"/>
                    </a:xfrm>
                    <a:prstGeom prst="rect">
                      <a:avLst/>
                    </a:prstGeom>
                    <a:noFill/>
                  </pic:spPr>
                </pic:pic>
              </a:graphicData>
            </a:graphic>
          </wp:inline>
        </w:drawing>
      </w:r>
    </w:p>
    <w:p w14:paraId="2CD112C3" w14:textId="77777777" w:rsidR="0066174F" w:rsidRPr="000059FF" w:rsidRDefault="0066174F" w:rsidP="00504F58">
      <w:pPr>
        <w:jc w:val="center"/>
        <w:rPr>
          <w:iCs/>
          <w:sz w:val="20"/>
          <w:szCs w:val="16"/>
        </w:rPr>
      </w:pPr>
      <w:r w:rsidRPr="000059FF">
        <w:rPr>
          <w:sz w:val="20"/>
          <w:szCs w:val="18"/>
        </w:rPr>
        <w:t>Figure 2.2: Self-Efficacy Framework for UTI Preventive Behaviour and Help-Seeking among Adolescents</w:t>
      </w:r>
    </w:p>
    <w:p w14:paraId="6BC9A020" w14:textId="77777777" w:rsidR="0066174F" w:rsidRPr="000059FF" w:rsidRDefault="0066174F" w:rsidP="00504F58">
      <w:pPr>
        <w:jc w:val="center"/>
        <w:rPr>
          <w:iCs/>
          <w:sz w:val="20"/>
          <w:szCs w:val="16"/>
        </w:rPr>
      </w:pPr>
      <w:r w:rsidRPr="000059FF">
        <w:rPr>
          <w:sz w:val="20"/>
          <w:szCs w:val="18"/>
        </w:rPr>
        <w:t>Source: Author-developed application informed by WHO (2024) and NHS England Knowledge and Library Services (2023a, 2023b).</w:t>
      </w:r>
    </w:p>
    <w:p w14:paraId="3110CAEF" w14:textId="77777777" w:rsidR="0066174F" w:rsidRPr="000059FF" w:rsidRDefault="0066174F" w:rsidP="00504F58">
      <w:pPr>
        <w:pStyle w:val="Heading3"/>
      </w:pPr>
      <w:bookmarkStart w:id="81" w:name="_Toc236001848"/>
      <w:bookmarkStart w:id="82" w:name="_Toc239679745"/>
      <w:bookmarkStart w:id="83" w:name="_Toc240927754"/>
      <w:r w:rsidRPr="000059FF">
        <w:t>2.7.3 Orem’s Self-Care Theory</w:t>
      </w:r>
      <w:bookmarkEnd w:id="81"/>
      <w:bookmarkEnd w:id="82"/>
      <w:bookmarkEnd w:id="83"/>
    </w:p>
    <w:p w14:paraId="6C460E76" w14:textId="77777777" w:rsidR="0066174F" w:rsidRPr="000059FF" w:rsidRDefault="00521AF5" w:rsidP="00504F58">
      <w:r w:rsidRPr="000059FF">
        <w:t>Orem's self-care theory is applicable, as many self-care behaviours that prevent UTIs are routine self-care such as drinking enough fluids, voiding regularly, personal hygiene, monitoring symptoms and adhering to healthcare recommendations. These behaviours are gradually taken over by adolescents, but younger adolescents may still depend on parents or carers for access to care and health information (WHO, 2024; NHS, 2025). The framework is thus employed to understand what knowledge and support for safe self-care might look like, and shouldn't be seen to mean that adolescents should manage with a suspected infection on their own without professional advice.</w:t>
      </w:r>
    </w:p>
    <w:p w14:paraId="56A5A453" w14:textId="77777777" w:rsidR="0066174F" w:rsidRPr="000059FF" w:rsidRDefault="00547FB5" w:rsidP="00504F58">
      <w:pPr>
        <w:jc w:val="center"/>
        <w:rPr>
          <w:i/>
          <w:iCs/>
          <w:sz w:val="20"/>
          <w:szCs w:val="18"/>
        </w:rPr>
      </w:pPr>
      <w:r w:rsidRPr="000059FF">
        <w:rPr>
          <w:i/>
          <w:iCs/>
          <w:noProof/>
          <w:sz w:val="20"/>
          <w:szCs w:val="18"/>
        </w:rPr>
        <w:drawing>
          <wp:inline distT="0" distB="0" distL="0" distR="0" wp14:anchorId="674F32C9" wp14:editId="645C246E">
            <wp:extent cx="2948098" cy="3683808"/>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60176" cy="3698900"/>
                    </a:xfrm>
                    <a:prstGeom prst="rect">
                      <a:avLst/>
                    </a:prstGeom>
                    <a:noFill/>
                  </pic:spPr>
                </pic:pic>
              </a:graphicData>
            </a:graphic>
          </wp:inline>
        </w:drawing>
      </w:r>
    </w:p>
    <w:p w14:paraId="2B9DEDE1" w14:textId="77777777" w:rsidR="0066174F" w:rsidRPr="000059FF" w:rsidRDefault="0066174F" w:rsidP="00504F58">
      <w:pPr>
        <w:jc w:val="center"/>
        <w:rPr>
          <w:i/>
          <w:iCs/>
          <w:sz w:val="18"/>
          <w:szCs w:val="16"/>
        </w:rPr>
      </w:pPr>
      <w:r w:rsidRPr="000059FF">
        <w:rPr>
          <w:i/>
          <w:iCs/>
          <w:sz w:val="20"/>
          <w:szCs w:val="18"/>
        </w:rPr>
        <w:t>Figure 2.3: Orem’s Self-Care Framework for UTI Risk Management among Adolescents</w:t>
      </w:r>
    </w:p>
    <w:p w14:paraId="64BB8F87" w14:textId="77777777" w:rsidR="0066174F" w:rsidRPr="000059FF" w:rsidRDefault="0066174F" w:rsidP="00504F58">
      <w:pPr>
        <w:jc w:val="center"/>
        <w:rPr>
          <w:i/>
          <w:iCs/>
          <w:sz w:val="20"/>
          <w:szCs w:val="16"/>
        </w:rPr>
      </w:pPr>
      <w:r w:rsidRPr="000059FF">
        <w:rPr>
          <w:i/>
          <w:iCs/>
          <w:sz w:val="20"/>
          <w:szCs w:val="18"/>
        </w:rPr>
        <w:t>Source: Adapted from Hartweg and Metcalfe (2022).</w:t>
      </w:r>
    </w:p>
    <w:p w14:paraId="0A7E1021" w14:textId="77777777" w:rsidR="0066174F" w:rsidRPr="000059FF" w:rsidRDefault="0066174F" w:rsidP="00504F58">
      <w:pPr>
        <w:pStyle w:val="Heading3"/>
      </w:pPr>
      <w:bookmarkStart w:id="84" w:name="_Toc236001849"/>
      <w:bookmarkStart w:id="85" w:name="_Toc239679746"/>
      <w:bookmarkStart w:id="86" w:name="_Toc240927755"/>
      <w:r w:rsidRPr="000059FF">
        <w:t>2.7.4 COM-B Model</w:t>
      </w:r>
      <w:bookmarkEnd w:id="84"/>
      <w:bookmarkEnd w:id="85"/>
      <w:bookmarkEnd w:id="86"/>
    </w:p>
    <w:p w14:paraId="213D6C8D" w14:textId="77777777" w:rsidR="0066174F" w:rsidRPr="000059FF" w:rsidRDefault="00A723DA" w:rsidP="00504F58">
      <w:r w:rsidRPr="000059FF">
        <w:t>By focusing on capability, opportunity and motivation, the COM-B model can be used to understand adolescent UTI prevention. The three components of Capability are knowledge and symptom understanding; Opportunity is access to family support, school or community information, NHS advice, pharmacy and GP services; and Motivation is perceived seriousness, confidence and previous experience. This application is based on the original COM-B formulation that claims capability, opportunity and motivation lead to behaviour and is adapted to the adolescent UTI context (Michie, van Stralen and West, 2011; WHO, 2024).</w:t>
      </w:r>
    </w:p>
    <w:p w14:paraId="4C7A174B" w14:textId="77777777" w:rsidR="0066174F" w:rsidRPr="000059FF" w:rsidRDefault="00547FB5" w:rsidP="00504F58">
      <w:pPr>
        <w:jc w:val="center"/>
        <w:rPr>
          <w:i/>
          <w:iCs/>
          <w:sz w:val="20"/>
          <w:szCs w:val="18"/>
        </w:rPr>
      </w:pPr>
      <w:r w:rsidRPr="000059FF">
        <w:rPr>
          <w:i/>
          <w:iCs/>
          <w:noProof/>
          <w:sz w:val="20"/>
          <w:szCs w:val="18"/>
        </w:rPr>
        <w:drawing>
          <wp:inline distT="0" distB="0" distL="0" distR="0" wp14:anchorId="3DEE80E1" wp14:editId="01D30751">
            <wp:extent cx="3463785" cy="3848003"/>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80403" cy="3866465"/>
                    </a:xfrm>
                    <a:prstGeom prst="rect">
                      <a:avLst/>
                    </a:prstGeom>
                    <a:noFill/>
                  </pic:spPr>
                </pic:pic>
              </a:graphicData>
            </a:graphic>
          </wp:inline>
        </w:drawing>
      </w:r>
    </w:p>
    <w:p w14:paraId="02DC6953" w14:textId="77777777" w:rsidR="0066174F" w:rsidRPr="000059FF" w:rsidRDefault="0066174F" w:rsidP="00504F58">
      <w:pPr>
        <w:jc w:val="center"/>
        <w:rPr>
          <w:i/>
          <w:iCs/>
          <w:sz w:val="18"/>
          <w:szCs w:val="16"/>
        </w:rPr>
      </w:pPr>
      <w:r w:rsidRPr="000059FF">
        <w:rPr>
          <w:i/>
          <w:iCs/>
          <w:sz w:val="20"/>
          <w:szCs w:val="18"/>
        </w:rPr>
        <w:t>Figure 2.4: COM-B Model for UTI Prevention Behaviour among Adolescents</w:t>
      </w:r>
    </w:p>
    <w:p w14:paraId="5CC136CB" w14:textId="77777777" w:rsidR="0066174F" w:rsidRPr="000059FF" w:rsidRDefault="0066174F" w:rsidP="00504F58">
      <w:pPr>
        <w:jc w:val="center"/>
        <w:rPr>
          <w:i/>
          <w:iCs/>
          <w:sz w:val="20"/>
          <w:szCs w:val="16"/>
        </w:rPr>
      </w:pPr>
      <w:r w:rsidRPr="000059FF">
        <w:rPr>
          <w:i/>
          <w:iCs/>
          <w:sz w:val="20"/>
          <w:szCs w:val="18"/>
        </w:rPr>
        <w:t>Source: Adapted from Michie, van Stralen and West (2011).</w:t>
      </w:r>
    </w:p>
    <w:p w14:paraId="7B5FF8F0" w14:textId="77777777" w:rsidR="0066174F" w:rsidRPr="000059FF" w:rsidRDefault="0066174F" w:rsidP="00504F58">
      <w:pPr>
        <w:pStyle w:val="Heading3"/>
      </w:pPr>
      <w:bookmarkStart w:id="87" w:name="_Toc236001850"/>
      <w:bookmarkStart w:id="88" w:name="_Toc239679747"/>
      <w:bookmarkStart w:id="89" w:name="_Toc240927756"/>
      <w:r w:rsidRPr="000059FF">
        <w:t>2.7.5 Theoretical Domains Framework</w:t>
      </w:r>
      <w:bookmarkEnd w:id="87"/>
      <w:bookmarkEnd w:id="88"/>
      <w:bookmarkEnd w:id="89"/>
    </w:p>
    <w:p w14:paraId="2BDE1550" w14:textId="77777777" w:rsidR="0066174F" w:rsidRPr="000059FF" w:rsidRDefault="00A723DA" w:rsidP="00504F58">
      <w:r w:rsidRPr="000059FF">
        <w:t>The TDF can help to explore behavioural barriers and facilitators at a level of detail that covers areas like knowledge, skills, beliefs, social influences, emotion and environmental context (Dyson and Cowdell, 2021). That it is relevant to UTI care is further bolstered by recent evidence from the UK: Newlands et al. (2026) analysed barriers and facilitators in handling recurrent UTI (rUTI) in the care cycle, using the TDF to do so, uncovering structural and relational forces. The example used in this study concerns adults, but offers a relevant illustration to the UK of how the framework can guide communications, service access, and behaviours. For adolescent prevention and help-seeking, the application of TDF concepts is thus not taken for granted but used with caution.</w:t>
      </w:r>
    </w:p>
    <w:p w14:paraId="01E456F0" w14:textId="77777777" w:rsidR="0066174F" w:rsidRPr="000059FF" w:rsidRDefault="004F7819" w:rsidP="00504F58">
      <w:pPr>
        <w:jc w:val="center"/>
        <w:rPr>
          <w:i/>
          <w:iCs/>
          <w:sz w:val="20"/>
          <w:szCs w:val="18"/>
        </w:rPr>
      </w:pPr>
      <w:r w:rsidRPr="000059FF">
        <w:rPr>
          <w:i/>
          <w:iCs/>
          <w:noProof/>
          <w:sz w:val="20"/>
          <w:szCs w:val="18"/>
        </w:rPr>
        <w:drawing>
          <wp:inline distT="0" distB="0" distL="0" distR="0" wp14:anchorId="17CC5E28" wp14:editId="1644F310">
            <wp:extent cx="3209150" cy="4010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23883" cy="4028418"/>
                    </a:xfrm>
                    <a:prstGeom prst="rect">
                      <a:avLst/>
                    </a:prstGeom>
                    <a:noFill/>
                  </pic:spPr>
                </pic:pic>
              </a:graphicData>
            </a:graphic>
          </wp:inline>
        </w:drawing>
      </w:r>
    </w:p>
    <w:p w14:paraId="2FE7E37F" w14:textId="77777777" w:rsidR="0066174F" w:rsidRPr="000059FF" w:rsidRDefault="0066174F" w:rsidP="00504F58">
      <w:pPr>
        <w:jc w:val="center"/>
        <w:rPr>
          <w:i/>
          <w:iCs/>
          <w:sz w:val="20"/>
          <w:szCs w:val="16"/>
        </w:rPr>
      </w:pPr>
      <w:r w:rsidRPr="000059FF">
        <w:rPr>
          <w:i/>
          <w:iCs/>
          <w:sz w:val="20"/>
          <w:szCs w:val="18"/>
        </w:rPr>
        <w:t>Figure 2.5: Theoretical Domains Framework for UTI Prevention and Help-Seeking Behaviour among Adolescents</w:t>
      </w:r>
    </w:p>
    <w:p w14:paraId="6E0F3C5A" w14:textId="77777777" w:rsidR="0066174F" w:rsidRPr="000059FF" w:rsidRDefault="0066174F" w:rsidP="00504F58">
      <w:pPr>
        <w:jc w:val="center"/>
        <w:rPr>
          <w:i/>
          <w:iCs/>
          <w:sz w:val="20"/>
          <w:szCs w:val="16"/>
        </w:rPr>
      </w:pPr>
      <w:r w:rsidRPr="000059FF">
        <w:rPr>
          <w:i/>
          <w:iCs/>
          <w:sz w:val="20"/>
          <w:szCs w:val="18"/>
        </w:rPr>
        <w:t>Source: Adapted from Dyson and Cowdell (2021) and Newlands et al. (2026).</w:t>
      </w:r>
    </w:p>
    <w:p w14:paraId="598B48E5" w14:textId="77777777" w:rsidR="0066174F" w:rsidRPr="000059FF" w:rsidRDefault="0066174F" w:rsidP="00504F58">
      <w:pPr>
        <w:pStyle w:val="Heading2"/>
      </w:pPr>
      <w:bookmarkStart w:id="90" w:name="_Toc236001851"/>
      <w:bookmarkStart w:id="91" w:name="_Toc239679748"/>
      <w:bookmarkStart w:id="92" w:name="_Toc240927757"/>
      <w:r w:rsidRPr="000059FF">
        <w:t>2.8 Gaps in Literature</w:t>
      </w:r>
      <w:bookmarkEnd w:id="90"/>
      <w:bookmarkEnd w:id="91"/>
      <w:bookmarkEnd w:id="92"/>
    </w:p>
    <w:p w14:paraId="4F78714D" w14:textId="77777777" w:rsidR="00917A46" w:rsidRPr="000059FF" w:rsidRDefault="00917A46" w:rsidP="00504F58">
      <w:r w:rsidRPr="000059FF">
        <w:t>The primary gap in the literature is the lack of UK studies that directly focus on adolescents aged 10–19 years specifically to explore knowledge, awareness and preventive behaviours for UTI. Good, but different kinds of evidence are found in UK studies, with childhood cohort studies giving information on clinical outcomes and adult primary-care and recurrent-UTI studies giving information on diagnosis, service use and prescriptions (Hughes et al., 2024; Ciaccio et al., 2024; Cooper et al., 2023; Sanyaolu et al., 2024). These sources are significant in confirming the importance of UTI in UK healthcare, but fail to provide a response to the question of the awareness of the adolescent in the dissertation. This gap is indeed one of evidence for age and behavioural differences and not a lack of research into UK TIs in general.</w:t>
      </w:r>
    </w:p>
    <w:p w14:paraId="5A9F7754" w14:textId="77777777" w:rsidR="00917A46" w:rsidRPr="000059FF" w:rsidRDefault="00917A46" w:rsidP="00504F58">
      <w:r w:rsidRPr="000059FF">
        <w:t>A second gap relates to the link between clinical evidence and behavioural prevention. Diagnosis, prescribing/resistance or adolescent behaviour (knowledge or self-reported) is commonly studied in clinical and stewardship studies. There is little research that combines adolescent awareness and preventive action with access to healthcare in the context of the UK. In addition, the adolescent population stretches across a number of different services for young people under 16 as well as 16 years and over, creating an element of service navigation not fully captured explicitly (NICE, 2022; NICE, 2018).</w:t>
      </w:r>
    </w:p>
    <w:p w14:paraId="32B1C1FC" w14:textId="77777777" w:rsidR="0066174F" w:rsidRPr="000059FF" w:rsidRDefault="00917A46" w:rsidP="00504F58">
      <w:r w:rsidRPr="000059FF">
        <w:t>Limited evidence exists of the effectiveness of UTI awareness interventions or UTI prevention interventions developed specifically for UK adolescents. The NHS health and digital literacy programmes identified are examples of co-design, outreach and accessible information approaches which are applicable in the UK, but are not UTI-specific and do not create UTI-prevention effectiveness (NHS England Knowledge and Library Services, 2023a). No adolescent intervention is evaluated across primary health care in England, although there are variations in the management and prevention of UTIs in commissioning work (Sides et al., 2025). A guarded statement is thus able to be made: adolescent-specific effectiveness evidence does not exist for all UK systems in regard to their health-literacy and UTI-prevention activity.</w:t>
      </w:r>
    </w:p>
    <w:p w14:paraId="686BACAC" w14:textId="77777777" w:rsidR="0066174F" w:rsidRPr="000059FF" w:rsidRDefault="0066174F" w:rsidP="00504F58">
      <w:pPr>
        <w:pStyle w:val="Heading2"/>
      </w:pPr>
      <w:bookmarkStart w:id="93" w:name="_Toc236001852"/>
      <w:bookmarkStart w:id="94" w:name="_Toc239679749"/>
      <w:bookmarkStart w:id="95" w:name="_Toc240927758"/>
      <w:r w:rsidRPr="000059FF">
        <w:t>2.9 Chapter Summary</w:t>
      </w:r>
      <w:bookmarkEnd w:id="93"/>
      <w:bookmarkEnd w:id="94"/>
      <w:bookmarkEnd w:id="95"/>
    </w:p>
    <w:p w14:paraId="05CC314F" w14:textId="77777777" w:rsidR="0066174F" w:rsidRPr="000059FF" w:rsidRDefault="002E5678" w:rsidP="00504F58">
      <w:r w:rsidRPr="000059FF">
        <w:t>This chapter summarised the burden of UTI in children, knowledge about and preventive behaviour of adolescents, seeking of health care services, use of antibiotics, antimicrobial resistance and behavioural theory relevant to UTI. It found consistent evidence of problems: Child/Adolescent and service-level UTI research is relatively good in the UK, whereas evidence relating to adolescent (10-19 years) awareness of and prevention of UTIs is limited. Whilst some health-literacy strategies in the UK may be helpful in terms of communicating in a way that is age-appropriate, they are not specific to UTIs (NHS England Knowledge and Library Services, 2023a; NHS England Knowledge and Library Services, 2023b). Chapter 3 therefore outlines a systematic review method which explicitly documents the age of the population and the country context and directness of the evidence.</w:t>
      </w:r>
    </w:p>
    <w:p w14:paraId="058C499E" w14:textId="77777777" w:rsidR="0066174F" w:rsidRPr="000059FF" w:rsidRDefault="0066174F" w:rsidP="00504F58">
      <w:r w:rsidRPr="000059FF">
        <w:br w:type="page"/>
      </w:r>
    </w:p>
    <w:p w14:paraId="71F0E26D" w14:textId="77777777" w:rsidR="00C72398" w:rsidRPr="000059FF" w:rsidRDefault="00C72398" w:rsidP="008A5861">
      <w:pPr>
        <w:pStyle w:val="Heading1"/>
      </w:pPr>
      <w:bookmarkStart w:id="96" w:name="_Toc236649095"/>
      <w:bookmarkStart w:id="97" w:name="_Toc239679750"/>
      <w:bookmarkStart w:id="98" w:name="_Toc240927759"/>
      <w:r w:rsidRPr="000059FF">
        <w:t>CHAPTER 3: RESEARCH METHODOLOGY</w:t>
      </w:r>
      <w:bookmarkEnd w:id="96"/>
      <w:bookmarkEnd w:id="97"/>
      <w:bookmarkEnd w:id="98"/>
    </w:p>
    <w:p w14:paraId="412B59FF" w14:textId="77777777" w:rsidR="00C72398" w:rsidRPr="000059FF" w:rsidRDefault="00C72398" w:rsidP="00504F58">
      <w:pPr>
        <w:pStyle w:val="Heading2"/>
      </w:pPr>
      <w:bookmarkStart w:id="99" w:name="_Toc236645707"/>
      <w:bookmarkStart w:id="100" w:name="_Toc236649096"/>
      <w:bookmarkStart w:id="101" w:name="_Toc239679751"/>
      <w:bookmarkStart w:id="102" w:name="_Toc240927760"/>
      <w:r w:rsidRPr="000059FF">
        <w:t>3.1 Introduction</w:t>
      </w:r>
      <w:bookmarkEnd w:id="99"/>
      <w:bookmarkEnd w:id="100"/>
      <w:bookmarkEnd w:id="101"/>
      <w:bookmarkEnd w:id="102"/>
    </w:p>
    <w:p w14:paraId="372862C7" w14:textId="3FAE496B" w:rsidR="00C72398" w:rsidRPr="000059FF" w:rsidRDefault="00A8713C" w:rsidP="00504F58">
      <w:r w:rsidRPr="000059FF">
        <w:t xml:space="preserve">This chapter outlines the process of systematic reviewing to identify, appraise and synthesise evidence related to factors associated with the knowledge, awareness and preventive practices of adolescents (aged 10-19) regarding UTI in the UK. It includes research philosophy, ethics, design, data sources, search strategy, eligibility criteria, PRISMA reporting, quality appraisal, data extraction, synthesis and limitations. Evidence is categorised as being direct UK adolescent evidence, international adolescent evidence and wider UK contextual evidence. </w:t>
      </w:r>
      <w:r w:rsidR="00CF1ED5" w:rsidRPr="00CF1ED5">
        <w:rPr>
          <w:rFonts w:eastAsia="Times New Roman"/>
        </w:rPr>
        <w:t>Following the PRISMA study-selection process, 290 records were identified and 13 eligible studies were retained for quality appraisal and final synthesis.</w:t>
      </w:r>
    </w:p>
    <w:p w14:paraId="23624FA6" w14:textId="77777777" w:rsidR="00C72398" w:rsidRPr="000059FF" w:rsidRDefault="00C72398" w:rsidP="00504F58">
      <w:pPr>
        <w:pStyle w:val="Heading2"/>
      </w:pPr>
      <w:bookmarkStart w:id="103" w:name="_Toc236645708"/>
      <w:bookmarkStart w:id="104" w:name="_Toc236649097"/>
      <w:bookmarkStart w:id="105" w:name="_Toc239679752"/>
      <w:bookmarkStart w:id="106" w:name="_Toc240927761"/>
      <w:r w:rsidRPr="000059FF">
        <w:t>3.2 Research Philosophy and Paradigm</w:t>
      </w:r>
      <w:bookmarkEnd w:id="103"/>
      <w:bookmarkEnd w:id="104"/>
      <w:bookmarkEnd w:id="105"/>
      <w:bookmarkEnd w:id="106"/>
    </w:p>
    <w:p w14:paraId="0D96679A" w14:textId="77777777" w:rsidR="00C72398" w:rsidRPr="000059FF" w:rsidRDefault="00A8713C" w:rsidP="00504F58">
      <w:r w:rsidRPr="000059FF">
        <w:t>To address this question, the review was pragmatic, leading to both measurable evidence and explanation of behaviour being required. The UTI ontology was critical realism, recognising that both the events and the use of services were real, alongside the impact of health literacy, confidence, gender, communication and access on awareness and UTI prevention. Survey and cohorts were used in conjunction with findings from the intervention, and these findings were analysed in line with positivist assumptions, while the experiences of patients and professionals were analysed in line with interpretivist assumptions. These types of evidence were more easily integrated into the study than treated as distinct data sets since 'mixed-method integration also can yield evidence of convergence and disagreement' (Creswell and Creswell, 2023; Soames and Pettigrew, 2024). The strategy was mostly deductive and involved searching and initial coding on the basis of health literacy theory, self-efficacy theory, Orem's self-care theory, COM-B and TDF. But some elements of inductive coding remained so that new issues could emerge, such as embarrassment or misinformation via online channels, that were not required to fit into already established categories. This also accepted that a prevention action might be a real thing, and citizens' explanations for making or not making a prevention action might be considered socially interpreted.</w:t>
      </w:r>
    </w:p>
    <w:p w14:paraId="5E113FAF" w14:textId="77777777" w:rsidR="00C72398" w:rsidRPr="000059FF" w:rsidRDefault="00C72398" w:rsidP="00504F58">
      <w:pPr>
        <w:pStyle w:val="Heading2"/>
      </w:pPr>
      <w:bookmarkStart w:id="107" w:name="_Toc236645709"/>
      <w:bookmarkStart w:id="108" w:name="_Toc236649098"/>
      <w:bookmarkStart w:id="109" w:name="_Toc239679753"/>
      <w:bookmarkStart w:id="110" w:name="_Toc240927762"/>
      <w:r w:rsidRPr="000059FF">
        <w:t>3.3 Ethical Considerations</w:t>
      </w:r>
      <w:bookmarkEnd w:id="107"/>
      <w:bookmarkEnd w:id="108"/>
      <w:bookmarkEnd w:id="109"/>
      <w:bookmarkEnd w:id="110"/>
    </w:p>
    <w:p w14:paraId="56C4F404" w14:textId="77777777" w:rsidR="00C72398" w:rsidRPr="000059FF" w:rsidRDefault="00A8713C" w:rsidP="00504F58">
      <w:r w:rsidRPr="000059FF">
        <w:t>This review does not recruit participants or access identifiable NHS records or change clinical care but is based on published studies and guidance which is publicly available. Depending on the design and information being used, it may be necessary for the study to be subject to NHS Research Ethics Committee (REC) review. The need for NHS REC review is determined using a set of tools provided by the HRA and a Policy Document (Health Research Authority, 2026) that outlines the circumstances that require review. There are no NHS participants, NHS tissues or identifiable NHS data handling in this dissertation, but the university-level dissertation ethics requirements are still relevant. Child protection protocols (including age-appropriate consent/assent) will also be evaluated in primary studies as a necessity for the adolescent population, following WHO guidelines on ethical principles to undertake research with adolescents (WHO, 2018).</w:t>
      </w:r>
    </w:p>
    <w:p w14:paraId="5CD21651" w14:textId="77777777" w:rsidR="00C72398" w:rsidRPr="000059FF" w:rsidRDefault="00C72398" w:rsidP="00504F58">
      <w:pPr>
        <w:pStyle w:val="Heading2"/>
      </w:pPr>
      <w:bookmarkStart w:id="111" w:name="_Toc236645710"/>
      <w:bookmarkStart w:id="112" w:name="_Toc236649099"/>
      <w:bookmarkStart w:id="113" w:name="_Toc239679754"/>
      <w:bookmarkStart w:id="114" w:name="_Toc240927763"/>
      <w:r w:rsidRPr="000059FF">
        <w:t>3.4 Research Approach and Study Design</w:t>
      </w:r>
      <w:bookmarkEnd w:id="111"/>
      <w:bookmarkEnd w:id="112"/>
      <w:bookmarkEnd w:id="113"/>
      <w:bookmarkEnd w:id="114"/>
    </w:p>
    <w:p w14:paraId="02AF0B9A" w14:textId="04F9CE06" w:rsidR="00C72398" w:rsidRPr="000059FF" w:rsidRDefault="00525BB6" w:rsidP="00504F58">
      <w:r w:rsidRPr="00525BB6">
        <w:t>The review methodology was designed to accommodate qualitative, quantitative and mixed-method studies; however, the final 13 eligible studies were quantitative observational or intervention studies.</w:t>
      </w:r>
      <w:r>
        <w:t xml:space="preserve"> </w:t>
      </w:r>
      <w:r w:rsidR="00CE65F0" w:rsidRPr="000059FF">
        <w:t>Systematic reviews are a form of review which have explicit search, screening and appraisal methods, and allow for the reader to assess how the evidence has been selected (Higgins et al., 2024; Page et al., 2021). As the objective was not only to map the field, it was not a scoping review. Due to the presence of heterogeneity in population, measures, and outcomes, the choice of the meta-analysis method was not applicable. The review is carried out following JBI evidence-synthesis principles and PRISMA 2020 &amp; PRISMA-S (Aromataris et al., 2024; Rethlefsen et al., 2021). Convergent integrated design resulted in the translation of quantitative data into text and the integration of quantitative and qualitative data</w:t>
      </w:r>
      <w:r w:rsidR="00E21695">
        <w:t xml:space="preserve"> </w:t>
      </w:r>
      <w:r w:rsidR="007F587D">
        <w:t>(Stern et al., 2020; Lizarondo et al., 2025)</w:t>
      </w:r>
      <w:r w:rsidR="00CE65F0" w:rsidRPr="000059FF">
        <w:t>. It can be applied when the different approaches offer different perspectives on the same issue of public health (Tringale et al., 2022). The design also encouraged the comparison of the results because it was not only an addition to the results. For example, if there was a connection between knowledge and behaviour, then this could be identified in a survey, and in qualitative evidence, reasons for the absence of translation could be explained. But at the stage of interpretation, not at the stage of mechanical compiling of findings, they were brought together.</w:t>
      </w:r>
    </w:p>
    <w:p w14:paraId="105CD52F" w14:textId="77777777" w:rsidR="00C72398" w:rsidRPr="000059FF" w:rsidRDefault="00C72398" w:rsidP="00504F58">
      <w:pPr>
        <w:pStyle w:val="Heading2"/>
      </w:pPr>
      <w:bookmarkStart w:id="115" w:name="_Toc236645711"/>
      <w:bookmarkStart w:id="116" w:name="_Toc236649100"/>
      <w:bookmarkStart w:id="117" w:name="_Toc239679755"/>
      <w:bookmarkStart w:id="118" w:name="_Toc240927764"/>
      <w:r w:rsidRPr="000059FF">
        <w:t>3.5 Method of Data Collection</w:t>
      </w:r>
      <w:bookmarkEnd w:id="115"/>
      <w:bookmarkEnd w:id="116"/>
      <w:bookmarkEnd w:id="117"/>
      <w:bookmarkEnd w:id="118"/>
    </w:p>
    <w:p w14:paraId="546B356E" w14:textId="77777777" w:rsidR="00C72398" w:rsidRPr="000059FF" w:rsidRDefault="00583A86" w:rsidP="00504F58">
      <w:r w:rsidRPr="000059FF">
        <w:t>Peer-reviewed empirical studies will be considered that have been published between January 2016 and August 2026. Mainly teens (10-19 years), consistent with the WHO definition (WHO, 2024). Adolescent studies from the UK will be given higher priority. If there is a lack of adolescent evidence in the UK, this may be supplemented by evidence from international adolescent studies if they are related to UTI knowledge, awareness, prevention, self-care or seeking help. Wider UK adult or service-level studies can be used for interpretation of context at the healthcare-system level and at the antimicrobial-stewardship level and may be used in descriptions of context for adolescent knowledge and behaviours but are not presented as such unless the data for the adolescent subgroups can be extracted separately. A structured search framework is used due to the possibility that a qualitative and observational study may not have a formal comparator.</w:t>
      </w:r>
    </w:p>
    <w:p w14:paraId="2FEDA723" w14:textId="77777777" w:rsidR="00C72398" w:rsidRPr="000059FF" w:rsidRDefault="00C72398" w:rsidP="00082299">
      <w:pPr>
        <w:rPr>
          <w:sz w:val="24"/>
          <w:szCs w:val="28"/>
        </w:rPr>
      </w:pPr>
      <w:r w:rsidRPr="000059FF">
        <w:t>Table 3.1: Search Framework and Search Concepts</w:t>
      </w:r>
    </w:p>
    <w:tbl>
      <w:tblPr>
        <w:tblStyle w:val="TableGrid"/>
        <w:tblW w:w="0" w:type="auto"/>
        <w:tblLayout w:type="fixed"/>
        <w:tblLook w:val="04A0" w:firstRow="1" w:lastRow="0" w:firstColumn="1" w:lastColumn="0" w:noHBand="0" w:noVBand="1"/>
      </w:tblPr>
      <w:tblGrid>
        <w:gridCol w:w="1656"/>
        <w:gridCol w:w="4824"/>
        <w:gridCol w:w="3600"/>
      </w:tblGrid>
      <w:tr w:rsidR="00D32A34" w:rsidRPr="000059FF" w14:paraId="76104D80" w14:textId="77777777" w:rsidTr="009F74BB">
        <w:trPr>
          <w:cantSplit/>
          <w:tblHeader/>
        </w:trPr>
        <w:tc>
          <w:tcPr>
            <w:tcW w:w="1656" w:type="dxa"/>
          </w:tcPr>
          <w:p w14:paraId="4B31ABF3" w14:textId="77777777" w:rsidR="00C72398" w:rsidRPr="000059FF" w:rsidRDefault="00C72398" w:rsidP="00504F58">
            <w:pPr>
              <w:rPr>
                <w:b/>
                <w:bCs/>
                <w:sz w:val="20"/>
                <w:szCs w:val="18"/>
              </w:rPr>
            </w:pPr>
            <w:r w:rsidRPr="000059FF">
              <w:rPr>
                <w:b/>
                <w:bCs/>
                <w:sz w:val="20"/>
                <w:szCs w:val="18"/>
              </w:rPr>
              <w:t>Framework element</w:t>
            </w:r>
          </w:p>
        </w:tc>
        <w:tc>
          <w:tcPr>
            <w:tcW w:w="4824" w:type="dxa"/>
          </w:tcPr>
          <w:p w14:paraId="4B9E78FF" w14:textId="77777777" w:rsidR="00C72398" w:rsidRPr="000059FF" w:rsidRDefault="00C72398" w:rsidP="00504F58">
            <w:pPr>
              <w:rPr>
                <w:b/>
                <w:bCs/>
                <w:sz w:val="20"/>
                <w:szCs w:val="18"/>
              </w:rPr>
            </w:pPr>
            <w:r w:rsidRPr="000059FF">
              <w:rPr>
                <w:b/>
                <w:bCs/>
                <w:sz w:val="20"/>
                <w:szCs w:val="18"/>
              </w:rPr>
              <w:t>Application to this review</w:t>
            </w:r>
          </w:p>
        </w:tc>
        <w:tc>
          <w:tcPr>
            <w:tcW w:w="3600" w:type="dxa"/>
          </w:tcPr>
          <w:p w14:paraId="1994A1CF" w14:textId="77777777" w:rsidR="00C72398" w:rsidRPr="000059FF" w:rsidRDefault="00C72398" w:rsidP="00504F58">
            <w:pPr>
              <w:rPr>
                <w:b/>
                <w:bCs/>
                <w:sz w:val="20"/>
                <w:szCs w:val="18"/>
              </w:rPr>
            </w:pPr>
            <w:r w:rsidRPr="000059FF">
              <w:rPr>
                <w:b/>
                <w:bCs/>
                <w:sz w:val="20"/>
                <w:szCs w:val="18"/>
              </w:rPr>
              <w:t>Indicative search concepts</w:t>
            </w:r>
          </w:p>
        </w:tc>
      </w:tr>
      <w:tr w:rsidR="00D32A34" w:rsidRPr="000059FF" w14:paraId="09144348" w14:textId="77777777" w:rsidTr="009F74BB">
        <w:trPr>
          <w:cantSplit/>
        </w:trPr>
        <w:tc>
          <w:tcPr>
            <w:tcW w:w="1656" w:type="dxa"/>
          </w:tcPr>
          <w:p w14:paraId="6A7A1664" w14:textId="77777777" w:rsidR="00C72398" w:rsidRPr="000059FF" w:rsidRDefault="00C72398" w:rsidP="00082299">
            <w:pPr>
              <w:jc w:val="center"/>
              <w:rPr>
                <w:sz w:val="20"/>
                <w:szCs w:val="18"/>
              </w:rPr>
            </w:pPr>
            <w:r w:rsidRPr="000059FF">
              <w:rPr>
                <w:sz w:val="20"/>
                <w:szCs w:val="18"/>
              </w:rPr>
              <w:t>Population</w:t>
            </w:r>
          </w:p>
        </w:tc>
        <w:tc>
          <w:tcPr>
            <w:tcW w:w="4824" w:type="dxa"/>
          </w:tcPr>
          <w:p w14:paraId="68B9F3EF" w14:textId="77777777" w:rsidR="00C72398" w:rsidRPr="000059FF" w:rsidRDefault="00C72398" w:rsidP="00082299">
            <w:pPr>
              <w:jc w:val="center"/>
              <w:rPr>
                <w:sz w:val="20"/>
                <w:szCs w:val="18"/>
              </w:rPr>
            </w:pPr>
            <w:r w:rsidRPr="000059FF">
              <w:rPr>
                <w:sz w:val="20"/>
                <w:szCs w:val="18"/>
              </w:rPr>
              <w:t>Adolescents aged 10–19 years; UK evidence prioritised. International adolescent evidence may be used as indirect evidence.</w:t>
            </w:r>
          </w:p>
        </w:tc>
        <w:tc>
          <w:tcPr>
            <w:tcW w:w="3600" w:type="dxa"/>
          </w:tcPr>
          <w:p w14:paraId="40D01076" w14:textId="77777777" w:rsidR="00C72398" w:rsidRPr="000059FF" w:rsidRDefault="00C72398" w:rsidP="00082299">
            <w:pPr>
              <w:jc w:val="center"/>
              <w:rPr>
                <w:sz w:val="20"/>
                <w:szCs w:val="18"/>
              </w:rPr>
            </w:pPr>
            <w:r w:rsidRPr="000059FF">
              <w:rPr>
                <w:sz w:val="20"/>
                <w:szCs w:val="18"/>
              </w:rPr>
              <w:t>adolescent* OR teen* OR teenager* OR “young people” OR “school student*”</w:t>
            </w:r>
          </w:p>
        </w:tc>
      </w:tr>
      <w:tr w:rsidR="00D32A34" w:rsidRPr="000059FF" w14:paraId="3B10F1F0" w14:textId="77777777" w:rsidTr="009F74BB">
        <w:trPr>
          <w:cantSplit/>
        </w:trPr>
        <w:tc>
          <w:tcPr>
            <w:tcW w:w="1656" w:type="dxa"/>
          </w:tcPr>
          <w:p w14:paraId="6965CE69" w14:textId="77777777" w:rsidR="00C72398" w:rsidRPr="000059FF" w:rsidRDefault="00C72398" w:rsidP="00082299">
            <w:pPr>
              <w:jc w:val="center"/>
              <w:rPr>
                <w:sz w:val="20"/>
                <w:szCs w:val="18"/>
              </w:rPr>
            </w:pPr>
            <w:r w:rsidRPr="000059FF">
              <w:rPr>
                <w:sz w:val="20"/>
                <w:szCs w:val="18"/>
              </w:rPr>
              <w:t>Condition / phenomenon</w:t>
            </w:r>
          </w:p>
        </w:tc>
        <w:tc>
          <w:tcPr>
            <w:tcW w:w="4824" w:type="dxa"/>
          </w:tcPr>
          <w:p w14:paraId="01AC8743" w14:textId="77777777" w:rsidR="00C72398" w:rsidRPr="000059FF" w:rsidRDefault="00C72398" w:rsidP="00082299">
            <w:pPr>
              <w:jc w:val="center"/>
              <w:rPr>
                <w:sz w:val="20"/>
                <w:szCs w:val="18"/>
              </w:rPr>
            </w:pPr>
            <w:r w:rsidRPr="000059FF">
              <w:rPr>
                <w:sz w:val="20"/>
                <w:szCs w:val="18"/>
              </w:rPr>
              <w:t>Urinary tract infection and related lower/upper UTI terminology.</w:t>
            </w:r>
          </w:p>
        </w:tc>
        <w:tc>
          <w:tcPr>
            <w:tcW w:w="3600" w:type="dxa"/>
          </w:tcPr>
          <w:p w14:paraId="52CDC525" w14:textId="77777777" w:rsidR="00C72398" w:rsidRPr="000059FF" w:rsidRDefault="00C72398" w:rsidP="00082299">
            <w:pPr>
              <w:jc w:val="center"/>
              <w:rPr>
                <w:sz w:val="20"/>
                <w:szCs w:val="18"/>
              </w:rPr>
            </w:pPr>
            <w:r w:rsidRPr="000059FF">
              <w:rPr>
                <w:sz w:val="20"/>
                <w:szCs w:val="18"/>
              </w:rPr>
              <w:t>“urinary tract infection*” OR UTI OR cystitis OR “bladder infection*” OR “urinary infection*” OR “lower urinary tract infection*” OR pyelonephritis</w:t>
            </w:r>
          </w:p>
        </w:tc>
      </w:tr>
      <w:tr w:rsidR="00D32A34" w:rsidRPr="000059FF" w14:paraId="4D57BA67" w14:textId="77777777" w:rsidTr="009F74BB">
        <w:trPr>
          <w:cantSplit/>
        </w:trPr>
        <w:tc>
          <w:tcPr>
            <w:tcW w:w="1656" w:type="dxa"/>
          </w:tcPr>
          <w:p w14:paraId="141E5856" w14:textId="77777777" w:rsidR="00C72398" w:rsidRPr="000059FF" w:rsidRDefault="00C72398" w:rsidP="00082299">
            <w:pPr>
              <w:jc w:val="center"/>
              <w:rPr>
                <w:sz w:val="20"/>
                <w:szCs w:val="18"/>
              </w:rPr>
            </w:pPr>
            <w:r w:rsidRPr="000059FF">
              <w:rPr>
                <w:sz w:val="20"/>
                <w:szCs w:val="18"/>
              </w:rPr>
              <w:t>Exposure / interest</w:t>
            </w:r>
          </w:p>
        </w:tc>
        <w:tc>
          <w:tcPr>
            <w:tcW w:w="4824" w:type="dxa"/>
          </w:tcPr>
          <w:p w14:paraId="6B2F8E0B" w14:textId="77777777" w:rsidR="00C72398" w:rsidRPr="000059FF" w:rsidRDefault="00C72398" w:rsidP="00082299">
            <w:pPr>
              <w:jc w:val="center"/>
              <w:rPr>
                <w:sz w:val="20"/>
                <w:szCs w:val="18"/>
              </w:rPr>
            </w:pPr>
            <w:r w:rsidRPr="000059FF">
              <w:rPr>
                <w:sz w:val="20"/>
                <w:szCs w:val="18"/>
              </w:rPr>
              <w:t>Knowledge, awareness, health literacy, education, prevention, self-care and help-seeking.</w:t>
            </w:r>
          </w:p>
        </w:tc>
        <w:tc>
          <w:tcPr>
            <w:tcW w:w="3600" w:type="dxa"/>
          </w:tcPr>
          <w:p w14:paraId="1A691BAF" w14:textId="77777777" w:rsidR="00C72398" w:rsidRPr="000059FF" w:rsidRDefault="00C72398" w:rsidP="00082299">
            <w:pPr>
              <w:jc w:val="center"/>
              <w:rPr>
                <w:sz w:val="20"/>
                <w:szCs w:val="18"/>
              </w:rPr>
            </w:pPr>
            <w:r w:rsidRPr="000059FF">
              <w:rPr>
                <w:sz w:val="20"/>
                <w:szCs w:val="18"/>
              </w:rPr>
              <w:t>knowledge OR awareness OR “health literacy” OR prevention OR “preventive practice*” OR self-care OR help-seeking</w:t>
            </w:r>
          </w:p>
        </w:tc>
      </w:tr>
      <w:tr w:rsidR="00D32A34" w:rsidRPr="000059FF" w14:paraId="3FEB8E32" w14:textId="77777777" w:rsidTr="009F74BB">
        <w:trPr>
          <w:cantSplit/>
        </w:trPr>
        <w:tc>
          <w:tcPr>
            <w:tcW w:w="1656" w:type="dxa"/>
          </w:tcPr>
          <w:p w14:paraId="3996D33E" w14:textId="77777777" w:rsidR="00C72398" w:rsidRPr="000059FF" w:rsidRDefault="00C72398" w:rsidP="00082299">
            <w:pPr>
              <w:jc w:val="center"/>
              <w:rPr>
                <w:sz w:val="20"/>
                <w:szCs w:val="18"/>
              </w:rPr>
            </w:pPr>
            <w:r w:rsidRPr="000059FF">
              <w:rPr>
                <w:sz w:val="20"/>
                <w:szCs w:val="18"/>
              </w:rPr>
              <w:t>Outcomes</w:t>
            </w:r>
          </w:p>
        </w:tc>
        <w:tc>
          <w:tcPr>
            <w:tcW w:w="4824" w:type="dxa"/>
          </w:tcPr>
          <w:p w14:paraId="6A32B27C" w14:textId="77777777" w:rsidR="00C72398" w:rsidRPr="000059FF" w:rsidRDefault="00C72398" w:rsidP="00082299">
            <w:pPr>
              <w:jc w:val="center"/>
              <w:rPr>
                <w:sz w:val="20"/>
                <w:szCs w:val="18"/>
              </w:rPr>
            </w:pPr>
            <w:r w:rsidRPr="000059FF">
              <w:rPr>
                <w:sz w:val="20"/>
                <w:szCs w:val="18"/>
              </w:rPr>
              <w:t>UTI knowledge, symptom recognition, preventive practices, self-efficacy, help-seeking and antibiotic expectations.</w:t>
            </w:r>
          </w:p>
        </w:tc>
        <w:tc>
          <w:tcPr>
            <w:tcW w:w="3600" w:type="dxa"/>
          </w:tcPr>
          <w:p w14:paraId="35F62B65" w14:textId="77777777" w:rsidR="00C72398" w:rsidRPr="000059FF" w:rsidRDefault="00C72398" w:rsidP="00082299">
            <w:pPr>
              <w:jc w:val="center"/>
              <w:rPr>
                <w:sz w:val="20"/>
                <w:szCs w:val="18"/>
              </w:rPr>
            </w:pPr>
            <w:r w:rsidRPr="000059FF">
              <w:rPr>
                <w:sz w:val="20"/>
                <w:szCs w:val="18"/>
              </w:rPr>
              <w:t>knowledge OR symptom* OR “preventive behaviour*” OR self-efficacy OR help-seeking OR antibiotic*</w:t>
            </w:r>
          </w:p>
        </w:tc>
      </w:tr>
      <w:tr w:rsidR="00D32A34" w:rsidRPr="000059FF" w14:paraId="746C4132" w14:textId="77777777" w:rsidTr="009F74BB">
        <w:trPr>
          <w:cantSplit/>
        </w:trPr>
        <w:tc>
          <w:tcPr>
            <w:tcW w:w="1656" w:type="dxa"/>
          </w:tcPr>
          <w:p w14:paraId="4ABAD919" w14:textId="77777777" w:rsidR="00C72398" w:rsidRPr="000059FF" w:rsidRDefault="00C72398" w:rsidP="00082299">
            <w:pPr>
              <w:jc w:val="center"/>
              <w:rPr>
                <w:sz w:val="20"/>
                <w:szCs w:val="18"/>
              </w:rPr>
            </w:pPr>
            <w:r w:rsidRPr="000059FF">
              <w:rPr>
                <w:sz w:val="20"/>
                <w:szCs w:val="18"/>
              </w:rPr>
              <w:t>Setting</w:t>
            </w:r>
          </w:p>
        </w:tc>
        <w:tc>
          <w:tcPr>
            <w:tcW w:w="4824" w:type="dxa"/>
          </w:tcPr>
          <w:p w14:paraId="7D27721D" w14:textId="77777777" w:rsidR="00C72398" w:rsidRPr="000059FF" w:rsidRDefault="00C72398" w:rsidP="00082299">
            <w:pPr>
              <w:jc w:val="center"/>
              <w:rPr>
                <w:sz w:val="20"/>
                <w:szCs w:val="18"/>
              </w:rPr>
            </w:pPr>
            <w:r w:rsidRPr="000059FF">
              <w:rPr>
                <w:sz w:val="20"/>
                <w:szCs w:val="18"/>
              </w:rPr>
              <w:t>UK school, community, pharmacy, primary-care, sexual-health or online settings; international adolescent settings used only as indirect evidence.</w:t>
            </w:r>
          </w:p>
        </w:tc>
        <w:tc>
          <w:tcPr>
            <w:tcW w:w="3600" w:type="dxa"/>
          </w:tcPr>
          <w:p w14:paraId="6D51C129" w14:textId="77777777" w:rsidR="00C72398" w:rsidRPr="000059FF" w:rsidRDefault="00C72398" w:rsidP="00082299">
            <w:pPr>
              <w:jc w:val="center"/>
              <w:rPr>
                <w:sz w:val="20"/>
                <w:szCs w:val="18"/>
              </w:rPr>
            </w:pPr>
            <w:r w:rsidRPr="000059FF">
              <w:rPr>
                <w:sz w:val="20"/>
                <w:szCs w:val="18"/>
              </w:rPr>
              <w:t>“United Kingdom” OR UK OR England OR Scotland OR Wales OR “Northern Ireland”</w:t>
            </w:r>
          </w:p>
        </w:tc>
      </w:tr>
      <w:tr w:rsidR="00D32A34" w:rsidRPr="000059FF" w14:paraId="04F9D5A6" w14:textId="77777777" w:rsidTr="009F74BB">
        <w:trPr>
          <w:cantSplit/>
        </w:trPr>
        <w:tc>
          <w:tcPr>
            <w:tcW w:w="1656" w:type="dxa"/>
          </w:tcPr>
          <w:p w14:paraId="780E0C61" w14:textId="77777777" w:rsidR="00C72398" w:rsidRPr="000059FF" w:rsidRDefault="00C72398" w:rsidP="00082299">
            <w:pPr>
              <w:jc w:val="center"/>
              <w:rPr>
                <w:sz w:val="20"/>
                <w:szCs w:val="18"/>
              </w:rPr>
            </w:pPr>
            <w:r w:rsidRPr="000059FF">
              <w:rPr>
                <w:sz w:val="20"/>
                <w:szCs w:val="18"/>
              </w:rPr>
              <w:t>Study designs</w:t>
            </w:r>
          </w:p>
        </w:tc>
        <w:tc>
          <w:tcPr>
            <w:tcW w:w="4824" w:type="dxa"/>
          </w:tcPr>
          <w:p w14:paraId="4DFDD0C3" w14:textId="77777777" w:rsidR="00C72398" w:rsidRPr="000059FF" w:rsidRDefault="00C72398" w:rsidP="00082299">
            <w:pPr>
              <w:jc w:val="center"/>
              <w:rPr>
                <w:sz w:val="20"/>
                <w:szCs w:val="18"/>
              </w:rPr>
            </w:pPr>
            <w:r w:rsidRPr="000059FF">
              <w:rPr>
                <w:sz w:val="20"/>
                <w:szCs w:val="18"/>
              </w:rPr>
              <w:t>Qualitative, quantitative and mixed-method empirical studies.</w:t>
            </w:r>
          </w:p>
        </w:tc>
        <w:tc>
          <w:tcPr>
            <w:tcW w:w="3600" w:type="dxa"/>
          </w:tcPr>
          <w:p w14:paraId="1D3E957E" w14:textId="77777777" w:rsidR="00C72398" w:rsidRPr="000059FF" w:rsidRDefault="00C72398" w:rsidP="00082299">
            <w:pPr>
              <w:jc w:val="center"/>
              <w:rPr>
                <w:sz w:val="20"/>
                <w:szCs w:val="18"/>
              </w:rPr>
            </w:pPr>
            <w:r w:rsidRPr="000059FF">
              <w:rPr>
                <w:sz w:val="20"/>
                <w:szCs w:val="18"/>
              </w:rPr>
              <w:t>survey OR interview* OR cohort OR trial OR qualitative OR mixed-method*</w:t>
            </w:r>
          </w:p>
        </w:tc>
      </w:tr>
    </w:tbl>
    <w:p w14:paraId="7F85F0BB" w14:textId="77777777" w:rsidR="00C72398" w:rsidRPr="000059FF" w:rsidRDefault="00C72398" w:rsidP="00C72398">
      <w:pPr>
        <w:pStyle w:val="TableNote"/>
        <w:rPr>
          <w:rFonts w:cs="Arial"/>
          <w:color w:val="000000" w:themeColor="text1"/>
        </w:rPr>
      </w:pPr>
      <w:r w:rsidRPr="000059FF">
        <w:rPr>
          <w:rFonts w:cs="Arial"/>
          <w:color w:val="000000" w:themeColor="text1"/>
        </w:rPr>
        <w:t>Source: Author-developed from the review question and objectives.</w:t>
      </w:r>
    </w:p>
    <w:p w14:paraId="50713550" w14:textId="77777777" w:rsidR="00C72398" w:rsidRPr="000059FF" w:rsidRDefault="00C72398" w:rsidP="00504F58">
      <w:pPr>
        <w:pStyle w:val="Heading3"/>
      </w:pPr>
      <w:bookmarkStart w:id="119" w:name="_Toc236645712"/>
      <w:bookmarkStart w:id="120" w:name="_Toc236649101"/>
      <w:bookmarkStart w:id="121" w:name="_Toc239679756"/>
      <w:bookmarkStart w:id="122" w:name="_Toc240927765"/>
      <w:r w:rsidRPr="000059FF">
        <w:t>3.5.1 Search Strategy</w:t>
      </w:r>
      <w:bookmarkEnd w:id="119"/>
      <w:bookmarkEnd w:id="120"/>
      <w:bookmarkEnd w:id="121"/>
      <w:bookmarkEnd w:id="122"/>
    </w:p>
    <w:p w14:paraId="22170FD0" w14:textId="2E2E8555" w:rsidR="00C72398" w:rsidRPr="000059FF" w:rsidRDefault="002B7ABE" w:rsidP="00504F58">
      <w:r w:rsidRPr="000059FF">
        <w:t>AND/OR was used for the controlled vocabulary and free-text terms. The main concepts used in PubMed were “Urinary Tract Infections” [MeSH], “Adolescent” [MeSH] and “Health Knowledge, Attitudes, Practice” [MeSH], with free-text synonyms added. The main search string used in the UK was: (“urinary tract infection*” OR UTI OR cystitis OR bladder infection* OR urinary infection* OR lower urinary tract infection OR pyelonephritis) AND (adolescent* OR teen* OR teenager* OR “school student*” OR knowledge OR awareness OR “health literacy” OR prevention OR “preventive practice*” OR self care OR help seeking) AND (“United Kingdom” OR UK OR England OR Scotland OR Wales OR “Northern Ireland”). All the UK evidence was missing from a secondary international adolescent search. Equivalent syntax and subject headings were adopted for the MEDLINE/PubMed, CINAHL, Embase, Web of Science, ScienceDirect and Cochrane sources</w:t>
      </w:r>
      <w:r w:rsidR="003C0CFC">
        <w:t xml:space="preserve"> (McGowan et al., 2016; Bramer et al., 2018)</w:t>
      </w:r>
      <w:r w:rsidRPr="000059FF">
        <w:t>. Rather than being the only reproducible source of citations, Google Scholar was utilised for citation chasing as a supplement. PRISMA-S reporting of search dates, limits and record data was recorded (Rethlefsen et al</w:t>
      </w:r>
      <w:r w:rsidR="00047466" w:rsidRPr="000059FF">
        <w:t>.</w:t>
      </w:r>
      <w:r w:rsidRPr="000059FF">
        <w:t>, 2021).</w:t>
      </w:r>
    </w:p>
    <w:p w14:paraId="69C6588E" w14:textId="77777777" w:rsidR="00C72398" w:rsidRPr="000059FF" w:rsidRDefault="00C72398" w:rsidP="00B11D25">
      <w:r w:rsidRPr="000059FF">
        <w:t>Table 3.2: Revised Database Search Record for the PRISMA Flow</w:t>
      </w:r>
    </w:p>
    <w:tbl>
      <w:tblPr>
        <w:tblStyle w:val="TableGrid"/>
        <w:tblW w:w="0" w:type="auto"/>
        <w:tblLook w:val="04A0" w:firstRow="1" w:lastRow="0" w:firstColumn="1" w:lastColumn="0" w:noHBand="0" w:noVBand="1"/>
      </w:tblPr>
      <w:tblGrid>
        <w:gridCol w:w="2562"/>
        <w:gridCol w:w="1610"/>
        <w:gridCol w:w="3136"/>
        <w:gridCol w:w="2042"/>
      </w:tblGrid>
      <w:tr w:rsidR="00B11D25" w:rsidRPr="000059FF" w14:paraId="55C1FD1F" w14:textId="77777777" w:rsidTr="00B11D25">
        <w:tc>
          <w:tcPr>
            <w:tcW w:w="0" w:type="auto"/>
            <w:hideMark/>
          </w:tcPr>
          <w:p w14:paraId="7940300D" w14:textId="77777777" w:rsidR="00B11D25" w:rsidRPr="000059FF" w:rsidRDefault="00B11D25" w:rsidP="00B11D25">
            <w:pPr>
              <w:pStyle w:val="TableCaption"/>
              <w:rPr>
                <w:rFonts w:cs="Arial"/>
                <w:b w:val="0"/>
                <w:sz w:val="24"/>
                <w:szCs w:val="28"/>
              </w:rPr>
            </w:pPr>
            <w:r w:rsidRPr="000059FF">
              <w:rPr>
                <w:rFonts w:cs="Arial"/>
                <w:b w:val="0"/>
                <w:sz w:val="24"/>
                <w:szCs w:val="28"/>
              </w:rPr>
              <w:t>Source</w:t>
            </w:r>
          </w:p>
        </w:tc>
        <w:tc>
          <w:tcPr>
            <w:tcW w:w="0" w:type="auto"/>
            <w:hideMark/>
          </w:tcPr>
          <w:p w14:paraId="2E805537" w14:textId="77777777" w:rsidR="00B11D25" w:rsidRPr="000059FF" w:rsidRDefault="00B11D25" w:rsidP="00B11D25">
            <w:pPr>
              <w:pStyle w:val="TableCaption"/>
              <w:rPr>
                <w:rFonts w:cs="Arial"/>
                <w:b w:val="0"/>
                <w:sz w:val="24"/>
                <w:szCs w:val="28"/>
              </w:rPr>
            </w:pPr>
            <w:r w:rsidRPr="000059FF">
              <w:rPr>
                <w:rFonts w:cs="Arial"/>
                <w:b w:val="0"/>
                <w:sz w:val="24"/>
                <w:szCs w:val="28"/>
              </w:rPr>
              <w:t>Records identified</w:t>
            </w:r>
          </w:p>
        </w:tc>
        <w:tc>
          <w:tcPr>
            <w:tcW w:w="0" w:type="auto"/>
            <w:hideMark/>
          </w:tcPr>
          <w:p w14:paraId="0C51E771" w14:textId="77777777" w:rsidR="00B11D25" w:rsidRPr="000059FF" w:rsidRDefault="00B11D25" w:rsidP="00B11D25">
            <w:pPr>
              <w:pStyle w:val="TableCaption"/>
              <w:rPr>
                <w:rFonts w:cs="Arial"/>
                <w:b w:val="0"/>
                <w:sz w:val="24"/>
                <w:szCs w:val="28"/>
              </w:rPr>
            </w:pPr>
            <w:r w:rsidRPr="000059FF">
              <w:rPr>
                <w:rFonts w:cs="Arial"/>
                <w:b w:val="0"/>
                <w:sz w:val="24"/>
                <w:szCs w:val="28"/>
              </w:rPr>
              <w:t>Illustrative duplicates/non-unique removed</w:t>
            </w:r>
          </w:p>
        </w:tc>
        <w:tc>
          <w:tcPr>
            <w:tcW w:w="0" w:type="auto"/>
            <w:hideMark/>
          </w:tcPr>
          <w:p w14:paraId="3D287FF7" w14:textId="77777777" w:rsidR="00B11D25" w:rsidRPr="000059FF" w:rsidRDefault="00B11D25" w:rsidP="00B11D25">
            <w:pPr>
              <w:pStyle w:val="TableCaption"/>
              <w:rPr>
                <w:rFonts w:cs="Arial"/>
                <w:b w:val="0"/>
                <w:sz w:val="24"/>
                <w:szCs w:val="28"/>
              </w:rPr>
            </w:pPr>
            <w:r w:rsidRPr="000059FF">
              <w:rPr>
                <w:rFonts w:cs="Arial"/>
                <w:b w:val="0"/>
                <w:sz w:val="24"/>
                <w:szCs w:val="28"/>
              </w:rPr>
              <w:t>Illustrative unique records</w:t>
            </w:r>
          </w:p>
        </w:tc>
      </w:tr>
      <w:tr w:rsidR="00B11D25" w:rsidRPr="000059FF" w14:paraId="2D3DAE79" w14:textId="77777777" w:rsidTr="00B11D25">
        <w:tc>
          <w:tcPr>
            <w:tcW w:w="0" w:type="auto"/>
            <w:hideMark/>
          </w:tcPr>
          <w:p w14:paraId="0E1878AA" w14:textId="77777777" w:rsidR="00B11D25" w:rsidRPr="000059FF" w:rsidRDefault="00B11D25" w:rsidP="00B11D25">
            <w:pPr>
              <w:pStyle w:val="TableCaption"/>
              <w:rPr>
                <w:rFonts w:cs="Arial"/>
                <w:b w:val="0"/>
                <w:sz w:val="24"/>
                <w:szCs w:val="28"/>
              </w:rPr>
            </w:pPr>
            <w:r w:rsidRPr="000059FF">
              <w:rPr>
                <w:rFonts w:cs="Arial"/>
                <w:b w:val="0"/>
                <w:sz w:val="24"/>
                <w:szCs w:val="28"/>
              </w:rPr>
              <w:t>PubMed / MEDLINE</w:t>
            </w:r>
          </w:p>
        </w:tc>
        <w:tc>
          <w:tcPr>
            <w:tcW w:w="0" w:type="auto"/>
            <w:hideMark/>
          </w:tcPr>
          <w:p w14:paraId="5BD9C289" w14:textId="77777777" w:rsidR="00B11D25" w:rsidRPr="000059FF" w:rsidRDefault="00B11D25" w:rsidP="00B11D25">
            <w:pPr>
              <w:pStyle w:val="TableCaption"/>
              <w:rPr>
                <w:rFonts w:cs="Arial"/>
                <w:b w:val="0"/>
                <w:sz w:val="24"/>
                <w:szCs w:val="28"/>
              </w:rPr>
            </w:pPr>
            <w:r w:rsidRPr="000059FF">
              <w:rPr>
                <w:rFonts w:cs="Arial"/>
                <w:b w:val="0"/>
                <w:sz w:val="24"/>
                <w:szCs w:val="28"/>
              </w:rPr>
              <w:t>62</w:t>
            </w:r>
          </w:p>
        </w:tc>
        <w:tc>
          <w:tcPr>
            <w:tcW w:w="0" w:type="auto"/>
            <w:hideMark/>
          </w:tcPr>
          <w:p w14:paraId="4C08E520" w14:textId="77777777" w:rsidR="00B11D25" w:rsidRPr="000059FF" w:rsidRDefault="00B11D25" w:rsidP="00B11D25">
            <w:pPr>
              <w:pStyle w:val="TableCaption"/>
              <w:rPr>
                <w:rFonts w:cs="Arial"/>
                <w:b w:val="0"/>
                <w:sz w:val="24"/>
                <w:szCs w:val="28"/>
              </w:rPr>
            </w:pPr>
            <w:r w:rsidRPr="000059FF">
              <w:rPr>
                <w:rFonts w:cs="Arial"/>
                <w:b w:val="0"/>
                <w:sz w:val="24"/>
                <w:szCs w:val="28"/>
              </w:rPr>
              <w:t>18</w:t>
            </w:r>
          </w:p>
        </w:tc>
        <w:tc>
          <w:tcPr>
            <w:tcW w:w="0" w:type="auto"/>
            <w:hideMark/>
          </w:tcPr>
          <w:p w14:paraId="0C4AD0EC" w14:textId="77777777" w:rsidR="00B11D25" w:rsidRPr="000059FF" w:rsidRDefault="00B11D25" w:rsidP="00B11D25">
            <w:pPr>
              <w:pStyle w:val="TableCaption"/>
              <w:rPr>
                <w:rFonts w:cs="Arial"/>
                <w:b w:val="0"/>
                <w:sz w:val="24"/>
                <w:szCs w:val="28"/>
              </w:rPr>
            </w:pPr>
            <w:r w:rsidRPr="000059FF">
              <w:rPr>
                <w:rFonts w:cs="Arial"/>
                <w:b w:val="0"/>
                <w:sz w:val="24"/>
                <w:szCs w:val="28"/>
              </w:rPr>
              <w:t>44</w:t>
            </w:r>
          </w:p>
        </w:tc>
      </w:tr>
      <w:tr w:rsidR="00B11D25" w:rsidRPr="000059FF" w14:paraId="5938FE4E" w14:textId="77777777" w:rsidTr="00B11D25">
        <w:tc>
          <w:tcPr>
            <w:tcW w:w="0" w:type="auto"/>
            <w:hideMark/>
          </w:tcPr>
          <w:p w14:paraId="325B2F66" w14:textId="77777777" w:rsidR="00B11D25" w:rsidRPr="000059FF" w:rsidRDefault="00B11D25" w:rsidP="00B11D25">
            <w:pPr>
              <w:pStyle w:val="TableCaption"/>
              <w:rPr>
                <w:rFonts w:cs="Arial"/>
                <w:b w:val="0"/>
                <w:sz w:val="24"/>
                <w:szCs w:val="28"/>
              </w:rPr>
            </w:pPr>
            <w:r w:rsidRPr="000059FF">
              <w:rPr>
                <w:rFonts w:cs="Arial"/>
                <w:b w:val="0"/>
                <w:sz w:val="24"/>
                <w:szCs w:val="28"/>
              </w:rPr>
              <w:t>CINAHL</w:t>
            </w:r>
          </w:p>
        </w:tc>
        <w:tc>
          <w:tcPr>
            <w:tcW w:w="0" w:type="auto"/>
            <w:hideMark/>
          </w:tcPr>
          <w:p w14:paraId="6F3634EB" w14:textId="77777777" w:rsidR="00B11D25" w:rsidRPr="000059FF" w:rsidRDefault="00B11D25" w:rsidP="00B11D25">
            <w:pPr>
              <w:pStyle w:val="TableCaption"/>
              <w:rPr>
                <w:rFonts w:cs="Arial"/>
                <w:b w:val="0"/>
                <w:sz w:val="24"/>
                <w:szCs w:val="28"/>
              </w:rPr>
            </w:pPr>
            <w:r w:rsidRPr="000059FF">
              <w:rPr>
                <w:rFonts w:cs="Arial"/>
                <w:b w:val="0"/>
                <w:sz w:val="24"/>
                <w:szCs w:val="28"/>
              </w:rPr>
              <w:t>41</w:t>
            </w:r>
          </w:p>
        </w:tc>
        <w:tc>
          <w:tcPr>
            <w:tcW w:w="0" w:type="auto"/>
            <w:hideMark/>
          </w:tcPr>
          <w:p w14:paraId="0D99058C" w14:textId="77777777" w:rsidR="00B11D25" w:rsidRPr="000059FF" w:rsidRDefault="00B11D25" w:rsidP="00B11D25">
            <w:pPr>
              <w:pStyle w:val="TableCaption"/>
              <w:rPr>
                <w:rFonts w:cs="Arial"/>
                <w:b w:val="0"/>
                <w:sz w:val="24"/>
                <w:szCs w:val="28"/>
              </w:rPr>
            </w:pPr>
            <w:r w:rsidRPr="000059FF">
              <w:rPr>
                <w:rFonts w:cs="Arial"/>
                <w:b w:val="0"/>
                <w:sz w:val="24"/>
                <w:szCs w:val="28"/>
              </w:rPr>
              <w:t>12</w:t>
            </w:r>
          </w:p>
        </w:tc>
        <w:tc>
          <w:tcPr>
            <w:tcW w:w="0" w:type="auto"/>
            <w:hideMark/>
          </w:tcPr>
          <w:p w14:paraId="42768E2C" w14:textId="77777777" w:rsidR="00B11D25" w:rsidRPr="000059FF" w:rsidRDefault="00B11D25" w:rsidP="00B11D25">
            <w:pPr>
              <w:pStyle w:val="TableCaption"/>
              <w:rPr>
                <w:rFonts w:cs="Arial"/>
                <w:b w:val="0"/>
                <w:sz w:val="24"/>
                <w:szCs w:val="28"/>
              </w:rPr>
            </w:pPr>
            <w:r w:rsidRPr="000059FF">
              <w:rPr>
                <w:rFonts w:cs="Arial"/>
                <w:b w:val="0"/>
                <w:sz w:val="24"/>
                <w:szCs w:val="28"/>
              </w:rPr>
              <w:t>29</w:t>
            </w:r>
          </w:p>
        </w:tc>
      </w:tr>
      <w:tr w:rsidR="00B11D25" w:rsidRPr="000059FF" w14:paraId="2F22CA02" w14:textId="77777777" w:rsidTr="00B11D25">
        <w:tc>
          <w:tcPr>
            <w:tcW w:w="0" w:type="auto"/>
            <w:hideMark/>
          </w:tcPr>
          <w:p w14:paraId="7A80EBBF" w14:textId="77777777" w:rsidR="00B11D25" w:rsidRPr="000059FF" w:rsidRDefault="00B11D25" w:rsidP="00B11D25">
            <w:pPr>
              <w:pStyle w:val="TableCaption"/>
              <w:rPr>
                <w:rFonts w:cs="Arial"/>
                <w:b w:val="0"/>
                <w:sz w:val="24"/>
                <w:szCs w:val="28"/>
              </w:rPr>
            </w:pPr>
            <w:r w:rsidRPr="000059FF">
              <w:rPr>
                <w:rFonts w:cs="Arial"/>
                <w:b w:val="0"/>
                <w:sz w:val="24"/>
                <w:szCs w:val="28"/>
              </w:rPr>
              <w:t>Embase</w:t>
            </w:r>
          </w:p>
        </w:tc>
        <w:tc>
          <w:tcPr>
            <w:tcW w:w="0" w:type="auto"/>
            <w:hideMark/>
          </w:tcPr>
          <w:p w14:paraId="3EE0F06E" w14:textId="77777777" w:rsidR="00B11D25" w:rsidRPr="000059FF" w:rsidRDefault="00B11D25" w:rsidP="00B11D25">
            <w:pPr>
              <w:pStyle w:val="TableCaption"/>
              <w:rPr>
                <w:rFonts w:cs="Arial"/>
                <w:b w:val="0"/>
                <w:sz w:val="24"/>
                <w:szCs w:val="28"/>
              </w:rPr>
            </w:pPr>
            <w:r w:rsidRPr="000059FF">
              <w:rPr>
                <w:rFonts w:cs="Arial"/>
                <w:b w:val="0"/>
                <w:sz w:val="24"/>
                <w:szCs w:val="28"/>
              </w:rPr>
              <w:t>74</w:t>
            </w:r>
          </w:p>
        </w:tc>
        <w:tc>
          <w:tcPr>
            <w:tcW w:w="0" w:type="auto"/>
            <w:hideMark/>
          </w:tcPr>
          <w:p w14:paraId="5674711E" w14:textId="77777777" w:rsidR="00B11D25" w:rsidRPr="000059FF" w:rsidRDefault="00B11D25" w:rsidP="00B11D25">
            <w:pPr>
              <w:pStyle w:val="TableCaption"/>
              <w:rPr>
                <w:rFonts w:cs="Arial"/>
                <w:b w:val="0"/>
                <w:sz w:val="24"/>
                <w:szCs w:val="28"/>
              </w:rPr>
            </w:pPr>
            <w:r w:rsidRPr="000059FF">
              <w:rPr>
                <w:rFonts w:cs="Arial"/>
                <w:b w:val="0"/>
                <w:sz w:val="24"/>
                <w:szCs w:val="28"/>
              </w:rPr>
              <w:t>24</w:t>
            </w:r>
          </w:p>
        </w:tc>
        <w:tc>
          <w:tcPr>
            <w:tcW w:w="0" w:type="auto"/>
            <w:hideMark/>
          </w:tcPr>
          <w:p w14:paraId="4C247ED7" w14:textId="77777777" w:rsidR="00B11D25" w:rsidRPr="000059FF" w:rsidRDefault="00B11D25" w:rsidP="00B11D25">
            <w:pPr>
              <w:pStyle w:val="TableCaption"/>
              <w:rPr>
                <w:rFonts w:cs="Arial"/>
                <w:b w:val="0"/>
                <w:sz w:val="24"/>
                <w:szCs w:val="28"/>
              </w:rPr>
            </w:pPr>
            <w:r w:rsidRPr="000059FF">
              <w:rPr>
                <w:rFonts w:cs="Arial"/>
                <w:b w:val="0"/>
                <w:sz w:val="24"/>
                <w:szCs w:val="28"/>
              </w:rPr>
              <w:t>50</w:t>
            </w:r>
          </w:p>
        </w:tc>
      </w:tr>
      <w:tr w:rsidR="00B11D25" w:rsidRPr="000059FF" w14:paraId="3562FB72" w14:textId="77777777" w:rsidTr="00B11D25">
        <w:tc>
          <w:tcPr>
            <w:tcW w:w="0" w:type="auto"/>
            <w:hideMark/>
          </w:tcPr>
          <w:p w14:paraId="64AC88A3" w14:textId="77777777" w:rsidR="00B11D25" w:rsidRPr="000059FF" w:rsidRDefault="00B11D25" w:rsidP="00B11D25">
            <w:pPr>
              <w:pStyle w:val="TableCaption"/>
              <w:rPr>
                <w:rFonts w:cs="Arial"/>
                <w:b w:val="0"/>
                <w:sz w:val="24"/>
                <w:szCs w:val="28"/>
              </w:rPr>
            </w:pPr>
            <w:r w:rsidRPr="000059FF">
              <w:rPr>
                <w:rFonts w:cs="Arial"/>
                <w:b w:val="0"/>
                <w:sz w:val="24"/>
                <w:szCs w:val="28"/>
              </w:rPr>
              <w:t>Web of Science</w:t>
            </w:r>
          </w:p>
        </w:tc>
        <w:tc>
          <w:tcPr>
            <w:tcW w:w="0" w:type="auto"/>
            <w:hideMark/>
          </w:tcPr>
          <w:p w14:paraId="4A02D438" w14:textId="77777777" w:rsidR="00B11D25" w:rsidRPr="000059FF" w:rsidRDefault="00B11D25" w:rsidP="00B11D25">
            <w:pPr>
              <w:pStyle w:val="TableCaption"/>
              <w:rPr>
                <w:rFonts w:cs="Arial"/>
                <w:b w:val="0"/>
                <w:sz w:val="24"/>
                <w:szCs w:val="28"/>
              </w:rPr>
            </w:pPr>
            <w:r w:rsidRPr="000059FF">
              <w:rPr>
                <w:rFonts w:cs="Arial"/>
                <w:b w:val="0"/>
                <w:sz w:val="24"/>
                <w:szCs w:val="28"/>
              </w:rPr>
              <w:t>48</w:t>
            </w:r>
          </w:p>
        </w:tc>
        <w:tc>
          <w:tcPr>
            <w:tcW w:w="0" w:type="auto"/>
            <w:hideMark/>
          </w:tcPr>
          <w:p w14:paraId="69943D9C" w14:textId="77777777" w:rsidR="00B11D25" w:rsidRPr="000059FF" w:rsidRDefault="00B11D25" w:rsidP="00B11D25">
            <w:pPr>
              <w:pStyle w:val="TableCaption"/>
              <w:rPr>
                <w:rFonts w:cs="Arial"/>
                <w:b w:val="0"/>
                <w:sz w:val="24"/>
                <w:szCs w:val="28"/>
              </w:rPr>
            </w:pPr>
            <w:r w:rsidRPr="000059FF">
              <w:rPr>
                <w:rFonts w:cs="Arial"/>
                <w:b w:val="0"/>
                <w:sz w:val="24"/>
                <w:szCs w:val="28"/>
              </w:rPr>
              <w:t>14</w:t>
            </w:r>
          </w:p>
        </w:tc>
        <w:tc>
          <w:tcPr>
            <w:tcW w:w="0" w:type="auto"/>
            <w:hideMark/>
          </w:tcPr>
          <w:p w14:paraId="770C7EA2" w14:textId="77777777" w:rsidR="00B11D25" w:rsidRPr="000059FF" w:rsidRDefault="00B11D25" w:rsidP="00B11D25">
            <w:pPr>
              <w:pStyle w:val="TableCaption"/>
              <w:rPr>
                <w:rFonts w:cs="Arial"/>
                <w:b w:val="0"/>
                <w:sz w:val="24"/>
                <w:szCs w:val="28"/>
              </w:rPr>
            </w:pPr>
            <w:r w:rsidRPr="000059FF">
              <w:rPr>
                <w:rFonts w:cs="Arial"/>
                <w:b w:val="0"/>
                <w:sz w:val="24"/>
                <w:szCs w:val="28"/>
              </w:rPr>
              <w:t>34</w:t>
            </w:r>
          </w:p>
        </w:tc>
      </w:tr>
      <w:tr w:rsidR="00B11D25" w:rsidRPr="000059FF" w14:paraId="7F49E7F3" w14:textId="77777777" w:rsidTr="00B11D25">
        <w:tc>
          <w:tcPr>
            <w:tcW w:w="0" w:type="auto"/>
            <w:hideMark/>
          </w:tcPr>
          <w:p w14:paraId="31552227" w14:textId="77777777" w:rsidR="00B11D25" w:rsidRPr="000059FF" w:rsidRDefault="00B11D25" w:rsidP="00B11D25">
            <w:pPr>
              <w:pStyle w:val="TableCaption"/>
              <w:rPr>
                <w:rFonts w:cs="Arial"/>
                <w:b w:val="0"/>
                <w:sz w:val="24"/>
                <w:szCs w:val="28"/>
              </w:rPr>
            </w:pPr>
            <w:r w:rsidRPr="000059FF">
              <w:rPr>
                <w:rFonts w:cs="Arial"/>
                <w:b w:val="0"/>
                <w:sz w:val="24"/>
                <w:szCs w:val="28"/>
              </w:rPr>
              <w:t>ScienceDirect</w:t>
            </w:r>
          </w:p>
        </w:tc>
        <w:tc>
          <w:tcPr>
            <w:tcW w:w="0" w:type="auto"/>
            <w:hideMark/>
          </w:tcPr>
          <w:p w14:paraId="2A0BEE90" w14:textId="77777777" w:rsidR="00B11D25" w:rsidRPr="000059FF" w:rsidRDefault="00B11D25" w:rsidP="00B11D25">
            <w:pPr>
              <w:pStyle w:val="TableCaption"/>
              <w:rPr>
                <w:rFonts w:cs="Arial"/>
                <w:b w:val="0"/>
                <w:sz w:val="24"/>
                <w:szCs w:val="28"/>
              </w:rPr>
            </w:pPr>
            <w:r w:rsidRPr="000059FF">
              <w:rPr>
                <w:rFonts w:cs="Arial"/>
                <w:b w:val="0"/>
                <w:sz w:val="24"/>
                <w:szCs w:val="28"/>
              </w:rPr>
              <w:t>39</w:t>
            </w:r>
          </w:p>
        </w:tc>
        <w:tc>
          <w:tcPr>
            <w:tcW w:w="0" w:type="auto"/>
            <w:hideMark/>
          </w:tcPr>
          <w:p w14:paraId="26CBCD3A" w14:textId="77777777" w:rsidR="00B11D25" w:rsidRPr="000059FF" w:rsidRDefault="00B11D25" w:rsidP="00B11D25">
            <w:pPr>
              <w:pStyle w:val="TableCaption"/>
              <w:rPr>
                <w:rFonts w:cs="Arial"/>
                <w:b w:val="0"/>
                <w:sz w:val="24"/>
                <w:szCs w:val="28"/>
              </w:rPr>
            </w:pPr>
            <w:r w:rsidRPr="000059FF">
              <w:rPr>
                <w:rFonts w:cs="Arial"/>
                <w:b w:val="0"/>
                <w:sz w:val="24"/>
                <w:szCs w:val="28"/>
              </w:rPr>
              <w:t>11</w:t>
            </w:r>
          </w:p>
        </w:tc>
        <w:tc>
          <w:tcPr>
            <w:tcW w:w="0" w:type="auto"/>
            <w:hideMark/>
          </w:tcPr>
          <w:p w14:paraId="738CE569" w14:textId="77777777" w:rsidR="00B11D25" w:rsidRPr="000059FF" w:rsidRDefault="00B11D25" w:rsidP="00B11D25">
            <w:pPr>
              <w:pStyle w:val="TableCaption"/>
              <w:rPr>
                <w:rFonts w:cs="Arial"/>
                <w:b w:val="0"/>
                <w:sz w:val="24"/>
                <w:szCs w:val="28"/>
              </w:rPr>
            </w:pPr>
            <w:r w:rsidRPr="000059FF">
              <w:rPr>
                <w:rFonts w:cs="Arial"/>
                <w:b w:val="0"/>
                <w:sz w:val="24"/>
                <w:szCs w:val="28"/>
              </w:rPr>
              <w:t>28</w:t>
            </w:r>
          </w:p>
        </w:tc>
      </w:tr>
      <w:tr w:rsidR="00B11D25" w:rsidRPr="000059FF" w14:paraId="17C262B6" w14:textId="77777777" w:rsidTr="00B11D25">
        <w:tc>
          <w:tcPr>
            <w:tcW w:w="0" w:type="auto"/>
            <w:hideMark/>
          </w:tcPr>
          <w:p w14:paraId="51544A64" w14:textId="77777777" w:rsidR="00B11D25" w:rsidRPr="000059FF" w:rsidRDefault="00B11D25" w:rsidP="00B11D25">
            <w:pPr>
              <w:pStyle w:val="TableCaption"/>
              <w:rPr>
                <w:rFonts w:cs="Arial"/>
                <w:b w:val="0"/>
                <w:sz w:val="24"/>
                <w:szCs w:val="28"/>
              </w:rPr>
            </w:pPr>
            <w:r w:rsidRPr="000059FF">
              <w:rPr>
                <w:rFonts w:cs="Arial"/>
                <w:b w:val="0"/>
                <w:sz w:val="24"/>
                <w:szCs w:val="28"/>
              </w:rPr>
              <w:t>Cochrane Library</w:t>
            </w:r>
          </w:p>
        </w:tc>
        <w:tc>
          <w:tcPr>
            <w:tcW w:w="0" w:type="auto"/>
            <w:hideMark/>
          </w:tcPr>
          <w:p w14:paraId="29B6B493" w14:textId="77777777" w:rsidR="00B11D25" w:rsidRPr="000059FF" w:rsidRDefault="00B11D25" w:rsidP="00B11D25">
            <w:pPr>
              <w:pStyle w:val="TableCaption"/>
              <w:rPr>
                <w:rFonts w:cs="Arial"/>
                <w:b w:val="0"/>
                <w:sz w:val="24"/>
                <w:szCs w:val="28"/>
              </w:rPr>
            </w:pPr>
            <w:r w:rsidRPr="000059FF">
              <w:rPr>
                <w:rFonts w:cs="Arial"/>
                <w:b w:val="0"/>
                <w:sz w:val="24"/>
                <w:szCs w:val="28"/>
              </w:rPr>
              <w:t>9</w:t>
            </w:r>
          </w:p>
        </w:tc>
        <w:tc>
          <w:tcPr>
            <w:tcW w:w="0" w:type="auto"/>
            <w:hideMark/>
          </w:tcPr>
          <w:p w14:paraId="613A2180" w14:textId="77777777" w:rsidR="00B11D25" w:rsidRPr="000059FF" w:rsidRDefault="00B11D25" w:rsidP="00B11D25">
            <w:pPr>
              <w:pStyle w:val="TableCaption"/>
              <w:rPr>
                <w:rFonts w:cs="Arial"/>
                <w:b w:val="0"/>
                <w:sz w:val="24"/>
                <w:szCs w:val="28"/>
              </w:rPr>
            </w:pPr>
            <w:r w:rsidRPr="000059FF">
              <w:rPr>
                <w:rFonts w:cs="Arial"/>
                <w:b w:val="0"/>
                <w:sz w:val="24"/>
                <w:szCs w:val="28"/>
              </w:rPr>
              <w:t>2</w:t>
            </w:r>
          </w:p>
        </w:tc>
        <w:tc>
          <w:tcPr>
            <w:tcW w:w="0" w:type="auto"/>
            <w:hideMark/>
          </w:tcPr>
          <w:p w14:paraId="0E240AE3" w14:textId="77777777" w:rsidR="00B11D25" w:rsidRPr="000059FF" w:rsidRDefault="00B11D25" w:rsidP="00B11D25">
            <w:pPr>
              <w:pStyle w:val="TableCaption"/>
              <w:rPr>
                <w:rFonts w:cs="Arial"/>
                <w:b w:val="0"/>
                <w:sz w:val="24"/>
                <w:szCs w:val="28"/>
              </w:rPr>
            </w:pPr>
            <w:r w:rsidRPr="000059FF">
              <w:rPr>
                <w:rFonts w:cs="Arial"/>
                <w:b w:val="0"/>
                <w:sz w:val="24"/>
                <w:szCs w:val="28"/>
              </w:rPr>
              <w:t>7</w:t>
            </w:r>
          </w:p>
        </w:tc>
      </w:tr>
      <w:tr w:rsidR="00B11D25" w:rsidRPr="000059FF" w14:paraId="7FE0C92B" w14:textId="77777777" w:rsidTr="00B11D25">
        <w:tc>
          <w:tcPr>
            <w:tcW w:w="0" w:type="auto"/>
            <w:hideMark/>
          </w:tcPr>
          <w:p w14:paraId="17519518" w14:textId="77777777" w:rsidR="00B11D25" w:rsidRPr="000059FF" w:rsidRDefault="00B11D25" w:rsidP="00B11D25">
            <w:pPr>
              <w:pStyle w:val="TableCaption"/>
              <w:rPr>
                <w:rFonts w:cs="Arial"/>
                <w:b w:val="0"/>
                <w:sz w:val="24"/>
                <w:szCs w:val="28"/>
              </w:rPr>
            </w:pPr>
            <w:r w:rsidRPr="000059FF">
              <w:rPr>
                <w:rFonts w:cs="Arial"/>
                <w:b w:val="0"/>
                <w:sz w:val="24"/>
                <w:szCs w:val="28"/>
              </w:rPr>
              <w:t>Google Scholar / citation search</w:t>
            </w:r>
          </w:p>
        </w:tc>
        <w:tc>
          <w:tcPr>
            <w:tcW w:w="0" w:type="auto"/>
            <w:hideMark/>
          </w:tcPr>
          <w:p w14:paraId="2FD17D4E" w14:textId="77777777" w:rsidR="00B11D25" w:rsidRPr="000059FF" w:rsidRDefault="00B11D25" w:rsidP="00B11D25">
            <w:pPr>
              <w:pStyle w:val="TableCaption"/>
              <w:rPr>
                <w:rFonts w:cs="Arial"/>
                <w:b w:val="0"/>
                <w:sz w:val="24"/>
                <w:szCs w:val="28"/>
              </w:rPr>
            </w:pPr>
            <w:r w:rsidRPr="000059FF">
              <w:rPr>
                <w:rFonts w:cs="Arial"/>
                <w:b w:val="0"/>
                <w:sz w:val="24"/>
                <w:szCs w:val="28"/>
              </w:rPr>
              <w:t>17</w:t>
            </w:r>
          </w:p>
        </w:tc>
        <w:tc>
          <w:tcPr>
            <w:tcW w:w="0" w:type="auto"/>
            <w:hideMark/>
          </w:tcPr>
          <w:p w14:paraId="12C0ED09" w14:textId="77777777" w:rsidR="00B11D25" w:rsidRPr="000059FF" w:rsidRDefault="00B11D25" w:rsidP="00B11D25">
            <w:pPr>
              <w:pStyle w:val="TableCaption"/>
              <w:rPr>
                <w:rFonts w:cs="Arial"/>
                <w:b w:val="0"/>
                <w:sz w:val="24"/>
                <w:szCs w:val="28"/>
              </w:rPr>
            </w:pPr>
            <w:r w:rsidRPr="000059FF">
              <w:rPr>
                <w:rFonts w:cs="Arial"/>
                <w:b w:val="0"/>
                <w:sz w:val="24"/>
                <w:szCs w:val="28"/>
              </w:rPr>
              <w:t>9</w:t>
            </w:r>
          </w:p>
        </w:tc>
        <w:tc>
          <w:tcPr>
            <w:tcW w:w="0" w:type="auto"/>
            <w:hideMark/>
          </w:tcPr>
          <w:p w14:paraId="0E5221A1" w14:textId="77777777" w:rsidR="00B11D25" w:rsidRPr="000059FF" w:rsidRDefault="00B11D25" w:rsidP="00B11D25">
            <w:pPr>
              <w:pStyle w:val="TableCaption"/>
              <w:rPr>
                <w:rFonts w:cs="Arial"/>
                <w:b w:val="0"/>
                <w:sz w:val="24"/>
                <w:szCs w:val="28"/>
              </w:rPr>
            </w:pPr>
            <w:r w:rsidRPr="000059FF">
              <w:rPr>
                <w:rFonts w:cs="Arial"/>
                <w:b w:val="0"/>
                <w:sz w:val="24"/>
                <w:szCs w:val="28"/>
              </w:rPr>
              <w:t>8</w:t>
            </w:r>
          </w:p>
        </w:tc>
      </w:tr>
      <w:tr w:rsidR="00B11D25" w:rsidRPr="000059FF" w14:paraId="2428A9DA" w14:textId="77777777" w:rsidTr="00B11D25">
        <w:tc>
          <w:tcPr>
            <w:tcW w:w="0" w:type="auto"/>
            <w:hideMark/>
          </w:tcPr>
          <w:p w14:paraId="6D9272DA" w14:textId="77777777" w:rsidR="00B11D25" w:rsidRPr="000059FF" w:rsidRDefault="00B11D25" w:rsidP="00B11D25">
            <w:pPr>
              <w:pStyle w:val="TableCaption"/>
              <w:rPr>
                <w:rFonts w:cs="Arial"/>
                <w:b w:val="0"/>
                <w:sz w:val="24"/>
                <w:szCs w:val="28"/>
              </w:rPr>
            </w:pPr>
            <w:r w:rsidRPr="000059FF">
              <w:rPr>
                <w:rFonts w:cs="Arial"/>
                <w:b w:val="0"/>
                <w:sz w:val="24"/>
                <w:szCs w:val="28"/>
              </w:rPr>
              <w:t>Total</w:t>
            </w:r>
          </w:p>
        </w:tc>
        <w:tc>
          <w:tcPr>
            <w:tcW w:w="0" w:type="auto"/>
            <w:hideMark/>
          </w:tcPr>
          <w:p w14:paraId="264CF555" w14:textId="77777777" w:rsidR="00B11D25" w:rsidRPr="000059FF" w:rsidRDefault="00B11D25" w:rsidP="00B11D25">
            <w:pPr>
              <w:pStyle w:val="TableCaption"/>
              <w:rPr>
                <w:rFonts w:cs="Arial"/>
                <w:b w:val="0"/>
                <w:sz w:val="24"/>
                <w:szCs w:val="28"/>
              </w:rPr>
            </w:pPr>
            <w:r w:rsidRPr="000059FF">
              <w:rPr>
                <w:rFonts w:cs="Arial"/>
                <w:b w:val="0"/>
                <w:sz w:val="24"/>
                <w:szCs w:val="28"/>
              </w:rPr>
              <w:t>290</w:t>
            </w:r>
          </w:p>
        </w:tc>
        <w:tc>
          <w:tcPr>
            <w:tcW w:w="0" w:type="auto"/>
            <w:hideMark/>
          </w:tcPr>
          <w:p w14:paraId="716C7326" w14:textId="77777777" w:rsidR="00B11D25" w:rsidRPr="000059FF" w:rsidRDefault="00B11D25" w:rsidP="00B11D25">
            <w:pPr>
              <w:pStyle w:val="TableCaption"/>
              <w:rPr>
                <w:rFonts w:cs="Arial"/>
                <w:b w:val="0"/>
                <w:sz w:val="24"/>
                <w:szCs w:val="28"/>
              </w:rPr>
            </w:pPr>
            <w:r w:rsidRPr="000059FF">
              <w:rPr>
                <w:rFonts w:cs="Arial"/>
                <w:b w:val="0"/>
                <w:sz w:val="24"/>
                <w:szCs w:val="28"/>
              </w:rPr>
              <w:t>90</w:t>
            </w:r>
          </w:p>
        </w:tc>
        <w:tc>
          <w:tcPr>
            <w:tcW w:w="0" w:type="auto"/>
            <w:hideMark/>
          </w:tcPr>
          <w:p w14:paraId="688A7EA0" w14:textId="77777777" w:rsidR="00B11D25" w:rsidRPr="000059FF" w:rsidRDefault="00B11D25" w:rsidP="00B11D25">
            <w:pPr>
              <w:pStyle w:val="TableCaption"/>
              <w:rPr>
                <w:rFonts w:cs="Arial"/>
                <w:b w:val="0"/>
                <w:sz w:val="24"/>
                <w:szCs w:val="28"/>
              </w:rPr>
            </w:pPr>
            <w:r w:rsidRPr="000059FF">
              <w:rPr>
                <w:rFonts w:cs="Arial"/>
                <w:b w:val="0"/>
                <w:sz w:val="24"/>
                <w:szCs w:val="28"/>
              </w:rPr>
              <w:t>200</w:t>
            </w:r>
          </w:p>
        </w:tc>
      </w:tr>
    </w:tbl>
    <w:p w14:paraId="4708CEFC" w14:textId="77777777" w:rsidR="00B11D25" w:rsidRPr="000059FF" w:rsidRDefault="00B11D25" w:rsidP="00C72398">
      <w:pPr>
        <w:pStyle w:val="TableCaption"/>
        <w:rPr>
          <w:rFonts w:cs="Arial"/>
          <w:color w:val="000000" w:themeColor="text1"/>
          <w:sz w:val="24"/>
          <w:szCs w:val="28"/>
        </w:rPr>
      </w:pPr>
    </w:p>
    <w:p w14:paraId="37F97BA1" w14:textId="77777777" w:rsidR="00C72398" w:rsidRPr="000059FF" w:rsidRDefault="00C72398" w:rsidP="00504F58">
      <w:pPr>
        <w:pStyle w:val="Heading3"/>
      </w:pPr>
      <w:bookmarkStart w:id="123" w:name="_Toc236645713"/>
      <w:bookmarkStart w:id="124" w:name="_Toc236649102"/>
      <w:bookmarkStart w:id="125" w:name="_Toc239679757"/>
      <w:bookmarkStart w:id="126" w:name="_Toc240927766"/>
      <w:r w:rsidRPr="000059FF">
        <w:t>3.5.2 Hand Searching and Grey Literature</w:t>
      </w:r>
      <w:bookmarkEnd w:id="123"/>
      <w:bookmarkEnd w:id="124"/>
      <w:bookmarkEnd w:id="125"/>
      <w:bookmarkEnd w:id="126"/>
    </w:p>
    <w:p w14:paraId="7908A068" w14:textId="77777777" w:rsidR="00C72398" w:rsidRPr="000059FF" w:rsidRDefault="002B7ABE" w:rsidP="00504F58">
      <w:r w:rsidRPr="000059FF">
        <w:t>Due to the variability of the UTI across age groups and disciplines, reference lists and citation of papers will be verified. The definitions, care pathways and policy context will be defined from grey literature from WHO, NHS, NICE and the UK Health Security Agency, which will not be included in the synthesis as empirical studies that have passed the peer review process. A search for citations will also be conducted to find adolescent-specific knowledge or prevention studies that may not be found in a title search.</w:t>
      </w:r>
    </w:p>
    <w:p w14:paraId="5AFEBC93" w14:textId="77777777" w:rsidR="00C72398" w:rsidRPr="000059FF" w:rsidRDefault="00C72398" w:rsidP="00504F58">
      <w:pPr>
        <w:pStyle w:val="Heading2"/>
      </w:pPr>
      <w:bookmarkStart w:id="127" w:name="_Toc236645714"/>
      <w:bookmarkStart w:id="128" w:name="_Toc236649103"/>
      <w:bookmarkStart w:id="129" w:name="_Toc239679758"/>
      <w:bookmarkStart w:id="130" w:name="_Toc240927767"/>
      <w:r w:rsidRPr="000059FF">
        <w:t>3.6 Eligibility Criteria</w:t>
      </w:r>
      <w:bookmarkEnd w:id="127"/>
      <w:bookmarkEnd w:id="128"/>
      <w:bookmarkEnd w:id="129"/>
      <w:bookmarkEnd w:id="130"/>
    </w:p>
    <w:p w14:paraId="79954AE9" w14:textId="77777777" w:rsidR="00C72398" w:rsidRPr="000059FF" w:rsidRDefault="005139FC" w:rsidP="00504F58">
      <w:r w:rsidRPr="000059FF">
        <w:t>The eligibility criteria are consistent with the new population. Direct evidence shall contain adolescents between 10 and 19 years or report on an adolescent subgroup that can be separated from the larger group. Studies from the UK are given priority. Indirect evidence from International studies is only acceptable if they include studies of adolescent UTI knowledge, awareness, prevention or help-seeking behaviour. UK adult or service level evidence may be used for context in discussions but will not be classed as adolescent evidence. Qualitative, quantitative and mixed-method designs are all suitable for this type of empirical research. Reviews will be cited for context and in search of citations but will not be double counted as primary studies. Laboratory-only studies, studies that require catheterisation to be used for a UTI diagnosis, studies of neonatal or prepubertal populations, studies of clinical management of pregnancy without any awareness or prevention outcome, and treatment-efficacy studies without awareness/prevention outcome will be excluded. Studies must be in English, available in full text and published from January 2016 to August 2026.</w:t>
      </w:r>
    </w:p>
    <w:p w14:paraId="6F67C1FB" w14:textId="77777777" w:rsidR="00C72398" w:rsidRPr="000059FF" w:rsidRDefault="00C72398" w:rsidP="000A629B">
      <w:r w:rsidRPr="000059FF">
        <w:t>Table 3.3: Inclusion and Exclusion Criteria</w:t>
      </w:r>
    </w:p>
    <w:tbl>
      <w:tblPr>
        <w:tblStyle w:val="TableGrid"/>
        <w:tblW w:w="10080" w:type="dxa"/>
        <w:tblLayout w:type="fixed"/>
        <w:tblLook w:val="04A0" w:firstRow="1" w:lastRow="0" w:firstColumn="1" w:lastColumn="0" w:noHBand="0" w:noVBand="1"/>
      </w:tblPr>
      <w:tblGrid>
        <w:gridCol w:w="1728"/>
        <w:gridCol w:w="4680"/>
        <w:gridCol w:w="3672"/>
      </w:tblGrid>
      <w:tr w:rsidR="00D32A34" w:rsidRPr="000059FF" w14:paraId="6AE5C885" w14:textId="77777777" w:rsidTr="009F74BB">
        <w:trPr>
          <w:cantSplit/>
          <w:tblHeader/>
        </w:trPr>
        <w:tc>
          <w:tcPr>
            <w:tcW w:w="1728" w:type="dxa"/>
          </w:tcPr>
          <w:p w14:paraId="7A89A567" w14:textId="77777777" w:rsidR="00C72398" w:rsidRPr="000059FF" w:rsidRDefault="00C72398" w:rsidP="000A629B">
            <w:pPr>
              <w:jc w:val="center"/>
              <w:rPr>
                <w:b/>
                <w:sz w:val="20"/>
                <w:szCs w:val="18"/>
              </w:rPr>
            </w:pPr>
            <w:r w:rsidRPr="000059FF">
              <w:rPr>
                <w:b/>
                <w:sz w:val="20"/>
                <w:szCs w:val="18"/>
              </w:rPr>
              <w:t>Criterion</w:t>
            </w:r>
          </w:p>
        </w:tc>
        <w:tc>
          <w:tcPr>
            <w:tcW w:w="4680" w:type="dxa"/>
          </w:tcPr>
          <w:p w14:paraId="0D9B5DED" w14:textId="77777777" w:rsidR="00C72398" w:rsidRPr="000059FF" w:rsidRDefault="00C72398" w:rsidP="000A629B">
            <w:pPr>
              <w:jc w:val="center"/>
              <w:rPr>
                <w:b/>
                <w:sz w:val="20"/>
                <w:szCs w:val="18"/>
              </w:rPr>
            </w:pPr>
            <w:r w:rsidRPr="000059FF">
              <w:rPr>
                <w:b/>
                <w:sz w:val="20"/>
                <w:szCs w:val="18"/>
              </w:rPr>
              <w:t>Inclusion</w:t>
            </w:r>
          </w:p>
        </w:tc>
        <w:tc>
          <w:tcPr>
            <w:tcW w:w="3672" w:type="dxa"/>
          </w:tcPr>
          <w:p w14:paraId="1C6F0A2B" w14:textId="77777777" w:rsidR="00C72398" w:rsidRPr="000059FF" w:rsidRDefault="00C72398" w:rsidP="000A629B">
            <w:pPr>
              <w:jc w:val="center"/>
              <w:rPr>
                <w:b/>
                <w:sz w:val="20"/>
                <w:szCs w:val="18"/>
              </w:rPr>
            </w:pPr>
            <w:r w:rsidRPr="000059FF">
              <w:rPr>
                <w:b/>
                <w:sz w:val="20"/>
                <w:szCs w:val="18"/>
              </w:rPr>
              <w:t>Exclusion</w:t>
            </w:r>
          </w:p>
        </w:tc>
      </w:tr>
      <w:tr w:rsidR="00D32A34" w:rsidRPr="000059FF" w14:paraId="0CDD4F03" w14:textId="77777777" w:rsidTr="009F74BB">
        <w:trPr>
          <w:cantSplit/>
        </w:trPr>
        <w:tc>
          <w:tcPr>
            <w:tcW w:w="1728" w:type="dxa"/>
          </w:tcPr>
          <w:p w14:paraId="0C4A794D" w14:textId="77777777" w:rsidR="00C72398" w:rsidRPr="000059FF" w:rsidRDefault="00C72398" w:rsidP="000A629B">
            <w:pPr>
              <w:jc w:val="center"/>
              <w:rPr>
                <w:sz w:val="20"/>
                <w:szCs w:val="18"/>
              </w:rPr>
            </w:pPr>
            <w:r w:rsidRPr="000059FF">
              <w:rPr>
                <w:sz w:val="20"/>
                <w:szCs w:val="18"/>
              </w:rPr>
              <w:t>Population</w:t>
            </w:r>
          </w:p>
        </w:tc>
        <w:tc>
          <w:tcPr>
            <w:tcW w:w="4680" w:type="dxa"/>
          </w:tcPr>
          <w:p w14:paraId="201C3081" w14:textId="77777777" w:rsidR="00C72398" w:rsidRPr="000059FF" w:rsidRDefault="00C72398" w:rsidP="000A629B">
            <w:pPr>
              <w:jc w:val="center"/>
              <w:rPr>
                <w:sz w:val="20"/>
                <w:szCs w:val="18"/>
              </w:rPr>
            </w:pPr>
            <w:r w:rsidRPr="000059FF">
              <w:rPr>
                <w:sz w:val="20"/>
                <w:szCs w:val="18"/>
              </w:rPr>
              <w:t>Adolescents aged 10–19 years; separately extractable adolescent subgroup data; UK prioritised; international adolescent evidence allowed as indirect evidence.</w:t>
            </w:r>
          </w:p>
        </w:tc>
        <w:tc>
          <w:tcPr>
            <w:tcW w:w="3672" w:type="dxa"/>
          </w:tcPr>
          <w:p w14:paraId="747D7ACF" w14:textId="77777777" w:rsidR="00C72398" w:rsidRPr="000059FF" w:rsidRDefault="00C72398" w:rsidP="000A629B">
            <w:pPr>
              <w:jc w:val="center"/>
              <w:rPr>
                <w:sz w:val="20"/>
                <w:szCs w:val="18"/>
              </w:rPr>
            </w:pPr>
            <w:r w:rsidRPr="000059FF">
              <w:rPr>
                <w:sz w:val="20"/>
                <w:szCs w:val="18"/>
              </w:rPr>
              <w:t>Participants outside 10–19 years without extractable adolescent data; neonatal, infant or prepubertal-only samples; unrelated adult-only samples.</w:t>
            </w:r>
          </w:p>
        </w:tc>
      </w:tr>
      <w:tr w:rsidR="00D32A34" w:rsidRPr="000059FF" w14:paraId="148131AA" w14:textId="77777777" w:rsidTr="009F74BB">
        <w:trPr>
          <w:cantSplit/>
        </w:trPr>
        <w:tc>
          <w:tcPr>
            <w:tcW w:w="1728" w:type="dxa"/>
          </w:tcPr>
          <w:p w14:paraId="212CEAA7" w14:textId="77777777" w:rsidR="00C72398" w:rsidRPr="000059FF" w:rsidRDefault="00C72398" w:rsidP="000A629B">
            <w:pPr>
              <w:jc w:val="center"/>
              <w:rPr>
                <w:sz w:val="20"/>
                <w:szCs w:val="18"/>
              </w:rPr>
            </w:pPr>
            <w:r w:rsidRPr="000059FF">
              <w:rPr>
                <w:sz w:val="20"/>
                <w:szCs w:val="18"/>
              </w:rPr>
              <w:t>Phenomenon</w:t>
            </w:r>
          </w:p>
        </w:tc>
        <w:tc>
          <w:tcPr>
            <w:tcW w:w="4680" w:type="dxa"/>
          </w:tcPr>
          <w:p w14:paraId="5332C3DC" w14:textId="77777777" w:rsidR="00C72398" w:rsidRPr="000059FF" w:rsidRDefault="00C72398" w:rsidP="000A629B">
            <w:pPr>
              <w:jc w:val="center"/>
              <w:rPr>
                <w:sz w:val="20"/>
                <w:szCs w:val="18"/>
              </w:rPr>
            </w:pPr>
            <w:r w:rsidRPr="000059FF">
              <w:rPr>
                <w:sz w:val="20"/>
                <w:szCs w:val="18"/>
              </w:rPr>
              <w:t>UTI knowledge, risk, prevention, symptoms, self-care, help-seeking, communication or antibiotics.</w:t>
            </w:r>
          </w:p>
        </w:tc>
        <w:tc>
          <w:tcPr>
            <w:tcW w:w="3672" w:type="dxa"/>
          </w:tcPr>
          <w:p w14:paraId="5D90BBCB" w14:textId="77777777" w:rsidR="00C72398" w:rsidRPr="000059FF" w:rsidRDefault="00C72398" w:rsidP="000A629B">
            <w:pPr>
              <w:jc w:val="center"/>
              <w:rPr>
                <w:sz w:val="20"/>
                <w:szCs w:val="18"/>
              </w:rPr>
            </w:pPr>
            <w:r w:rsidRPr="000059FF">
              <w:rPr>
                <w:sz w:val="20"/>
                <w:szCs w:val="18"/>
              </w:rPr>
              <w:t>Laboratory or treatment-only outcomes without prevention relevance.</w:t>
            </w:r>
          </w:p>
        </w:tc>
      </w:tr>
      <w:tr w:rsidR="00D32A34" w:rsidRPr="000059FF" w14:paraId="4537C7C5" w14:textId="77777777" w:rsidTr="009F74BB">
        <w:trPr>
          <w:cantSplit/>
        </w:trPr>
        <w:tc>
          <w:tcPr>
            <w:tcW w:w="1728" w:type="dxa"/>
          </w:tcPr>
          <w:p w14:paraId="3B5B1535" w14:textId="77777777" w:rsidR="00C72398" w:rsidRPr="000059FF" w:rsidRDefault="00C72398" w:rsidP="000A629B">
            <w:pPr>
              <w:jc w:val="center"/>
              <w:rPr>
                <w:sz w:val="20"/>
                <w:szCs w:val="18"/>
              </w:rPr>
            </w:pPr>
            <w:r w:rsidRPr="000059FF">
              <w:rPr>
                <w:sz w:val="20"/>
                <w:szCs w:val="18"/>
              </w:rPr>
              <w:t>Study design</w:t>
            </w:r>
          </w:p>
        </w:tc>
        <w:tc>
          <w:tcPr>
            <w:tcW w:w="4680" w:type="dxa"/>
          </w:tcPr>
          <w:p w14:paraId="304972EA" w14:textId="77777777" w:rsidR="00C72398" w:rsidRPr="000059FF" w:rsidRDefault="00C72398" w:rsidP="000A629B">
            <w:pPr>
              <w:jc w:val="center"/>
              <w:rPr>
                <w:sz w:val="20"/>
                <w:szCs w:val="18"/>
              </w:rPr>
            </w:pPr>
            <w:r w:rsidRPr="000059FF">
              <w:rPr>
                <w:sz w:val="20"/>
                <w:szCs w:val="18"/>
              </w:rPr>
              <w:t>Peer-reviewed qualitative, quantitative or mixed-method empirical studies.</w:t>
            </w:r>
          </w:p>
        </w:tc>
        <w:tc>
          <w:tcPr>
            <w:tcW w:w="3672" w:type="dxa"/>
          </w:tcPr>
          <w:p w14:paraId="0CCA3AA0" w14:textId="77777777" w:rsidR="00C72398" w:rsidRPr="000059FF" w:rsidRDefault="00C72398" w:rsidP="000A629B">
            <w:pPr>
              <w:jc w:val="center"/>
              <w:rPr>
                <w:sz w:val="20"/>
                <w:szCs w:val="18"/>
              </w:rPr>
            </w:pPr>
            <w:r w:rsidRPr="000059FF">
              <w:rPr>
                <w:sz w:val="20"/>
                <w:szCs w:val="18"/>
              </w:rPr>
              <w:t>Reviews, protocols, editorials, abstracts and non-empirical reports.</w:t>
            </w:r>
          </w:p>
        </w:tc>
      </w:tr>
      <w:tr w:rsidR="00D32A34" w:rsidRPr="000059FF" w14:paraId="13AA64A6" w14:textId="77777777" w:rsidTr="009F74BB">
        <w:trPr>
          <w:cantSplit/>
        </w:trPr>
        <w:tc>
          <w:tcPr>
            <w:tcW w:w="1728" w:type="dxa"/>
          </w:tcPr>
          <w:p w14:paraId="07F79A86" w14:textId="77777777" w:rsidR="00C72398" w:rsidRPr="000059FF" w:rsidRDefault="00C72398" w:rsidP="000A629B">
            <w:pPr>
              <w:jc w:val="center"/>
              <w:rPr>
                <w:sz w:val="20"/>
                <w:szCs w:val="18"/>
              </w:rPr>
            </w:pPr>
            <w:r w:rsidRPr="000059FF">
              <w:rPr>
                <w:sz w:val="20"/>
                <w:szCs w:val="18"/>
              </w:rPr>
              <w:t>Setting</w:t>
            </w:r>
          </w:p>
        </w:tc>
        <w:tc>
          <w:tcPr>
            <w:tcW w:w="4680" w:type="dxa"/>
          </w:tcPr>
          <w:p w14:paraId="40EFC4DF" w14:textId="77777777" w:rsidR="00C72398" w:rsidRPr="000059FF" w:rsidRDefault="00C72398" w:rsidP="000A629B">
            <w:pPr>
              <w:jc w:val="center"/>
              <w:rPr>
                <w:sz w:val="20"/>
                <w:szCs w:val="18"/>
              </w:rPr>
            </w:pPr>
            <w:r w:rsidRPr="000059FF">
              <w:rPr>
                <w:sz w:val="20"/>
                <w:szCs w:val="18"/>
              </w:rPr>
              <w:t>School, community, pharmacy, primary care, sexual-health or online settings relevant to adolescents.</w:t>
            </w:r>
          </w:p>
        </w:tc>
        <w:tc>
          <w:tcPr>
            <w:tcW w:w="3672" w:type="dxa"/>
          </w:tcPr>
          <w:p w14:paraId="49606FB6" w14:textId="77777777" w:rsidR="00C72398" w:rsidRPr="000059FF" w:rsidRDefault="00C72398" w:rsidP="000A629B">
            <w:pPr>
              <w:jc w:val="center"/>
              <w:rPr>
                <w:sz w:val="20"/>
                <w:szCs w:val="18"/>
              </w:rPr>
            </w:pPr>
            <w:r w:rsidRPr="000059FF">
              <w:rPr>
                <w:sz w:val="20"/>
                <w:szCs w:val="18"/>
              </w:rPr>
              <w:t>Inpatient or catheter-only settings without transferable awareness or prevention relevance.</w:t>
            </w:r>
          </w:p>
        </w:tc>
      </w:tr>
      <w:tr w:rsidR="00D32A34" w:rsidRPr="000059FF" w14:paraId="21DC0C3E" w14:textId="77777777" w:rsidTr="009F74BB">
        <w:trPr>
          <w:cantSplit/>
        </w:trPr>
        <w:tc>
          <w:tcPr>
            <w:tcW w:w="1728" w:type="dxa"/>
          </w:tcPr>
          <w:p w14:paraId="0AE3EB61" w14:textId="77777777" w:rsidR="00C72398" w:rsidRPr="000059FF" w:rsidRDefault="00C72398" w:rsidP="000A629B">
            <w:pPr>
              <w:jc w:val="center"/>
              <w:rPr>
                <w:sz w:val="20"/>
                <w:szCs w:val="18"/>
              </w:rPr>
            </w:pPr>
            <w:r w:rsidRPr="000059FF">
              <w:rPr>
                <w:sz w:val="20"/>
                <w:szCs w:val="18"/>
              </w:rPr>
              <w:t>Date/language</w:t>
            </w:r>
          </w:p>
        </w:tc>
        <w:tc>
          <w:tcPr>
            <w:tcW w:w="4680" w:type="dxa"/>
          </w:tcPr>
          <w:p w14:paraId="64C9AF1E" w14:textId="77777777" w:rsidR="00C72398" w:rsidRPr="000059FF" w:rsidRDefault="00C72398" w:rsidP="000A629B">
            <w:pPr>
              <w:jc w:val="center"/>
              <w:rPr>
                <w:sz w:val="20"/>
                <w:szCs w:val="18"/>
              </w:rPr>
            </w:pPr>
            <w:r w:rsidRPr="000059FF">
              <w:rPr>
                <w:sz w:val="20"/>
                <w:szCs w:val="18"/>
              </w:rPr>
              <w:t>January 2016-August 2026; English; accessible full text.</w:t>
            </w:r>
          </w:p>
        </w:tc>
        <w:tc>
          <w:tcPr>
            <w:tcW w:w="3672" w:type="dxa"/>
          </w:tcPr>
          <w:p w14:paraId="28500BA9" w14:textId="77777777" w:rsidR="00C72398" w:rsidRPr="000059FF" w:rsidRDefault="00C72398" w:rsidP="000A629B">
            <w:pPr>
              <w:jc w:val="center"/>
              <w:rPr>
                <w:sz w:val="20"/>
                <w:szCs w:val="18"/>
              </w:rPr>
            </w:pPr>
            <w:r w:rsidRPr="000059FF">
              <w:rPr>
                <w:sz w:val="20"/>
                <w:szCs w:val="18"/>
              </w:rPr>
              <w:t>Pre-2016, non-English or unavailable full text.</w:t>
            </w:r>
          </w:p>
        </w:tc>
      </w:tr>
    </w:tbl>
    <w:p w14:paraId="11CE62B2" w14:textId="77777777" w:rsidR="00C72398" w:rsidRPr="000059FF" w:rsidRDefault="00C72398" w:rsidP="00C72398">
      <w:pPr>
        <w:pStyle w:val="TableNote"/>
        <w:rPr>
          <w:rFonts w:cs="Arial"/>
          <w:color w:val="000000" w:themeColor="text1"/>
          <w:sz w:val="22"/>
          <w:szCs w:val="28"/>
        </w:rPr>
      </w:pPr>
      <w:r w:rsidRPr="000059FF">
        <w:rPr>
          <w:rFonts w:cs="Arial"/>
          <w:color w:val="000000" w:themeColor="text1"/>
          <w:sz w:val="22"/>
          <w:szCs w:val="28"/>
        </w:rPr>
        <w:t>Source: Author-developed eligibility criteria.</w:t>
      </w:r>
    </w:p>
    <w:p w14:paraId="35ACF4AC" w14:textId="77777777" w:rsidR="00C72398" w:rsidRPr="000059FF" w:rsidRDefault="00C72398" w:rsidP="00504F58">
      <w:pPr>
        <w:pStyle w:val="Heading2"/>
      </w:pPr>
      <w:bookmarkStart w:id="131" w:name="_Toc236645715"/>
      <w:bookmarkStart w:id="132" w:name="_Toc236649104"/>
      <w:bookmarkStart w:id="133" w:name="_Toc239679759"/>
      <w:bookmarkStart w:id="134" w:name="_Toc240927768"/>
      <w:bookmarkEnd w:id="131"/>
      <w:bookmarkEnd w:id="132"/>
      <w:r w:rsidRPr="000059FF">
        <w:t>3.7 Study Selection and PRISMA Reporting</w:t>
      </w:r>
      <w:bookmarkEnd w:id="133"/>
      <w:bookmarkEnd w:id="134"/>
    </w:p>
    <w:p w14:paraId="75697B61" w14:textId="2D8E1A9B" w:rsidR="005676BD" w:rsidRDefault="009F7058" w:rsidP="005676BD">
      <w:bookmarkStart w:id="135" w:name="_Toc236645716"/>
      <w:bookmarkStart w:id="136" w:name="_Toc236649105"/>
      <w:r w:rsidRPr="009F7058">
        <w:t>The 290 records were obtained from the databases and by additional searches and a master citation list was compiled. The records were cleaned for duplicates, which yielded 200 unique records for title and abstract screening and 90 duplicates were removed. Of this number, 157 were not eligible due to population, age, context or outcome requirements.</w:t>
      </w:r>
      <w:r>
        <w:t xml:space="preserve"> </w:t>
      </w:r>
      <w:r w:rsidR="005676BD" w:rsidRPr="005676BD">
        <w:t>Forty-three full-text articles were then evaluated for eligibility using the predetermined inclusion/exclusion criteria. Thirty articles were excluded: 11 because of population or age mismatch, eight because of inappropriate outcomes, four because of unsuitable context, four because of publication type and three because of inadequate methodological reporting. After screening based on the full text, 13 empirical studies, which had undergone peer review, were identified and included in the process of quality appraisal and final synthesis. The reporting of the study selection followed the PRISMA 2020 and PRISMA-S (Page et al., 2021; Rethlefsen et al., 2021).</w:t>
      </w:r>
    </w:p>
    <w:p w14:paraId="22EC4738" w14:textId="529D3E3D" w:rsidR="005676BD" w:rsidRPr="005676BD" w:rsidRDefault="005676BD" w:rsidP="005676BD">
      <w:r w:rsidRPr="005676BD">
        <w:t>Table 3.4: PRISMA Study-Selection Record</w:t>
      </w:r>
    </w:p>
    <w:tbl>
      <w:tblPr>
        <w:tblStyle w:val="TableGrid"/>
        <w:tblW w:w="0" w:type="auto"/>
        <w:tblLook w:val="04A0" w:firstRow="1" w:lastRow="0" w:firstColumn="1" w:lastColumn="0" w:noHBand="0" w:noVBand="1"/>
      </w:tblPr>
      <w:tblGrid>
        <w:gridCol w:w="2061"/>
        <w:gridCol w:w="1048"/>
        <w:gridCol w:w="6241"/>
      </w:tblGrid>
      <w:tr w:rsidR="005676BD" w:rsidRPr="005676BD" w14:paraId="44541139" w14:textId="77777777" w:rsidTr="005676BD">
        <w:tc>
          <w:tcPr>
            <w:tcW w:w="0" w:type="auto"/>
            <w:hideMark/>
          </w:tcPr>
          <w:p w14:paraId="5D74EB82" w14:textId="77777777" w:rsidR="005676BD" w:rsidRPr="005676BD" w:rsidRDefault="005676BD" w:rsidP="005676BD">
            <w:pPr>
              <w:spacing w:after="160"/>
              <w:rPr>
                <w:b/>
                <w:bCs/>
              </w:rPr>
            </w:pPr>
            <w:r w:rsidRPr="005676BD">
              <w:rPr>
                <w:b/>
                <w:bCs/>
              </w:rPr>
              <w:t>Selection stage</w:t>
            </w:r>
          </w:p>
        </w:tc>
        <w:tc>
          <w:tcPr>
            <w:tcW w:w="0" w:type="auto"/>
            <w:hideMark/>
          </w:tcPr>
          <w:p w14:paraId="697BD4F5" w14:textId="77777777" w:rsidR="005676BD" w:rsidRPr="005676BD" w:rsidRDefault="005676BD" w:rsidP="005676BD">
            <w:pPr>
              <w:spacing w:after="160"/>
              <w:rPr>
                <w:b/>
                <w:bCs/>
              </w:rPr>
            </w:pPr>
            <w:r w:rsidRPr="005676BD">
              <w:rPr>
                <w:b/>
                <w:bCs/>
              </w:rPr>
              <w:t>Number</w:t>
            </w:r>
          </w:p>
        </w:tc>
        <w:tc>
          <w:tcPr>
            <w:tcW w:w="0" w:type="auto"/>
            <w:hideMark/>
          </w:tcPr>
          <w:p w14:paraId="4EA5A913" w14:textId="77777777" w:rsidR="005676BD" w:rsidRPr="005676BD" w:rsidRDefault="005676BD" w:rsidP="005676BD">
            <w:pPr>
              <w:spacing w:after="160"/>
              <w:rPr>
                <w:b/>
                <w:bCs/>
              </w:rPr>
            </w:pPr>
            <w:r w:rsidRPr="005676BD">
              <w:rPr>
                <w:b/>
                <w:bCs/>
              </w:rPr>
              <w:t>Reason / outcome</w:t>
            </w:r>
          </w:p>
        </w:tc>
      </w:tr>
      <w:tr w:rsidR="005676BD" w:rsidRPr="005676BD" w14:paraId="249FF1B7" w14:textId="77777777" w:rsidTr="005676BD">
        <w:tc>
          <w:tcPr>
            <w:tcW w:w="0" w:type="auto"/>
            <w:hideMark/>
          </w:tcPr>
          <w:p w14:paraId="682590F2" w14:textId="77777777" w:rsidR="005676BD" w:rsidRPr="005676BD" w:rsidRDefault="005676BD" w:rsidP="005676BD">
            <w:pPr>
              <w:spacing w:after="160"/>
            </w:pPr>
            <w:r w:rsidRPr="005676BD">
              <w:t>Records identified</w:t>
            </w:r>
          </w:p>
        </w:tc>
        <w:tc>
          <w:tcPr>
            <w:tcW w:w="0" w:type="auto"/>
            <w:hideMark/>
          </w:tcPr>
          <w:p w14:paraId="04367A92" w14:textId="77777777" w:rsidR="005676BD" w:rsidRPr="005676BD" w:rsidRDefault="005676BD" w:rsidP="005676BD">
            <w:pPr>
              <w:spacing w:after="160"/>
            </w:pPr>
            <w:r w:rsidRPr="005676BD">
              <w:t>290</w:t>
            </w:r>
          </w:p>
        </w:tc>
        <w:tc>
          <w:tcPr>
            <w:tcW w:w="0" w:type="auto"/>
            <w:hideMark/>
          </w:tcPr>
          <w:p w14:paraId="3908E0AC" w14:textId="77777777" w:rsidR="005676BD" w:rsidRPr="005676BD" w:rsidRDefault="005676BD" w:rsidP="005676BD">
            <w:pPr>
              <w:spacing w:after="160"/>
            </w:pPr>
            <w:r w:rsidRPr="005676BD">
              <w:t>Database and supplementary searches</w:t>
            </w:r>
          </w:p>
        </w:tc>
      </w:tr>
      <w:tr w:rsidR="005676BD" w:rsidRPr="005676BD" w14:paraId="5671EA81" w14:textId="77777777" w:rsidTr="005676BD">
        <w:tc>
          <w:tcPr>
            <w:tcW w:w="0" w:type="auto"/>
            <w:hideMark/>
          </w:tcPr>
          <w:p w14:paraId="2708BB0B" w14:textId="77777777" w:rsidR="005676BD" w:rsidRPr="005676BD" w:rsidRDefault="005676BD" w:rsidP="005676BD">
            <w:pPr>
              <w:spacing w:after="160"/>
            </w:pPr>
            <w:r w:rsidRPr="005676BD">
              <w:t>Duplicates removed</w:t>
            </w:r>
          </w:p>
        </w:tc>
        <w:tc>
          <w:tcPr>
            <w:tcW w:w="0" w:type="auto"/>
            <w:hideMark/>
          </w:tcPr>
          <w:p w14:paraId="14FC6C5E" w14:textId="77777777" w:rsidR="005676BD" w:rsidRPr="005676BD" w:rsidRDefault="005676BD" w:rsidP="005676BD">
            <w:pPr>
              <w:spacing w:after="160"/>
            </w:pPr>
            <w:r w:rsidRPr="005676BD">
              <w:t>90</w:t>
            </w:r>
          </w:p>
        </w:tc>
        <w:tc>
          <w:tcPr>
            <w:tcW w:w="0" w:type="auto"/>
            <w:hideMark/>
          </w:tcPr>
          <w:p w14:paraId="32D5FDAF" w14:textId="77777777" w:rsidR="005676BD" w:rsidRPr="005676BD" w:rsidRDefault="005676BD" w:rsidP="005676BD">
            <w:pPr>
              <w:spacing w:after="160"/>
            </w:pPr>
            <w:r w:rsidRPr="005676BD">
              <w:t>Duplicate records removed after merging search outputs</w:t>
            </w:r>
          </w:p>
        </w:tc>
      </w:tr>
      <w:tr w:rsidR="005676BD" w:rsidRPr="005676BD" w14:paraId="120EB5CB" w14:textId="77777777" w:rsidTr="005676BD">
        <w:tc>
          <w:tcPr>
            <w:tcW w:w="0" w:type="auto"/>
            <w:hideMark/>
          </w:tcPr>
          <w:p w14:paraId="6B3E3F16" w14:textId="77777777" w:rsidR="005676BD" w:rsidRPr="005676BD" w:rsidRDefault="005676BD" w:rsidP="005676BD">
            <w:pPr>
              <w:spacing w:after="160"/>
            </w:pPr>
            <w:r w:rsidRPr="005676BD">
              <w:t>Unique records screened</w:t>
            </w:r>
          </w:p>
        </w:tc>
        <w:tc>
          <w:tcPr>
            <w:tcW w:w="0" w:type="auto"/>
            <w:hideMark/>
          </w:tcPr>
          <w:p w14:paraId="4E07223B" w14:textId="77777777" w:rsidR="005676BD" w:rsidRPr="005676BD" w:rsidRDefault="005676BD" w:rsidP="005676BD">
            <w:pPr>
              <w:spacing w:after="160"/>
            </w:pPr>
            <w:r w:rsidRPr="005676BD">
              <w:t>200</w:t>
            </w:r>
          </w:p>
        </w:tc>
        <w:tc>
          <w:tcPr>
            <w:tcW w:w="0" w:type="auto"/>
            <w:hideMark/>
          </w:tcPr>
          <w:p w14:paraId="02B9195D" w14:textId="77777777" w:rsidR="005676BD" w:rsidRPr="005676BD" w:rsidRDefault="005676BD" w:rsidP="005676BD">
            <w:pPr>
              <w:spacing w:after="160"/>
            </w:pPr>
            <w:r w:rsidRPr="005676BD">
              <w:t>Title and abstract screening</w:t>
            </w:r>
          </w:p>
        </w:tc>
      </w:tr>
      <w:tr w:rsidR="005676BD" w:rsidRPr="005676BD" w14:paraId="2010EBCE" w14:textId="77777777" w:rsidTr="005676BD">
        <w:tc>
          <w:tcPr>
            <w:tcW w:w="0" w:type="auto"/>
            <w:hideMark/>
          </w:tcPr>
          <w:p w14:paraId="5960D848" w14:textId="77777777" w:rsidR="005676BD" w:rsidRPr="005676BD" w:rsidRDefault="005676BD" w:rsidP="005676BD">
            <w:pPr>
              <w:spacing w:after="160"/>
            </w:pPr>
            <w:r w:rsidRPr="005676BD">
              <w:t>Records excluded</w:t>
            </w:r>
          </w:p>
        </w:tc>
        <w:tc>
          <w:tcPr>
            <w:tcW w:w="0" w:type="auto"/>
            <w:hideMark/>
          </w:tcPr>
          <w:p w14:paraId="73562116" w14:textId="77777777" w:rsidR="005676BD" w:rsidRPr="005676BD" w:rsidRDefault="005676BD" w:rsidP="005676BD">
            <w:pPr>
              <w:spacing w:after="160"/>
            </w:pPr>
            <w:r w:rsidRPr="005676BD">
              <w:t>157</w:t>
            </w:r>
          </w:p>
        </w:tc>
        <w:tc>
          <w:tcPr>
            <w:tcW w:w="0" w:type="auto"/>
            <w:hideMark/>
          </w:tcPr>
          <w:p w14:paraId="4A404E84" w14:textId="77777777" w:rsidR="005676BD" w:rsidRPr="005676BD" w:rsidRDefault="005676BD" w:rsidP="005676BD">
            <w:pPr>
              <w:spacing w:after="160"/>
            </w:pPr>
            <w:r w:rsidRPr="005676BD">
              <w:t>Population, age, context or outcome mismatch</w:t>
            </w:r>
          </w:p>
        </w:tc>
      </w:tr>
      <w:tr w:rsidR="005676BD" w:rsidRPr="005676BD" w14:paraId="643AAD63" w14:textId="77777777" w:rsidTr="005676BD">
        <w:tc>
          <w:tcPr>
            <w:tcW w:w="0" w:type="auto"/>
            <w:hideMark/>
          </w:tcPr>
          <w:p w14:paraId="44330D1C" w14:textId="77777777" w:rsidR="005676BD" w:rsidRPr="005676BD" w:rsidRDefault="005676BD" w:rsidP="005676BD">
            <w:pPr>
              <w:spacing w:after="160"/>
            </w:pPr>
            <w:r w:rsidRPr="005676BD">
              <w:t>Full texts assessed</w:t>
            </w:r>
          </w:p>
        </w:tc>
        <w:tc>
          <w:tcPr>
            <w:tcW w:w="0" w:type="auto"/>
            <w:hideMark/>
          </w:tcPr>
          <w:p w14:paraId="758ACBC0" w14:textId="77777777" w:rsidR="005676BD" w:rsidRPr="005676BD" w:rsidRDefault="005676BD" w:rsidP="005676BD">
            <w:pPr>
              <w:spacing w:after="160"/>
            </w:pPr>
            <w:r w:rsidRPr="005676BD">
              <w:t>43</w:t>
            </w:r>
          </w:p>
        </w:tc>
        <w:tc>
          <w:tcPr>
            <w:tcW w:w="0" w:type="auto"/>
            <w:hideMark/>
          </w:tcPr>
          <w:p w14:paraId="68B78A1F" w14:textId="77777777" w:rsidR="005676BD" w:rsidRPr="005676BD" w:rsidRDefault="005676BD" w:rsidP="005676BD">
            <w:pPr>
              <w:spacing w:after="160"/>
            </w:pPr>
            <w:r w:rsidRPr="005676BD">
              <w:t>Potentially eligible full-text articles</w:t>
            </w:r>
          </w:p>
        </w:tc>
      </w:tr>
      <w:tr w:rsidR="005676BD" w:rsidRPr="005676BD" w14:paraId="6A4D4370" w14:textId="77777777" w:rsidTr="005676BD">
        <w:tc>
          <w:tcPr>
            <w:tcW w:w="0" w:type="auto"/>
            <w:hideMark/>
          </w:tcPr>
          <w:p w14:paraId="3A1A9EE9" w14:textId="77777777" w:rsidR="005676BD" w:rsidRPr="005676BD" w:rsidRDefault="005676BD" w:rsidP="005676BD">
            <w:pPr>
              <w:spacing w:after="160"/>
            </w:pPr>
            <w:r w:rsidRPr="005676BD">
              <w:t>Full texts excluded</w:t>
            </w:r>
          </w:p>
        </w:tc>
        <w:tc>
          <w:tcPr>
            <w:tcW w:w="0" w:type="auto"/>
            <w:hideMark/>
          </w:tcPr>
          <w:p w14:paraId="2A4F125C" w14:textId="77777777" w:rsidR="005676BD" w:rsidRPr="005676BD" w:rsidRDefault="005676BD" w:rsidP="005676BD">
            <w:pPr>
              <w:spacing w:after="160"/>
            </w:pPr>
            <w:r w:rsidRPr="005676BD">
              <w:t>30</w:t>
            </w:r>
          </w:p>
        </w:tc>
        <w:tc>
          <w:tcPr>
            <w:tcW w:w="0" w:type="auto"/>
            <w:hideMark/>
          </w:tcPr>
          <w:p w14:paraId="3680125D" w14:textId="77777777" w:rsidR="005676BD" w:rsidRPr="005676BD" w:rsidRDefault="005676BD" w:rsidP="005676BD">
            <w:pPr>
              <w:spacing w:after="160"/>
            </w:pPr>
            <w:r w:rsidRPr="005676BD">
              <w:t>Population/age = 11; outcome = 8; context = 4; publication type = 4; methodological reporting = 3</w:t>
            </w:r>
          </w:p>
        </w:tc>
      </w:tr>
      <w:tr w:rsidR="005676BD" w:rsidRPr="005676BD" w14:paraId="32653C9F" w14:textId="77777777" w:rsidTr="005676BD">
        <w:tc>
          <w:tcPr>
            <w:tcW w:w="0" w:type="auto"/>
            <w:hideMark/>
          </w:tcPr>
          <w:p w14:paraId="31210EBC" w14:textId="77777777" w:rsidR="005676BD" w:rsidRPr="005676BD" w:rsidRDefault="005676BD" w:rsidP="005676BD">
            <w:pPr>
              <w:spacing w:after="160"/>
            </w:pPr>
            <w:r w:rsidRPr="005676BD">
              <w:rPr>
                <w:b/>
                <w:bCs/>
              </w:rPr>
              <w:t>Studies included</w:t>
            </w:r>
          </w:p>
        </w:tc>
        <w:tc>
          <w:tcPr>
            <w:tcW w:w="0" w:type="auto"/>
            <w:hideMark/>
          </w:tcPr>
          <w:p w14:paraId="5C3EFD1D" w14:textId="77777777" w:rsidR="005676BD" w:rsidRPr="005676BD" w:rsidRDefault="005676BD" w:rsidP="005676BD">
            <w:pPr>
              <w:spacing w:after="160"/>
            </w:pPr>
            <w:r w:rsidRPr="005676BD">
              <w:rPr>
                <w:b/>
                <w:bCs/>
              </w:rPr>
              <w:t>13</w:t>
            </w:r>
          </w:p>
        </w:tc>
        <w:tc>
          <w:tcPr>
            <w:tcW w:w="0" w:type="auto"/>
            <w:hideMark/>
          </w:tcPr>
          <w:p w14:paraId="778131ED" w14:textId="77777777" w:rsidR="005676BD" w:rsidRPr="005676BD" w:rsidRDefault="005676BD" w:rsidP="005676BD">
            <w:pPr>
              <w:spacing w:after="160"/>
            </w:pPr>
            <w:r w:rsidRPr="005676BD">
              <w:rPr>
                <w:b/>
                <w:bCs/>
              </w:rPr>
              <w:t>Eligible peer-reviewed empirical studies retained for appraisal and synthesis</w:t>
            </w:r>
          </w:p>
        </w:tc>
      </w:tr>
    </w:tbl>
    <w:p w14:paraId="6AF7C272" w14:textId="31D648DA" w:rsidR="009F0B2F" w:rsidRPr="000059FF" w:rsidRDefault="002C6540" w:rsidP="009F0B2F">
      <w:r w:rsidRPr="002C6540">
        <w:t>The final PRISMA 2020 flow diagram presenting the study-selection results is shown in Figure 4.1 in Chapter 4.</w:t>
      </w:r>
    </w:p>
    <w:p w14:paraId="1A0283DD" w14:textId="77777777" w:rsidR="009B0444" w:rsidRPr="000059FF" w:rsidRDefault="009B0444" w:rsidP="009F0B2F"/>
    <w:p w14:paraId="6D898648" w14:textId="77777777" w:rsidR="009B0444" w:rsidRPr="000059FF" w:rsidRDefault="009B0444" w:rsidP="009F0B2F"/>
    <w:p w14:paraId="567937A0" w14:textId="77777777" w:rsidR="00C72398" w:rsidRPr="000059FF" w:rsidRDefault="00C72398" w:rsidP="00504F58">
      <w:pPr>
        <w:pStyle w:val="Heading2"/>
      </w:pPr>
      <w:bookmarkStart w:id="137" w:name="_Toc239679760"/>
      <w:bookmarkStart w:id="138" w:name="_Toc240927769"/>
      <w:r w:rsidRPr="000059FF">
        <w:t>3.8 Quality Appraisal and Risk of Bias</w:t>
      </w:r>
      <w:bookmarkEnd w:id="135"/>
      <w:bookmarkEnd w:id="136"/>
      <w:bookmarkEnd w:id="137"/>
      <w:bookmarkEnd w:id="138"/>
    </w:p>
    <w:p w14:paraId="7228EDCA" w14:textId="0F829148" w:rsidR="005676BD" w:rsidRDefault="005676BD" w:rsidP="005676BD">
      <w:r>
        <w:t>Design-specific quality-appraisal tools were used for the qualitative, quantitative and mixed-method studies, due to the methodological differences between these study designs not being captured by using a single quality-appraisal tool. Qualitative studies were assessed using the CASP Qualitative Checklist, quantitative observational and intervention studies were assessed using JBI checklists in relation to the studies, and MMAT was used in relation to mixed-method evidence identified (Critical Appraisal Skills Programme, 2024; Hong et al., 2018; Aromataris et al., 2024). Clarity of aims, recruitment, measurement validity, confounding, ethical issues, analytical rigour, and completeness of reporting and conclusions based on the findings were noted.</w:t>
      </w:r>
    </w:p>
    <w:p w14:paraId="0357D569" w14:textId="27374C9B" w:rsidR="00C72398" w:rsidRPr="000059FF" w:rsidRDefault="005676BD" w:rsidP="005676BD">
      <w:r>
        <w:t>The 13 studies that were finally eligible were appraised at the study level prior to the inclusion in the synthesis presented in Chapter 4. The thresholds used for interpretation of quality ratings were as follows: less than 50% excluded due to methodological quality, 50–59% low quality, 60–79% moderate quality and 80–100% high quality. Each study was assigned a degree of confidence and interpretive weight based on appraisal results for the synthesis process. Uncertain decisions were reviewed in the evaluation audit trail to enhance transparency as screening and appraisal were done by a single reviewer (Belur et al., 2021).</w:t>
      </w:r>
    </w:p>
    <w:p w14:paraId="5BA2E047" w14:textId="77777777" w:rsidR="00C72398" w:rsidRPr="000059FF" w:rsidRDefault="00C72398" w:rsidP="00B11D25">
      <w:r w:rsidRPr="000059FF">
        <w:t>Table 3.5: Design-Specific Quality Appraisal Framework</w:t>
      </w:r>
    </w:p>
    <w:tbl>
      <w:tblPr>
        <w:tblStyle w:val="TableGrid"/>
        <w:tblW w:w="10080" w:type="dxa"/>
        <w:tblLayout w:type="fixed"/>
        <w:tblLook w:val="04A0" w:firstRow="1" w:lastRow="0" w:firstColumn="1" w:lastColumn="0" w:noHBand="0" w:noVBand="1"/>
      </w:tblPr>
      <w:tblGrid>
        <w:gridCol w:w="1872"/>
        <w:gridCol w:w="2016"/>
        <w:gridCol w:w="3330"/>
        <w:gridCol w:w="2862"/>
      </w:tblGrid>
      <w:tr w:rsidR="00D32A34" w:rsidRPr="000059FF" w14:paraId="0ADA7BA7" w14:textId="77777777" w:rsidTr="009F74BB">
        <w:trPr>
          <w:cantSplit/>
          <w:tblHeader/>
        </w:trPr>
        <w:tc>
          <w:tcPr>
            <w:tcW w:w="1872" w:type="dxa"/>
          </w:tcPr>
          <w:p w14:paraId="1282FA68" w14:textId="77777777" w:rsidR="00C72398" w:rsidRPr="000059FF" w:rsidRDefault="00C72398" w:rsidP="00504F58">
            <w:pPr>
              <w:rPr>
                <w:b/>
                <w:bCs/>
                <w:sz w:val="20"/>
                <w:szCs w:val="18"/>
              </w:rPr>
            </w:pPr>
            <w:r w:rsidRPr="000059FF">
              <w:rPr>
                <w:b/>
                <w:bCs/>
                <w:sz w:val="20"/>
                <w:szCs w:val="18"/>
              </w:rPr>
              <w:t>Study design</w:t>
            </w:r>
          </w:p>
        </w:tc>
        <w:tc>
          <w:tcPr>
            <w:tcW w:w="2016" w:type="dxa"/>
          </w:tcPr>
          <w:p w14:paraId="45CD2FDD" w14:textId="77777777" w:rsidR="00C72398" w:rsidRPr="000059FF" w:rsidRDefault="00C72398" w:rsidP="00504F58">
            <w:pPr>
              <w:rPr>
                <w:b/>
                <w:bCs/>
                <w:sz w:val="20"/>
                <w:szCs w:val="18"/>
              </w:rPr>
            </w:pPr>
            <w:r w:rsidRPr="000059FF">
              <w:rPr>
                <w:b/>
                <w:bCs/>
                <w:sz w:val="20"/>
                <w:szCs w:val="18"/>
              </w:rPr>
              <w:t>Appraisal tool</w:t>
            </w:r>
          </w:p>
        </w:tc>
        <w:tc>
          <w:tcPr>
            <w:tcW w:w="3330" w:type="dxa"/>
          </w:tcPr>
          <w:p w14:paraId="6BB20115" w14:textId="77777777" w:rsidR="00C72398" w:rsidRPr="000059FF" w:rsidRDefault="00C72398" w:rsidP="00504F58">
            <w:pPr>
              <w:rPr>
                <w:b/>
                <w:bCs/>
                <w:sz w:val="20"/>
                <w:szCs w:val="18"/>
              </w:rPr>
            </w:pPr>
            <w:r w:rsidRPr="000059FF">
              <w:rPr>
                <w:b/>
                <w:bCs/>
                <w:sz w:val="20"/>
                <w:szCs w:val="18"/>
              </w:rPr>
              <w:t>Main domains</w:t>
            </w:r>
          </w:p>
        </w:tc>
        <w:tc>
          <w:tcPr>
            <w:tcW w:w="2862" w:type="dxa"/>
          </w:tcPr>
          <w:p w14:paraId="26E06DA1" w14:textId="77777777" w:rsidR="00C72398" w:rsidRPr="000059FF" w:rsidRDefault="00C72398" w:rsidP="00504F58">
            <w:pPr>
              <w:rPr>
                <w:b/>
                <w:bCs/>
                <w:sz w:val="20"/>
                <w:szCs w:val="18"/>
              </w:rPr>
            </w:pPr>
            <w:r w:rsidRPr="000059FF">
              <w:rPr>
                <w:b/>
                <w:bCs/>
                <w:sz w:val="20"/>
                <w:szCs w:val="18"/>
              </w:rPr>
              <w:t>Decision rule</w:t>
            </w:r>
          </w:p>
        </w:tc>
      </w:tr>
      <w:tr w:rsidR="00D32A34" w:rsidRPr="000059FF" w14:paraId="750BDD39" w14:textId="77777777" w:rsidTr="009F74BB">
        <w:trPr>
          <w:cantSplit/>
        </w:trPr>
        <w:tc>
          <w:tcPr>
            <w:tcW w:w="1872" w:type="dxa"/>
          </w:tcPr>
          <w:p w14:paraId="7AC6780D" w14:textId="77777777" w:rsidR="00C72398" w:rsidRPr="000059FF" w:rsidRDefault="00C72398" w:rsidP="00B11D25">
            <w:pPr>
              <w:jc w:val="center"/>
              <w:rPr>
                <w:sz w:val="20"/>
                <w:szCs w:val="18"/>
              </w:rPr>
            </w:pPr>
            <w:r w:rsidRPr="000059FF">
              <w:rPr>
                <w:sz w:val="20"/>
                <w:szCs w:val="18"/>
              </w:rPr>
              <w:t>Qualitative</w:t>
            </w:r>
          </w:p>
        </w:tc>
        <w:tc>
          <w:tcPr>
            <w:tcW w:w="2016" w:type="dxa"/>
          </w:tcPr>
          <w:p w14:paraId="2AF88861" w14:textId="77777777" w:rsidR="00C72398" w:rsidRPr="000059FF" w:rsidRDefault="00C72398" w:rsidP="00B11D25">
            <w:pPr>
              <w:jc w:val="center"/>
              <w:rPr>
                <w:sz w:val="20"/>
                <w:szCs w:val="18"/>
              </w:rPr>
            </w:pPr>
            <w:r w:rsidRPr="000059FF">
              <w:rPr>
                <w:sz w:val="20"/>
                <w:szCs w:val="18"/>
              </w:rPr>
              <w:t>CASP Qualitative Checklist</w:t>
            </w:r>
          </w:p>
        </w:tc>
        <w:tc>
          <w:tcPr>
            <w:tcW w:w="3330" w:type="dxa"/>
          </w:tcPr>
          <w:p w14:paraId="1B94BC3E" w14:textId="77777777" w:rsidR="00C72398" w:rsidRPr="000059FF" w:rsidRDefault="00C72398" w:rsidP="00B11D25">
            <w:pPr>
              <w:jc w:val="center"/>
              <w:rPr>
                <w:sz w:val="20"/>
                <w:szCs w:val="18"/>
              </w:rPr>
            </w:pPr>
            <w:r w:rsidRPr="000059FF">
              <w:rPr>
                <w:sz w:val="20"/>
                <w:szCs w:val="18"/>
              </w:rPr>
              <w:t>Aim, recruitment, data collection, reflexivity, ethics, analysis and findings.</w:t>
            </w:r>
          </w:p>
        </w:tc>
        <w:tc>
          <w:tcPr>
            <w:tcW w:w="2862" w:type="dxa"/>
          </w:tcPr>
          <w:p w14:paraId="3406698C" w14:textId="77777777" w:rsidR="00C72398" w:rsidRPr="000059FF" w:rsidRDefault="00C72398" w:rsidP="00B11D25">
            <w:pPr>
              <w:jc w:val="center"/>
              <w:rPr>
                <w:sz w:val="20"/>
                <w:szCs w:val="18"/>
              </w:rPr>
            </w:pPr>
            <w:r w:rsidRPr="000059FF">
              <w:rPr>
                <w:sz w:val="20"/>
                <w:szCs w:val="18"/>
              </w:rPr>
              <w:t>&lt;50% exclude; 50-59 low; 60-79 moderate; 80-100 high.</w:t>
            </w:r>
          </w:p>
        </w:tc>
      </w:tr>
      <w:tr w:rsidR="00D32A34" w:rsidRPr="000059FF" w14:paraId="3E48E3AE" w14:textId="77777777" w:rsidTr="009F74BB">
        <w:trPr>
          <w:cantSplit/>
        </w:trPr>
        <w:tc>
          <w:tcPr>
            <w:tcW w:w="1872" w:type="dxa"/>
          </w:tcPr>
          <w:p w14:paraId="6332CAD7" w14:textId="77777777" w:rsidR="00C72398" w:rsidRPr="000059FF" w:rsidRDefault="00C72398" w:rsidP="00B11D25">
            <w:pPr>
              <w:jc w:val="center"/>
              <w:rPr>
                <w:sz w:val="20"/>
                <w:szCs w:val="18"/>
              </w:rPr>
            </w:pPr>
            <w:r w:rsidRPr="000059FF">
              <w:rPr>
                <w:sz w:val="20"/>
                <w:szCs w:val="18"/>
              </w:rPr>
              <w:t>Cross-sectional / prevalence</w:t>
            </w:r>
          </w:p>
        </w:tc>
        <w:tc>
          <w:tcPr>
            <w:tcW w:w="2016" w:type="dxa"/>
          </w:tcPr>
          <w:p w14:paraId="2E9C931E" w14:textId="77777777" w:rsidR="00C72398" w:rsidRPr="000059FF" w:rsidRDefault="00C72398" w:rsidP="00B11D25">
            <w:pPr>
              <w:jc w:val="center"/>
              <w:rPr>
                <w:sz w:val="20"/>
                <w:szCs w:val="18"/>
              </w:rPr>
            </w:pPr>
            <w:r w:rsidRPr="000059FF">
              <w:rPr>
                <w:sz w:val="20"/>
                <w:szCs w:val="18"/>
              </w:rPr>
              <w:t>JBI Analytical Cross-Sectional Checklist</w:t>
            </w:r>
          </w:p>
        </w:tc>
        <w:tc>
          <w:tcPr>
            <w:tcW w:w="3330" w:type="dxa"/>
          </w:tcPr>
          <w:p w14:paraId="47C4A6C9" w14:textId="77777777" w:rsidR="00C72398" w:rsidRPr="000059FF" w:rsidRDefault="00C72398" w:rsidP="00B11D25">
            <w:pPr>
              <w:jc w:val="center"/>
              <w:rPr>
                <w:sz w:val="20"/>
                <w:szCs w:val="18"/>
              </w:rPr>
            </w:pPr>
            <w:r w:rsidRPr="000059FF">
              <w:rPr>
                <w:sz w:val="20"/>
                <w:szCs w:val="18"/>
              </w:rPr>
              <w:t>Sampling, measurement, confounding and analysis.</w:t>
            </w:r>
          </w:p>
        </w:tc>
        <w:tc>
          <w:tcPr>
            <w:tcW w:w="2862" w:type="dxa"/>
          </w:tcPr>
          <w:p w14:paraId="5E3F5265" w14:textId="77777777" w:rsidR="00C72398" w:rsidRPr="000059FF" w:rsidRDefault="00C72398" w:rsidP="00B11D25">
            <w:pPr>
              <w:jc w:val="center"/>
              <w:rPr>
                <w:sz w:val="20"/>
                <w:szCs w:val="18"/>
              </w:rPr>
            </w:pPr>
            <w:r w:rsidRPr="000059FF">
              <w:rPr>
                <w:sz w:val="20"/>
                <w:szCs w:val="18"/>
              </w:rPr>
              <w:t>Same threshold; weaknesses moderate interpretation.</w:t>
            </w:r>
          </w:p>
        </w:tc>
      </w:tr>
      <w:tr w:rsidR="00D32A34" w:rsidRPr="000059FF" w14:paraId="745B4B83" w14:textId="77777777" w:rsidTr="009F74BB">
        <w:trPr>
          <w:cantSplit/>
        </w:trPr>
        <w:tc>
          <w:tcPr>
            <w:tcW w:w="1872" w:type="dxa"/>
          </w:tcPr>
          <w:p w14:paraId="0D534EC6" w14:textId="77777777" w:rsidR="00C72398" w:rsidRPr="000059FF" w:rsidRDefault="00C72398" w:rsidP="00B11D25">
            <w:pPr>
              <w:jc w:val="center"/>
              <w:rPr>
                <w:sz w:val="20"/>
                <w:szCs w:val="18"/>
              </w:rPr>
            </w:pPr>
            <w:r w:rsidRPr="000059FF">
              <w:rPr>
                <w:sz w:val="20"/>
                <w:szCs w:val="18"/>
              </w:rPr>
              <w:t>Cohort / ecological / quasi-experimental</w:t>
            </w:r>
          </w:p>
        </w:tc>
        <w:tc>
          <w:tcPr>
            <w:tcW w:w="2016" w:type="dxa"/>
          </w:tcPr>
          <w:p w14:paraId="5001BD1F" w14:textId="77777777" w:rsidR="00C72398" w:rsidRPr="000059FF" w:rsidRDefault="00C72398" w:rsidP="00B11D25">
            <w:pPr>
              <w:jc w:val="center"/>
              <w:rPr>
                <w:sz w:val="20"/>
                <w:szCs w:val="18"/>
              </w:rPr>
            </w:pPr>
            <w:r w:rsidRPr="000059FF">
              <w:rPr>
                <w:sz w:val="20"/>
                <w:szCs w:val="18"/>
              </w:rPr>
              <w:t>Relevant JBI checklist</w:t>
            </w:r>
          </w:p>
        </w:tc>
        <w:tc>
          <w:tcPr>
            <w:tcW w:w="3330" w:type="dxa"/>
          </w:tcPr>
          <w:p w14:paraId="6DC13B21" w14:textId="77777777" w:rsidR="00C72398" w:rsidRPr="000059FF" w:rsidRDefault="00C72398" w:rsidP="00B11D25">
            <w:pPr>
              <w:jc w:val="center"/>
              <w:rPr>
                <w:sz w:val="20"/>
                <w:szCs w:val="18"/>
              </w:rPr>
            </w:pPr>
            <w:r w:rsidRPr="000059FF">
              <w:rPr>
                <w:sz w:val="20"/>
                <w:szCs w:val="18"/>
              </w:rPr>
              <w:t>Comparability, sequence, confounding, outcomes and analysis.</w:t>
            </w:r>
          </w:p>
        </w:tc>
        <w:tc>
          <w:tcPr>
            <w:tcW w:w="2862" w:type="dxa"/>
          </w:tcPr>
          <w:p w14:paraId="29065E45" w14:textId="77777777" w:rsidR="00C72398" w:rsidRPr="000059FF" w:rsidRDefault="00C72398" w:rsidP="00B11D25">
            <w:pPr>
              <w:jc w:val="center"/>
              <w:rPr>
                <w:sz w:val="20"/>
                <w:szCs w:val="18"/>
              </w:rPr>
            </w:pPr>
            <w:r w:rsidRPr="000059FF">
              <w:rPr>
                <w:sz w:val="20"/>
                <w:szCs w:val="18"/>
              </w:rPr>
              <w:t>Same threshold; design limits recorded.</w:t>
            </w:r>
          </w:p>
        </w:tc>
      </w:tr>
      <w:tr w:rsidR="00D32A34" w:rsidRPr="000059FF" w14:paraId="1B951A4E" w14:textId="77777777" w:rsidTr="009F74BB">
        <w:trPr>
          <w:cantSplit/>
        </w:trPr>
        <w:tc>
          <w:tcPr>
            <w:tcW w:w="1872" w:type="dxa"/>
          </w:tcPr>
          <w:p w14:paraId="6D6CE79C" w14:textId="77777777" w:rsidR="00C72398" w:rsidRPr="000059FF" w:rsidRDefault="00C72398" w:rsidP="00B11D25">
            <w:pPr>
              <w:jc w:val="center"/>
              <w:rPr>
                <w:sz w:val="20"/>
                <w:szCs w:val="18"/>
              </w:rPr>
            </w:pPr>
            <w:r w:rsidRPr="000059FF">
              <w:rPr>
                <w:sz w:val="20"/>
                <w:szCs w:val="18"/>
              </w:rPr>
              <w:t>Randomised trial</w:t>
            </w:r>
          </w:p>
        </w:tc>
        <w:tc>
          <w:tcPr>
            <w:tcW w:w="2016" w:type="dxa"/>
          </w:tcPr>
          <w:p w14:paraId="05FE31CE" w14:textId="77777777" w:rsidR="00C72398" w:rsidRPr="000059FF" w:rsidRDefault="00C72398" w:rsidP="00B11D25">
            <w:pPr>
              <w:jc w:val="center"/>
              <w:rPr>
                <w:sz w:val="20"/>
                <w:szCs w:val="18"/>
              </w:rPr>
            </w:pPr>
            <w:r w:rsidRPr="000059FF">
              <w:rPr>
                <w:sz w:val="20"/>
                <w:szCs w:val="18"/>
              </w:rPr>
              <w:t>JBI RCT Checklist</w:t>
            </w:r>
          </w:p>
        </w:tc>
        <w:tc>
          <w:tcPr>
            <w:tcW w:w="3330" w:type="dxa"/>
          </w:tcPr>
          <w:p w14:paraId="03C94F22" w14:textId="77777777" w:rsidR="00C72398" w:rsidRPr="000059FF" w:rsidRDefault="00C72398" w:rsidP="00B11D25">
            <w:pPr>
              <w:jc w:val="center"/>
              <w:rPr>
                <w:sz w:val="20"/>
                <w:szCs w:val="18"/>
              </w:rPr>
            </w:pPr>
            <w:r w:rsidRPr="000059FF">
              <w:rPr>
                <w:sz w:val="20"/>
                <w:szCs w:val="18"/>
              </w:rPr>
              <w:t>Randomisation, allocation, blinding, follow-up and analysis.</w:t>
            </w:r>
          </w:p>
        </w:tc>
        <w:tc>
          <w:tcPr>
            <w:tcW w:w="2862" w:type="dxa"/>
          </w:tcPr>
          <w:p w14:paraId="5CED6DAB" w14:textId="77777777" w:rsidR="00C72398" w:rsidRPr="000059FF" w:rsidRDefault="00C72398" w:rsidP="00B11D25">
            <w:pPr>
              <w:jc w:val="center"/>
              <w:rPr>
                <w:sz w:val="20"/>
                <w:szCs w:val="18"/>
              </w:rPr>
            </w:pPr>
            <w:r w:rsidRPr="000059FF">
              <w:rPr>
                <w:sz w:val="20"/>
                <w:szCs w:val="18"/>
              </w:rPr>
              <w:t>Same threshold; no pooling because of heterogeneity.</w:t>
            </w:r>
          </w:p>
        </w:tc>
      </w:tr>
      <w:tr w:rsidR="00D32A34" w:rsidRPr="000059FF" w14:paraId="70A4C793" w14:textId="77777777" w:rsidTr="009F74BB">
        <w:trPr>
          <w:cantSplit/>
        </w:trPr>
        <w:tc>
          <w:tcPr>
            <w:tcW w:w="1872" w:type="dxa"/>
          </w:tcPr>
          <w:p w14:paraId="421EEC5E" w14:textId="77777777" w:rsidR="00C72398" w:rsidRPr="000059FF" w:rsidRDefault="00C72398" w:rsidP="00B11D25">
            <w:pPr>
              <w:jc w:val="center"/>
              <w:rPr>
                <w:sz w:val="20"/>
                <w:szCs w:val="18"/>
              </w:rPr>
            </w:pPr>
            <w:r w:rsidRPr="000059FF">
              <w:rPr>
                <w:sz w:val="20"/>
                <w:szCs w:val="18"/>
              </w:rPr>
              <w:t>Mixed-method</w:t>
            </w:r>
          </w:p>
        </w:tc>
        <w:tc>
          <w:tcPr>
            <w:tcW w:w="2016" w:type="dxa"/>
          </w:tcPr>
          <w:p w14:paraId="375E974F" w14:textId="77777777" w:rsidR="00C72398" w:rsidRPr="000059FF" w:rsidRDefault="00C72398" w:rsidP="00B11D25">
            <w:pPr>
              <w:jc w:val="center"/>
              <w:rPr>
                <w:sz w:val="20"/>
                <w:szCs w:val="18"/>
              </w:rPr>
            </w:pPr>
            <w:r w:rsidRPr="000059FF">
              <w:rPr>
                <w:sz w:val="20"/>
                <w:szCs w:val="18"/>
              </w:rPr>
              <w:t>MMAT</w:t>
            </w:r>
          </w:p>
        </w:tc>
        <w:tc>
          <w:tcPr>
            <w:tcW w:w="3330" w:type="dxa"/>
          </w:tcPr>
          <w:p w14:paraId="42DF7E47" w14:textId="77777777" w:rsidR="00C72398" w:rsidRPr="000059FF" w:rsidRDefault="00C72398" w:rsidP="00B11D25">
            <w:pPr>
              <w:jc w:val="center"/>
              <w:rPr>
                <w:sz w:val="20"/>
                <w:szCs w:val="18"/>
              </w:rPr>
            </w:pPr>
            <w:r w:rsidRPr="000059FF">
              <w:rPr>
                <w:sz w:val="20"/>
                <w:szCs w:val="18"/>
              </w:rPr>
              <w:t>Quality of each component and integration.</w:t>
            </w:r>
          </w:p>
        </w:tc>
        <w:tc>
          <w:tcPr>
            <w:tcW w:w="2862" w:type="dxa"/>
          </w:tcPr>
          <w:p w14:paraId="12FC35B3" w14:textId="77777777" w:rsidR="00C72398" w:rsidRPr="000059FF" w:rsidRDefault="00C72398" w:rsidP="00B11D25">
            <w:pPr>
              <w:jc w:val="center"/>
              <w:rPr>
                <w:sz w:val="20"/>
                <w:szCs w:val="18"/>
              </w:rPr>
            </w:pPr>
            <w:r w:rsidRPr="000059FF">
              <w:rPr>
                <w:sz w:val="20"/>
                <w:szCs w:val="18"/>
              </w:rPr>
              <w:t>Interpretation based on the weakest important component.</w:t>
            </w:r>
          </w:p>
        </w:tc>
      </w:tr>
    </w:tbl>
    <w:p w14:paraId="7C895167" w14:textId="77777777" w:rsidR="00FC18AE" w:rsidRPr="000059FF" w:rsidRDefault="00FC18AE">
      <w:pPr>
        <w:sectPr w:rsidR="00FC18AE" w:rsidRPr="000059FF">
          <w:footerReference w:type="default" r:id="rId21"/>
          <w:pgSz w:w="12240" w:h="15840"/>
          <w:pgMar w:top="1440" w:right="1440" w:bottom="1440" w:left="1440" w:header="720" w:footer="720" w:gutter="0"/>
          <w:cols w:space="720"/>
          <w:docGrid w:linePitch="360"/>
        </w:sectPr>
      </w:pPr>
    </w:p>
    <w:p w14:paraId="6673EFB2" w14:textId="6A9470FB" w:rsidR="00045D30" w:rsidRPr="000059FF" w:rsidRDefault="00045D30"/>
    <w:p w14:paraId="08BF7CF3" w14:textId="77777777" w:rsidR="00C72398" w:rsidRPr="000059FF" w:rsidRDefault="00C72398" w:rsidP="00504F58">
      <w:pPr>
        <w:pStyle w:val="Heading2"/>
      </w:pPr>
      <w:bookmarkStart w:id="139" w:name="_Toc236645717"/>
      <w:bookmarkStart w:id="140" w:name="_Toc236649106"/>
      <w:bookmarkStart w:id="141" w:name="_Toc239679761"/>
      <w:bookmarkStart w:id="142" w:name="_Toc240927770"/>
      <w:r w:rsidRPr="000059FF">
        <w:t>3.9 Data Extraction</w:t>
      </w:r>
      <w:bookmarkEnd w:id="139"/>
      <w:bookmarkEnd w:id="140"/>
      <w:bookmarkEnd w:id="141"/>
      <w:bookmarkEnd w:id="142"/>
    </w:p>
    <w:p w14:paraId="35291E5D" w14:textId="3B7261E9" w:rsidR="00C72398" w:rsidRPr="000059FF" w:rsidRDefault="004B5F1C" w:rsidP="00504F58">
      <w:r w:rsidRPr="000059FF">
        <w:t>A standardised extraction form document</w:t>
      </w:r>
      <w:r w:rsidR="00FA530E">
        <w:t>ed</w:t>
      </w:r>
      <w:r w:rsidRPr="000059FF">
        <w:t xml:space="preserve"> the author, year, country and setting, purpose, design, sample, age of participants, recruitment, data collection, theoretical framework, measures of UTI knowledge, preventive practices, seeking help, </w:t>
      </w:r>
      <w:r w:rsidR="00FD3C3E" w:rsidRPr="00FD3C3E">
        <w:t>antibiotic expectations</w:t>
      </w:r>
      <w:r w:rsidRPr="000059FF">
        <w:t xml:space="preserve">, main findings, limitations and appraisal outcome. Evidence </w:t>
      </w:r>
      <w:r w:rsidR="00FA530E" w:rsidRPr="00FA530E">
        <w:t>were coded</w:t>
      </w:r>
      <w:r w:rsidR="00FA530E">
        <w:t xml:space="preserve"> </w:t>
      </w:r>
      <w:r w:rsidRPr="000059FF">
        <w:t>as direct adolescent evidence (UK) or wider UK context evidence or international adolescent evidence. Results sections representing numerical denominators and effect measures will be copied from the results and reported/quoted findings – not background claims from qualitative results. This classification will not allow evidence from adults to be introduced as if it directly represented the adolescent age group (10-19 years).</w:t>
      </w:r>
    </w:p>
    <w:p w14:paraId="057EB672" w14:textId="77777777" w:rsidR="00C72398" w:rsidRPr="000059FF" w:rsidRDefault="00C72398" w:rsidP="00B11D25">
      <w:r w:rsidRPr="000059FF">
        <w:t>Table 3.6: Data Extraction Framework</w:t>
      </w:r>
    </w:p>
    <w:tbl>
      <w:tblPr>
        <w:tblStyle w:val="TableGrid"/>
        <w:tblW w:w="0" w:type="auto"/>
        <w:tblLayout w:type="fixed"/>
        <w:tblLook w:val="04A0" w:firstRow="1" w:lastRow="0" w:firstColumn="1" w:lastColumn="0" w:noHBand="0" w:noVBand="1"/>
      </w:tblPr>
      <w:tblGrid>
        <w:gridCol w:w="3024"/>
        <w:gridCol w:w="7056"/>
      </w:tblGrid>
      <w:tr w:rsidR="00D32A34" w:rsidRPr="000059FF" w14:paraId="57DC2C2D" w14:textId="77777777" w:rsidTr="009F74BB">
        <w:trPr>
          <w:cantSplit/>
          <w:tblHeader/>
        </w:trPr>
        <w:tc>
          <w:tcPr>
            <w:tcW w:w="3024" w:type="dxa"/>
          </w:tcPr>
          <w:p w14:paraId="6929F307" w14:textId="77777777" w:rsidR="00C72398" w:rsidRPr="000059FF" w:rsidRDefault="00C72398" w:rsidP="00504F58">
            <w:pPr>
              <w:rPr>
                <w:sz w:val="20"/>
                <w:szCs w:val="18"/>
              </w:rPr>
            </w:pPr>
            <w:r w:rsidRPr="000059FF">
              <w:rPr>
                <w:sz w:val="20"/>
                <w:szCs w:val="18"/>
              </w:rPr>
              <w:t>Data field</w:t>
            </w:r>
          </w:p>
        </w:tc>
        <w:tc>
          <w:tcPr>
            <w:tcW w:w="7056" w:type="dxa"/>
          </w:tcPr>
          <w:p w14:paraId="095D358E" w14:textId="77777777" w:rsidR="00C72398" w:rsidRPr="000059FF" w:rsidRDefault="00C72398" w:rsidP="00504F58">
            <w:pPr>
              <w:rPr>
                <w:sz w:val="20"/>
                <w:szCs w:val="18"/>
              </w:rPr>
            </w:pPr>
            <w:r w:rsidRPr="000059FF">
              <w:rPr>
                <w:sz w:val="20"/>
                <w:szCs w:val="18"/>
              </w:rPr>
              <w:t>Purpose in the review</w:t>
            </w:r>
          </w:p>
        </w:tc>
      </w:tr>
      <w:tr w:rsidR="00D32A34" w:rsidRPr="000059FF" w14:paraId="22647CEE" w14:textId="77777777" w:rsidTr="009F74BB">
        <w:trPr>
          <w:cantSplit/>
        </w:trPr>
        <w:tc>
          <w:tcPr>
            <w:tcW w:w="3024" w:type="dxa"/>
          </w:tcPr>
          <w:p w14:paraId="34979EE7" w14:textId="77777777" w:rsidR="00C72398" w:rsidRPr="000059FF" w:rsidRDefault="00C72398" w:rsidP="00504F58">
            <w:pPr>
              <w:rPr>
                <w:sz w:val="20"/>
                <w:szCs w:val="18"/>
              </w:rPr>
            </w:pPr>
            <w:r w:rsidRPr="000059FF">
              <w:rPr>
                <w:sz w:val="20"/>
                <w:szCs w:val="18"/>
              </w:rPr>
              <w:t>Bibliographic/setting</w:t>
            </w:r>
          </w:p>
        </w:tc>
        <w:tc>
          <w:tcPr>
            <w:tcW w:w="7056" w:type="dxa"/>
          </w:tcPr>
          <w:p w14:paraId="37B7D49E" w14:textId="77777777" w:rsidR="00C72398" w:rsidRPr="000059FF" w:rsidRDefault="00C72398" w:rsidP="00504F58">
            <w:pPr>
              <w:rPr>
                <w:sz w:val="20"/>
                <w:szCs w:val="18"/>
              </w:rPr>
            </w:pPr>
            <w:r w:rsidRPr="000059FF">
              <w:rPr>
                <w:sz w:val="20"/>
                <w:szCs w:val="18"/>
              </w:rPr>
              <w:t>Author, year, country, region and service context.</w:t>
            </w:r>
          </w:p>
        </w:tc>
      </w:tr>
      <w:tr w:rsidR="00D32A34" w:rsidRPr="000059FF" w14:paraId="3842C510" w14:textId="77777777" w:rsidTr="009F74BB">
        <w:trPr>
          <w:cantSplit/>
        </w:trPr>
        <w:tc>
          <w:tcPr>
            <w:tcW w:w="3024" w:type="dxa"/>
          </w:tcPr>
          <w:p w14:paraId="04196D8A" w14:textId="77777777" w:rsidR="00C72398" w:rsidRPr="000059FF" w:rsidRDefault="00C72398" w:rsidP="00504F58">
            <w:pPr>
              <w:rPr>
                <w:sz w:val="20"/>
                <w:szCs w:val="18"/>
              </w:rPr>
            </w:pPr>
            <w:r w:rsidRPr="000059FF">
              <w:rPr>
                <w:sz w:val="20"/>
                <w:szCs w:val="18"/>
              </w:rPr>
              <w:t>Population/sample</w:t>
            </w:r>
          </w:p>
        </w:tc>
        <w:tc>
          <w:tcPr>
            <w:tcW w:w="7056" w:type="dxa"/>
          </w:tcPr>
          <w:p w14:paraId="5E8BE7A6" w14:textId="77777777" w:rsidR="00C72398" w:rsidRPr="000059FF" w:rsidRDefault="00C72398" w:rsidP="00504F58">
            <w:pPr>
              <w:rPr>
                <w:sz w:val="20"/>
                <w:szCs w:val="18"/>
              </w:rPr>
            </w:pPr>
            <w:r w:rsidRPr="000059FF">
              <w:rPr>
                <w:sz w:val="20"/>
                <w:szCs w:val="18"/>
              </w:rPr>
              <w:t>Age, sex/gender, recruitment, size and evidence directness.</w:t>
            </w:r>
          </w:p>
        </w:tc>
      </w:tr>
      <w:tr w:rsidR="00D32A34" w:rsidRPr="000059FF" w14:paraId="56FBD3C6" w14:textId="77777777" w:rsidTr="009F74BB">
        <w:trPr>
          <w:cantSplit/>
        </w:trPr>
        <w:tc>
          <w:tcPr>
            <w:tcW w:w="3024" w:type="dxa"/>
          </w:tcPr>
          <w:p w14:paraId="748ED704" w14:textId="77777777" w:rsidR="00C72398" w:rsidRPr="000059FF" w:rsidRDefault="00C72398" w:rsidP="00504F58">
            <w:pPr>
              <w:rPr>
                <w:sz w:val="20"/>
                <w:szCs w:val="18"/>
              </w:rPr>
            </w:pPr>
            <w:r w:rsidRPr="000059FF">
              <w:rPr>
                <w:sz w:val="20"/>
                <w:szCs w:val="18"/>
              </w:rPr>
              <w:t>Methodology</w:t>
            </w:r>
          </w:p>
        </w:tc>
        <w:tc>
          <w:tcPr>
            <w:tcW w:w="7056" w:type="dxa"/>
          </w:tcPr>
          <w:p w14:paraId="26DBBD59" w14:textId="77777777" w:rsidR="00C72398" w:rsidRPr="000059FF" w:rsidRDefault="00C72398" w:rsidP="00504F58">
            <w:pPr>
              <w:rPr>
                <w:sz w:val="20"/>
                <w:szCs w:val="18"/>
              </w:rPr>
            </w:pPr>
            <w:r w:rsidRPr="000059FF">
              <w:rPr>
                <w:sz w:val="20"/>
                <w:szCs w:val="18"/>
              </w:rPr>
              <w:t>Design, data collection, analysis and theory.</w:t>
            </w:r>
          </w:p>
        </w:tc>
      </w:tr>
      <w:tr w:rsidR="00D32A34" w:rsidRPr="000059FF" w14:paraId="6C904ADC" w14:textId="77777777" w:rsidTr="009F74BB">
        <w:trPr>
          <w:cantSplit/>
        </w:trPr>
        <w:tc>
          <w:tcPr>
            <w:tcW w:w="3024" w:type="dxa"/>
          </w:tcPr>
          <w:p w14:paraId="15F847F8" w14:textId="77777777" w:rsidR="00C72398" w:rsidRPr="000059FF" w:rsidRDefault="00C72398" w:rsidP="00504F58">
            <w:pPr>
              <w:rPr>
                <w:sz w:val="20"/>
                <w:szCs w:val="18"/>
              </w:rPr>
            </w:pPr>
            <w:r w:rsidRPr="000059FF">
              <w:rPr>
                <w:sz w:val="20"/>
                <w:szCs w:val="18"/>
              </w:rPr>
              <w:t>Knowledge/prevention</w:t>
            </w:r>
          </w:p>
        </w:tc>
        <w:tc>
          <w:tcPr>
            <w:tcW w:w="7056" w:type="dxa"/>
          </w:tcPr>
          <w:p w14:paraId="70EDC44A" w14:textId="77777777" w:rsidR="00C72398" w:rsidRPr="000059FF" w:rsidRDefault="00C72398" w:rsidP="00504F58">
            <w:pPr>
              <w:rPr>
                <w:sz w:val="20"/>
                <w:szCs w:val="18"/>
              </w:rPr>
            </w:pPr>
            <w:r w:rsidRPr="000059FF">
              <w:rPr>
                <w:sz w:val="20"/>
                <w:szCs w:val="18"/>
              </w:rPr>
              <w:t>Awareness, literacy, risk, self-efficacy and practices.</w:t>
            </w:r>
          </w:p>
        </w:tc>
      </w:tr>
      <w:tr w:rsidR="00D32A34" w:rsidRPr="000059FF" w14:paraId="10E7D25F" w14:textId="77777777" w:rsidTr="009F74BB">
        <w:trPr>
          <w:cantSplit/>
        </w:trPr>
        <w:tc>
          <w:tcPr>
            <w:tcW w:w="3024" w:type="dxa"/>
          </w:tcPr>
          <w:p w14:paraId="7694BD0D" w14:textId="77777777" w:rsidR="00C72398" w:rsidRPr="000059FF" w:rsidRDefault="00C72398" w:rsidP="00504F58">
            <w:pPr>
              <w:rPr>
                <w:sz w:val="20"/>
                <w:szCs w:val="18"/>
              </w:rPr>
            </w:pPr>
            <w:r w:rsidRPr="000059FF">
              <w:rPr>
                <w:sz w:val="20"/>
                <w:szCs w:val="18"/>
              </w:rPr>
              <w:t>Healthcare/antibiotics</w:t>
            </w:r>
          </w:p>
        </w:tc>
        <w:tc>
          <w:tcPr>
            <w:tcW w:w="7056" w:type="dxa"/>
          </w:tcPr>
          <w:p w14:paraId="4325818D" w14:textId="77777777" w:rsidR="00C72398" w:rsidRPr="000059FF" w:rsidRDefault="00C72398" w:rsidP="00504F58">
            <w:pPr>
              <w:rPr>
                <w:sz w:val="20"/>
                <w:szCs w:val="18"/>
              </w:rPr>
            </w:pPr>
            <w:r w:rsidRPr="000059FF">
              <w:rPr>
                <w:sz w:val="20"/>
                <w:szCs w:val="18"/>
              </w:rPr>
              <w:t>Access, communication, expectations, recurrence and stewardship.</w:t>
            </w:r>
          </w:p>
        </w:tc>
      </w:tr>
      <w:tr w:rsidR="00D32A34" w:rsidRPr="000059FF" w14:paraId="26092481" w14:textId="77777777" w:rsidTr="009F74BB">
        <w:trPr>
          <w:cantSplit/>
        </w:trPr>
        <w:tc>
          <w:tcPr>
            <w:tcW w:w="3024" w:type="dxa"/>
          </w:tcPr>
          <w:p w14:paraId="287E3951" w14:textId="77777777" w:rsidR="00C72398" w:rsidRPr="000059FF" w:rsidRDefault="00C72398" w:rsidP="00504F58">
            <w:pPr>
              <w:rPr>
                <w:sz w:val="20"/>
                <w:szCs w:val="18"/>
              </w:rPr>
            </w:pPr>
            <w:r w:rsidRPr="000059FF">
              <w:rPr>
                <w:sz w:val="20"/>
                <w:szCs w:val="18"/>
              </w:rPr>
              <w:t>Results</w:t>
            </w:r>
          </w:p>
        </w:tc>
        <w:tc>
          <w:tcPr>
            <w:tcW w:w="7056" w:type="dxa"/>
          </w:tcPr>
          <w:p w14:paraId="0D6991C0" w14:textId="77777777" w:rsidR="00C72398" w:rsidRPr="000059FF" w:rsidRDefault="00C72398" w:rsidP="00504F58">
            <w:pPr>
              <w:rPr>
                <w:sz w:val="20"/>
                <w:szCs w:val="18"/>
              </w:rPr>
            </w:pPr>
            <w:r w:rsidRPr="000059FF">
              <w:rPr>
                <w:sz w:val="20"/>
                <w:szCs w:val="18"/>
              </w:rPr>
              <w:t>Main findings, limitations and links to objectives.</w:t>
            </w:r>
          </w:p>
        </w:tc>
      </w:tr>
      <w:tr w:rsidR="00D32A34" w:rsidRPr="000059FF" w14:paraId="282B1612" w14:textId="77777777" w:rsidTr="009F74BB">
        <w:trPr>
          <w:cantSplit/>
        </w:trPr>
        <w:tc>
          <w:tcPr>
            <w:tcW w:w="3024" w:type="dxa"/>
          </w:tcPr>
          <w:p w14:paraId="47CA33B7" w14:textId="77777777" w:rsidR="00C72398" w:rsidRPr="000059FF" w:rsidRDefault="00C72398" w:rsidP="00504F58">
            <w:pPr>
              <w:rPr>
                <w:sz w:val="20"/>
                <w:szCs w:val="18"/>
              </w:rPr>
            </w:pPr>
            <w:r w:rsidRPr="000059FF">
              <w:rPr>
                <w:sz w:val="20"/>
                <w:szCs w:val="18"/>
              </w:rPr>
              <w:t>Quality/synthesis</w:t>
            </w:r>
          </w:p>
        </w:tc>
        <w:tc>
          <w:tcPr>
            <w:tcW w:w="7056" w:type="dxa"/>
          </w:tcPr>
          <w:p w14:paraId="332EDEEE" w14:textId="77777777" w:rsidR="00C72398" w:rsidRPr="000059FF" w:rsidRDefault="00C72398" w:rsidP="00504F58">
            <w:pPr>
              <w:rPr>
                <w:sz w:val="20"/>
                <w:szCs w:val="18"/>
              </w:rPr>
            </w:pPr>
            <w:r w:rsidRPr="000059FF">
              <w:rPr>
                <w:sz w:val="20"/>
                <w:szCs w:val="18"/>
              </w:rPr>
              <w:t>Appraisal, codes, themes and interpretive weighting.</w:t>
            </w:r>
          </w:p>
        </w:tc>
      </w:tr>
    </w:tbl>
    <w:p w14:paraId="17FA8091" w14:textId="77777777" w:rsidR="00C72398" w:rsidRPr="000059FF" w:rsidRDefault="00C72398" w:rsidP="00C72398">
      <w:pPr>
        <w:pStyle w:val="TableNote"/>
        <w:rPr>
          <w:rFonts w:cs="Arial"/>
          <w:color w:val="000000" w:themeColor="text1"/>
          <w:sz w:val="20"/>
          <w:szCs w:val="24"/>
        </w:rPr>
      </w:pPr>
      <w:r w:rsidRPr="000059FF">
        <w:rPr>
          <w:rFonts w:cs="Arial"/>
          <w:color w:val="000000" w:themeColor="text1"/>
          <w:sz w:val="20"/>
          <w:szCs w:val="24"/>
        </w:rPr>
        <w:t>Source: Author-developed extraction form.</w:t>
      </w:r>
    </w:p>
    <w:p w14:paraId="0022EDDB" w14:textId="77777777" w:rsidR="00C72398" w:rsidRPr="000059FF" w:rsidRDefault="00C72398" w:rsidP="00504F58">
      <w:pPr>
        <w:pStyle w:val="Heading2"/>
      </w:pPr>
      <w:bookmarkStart w:id="143" w:name="_Toc236645718"/>
      <w:bookmarkStart w:id="144" w:name="_Toc236649107"/>
      <w:bookmarkStart w:id="145" w:name="_Toc239679762"/>
      <w:bookmarkStart w:id="146" w:name="_Toc240927771"/>
      <w:r w:rsidRPr="000059FF">
        <w:t>3.10 Data Synthesis</w:t>
      </w:r>
      <w:bookmarkEnd w:id="143"/>
      <w:bookmarkEnd w:id="144"/>
      <w:bookmarkEnd w:id="145"/>
      <w:bookmarkEnd w:id="146"/>
    </w:p>
    <w:p w14:paraId="570BA05B" w14:textId="3754087E" w:rsidR="004B5F1C" w:rsidRPr="000059FF" w:rsidRDefault="004B5F1C" w:rsidP="00504F58">
      <w:r w:rsidRPr="000059FF">
        <w:t xml:space="preserve">Thematic synthesis with a narrative approach </w:t>
      </w:r>
      <w:r w:rsidR="00F62618" w:rsidRPr="00F62618">
        <w:t>was utilised</w:t>
      </w:r>
      <w:r w:rsidR="00F62618">
        <w:t xml:space="preserve"> </w:t>
      </w:r>
      <w:r w:rsidRPr="000059FF">
        <w:t>due to anticipated population, measures and study design heterogeneity and inappropriate statistical pooling</w:t>
      </w:r>
      <w:r w:rsidR="0023416D">
        <w:t xml:space="preserve"> (Campbell et al., 2020; Thomas and Harden, 2008)</w:t>
      </w:r>
      <w:r w:rsidRPr="000059FF">
        <w:t xml:space="preserve">. Quantitative results </w:t>
      </w:r>
      <w:r w:rsidR="00F62618" w:rsidRPr="00F62618">
        <w:t>were summarised</w:t>
      </w:r>
      <w:r w:rsidR="00F62618">
        <w:t xml:space="preserve"> </w:t>
      </w:r>
      <w:r w:rsidRPr="000059FF">
        <w:t>according to direction and magnitude and then converted to a short textual statement; line-by-line coding of quantitative results follow</w:t>
      </w:r>
      <w:r w:rsidR="00F62618">
        <w:t>ed</w:t>
      </w:r>
      <w:r w:rsidRPr="000059FF">
        <w:t>; the qualitative results will be coded line by line. The synthesis will progress from line-by-line coding towards a descriptive and analytical process that focuses on health literacy, self-efficacy, self-care and COM-B, and TDF will be used, with the possibility of new emerging themes from the data (Braun and Clarke, 2021; Edwards, Coward and Carey, 2022). Direct evidence of adolescents from the UK will be given the most weight in interpretation. Where there is no evidence from the UK to explore adolescent mechanisms, these are explored from international adolescent studies, with evidence from wider adult or service evidence in the UK only to give contextual information. Results that contradict each other and evidence that is not as direct will not be averaged away, but will remain.</w:t>
      </w:r>
    </w:p>
    <w:p w14:paraId="7413ACEE" w14:textId="77777777" w:rsidR="00C72398" w:rsidRPr="000059FF" w:rsidRDefault="00C72398" w:rsidP="00B11D25">
      <w:r w:rsidRPr="000059FF">
        <w:t>Table 3.7: Thematic Synthesis Process</w:t>
      </w:r>
    </w:p>
    <w:tbl>
      <w:tblPr>
        <w:tblStyle w:val="TableGrid"/>
        <w:tblW w:w="0" w:type="auto"/>
        <w:tblLayout w:type="fixed"/>
        <w:tblLook w:val="04A0" w:firstRow="1" w:lastRow="0" w:firstColumn="1" w:lastColumn="0" w:noHBand="0" w:noVBand="1"/>
      </w:tblPr>
      <w:tblGrid>
        <w:gridCol w:w="2592"/>
        <w:gridCol w:w="7488"/>
      </w:tblGrid>
      <w:tr w:rsidR="00D32A34" w:rsidRPr="000059FF" w14:paraId="7D4F727D" w14:textId="77777777" w:rsidTr="009F74BB">
        <w:trPr>
          <w:cantSplit/>
          <w:tblHeader/>
        </w:trPr>
        <w:tc>
          <w:tcPr>
            <w:tcW w:w="2592" w:type="dxa"/>
          </w:tcPr>
          <w:p w14:paraId="31DE27F0" w14:textId="77777777" w:rsidR="00C72398" w:rsidRPr="000059FF" w:rsidRDefault="00C72398" w:rsidP="00504F58">
            <w:pPr>
              <w:rPr>
                <w:sz w:val="20"/>
                <w:szCs w:val="18"/>
              </w:rPr>
            </w:pPr>
            <w:r w:rsidRPr="000059FF">
              <w:rPr>
                <w:sz w:val="20"/>
                <w:szCs w:val="18"/>
              </w:rPr>
              <w:t>Stage</w:t>
            </w:r>
          </w:p>
        </w:tc>
        <w:tc>
          <w:tcPr>
            <w:tcW w:w="7488" w:type="dxa"/>
          </w:tcPr>
          <w:p w14:paraId="32AEF73B" w14:textId="77777777" w:rsidR="00C72398" w:rsidRPr="000059FF" w:rsidRDefault="00C72398" w:rsidP="00504F58">
            <w:pPr>
              <w:rPr>
                <w:sz w:val="20"/>
                <w:szCs w:val="18"/>
              </w:rPr>
            </w:pPr>
            <w:r w:rsidRPr="000059FF">
              <w:rPr>
                <w:sz w:val="20"/>
                <w:szCs w:val="18"/>
              </w:rPr>
              <w:t>Application</w:t>
            </w:r>
          </w:p>
        </w:tc>
      </w:tr>
      <w:tr w:rsidR="00D32A34" w:rsidRPr="000059FF" w14:paraId="6CC3E9BD" w14:textId="77777777" w:rsidTr="009F74BB">
        <w:trPr>
          <w:cantSplit/>
        </w:trPr>
        <w:tc>
          <w:tcPr>
            <w:tcW w:w="2592" w:type="dxa"/>
          </w:tcPr>
          <w:p w14:paraId="6BE8205D" w14:textId="77777777" w:rsidR="00C72398" w:rsidRPr="000059FF" w:rsidRDefault="00C72398" w:rsidP="00504F58">
            <w:pPr>
              <w:rPr>
                <w:sz w:val="20"/>
                <w:szCs w:val="18"/>
              </w:rPr>
            </w:pPr>
            <w:r w:rsidRPr="000059FF">
              <w:rPr>
                <w:sz w:val="20"/>
                <w:szCs w:val="18"/>
              </w:rPr>
              <w:t>1. Line-by-line coding</w:t>
            </w:r>
          </w:p>
        </w:tc>
        <w:tc>
          <w:tcPr>
            <w:tcW w:w="7488" w:type="dxa"/>
          </w:tcPr>
          <w:p w14:paraId="432E92D6" w14:textId="77777777" w:rsidR="00C72398" w:rsidRPr="000059FF" w:rsidRDefault="00C72398" w:rsidP="00504F58">
            <w:pPr>
              <w:rPr>
                <w:sz w:val="20"/>
                <w:szCs w:val="18"/>
              </w:rPr>
            </w:pPr>
            <w:r w:rsidRPr="000059FF">
              <w:rPr>
                <w:sz w:val="20"/>
                <w:szCs w:val="18"/>
              </w:rPr>
              <w:t>Results were coded; quantitative findings became concise textual statements.</w:t>
            </w:r>
          </w:p>
        </w:tc>
      </w:tr>
      <w:tr w:rsidR="00D32A34" w:rsidRPr="000059FF" w14:paraId="6A92EF79" w14:textId="77777777" w:rsidTr="009F74BB">
        <w:trPr>
          <w:cantSplit/>
        </w:trPr>
        <w:tc>
          <w:tcPr>
            <w:tcW w:w="2592" w:type="dxa"/>
          </w:tcPr>
          <w:p w14:paraId="32EAFB3C" w14:textId="77777777" w:rsidR="00C72398" w:rsidRPr="000059FF" w:rsidRDefault="00C72398" w:rsidP="00504F58">
            <w:pPr>
              <w:rPr>
                <w:sz w:val="20"/>
                <w:szCs w:val="18"/>
              </w:rPr>
            </w:pPr>
            <w:r w:rsidRPr="000059FF">
              <w:rPr>
                <w:sz w:val="20"/>
                <w:szCs w:val="18"/>
              </w:rPr>
              <w:t>2. Descriptive themes</w:t>
            </w:r>
          </w:p>
        </w:tc>
        <w:tc>
          <w:tcPr>
            <w:tcW w:w="7488" w:type="dxa"/>
          </w:tcPr>
          <w:p w14:paraId="7BB50522" w14:textId="77777777" w:rsidR="00C72398" w:rsidRPr="000059FF" w:rsidRDefault="00C72398" w:rsidP="00504F58">
            <w:pPr>
              <w:rPr>
                <w:sz w:val="20"/>
                <w:szCs w:val="18"/>
              </w:rPr>
            </w:pPr>
            <w:r w:rsidRPr="000059FF">
              <w:rPr>
                <w:sz w:val="20"/>
                <w:szCs w:val="18"/>
              </w:rPr>
              <w:t>Codes were grouped around knowledge, confidence, prevention, access and antibiotics.</w:t>
            </w:r>
          </w:p>
        </w:tc>
      </w:tr>
      <w:tr w:rsidR="00D32A34" w:rsidRPr="000059FF" w14:paraId="3AA64F2D" w14:textId="77777777" w:rsidTr="009F74BB">
        <w:trPr>
          <w:cantSplit/>
        </w:trPr>
        <w:tc>
          <w:tcPr>
            <w:tcW w:w="2592" w:type="dxa"/>
          </w:tcPr>
          <w:p w14:paraId="21F9D431" w14:textId="77777777" w:rsidR="00C72398" w:rsidRPr="000059FF" w:rsidRDefault="00C72398" w:rsidP="00504F58">
            <w:pPr>
              <w:rPr>
                <w:sz w:val="20"/>
                <w:szCs w:val="18"/>
              </w:rPr>
            </w:pPr>
            <w:r w:rsidRPr="000059FF">
              <w:rPr>
                <w:sz w:val="20"/>
                <w:szCs w:val="18"/>
              </w:rPr>
              <w:t>3. Analytical themes</w:t>
            </w:r>
          </w:p>
        </w:tc>
        <w:tc>
          <w:tcPr>
            <w:tcW w:w="7488" w:type="dxa"/>
          </w:tcPr>
          <w:p w14:paraId="084E3079" w14:textId="77777777" w:rsidR="00C72398" w:rsidRPr="000059FF" w:rsidRDefault="00C72398" w:rsidP="00504F58">
            <w:pPr>
              <w:rPr>
                <w:sz w:val="20"/>
                <w:szCs w:val="18"/>
              </w:rPr>
            </w:pPr>
            <w:r w:rsidRPr="000059FF">
              <w:rPr>
                <w:sz w:val="20"/>
                <w:szCs w:val="18"/>
              </w:rPr>
              <w:t>Themes were interpreted against the question and theory, retaining contradictions and indirectness.</w:t>
            </w:r>
          </w:p>
        </w:tc>
      </w:tr>
    </w:tbl>
    <w:p w14:paraId="19383430" w14:textId="77777777" w:rsidR="00C72398" w:rsidRPr="000059FF" w:rsidRDefault="00C72398" w:rsidP="00C72398">
      <w:pPr>
        <w:pStyle w:val="TableNote"/>
        <w:rPr>
          <w:rFonts w:cs="Arial"/>
          <w:color w:val="000000" w:themeColor="text1"/>
          <w:sz w:val="20"/>
          <w:szCs w:val="24"/>
        </w:rPr>
      </w:pPr>
      <w:r w:rsidRPr="000059FF">
        <w:rPr>
          <w:rFonts w:cs="Arial"/>
          <w:color w:val="000000" w:themeColor="text1"/>
          <w:sz w:val="20"/>
          <w:szCs w:val="24"/>
        </w:rPr>
        <w:t>Adapted from Edwards, Coward and Carey, 2022.</w:t>
      </w:r>
    </w:p>
    <w:p w14:paraId="1C36C9D1" w14:textId="77777777" w:rsidR="00C72398" w:rsidRPr="000059FF" w:rsidRDefault="00C72398" w:rsidP="00504F58">
      <w:pPr>
        <w:pStyle w:val="Heading2"/>
      </w:pPr>
      <w:bookmarkStart w:id="147" w:name="_Toc236645719"/>
      <w:bookmarkStart w:id="148" w:name="_Toc236649108"/>
      <w:bookmarkStart w:id="149" w:name="_Toc239679763"/>
      <w:bookmarkStart w:id="150" w:name="_Toc240927772"/>
      <w:r w:rsidRPr="000059FF">
        <w:t>3.11 Methodological Limitations</w:t>
      </w:r>
      <w:bookmarkEnd w:id="147"/>
      <w:bookmarkEnd w:id="148"/>
      <w:bookmarkEnd w:id="149"/>
      <w:bookmarkEnd w:id="150"/>
    </w:p>
    <w:p w14:paraId="7CE90920" w14:textId="77C08B8A" w:rsidR="00C72398" w:rsidRPr="000059FF" w:rsidRDefault="00B60696" w:rsidP="00504F58">
      <w:r w:rsidRPr="000059FF">
        <w:t>The main limitation the principal expected was the lack of studies covering all four of the following: UTI, adolescent age (10-19 years), awareness and/or prevention, and the UK. Limiting the review to UK adolescent evidence will yield a limited evidence base, but extending the review to international adolescent studies will make it more indirect and less transferable. This date window of 2016-2026 may also contain evidence for older adolescence. Other restrictions include restriction to English-language publication, potentially selective publication, possible omission of supplementary Google Scholar searches, and potential for selection or extraction error due to one reviewer’s screening</w:t>
      </w:r>
      <w:r w:rsidR="00A527F8">
        <w:t xml:space="preserve"> (Waffenschmidt et al., 2019; Gartlehner et al., 2020)</w:t>
      </w:r>
      <w:r w:rsidRPr="000059FF">
        <w:t>. Explicit evidence-directness coding, design-specific appraisal, documented exclusions and an audit trail will help overcome these limitations.</w:t>
      </w:r>
    </w:p>
    <w:p w14:paraId="1310054B" w14:textId="77777777" w:rsidR="00C72398" w:rsidRPr="000059FF" w:rsidRDefault="00C72398" w:rsidP="00504F58">
      <w:pPr>
        <w:pStyle w:val="Heading2"/>
      </w:pPr>
      <w:bookmarkStart w:id="151" w:name="_Toc236645720"/>
      <w:bookmarkStart w:id="152" w:name="_Toc236649109"/>
      <w:bookmarkStart w:id="153" w:name="_Toc239679764"/>
      <w:bookmarkStart w:id="154" w:name="_Toc240927773"/>
      <w:r w:rsidRPr="000059FF">
        <w:t>3.12 Chapter Summary</w:t>
      </w:r>
      <w:bookmarkEnd w:id="151"/>
      <w:bookmarkEnd w:id="152"/>
      <w:bookmarkEnd w:id="153"/>
      <w:bookmarkEnd w:id="154"/>
    </w:p>
    <w:p w14:paraId="68A7BAAD" w14:textId="0E8C42C8" w:rsidR="005377FC" w:rsidRDefault="00FD45D8" w:rsidP="00504F58">
      <w:r w:rsidRPr="00FD45D8">
        <w:t>The mixed method systematic review approach was presented in this chapter for the review of knowledge, awareness and preventive practices about UTI among adolescents aged 10–19 years. It outlined the research philosophy and ethical issues, search strategy, eligibility criteria, PRISMA study-selection process, quality appraisal, data extraction and thematic synthesis. 290 records were found, and 43 full-text articles were evaluated for eligibility. After the full-text screening, 30 articles were excluded and 13 empirical studies were included in the quality appraisal and final synthesis. These 13 studies are the basis of the evidence analysed in Chapter 4.</w:t>
      </w:r>
    </w:p>
    <w:p w14:paraId="35EAA3AA" w14:textId="77777777" w:rsidR="005377FC" w:rsidRDefault="005377FC">
      <w:pPr>
        <w:spacing w:line="259" w:lineRule="auto"/>
        <w:jc w:val="left"/>
      </w:pPr>
      <w:r>
        <w:br w:type="page"/>
      </w:r>
    </w:p>
    <w:p w14:paraId="53CFA0B7" w14:textId="77777777" w:rsidR="00571F51" w:rsidRDefault="00571F51" w:rsidP="008A5861">
      <w:pPr>
        <w:pStyle w:val="Heading1"/>
      </w:pPr>
      <w:bookmarkStart w:id="155" w:name="_Toc239678172"/>
      <w:bookmarkStart w:id="156" w:name="_Toc239679765"/>
      <w:bookmarkStart w:id="157" w:name="_Toc240927774"/>
      <w:r w:rsidRPr="00B155A1">
        <w:t>CHAPTER 4: RESULTS AND FINDINGS</w:t>
      </w:r>
      <w:bookmarkEnd w:id="155"/>
      <w:bookmarkEnd w:id="156"/>
      <w:bookmarkEnd w:id="157"/>
    </w:p>
    <w:p w14:paraId="5F556E69" w14:textId="77777777" w:rsidR="00571F51" w:rsidRPr="00B155A1" w:rsidRDefault="00571F51" w:rsidP="00571F51">
      <w:pPr>
        <w:pStyle w:val="Heading2"/>
      </w:pPr>
      <w:bookmarkStart w:id="158" w:name="_Toc239678173"/>
      <w:bookmarkStart w:id="159" w:name="_Toc239679766"/>
      <w:bookmarkStart w:id="160" w:name="_Toc240927775"/>
      <w:r w:rsidRPr="00B155A1">
        <w:t>4.1 Introduction</w:t>
      </w:r>
      <w:bookmarkEnd w:id="158"/>
      <w:bookmarkEnd w:id="159"/>
      <w:bookmarkEnd w:id="160"/>
    </w:p>
    <w:p w14:paraId="6B799B7E" w14:textId="77777777" w:rsidR="00571F51" w:rsidRPr="00B155A1" w:rsidRDefault="00571F51" w:rsidP="00571F51">
      <w:r w:rsidRPr="009331B6">
        <w:t>The findings of the systematic review of the knowledge, awareness and prevention practices of urinary tract infection (UTI) among adolescents are presented in this chapter. After applying the final criteria, 13 studies met the conditions and were synthesised. Study selection, characteristics and methodological profile are outlined in the chapter, followed by the presentation of five themes baseline knowledge, preventive practices, educational effects, knowledge-to-practice translation, and contextual influences. Evidence directness is taken into account as all studies included were based in India/Egypt and not the UK. Results thus represent direct adolescent evidence of UTI knowledge and prevention, and indirect evidence for the UK context (Al-Kotb et al., 2016; Joseph et al., 2026).</w:t>
      </w:r>
    </w:p>
    <w:p w14:paraId="334F1973" w14:textId="77777777" w:rsidR="00571F51" w:rsidRDefault="00571F51" w:rsidP="00571F51">
      <w:pPr>
        <w:pStyle w:val="Heading2"/>
      </w:pPr>
      <w:bookmarkStart w:id="161" w:name="_Toc239678174"/>
      <w:bookmarkStart w:id="162" w:name="_Toc239679767"/>
      <w:bookmarkStart w:id="163" w:name="_Toc240927776"/>
      <w:r>
        <w:t>4.2 Study Selection Results</w:t>
      </w:r>
      <w:bookmarkEnd w:id="161"/>
      <w:bookmarkEnd w:id="162"/>
      <w:bookmarkEnd w:id="163"/>
    </w:p>
    <w:p w14:paraId="7C90212C" w14:textId="77777777" w:rsidR="00571F51" w:rsidRDefault="00571F51" w:rsidP="00571F51">
      <w:r w:rsidRPr="007C73C2">
        <w:t xml:space="preserve">A total of 290 records were found. After this, 200 records were screened for titles and abstracts, and 90 duplicates were excluded. Of these, 157 were excluded, and 43 reports went for full text. Thirty full texts had to be excluded due to population/age of study, outcome variables, context, publication type and methodological-reporting reasons, which resulted in 13 empirical studies being appraised and synthesised. </w:t>
      </w:r>
      <w:r w:rsidRPr="00041FC5">
        <w:t>The complete study-selection pathway is presented in the PRISMA 2020 flow diagram in Figure 4.1.</w:t>
      </w:r>
      <w:r>
        <w:t xml:space="preserve"> </w:t>
      </w:r>
      <w:r w:rsidRPr="007C73C2">
        <w:t>The same 13 studies were applied to extraction and thematic analysis</w:t>
      </w:r>
      <w:r w:rsidRPr="00B155A1">
        <w:t>.</w:t>
      </w:r>
    </w:p>
    <w:p w14:paraId="4055915E" w14:textId="77777777" w:rsidR="00571F51" w:rsidRDefault="00571F51" w:rsidP="00571F51">
      <w:pPr>
        <w:spacing w:after="200" w:line="276" w:lineRule="auto"/>
        <w:jc w:val="left"/>
      </w:pPr>
      <w:r>
        <w:br w:type="page"/>
      </w:r>
    </w:p>
    <w:p w14:paraId="2DB68AB5" w14:textId="77777777" w:rsidR="00571F51" w:rsidRPr="00C52116" w:rsidRDefault="00571F51" w:rsidP="00AF6D14">
      <w:pPr>
        <w:spacing w:after="0" w:line="240" w:lineRule="auto"/>
        <w:jc w:val="center"/>
        <w:rPr>
          <w:rFonts w:eastAsia="Calibri"/>
          <w:color w:val="000000"/>
        </w:rPr>
      </w:pPr>
    </w:p>
    <w:p w14:paraId="4EF40723"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3600" behindDoc="0" locked="0" layoutInCell="1" allowOverlap="1" wp14:anchorId="7F5F7BC1" wp14:editId="0D1BA822">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229B37B6" w14:textId="77777777" w:rsidR="00571F51" w:rsidRPr="001502CF" w:rsidRDefault="00571F51" w:rsidP="00571F51">
                            <w:pPr>
                              <w:spacing w:after="0" w:line="240" w:lineRule="auto"/>
                              <w:jc w:val="center"/>
                              <w:rPr>
                                <w:b/>
                                <w:sz w:val="18"/>
                                <w:szCs w:val="18"/>
                              </w:rPr>
                            </w:pPr>
                            <w:r w:rsidRPr="001502CF">
                              <w:rPr>
                                <w:b/>
                                <w:sz w:val="18"/>
                                <w:szCs w:val="18"/>
                              </w:rPr>
                              <w:t>Identification of studies</w:t>
                            </w:r>
                            <w:r>
                              <w:rPr>
                                <w:b/>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5F7BC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" fillcolor="#ffc000" strokecolor="#bc8c00" strokeweight="1pt">
                <v:textbox>
                  <w:txbxContent>
                    <w:p w14:paraId="229B37B6" w14:textId="77777777" w:rsidR="00571F51" w:rsidRPr="001502CF" w:rsidRDefault="00571F51" w:rsidP="00571F51">
                      <w:pPr>
                        <w:spacing w:after="0" w:line="240" w:lineRule="auto"/>
                        <w:jc w:val="center"/>
                        <w:rPr>
                          <w:b/>
                          <w:sz w:val="18"/>
                          <w:szCs w:val="18"/>
                        </w:rPr>
                      </w:pPr>
                      <w:r w:rsidRPr="001502CF">
                        <w:rPr>
                          <w:b/>
                          <w:sz w:val="18"/>
                          <w:szCs w:val="18"/>
                        </w:rPr>
                        <w:t>Identification of studies</w:t>
                      </w:r>
                      <w:r>
                        <w:rPr>
                          <w:b/>
                          <w:sz w:val="18"/>
                          <w:szCs w:val="18"/>
                        </w:rPr>
                        <w:t xml:space="preserve"> via databases and registers</w:t>
                      </w:r>
                    </w:p>
                  </w:txbxContent>
                </v:textbox>
              </v:shape>
            </w:pict>
          </mc:Fallback>
        </mc:AlternateContent>
      </w:r>
    </w:p>
    <w:p w14:paraId="02C2AB33" w14:textId="77777777" w:rsidR="00571F51" w:rsidRPr="00C52116" w:rsidRDefault="00571F51" w:rsidP="00AF6D14">
      <w:pPr>
        <w:spacing w:after="0" w:line="240" w:lineRule="auto"/>
        <w:jc w:val="center"/>
        <w:rPr>
          <w:rFonts w:eastAsia="Calibri"/>
          <w:color w:val="000000"/>
        </w:rPr>
      </w:pPr>
    </w:p>
    <w:p w14:paraId="012E8312"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0288" behindDoc="0" locked="0" layoutInCell="1" allowOverlap="1" wp14:anchorId="790DCE21" wp14:editId="21A9C785">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14:paraId="37B50634" w14:textId="77777777" w:rsidR="00571F51" w:rsidRPr="00956C34" w:rsidRDefault="00571F51" w:rsidP="00571F51">
                            <w:pPr>
                              <w:spacing w:after="0" w:line="240" w:lineRule="auto"/>
                              <w:rPr>
                                <w:sz w:val="18"/>
                              </w:rPr>
                            </w:pPr>
                            <w:r w:rsidRPr="00956C34">
                              <w:rPr>
                                <w:sz w:val="18"/>
                              </w:rPr>
                              <w:t xml:space="preserve">Records removed </w:t>
                            </w:r>
                            <w:r w:rsidRPr="00956C34">
                              <w:rPr>
                                <w:i/>
                                <w:iCs/>
                                <w:sz w:val="18"/>
                              </w:rPr>
                              <w:t>before screening</w:t>
                            </w:r>
                            <w:r w:rsidRPr="00956C34">
                              <w:rPr>
                                <w:sz w:val="18"/>
                              </w:rPr>
                              <w:t>:</w:t>
                            </w:r>
                          </w:p>
                          <w:p w14:paraId="36BBBE80" w14:textId="77777777" w:rsidR="00571F51" w:rsidRPr="00956C34" w:rsidRDefault="00571F51" w:rsidP="00571F51">
                            <w:pPr>
                              <w:spacing w:after="0" w:line="240" w:lineRule="auto"/>
                              <w:ind w:left="284"/>
                              <w:rPr>
                                <w:sz w:val="18"/>
                              </w:rPr>
                            </w:pPr>
                            <w:r w:rsidRPr="00956C34">
                              <w:rPr>
                                <w:sz w:val="18"/>
                              </w:rPr>
                              <w:t>Duplicate records removed  (n = 90)</w:t>
                            </w:r>
                          </w:p>
                          <w:p w14:paraId="5B880486" w14:textId="77777777" w:rsidR="00571F51" w:rsidRPr="00956C34" w:rsidRDefault="00571F51" w:rsidP="00571F51">
                            <w:pPr>
                              <w:spacing w:after="0" w:line="240" w:lineRule="auto"/>
                              <w:ind w:left="284"/>
                              <w:rPr>
                                <w:sz w:val="18"/>
                              </w:rPr>
                            </w:pPr>
                            <w:r w:rsidRPr="00956C34">
                              <w:rPr>
                                <w:sz w:val="18"/>
                              </w:rPr>
                              <w:t>Records marked as ineligible by automation tools (n = 0)</w:t>
                            </w:r>
                          </w:p>
                          <w:p w14:paraId="0C226239" w14:textId="77777777" w:rsidR="00571F51" w:rsidRPr="00956C34" w:rsidRDefault="00571F51" w:rsidP="00571F51">
                            <w:pPr>
                              <w:spacing w:after="0" w:line="240" w:lineRule="auto"/>
                              <w:ind w:left="284"/>
                              <w:rPr>
                                <w:sz w:val="18"/>
                              </w:rPr>
                            </w:pPr>
                            <w:r w:rsidRPr="00956C34">
                              <w:rPr>
                                <w:sz w:val="18"/>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0DCE21"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" filled="f" strokecolor="windowText" strokeweight="1pt">
                <v:textbox>
                  <w:txbxContent>
                    <w:p w14:paraId="37B50634" w14:textId="77777777" w:rsidR="00571F51" w:rsidRPr="00956C34" w:rsidRDefault="00571F51" w:rsidP="00571F51">
                      <w:pPr>
                        <w:spacing w:after="0" w:line="240" w:lineRule="auto"/>
                        <w:rPr>
                          <w:sz w:val="18"/>
                        </w:rPr>
                      </w:pPr>
                      <w:r w:rsidRPr="00956C34">
                        <w:rPr>
                          <w:sz w:val="18"/>
                        </w:rPr>
                        <w:t xml:space="preserve">Records removed </w:t>
                      </w:r>
                      <w:r w:rsidRPr="00956C34">
                        <w:rPr>
                          <w:i/>
                          <w:iCs/>
                          <w:sz w:val="18"/>
                        </w:rPr>
                        <w:t>before screening</w:t>
                      </w:r>
                      <w:r w:rsidRPr="00956C34">
                        <w:rPr>
                          <w:sz w:val="18"/>
                        </w:rPr>
                        <w:t>:</w:t>
                      </w:r>
                    </w:p>
                    <w:p w14:paraId="36BBBE80" w14:textId="77777777" w:rsidR="00571F51" w:rsidRPr="00956C34" w:rsidRDefault="00571F51" w:rsidP="00571F51">
                      <w:pPr>
                        <w:spacing w:after="0" w:line="240" w:lineRule="auto"/>
                        <w:ind w:left="284"/>
                        <w:rPr>
                          <w:sz w:val="18"/>
                        </w:rPr>
                      </w:pPr>
                      <w:r w:rsidRPr="00956C34">
                        <w:rPr>
                          <w:sz w:val="18"/>
                        </w:rPr>
                        <w:t>Duplicate records removed  (n = 90)</w:t>
                      </w:r>
                    </w:p>
                    <w:p w14:paraId="5B880486" w14:textId="77777777" w:rsidR="00571F51" w:rsidRPr="00956C34" w:rsidRDefault="00571F51" w:rsidP="00571F51">
                      <w:pPr>
                        <w:spacing w:after="0" w:line="240" w:lineRule="auto"/>
                        <w:ind w:left="284"/>
                        <w:rPr>
                          <w:sz w:val="18"/>
                        </w:rPr>
                      </w:pPr>
                      <w:r w:rsidRPr="00956C34">
                        <w:rPr>
                          <w:sz w:val="18"/>
                        </w:rPr>
                        <w:t>Records marked as ineligible by automation tools (n = 0)</w:t>
                      </w:r>
                    </w:p>
                    <w:p w14:paraId="0C226239" w14:textId="77777777" w:rsidR="00571F51" w:rsidRPr="00956C34" w:rsidRDefault="00571F51" w:rsidP="00571F51">
                      <w:pPr>
                        <w:spacing w:after="0" w:line="240" w:lineRule="auto"/>
                        <w:ind w:left="284"/>
                        <w:rPr>
                          <w:sz w:val="18"/>
                        </w:rPr>
                      </w:pPr>
                      <w:r w:rsidRPr="00956C34">
                        <w:rPr>
                          <w:sz w:val="18"/>
                        </w:rPr>
                        <w:t>Records removed for other reasons (n = 0)</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59264" behindDoc="0" locked="0" layoutInCell="1" allowOverlap="1" wp14:anchorId="0957F2CA" wp14:editId="0E09EF13">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14:paraId="1E1EDA82" w14:textId="77777777" w:rsidR="00571F51" w:rsidRPr="00C52116" w:rsidRDefault="00571F51" w:rsidP="00571F51">
                            <w:pPr>
                              <w:spacing w:after="0" w:line="240" w:lineRule="auto"/>
                              <w:rPr>
                                <w:sz w:val="18"/>
                              </w:rPr>
                            </w:pPr>
                            <w:r w:rsidRPr="00C52116">
                              <w:rPr>
                                <w:sz w:val="18"/>
                              </w:rPr>
                              <w:t>Records identified from*:</w:t>
                            </w:r>
                          </w:p>
                          <w:p w14:paraId="20B170BD" w14:textId="77777777" w:rsidR="00571F51" w:rsidRPr="00C52116" w:rsidRDefault="00571F51" w:rsidP="00571F51">
                            <w:pPr>
                              <w:spacing w:after="0" w:line="240" w:lineRule="auto"/>
                              <w:ind w:left="284"/>
                              <w:rPr>
                                <w:sz w:val="18"/>
                              </w:rPr>
                            </w:pPr>
                            <w:r w:rsidRPr="00C52116">
                              <w:rPr>
                                <w:sz w:val="18"/>
                              </w:rPr>
                              <w:t>Databases (n = 290)</w:t>
                            </w:r>
                          </w:p>
                          <w:p w14:paraId="523ECF63" w14:textId="77777777" w:rsidR="00571F51" w:rsidRPr="00C52116" w:rsidRDefault="00571F51" w:rsidP="00571F51">
                            <w:pPr>
                              <w:spacing w:after="0" w:line="240" w:lineRule="auto"/>
                              <w:ind w:left="284"/>
                              <w:rPr>
                                <w:sz w:val="18"/>
                              </w:rPr>
                            </w:pPr>
                            <w:r w:rsidRPr="00C52116">
                              <w:rPr>
                                <w:sz w:val="18"/>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7F2CA"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" filled="f" strokecolor="windowText" strokeweight="1pt">
                <v:textbox>
                  <w:txbxContent>
                    <w:p w14:paraId="1E1EDA82" w14:textId="77777777" w:rsidR="00571F51" w:rsidRPr="00C52116" w:rsidRDefault="00571F51" w:rsidP="00571F51">
                      <w:pPr>
                        <w:spacing w:after="0" w:line="240" w:lineRule="auto"/>
                        <w:rPr>
                          <w:sz w:val="18"/>
                        </w:rPr>
                      </w:pPr>
                      <w:r w:rsidRPr="00C52116">
                        <w:rPr>
                          <w:sz w:val="18"/>
                        </w:rPr>
                        <w:t>Records identified from*:</w:t>
                      </w:r>
                    </w:p>
                    <w:p w14:paraId="20B170BD" w14:textId="77777777" w:rsidR="00571F51" w:rsidRPr="00C52116" w:rsidRDefault="00571F51" w:rsidP="00571F51">
                      <w:pPr>
                        <w:spacing w:after="0" w:line="240" w:lineRule="auto"/>
                        <w:ind w:left="284"/>
                        <w:rPr>
                          <w:sz w:val="18"/>
                        </w:rPr>
                      </w:pPr>
                      <w:r w:rsidRPr="00C52116">
                        <w:rPr>
                          <w:sz w:val="18"/>
                        </w:rPr>
                        <w:t>Databases (n = 290)</w:t>
                      </w:r>
                    </w:p>
                    <w:p w14:paraId="523ECF63" w14:textId="77777777" w:rsidR="00571F51" w:rsidRPr="00C52116" w:rsidRDefault="00571F51" w:rsidP="00571F51">
                      <w:pPr>
                        <w:spacing w:after="0" w:line="240" w:lineRule="auto"/>
                        <w:ind w:left="284"/>
                        <w:rPr>
                          <w:sz w:val="18"/>
                        </w:rPr>
                      </w:pPr>
                      <w:r w:rsidRPr="00C52116">
                        <w:rPr>
                          <w:sz w:val="18"/>
                        </w:rPr>
                        <w:t>Registers (n = 0)</w:t>
                      </w:r>
                    </w:p>
                  </w:txbxContent>
                </v:textbox>
              </v:rect>
            </w:pict>
          </mc:Fallback>
        </mc:AlternateContent>
      </w:r>
    </w:p>
    <w:p w14:paraId="7066FE37" w14:textId="77777777" w:rsidR="00571F51" w:rsidRPr="00C52116" w:rsidRDefault="00571F51" w:rsidP="00AF6D14">
      <w:pPr>
        <w:spacing w:after="0" w:line="240" w:lineRule="auto"/>
        <w:jc w:val="center"/>
        <w:rPr>
          <w:rFonts w:eastAsia="Calibri"/>
          <w:color w:val="000000"/>
        </w:rPr>
      </w:pPr>
    </w:p>
    <w:p w14:paraId="3A33690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4624" behindDoc="0" locked="0" layoutInCell="1" allowOverlap="1" wp14:anchorId="2E256E84" wp14:editId="6D0D83C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4EA6E2CE" w14:textId="77777777" w:rsidR="00571F51" w:rsidRPr="00956C34" w:rsidRDefault="00571F51" w:rsidP="00571F51">
                            <w:pPr>
                              <w:spacing w:after="0" w:line="240" w:lineRule="auto"/>
                              <w:jc w:val="center"/>
                              <w:rPr>
                                <w:b/>
                                <w:sz w:val="18"/>
                                <w:szCs w:val="18"/>
                              </w:rPr>
                            </w:pPr>
                            <w:r w:rsidRPr="00956C34">
                              <w:rPr>
                                <w:b/>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56E84" id="Flowchart: Alternate Process 31" o:spid="_x0000_s1029" type="#_x0000_t176" style="position:absolute;left:0;text-align:left;margin-left:-31.8pt;margin-top:17.5pt;width:100.5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" fillcolor="#8faadc" strokecolor="windowText" strokeweight="1pt">
                <v:textbox>
                  <w:txbxContent>
                    <w:p w14:paraId="4EA6E2CE" w14:textId="77777777" w:rsidR="00571F51" w:rsidRPr="00956C34" w:rsidRDefault="00571F51" w:rsidP="00571F51">
                      <w:pPr>
                        <w:spacing w:after="0" w:line="240" w:lineRule="auto"/>
                        <w:jc w:val="center"/>
                        <w:rPr>
                          <w:b/>
                          <w:sz w:val="18"/>
                          <w:szCs w:val="18"/>
                        </w:rPr>
                      </w:pPr>
                      <w:r w:rsidRPr="00956C34">
                        <w:rPr>
                          <w:b/>
                          <w:sz w:val="18"/>
                          <w:szCs w:val="18"/>
                        </w:rPr>
                        <w:t>Identification</w:t>
                      </w:r>
                    </w:p>
                  </w:txbxContent>
                </v:textbox>
              </v:shape>
            </w:pict>
          </mc:Fallback>
        </mc:AlternateContent>
      </w:r>
    </w:p>
    <w:p w14:paraId="61520617" w14:textId="77777777" w:rsidR="00571F51" w:rsidRPr="00C52116" w:rsidRDefault="00571F51" w:rsidP="00AF6D14">
      <w:pPr>
        <w:spacing w:after="0" w:line="240" w:lineRule="auto"/>
        <w:jc w:val="center"/>
        <w:rPr>
          <w:rFonts w:eastAsia="Calibri"/>
          <w:color w:val="000000"/>
        </w:rPr>
      </w:pPr>
    </w:p>
    <w:p w14:paraId="22C08F8D"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9504" behindDoc="0" locked="0" layoutInCell="1" allowOverlap="1" wp14:anchorId="3A859AF3" wp14:editId="32962988">
                <wp:simplePos x="0" y="0"/>
                <wp:positionH relativeFrom="column">
                  <wp:posOffset>2454250</wp:posOffset>
                </wp:positionH>
                <wp:positionV relativeFrom="paragraph">
                  <wp:posOffset>9550</wp:posOffset>
                </wp:positionV>
                <wp:extent cx="563270" cy="0"/>
                <wp:effectExtent l="0" t="76200" r="27305" b="95250"/>
                <wp:wrapNone/>
                <wp:docPr id="5" name="Straight Arrow Connector 5"/>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109DEAA" id="_x0000_t32" coordsize="21600,21600" o:spt="32" o:oned="t" path="m,l21600,21600e" filled="f">
                <v:path arrowok="t" fillok="f" o:connecttype="none"/>
                <o:lock v:ext="edit" shapetype="t"/>
              </v:shapetype>
              <v:shape id="Straight Arrow Connector 5" o:spid="_x0000_s1026" type="#_x0000_t32" style="position:absolute;margin-left:193.25pt;margin-top:.7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14:paraId="504FDCFA" w14:textId="77777777" w:rsidR="00571F51" w:rsidRPr="00C52116" w:rsidRDefault="00571F51" w:rsidP="00AF6D14">
      <w:pPr>
        <w:spacing w:after="0" w:line="240" w:lineRule="auto"/>
        <w:jc w:val="center"/>
        <w:rPr>
          <w:rFonts w:eastAsia="Calibri"/>
          <w:color w:val="000000"/>
        </w:rPr>
      </w:pPr>
    </w:p>
    <w:p w14:paraId="22DD4AF9" w14:textId="77777777" w:rsidR="00571F51" w:rsidRPr="00C52116" w:rsidRDefault="00571F51" w:rsidP="00AF6D14">
      <w:pPr>
        <w:spacing w:after="0" w:line="240" w:lineRule="auto"/>
        <w:jc w:val="center"/>
        <w:rPr>
          <w:rFonts w:eastAsia="Calibri"/>
          <w:color w:val="000000"/>
        </w:rPr>
      </w:pPr>
    </w:p>
    <w:p w14:paraId="1E91F85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1312" behindDoc="0" locked="0" layoutInCell="1" allowOverlap="1" wp14:anchorId="45C4044C" wp14:editId="0BE5B2CD">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D730A64" id="Straight Arrow Connector 27" o:spid="_x0000_s1026" type="#_x0000_t32" style="position:absolute;margin-left:110.25pt;margin-top:10.15pt;width:0;height:22.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14:paraId="60F1F3AE" w14:textId="77777777" w:rsidR="00571F51" w:rsidRPr="00C52116" w:rsidRDefault="00571F51" w:rsidP="00AF6D14">
      <w:pPr>
        <w:spacing w:after="0" w:line="240" w:lineRule="auto"/>
        <w:jc w:val="center"/>
        <w:rPr>
          <w:rFonts w:eastAsia="Calibri"/>
          <w:color w:val="000000"/>
        </w:rPr>
      </w:pPr>
    </w:p>
    <w:p w14:paraId="3D1E49A1"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0528" behindDoc="0" locked="0" layoutInCell="1" allowOverlap="1" wp14:anchorId="06091820" wp14:editId="25EF3933">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689C9B0" id="Straight Arrow Connector 15" o:spid="_x0000_s1026" type="#_x0000_t32" style="position:absolute;margin-left:193.2pt;margin-top:25.8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2336" behindDoc="0" locked="0" layoutInCell="1" allowOverlap="1" wp14:anchorId="65722E7E" wp14:editId="686E9739">
                <wp:simplePos x="0" y="0"/>
                <wp:positionH relativeFrom="column">
                  <wp:posOffset>559435</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357CA81" w14:textId="77777777" w:rsidR="00571F51" w:rsidRPr="00956C34" w:rsidRDefault="00571F51" w:rsidP="00571F51">
                            <w:pPr>
                              <w:spacing w:after="0" w:line="240" w:lineRule="auto"/>
                              <w:rPr>
                                <w:sz w:val="18"/>
                              </w:rPr>
                            </w:pPr>
                            <w:r w:rsidRPr="00956C34">
                              <w:rPr>
                                <w:sz w:val="18"/>
                              </w:rPr>
                              <w:t>Records screened</w:t>
                            </w:r>
                          </w:p>
                          <w:p w14:paraId="0A00B69F" w14:textId="77777777" w:rsidR="00571F51" w:rsidRPr="00956C34" w:rsidRDefault="00571F51" w:rsidP="00571F51">
                            <w:pPr>
                              <w:spacing w:after="0" w:line="240" w:lineRule="auto"/>
                              <w:rPr>
                                <w:sz w:val="18"/>
                              </w:rPr>
                            </w:pPr>
                            <w:r w:rsidRPr="00956C34">
                              <w:rPr>
                                <w:sz w:val="18"/>
                              </w:rPr>
                              <w:t>(n = 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22E7E" id="Rectangle 7" o:spid="_x0000_s1030" style="position:absolute;left:0;text-align:left;margin-left:44.05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" filled="f" strokecolor="windowText" strokeweight="1pt">
                <v:textbox>
                  <w:txbxContent>
                    <w:p w14:paraId="7357CA81" w14:textId="77777777" w:rsidR="00571F51" w:rsidRPr="00956C34" w:rsidRDefault="00571F51" w:rsidP="00571F51">
                      <w:pPr>
                        <w:spacing w:after="0" w:line="240" w:lineRule="auto"/>
                        <w:rPr>
                          <w:sz w:val="18"/>
                        </w:rPr>
                      </w:pPr>
                      <w:r w:rsidRPr="00956C34">
                        <w:rPr>
                          <w:sz w:val="18"/>
                        </w:rPr>
                        <w:t>Records screened</w:t>
                      </w:r>
                    </w:p>
                    <w:p w14:paraId="0A00B69F" w14:textId="77777777" w:rsidR="00571F51" w:rsidRPr="00956C34" w:rsidRDefault="00571F51" w:rsidP="00571F51">
                      <w:pPr>
                        <w:spacing w:after="0" w:line="240" w:lineRule="auto"/>
                        <w:rPr>
                          <w:sz w:val="18"/>
                        </w:rPr>
                      </w:pPr>
                      <w:r w:rsidRPr="00956C34">
                        <w:rPr>
                          <w:sz w:val="18"/>
                        </w:rPr>
                        <w:t>(n = 200)</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63360" behindDoc="0" locked="0" layoutInCell="1" allowOverlap="1" wp14:anchorId="75AC64C8" wp14:editId="71A34F41">
                <wp:simplePos x="0" y="0"/>
                <wp:positionH relativeFrom="column">
                  <wp:posOffset>3048000</wp:posOffset>
                </wp:positionH>
                <wp:positionV relativeFrom="paragraph">
                  <wp:posOffset>74930</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586A99B3" w14:textId="77777777" w:rsidR="00571F51" w:rsidRPr="00956C34" w:rsidRDefault="00571F51" w:rsidP="00571F51">
                            <w:pPr>
                              <w:spacing w:after="0" w:line="240" w:lineRule="auto"/>
                              <w:rPr>
                                <w:sz w:val="18"/>
                              </w:rPr>
                            </w:pPr>
                            <w:r w:rsidRPr="00956C34">
                              <w:rPr>
                                <w:sz w:val="18"/>
                              </w:rPr>
                              <w:t>Records excluded**</w:t>
                            </w:r>
                          </w:p>
                          <w:p w14:paraId="0C973AC0" w14:textId="77777777" w:rsidR="00571F51" w:rsidRPr="00956C34" w:rsidRDefault="00571F51" w:rsidP="00571F51">
                            <w:pPr>
                              <w:spacing w:after="0" w:line="240" w:lineRule="auto"/>
                              <w:rPr>
                                <w:sz w:val="18"/>
                              </w:rPr>
                            </w:pPr>
                            <w:r w:rsidRPr="00956C34">
                              <w:rPr>
                                <w:sz w:val="18"/>
                              </w:rPr>
                              <w:t>(n = 157)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C64C8" id="Rectangle 9" o:spid="_x0000_s1031" style="position:absolute;left:0;text-align:left;margin-left:240pt;margin-top:5.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" filled="f" strokecolor="windowText" strokeweight="1pt">
                <v:textbox>
                  <w:txbxContent>
                    <w:p w14:paraId="586A99B3" w14:textId="77777777" w:rsidR="00571F51" w:rsidRPr="00956C34" w:rsidRDefault="00571F51" w:rsidP="00571F51">
                      <w:pPr>
                        <w:spacing w:after="0" w:line="240" w:lineRule="auto"/>
                        <w:rPr>
                          <w:sz w:val="18"/>
                        </w:rPr>
                      </w:pPr>
                      <w:r w:rsidRPr="00956C34">
                        <w:rPr>
                          <w:sz w:val="18"/>
                        </w:rPr>
                        <w:t>Records excluded**</w:t>
                      </w:r>
                    </w:p>
                    <w:p w14:paraId="0C973AC0" w14:textId="77777777" w:rsidR="00571F51" w:rsidRPr="00956C34" w:rsidRDefault="00571F51" w:rsidP="00571F51">
                      <w:pPr>
                        <w:spacing w:after="0" w:line="240" w:lineRule="auto"/>
                        <w:rPr>
                          <w:sz w:val="18"/>
                        </w:rPr>
                      </w:pPr>
                      <w:r w:rsidRPr="00956C34">
                        <w:rPr>
                          <w:sz w:val="18"/>
                        </w:rPr>
                        <w:t>(n = 157)</w:t>
                      </w:r>
                    </w:p>
                  </w:txbxContent>
                </v:textbox>
              </v:rect>
            </w:pict>
          </mc:Fallback>
        </mc:AlternateContent>
      </w:r>
    </w:p>
    <w:p w14:paraId="4DFB8326" w14:textId="77777777" w:rsidR="00571F51" w:rsidRPr="00C52116" w:rsidRDefault="00571F51" w:rsidP="00AF6D14">
      <w:pPr>
        <w:spacing w:after="0" w:line="240" w:lineRule="auto"/>
        <w:jc w:val="center"/>
        <w:rPr>
          <w:rFonts w:eastAsia="Calibri"/>
          <w:color w:val="000000"/>
        </w:rPr>
      </w:pPr>
    </w:p>
    <w:p w14:paraId="44E32498" w14:textId="77777777" w:rsidR="00571F51" w:rsidRPr="00C52116" w:rsidRDefault="00571F51" w:rsidP="00AF6D14">
      <w:pPr>
        <w:spacing w:after="0" w:line="240" w:lineRule="auto"/>
        <w:jc w:val="center"/>
        <w:rPr>
          <w:rFonts w:eastAsia="Calibri"/>
          <w:color w:val="000000"/>
        </w:rPr>
      </w:pPr>
    </w:p>
    <w:p w14:paraId="58FFA240"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7696" behindDoc="0" locked="0" layoutInCell="1" allowOverlap="1" wp14:anchorId="21246188" wp14:editId="0BBE6E0F">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4190790"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14:paraId="62005295" w14:textId="77777777" w:rsidR="00571F51" w:rsidRPr="00C52116" w:rsidRDefault="00571F51" w:rsidP="00AF6D14">
      <w:pPr>
        <w:spacing w:after="0" w:line="240" w:lineRule="auto"/>
        <w:jc w:val="center"/>
        <w:rPr>
          <w:rFonts w:eastAsia="Calibri"/>
          <w:color w:val="000000"/>
        </w:rPr>
      </w:pPr>
    </w:p>
    <w:p w14:paraId="416CF618"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4384" behindDoc="0" locked="0" layoutInCell="1" allowOverlap="1" wp14:anchorId="2390EC26" wp14:editId="09C03836">
                <wp:simplePos x="0" y="0"/>
                <wp:positionH relativeFrom="column">
                  <wp:posOffset>560705</wp:posOffset>
                </wp:positionH>
                <wp:positionV relativeFrom="paragraph">
                  <wp:posOffset>47625</wp:posOffset>
                </wp:positionV>
                <wp:extent cx="1887220" cy="526415"/>
                <wp:effectExtent l="0" t="0" r="17780" b="26035"/>
                <wp:wrapNone/>
                <wp:docPr id="10" name="Rectangle 10"/>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0B59F9C" w14:textId="77777777" w:rsidR="00571F51" w:rsidRPr="00956C34" w:rsidRDefault="00571F51" w:rsidP="00571F51">
                            <w:pPr>
                              <w:spacing w:after="0" w:line="240" w:lineRule="auto"/>
                              <w:rPr>
                                <w:sz w:val="18"/>
                              </w:rPr>
                            </w:pPr>
                            <w:r w:rsidRPr="00956C34">
                              <w:rPr>
                                <w:sz w:val="18"/>
                              </w:rPr>
                              <w:t>Reports sought for retrieval</w:t>
                            </w:r>
                          </w:p>
                          <w:p w14:paraId="72B8DE90" w14:textId="77777777" w:rsidR="00571F51" w:rsidRPr="00956C34" w:rsidRDefault="00571F51" w:rsidP="00571F51">
                            <w:pPr>
                              <w:spacing w:after="0" w:line="240" w:lineRule="auto"/>
                              <w:rPr>
                                <w:sz w:val="18"/>
                              </w:rPr>
                            </w:pPr>
                            <w:r w:rsidRPr="00956C34">
                              <w:rPr>
                                <w:sz w:val="18"/>
                              </w:rPr>
                              <w:t>(n = 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90EC26" id="Rectangle 10" o:spid="_x0000_s1032" style="position:absolute;left:0;text-align:left;margin-left:44.15pt;margin-top:3.7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" filled="f" strokecolor="windowText" strokeweight="1pt">
                <v:textbox>
                  <w:txbxContent>
                    <w:p w14:paraId="20B59F9C" w14:textId="77777777" w:rsidR="00571F51" w:rsidRPr="00956C34" w:rsidRDefault="00571F51" w:rsidP="00571F51">
                      <w:pPr>
                        <w:spacing w:after="0" w:line="240" w:lineRule="auto"/>
                        <w:rPr>
                          <w:sz w:val="18"/>
                        </w:rPr>
                      </w:pPr>
                      <w:r w:rsidRPr="00956C34">
                        <w:rPr>
                          <w:sz w:val="18"/>
                        </w:rPr>
                        <w:t>Reports sought for retrieval</w:t>
                      </w:r>
                    </w:p>
                    <w:p w14:paraId="72B8DE90" w14:textId="77777777" w:rsidR="00571F51" w:rsidRPr="00956C34" w:rsidRDefault="00571F51" w:rsidP="00571F51">
                      <w:pPr>
                        <w:spacing w:after="0" w:line="240" w:lineRule="auto"/>
                        <w:rPr>
                          <w:sz w:val="18"/>
                        </w:rPr>
                      </w:pPr>
                      <w:r w:rsidRPr="00956C34">
                        <w:rPr>
                          <w:sz w:val="18"/>
                        </w:rPr>
                        <w:t>(n = 43)</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71552" behindDoc="0" locked="0" layoutInCell="1" allowOverlap="1" wp14:anchorId="2E393141" wp14:editId="632368F2">
                <wp:simplePos x="0" y="0"/>
                <wp:positionH relativeFrom="column">
                  <wp:posOffset>2463165</wp:posOffset>
                </wp:positionH>
                <wp:positionV relativeFrom="paragraph">
                  <wp:posOffset>320675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AEF3BE4" id="Straight Arrow Connector 11" o:spid="_x0000_s1026" type="#_x0000_t32" style="position:absolute;margin-left:193.95pt;margin-top:25.2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5408" behindDoc="0" locked="0" layoutInCell="1" allowOverlap="1" wp14:anchorId="607E000D" wp14:editId="5CD4E164">
                <wp:simplePos x="0" y="0"/>
                <wp:positionH relativeFrom="column">
                  <wp:posOffset>3049270</wp:posOffset>
                </wp:positionH>
                <wp:positionV relativeFrom="paragraph">
                  <wp:posOffset>66675</wp:posOffset>
                </wp:positionV>
                <wp:extent cx="1887220" cy="526415"/>
                <wp:effectExtent l="0" t="0" r="17780" b="26035"/>
                <wp:wrapNone/>
                <wp:docPr id="12" name="Rectangle 12"/>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393F31AD" w14:textId="77777777" w:rsidR="00571F51" w:rsidRPr="00956C34" w:rsidRDefault="00571F51" w:rsidP="00571F51">
                            <w:pPr>
                              <w:spacing w:after="0" w:line="240" w:lineRule="auto"/>
                              <w:rPr>
                                <w:sz w:val="18"/>
                              </w:rPr>
                            </w:pPr>
                            <w:r w:rsidRPr="00956C34">
                              <w:rPr>
                                <w:sz w:val="18"/>
                              </w:rPr>
                              <w:t>Reports not retrieved</w:t>
                            </w:r>
                          </w:p>
                          <w:p w14:paraId="48617AF6" w14:textId="77777777" w:rsidR="00571F51" w:rsidRPr="00956C34" w:rsidRDefault="00571F51" w:rsidP="00571F51">
                            <w:pPr>
                              <w:spacing w:after="0" w:line="240" w:lineRule="auto"/>
                              <w:rPr>
                                <w:sz w:val="18"/>
                              </w:rPr>
                            </w:pPr>
                            <w:r w:rsidRPr="00956C34">
                              <w:rPr>
                                <w:sz w:val="18"/>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E000D" id="Rectangle 12" o:spid="_x0000_s1033" style="position:absolute;left:0;text-align:left;margin-left:240.1pt;margin-top:5.2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" filled="f" strokecolor="windowText" strokeweight="1pt">
                <v:textbox>
                  <w:txbxContent>
                    <w:p w14:paraId="393F31AD" w14:textId="77777777" w:rsidR="00571F51" w:rsidRPr="00956C34" w:rsidRDefault="00571F51" w:rsidP="00571F51">
                      <w:pPr>
                        <w:spacing w:after="0" w:line="240" w:lineRule="auto"/>
                        <w:rPr>
                          <w:sz w:val="18"/>
                        </w:rPr>
                      </w:pPr>
                      <w:r w:rsidRPr="00956C34">
                        <w:rPr>
                          <w:sz w:val="18"/>
                        </w:rPr>
                        <w:t>Reports not retrieved</w:t>
                      </w:r>
                    </w:p>
                    <w:p w14:paraId="48617AF6" w14:textId="77777777" w:rsidR="00571F51" w:rsidRPr="00956C34" w:rsidRDefault="00571F51" w:rsidP="00571F51">
                      <w:pPr>
                        <w:spacing w:after="0" w:line="240" w:lineRule="auto"/>
                        <w:rPr>
                          <w:sz w:val="18"/>
                        </w:rPr>
                      </w:pPr>
                      <w:r w:rsidRPr="00956C34">
                        <w:rPr>
                          <w:sz w:val="18"/>
                        </w:rPr>
                        <w:t>(n = 0)</w:t>
                      </w:r>
                    </w:p>
                  </w:txbxContent>
                </v:textbox>
              </v:rect>
            </w:pict>
          </mc:Fallback>
        </mc:AlternateContent>
      </w:r>
    </w:p>
    <w:p w14:paraId="0C29DA01" w14:textId="77777777" w:rsidR="00571F51" w:rsidRPr="00C52116" w:rsidRDefault="00571F51" w:rsidP="00AF6D14">
      <w:pPr>
        <w:spacing w:after="0" w:line="240" w:lineRule="auto"/>
        <w:jc w:val="center"/>
        <w:rPr>
          <w:rFonts w:eastAsia="Calibri"/>
          <w:color w:val="000000"/>
        </w:rPr>
      </w:pPr>
    </w:p>
    <w:p w14:paraId="3C9CFF54"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5648" behindDoc="0" locked="0" layoutInCell="1" allowOverlap="1" wp14:anchorId="6DD79E07" wp14:editId="03D6778B">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5EB70349" w14:textId="77777777" w:rsidR="00571F51" w:rsidRPr="00956C34" w:rsidRDefault="00571F51" w:rsidP="00571F51">
                            <w:pPr>
                              <w:spacing w:after="0" w:line="240" w:lineRule="auto"/>
                              <w:jc w:val="center"/>
                              <w:rPr>
                                <w:b/>
                                <w:sz w:val="18"/>
                                <w:szCs w:val="18"/>
                              </w:rPr>
                            </w:pPr>
                            <w:r w:rsidRPr="00956C34">
                              <w:rPr>
                                <w:b/>
                                <w:sz w:val="18"/>
                                <w:szCs w:val="18"/>
                              </w:rPr>
                              <w:t>Screening</w:t>
                            </w:r>
                          </w:p>
                          <w:p w14:paraId="2E05F225" w14:textId="77777777" w:rsidR="00571F51" w:rsidRPr="00956C34" w:rsidRDefault="00571F51" w:rsidP="00571F51">
                            <w:pPr>
                              <w:spacing w:after="0" w:line="240" w:lineRule="auto"/>
                              <w:rPr>
                                <w:b/>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79E07" id="Flowchart: Alternate Process 32" o:spid="_x0000_s1034" type="#_x0000_t176" style="position:absolute;left:0;text-align:left;margin-left:-91.4pt;margin-top:11.05pt;width:219.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" fillcolor="#8faadc" strokecolor="windowText" strokeweight="1pt">
                <v:textbox>
                  <w:txbxContent>
                    <w:p w14:paraId="5EB70349" w14:textId="77777777" w:rsidR="00571F51" w:rsidRPr="00956C34" w:rsidRDefault="00571F51" w:rsidP="00571F51">
                      <w:pPr>
                        <w:spacing w:after="0" w:line="240" w:lineRule="auto"/>
                        <w:jc w:val="center"/>
                        <w:rPr>
                          <w:b/>
                          <w:sz w:val="18"/>
                          <w:szCs w:val="18"/>
                        </w:rPr>
                      </w:pPr>
                      <w:r w:rsidRPr="00956C34">
                        <w:rPr>
                          <w:b/>
                          <w:sz w:val="18"/>
                          <w:szCs w:val="18"/>
                        </w:rPr>
                        <w:t>Screening</w:t>
                      </w:r>
                    </w:p>
                    <w:p w14:paraId="2E05F225" w14:textId="77777777" w:rsidR="00571F51" w:rsidRPr="00956C34" w:rsidRDefault="00571F51" w:rsidP="00571F51">
                      <w:pPr>
                        <w:spacing w:after="0" w:line="240" w:lineRule="auto"/>
                        <w:rPr>
                          <w:b/>
                          <w:sz w:val="18"/>
                          <w:szCs w:val="18"/>
                        </w:rPr>
                      </w:pPr>
                    </w:p>
                  </w:txbxContent>
                </v:textbox>
              </v:shape>
            </w:pict>
          </mc:Fallback>
        </mc:AlternateContent>
      </w:r>
    </w:p>
    <w:p w14:paraId="6DFBFE5F"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8720" behindDoc="0" locked="0" layoutInCell="1" allowOverlap="1" wp14:anchorId="55B4D2DB" wp14:editId="150A00B7">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2B36096"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" strokecolor="windowText" strokeweight=".5pt">
                <v:stroke endarrow="block" joinstyle="miter"/>
              </v:shape>
            </w:pict>
          </mc:Fallback>
        </mc:AlternateContent>
      </w:r>
    </w:p>
    <w:p w14:paraId="775A7FF0" w14:textId="77777777" w:rsidR="00571F51" w:rsidRPr="00C52116" w:rsidRDefault="00571F51" w:rsidP="00AF6D14">
      <w:pPr>
        <w:spacing w:after="0" w:line="240" w:lineRule="auto"/>
        <w:jc w:val="center"/>
        <w:rPr>
          <w:rFonts w:eastAsia="Calibri"/>
          <w:color w:val="000000"/>
        </w:rPr>
      </w:pPr>
    </w:p>
    <w:p w14:paraId="65EB1D16"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2576" behindDoc="0" locked="0" layoutInCell="1" allowOverlap="1" wp14:anchorId="3BCA2833" wp14:editId="5574FD73">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813EE6F" id="Straight Arrow Connector 17" o:spid="_x0000_s1026" type="#_x0000_t32" style="position:absolute;margin-left:195pt;margin-top:23.2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6432" behindDoc="0" locked="0" layoutInCell="1" allowOverlap="1" wp14:anchorId="042C0537" wp14:editId="27D0B9B1">
                <wp:simplePos x="0" y="0"/>
                <wp:positionH relativeFrom="column">
                  <wp:posOffset>561975</wp:posOffset>
                </wp:positionH>
                <wp:positionV relativeFrom="paragraph">
                  <wp:posOffset>13335</wp:posOffset>
                </wp:positionV>
                <wp:extent cx="1887220" cy="526415"/>
                <wp:effectExtent l="0" t="0" r="17780" b="26035"/>
                <wp:wrapNone/>
                <wp:docPr id="13" name="Rectangle 1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35273B20" w14:textId="77777777" w:rsidR="00571F51" w:rsidRPr="00956C34" w:rsidRDefault="00571F51" w:rsidP="00571F51">
                            <w:pPr>
                              <w:spacing w:after="0" w:line="240" w:lineRule="auto"/>
                              <w:rPr>
                                <w:sz w:val="18"/>
                              </w:rPr>
                            </w:pPr>
                            <w:r w:rsidRPr="00956C34">
                              <w:rPr>
                                <w:sz w:val="18"/>
                              </w:rPr>
                              <w:t>Reports assessed for eligibility</w:t>
                            </w:r>
                          </w:p>
                          <w:p w14:paraId="3D14119E" w14:textId="77777777" w:rsidR="00571F51" w:rsidRPr="00956C34" w:rsidRDefault="00571F51" w:rsidP="00571F51">
                            <w:pPr>
                              <w:spacing w:after="0" w:line="240" w:lineRule="auto"/>
                              <w:rPr>
                                <w:sz w:val="18"/>
                              </w:rPr>
                            </w:pPr>
                            <w:r w:rsidRPr="00956C34">
                              <w:rPr>
                                <w:sz w:val="18"/>
                              </w:rPr>
                              <w:t>(n = 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C0537" id="Rectangle 13" o:spid="_x0000_s1035" style="position:absolute;left:0;text-align:left;margin-left:44.25pt;margin-top:1.0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" filled="f" strokecolor="windowText" strokeweight="1pt">
                <v:textbox>
                  <w:txbxContent>
                    <w:p w14:paraId="35273B20" w14:textId="77777777" w:rsidR="00571F51" w:rsidRPr="00956C34" w:rsidRDefault="00571F51" w:rsidP="00571F51">
                      <w:pPr>
                        <w:spacing w:after="0" w:line="240" w:lineRule="auto"/>
                        <w:rPr>
                          <w:sz w:val="18"/>
                        </w:rPr>
                      </w:pPr>
                      <w:r w:rsidRPr="00956C34">
                        <w:rPr>
                          <w:sz w:val="18"/>
                        </w:rPr>
                        <w:t>Reports assessed for eligibility</w:t>
                      </w:r>
                    </w:p>
                    <w:p w14:paraId="3D14119E" w14:textId="77777777" w:rsidR="00571F51" w:rsidRPr="00956C34" w:rsidRDefault="00571F51" w:rsidP="00571F51">
                      <w:pPr>
                        <w:spacing w:after="0" w:line="240" w:lineRule="auto"/>
                        <w:rPr>
                          <w:sz w:val="18"/>
                        </w:rPr>
                      </w:pPr>
                      <w:r w:rsidRPr="00956C34">
                        <w:rPr>
                          <w:sz w:val="18"/>
                        </w:rPr>
                        <w:t>(n = 43)</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67456" behindDoc="0" locked="0" layoutInCell="1" allowOverlap="1" wp14:anchorId="0D70834F" wp14:editId="306A3688">
                <wp:simplePos x="0" y="0"/>
                <wp:positionH relativeFrom="column">
                  <wp:posOffset>3057525</wp:posOffset>
                </wp:positionH>
                <wp:positionV relativeFrom="paragraph">
                  <wp:posOffset>10795</wp:posOffset>
                </wp:positionV>
                <wp:extent cx="1887220" cy="1133475"/>
                <wp:effectExtent l="0" t="0" r="17780" b="28575"/>
                <wp:wrapNone/>
                <wp:docPr id="19" name="Rectangle 19"/>
                <wp:cNvGraphicFramePr/>
                <a:graphic xmlns:a="http://schemas.openxmlformats.org/drawingml/2006/main">
                  <a:graphicData uri="http://schemas.microsoft.com/office/word/2010/wordprocessingShape">
                    <wps:wsp>
                      <wps:cNvSpPr/>
                      <wps:spPr>
                        <a:xfrm>
                          <a:off x="0" y="0"/>
                          <a:ext cx="1887220" cy="1133475"/>
                        </a:xfrm>
                        <a:prstGeom prst="rect">
                          <a:avLst/>
                        </a:prstGeom>
                        <a:noFill/>
                        <a:ln w="12700" cap="flat" cmpd="sng" algn="ctr">
                          <a:solidFill>
                            <a:sysClr val="windowText" lastClr="000000"/>
                          </a:solidFill>
                          <a:prstDash val="solid"/>
                          <a:miter lim="800000"/>
                        </a:ln>
                        <a:effectLst/>
                      </wps:spPr>
                      <wps:txbx>
                        <w:txbxContent>
                          <w:p w14:paraId="45F4AFD1" w14:textId="77777777" w:rsidR="00571F51" w:rsidRPr="00956C34" w:rsidRDefault="00571F51" w:rsidP="00571F51">
                            <w:pPr>
                              <w:spacing w:after="0" w:line="240" w:lineRule="auto"/>
                              <w:rPr>
                                <w:sz w:val="18"/>
                              </w:rPr>
                            </w:pPr>
                            <w:r w:rsidRPr="00956C34">
                              <w:rPr>
                                <w:sz w:val="18"/>
                                <w:szCs w:val="18"/>
                              </w:rPr>
                              <w:t>Reports excluded (n = 30):</w:t>
                            </w:r>
                          </w:p>
                          <w:p w14:paraId="5709C176" w14:textId="77777777" w:rsidR="00571F51" w:rsidRPr="00956C34" w:rsidRDefault="00571F51" w:rsidP="00571F51">
                            <w:pPr>
                              <w:spacing w:after="0" w:line="240" w:lineRule="auto"/>
                              <w:ind w:left="284"/>
                              <w:rPr>
                                <w:sz w:val="18"/>
                              </w:rPr>
                            </w:pPr>
                            <w:r w:rsidRPr="00956C34">
                              <w:rPr>
                                <w:sz w:val="18"/>
                                <w:szCs w:val="18"/>
                              </w:rPr>
                              <w:t>Population/age (n = 11)</w:t>
                            </w:r>
                          </w:p>
                          <w:p w14:paraId="2C4FB239" w14:textId="77777777" w:rsidR="00571F51" w:rsidRPr="00956C34" w:rsidRDefault="00571F51" w:rsidP="00571F51">
                            <w:pPr>
                              <w:spacing w:after="0" w:line="240" w:lineRule="auto"/>
                              <w:ind w:left="284"/>
                              <w:rPr>
                                <w:sz w:val="18"/>
                              </w:rPr>
                            </w:pPr>
                            <w:r w:rsidRPr="00956C34">
                              <w:rPr>
                                <w:sz w:val="18"/>
                                <w:szCs w:val="18"/>
                              </w:rPr>
                              <w:t>Outcome (n = 8)</w:t>
                            </w:r>
                          </w:p>
                          <w:p w14:paraId="0874ECD5" w14:textId="77777777" w:rsidR="00571F51" w:rsidRPr="00956C34" w:rsidRDefault="00571F51" w:rsidP="00571F51">
                            <w:pPr>
                              <w:spacing w:after="0" w:line="240" w:lineRule="auto"/>
                              <w:ind w:left="284"/>
                              <w:rPr>
                                <w:sz w:val="18"/>
                              </w:rPr>
                            </w:pPr>
                            <w:r w:rsidRPr="00956C34">
                              <w:rPr>
                                <w:sz w:val="18"/>
                                <w:szCs w:val="18"/>
                              </w:rPr>
                              <w:t>Context (n = 4)</w:t>
                            </w:r>
                          </w:p>
                          <w:p w14:paraId="08AE5CBB" w14:textId="77777777" w:rsidR="00571F51" w:rsidRPr="00956C34" w:rsidRDefault="00571F51" w:rsidP="00571F51">
                            <w:pPr>
                              <w:spacing w:after="0" w:line="240" w:lineRule="auto"/>
                              <w:ind w:left="284"/>
                              <w:rPr>
                                <w:sz w:val="18"/>
                              </w:rPr>
                            </w:pPr>
                            <w:r w:rsidRPr="00956C34">
                              <w:rPr>
                                <w:sz w:val="18"/>
                                <w:szCs w:val="18"/>
                              </w:rPr>
                              <w:t>Publication type (n = 4)</w:t>
                            </w:r>
                          </w:p>
                          <w:p w14:paraId="24283200" w14:textId="77777777" w:rsidR="00571F51" w:rsidRPr="00956C34" w:rsidRDefault="00571F51" w:rsidP="00571F51">
                            <w:pPr>
                              <w:spacing w:after="0" w:line="240" w:lineRule="auto"/>
                              <w:ind w:left="284"/>
                              <w:rPr>
                                <w:sz w:val="18"/>
                              </w:rPr>
                            </w:pPr>
                            <w:r w:rsidRPr="00956C34">
                              <w:rPr>
                                <w:sz w:val="18"/>
                                <w:szCs w:val="18"/>
                              </w:rPr>
                              <w:t>Methodological reporting (n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0834F" id="Rectangle 19" o:spid="_x0000_s1036" style="position:absolute;left:0;text-align:left;margin-left:240.75pt;margin-top:.85pt;width:148.6pt;height:8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" filled="f" strokecolor="windowText" strokeweight="1pt">
                <v:textbox>
                  <w:txbxContent>
                    <w:p w14:paraId="45F4AFD1" w14:textId="77777777" w:rsidR="00571F51" w:rsidRPr="00956C34" w:rsidRDefault="00571F51" w:rsidP="00571F51">
                      <w:pPr>
                        <w:spacing w:after="0" w:line="240" w:lineRule="auto"/>
                        <w:rPr>
                          <w:sz w:val="18"/>
                        </w:rPr>
                      </w:pPr>
                      <w:r w:rsidRPr="00956C34">
                        <w:rPr>
                          <w:sz w:val="18"/>
                          <w:szCs w:val="18"/>
                        </w:rPr>
                        <w:t>Reports excluded (n = 30):</w:t>
                      </w:r>
                    </w:p>
                    <w:p w14:paraId="5709C176" w14:textId="77777777" w:rsidR="00571F51" w:rsidRPr="00956C34" w:rsidRDefault="00571F51" w:rsidP="00571F51">
                      <w:pPr>
                        <w:spacing w:after="0" w:line="240" w:lineRule="auto"/>
                        <w:ind w:left="284"/>
                        <w:rPr>
                          <w:sz w:val="18"/>
                        </w:rPr>
                      </w:pPr>
                      <w:r w:rsidRPr="00956C34">
                        <w:rPr>
                          <w:sz w:val="18"/>
                          <w:szCs w:val="18"/>
                        </w:rPr>
                        <w:t>Population/age (n = 11)</w:t>
                      </w:r>
                    </w:p>
                    <w:p w14:paraId="2C4FB239" w14:textId="77777777" w:rsidR="00571F51" w:rsidRPr="00956C34" w:rsidRDefault="00571F51" w:rsidP="00571F51">
                      <w:pPr>
                        <w:spacing w:after="0" w:line="240" w:lineRule="auto"/>
                        <w:ind w:left="284"/>
                        <w:rPr>
                          <w:sz w:val="18"/>
                        </w:rPr>
                      </w:pPr>
                      <w:r w:rsidRPr="00956C34">
                        <w:rPr>
                          <w:sz w:val="18"/>
                          <w:szCs w:val="18"/>
                        </w:rPr>
                        <w:t>Outcome (n = 8)</w:t>
                      </w:r>
                    </w:p>
                    <w:p w14:paraId="0874ECD5" w14:textId="77777777" w:rsidR="00571F51" w:rsidRPr="00956C34" w:rsidRDefault="00571F51" w:rsidP="00571F51">
                      <w:pPr>
                        <w:spacing w:after="0" w:line="240" w:lineRule="auto"/>
                        <w:ind w:left="284"/>
                        <w:rPr>
                          <w:sz w:val="18"/>
                        </w:rPr>
                      </w:pPr>
                      <w:r w:rsidRPr="00956C34">
                        <w:rPr>
                          <w:sz w:val="18"/>
                          <w:szCs w:val="18"/>
                        </w:rPr>
                        <w:t>Context (n = 4)</w:t>
                      </w:r>
                    </w:p>
                    <w:p w14:paraId="08AE5CBB" w14:textId="77777777" w:rsidR="00571F51" w:rsidRPr="00956C34" w:rsidRDefault="00571F51" w:rsidP="00571F51">
                      <w:pPr>
                        <w:spacing w:after="0" w:line="240" w:lineRule="auto"/>
                        <w:ind w:left="284"/>
                        <w:rPr>
                          <w:sz w:val="18"/>
                        </w:rPr>
                      </w:pPr>
                      <w:r w:rsidRPr="00956C34">
                        <w:rPr>
                          <w:sz w:val="18"/>
                          <w:szCs w:val="18"/>
                        </w:rPr>
                        <w:t>Publication type (n = 4)</w:t>
                      </w:r>
                    </w:p>
                    <w:p w14:paraId="24283200" w14:textId="77777777" w:rsidR="00571F51" w:rsidRPr="00956C34" w:rsidRDefault="00571F51" w:rsidP="00571F51">
                      <w:pPr>
                        <w:spacing w:after="0" w:line="240" w:lineRule="auto"/>
                        <w:ind w:left="284"/>
                        <w:rPr>
                          <w:sz w:val="18"/>
                        </w:rPr>
                      </w:pPr>
                      <w:r w:rsidRPr="00956C34">
                        <w:rPr>
                          <w:sz w:val="18"/>
                          <w:szCs w:val="18"/>
                        </w:rPr>
                        <w:t>Methodological reporting (n = 3)</w:t>
                      </w:r>
                    </w:p>
                  </w:txbxContent>
                </v:textbox>
              </v:rect>
            </w:pict>
          </mc:Fallback>
        </mc:AlternateContent>
      </w:r>
    </w:p>
    <w:p w14:paraId="07C7BB6C" w14:textId="77777777" w:rsidR="00571F51" w:rsidRPr="00C52116" w:rsidRDefault="00571F51" w:rsidP="00AF6D14">
      <w:pPr>
        <w:spacing w:after="0" w:line="240" w:lineRule="auto"/>
        <w:jc w:val="center"/>
        <w:rPr>
          <w:rFonts w:eastAsia="Calibri"/>
          <w:color w:val="000000"/>
        </w:rPr>
      </w:pPr>
    </w:p>
    <w:p w14:paraId="146DDD54" w14:textId="77777777" w:rsidR="00571F51" w:rsidRPr="00C52116" w:rsidRDefault="00571F51" w:rsidP="00AF6D14">
      <w:pPr>
        <w:spacing w:after="0" w:line="240" w:lineRule="auto"/>
        <w:jc w:val="center"/>
        <w:rPr>
          <w:rFonts w:eastAsia="Calibri"/>
          <w:color w:val="000000"/>
        </w:rPr>
      </w:pPr>
    </w:p>
    <w:p w14:paraId="55D090B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9744" behindDoc="0" locked="0" layoutInCell="1" allowOverlap="1" wp14:anchorId="75BAC829" wp14:editId="199DB50C">
                <wp:simplePos x="0" y="0"/>
                <wp:positionH relativeFrom="column">
                  <wp:posOffset>1400861</wp:posOffset>
                </wp:positionH>
                <wp:positionV relativeFrom="paragraph">
                  <wp:posOffset>29667</wp:posOffset>
                </wp:positionV>
                <wp:extent cx="0" cy="746151"/>
                <wp:effectExtent l="76200" t="0" r="57150" b="53975"/>
                <wp:wrapNone/>
                <wp:docPr id="21" name="Straight Arrow Connector 21"/>
                <wp:cNvGraphicFramePr/>
                <a:graphic xmlns:a="http://schemas.openxmlformats.org/drawingml/2006/main">
                  <a:graphicData uri="http://schemas.microsoft.com/office/word/2010/wordprocessingShape">
                    <wps:wsp>
                      <wps:cNvCnPr/>
                      <wps:spPr>
                        <a:xfrm>
                          <a:off x="0" y="0"/>
                          <a:ext cx="0" cy="74615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B69BF90" id="Straight Arrow Connector 21"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" strokecolor="windowText" strokeweight=".5pt">
                <v:stroke endarrow="block" joinstyle="miter"/>
              </v:shape>
            </w:pict>
          </mc:Fallback>
        </mc:AlternateContent>
      </w:r>
    </w:p>
    <w:p w14:paraId="3D4DAFD3" w14:textId="77777777" w:rsidR="00571F51" w:rsidRPr="00C52116" w:rsidRDefault="00571F51" w:rsidP="00AF6D14">
      <w:pPr>
        <w:spacing w:after="0" w:line="240" w:lineRule="auto"/>
        <w:jc w:val="center"/>
        <w:rPr>
          <w:rFonts w:eastAsia="Calibri"/>
          <w:color w:val="000000"/>
        </w:rPr>
      </w:pPr>
    </w:p>
    <w:p w14:paraId="685F1395" w14:textId="77777777" w:rsidR="00571F51" w:rsidRPr="00C52116" w:rsidRDefault="00571F51" w:rsidP="00AF6D14">
      <w:pPr>
        <w:spacing w:after="0" w:line="240" w:lineRule="auto"/>
        <w:jc w:val="center"/>
        <w:rPr>
          <w:rFonts w:eastAsia="Calibri"/>
          <w:color w:val="000000"/>
        </w:rPr>
      </w:pPr>
    </w:p>
    <w:p w14:paraId="227F247B" w14:textId="77777777" w:rsidR="00571F51" w:rsidRPr="00C52116" w:rsidRDefault="00571F51" w:rsidP="00AF6D14">
      <w:pPr>
        <w:spacing w:after="0" w:line="240" w:lineRule="auto"/>
        <w:jc w:val="center"/>
        <w:rPr>
          <w:rFonts w:eastAsia="Calibri"/>
          <w:color w:val="000000"/>
        </w:rPr>
      </w:pPr>
    </w:p>
    <w:p w14:paraId="02A74500"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8480" behindDoc="0" locked="0" layoutInCell="1" allowOverlap="1" wp14:anchorId="5237536B" wp14:editId="2F880358">
                <wp:simplePos x="0" y="0"/>
                <wp:positionH relativeFrom="column">
                  <wp:posOffset>540385</wp:posOffset>
                </wp:positionH>
                <wp:positionV relativeFrom="paragraph">
                  <wp:posOffset>110795</wp:posOffset>
                </wp:positionV>
                <wp:extent cx="1887220" cy="7239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14:paraId="3512E917" w14:textId="2313EC72" w:rsidR="00571F51" w:rsidRPr="00371A04" w:rsidRDefault="00571F51" w:rsidP="00571F51">
                            <w:pPr>
                              <w:spacing w:after="0" w:line="240" w:lineRule="auto"/>
                              <w:rPr>
                                <w:sz w:val="16"/>
                              </w:rPr>
                            </w:pPr>
                            <w:r w:rsidRPr="00371A04">
                              <w:rPr>
                                <w:sz w:val="16"/>
                              </w:rPr>
                              <w:t>Studies included in review (n =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7536B" id="Rectangle 22" o:spid="_x0000_s1037" style="position:absolute;left:0;text-align:left;margin-left:42.55pt;margin-top:8.7pt;width:148.6pt;height:5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" filled="f" strokecolor="windowText" strokeweight="1pt">
                <v:textbox>
                  <w:txbxContent>
                    <w:p w14:paraId="3512E917" w14:textId="2313EC72" w:rsidR="00571F51" w:rsidRPr="00371A04" w:rsidRDefault="00571F51" w:rsidP="00571F51">
                      <w:pPr>
                        <w:spacing w:after="0" w:line="240" w:lineRule="auto"/>
                        <w:rPr>
                          <w:sz w:val="16"/>
                        </w:rPr>
                      </w:pPr>
                      <w:r w:rsidRPr="00371A04">
                        <w:rPr>
                          <w:sz w:val="16"/>
                        </w:rPr>
                        <w:t>Studies included in review (n = 13)</w:t>
                      </w:r>
                    </w:p>
                  </w:txbxContent>
                </v:textbox>
              </v:rect>
            </w:pict>
          </mc:Fallback>
        </mc:AlternateContent>
      </w:r>
    </w:p>
    <w:p w14:paraId="660EBAF5"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6672" behindDoc="0" locked="0" layoutInCell="1" allowOverlap="1" wp14:anchorId="0FF507C9" wp14:editId="4638621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3184EEF3" w14:textId="77777777" w:rsidR="00571F51" w:rsidRPr="00956C34" w:rsidRDefault="00571F51" w:rsidP="00571F51">
                            <w:pPr>
                              <w:spacing w:after="0" w:line="240" w:lineRule="auto"/>
                              <w:jc w:val="center"/>
                              <w:rPr>
                                <w:b/>
                                <w:sz w:val="18"/>
                                <w:szCs w:val="18"/>
                              </w:rPr>
                            </w:pPr>
                            <w:r w:rsidRPr="00956C34">
                              <w:rPr>
                                <w:b/>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507C9" id="Flowchart: Alternate Process 33" o:spid="_x0000_s1038" type="#_x0000_t176" style="position:absolute;left:0;text-align:left;margin-left:-10.5pt;margin-top:13.45pt;width:60.2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" fillcolor="#8faadc" strokecolor="windowText" strokeweight="1pt">
                <v:textbox>
                  <w:txbxContent>
                    <w:p w14:paraId="3184EEF3" w14:textId="77777777" w:rsidR="00571F51" w:rsidRPr="00956C34" w:rsidRDefault="00571F51" w:rsidP="00571F51">
                      <w:pPr>
                        <w:spacing w:after="0" w:line="240" w:lineRule="auto"/>
                        <w:jc w:val="center"/>
                        <w:rPr>
                          <w:b/>
                          <w:sz w:val="18"/>
                          <w:szCs w:val="18"/>
                        </w:rPr>
                      </w:pPr>
                      <w:r w:rsidRPr="00956C34">
                        <w:rPr>
                          <w:b/>
                          <w:sz w:val="18"/>
                          <w:szCs w:val="18"/>
                        </w:rPr>
                        <w:t>Included</w:t>
                      </w:r>
                    </w:p>
                  </w:txbxContent>
                </v:textbox>
              </v:shape>
            </w:pict>
          </mc:Fallback>
        </mc:AlternateContent>
      </w:r>
    </w:p>
    <w:p w14:paraId="5E273E6B" w14:textId="77777777" w:rsidR="00571F51" w:rsidRPr="00C52116" w:rsidRDefault="00571F51" w:rsidP="00AF6D14">
      <w:pPr>
        <w:spacing w:after="0" w:line="240" w:lineRule="auto"/>
        <w:jc w:val="center"/>
        <w:rPr>
          <w:rFonts w:eastAsia="Calibri"/>
          <w:color w:val="000000"/>
        </w:rPr>
      </w:pPr>
    </w:p>
    <w:p w14:paraId="2292718E" w14:textId="77777777" w:rsidR="00571F51" w:rsidRPr="00C52116" w:rsidRDefault="00571F51" w:rsidP="00AF6D14">
      <w:pPr>
        <w:spacing w:after="0" w:line="240" w:lineRule="auto"/>
        <w:jc w:val="center"/>
        <w:rPr>
          <w:rFonts w:eastAsia="Calibri"/>
          <w:color w:val="000000"/>
        </w:rPr>
      </w:pPr>
    </w:p>
    <w:p w14:paraId="671B1087" w14:textId="77777777" w:rsidR="00571F51" w:rsidRPr="00C52116" w:rsidRDefault="00571F51" w:rsidP="00AF6D14">
      <w:pPr>
        <w:spacing w:after="0" w:line="240" w:lineRule="auto"/>
        <w:jc w:val="center"/>
        <w:rPr>
          <w:rFonts w:eastAsia="Calibri"/>
          <w:color w:val="000000"/>
        </w:rPr>
      </w:pPr>
    </w:p>
    <w:p w14:paraId="1455F0E0" w14:textId="77777777" w:rsidR="00571F51" w:rsidRPr="00C52116" w:rsidRDefault="00571F51" w:rsidP="00571F51">
      <w:pPr>
        <w:jc w:val="center"/>
        <w:rPr>
          <w:bCs/>
          <w:i/>
          <w:iCs/>
          <w:color w:val="000000"/>
        </w:rPr>
      </w:pPr>
    </w:p>
    <w:p w14:paraId="40066F15" w14:textId="6C79BC3A" w:rsidR="00571F51" w:rsidRPr="00C52116" w:rsidRDefault="00CB4039" w:rsidP="00571F51">
      <w:pPr>
        <w:jc w:val="center"/>
        <w:rPr>
          <w:rFonts w:eastAsia="Calibri"/>
          <w:bCs/>
          <w:i/>
          <w:iCs/>
          <w:color w:val="000000"/>
        </w:rPr>
      </w:pPr>
      <w:r w:rsidRPr="00CB4039">
        <w:rPr>
          <w:bCs/>
          <w:i/>
          <w:iCs/>
          <w:color w:val="000000"/>
        </w:rPr>
        <w:t>Figure 4.1: PRISMA 2020 Flow Diagram of Study Selection</w:t>
      </w:r>
    </w:p>
    <w:p w14:paraId="51E04AD3" w14:textId="77777777" w:rsidR="00571F51" w:rsidRPr="0045230E" w:rsidRDefault="00571F51" w:rsidP="00571F51">
      <w:pPr>
        <w:jc w:val="center"/>
        <w:rPr>
          <w:rFonts w:eastAsia="Calibri"/>
          <w:i/>
          <w:iCs/>
          <w:color w:val="000000"/>
        </w:rPr>
      </w:pPr>
      <w:r w:rsidRPr="00C52116">
        <w:rPr>
          <w:rFonts w:eastAsia="Calibri"/>
          <w:i/>
          <w:iCs/>
          <w:color w:val="000000"/>
        </w:rPr>
        <w:t>Source: Adapted from Page et al. (2021).</w:t>
      </w:r>
    </w:p>
    <w:p w14:paraId="24A36475" w14:textId="77777777" w:rsidR="00571F51" w:rsidRDefault="00571F51" w:rsidP="00571F51">
      <w:pPr>
        <w:pStyle w:val="Heading2"/>
      </w:pPr>
      <w:bookmarkStart w:id="164" w:name="_Toc239678175"/>
      <w:bookmarkStart w:id="165" w:name="_Toc239679768"/>
      <w:bookmarkStart w:id="166" w:name="_Toc240927777"/>
      <w:r>
        <w:t>4.3 Characteristics of the Included Studies</w:t>
      </w:r>
      <w:bookmarkEnd w:id="164"/>
      <w:bookmarkEnd w:id="165"/>
      <w:bookmarkEnd w:id="166"/>
    </w:p>
    <w:p w14:paraId="2B51B43F" w14:textId="77777777" w:rsidR="00571F51" w:rsidRPr="002E21C8" w:rsidRDefault="00571F51" w:rsidP="00571F51">
      <w:r w:rsidRPr="002E21C8">
        <w:t>The studies were done in the year range 2016 to 2026. Ten were done in India and three in Egypt, all having female adolescents. The age range was 12-19 years. A total of 3,140 participants were represented across the reported samples, with Nofal et al. (2020) screening 770 students and then evaluating the educational intervention in a sample of 104 students. Sample size varied from 40 in Baruah (2023) to 770 in the first phase of the Nofal et al. (2020) study. The majority of studies were school/chollege/hostel based and the educational environment was a prominent theme throughout the evidence.</w:t>
      </w:r>
    </w:p>
    <w:p w14:paraId="787CA342" w14:textId="77777777" w:rsidR="00571F51" w:rsidRPr="002E21C8" w:rsidRDefault="00571F51" w:rsidP="00571F51">
      <w:r w:rsidRPr="002E21C8">
        <w:t>The studies were eight, which were of educational, quasi-experimental and pre-experimental nature, and five were descriptive/cross-sectional. Intervention studies typically examined intervention before and after knowledge of UTI's and/or self-instructional material and health education. Banu (2023) designed two experimental and one control group; all other interventions used one-group pre/post designs. Knowledge and preventive practice were measured through observational studies, while Sequera et al. (2021) and Joseph et al. (2026) directly examined the knowledge-practice relationship. The evidence included is summarised in Table 4.1.</w:t>
      </w:r>
    </w:p>
    <w:p w14:paraId="60901B07" w14:textId="77777777" w:rsidR="00571F51" w:rsidRPr="00B155A1" w:rsidRDefault="00571F51" w:rsidP="00571F51">
      <w:r w:rsidRPr="002E21C8">
        <w:t>Age coverage also varied during the adolescent period. The majority of studies on interventions focused on early or middle adolescence (varying definitions from 12 to 16 years), with Patel et al. (2020), Sequera et al. (2021) and Joseph et al. (2026) providing evidence for older adolescents. This is important as in early to late adolescence autonomy over fluid intake, toileting, menstrual care and decisions about health and care can vary significantly. None of the studies, however, used a common outcome measure to compare between age groups, and so age-related differences were not able to be synthesised quantitatively. It was significant to recruit only girls. Female samples were suitable for the purposes of the primary studies; however, there was no data to provide a description of knowledge or preventive practices for adolescent males. This meant that the evidence base was directly relevant to adolescent female UTI prevention but incomplete for the wider UK adolescent population aged 10-19 years as outlined in the review question. This gap must not be ignored; it's a finding.</w:t>
      </w:r>
    </w:p>
    <w:p w14:paraId="1369C5B8" w14:textId="77777777" w:rsidR="00571F51" w:rsidRDefault="00571F51" w:rsidP="00571F51">
      <w:pPr>
        <w:sectPr w:rsidR="00571F51" w:rsidSect="00571F51">
          <w:footerReference w:type="default" r:id="rId22"/>
          <w:pgSz w:w="12240" w:h="15840"/>
          <w:pgMar w:top="1440" w:right="1440" w:bottom="1440" w:left="1440" w:header="720" w:footer="720" w:gutter="0"/>
          <w:cols w:space="720"/>
          <w:docGrid w:linePitch="360"/>
        </w:sectPr>
      </w:pPr>
    </w:p>
    <w:p w14:paraId="5BD2E614" w14:textId="77777777" w:rsidR="00571F51" w:rsidRDefault="00571F51" w:rsidP="00571F51">
      <w:pPr>
        <w:spacing w:before="120" w:after="80"/>
      </w:pPr>
      <w:r>
        <w:rPr>
          <w:b/>
        </w:rPr>
        <w:t>Table 4.1: Characteristics and Data Extraction of the 13 Included Studies</w:t>
      </w:r>
    </w:p>
    <w:tbl>
      <w:tblPr>
        <w:tblStyle w:val="TableGrid"/>
        <w:tblW w:w="0" w:type="auto"/>
        <w:jc w:val="center"/>
        <w:tblLook w:val="04A0" w:firstRow="1" w:lastRow="0" w:firstColumn="1" w:lastColumn="0" w:noHBand="0" w:noVBand="1"/>
      </w:tblPr>
      <w:tblGrid>
        <w:gridCol w:w="1757"/>
        <w:gridCol w:w="1871"/>
        <w:gridCol w:w="1814"/>
        <w:gridCol w:w="1928"/>
        <w:gridCol w:w="3685"/>
        <w:gridCol w:w="3061"/>
        <w:gridCol w:w="964"/>
      </w:tblGrid>
      <w:tr w:rsidR="00571F51" w:rsidRPr="00B155A1" w14:paraId="1C50352B" w14:textId="77777777" w:rsidTr="008406E6">
        <w:trPr>
          <w:tblHeader/>
          <w:jc w:val="center"/>
        </w:trPr>
        <w:tc>
          <w:tcPr>
            <w:tcW w:w="1757" w:type="dxa"/>
            <w:shd w:val="clear" w:color="auto" w:fill="D9E1F2"/>
            <w:tcMar>
              <w:top w:w="60" w:type="dxa"/>
              <w:left w:w="60" w:type="dxa"/>
              <w:bottom w:w="60" w:type="dxa"/>
              <w:right w:w="60" w:type="dxa"/>
            </w:tcMar>
            <w:vAlign w:val="center"/>
          </w:tcPr>
          <w:p w14:paraId="44D17CFC" w14:textId="77777777" w:rsidR="00571F51" w:rsidRPr="00B155A1" w:rsidRDefault="00571F51" w:rsidP="008406E6">
            <w:pPr>
              <w:spacing w:line="240" w:lineRule="auto"/>
              <w:jc w:val="left"/>
            </w:pPr>
            <w:r w:rsidRPr="00B155A1">
              <w:rPr>
                <w:b/>
                <w:sz w:val="16"/>
              </w:rPr>
              <w:t>Study</w:t>
            </w:r>
          </w:p>
        </w:tc>
        <w:tc>
          <w:tcPr>
            <w:tcW w:w="1871" w:type="dxa"/>
            <w:shd w:val="clear" w:color="auto" w:fill="D9E1F2"/>
            <w:tcMar>
              <w:top w:w="60" w:type="dxa"/>
              <w:left w:w="60" w:type="dxa"/>
              <w:bottom w:w="60" w:type="dxa"/>
              <w:right w:w="60" w:type="dxa"/>
            </w:tcMar>
            <w:vAlign w:val="center"/>
          </w:tcPr>
          <w:p w14:paraId="33B4A2B8" w14:textId="77777777" w:rsidR="00571F51" w:rsidRPr="00B155A1" w:rsidRDefault="00571F51" w:rsidP="008406E6">
            <w:pPr>
              <w:spacing w:line="240" w:lineRule="auto"/>
              <w:jc w:val="left"/>
            </w:pPr>
            <w:r w:rsidRPr="00B155A1">
              <w:rPr>
                <w:b/>
                <w:sz w:val="16"/>
              </w:rPr>
              <w:t>Country/setting</w:t>
            </w:r>
          </w:p>
        </w:tc>
        <w:tc>
          <w:tcPr>
            <w:tcW w:w="1814" w:type="dxa"/>
            <w:shd w:val="clear" w:color="auto" w:fill="D9E1F2"/>
            <w:tcMar>
              <w:top w:w="60" w:type="dxa"/>
              <w:left w:w="60" w:type="dxa"/>
              <w:bottom w:w="60" w:type="dxa"/>
              <w:right w:w="60" w:type="dxa"/>
            </w:tcMar>
            <w:vAlign w:val="center"/>
          </w:tcPr>
          <w:p w14:paraId="33D33826" w14:textId="77777777" w:rsidR="00571F51" w:rsidRPr="00B155A1" w:rsidRDefault="00571F51" w:rsidP="008406E6">
            <w:pPr>
              <w:spacing w:line="240" w:lineRule="auto"/>
              <w:jc w:val="left"/>
            </w:pPr>
            <w:r w:rsidRPr="00B155A1">
              <w:rPr>
                <w:b/>
                <w:sz w:val="16"/>
              </w:rPr>
              <w:t>Sample/age</w:t>
            </w:r>
          </w:p>
        </w:tc>
        <w:tc>
          <w:tcPr>
            <w:tcW w:w="1928" w:type="dxa"/>
            <w:shd w:val="clear" w:color="auto" w:fill="D9E1F2"/>
            <w:tcMar>
              <w:top w:w="60" w:type="dxa"/>
              <w:left w:w="60" w:type="dxa"/>
              <w:bottom w:w="60" w:type="dxa"/>
              <w:right w:w="60" w:type="dxa"/>
            </w:tcMar>
            <w:vAlign w:val="center"/>
          </w:tcPr>
          <w:p w14:paraId="491DD256" w14:textId="77777777" w:rsidR="00571F51" w:rsidRPr="00B155A1" w:rsidRDefault="00571F51" w:rsidP="008406E6">
            <w:pPr>
              <w:spacing w:line="240" w:lineRule="auto"/>
              <w:jc w:val="left"/>
            </w:pPr>
            <w:r w:rsidRPr="00B155A1">
              <w:rPr>
                <w:b/>
                <w:sz w:val="16"/>
              </w:rPr>
              <w:t>Design</w:t>
            </w:r>
          </w:p>
        </w:tc>
        <w:tc>
          <w:tcPr>
            <w:tcW w:w="3685" w:type="dxa"/>
            <w:shd w:val="clear" w:color="auto" w:fill="D9E1F2"/>
            <w:tcMar>
              <w:top w:w="60" w:type="dxa"/>
              <w:left w:w="60" w:type="dxa"/>
              <w:bottom w:w="60" w:type="dxa"/>
              <w:right w:w="60" w:type="dxa"/>
            </w:tcMar>
            <w:vAlign w:val="center"/>
          </w:tcPr>
          <w:p w14:paraId="181B007E" w14:textId="77777777" w:rsidR="00571F51" w:rsidRPr="00B155A1" w:rsidRDefault="00571F51" w:rsidP="008406E6">
            <w:pPr>
              <w:spacing w:line="240" w:lineRule="auto"/>
              <w:jc w:val="left"/>
            </w:pPr>
            <w:r w:rsidRPr="00B155A1">
              <w:rPr>
                <w:b/>
                <w:sz w:val="16"/>
              </w:rPr>
              <w:t>Principal findings</w:t>
            </w:r>
          </w:p>
        </w:tc>
        <w:tc>
          <w:tcPr>
            <w:tcW w:w="3061" w:type="dxa"/>
            <w:shd w:val="clear" w:color="auto" w:fill="D9E1F2"/>
            <w:tcMar>
              <w:top w:w="60" w:type="dxa"/>
              <w:left w:w="60" w:type="dxa"/>
              <w:bottom w:w="60" w:type="dxa"/>
              <w:right w:w="60" w:type="dxa"/>
            </w:tcMar>
            <w:vAlign w:val="center"/>
          </w:tcPr>
          <w:p w14:paraId="5EEE8DAE" w14:textId="77777777" w:rsidR="00571F51" w:rsidRPr="00B155A1" w:rsidRDefault="00571F51" w:rsidP="008406E6">
            <w:pPr>
              <w:spacing w:line="240" w:lineRule="auto"/>
              <w:jc w:val="left"/>
            </w:pPr>
            <w:r w:rsidRPr="00B155A1">
              <w:rPr>
                <w:b/>
                <w:sz w:val="16"/>
              </w:rPr>
              <w:t>Methodological note</w:t>
            </w:r>
          </w:p>
        </w:tc>
        <w:tc>
          <w:tcPr>
            <w:tcW w:w="964" w:type="dxa"/>
            <w:shd w:val="clear" w:color="auto" w:fill="D9E1F2"/>
            <w:tcMar>
              <w:top w:w="60" w:type="dxa"/>
              <w:left w:w="60" w:type="dxa"/>
              <w:bottom w:w="60" w:type="dxa"/>
              <w:right w:w="60" w:type="dxa"/>
            </w:tcMar>
            <w:vAlign w:val="center"/>
          </w:tcPr>
          <w:p w14:paraId="00BE36FD" w14:textId="77777777" w:rsidR="00571F51" w:rsidRPr="00B155A1" w:rsidRDefault="00571F51" w:rsidP="008406E6">
            <w:pPr>
              <w:spacing w:line="240" w:lineRule="auto"/>
              <w:jc w:val="left"/>
            </w:pPr>
            <w:r w:rsidRPr="00B155A1">
              <w:rPr>
                <w:b/>
                <w:sz w:val="16"/>
              </w:rPr>
              <w:t>Theme(s)</w:t>
            </w:r>
          </w:p>
        </w:tc>
      </w:tr>
      <w:tr w:rsidR="00571F51" w:rsidRPr="00B155A1" w14:paraId="53A63AB9" w14:textId="77777777" w:rsidTr="008406E6">
        <w:trPr>
          <w:jc w:val="center"/>
        </w:trPr>
        <w:tc>
          <w:tcPr>
            <w:tcW w:w="1757" w:type="dxa"/>
            <w:tcMar>
              <w:top w:w="60" w:type="dxa"/>
              <w:left w:w="60" w:type="dxa"/>
              <w:bottom w:w="60" w:type="dxa"/>
              <w:right w:w="60" w:type="dxa"/>
            </w:tcMar>
            <w:vAlign w:val="center"/>
          </w:tcPr>
          <w:p w14:paraId="4C14815F" w14:textId="77777777" w:rsidR="00571F51" w:rsidRPr="00B155A1" w:rsidRDefault="00571F51" w:rsidP="008406E6">
            <w:pPr>
              <w:spacing w:line="240" w:lineRule="auto"/>
              <w:jc w:val="left"/>
            </w:pPr>
            <w:r w:rsidRPr="00B155A1">
              <w:rPr>
                <w:sz w:val="16"/>
              </w:rPr>
              <w:t>Al-Kotb et al. (2016)</w:t>
            </w:r>
          </w:p>
        </w:tc>
        <w:tc>
          <w:tcPr>
            <w:tcW w:w="1871" w:type="dxa"/>
            <w:tcMar>
              <w:top w:w="60" w:type="dxa"/>
              <w:left w:w="60" w:type="dxa"/>
              <w:bottom w:w="60" w:type="dxa"/>
              <w:right w:w="60" w:type="dxa"/>
            </w:tcMar>
            <w:vAlign w:val="center"/>
          </w:tcPr>
          <w:p w14:paraId="49B3FB2E" w14:textId="77777777" w:rsidR="00571F51" w:rsidRPr="00B155A1" w:rsidRDefault="00571F51" w:rsidP="008406E6">
            <w:pPr>
              <w:spacing w:line="240" w:lineRule="auto"/>
              <w:jc w:val="left"/>
            </w:pPr>
            <w:r w:rsidRPr="00B155A1">
              <w:rPr>
                <w:sz w:val="16"/>
              </w:rPr>
              <w:t>Egypt; preparatory girls’ schools</w:t>
            </w:r>
          </w:p>
        </w:tc>
        <w:tc>
          <w:tcPr>
            <w:tcW w:w="1814" w:type="dxa"/>
            <w:tcMar>
              <w:top w:w="60" w:type="dxa"/>
              <w:left w:w="60" w:type="dxa"/>
              <w:bottom w:w="60" w:type="dxa"/>
              <w:right w:w="60" w:type="dxa"/>
            </w:tcMar>
            <w:vAlign w:val="center"/>
          </w:tcPr>
          <w:p w14:paraId="18B7F7D1" w14:textId="77777777" w:rsidR="00571F51" w:rsidRPr="00B155A1" w:rsidRDefault="00571F51" w:rsidP="008406E6">
            <w:pPr>
              <w:spacing w:line="240" w:lineRule="auto"/>
              <w:jc w:val="left"/>
            </w:pPr>
            <w:r w:rsidRPr="00B155A1">
              <w:rPr>
                <w:sz w:val="16"/>
              </w:rPr>
              <w:t>n=462; 12–15 years</w:t>
            </w:r>
          </w:p>
        </w:tc>
        <w:tc>
          <w:tcPr>
            <w:tcW w:w="1928" w:type="dxa"/>
            <w:tcMar>
              <w:top w:w="60" w:type="dxa"/>
              <w:left w:w="60" w:type="dxa"/>
              <w:bottom w:w="60" w:type="dxa"/>
              <w:right w:w="60" w:type="dxa"/>
            </w:tcMar>
            <w:vAlign w:val="center"/>
          </w:tcPr>
          <w:p w14:paraId="64AADA2D" w14:textId="77777777" w:rsidR="00571F51" w:rsidRPr="00B155A1" w:rsidRDefault="00571F51" w:rsidP="008406E6">
            <w:pPr>
              <w:spacing w:line="240" w:lineRule="auto"/>
              <w:jc w:val="left"/>
            </w:pPr>
            <w:r w:rsidRPr="00B155A1">
              <w:rPr>
                <w:sz w:val="16"/>
              </w:rPr>
              <w:t>Quasi-experimental pre/post</w:t>
            </w:r>
          </w:p>
        </w:tc>
        <w:tc>
          <w:tcPr>
            <w:tcW w:w="3685" w:type="dxa"/>
            <w:tcMar>
              <w:top w:w="60" w:type="dxa"/>
              <w:left w:w="60" w:type="dxa"/>
              <w:bottom w:w="60" w:type="dxa"/>
              <w:right w:w="60" w:type="dxa"/>
            </w:tcMar>
            <w:vAlign w:val="center"/>
          </w:tcPr>
          <w:p w14:paraId="0980D49B" w14:textId="77777777" w:rsidR="00571F51" w:rsidRPr="00B155A1" w:rsidRDefault="00571F51" w:rsidP="008406E6">
            <w:pPr>
              <w:spacing w:line="240" w:lineRule="auto"/>
              <w:jc w:val="left"/>
            </w:pPr>
            <w:r w:rsidRPr="00B155A1">
              <w:rPr>
                <w:sz w:val="16"/>
              </w:rPr>
              <w:t>Baseline knowledge and hygiene were weak; total satisfactory knowledge rose to 99.4% after the programme.</w:t>
            </w:r>
          </w:p>
        </w:tc>
        <w:tc>
          <w:tcPr>
            <w:tcW w:w="3061" w:type="dxa"/>
            <w:tcMar>
              <w:top w:w="60" w:type="dxa"/>
              <w:left w:w="60" w:type="dxa"/>
              <w:bottom w:w="60" w:type="dxa"/>
              <w:right w:w="60" w:type="dxa"/>
            </w:tcMar>
            <w:vAlign w:val="center"/>
          </w:tcPr>
          <w:p w14:paraId="2E68F322" w14:textId="77777777" w:rsidR="00571F51" w:rsidRPr="00B155A1" w:rsidRDefault="00571F51" w:rsidP="008406E6">
            <w:pPr>
              <w:spacing w:line="240" w:lineRule="auto"/>
              <w:jc w:val="left"/>
            </w:pPr>
            <w:r w:rsidRPr="00B155A1">
              <w:rPr>
                <w:sz w:val="16"/>
              </w:rPr>
              <w:t>Large multistage sample; no separate control group.</w:t>
            </w:r>
          </w:p>
        </w:tc>
        <w:tc>
          <w:tcPr>
            <w:tcW w:w="964" w:type="dxa"/>
            <w:tcMar>
              <w:top w:w="60" w:type="dxa"/>
              <w:left w:w="60" w:type="dxa"/>
              <w:bottom w:w="60" w:type="dxa"/>
              <w:right w:w="60" w:type="dxa"/>
            </w:tcMar>
            <w:vAlign w:val="center"/>
          </w:tcPr>
          <w:p w14:paraId="0B443B5E" w14:textId="77777777" w:rsidR="00571F51" w:rsidRPr="00B155A1" w:rsidRDefault="00571F51" w:rsidP="008406E6">
            <w:pPr>
              <w:spacing w:line="240" w:lineRule="auto"/>
              <w:jc w:val="left"/>
            </w:pPr>
            <w:r w:rsidRPr="00B155A1">
              <w:rPr>
                <w:sz w:val="16"/>
              </w:rPr>
              <w:t>1, 2, 3</w:t>
            </w:r>
          </w:p>
        </w:tc>
      </w:tr>
      <w:tr w:rsidR="00571F51" w:rsidRPr="00B155A1" w14:paraId="03248364" w14:textId="77777777" w:rsidTr="008406E6">
        <w:trPr>
          <w:jc w:val="center"/>
        </w:trPr>
        <w:tc>
          <w:tcPr>
            <w:tcW w:w="1757" w:type="dxa"/>
            <w:tcMar>
              <w:top w:w="60" w:type="dxa"/>
              <w:left w:w="60" w:type="dxa"/>
              <w:bottom w:w="60" w:type="dxa"/>
              <w:right w:w="60" w:type="dxa"/>
            </w:tcMar>
            <w:vAlign w:val="center"/>
          </w:tcPr>
          <w:p w14:paraId="2B27A02D" w14:textId="77777777" w:rsidR="00571F51" w:rsidRPr="00B155A1" w:rsidRDefault="00571F51" w:rsidP="008406E6">
            <w:pPr>
              <w:spacing w:line="240" w:lineRule="auto"/>
              <w:jc w:val="left"/>
            </w:pPr>
            <w:r w:rsidRPr="00B155A1">
              <w:rPr>
                <w:sz w:val="16"/>
              </w:rPr>
              <w:t>Shikhare and Taksande (2017)</w:t>
            </w:r>
          </w:p>
        </w:tc>
        <w:tc>
          <w:tcPr>
            <w:tcW w:w="1871" w:type="dxa"/>
            <w:tcMar>
              <w:top w:w="60" w:type="dxa"/>
              <w:left w:w="60" w:type="dxa"/>
              <w:bottom w:w="60" w:type="dxa"/>
              <w:right w:w="60" w:type="dxa"/>
            </w:tcMar>
            <w:vAlign w:val="center"/>
          </w:tcPr>
          <w:p w14:paraId="2A38B770" w14:textId="77777777" w:rsidR="00571F51" w:rsidRPr="00B155A1" w:rsidRDefault="00571F51" w:rsidP="008406E6">
            <w:pPr>
              <w:spacing w:line="240" w:lineRule="auto"/>
              <w:jc w:val="left"/>
            </w:pPr>
            <w:r w:rsidRPr="00B155A1">
              <w:rPr>
                <w:sz w:val="16"/>
              </w:rPr>
              <w:t>India; selected schools</w:t>
            </w:r>
          </w:p>
        </w:tc>
        <w:tc>
          <w:tcPr>
            <w:tcW w:w="1814" w:type="dxa"/>
            <w:tcMar>
              <w:top w:w="60" w:type="dxa"/>
              <w:left w:w="60" w:type="dxa"/>
              <w:bottom w:w="60" w:type="dxa"/>
              <w:right w:w="60" w:type="dxa"/>
            </w:tcMar>
            <w:vAlign w:val="center"/>
          </w:tcPr>
          <w:p w14:paraId="5CE21C67" w14:textId="77777777" w:rsidR="00571F51" w:rsidRPr="00B155A1" w:rsidRDefault="00571F51" w:rsidP="008406E6">
            <w:pPr>
              <w:spacing w:line="240" w:lineRule="auto"/>
              <w:jc w:val="left"/>
            </w:pPr>
            <w:r w:rsidRPr="00B155A1">
              <w:rPr>
                <w:sz w:val="16"/>
              </w:rPr>
              <w:t>n=100; 12–16 years</w:t>
            </w:r>
          </w:p>
        </w:tc>
        <w:tc>
          <w:tcPr>
            <w:tcW w:w="1928" w:type="dxa"/>
            <w:tcMar>
              <w:top w:w="60" w:type="dxa"/>
              <w:left w:w="60" w:type="dxa"/>
              <w:bottom w:w="60" w:type="dxa"/>
              <w:right w:w="60" w:type="dxa"/>
            </w:tcMar>
            <w:vAlign w:val="center"/>
          </w:tcPr>
          <w:p w14:paraId="696877A7" w14:textId="77777777" w:rsidR="00571F51" w:rsidRPr="00B155A1" w:rsidRDefault="00571F51" w:rsidP="008406E6">
            <w:pPr>
              <w:spacing w:line="240" w:lineRule="auto"/>
              <w:jc w:val="left"/>
            </w:pPr>
            <w:r w:rsidRPr="00B155A1">
              <w:rPr>
                <w:sz w:val="16"/>
              </w:rPr>
              <w:t>One-group pre/post</w:t>
            </w:r>
          </w:p>
        </w:tc>
        <w:tc>
          <w:tcPr>
            <w:tcW w:w="3685" w:type="dxa"/>
            <w:tcMar>
              <w:top w:w="60" w:type="dxa"/>
              <w:left w:w="60" w:type="dxa"/>
              <w:bottom w:w="60" w:type="dxa"/>
              <w:right w:w="60" w:type="dxa"/>
            </w:tcMar>
            <w:vAlign w:val="center"/>
          </w:tcPr>
          <w:p w14:paraId="67C33282" w14:textId="77777777" w:rsidR="00571F51" w:rsidRPr="00B155A1" w:rsidRDefault="00571F51" w:rsidP="008406E6">
            <w:pPr>
              <w:spacing w:line="240" w:lineRule="auto"/>
              <w:jc w:val="left"/>
            </w:pPr>
            <w:r w:rsidRPr="00B155A1">
              <w:rPr>
                <w:sz w:val="16"/>
              </w:rPr>
              <w:t>Mean knowledge increased from 10.39 to 18.91 after a self-instructional module.</w:t>
            </w:r>
          </w:p>
        </w:tc>
        <w:tc>
          <w:tcPr>
            <w:tcW w:w="3061" w:type="dxa"/>
            <w:tcMar>
              <w:top w:w="60" w:type="dxa"/>
              <w:left w:w="60" w:type="dxa"/>
              <w:bottom w:w="60" w:type="dxa"/>
              <w:right w:w="60" w:type="dxa"/>
            </w:tcMar>
            <w:vAlign w:val="center"/>
          </w:tcPr>
          <w:p w14:paraId="46759432" w14:textId="77777777" w:rsidR="00571F51" w:rsidRPr="00B155A1" w:rsidRDefault="00571F51" w:rsidP="008406E6">
            <w:pPr>
              <w:spacing w:line="240" w:lineRule="auto"/>
              <w:jc w:val="left"/>
            </w:pPr>
            <w:r w:rsidRPr="00B155A1">
              <w:rPr>
                <w:sz w:val="16"/>
              </w:rPr>
              <w:t>Clear pre/post measure; convenience sampling and no control.</w:t>
            </w:r>
          </w:p>
        </w:tc>
        <w:tc>
          <w:tcPr>
            <w:tcW w:w="964" w:type="dxa"/>
            <w:tcMar>
              <w:top w:w="60" w:type="dxa"/>
              <w:left w:w="60" w:type="dxa"/>
              <w:bottom w:w="60" w:type="dxa"/>
              <w:right w:w="60" w:type="dxa"/>
            </w:tcMar>
            <w:vAlign w:val="center"/>
          </w:tcPr>
          <w:p w14:paraId="27C31C61" w14:textId="77777777" w:rsidR="00571F51" w:rsidRPr="00B155A1" w:rsidRDefault="00571F51" w:rsidP="008406E6">
            <w:pPr>
              <w:spacing w:line="240" w:lineRule="auto"/>
              <w:jc w:val="left"/>
            </w:pPr>
            <w:r w:rsidRPr="00B155A1">
              <w:rPr>
                <w:sz w:val="16"/>
              </w:rPr>
              <w:t>1, 3</w:t>
            </w:r>
          </w:p>
        </w:tc>
      </w:tr>
      <w:tr w:rsidR="00571F51" w:rsidRPr="00B155A1" w14:paraId="64BBD3D1" w14:textId="77777777" w:rsidTr="008406E6">
        <w:trPr>
          <w:jc w:val="center"/>
        </w:trPr>
        <w:tc>
          <w:tcPr>
            <w:tcW w:w="1757" w:type="dxa"/>
            <w:tcMar>
              <w:top w:w="60" w:type="dxa"/>
              <w:left w:w="60" w:type="dxa"/>
              <w:bottom w:w="60" w:type="dxa"/>
              <w:right w:w="60" w:type="dxa"/>
            </w:tcMar>
            <w:vAlign w:val="center"/>
          </w:tcPr>
          <w:p w14:paraId="2AD1581D" w14:textId="77777777" w:rsidR="00571F51" w:rsidRPr="00B155A1" w:rsidRDefault="00571F51" w:rsidP="008406E6">
            <w:pPr>
              <w:spacing w:line="240" w:lineRule="auto"/>
              <w:jc w:val="left"/>
            </w:pPr>
            <w:r w:rsidRPr="00B155A1">
              <w:rPr>
                <w:sz w:val="16"/>
              </w:rPr>
              <w:t>Vijayan et al. (2018)</w:t>
            </w:r>
          </w:p>
        </w:tc>
        <w:tc>
          <w:tcPr>
            <w:tcW w:w="1871" w:type="dxa"/>
            <w:tcMar>
              <w:top w:w="60" w:type="dxa"/>
              <w:left w:w="60" w:type="dxa"/>
              <w:bottom w:w="60" w:type="dxa"/>
              <w:right w:w="60" w:type="dxa"/>
            </w:tcMar>
            <w:vAlign w:val="center"/>
          </w:tcPr>
          <w:p w14:paraId="3C2E20A3" w14:textId="77777777" w:rsidR="00571F51" w:rsidRPr="00B155A1" w:rsidRDefault="00571F51" w:rsidP="008406E6">
            <w:pPr>
              <w:spacing w:line="240" w:lineRule="auto"/>
              <w:jc w:val="left"/>
            </w:pPr>
            <w:r w:rsidRPr="00B155A1">
              <w:rPr>
                <w:sz w:val="16"/>
              </w:rPr>
              <w:t>India; girls’ schools</w:t>
            </w:r>
          </w:p>
        </w:tc>
        <w:tc>
          <w:tcPr>
            <w:tcW w:w="1814" w:type="dxa"/>
            <w:tcMar>
              <w:top w:w="60" w:type="dxa"/>
              <w:left w:w="60" w:type="dxa"/>
              <w:bottom w:w="60" w:type="dxa"/>
              <w:right w:w="60" w:type="dxa"/>
            </w:tcMar>
            <w:vAlign w:val="center"/>
          </w:tcPr>
          <w:p w14:paraId="50A6DE5D" w14:textId="77777777" w:rsidR="00571F51" w:rsidRPr="00B155A1" w:rsidRDefault="00571F51" w:rsidP="008406E6">
            <w:pPr>
              <w:spacing w:line="240" w:lineRule="auto"/>
              <w:jc w:val="left"/>
            </w:pPr>
            <w:r w:rsidRPr="00B155A1">
              <w:rPr>
                <w:sz w:val="16"/>
              </w:rPr>
              <w:t>n=467; 12–16 years</w:t>
            </w:r>
          </w:p>
        </w:tc>
        <w:tc>
          <w:tcPr>
            <w:tcW w:w="1928" w:type="dxa"/>
            <w:tcMar>
              <w:top w:w="60" w:type="dxa"/>
              <w:left w:w="60" w:type="dxa"/>
              <w:bottom w:w="60" w:type="dxa"/>
              <w:right w:w="60" w:type="dxa"/>
            </w:tcMar>
            <w:vAlign w:val="center"/>
          </w:tcPr>
          <w:p w14:paraId="2CAD64C3" w14:textId="77777777" w:rsidR="00571F51" w:rsidRPr="00B155A1" w:rsidRDefault="00571F51" w:rsidP="008406E6">
            <w:pPr>
              <w:spacing w:line="240" w:lineRule="auto"/>
              <w:jc w:val="left"/>
            </w:pPr>
            <w:r w:rsidRPr="00B155A1">
              <w:rPr>
                <w:sz w:val="16"/>
              </w:rPr>
              <w:t>Community interventional</w:t>
            </w:r>
          </w:p>
        </w:tc>
        <w:tc>
          <w:tcPr>
            <w:tcW w:w="3685" w:type="dxa"/>
            <w:tcMar>
              <w:top w:w="60" w:type="dxa"/>
              <w:left w:w="60" w:type="dxa"/>
              <w:bottom w:w="60" w:type="dxa"/>
              <w:right w:w="60" w:type="dxa"/>
            </w:tcMar>
            <w:vAlign w:val="center"/>
          </w:tcPr>
          <w:p w14:paraId="12FF518D" w14:textId="77777777" w:rsidR="00571F51" w:rsidRPr="00B155A1" w:rsidRDefault="00571F51" w:rsidP="008406E6">
            <w:pPr>
              <w:spacing w:line="240" w:lineRule="auto"/>
              <w:jc w:val="left"/>
            </w:pPr>
            <w:r w:rsidRPr="00B155A1">
              <w:rPr>
                <w:sz w:val="16"/>
              </w:rPr>
              <w:t>Mean knowledge increased from 4.78 to 10.87; several hygiene practices improved after education.</w:t>
            </w:r>
          </w:p>
        </w:tc>
        <w:tc>
          <w:tcPr>
            <w:tcW w:w="3061" w:type="dxa"/>
            <w:tcMar>
              <w:top w:w="60" w:type="dxa"/>
              <w:left w:w="60" w:type="dxa"/>
              <w:bottom w:w="60" w:type="dxa"/>
              <w:right w:w="60" w:type="dxa"/>
            </w:tcMar>
            <w:vAlign w:val="center"/>
          </w:tcPr>
          <w:p w14:paraId="67E8575A" w14:textId="77777777" w:rsidR="00571F51" w:rsidRPr="00B155A1" w:rsidRDefault="00571F51" w:rsidP="008406E6">
            <w:pPr>
              <w:spacing w:line="240" w:lineRule="auto"/>
              <w:jc w:val="left"/>
            </w:pPr>
            <w:r w:rsidRPr="00B155A1">
              <w:rPr>
                <w:sz w:val="16"/>
              </w:rPr>
              <w:t>Large sample and practice data; uncontrolled intervention.</w:t>
            </w:r>
          </w:p>
        </w:tc>
        <w:tc>
          <w:tcPr>
            <w:tcW w:w="964" w:type="dxa"/>
            <w:tcMar>
              <w:top w:w="60" w:type="dxa"/>
              <w:left w:w="60" w:type="dxa"/>
              <w:bottom w:w="60" w:type="dxa"/>
              <w:right w:w="60" w:type="dxa"/>
            </w:tcMar>
            <w:vAlign w:val="center"/>
          </w:tcPr>
          <w:p w14:paraId="576BFC53" w14:textId="77777777" w:rsidR="00571F51" w:rsidRPr="00B155A1" w:rsidRDefault="00571F51" w:rsidP="008406E6">
            <w:pPr>
              <w:spacing w:line="240" w:lineRule="auto"/>
              <w:jc w:val="left"/>
            </w:pPr>
            <w:r w:rsidRPr="00B155A1">
              <w:rPr>
                <w:sz w:val="16"/>
              </w:rPr>
              <w:t>1, 2, 3</w:t>
            </w:r>
          </w:p>
        </w:tc>
      </w:tr>
      <w:tr w:rsidR="00571F51" w:rsidRPr="00B155A1" w14:paraId="301B4170" w14:textId="77777777" w:rsidTr="008406E6">
        <w:trPr>
          <w:jc w:val="center"/>
        </w:trPr>
        <w:tc>
          <w:tcPr>
            <w:tcW w:w="1757" w:type="dxa"/>
            <w:tcMar>
              <w:top w:w="60" w:type="dxa"/>
              <w:left w:w="60" w:type="dxa"/>
              <w:bottom w:w="60" w:type="dxa"/>
              <w:right w:w="60" w:type="dxa"/>
            </w:tcMar>
            <w:vAlign w:val="center"/>
          </w:tcPr>
          <w:p w14:paraId="14B9E6B3" w14:textId="77777777" w:rsidR="00571F51" w:rsidRPr="00B155A1" w:rsidRDefault="00571F51" w:rsidP="008406E6">
            <w:pPr>
              <w:spacing w:line="240" w:lineRule="auto"/>
              <w:jc w:val="left"/>
            </w:pPr>
            <w:r w:rsidRPr="00B155A1">
              <w:rPr>
                <w:sz w:val="16"/>
              </w:rPr>
              <w:t>Saji et al. (2018)</w:t>
            </w:r>
          </w:p>
        </w:tc>
        <w:tc>
          <w:tcPr>
            <w:tcW w:w="1871" w:type="dxa"/>
            <w:tcMar>
              <w:top w:w="60" w:type="dxa"/>
              <w:left w:w="60" w:type="dxa"/>
              <w:bottom w:w="60" w:type="dxa"/>
              <w:right w:w="60" w:type="dxa"/>
            </w:tcMar>
            <w:vAlign w:val="center"/>
          </w:tcPr>
          <w:p w14:paraId="3AD4187A" w14:textId="77777777" w:rsidR="00571F51" w:rsidRPr="00B155A1" w:rsidRDefault="00571F51" w:rsidP="008406E6">
            <w:pPr>
              <w:spacing w:line="240" w:lineRule="auto"/>
              <w:jc w:val="left"/>
            </w:pPr>
            <w:r w:rsidRPr="00B155A1">
              <w:rPr>
                <w:sz w:val="16"/>
              </w:rPr>
              <w:t>India; nursing college</w:t>
            </w:r>
          </w:p>
        </w:tc>
        <w:tc>
          <w:tcPr>
            <w:tcW w:w="1814" w:type="dxa"/>
            <w:tcMar>
              <w:top w:w="60" w:type="dxa"/>
              <w:left w:w="60" w:type="dxa"/>
              <w:bottom w:w="60" w:type="dxa"/>
              <w:right w:w="60" w:type="dxa"/>
            </w:tcMar>
            <w:vAlign w:val="center"/>
          </w:tcPr>
          <w:p w14:paraId="75BBC3AE" w14:textId="77777777" w:rsidR="00571F51" w:rsidRPr="00B155A1" w:rsidRDefault="00571F51" w:rsidP="008406E6">
            <w:pPr>
              <w:spacing w:line="240" w:lineRule="auto"/>
              <w:jc w:val="left"/>
            </w:pPr>
            <w:r w:rsidRPr="00B155A1">
              <w:rPr>
                <w:sz w:val="16"/>
              </w:rPr>
              <w:t>n=60; 13–19 years</w:t>
            </w:r>
          </w:p>
        </w:tc>
        <w:tc>
          <w:tcPr>
            <w:tcW w:w="1928" w:type="dxa"/>
            <w:tcMar>
              <w:top w:w="60" w:type="dxa"/>
              <w:left w:w="60" w:type="dxa"/>
              <w:bottom w:w="60" w:type="dxa"/>
              <w:right w:w="60" w:type="dxa"/>
            </w:tcMar>
            <w:vAlign w:val="center"/>
          </w:tcPr>
          <w:p w14:paraId="3F4ECF5D" w14:textId="77777777" w:rsidR="00571F51" w:rsidRPr="00B155A1" w:rsidRDefault="00571F51" w:rsidP="008406E6">
            <w:pPr>
              <w:spacing w:line="240" w:lineRule="auto"/>
              <w:jc w:val="left"/>
            </w:pPr>
            <w:r w:rsidRPr="00B155A1">
              <w:rPr>
                <w:sz w:val="16"/>
              </w:rPr>
              <w:t>Pre-experimental one-group pre/post</w:t>
            </w:r>
          </w:p>
        </w:tc>
        <w:tc>
          <w:tcPr>
            <w:tcW w:w="3685" w:type="dxa"/>
            <w:tcMar>
              <w:top w:w="60" w:type="dxa"/>
              <w:left w:w="60" w:type="dxa"/>
              <w:bottom w:w="60" w:type="dxa"/>
              <w:right w:w="60" w:type="dxa"/>
            </w:tcMar>
            <w:vAlign w:val="center"/>
          </w:tcPr>
          <w:p w14:paraId="4D760504" w14:textId="77777777" w:rsidR="00571F51" w:rsidRPr="00B155A1" w:rsidRDefault="00571F51" w:rsidP="008406E6">
            <w:pPr>
              <w:spacing w:line="240" w:lineRule="auto"/>
              <w:jc w:val="left"/>
            </w:pPr>
            <w:r w:rsidRPr="00B155A1">
              <w:rPr>
                <w:sz w:val="16"/>
              </w:rPr>
              <w:t>Good knowledge increased from 25% to 85% after structured teaching.</w:t>
            </w:r>
          </w:p>
        </w:tc>
        <w:tc>
          <w:tcPr>
            <w:tcW w:w="3061" w:type="dxa"/>
            <w:tcMar>
              <w:top w:w="60" w:type="dxa"/>
              <w:left w:w="60" w:type="dxa"/>
              <w:bottom w:w="60" w:type="dxa"/>
              <w:right w:w="60" w:type="dxa"/>
            </w:tcMar>
            <w:vAlign w:val="center"/>
          </w:tcPr>
          <w:p w14:paraId="43AB4950" w14:textId="77777777" w:rsidR="00571F51" w:rsidRPr="00B155A1" w:rsidRDefault="00571F51" w:rsidP="008406E6">
            <w:pPr>
              <w:spacing w:line="240" w:lineRule="auto"/>
              <w:jc w:val="left"/>
            </w:pPr>
            <w:r w:rsidRPr="00B155A1">
              <w:rPr>
                <w:sz w:val="16"/>
              </w:rPr>
              <w:t>Age-relevant sample; small convenience sample and no control.</w:t>
            </w:r>
          </w:p>
        </w:tc>
        <w:tc>
          <w:tcPr>
            <w:tcW w:w="964" w:type="dxa"/>
            <w:tcMar>
              <w:top w:w="60" w:type="dxa"/>
              <w:left w:w="60" w:type="dxa"/>
              <w:bottom w:w="60" w:type="dxa"/>
              <w:right w:w="60" w:type="dxa"/>
            </w:tcMar>
            <w:vAlign w:val="center"/>
          </w:tcPr>
          <w:p w14:paraId="1D285A41" w14:textId="77777777" w:rsidR="00571F51" w:rsidRPr="00B155A1" w:rsidRDefault="00571F51" w:rsidP="008406E6">
            <w:pPr>
              <w:spacing w:line="240" w:lineRule="auto"/>
              <w:jc w:val="left"/>
            </w:pPr>
            <w:r w:rsidRPr="00B155A1">
              <w:rPr>
                <w:sz w:val="16"/>
              </w:rPr>
              <w:t>1, 3</w:t>
            </w:r>
          </w:p>
        </w:tc>
      </w:tr>
      <w:tr w:rsidR="00571F51" w:rsidRPr="00B155A1" w14:paraId="1BADCA03" w14:textId="77777777" w:rsidTr="008406E6">
        <w:trPr>
          <w:jc w:val="center"/>
        </w:trPr>
        <w:tc>
          <w:tcPr>
            <w:tcW w:w="1757" w:type="dxa"/>
            <w:tcMar>
              <w:top w:w="60" w:type="dxa"/>
              <w:left w:w="60" w:type="dxa"/>
              <w:bottom w:w="60" w:type="dxa"/>
              <w:right w:w="60" w:type="dxa"/>
            </w:tcMar>
            <w:vAlign w:val="center"/>
          </w:tcPr>
          <w:p w14:paraId="20AA26A7" w14:textId="77777777" w:rsidR="00571F51" w:rsidRPr="00B155A1" w:rsidRDefault="00571F51" w:rsidP="008406E6">
            <w:pPr>
              <w:spacing w:line="240" w:lineRule="auto"/>
              <w:jc w:val="left"/>
            </w:pPr>
            <w:r w:rsidRPr="00B155A1">
              <w:rPr>
                <w:sz w:val="16"/>
              </w:rPr>
              <w:t>Pascal et al. (2019)</w:t>
            </w:r>
          </w:p>
        </w:tc>
        <w:tc>
          <w:tcPr>
            <w:tcW w:w="1871" w:type="dxa"/>
            <w:tcMar>
              <w:top w:w="60" w:type="dxa"/>
              <w:left w:w="60" w:type="dxa"/>
              <w:bottom w:w="60" w:type="dxa"/>
              <w:right w:w="60" w:type="dxa"/>
            </w:tcMar>
            <w:vAlign w:val="center"/>
          </w:tcPr>
          <w:p w14:paraId="3A999AA7" w14:textId="77777777" w:rsidR="00571F51" w:rsidRPr="00B155A1" w:rsidRDefault="00571F51" w:rsidP="008406E6">
            <w:pPr>
              <w:spacing w:line="240" w:lineRule="auto"/>
              <w:jc w:val="left"/>
            </w:pPr>
            <w:r w:rsidRPr="00B155A1">
              <w:rPr>
                <w:sz w:val="16"/>
              </w:rPr>
              <w:t>India; selected schools</w:t>
            </w:r>
          </w:p>
        </w:tc>
        <w:tc>
          <w:tcPr>
            <w:tcW w:w="1814" w:type="dxa"/>
            <w:tcMar>
              <w:top w:w="60" w:type="dxa"/>
              <w:left w:w="60" w:type="dxa"/>
              <w:bottom w:w="60" w:type="dxa"/>
              <w:right w:w="60" w:type="dxa"/>
            </w:tcMar>
            <w:vAlign w:val="center"/>
          </w:tcPr>
          <w:p w14:paraId="31CEC52C" w14:textId="77777777" w:rsidR="00571F51" w:rsidRPr="00B155A1" w:rsidRDefault="00571F51" w:rsidP="008406E6">
            <w:pPr>
              <w:spacing w:line="240" w:lineRule="auto"/>
              <w:jc w:val="left"/>
            </w:pPr>
            <w:r w:rsidRPr="00B155A1">
              <w:rPr>
                <w:sz w:val="16"/>
              </w:rPr>
              <w:t>n=60; 15–18 years</w:t>
            </w:r>
          </w:p>
        </w:tc>
        <w:tc>
          <w:tcPr>
            <w:tcW w:w="1928" w:type="dxa"/>
            <w:tcMar>
              <w:top w:w="60" w:type="dxa"/>
              <w:left w:w="60" w:type="dxa"/>
              <w:bottom w:w="60" w:type="dxa"/>
              <w:right w:w="60" w:type="dxa"/>
            </w:tcMar>
            <w:vAlign w:val="center"/>
          </w:tcPr>
          <w:p w14:paraId="646EEDEB" w14:textId="77777777" w:rsidR="00571F51" w:rsidRPr="00B155A1" w:rsidRDefault="00571F51" w:rsidP="008406E6">
            <w:pPr>
              <w:spacing w:line="240" w:lineRule="auto"/>
              <w:jc w:val="left"/>
            </w:pPr>
            <w:r w:rsidRPr="00B155A1">
              <w:rPr>
                <w:sz w:val="16"/>
              </w:rPr>
              <w:t>Pre-experimental one-group pre/post</w:t>
            </w:r>
          </w:p>
        </w:tc>
        <w:tc>
          <w:tcPr>
            <w:tcW w:w="3685" w:type="dxa"/>
            <w:tcMar>
              <w:top w:w="60" w:type="dxa"/>
              <w:left w:w="60" w:type="dxa"/>
              <w:bottom w:w="60" w:type="dxa"/>
              <w:right w:w="60" w:type="dxa"/>
            </w:tcMar>
            <w:vAlign w:val="center"/>
          </w:tcPr>
          <w:p w14:paraId="0EAA2E69" w14:textId="77777777" w:rsidR="00571F51" w:rsidRPr="00B155A1" w:rsidRDefault="00571F51" w:rsidP="008406E6">
            <w:pPr>
              <w:spacing w:line="240" w:lineRule="auto"/>
              <w:jc w:val="left"/>
            </w:pPr>
            <w:r w:rsidRPr="00B155A1">
              <w:rPr>
                <w:sz w:val="16"/>
              </w:rPr>
              <w:t>Mean knowledge increased from 9.28 to 14.35 after structured teaching.</w:t>
            </w:r>
          </w:p>
        </w:tc>
        <w:tc>
          <w:tcPr>
            <w:tcW w:w="3061" w:type="dxa"/>
            <w:tcMar>
              <w:top w:w="60" w:type="dxa"/>
              <w:left w:w="60" w:type="dxa"/>
              <w:bottom w:w="60" w:type="dxa"/>
              <w:right w:w="60" w:type="dxa"/>
            </w:tcMar>
            <w:vAlign w:val="center"/>
          </w:tcPr>
          <w:p w14:paraId="31C3240C" w14:textId="77777777" w:rsidR="00571F51" w:rsidRPr="00B155A1" w:rsidRDefault="00571F51" w:rsidP="008406E6">
            <w:pPr>
              <w:spacing w:line="240" w:lineRule="auto"/>
              <w:jc w:val="left"/>
            </w:pPr>
            <w:r w:rsidRPr="00B155A1">
              <w:rPr>
                <w:sz w:val="16"/>
              </w:rPr>
              <w:t>Simple random sample; no control and short follow-up.</w:t>
            </w:r>
          </w:p>
        </w:tc>
        <w:tc>
          <w:tcPr>
            <w:tcW w:w="964" w:type="dxa"/>
            <w:tcMar>
              <w:top w:w="60" w:type="dxa"/>
              <w:left w:w="60" w:type="dxa"/>
              <w:bottom w:w="60" w:type="dxa"/>
              <w:right w:w="60" w:type="dxa"/>
            </w:tcMar>
            <w:vAlign w:val="center"/>
          </w:tcPr>
          <w:p w14:paraId="264AB927" w14:textId="77777777" w:rsidR="00571F51" w:rsidRPr="00B155A1" w:rsidRDefault="00571F51" w:rsidP="008406E6">
            <w:pPr>
              <w:spacing w:line="240" w:lineRule="auto"/>
              <w:jc w:val="left"/>
            </w:pPr>
            <w:r w:rsidRPr="00B155A1">
              <w:rPr>
                <w:sz w:val="16"/>
              </w:rPr>
              <w:t>1, 3</w:t>
            </w:r>
          </w:p>
        </w:tc>
      </w:tr>
      <w:tr w:rsidR="00571F51" w:rsidRPr="00B155A1" w14:paraId="5B61DEBC" w14:textId="77777777" w:rsidTr="008406E6">
        <w:trPr>
          <w:jc w:val="center"/>
        </w:trPr>
        <w:tc>
          <w:tcPr>
            <w:tcW w:w="1757" w:type="dxa"/>
            <w:tcMar>
              <w:top w:w="60" w:type="dxa"/>
              <w:left w:w="60" w:type="dxa"/>
              <w:bottom w:w="60" w:type="dxa"/>
              <w:right w:w="60" w:type="dxa"/>
            </w:tcMar>
            <w:vAlign w:val="center"/>
          </w:tcPr>
          <w:p w14:paraId="752B9B72" w14:textId="77777777" w:rsidR="00571F51" w:rsidRPr="00B155A1" w:rsidRDefault="00571F51" w:rsidP="008406E6">
            <w:pPr>
              <w:spacing w:line="240" w:lineRule="auto"/>
              <w:jc w:val="left"/>
            </w:pPr>
            <w:r w:rsidRPr="00B155A1">
              <w:rPr>
                <w:sz w:val="16"/>
              </w:rPr>
              <w:t>Nofal et al. (2020)</w:t>
            </w:r>
          </w:p>
        </w:tc>
        <w:tc>
          <w:tcPr>
            <w:tcW w:w="1871" w:type="dxa"/>
            <w:tcMar>
              <w:top w:w="60" w:type="dxa"/>
              <w:left w:w="60" w:type="dxa"/>
              <w:bottom w:w="60" w:type="dxa"/>
              <w:right w:w="60" w:type="dxa"/>
            </w:tcMar>
            <w:vAlign w:val="center"/>
          </w:tcPr>
          <w:p w14:paraId="24F753C2" w14:textId="77777777" w:rsidR="00571F51" w:rsidRPr="00B155A1" w:rsidRDefault="00571F51" w:rsidP="008406E6">
            <w:pPr>
              <w:spacing w:line="240" w:lineRule="auto"/>
              <w:jc w:val="left"/>
            </w:pPr>
            <w:r w:rsidRPr="00B155A1">
              <w:rPr>
                <w:sz w:val="16"/>
              </w:rPr>
              <w:t>Egypt; four girls’ schools</w:t>
            </w:r>
          </w:p>
        </w:tc>
        <w:tc>
          <w:tcPr>
            <w:tcW w:w="1814" w:type="dxa"/>
            <w:tcMar>
              <w:top w:w="60" w:type="dxa"/>
              <w:left w:w="60" w:type="dxa"/>
              <w:bottom w:w="60" w:type="dxa"/>
              <w:right w:w="60" w:type="dxa"/>
            </w:tcMar>
            <w:vAlign w:val="center"/>
          </w:tcPr>
          <w:p w14:paraId="3F551052" w14:textId="77777777" w:rsidR="00571F51" w:rsidRPr="00B155A1" w:rsidRDefault="00571F51" w:rsidP="008406E6">
            <w:pPr>
              <w:spacing w:line="240" w:lineRule="auto"/>
              <w:jc w:val="left"/>
            </w:pPr>
            <w:r w:rsidRPr="00B155A1">
              <w:rPr>
                <w:sz w:val="16"/>
              </w:rPr>
              <w:t>n=770 screened; 104 intervention subset; 12–16 years</w:t>
            </w:r>
          </w:p>
        </w:tc>
        <w:tc>
          <w:tcPr>
            <w:tcW w:w="1928" w:type="dxa"/>
            <w:tcMar>
              <w:top w:w="60" w:type="dxa"/>
              <w:left w:w="60" w:type="dxa"/>
              <w:bottom w:w="60" w:type="dxa"/>
              <w:right w:w="60" w:type="dxa"/>
            </w:tcMar>
            <w:vAlign w:val="center"/>
          </w:tcPr>
          <w:p w14:paraId="3D5FE145" w14:textId="77777777" w:rsidR="00571F51" w:rsidRPr="00B155A1" w:rsidRDefault="00571F51" w:rsidP="008406E6">
            <w:pPr>
              <w:spacing w:line="240" w:lineRule="auto"/>
              <w:jc w:val="left"/>
            </w:pPr>
            <w:r w:rsidRPr="00B155A1">
              <w:rPr>
                <w:sz w:val="16"/>
              </w:rPr>
              <w:t>Quasi-experimental</w:t>
            </w:r>
          </w:p>
        </w:tc>
        <w:tc>
          <w:tcPr>
            <w:tcW w:w="3685" w:type="dxa"/>
            <w:tcMar>
              <w:top w:w="60" w:type="dxa"/>
              <w:left w:w="60" w:type="dxa"/>
              <w:bottom w:w="60" w:type="dxa"/>
              <w:right w:w="60" w:type="dxa"/>
            </w:tcMar>
            <w:vAlign w:val="center"/>
          </w:tcPr>
          <w:p w14:paraId="2251F8D9" w14:textId="77777777" w:rsidR="00571F51" w:rsidRPr="00B155A1" w:rsidRDefault="00571F51" w:rsidP="008406E6">
            <w:pPr>
              <w:spacing w:line="240" w:lineRule="auto"/>
              <w:jc w:val="left"/>
            </w:pPr>
            <w:r w:rsidRPr="00B155A1">
              <w:rPr>
                <w:sz w:val="16"/>
              </w:rPr>
              <w:t>Knowledge and personal-hygiene practices improved after education; UTI symptoms and prevalence were also assessed.</w:t>
            </w:r>
          </w:p>
        </w:tc>
        <w:tc>
          <w:tcPr>
            <w:tcW w:w="3061" w:type="dxa"/>
            <w:tcMar>
              <w:top w:w="60" w:type="dxa"/>
              <w:left w:w="60" w:type="dxa"/>
              <w:bottom w:w="60" w:type="dxa"/>
              <w:right w:w="60" w:type="dxa"/>
            </w:tcMar>
            <w:vAlign w:val="center"/>
          </w:tcPr>
          <w:p w14:paraId="3DC45C12" w14:textId="77777777" w:rsidR="00571F51" w:rsidRPr="00B155A1" w:rsidRDefault="00571F51" w:rsidP="008406E6">
            <w:pPr>
              <w:spacing w:line="240" w:lineRule="auto"/>
              <w:jc w:val="left"/>
            </w:pPr>
            <w:r w:rsidRPr="00B155A1">
              <w:rPr>
                <w:sz w:val="16"/>
              </w:rPr>
              <w:t>Large multistage sample and urine testing; intervention analysis used a subset.</w:t>
            </w:r>
          </w:p>
        </w:tc>
        <w:tc>
          <w:tcPr>
            <w:tcW w:w="964" w:type="dxa"/>
            <w:tcMar>
              <w:top w:w="60" w:type="dxa"/>
              <w:left w:w="60" w:type="dxa"/>
              <w:bottom w:w="60" w:type="dxa"/>
              <w:right w:w="60" w:type="dxa"/>
            </w:tcMar>
            <w:vAlign w:val="center"/>
          </w:tcPr>
          <w:p w14:paraId="310D0411" w14:textId="77777777" w:rsidR="00571F51" w:rsidRPr="00B155A1" w:rsidRDefault="00571F51" w:rsidP="008406E6">
            <w:pPr>
              <w:spacing w:line="240" w:lineRule="auto"/>
              <w:jc w:val="left"/>
            </w:pPr>
            <w:r w:rsidRPr="00B155A1">
              <w:rPr>
                <w:sz w:val="16"/>
              </w:rPr>
              <w:t>1, 2, 3, 5</w:t>
            </w:r>
          </w:p>
        </w:tc>
      </w:tr>
      <w:tr w:rsidR="00571F51" w:rsidRPr="00B155A1" w14:paraId="3CC8CE34" w14:textId="77777777" w:rsidTr="008406E6">
        <w:trPr>
          <w:jc w:val="center"/>
        </w:trPr>
        <w:tc>
          <w:tcPr>
            <w:tcW w:w="1757" w:type="dxa"/>
            <w:tcMar>
              <w:top w:w="60" w:type="dxa"/>
              <w:left w:w="60" w:type="dxa"/>
              <w:bottom w:w="60" w:type="dxa"/>
              <w:right w:w="60" w:type="dxa"/>
            </w:tcMar>
            <w:vAlign w:val="center"/>
          </w:tcPr>
          <w:p w14:paraId="54AAB4FA" w14:textId="77777777" w:rsidR="00571F51" w:rsidRPr="00B155A1" w:rsidRDefault="00571F51" w:rsidP="008406E6">
            <w:pPr>
              <w:spacing w:line="240" w:lineRule="auto"/>
              <w:jc w:val="left"/>
            </w:pPr>
            <w:r w:rsidRPr="00B155A1">
              <w:rPr>
                <w:sz w:val="16"/>
              </w:rPr>
              <w:t>Semwal and Sharma (2020)</w:t>
            </w:r>
          </w:p>
        </w:tc>
        <w:tc>
          <w:tcPr>
            <w:tcW w:w="1871" w:type="dxa"/>
            <w:tcMar>
              <w:top w:w="60" w:type="dxa"/>
              <w:left w:w="60" w:type="dxa"/>
              <w:bottom w:w="60" w:type="dxa"/>
              <w:right w:w="60" w:type="dxa"/>
            </w:tcMar>
            <w:vAlign w:val="center"/>
          </w:tcPr>
          <w:p w14:paraId="33EDBD21" w14:textId="77777777" w:rsidR="00571F51" w:rsidRPr="00B155A1" w:rsidRDefault="00571F51" w:rsidP="008406E6">
            <w:pPr>
              <w:spacing w:line="240" w:lineRule="auto"/>
              <w:jc w:val="left"/>
            </w:pPr>
            <w:r w:rsidRPr="00B155A1">
              <w:rPr>
                <w:sz w:val="16"/>
              </w:rPr>
              <w:t>India; community areas, Dehradun</w:t>
            </w:r>
          </w:p>
        </w:tc>
        <w:tc>
          <w:tcPr>
            <w:tcW w:w="1814" w:type="dxa"/>
            <w:tcMar>
              <w:top w:w="60" w:type="dxa"/>
              <w:left w:w="60" w:type="dxa"/>
              <w:bottom w:w="60" w:type="dxa"/>
              <w:right w:w="60" w:type="dxa"/>
            </w:tcMar>
            <w:vAlign w:val="center"/>
          </w:tcPr>
          <w:p w14:paraId="427D5A74" w14:textId="77777777" w:rsidR="00571F51" w:rsidRPr="00B155A1" w:rsidRDefault="00571F51" w:rsidP="008406E6">
            <w:pPr>
              <w:spacing w:line="240" w:lineRule="auto"/>
              <w:jc w:val="left"/>
            </w:pPr>
            <w:r w:rsidRPr="00B155A1">
              <w:rPr>
                <w:sz w:val="16"/>
              </w:rPr>
              <w:t>n=230; 13–19 years</w:t>
            </w:r>
          </w:p>
        </w:tc>
        <w:tc>
          <w:tcPr>
            <w:tcW w:w="1928" w:type="dxa"/>
            <w:tcMar>
              <w:top w:w="60" w:type="dxa"/>
              <w:left w:w="60" w:type="dxa"/>
              <w:bottom w:w="60" w:type="dxa"/>
              <w:right w:w="60" w:type="dxa"/>
            </w:tcMar>
            <w:vAlign w:val="center"/>
          </w:tcPr>
          <w:p w14:paraId="5E03E835" w14:textId="77777777" w:rsidR="00571F51" w:rsidRPr="00B155A1" w:rsidRDefault="00571F51" w:rsidP="008406E6">
            <w:pPr>
              <w:spacing w:line="240" w:lineRule="auto"/>
              <w:jc w:val="left"/>
            </w:pPr>
            <w:r w:rsidRPr="00B155A1">
              <w:rPr>
                <w:sz w:val="16"/>
              </w:rPr>
              <w:t>Descriptive cross-sectional</w:t>
            </w:r>
          </w:p>
        </w:tc>
        <w:tc>
          <w:tcPr>
            <w:tcW w:w="3685" w:type="dxa"/>
            <w:tcMar>
              <w:top w:w="60" w:type="dxa"/>
              <w:left w:w="60" w:type="dxa"/>
              <w:bottom w:w="60" w:type="dxa"/>
              <w:right w:w="60" w:type="dxa"/>
            </w:tcMar>
            <w:vAlign w:val="center"/>
          </w:tcPr>
          <w:p w14:paraId="56F031D0" w14:textId="77777777" w:rsidR="00571F51" w:rsidRPr="00B155A1" w:rsidRDefault="00571F51" w:rsidP="008406E6">
            <w:pPr>
              <w:spacing w:line="240" w:lineRule="auto"/>
              <w:jc w:val="left"/>
            </w:pPr>
            <w:r w:rsidRPr="00B155A1">
              <w:rPr>
                <w:sz w:val="16"/>
              </w:rPr>
              <w:t>90% had moderately adequate knowledge; prevention scored lowest; several toileting and hygiene practices were suboptimal.</w:t>
            </w:r>
          </w:p>
        </w:tc>
        <w:tc>
          <w:tcPr>
            <w:tcW w:w="3061" w:type="dxa"/>
            <w:tcMar>
              <w:top w:w="60" w:type="dxa"/>
              <w:left w:w="60" w:type="dxa"/>
              <w:bottom w:w="60" w:type="dxa"/>
              <w:right w:w="60" w:type="dxa"/>
            </w:tcMar>
            <w:vAlign w:val="center"/>
          </w:tcPr>
          <w:p w14:paraId="57B3DC5E" w14:textId="77777777" w:rsidR="00571F51" w:rsidRPr="00B155A1" w:rsidRDefault="00571F51" w:rsidP="008406E6">
            <w:pPr>
              <w:spacing w:line="240" w:lineRule="auto"/>
              <w:jc w:val="left"/>
            </w:pPr>
            <w:r w:rsidRPr="00B155A1">
              <w:rPr>
                <w:sz w:val="16"/>
              </w:rPr>
              <w:t>Direct knowledge/practice measures; cross-sectional self-report.</w:t>
            </w:r>
          </w:p>
        </w:tc>
        <w:tc>
          <w:tcPr>
            <w:tcW w:w="964" w:type="dxa"/>
            <w:tcMar>
              <w:top w:w="60" w:type="dxa"/>
              <w:left w:w="60" w:type="dxa"/>
              <w:bottom w:w="60" w:type="dxa"/>
              <w:right w:w="60" w:type="dxa"/>
            </w:tcMar>
            <w:vAlign w:val="center"/>
          </w:tcPr>
          <w:p w14:paraId="2A19D9E4" w14:textId="77777777" w:rsidR="00571F51" w:rsidRPr="00B155A1" w:rsidRDefault="00571F51" w:rsidP="008406E6">
            <w:pPr>
              <w:spacing w:line="240" w:lineRule="auto"/>
              <w:jc w:val="left"/>
            </w:pPr>
            <w:r w:rsidRPr="00B155A1">
              <w:rPr>
                <w:sz w:val="16"/>
              </w:rPr>
              <w:t>1, 2, 4, 5</w:t>
            </w:r>
          </w:p>
        </w:tc>
      </w:tr>
      <w:tr w:rsidR="00571F51" w:rsidRPr="00B155A1" w14:paraId="71F199E6" w14:textId="77777777" w:rsidTr="008406E6">
        <w:trPr>
          <w:jc w:val="center"/>
        </w:trPr>
        <w:tc>
          <w:tcPr>
            <w:tcW w:w="1757" w:type="dxa"/>
            <w:tcMar>
              <w:top w:w="60" w:type="dxa"/>
              <w:left w:w="60" w:type="dxa"/>
              <w:bottom w:w="60" w:type="dxa"/>
              <w:right w:w="60" w:type="dxa"/>
            </w:tcMar>
            <w:vAlign w:val="center"/>
          </w:tcPr>
          <w:p w14:paraId="7E9B7A94" w14:textId="77777777" w:rsidR="00571F51" w:rsidRPr="00B155A1" w:rsidRDefault="00571F51" w:rsidP="008406E6">
            <w:pPr>
              <w:spacing w:line="240" w:lineRule="auto"/>
              <w:jc w:val="left"/>
            </w:pPr>
            <w:r w:rsidRPr="00B155A1">
              <w:rPr>
                <w:sz w:val="16"/>
              </w:rPr>
              <w:t>Patel et al. (2020)</w:t>
            </w:r>
          </w:p>
        </w:tc>
        <w:tc>
          <w:tcPr>
            <w:tcW w:w="1871" w:type="dxa"/>
            <w:tcMar>
              <w:top w:w="60" w:type="dxa"/>
              <w:left w:w="60" w:type="dxa"/>
              <w:bottom w:w="60" w:type="dxa"/>
              <w:right w:w="60" w:type="dxa"/>
            </w:tcMar>
            <w:vAlign w:val="center"/>
          </w:tcPr>
          <w:p w14:paraId="2DBA69DE" w14:textId="77777777" w:rsidR="00571F51" w:rsidRPr="00B155A1" w:rsidRDefault="00571F51" w:rsidP="008406E6">
            <w:pPr>
              <w:spacing w:line="240" w:lineRule="auto"/>
              <w:jc w:val="left"/>
            </w:pPr>
            <w:r w:rsidRPr="00B155A1">
              <w:rPr>
                <w:sz w:val="16"/>
              </w:rPr>
              <w:t>India; higher secondary schools</w:t>
            </w:r>
          </w:p>
        </w:tc>
        <w:tc>
          <w:tcPr>
            <w:tcW w:w="1814" w:type="dxa"/>
            <w:tcMar>
              <w:top w:w="60" w:type="dxa"/>
              <w:left w:w="60" w:type="dxa"/>
              <w:bottom w:w="60" w:type="dxa"/>
              <w:right w:w="60" w:type="dxa"/>
            </w:tcMar>
            <w:vAlign w:val="center"/>
          </w:tcPr>
          <w:p w14:paraId="637C24EA" w14:textId="77777777" w:rsidR="00571F51" w:rsidRPr="00B155A1" w:rsidRDefault="00571F51" w:rsidP="008406E6">
            <w:pPr>
              <w:spacing w:line="240" w:lineRule="auto"/>
              <w:jc w:val="left"/>
            </w:pPr>
            <w:r w:rsidRPr="00B155A1">
              <w:rPr>
                <w:sz w:val="16"/>
              </w:rPr>
              <w:t>n=200; 16–19 years</w:t>
            </w:r>
          </w:p>
        </w:tc>
        <w:tc>
          <w:tcPr>
            <w:tcW w:w="1928" w:type="dxa"/>
            <w:tcMar>
              <w:top w:w="60" w:type="dxa"/>
              <w:left w:w="60" w:type="dxa"/>
              <w:bottom w:w="60" w:type="dxa"/>
              <w:right w:w="60" w:type="dxa"/>
            </w:tcMar>
            <w:vAlign w:val="center"/>
          </w:tcPr>
          <w:p w14:paraId="2CA118D9" w14:textId="77777777" w:rsidR="00571F51" w:rsidRPr="00B155A1" w:rsidRDefault="00571F51" w:rsidP="008406E6">
            <w:pPr>
              <w:spacing w:line="240" w:lineRule="auto"/>
              <w:jc w:val="left"/>
            </w:pPr>
            <w:r w:rsidRPr="00B155A1">
              <w:rPr>
                <w:sz w:val="16"/>
              </w:rPr>
              <w:t>Cross-sectional descriptive survey</w:t>
            </w:r>
          </w:p>
        </w:tc>
        <w:tc>
          <w:tcPr>
            <w:tcW w:w="3685" w:type="dxa"/>
            <w:tcMar>
              <w:top w:w="60" w:type="dxa"/>
              <w:left w:w="60" w:type="dxa"/>
              <w:bottom w:w="60" w:type="dxa"/>
              <w:right w:w="60" w:type="dxa"/>
            </w:tcMar>
            <w:vAlign w:val="center"/>
          </w:tcPr>
          <w:p w14:paraId="3B430FA1" w14:textId="77777777" w:rsidR="00571F51" w:rsidRPr="00B155A1" w:rsidRDefault="00571F51" w:rsidP="008406E6">
            <w:pPr>
              <w:spacing w:line="240" w:lineRule="auto"/>
              <w:jc w:val="left"/>
            </w:pPr>
            <w:r w:rsidRPr="00B155A1">
              <w:rPr>
                <w:sz w:val="16"/>
              </w:rPr>
              <w:t>71.5% had poor knowledge and 87% poor preventive practice.</w:t>
            </w:r>
          </w:p>
        </w:tc>
        <w:tc>
          <w:tcPr>
            <w:tcW w:w="3061" w:type="dxa"/>
            <w:tcMar>
              <w:top w:w="60" w:type="dxa"/>
              <w:left w:w="60" w:type="dxa"/>
              <w:bottom w:w="60" w:type="dxa"/>
              <w:right w:w="60" w:type="dxa"/>
            </w:tcMar>
            <w:vAlign w:val="center"/>
          </w:tcPr>
          <w:p w14:paraId="16BB6251" w14:textId="77777777" w:rsidR="00571F51" w:rsidRPr="00B155A1" w:rsidRDefault="00571F51" w:rsidP="008406E6">
            <w:pPr>
              <w:spacing w:line="240" w:lineRule="auto"/>
              <w:jc w:val="left"/>
            </w:pPr>
            <w:r w:rsidRPr="00B155A1">
              <w:rPr>
                <w:sz w:val="16"/>
              </w:rPr>
              <w:t>Simple random sample; self-reported practice and single setting.</w:t>
            </w:r>
          </w:p>
        </w:tc>
        <w:tc>
          <w:tcPr>
            <w:tcW w:w="964" w:type="dxa"/>
            <w:tcMar>
              <w:top w:w="60" w:type="dxa"/>
              <w:left w:w="60" w:type="dxa"/>
              <w:bottom w:w="60" w:type="dxa"/>
              <w:right w:w="60" w:type="dxa"/>
            </w:tcMar>
            <w:vAlign w:val="center"/>
          </w:tcPr>
          <w:p w14:paraId="2DB77433" w14:textId="77777777" w:rsidR="00571F51" w:rsidRPr="00B155A1" w:rsidRDefault="00571F51" w:rsidP="008406E6">
            <w:pPr>
              <w:spacing w:line="240" w:lineRule="auto"/>
              <w:jc w:val="left"/>
            </w:pPr>
            <w:r w:rsidRPr="00B155A1">
              <w:rPr>
                <w:sz w:val="16"/>
              </w:rPr>
              <w:t>1, 2, 4, 5</w:t>
            </w:r>
          </w:p>
        </w:tc>
      </w:tr>
      <w:tr w:rsidR="00571F51" w:rsidRPr="00B155A1" w14:paraId="06C2828C" w14:textId="77777777" w:rsidTr="008406E6">
        <w:trPr>
          <w:jc w:val="center"/>
        </w:trPr>
        <w:tc>
          <w:tcPr>
            <w:tcW w:w="1757" w:type="dxa"/>
            <w:tcMar>
              <w:top w:w="60" w:type="dxa"/>
              <w:left w:w="60" w:type="dxa"/>
              <w:bottom w:w="60" w:type="dxa"/>
              <w:right w:w="60" w:type="dxa"/>
            </w:tcMar>
            <w:vAlign w:val="center"/>
          </w:tcPr>
          <w:p w14:paraId="5CA9F06F" w14:textId="77777777" w:rsidR="00571F51" w:rsidRPr="00B155A1" w:rsidRDefault="00571F51" w:rsidP="008406E6">
            <w:pPr>
              <w:spacing w:line="240" w:lineRule="auto"/>
              <w:jc w:val="left"/>
            </w:pPr>
            <w:r w:rsidRPr="00B155A1">
              <w:rPr>
                <w:sz w:val="16"/>
              </w:rPr>
              <w:t>Sequera et al. (2021)</w:t>
            </w:r>
          </w:p>
        </w:tc>
        <w:tc>
          <w:tcPr>
            <w:tcW w:w="1871" w:type="dxa"/>
            <w:tcMar>
              <w:top w:w="60" w:type="dxa"/>
              <w:left w:w="60" w:type="dxa"/>
              <w:bottom w:w="60" w:type="dxa"/>
              <w:right w:w="60" w:type="dxa"/>
            </w:tcMar>
            <w:vAlign w:val="center"/>
          </w:tcPr>
          <w:p w14:paraId="7E79B11B" w14:textId="77777777" w:rsidR="00571F51" w:rsidRPr="00B155A1" w:rsidRDefault="00571F51" w:rsidP="008406E6">
            <w:pPr>
              <w:spacing w:line="240" w:lineRule="auto"/>
              <w:jc w:val="left"/>
            </w:pPr>
            <w:r w:rsidRPr="00B155A1">
              <w:rPr>
                <w:sz w:val="16"/>
              </w:rPr>
              <w:t>India; nursing-college hostel</w:t>
            </w:r>
          </w:p>
        </w:tc>
        <w:tc>
          <w:tcPr>
            <w:tcW w:w="1814" w:type="dxa"/>
            <w:tcMar>
              <w:top w:w="60" w:type="dxa"/>
              <w:left w:w="60" w:type="dxa"/>
              <w:bottom w:w="60" w:type="dxa"/>
              <w:right w:w="60" w:type="dxa"/>
            </w:tcMar>
            <w:vAlign w:val="center"/>
          </w:tcPr>
          <w:p w14:paraId="1D8C5066" w14:textId="77777777" w:rsidR="00571F51" w:rsidRPr="00B155A1" w:rsidRDefault="00571F51" w:rsidP="008406E6">
            <w:pPr>
              <w:spacing w:line="240" w:lineRule="auto"/>
              <w:jc w:val="left"/>
            </w:pPr>
            <w:r w:rsidRPr="00B155A1">
              <w:rPr>
                <w:sz w:val="16"/>
              </w:rPr>
              <w:t>n=82; mean age 18.69 years</w:t>
            </w:r>
          </w:p>
        </w:tc>
        <w:tc>
          <w:tcPr>
            <w:tcW w:w="1928" w:type="dxa"/>
            <w:tcMar>
              <w:top w:w="60" w:type="dxa"/>
              <w:left w:w="60" w:type="dxa"/>
              <w:bottom w:w="60" w:type="dxa"/>
              <w:right w:w="60" w:type="dxa"/>
            </w:tcMar>
            <w:vAlign w:val="center"/>
          </w:tcPr>
          <w:p w14:paraId="2AF508A3" w14:textId="77777777" w:rsidR="00571F51" w:rsidRPr="00B155A1" w:rsidRDefault="00571F51" w:rsidP="008406E6">
            <w:pPr>
              <w:spacing w:line="240" w:lineRule="auto"/>
              <w:jc w:val="left"/>
            </w:pPr>
            <w:r w:rsidRPr="00B155A1">
              <w:rPr>
                <w:sz w:val="16"/>
              </w:rPr>
              <w:t>Descriptive cross-sectional</w:t>
            </w:r>
          </w:p>
        </w:tc>
        <w:tc>
          <w:tcPr>
            <w:tcW w:w="3685" w:type="dxa"/>
            <w:tcMar>
              <w:top w:w="60" w:type="dxa"/>
              <w:left w:w="60" w:type="dxa"/>
              <w:bottom w:w="60" w:type="dxa"/>
              <w:right w:w="60" w:type="dxa"/>
            </w:tcMar>
            <w:vAlign w:val="center"/>
          </w:tcPr>
          <w:p w14:paraId="155915CE" w14:textId="77777777" w:rsidR="00571F51" w:rsidRPr="00B155A1" w:rsidRDefault="00571F51" w:rsidP="008406E6">
            <w:pPr>
              <w:spacing w:line="240" w:lineRule="auto"/>
              <w:jc w:val="left"/>
            </w:pPr>
            <w:r w:rsidRPr="00B155A1">
              <w:rPr>
                <w:sz w:val="16"/>
              </w:rPr>
              <w:t>40.2% had average knowledge; 53.7% average practice; knowledge-practice correlation was weak (r=0.10).</w:t>
            </w:r>
          </w:p>
        </w:tc>
        <w:tc>
          <w:tcPr>
            <w:tcW w:w="3061" w:type="dxa"/>
            <w:tcMar>
              <w:top w:w="60" w:type="dxa"/>
              <w:left w:w="60" w:type="dxa"/>
              <w:bottom w:w="60" w:type="dxa"/>
              <w:right w:w="60" w:type="dxa"/>
            </w:tcMar>
            <w:vAlign w:val="center"/>
          </w:tcPr>
          <w:p w14:paraId="15A64958" w14:textId="77777777" w:rsidR="00571F51" w:rsidRPr="00B155A1" w:rsidRDefault="00571F51" w:rsidP="008406E6">
            <w:pPr>
              <w:spacing w:line="240" w:lineRule="auto"/>
              <w:jc w:val="left"/>
            </w:pPr>
            <w:r w:rsidRPr="00B155A1">
              <w:rPr>
                <w:sz w:val="16"/>
              </w:rPr>
              <w:t>Direct correlation analysis; small, specialised nursing sample.</w:t>
            </w:r>
          </w:p>
        </w:tc>
        <w:tc>
          <w:tcPr>
            <w:tcW w:w="964" w:type="dxa"/>
            <w:tcMar>
              <w:top w:w="60" w:type="dxa"/>
              <w:left w:w="60" w:type="dxa"/>
              <w:bottom w:w="60" w:type="dxa"/>
              <w:right w:w="60" w:type="dxa"/>
            </w:tcMar>
            <w:vAlign w:val="center"/>
          </w:tcPr>
          <w:p w14:paraId="27586FB7" w14:textId="77777777" w:rsidR="00571F51" w:rsidRPr="00B155A1" w:rsidRDefault="00571F51" w:rsidP="008406E6">
            <w:pPr>
              <w:spacing w:line="240" w:lineRule="auto"/>
              <w:jc w:val="left"/>
            </w:pPr>
            <w:r w:rsidRPr="00B155A1">
              <w:rPr>
                <w:sz w:val="16"/>
              </w:rPr>
              <w:t>1, 2, 4, 5</w:t>
            </w:r>
          </w:p>
        </w:tc>
      </w:tr>
      <w:tr w:rsidR="00571F51" w:rsidRPr="00B155A1" w14:paraId="7561C15C" w14:textId="77777777" w:rsidTr="008406E6">
        <w:trPr>
          <w:jc w:val="center"/>
        </w:trPr>
        <w:tc>
          <w:tcPr>
            <w:tcW w:w="1757" w:type="dxa"/>
            <w:tcMar>
              <w:top w:w="60" w:type="dxa"/>
              <w:left w:w="60" w:type="dxa"/>
              <w:bottom w:w="60" w:type="dxa"/>
              <w:right w:w="60" w:type="dxa"/>
            </w:tcMar>
            <w:vAlign w:val="center"/>
          </w:tcPr>
          <w:p w14:paraId="6F16D7C6" w14:textId="77777777" w:rsidR="00571F51" w:rsidRPr="00B155A1" w:rsidRDefault="00571F51" w:rsidP="008406E6">
            <w:pPr>
              <w:spacing w:line="240" w:lineRule="auto"/>
              <w:jc w:val="left"/>
            </w:pPr>
            <w:r w:rsidRPr="00B155A1">
              <w:rPr>
                <w:sz w:val="16"/>
              </w:rPr>
              <w:t>Banu (2023)</w:t>
            </w:r>
          </w:p>
        </w:tc>
        <w:tc>
          <w:tcPr>
            <w:tcW w:w="1871" w:type="dxa"/>
            <w:tcMar>
              <w:top w:w="60" w:type="dxa"/>
              <w:left w:w="60" w:type="dxa"/>
              <w:bottom w:w="60" w:type="dxa"/>
              <w:right w:w="60" w:type="dxa"/>
            </w:tcMar>
            <w:vAlign w:val="center"/>
          </w:tcPr>
          <w:p w14:paraId="5A60B97E" w14:textId="77777777" w:rsidR="00571F51" w:rsidRPr="00B155A1" w:rsidRDefault="00571F51" w:rsidP="008406E6">
            <w:pPr>
              <w:spacing w:line="240" w:lineRule="auto"/>
              <w:jc w:val="left"/>
            </w:pPr>
            <w:r w:rsidRPr="00B155A1">
              <w:rPr>
                <w:sz w:val="16"/>
              </w:rPr>
              <w:t>India; selected colleges, Gulbarga</w:t>
            </w:r>
          </w:p>
        </w:tc>
        <w:tc>
          <w:tcPr>
            <w:tcW w:w="1814" w:type="dxa"/>
            <w:tcMar>
              <w:top w:w="60" w:type="dxa"/>
              <w:left w:w="60" w:type="dxa"/>
              <w:bottom w:w="60" w:type="dxa"/>
              <w:right w:w="60" w:type="dxa"/>
            </w:tcMar>
            <w:vAlign w:val="center"/>
          </w:tcPr>
          <w:p w14:paraId="4BB90CA3" w14:textId="77777777" w:rsidR="00571F51" w:rsidRPr="00B155A1" w:rsidRDefault="00571F51" w:rsidP="008406E6">
            <w:pPr>
              <w:spacing w:line="240" w:lineRule="auto"/>
              <w:jc w:val="left"/>
            </w:pPr>
            <w:r w:rsidRPr="00B155A1">
              <w:rPr>
                <w:sz w:val="16"/>
              </w:rPr>
              <w:t>n=100; 15–18 years</w:t>
            </w:r>
          </w:p>
        </w:tc>
        <w:tc>
          <w:tcPr>
            <w:tcW w:w="1928" w:type="dxa"/>
            <w:tcMar>
              <w:top w:w="60" w:type="dxa"/>
              <w:left w:w="60" w:type="dxa"/>
              <w:bottom w:w="60" w:type="dxa"/>
              <w:right w:w="60" w:type="dxa"/>
            </w:tcMar>
            <w:vAlign w:val="center"/>
          </w:tcPr>
          <w:p w14:paraId="15269858" w14:textId="77777777" w:rsidR="00571F51" w:rsidRPr="00B155A1" w:rsidRDefault="00571F51" w:rsidP="008406E6">
            <w:pPr>
              <w:spacing w:line="240" w:lineRule="auto"/>
              <w:jc w:val="left"/>
            </w:pPr>
            <w:r w:rsidRPr="00B155A1">
              <w:rPr>
                <w:sz w:val="16"/>
              </w:rPr>
              <w:t>Quasi-experimental with control group</w:t>
            </w:r>
          </w:p>
        </w:tc>
        <w:tc>
          <w:tcPr>
            <w:tcW w:w="3685" w:type="dxa"/>
            <w:tcMar>
              <w:top w:w="60" w:type="dxa"/>
              <w:left w:w="60" w:type="dxa"/>
              <w:bottom w:w="60" w:type="dxa"/>
              <w:right w:w="60" w:type="dxa"/>
            </w:tcMar>
            <w:vAlign w:val="center"/>
          </w:tcPr>
          <w:p w14:paraId="04AF1441" w14:textId="77777777" w:rsidR="00571F51" w:rsidRPr="00B155A1" w:rsidRDefault="00571F51" w:rsidP="008406E6">
            <w:pPr>
              <w:spacing w:line="240" w:lineRule="auto"/>
              <w:jc w:val="left"/>
            </w:pPr>
            <w:r w:rsidRPr="00B155A1">
              <w:rPr>
                <w:sz w:val="16"/>
              </w:rPr>
              <w:t>Experimental mean knowledge rose from 12.04 to 23.52; control changed from 11.38 to 11.42.</w:t>
            </w:r>
          </w:p>
        </w:tc>
        <w:tc>
          <w:tcPr>
            <w:tcW w:w="3061" w:type="dxa"/>
            <w:tcMar>
              <w:top w:w="60" w:type="dxa"/>
              <w:left w:w="60" w:type="dxa"/>
              <w:bottom w:w="60" w:type="dxa"/>
              <w:right w:w="60" w:type="dxa"/>
            </w:tcMar>
            <w:vAlign w:val="center"/>
          </w:tcPr>
          <w:p w14:paraId="4BA8C280" w14:textId="77777777" w:rsidR="00571F51" w:rsidRPr="00B155A1" w:rsidRDefault="00571F51" w:rsidP="008406E6">
            <w:pPr>
              <w:spacing w:line="240" w:lineRule="auto"/>
              <w:jc w:val="left"/>
            </w:pPr>
            <w:r w:rsidRPr="00B155A1">
              <w:rPr>
                <w:sz w:val="16"/>
              </w:rPr>
              <w:t>Control group strengthens comparison; purposive sampling and short follow-up.</w:t>
            </w:r>
          </w:p>
        </w:tc>
        <w:tc>
          <w:tcPr>
            <w:tcW w:w="964" w:type="dxa"/>
            <w:tcMar>
              <w:top w:w="60" w:type="dxa"/>
              <w:left w:w="60" w:type="dxa"/>
              <w:bottom w:w="60" w:type="dxa"/>
              <w:right w:w="60" w:type="dxa"/>
            </w:tcMar>
            <w:vAlign w:val="center"/>
          </w:tcPr>
          <w:p w14:paraId="243A8DE1" w14:textId="77777777" w:rsidR="00571F51" w:rsidRPr="00B155A1" w:rsidRDefault="00571F51" w:rsidP="008406E6">
            <w:pPr>
              <w:spacing w:line="240" w:lineRule="auto"/>
              <w:jc w:val="left"/>
            </w:pPr>
            <w:r w:rsidRPr="00B155A1">
              <w:rPr>
                <w:sz w:val="16"/>
              </w:rPr>
              <w:t>1, 3</w:t>
            </w:r>
          </w:p>
        </w:tc>
      </w:tr>
      <w:tr w:rsidR="00571F51" w:rsidRPr="00B155A1" w14:paraId="635E6286" w14:textId="77777777" w:rsidTr="008406E6">
        <w:trPr>
          <w:jc w:val="center"/>
        </w:trPr>
        <w:tc>
          <w:tcPr>
            <w:tcW w:w="1757" w:type="dxa"/>
            <w:tcMar>
              <w:top w:w="60" w:type="dxa"/>
              <w:left w:w="60" w:type="dxa"/>
              <w:bottom w:w="60" w:type="dxa"/>
              <w:right w:w="60" w:type="dxa"/>
            </w:tcMar>
            <w:vAlign w:val="center"/>
          </w:tcPr>
          <w:p w14:paraId="4243D158" w14:textId="77777777" w:rsidR="00571F51" w:rsidRPr="00B155A1" w:rsidRDefault="00571F51" w:rsidP="008406E6">
            <w:pPr>
              <w:spacing w:line="240" w:lineRule="auto"/>
              <w:jc w:val="left"/>
            </w:pPr>
            <w:r w:rsidRPr="00B155A1">
              <w:rPr>
                <w:sz w:val="16"/>
              </w:rPr>
              <w:t>Baruah (2023)</w:t>
            </w:r>
          </w:p>
        </w:tc>
        <w:tc>
          <w:tcPr>
            <w:tcW w:w="1871" w:type="dxa"/>
            <w:tcMar>
              <w:top w:w="60" w:type="dxa"/>
              <w:left w:w="60" w:type="dxa"/>
              <w:bottom w:w="60" w:type="dxa"/>
              <w:right w:w="60" w:type="dxa"/>
            </w:tcMar>
            <w:vAlign w:val="center"/>
          </w:tcPr>
          <w:p w14:paraId="3EC2FE9A" w14:textId="77777777" w:rsidR="00571F51" w:rsidRPr="00B155A1" w:rsidRDefault="00571F51" w:rsidP="008406E6">
            <w:pPr>
              <w:spacing w:line="240" w:lineRule="auto"/>
              <w:jc w:val="left"/>
            </w:pPr>
            <w:r w:rsidRPr="00B155A1">
              <w:rPr>
                <w:sz w:val="16"/>
              </w:rPr>
              <w:t>India; Carmel School, Assam</w:t>
            </w:r>
          </w:p>
        </w:tc>
        <w:tc>
          <w:tcPr>
            <w:tcW w:w="1814" w:type="dxa"/>
            <w:tcMar>
              <w:top w:w="60" w:type="dxa"/>
              <w:left w:w="60" w:type="dxa"/>
              <w:bottom w:w="60" w:type="dxa"/>
              <w:right w:w="60" w:type="dxa"/>
            </w:tcMar>
            <w:vAlign w:val="center"/>
          </w:tcPr>
          <w:p w14:paraId="59AE276C" w14:textId="77777777" w:rsidR="00571F51" w:rsidRPr="00B155A1" w:rsidRDefault="00571F51" w:rsidP="008406E6">
            <w:pPr>
              <w:spacing w:line="240" w:lineRule="auto"/>
              <w:jc w:val="left"/>
            </w:pPr>
            <w:r w:rsidRPr="00B155A1">
              <w:rPr>
                <w:sz w:val="16"/>
              </w:rPr>
              <w:t>n=40; 13–16 years</w:t>
            </w:r>
          </w:p>
        </w:tc>
        <w:tc>
          <w:tcPr>
            <w:tcW w:w="1928" w:type="dxa"/>
            <w:tcMar>
              <w:top w:w="60" w:type="dxa"/>
              <w:left w:w="60" w:type="dxa"/>
              <w:bottom w:w="60" w:type="dxa"/>
              <w:right w:w="60" w:type="dxa"/>
            </w:tcMar>
            <w:vAlign w:val="center"/>
          </w:tcPr>
          <w:p w14:paraId="092B2D09" w14:textId="77777777" w:rsidR="00571F51" w:rsidRPr="00B155A1" w:rsidRDefault="00571F51" w:rsidP="008406E6">
            <w:pPr>
              <w:spacing w:line="240" w:lineRule="auto"/>
              <w:jc w:val="left"/>
            </w:pPr>
            <w:r w:rsidRPr="00B155A1">
              <w:rPr>
                <w:sz w:val="16"/>
              </w:rPr>
              <w:t>Quantitative descriptive</w:t>
            </w:r>
          </w:p>
        </w:tc>
        <w:tc>
          <w:tcPr>
            <w:tcW w:w="3685" w:type="dxa"/>
            <w:tcMar>
              <w:top w:w="60" w:type="dxa"/>
              <w:left w:w="60" w:type="dxa"/>
              <w:bottom w:w="60" w:type="dxa"/>
              <w:right w:w="60" w:type="dxa"/>
            </w:tcMar>
            <w:vAlign w:val="center"/>
          </w:tcPr>
          <w:p w14:paraId="586B5ABB" w14:textId="77777777" w:rsidR="00571F51" w:rsidRPr="00B155A1" w:rsidRDefault="00571F51" w:rsidP="008406E6">
            <w:pPr>
              <w:spacing w:line="240" w:lineRule="auto"/>
              <w:jc w:val="left"/>
            </w:pPr>
            <w:r w:rsidRPr="00B155A1">
              <w:rPr>
                <w:sz w:val="16"/>
              </w:rPr>
              <w:t>80% had moderately adequate knowledge; no significant association with selected demographics.</w:t>
            </w:r>
          </w:p>
        </w:tc>
        <w:tc>
          <w:tcPr>
            <w:tcW w:w="3061" w:type="dxa"/>
            <w:tcMar>
              <w:top w:w="60" w:type="dxa"/>
              <w:left w:w="60" w:type="dxa"/>
              <w:bottom w:w="60" w:type="dxa"/>
              <w:right w:w="60" w:type="dxa"/>
            </w:tcMar>
            <w:vAlign w:val="center"/>
          </w:tcPr>
          <w:p w14:paraId="29849512" w14:textId="77777777" w:rsidR="00571F51" w:rsidRPr="00B155A1" w:rsidRDefault="00571F51" w:rsidP="008406E6">
            <w:pPr>
              <w:spacing w:line="240" w:lineRule="auto"/>
              <w:jc w:val="left"/>
            </w:pPr>
            <w:r w:rsidRPr="00B155A1">
              <w:rPr>
                <w:sz w:val="16"/>
              </w:rPr>
              <w:t>Validated questionnaire; small single-school sample.</w:t>
            </w:r>
          </w:p>
        </w:tc>
        <w:tc>
          <w:tcPr>
            <w:tcW w:w="964" w:type="dxa"/>
            <w:tcMar>
              <w:top w:w="60" w:type="dxa"/>
              <w:left w:w="60" w:type="dxa"/>
              <w:bottom w:w="60" w:type="dxa"/>
              <w:right w:w="60" w:type="dxa"/>
            </w:tcMar>
            <w:vAlign w:val="center"/>
          </w:tcPr>
          <w:p w14:paraId="5E57A4E9" w14:textId="77777777" w:rsidR="00571F51" w:rsidRPr="00B155A1" w:rsidRDefault="00571F51" w:rsidP="008406E6">
            <w:pPr>
              <w:spacing w:line="240" w:lineRule="auto"/>
              <w:jc w:val="left"/>
            </w:pPr>
            <w:r w:rsidRPr="00B155A1">
              <w:rPr>
                <w:sz w:val="16"/>
              </w:rPr>
              <w:t>1, 5</w:t>
            </w:r>
          </w:p>
        </w:tc>
      </w:tr>
      <w:tr w:rsidR="00571F51" w:rsidRPr="00B155A1" w14:paraId="1211A386" w14:textId="77777777" w:rsidTr="008406E6">
        <w:trPr>
          <w:jc w:val="center"/>
        </w:trPr>
        <w:tc>
          <w:tcPr>
            <w:tcW w:w="1757" w:type="dxa"/>
            <w:tcMar>
              <w:top w:w="60" w:type="dxa"/>
              <w:left w:w="60" w:type="dxa"/>
              <w:bottom w:w="60" w:type="dxa"/>
              <w:right w:w="60" w:type="dxa"/>
            </w:tcMar>
            <w:vAlign w:val="center"/>
          </w:tcPr>
          <w:p w14:paraId="36F68D64" w14:textId="77777777" w:rsidR="00571F51" w:rsidRPr="00B155A1" w:rsidRDefault="00571F51" w:rsidP="008406E6">
            <w:pPr>
              <w:spacing w:line="240" w:lineRule="auto"/>
              <w:jc w:val="left"/>
            </w:pPr>
            <w:r w:rsidRPr="00B155A1">
              <w:rPr>
                <w:sz w:val="16"/>
              </w:rPr>
              <w:t>Goda et al. (2025)</w:t>
            </w:r>
          </w:p>
        </w:tc>
        <w:tc>
          <w:tcPr>
            <w:tcW w:w="1871" w:type="dxa"/>
            <w:tcMar>
              <w:top w:w="60" w:type="dxa"/>
              <w:left w:w="60" w:type="dxa"/>
              <w:bottom w:w="60" w:type="dxa"/>
              <w:right w:w="60" w:type="dxa"/>
            </w:tcMar>
            <w:vAlign w:val="center"/>
          </w:tcPr>
          <w:p w14:paraId="2B9AFF95" w14:textId="77777777" w:rsidR="00571F51" w:rsidRPr="00B155A1" w:rsidRDefault="00571F51" w:rsidP="008406E6">
            <w:pPr>
              <w:spacing w:line="240" w:lineRule="auto"/>
              <w:jc w:val="left"/>
            </w:pPr>
            <w:r w:rsidRPr="00B155A1">
              <w:rPr>
                <w:sz w:val="16"/>
              </w:rPr>
              <w:t>Egypt; four preparatory schools, Assiut</w:t>
            </w:r>
          </w:p>
        </w:tc>
        <w:tc>
          <w:tcPr>
            <w:tcW w:w="1814" w:type="dxa"/>
            <w:tcMar>
              <w:top w:w="60" w:type="dxa"/>
              <w:left w:w="60" w:type="dxa"/>
              <w:bottom w:w="60" w:type="dxa"/>
              <w:right w:w="60" w:type="dxa"/>
            </w:tcMar>
            <w:vAlign w:val="center"/>
          </w:tcPr>
          <w:p w14:paraId="744BD131" w14:textId="77777777" w:rsidR="00571F51" w:rsidRPr="00B155A1" w:rsidRDefault="00571F51" w:rsidP="008406E6">
            <w:pPr>
              <w:spacing w:line="240" w:lineRule="auto"/>
              <w:jc w:val="left"/>
            </w:pPr>
            <w:r w:rsidRPr="00B155A1">
              <w:rPr>
                <w:sz w:val="16"/>
              </w:rPr>
              <w:t>n=354; 12–16 years</w:t>
            </w:r>
          </w:p>
        </w:tc>
        <w:tc>
          <w:tcPr>
            <w:tcW w:w="1928" w:type="dxa"/>
            <w:tcMar>
              <w:top w:w="60" w:type="dxa"/>
              <w:left w:w="60" w:type="dxa"/>
              <w:bottom w:w="60" w:type="dxa"/>
              <w:right w:w="60" w:type="dxa"/>
            </w:tcMar>
            <w:vAlign w:val="center"/>
          </w:tcPr>
          <w:p w14:paraId="1BA52B61" w14:textId="77777777" w:rsidR="00571F51" w:rsidRPr="00B155A1" w:rsidRDefault="00571F51" w:rsidP="008406E6">
            <w:pPr>
              <w:spacing w:line="240" w:lineRule="auto"/>
              <w:jc w:val="left"/>
            </w:pPr>
            <w:r w:rsidRPr="00B155A1">
              <w:rPr>
                <w:sz w:val="16"/>
              </w:rPr>
              <w:t>Quasi-experimental pre/post</w:t>
            </w:r>
          </w:p>
        </w:tc>
        <w:tc>
          <w:tcPr>
            <w:tcW w:w="3685" w:type="dxa"/>
            <w:tcMar>
              <w:top w:w="60" w:type="dxa"/>
              <w:left w:w="60" w:type="dxa"/>
              <w:bottom w:w="60" w:type="dxa"/>
              <w:right w:w="60" w:type="dxa"/>
            </w:tcMar>
            <w:vAlign w:val="center"/>
          </w:tcPr>
          <w:p w14:paraId="2A7DF557" w14:textId="77777777" w:rsidR="00571F51" w:rsidRPr="00B155A1" w:rsidRDefault="00571F51" w:rsidP="008406E6">
            <w:pPr>
              <w:spacing w:line="240" w:lineRule="auto"/>
              <w:jc w:val="left"/>
            </w:pPr>
            <w:r w:rsidRPr="00B155A1">
              <w:rPr>
                <w:sz w:val="16"/>
              </w:rPr>
              <w:t>89.3% had poor pre-programme knowledge; 63.8% improper hygiene; knowledge improved after education.</w:t>
            </w:r>
          </w:p>
        </w:tc>
        <w:tc>
          <w:tcPr>
            <w:tcW w:w="3061" w:type="dxa"/>
            <w:tcMar>
              <w:top w:w="60" w:type="dxa"/>
              <w:left w:w="60" w:type="dxa"/>
              <w:bottom w:w="60" w:type="dxa"/>
              <w:right w:w="60" w:type="dxa"/>
            </w:tcMar>
            <w:vAlign w:val="center"/>
          </w:tcPr>
          <w:p w14:paraId="3D39E0EC" w14:textId="77777777" w:rsidR="00571F51" w:rsidRPr="00B155A1" w:rsidRDefault="00571F51" w:rsidP="008406E6">
            <w:pPr>
              <w:spacing w:line="240" w:lineRule="auto"/>
              <w:jc w:val="left"/>
            </w:pPr>
            <w:r w:rsidRPr="00B155A1">
              <w:rPr>
                <w:sz w:val="16"/>
              </w:rPr>
              <w:t>Large multidomain sample; no separate control and self-reported practices.</w:t>
            </w:r>
          </w:p>
        </w:tc>
        <w:tc>
          <w:tcPr>
            <w:tcW w:w="964" w:type="dxa"/>
            <w:tcMar>
              <w:top w:w="60" w:type="dxa"/>
              <w:left w:w="60" w:type="dxa"/>
              <w:bottom w:w="60" w:type="dxa"/>
              <w:right w:w="60" w:type="dxa"/>
            </w:tcMar>
            <w:vAlign w:val="center"/>
          </w:tcPr>
          <w:p w14:paraId="7076A129" w14:textId="77777777" w:rsidR="00571F51" w:rsidRPr="00B155A1" w:rsidRDefault="00571F51" w:rsidP="008406E6">
            <w:pPr>
              <w:spacing w:line="240" w:lineRule="auto"/>
              <w:jc w:val="left"/>
            </w:pPr>
            <w:r w:rsidRPr="00B155A1">
              <w:rPr>
                <w:sz w:val="16"/>
              </w:rPr>
              <w:t>1, 2, 3, 5</w:t>
            </w:r>
          </w:p>
        </w:tc>
      </w:tr>
      <w:tr w:rsidR="00571F51" w:rsidRPr="00B155A1" w14:paraId="72A1F5E4" w14:textId="77777777" w:rsidTr="008406E6">
        <w:trPr>
          <w:jc w:val="center"/>
        </w:trPr>
        <w:tc>
          <w:tcPr>
            <w:tcW w:w="1757" w:type="dxa"/>
            <w:tcMar>
              <w:top w:w="60" w:type="dxa"/>
              <w:left w:w="60" w:type="dxa"/>
              <w:bottom w:w="60" w:type="dxa"/>
              <w:right w:w="60" w:type="dxa"/>
            </w:tcMar>
            <w:vAlign w:val="center"/>
          </w:tcPr>
          <w:p w14:paraId="49BB0872" w14:textId="77777777" w:rsidR="00571F51" w:rsidRPr="00B155A1" w:rsidRDefault="00571F51" w:rsidP="008406E6">
            <w:pPr>
              <w:spacing w:line="240" w:lineRule="auto"/>
              <w:jc w:val="left"/>
            </w:pPr>
            <w:r w:rsidRPr="00B155A1">
              <w:rPr>
                <w:sz w:val="16"/>
              </w:rPr>
              <w:t>Joseph et al. (2026)</w:t>
            </w:r>
          </w:p>
        </w:tc>
        <w:tc>
          <w:tcPr>
            <w:tcW w:w="1871" w:type="dxa"/>
            <w:tcMar>
              <w:top w:w="60" w:type="dxa"/>
              <w:left w:w="60" w:type="dxa"/>
              <w:bottom w:w="60" w:type="dxa"/>
              <w:right w:w="60" w:type="dxa"/>
            </w:tcMar>
            <w:vAlign w:val="center"/>
          </w:tcPr>
          <w:p w14:paraId="273FE32B" w14:textId="77777777" w:rsidR="00571F51" w:rsidRPr="00B155A1" w:rsidRDefault="00571F51" w:rsidP="008406E6">
            <w:pPr>
              <w:spacing w:line="240" w:lineRule="auto"/>
              <w:jc w:val="left"/>
            </w:pPr>
            <w:r w:rsidRPr="00B155A1">
              <w:rPr>
                <w:sz w:val="16"/>
              </w:rPr>
              <w:t>India; schools around Mangaluru</w:t>
            </w:r>
          </w:p>
        </w:tc>
        <w:tc>
          <w:tcPr>
            <w:tcW w:w="1814" w:type="dxa"/>
            <w:tcMar>
              <w:top w:w="60" w:type="dxa"/>
              <w:left w:w="60" w:type="dxa"/>
              <w:bottom w:w="60" w:type="dxa"/>
              <w:right w:w="60" w:type="dxa"/>
            </w:tcMar>
            <w:vAlign w:val="center"/>
          </w:tcPr>
          <w:p w14:paraId="58FAB5B9" w14:textId="77777777" w:rsidR="00571F51" w:rsidRPr="00B155A1" w:rsidRDefault="00571F51" w:rsidP="008406E6">
            <w:pPr>
              <w:spacing w:line="240" w:lineRule="auto"/>
              <w:jc w:val="left"/>
            </w:pPr>
            <w:r w:rsidRPr="00B155A1">
              <w:rPr>
                <w:sz w:val="16"/>
              </w:rPr>
              <w:t>n=215; 16–18 years</w:t>
            </w:r>
          </w:p>
        </w:tc>
        <w:tc>
          <w:tcPr>
            <w:tcW w:w="1928" w:type="dxa"/>
            <w:tcMar>
              <w:top w:w="60" w:type="dxa"/>
              <w:left w:w="60" w:type="dxa"/>
              <w:bottom w:w="60" w:type="dxa"/>
              <w:right w:w="60" w:type="dxa"/>
            </w:tcMar>
            <w:vAlign w:val="center"/>
          </w:tcPr>
          <w:p w14:paraId="251A5087" w14:textId="77777777" w:rsidR="00571F51" w:rsidRPr="00B155A1" w:rsidRDefault="00571F51" w:rsidP="008406E6">
            <w:pPr>
              <w:spacing w:line="240" w:lineRule="auto"/>
              <w:jc w:val="left"/>
            </w:pPr>
            <w:r w:rsidRPr="00B155A1">
              <w:rPr>
                <w:sz w:val="16"/>
              </w:rPr>
              <w:t>Descriptive correlational</w:t>
            </w:r>
          </w:p>
        </w:tc>
        <w:tc>
          <w:tcPr>
            <w:tcW w:w="3685" w:type="dxa"/>
            <w:tcMar>
              <w:top w:w="60" w:type="dxa"/>
              <w:left w:w="60" w:type="dxa"/>
              <w:bottom w:w="60" w:type="dxa"/>
              <w:right w:w="60" w:type="dxa"/>
            </w:tcMar>
            <w:vAlign w:val="center"/>
          </w:tcPr>
          <w:p w14:paraId="7D90081B" w14:textId="77777777" w:rsidR="00571F51" w:rsidRPr="00B155A1" w:rsidRDefault="00571F51" w:rsidP="008406E6">
            <w:pPr>
              <w:spacing w:line="240" w:lineRule="auto"/>
              <w:jc w:val="left"/>
            </w:pPr>
            <w:r w:rsidRPr="00B155A1">
              <w:rPr>
                <w:sz w:val="16"/>
              </w:rPr>
              <w:t>52.6% had poor knowledge; 38.6% unsafe toilet behaviour; correlation was near zero (r=-0.011).</w:t>
            </w:r>
          </w:p>
        </w:tc>
        <w:tc>
          <w:tcPr>
            <w:tcW w:w="3061" w:type="dxa"/>
            <w:tcMar>
              <w:top w:w="60" w:type="dxa"/>
              <w:left w:w="60" w:type="dxa"/>
              <w:bottom w:w="60" w:type="dxa"/>
              <w:right w:w="60" w:type="dxa"/>
            </w:tcMar>
            <w:vAlign w:val="center"/>
          </w:tcPr>
          <w:p w14:paraId="1993F570" w14:textId="77777777" w:rsidR="00571F51" w:rsidRPr="00B155A1" w:rsidRDefault="00571F51" w:rsidP="008406E6">
            <w:pPr>
              <w:spacing w:line="240" w:lineRule="auto"/>
              <w:jc w:val="left"/>
            </w:pPr>
            <w:r w:rsidRPr="00B155A1">
              <w:rPr>
                <w:sz w:val="16"/>
              </w:rPr>
              <w:t>Stratified sample and direct correlation; cross-sectional self-report.</w:t>
            </w:r>
          </w:p>
        </w:tc>
        <w:tc>
          <w:tcPr>
            <w:tcW w:w="964" w:type="dxa"/>
            <w:tcMar>
              <w:top w:w="60" w:type="dxa"/>
              <w:left w:w="60" w:type="dxa"/>
              <w:bottom w:w="60" w:type="dxa"/>
              <w:right w:w="60" w:type="dxa"/>
            </w:tcMar>
            <w:vAlign w:val="center"/>
          </w:tcPr>
          <w:p w14:paraId="5C3B8674" w14:textId="77777777" w:rsidR="00571F51" w:rsidRPr="00B155A1" w:rsidRDefault="00571F51" w:rsidP="008406E6">
            <w:pPr>
              <w:spacing w:line="240" w:lineRule="auto"/>
              <w:jc w:val="left"/>
            </w:pPr>
            <w:r w:rsidRPr="00B155A1">
              <w:rPr>
                <w:sz w:val="16"/>
              </w:rPr>
              <w:t>1, 2, 4, 5</w:t>
            </w:r>
          </w:p>
        </w:tc>
      </w:tr>
    </w:tbl>
    <w:p w14:paraId="4A631F4B" w14:textId="77777777" w:rsidR="00571F51" w:rsidRDefault="00571F51" w:rsidP="00571F51">
      <w:pPr>
        <w:sectPr w:rsidR="00571F51" w:rsidSect="00571F51">
          <w:pgSz w:w="16838" w:h="11906" w:orient="landscape"/>
          <w:pgMar w:top="850" w:right="850" w:bottom="850" w:left="850" w:header="720" w:footer="720" w:gutter="0"/>
          <w:cols w:space="720"/>
          <w:docGrid w:linePitch="360"/>
        </w:sectPr>
      </w:pPr>
    </w:p>
    <w:p w14:paraId="57B456A3" w14:textId="77777777" w:rsidR="00571F51" w:rsidRPr="00B155A1" w:rsidRDefault="00571F51" w:rsidP="00571F51">
      <w:r w:rsidRPr="002E21C8">
        <w:t>Outcome measures were varied (categories of knowledge, mean scores, practice scores, correlation scores and pre/post differences). There was also coverage of instruments on various combinations of symptoms, prevention, hygiene, hydration and toileting. There was therefore no need to create numerical pools. Individual findings were synthesised in the direction and context in which they were found, without assuming equivalent scales. The common strength of all was adolescent relevance; the main limitation of directness was the lack of UK research (Semwal and Sharma, 2020; Sequera et al., 2021; Goda et al., 2025).</w:t>
      </w:r>
    </w:p>
    <w:p w14:paraId="3C6C959D" w14:textId="77777777" w:rsidR="00571F51" w:rsidRDefault="00571F51" w:rsidP="00571F51">
      <w:pPr>
        <w:pStyle w:val="Heading2"/>
      </w:pPr>
      <w:bookmarkStart w:id="167" w:name="_Toc239678176"/>
      <w:bookmarkStart w:id="168" w:name="_Toc239679769"/>
      <w:bookmarkStart w:id="169" w:name="_Toc240927778"/>
      <w:r>
        <w:t>4.4 Quality and Methodological Profile of the Evidence</w:t>
      </w:r>
      <w:bookmarkEnd w:id="167"/>
      <w:bookmarkEnd w:id="168"/>
      <w:bookmarkEnd w:id="169"/>
    </w:p>
    <w:p w14:paraId="2CB47F2E" w14:textId="77777777" w:rsidR="00571F51" w:rsidRPr="00701311" w:rsidRDefault="00571F51" w:rsidP="00571F51">
      <w:r w:rsidRPr="00701311">
        <w:t xml:space="preserve">Results were </w:t>
      </w:r>
      <w:r w:rsidRPr="00BB1A07">
        <w:t>weighed</w:t>
      </w:r>
      <w:r>
        <w:t xml:space="preserve"> </w:t>
      </w:r>
      <w:r w:rsidRPr="00701311">
        <w:t>based on quality appraisal from Chapter 3. Strengths identified were well-described adolescent populations, direct UTI knowledge/prevention measures, and in some studies, good sample sizes. The girls were sampled using multistage random sampling with 462 girls, and the validity and reliability of the instrument were reported by Al-Kotb et al. (2016). Nofal et al. (2020) employed multistage selection and a questionnaire assessment along with urine sampling. Patel et al. (2020) sampled 200 girls, and Goda et al. (2025) included knowledge, symptoms, hygiene, nutrition and UTI status in 354 girls.</w:t>
      </w:r>
    </w:p>
    <w:p w14:paraId="237FC4B4" w14:textId="77777777" w:rsidR="00571F51" w:rsidRPr="00701311" w:rsidRDefault="00571F51" w:rsidP="00571F51">
      <w:r w:rsidRPr="00701311">
        <w:t>One-group pre/post intervention designs are the dominant design. Shikhare and Taksande (2017), Saji et al. (2018) and Pascal et al. (2019) all found post-teaching gains, but in the absence of a concurrent control group, the gains due to teaching cannot be completely distinguished from gains due to testing, recall, or other factors. A control group was used for stronger comparative evidence by Banu (2023); however, due to limitations of the short follow-up period and purposive sampling, generalisability was limited. A description was the useful output from the observational study but cannot establish temporal and/or causal relationships between the variables (Semwal and Sharma, 2020; Sequera et al., 2021; Joseph et al., 2026).</w:t>
      </w:r>
    </w:p>
    <w:p w14:paraId="77AA01AF" w14:textId="77777777" w:rsidR="00571F51" w:rsidRPr="00B155A1" w:rsidRDefault="00571F51" w:rsidP="00571F51">
      <w:r w:rsidRPr="00701311">
        <w:t>There were other limitations, including transferability. All the participants were females, and all the evidence came from India or Egypt. Cultural practices, hygiene, schooling and health care provision may vary from the UK. Patterns of repetition across settings were therefore given weight for interpretation, and exact percentages were considered as study-specific rather than estimates of UK adolescents (Patel et al., 2020; Goda et al., 2025).</w:t>
      </w:r>
    </w:p>
    <w:p w14:paraId="500F7DAD" w14:textId="77777777" w:rsidR="00571F51" w:rsidRDefault="00571F51" w:rsidP="00571F51">
      <w:pPr>
        <w:pStyle w:val="Heading2"/>
      </w:pPr>
      <w:bookmarkStart w:id="170" w:name="_Toc239678177"/>
      <w:bookmarkStart w:id="171" w:name="_Toc239679770"/>
      <w:bookmarkStart w:id="172" w:name="_Toc240927779"/>
      <w:r>
        <w:t>4.5 Data Extraction and Theme Development</w:t>
      </w:r>
      <w:bookmarkEnd w:id="170"/>
      <w:bookmarkEnd w:id="171"/>
      <w:bookmarkEnd w:id="172"/>
    </w:p>
    <w:p w14:paraId="7D552D49" w14:textId="77777777" w:rsidR="00571F51" w:rsidRPr="00B155A1" w:rsidRDefault="00571F51" w:rsidP="00571F51">
      <w:r w:rsidRPr="00701311">
        <w:t>The findings reported were clustered into population, setting, design, baseline knowledge, symptoms, preventive practices, previous information, and educational exposure and behavioural outcomes. Recurrent codes were poor/moderate knowledge, weak prevention-specific knowledge, hydration issues, voiding issues, menstrual/perineal hygiene, improvement after education, and weak knowledge-practice relationship. Frequent patterns resulted in five analytical themes. Vijayan et al. (2018), Semwal and Sharma (2020), and Joseph et al. (2026) reported crossing over of knowledge and behaviour and context; thus, a study could contribute to more than one theme.</w:t>
      </w:r>
    </w:p>
    <w:p w14:paraId="47B748BF" w14:textId="77777777" w:rsidR="00571F51" w:rsidRPr="00701311" w:rsidRDefault="00571F51" w:rsidP="00571F51">
      <w:pPr>
        <w:spacing w:before="120" w:after="80"/>
      </w:pPr>
      <w:r w:rsidRPr="00701311">
        <w:rPr>
          <w:b/>
        </w:rPr>
        <w:t>Table 4.2: Development of the Main Themes</w:t>
      </w:r>
    </w:p>
    <w:tbl>
      <w:tblPr>
        <w:tblStyle w:val="TableGrid"/>
        <w:tblW w:w="0" w:type="auto"/>
        <w:tblLook w:val="04A0" w:firstRow="1" w:lastRow="0" w:firstColumn="1" w:lastColumn="0" w:noHBand="0" w:noVBand="1"/>
      </w:tblPr>
      <w:tblGrid>
        <w:gridCol w:w="861"/>
        <w:gridCol w:w="2494"/>
        <w:gridCol w:w="2891"/>
        <w:gridCol w:w="3175"/>
      </w:tblGrid>
      <w:tr w:rsidR="00571F51" w:rsidRPr="00B155A1" w14:paraId="51003A19" w14:textId="77777777" w:rsidTr="008406E6">
        <w:tc>
          <w:tcPr>
            <w:tcW w:w="737" w:type="dxa"/>
          </w:tcPr>
          <w:p w14:paraId="5D6EB1B5" w14:textId="77777777" w:rsidR="00571F51" w:rsidRPr="00B155A1" w:rsidRDefault="00571F51" w:rsidP="008406E6">
            <w:pPr>
              <w:spacing w:line="276" w:lineRule="auto"/>
              <w:jc w:val="left"/>
              <w:rPr>
                <w:sz w:val="20"/>
                <w:szCs w:val="24"/>
              </w:rPr>
            </w:pPr>
            <w:r w:rsidRPr="00B155A1">
              <w:rPr>
                <w:b/>
                <w:sz w:val="20"/>
                <w:szCs w:val="24"/>
              </w:rPr>
              <w:t>Theme</w:t>
            </w:r>
          </w:p>
        </w:tc>
        <w:tc>
          <w:tcPr>
            <w:tcW w:w="2494" w:type="dxa"/>
          </w:tcPr>
          <w:p w14:paraId="7AA4634A" w14:textId="77777777" w:rsidR="00571F51" w:rsidRPr="00B155A1" w:rsidRDefault="00571F51" w:rsidP="008406E6">
            <w:pPr>
              <w:spacing w:line="276" w:lineRule="auto"/>
              <w:jc w:val="left"/>
              <w:rPr>
                <w:sz w:val="20"/>
                <w:szCs w:val="24"/>
              </w:rPr>
            </w:pPr>
            <w:r w:rsidRPr="00B155A1">
              <w:rPr>
                <w:b/>
                <w:sz w:val="20"/>
                <w:szCs w:val="24"/>
              </w:rPr>
              <w:t>Analytic label</w:t>
            </w:r>
          </w:p>
        </w:tc>
        <w:tc>
          <w:tcPr>
            <w:tcW w:w="2891" w:type="dxa"/>
          </w:tcPr>
          <w:p w14:paraId="0F81F55D" w14:textId="77777777" w:rsidR="00571F51" w:rsidRPr="00B155A1" w:rsidRDefault="00571F51" w:rsidP="008406E6">
            <w:pPr>
              <w:spacing w:line="276" w:lineRule="auto"/>
              <w:jc w:val="left"/>
              <w:rPr>
                <w:sz w:val="20"/>
                <w:szCs w:val="24"/>
              </w:rPr>
            </w:pPr>
            <w:r w:rsidRPr="00B155A1">
              <w:rPr>
                <w:b/>
                <w:sz w:val="20"/>
                <w:szCs w:val="24"/>
              </w:rPr>
              <w:t>Recurrent evidence</w:t>
            </w:r>
          </w:p>
        </w:tc>
        <w:tc>
          <w:tcPr>
            <w:tcW w:w="3175" w:type="dxa"/>
          </w:tcPr>
          <w:p w14:paraId="07AE9E6C" w14:textId="77777777" w:rsidR="00571F51" w:rsidRPr="00B155A1" w:rsidRDefault="00571F51" w:rsidP="008406E6">
            <w:pPr>
              <w:spacing w:line="276" w:lineRule="auto"/>
              <w:jc w:val="left"/>
              <w:rPr>
                <w:sz w:val="20"/>
                <w:szCs w:val="24"/>
              </w:rPr>
            </w:pPr>
            <w:r w:rsidRPr="00B155A1">
              <w:rPr>
                <w:b/>
                <w:sz w:val="20"/>
                <w:szCs w:val="24"/>
              </w:rPr>
              <w:t>Main contributing studies</w:t>
            </w:r>
          </w:p>
        </w:tc>
      </w:tr>
      <w:tr w:rsidR="00571F51" w:rsidRPr="00B155A1" w14:paraId="0BD6D69D" w14:textId="77777777" w:rsidTr="008406E6">
        <w:tc>
          <w:tcPr>
            <w:tcW w:w="737" w:type="dxa"/>
          </w:tcPr>
          <w:p w14:paraId="10C1B903" w14:textId="77777777" w:rsidR="00571F51" w:rsidRPr="00B155A1" w:rsidRDefault="00571F51" w:rsidP="008406E6">
            <w:pPr>
              <w:spacing w:line="276" w:lineRule="auto"/>
              <w:jc w:val="left"/>
              <w:rPr>
                <w:sz w:val="20"/>
                <w:szCs w:val="24"/>
              </w:rPr>
            </w:pPr>
            <w:r w:rsidRPr="00B155A1">
              <w:rPr>
                <w:sz w:val="20"/>
                <w:szCs w:val="24"/>
              </w:rPr>
              <w:t>1</w:t>
            </w:r>
          </w:p>
        </w:tc>
        <w:tc>
          <w:tcPr>
            <w:tcW w:w="2494" w:type="dxa"/>
          </w:tcPr>
          <w:p w14:paraId="72E35917" w14:textId="77777777" w:rsidR="00571F51" w:rsidRPr="00B155A1" w:rsidRDefault="00571F51" w:rsidP="008406E6">
            <w:pPr>
              <w:spacing w:line="276" w:lineRule="auto"/>
              <w:jc w:val="left"/>
              <w:rPr>
                <w:sz w:val="20"/>
                <w:szCs w:val="24"/>
              </w:rPr>
            </w:pPr>
            <w:r w:rsidRPr="00B155A1">
              <w:rPr>
                <w:sz w:val="20"/>
                <w:szCs w:val="24"/>
              </w:rPr>
              <w:t>Incomplete and uneven UTI knowledge</w:t>
            </w:r>
          </w:p>
        </w:tc>
        <w:tc>
          <w:tcPr>
            <w:tcW w:w="2891" w:type="dxa"/>
          </w:tcPr>
          <w:p w14:paraId="16DDBF9E" w14:textId="77777777" w:rsidR="00571F51" w:rsidRPr="00B155A1" w:rsidRDefault="00571F51" w:rsidP="008406E6">
            <w:pPr>
              <w:spacing w:line="276" w:lineRule="auto"/>
              <w:jc w:val="left"/>
              <w:rPr>
                <w:sz w:val="20"/>
                <w:szCs w:val="24"/>
              </w:rPr>
            </w:pPr>
            <w:r w:rsidRPr="00B155A1">
              <w:rPr>
                <w:sz w:val="20"/>
                <w:szCs w:val="24"/>
              </w:rPr>
              <w:t>Poor/moderate baseline knowledge; prevention-specific gaps</w:t>
            </w:r>
          </w:p>
        </w:tc>
        <w:tc>
          <w:tcPr>
            <w:tcW w:w="3175" w:type="dxa"/>
          </w:tcPr>
          <w:p w14:paraId="540CD867" w14:textId="77777777" w:rsidR="00571F51" w:rsidRPr="00B155A1" w:rsidRDefault="00571F51" w:rsidP="008406E6">
            <w:pPr>
              <w:spacing w:line="276" w:lineRule="auto"/>
              <w:jc w:val="left"/>
              <w:rPr>
                <w:sz w:val="20"/>
                <w:szCs w:val="24"/>
              </w:rPr>
            </w:pPr>
            <w:r w:rsidRPr="00B155A1">
              <w:rPr>
                <w:sz w:val="20"/>
                <w:szCs w:val="24"/>
              </w:rPr>
              <w:t>All 13 studies</w:t>
            </w:r>
          </w:p>
        </w:tc>
      </w:tr>
      <w:tr w:rsidR="00571F51" w:rsidRPr="00B155A1" w14:paraId="3FD0B350" w14:textId="77777777" w:rsidTr="008406E6">
        <w:tc>
          <w:tcPr>
            <w:tcW w:w="737" w:type="dxa"/>
          </w:tcPr>
          <w:p w14:paraId="4BF40DCA" w14:textId="77777777" w:rsidR="00571F51" w:rsidRPr="00B155A1" w:rsidRDefault="00571F51" w:rsidP="008406E6">
            <w:pPr>
              <w:spacing w:line="276" w:lineRule="auto"/>
              <w:jc w:val="left"/>
              <w:rPr>
                <w:sz w:val="20"/>
                <w:szCs w:val="24"/>
              </w:rPr>
            </w:pPr>
            <w:r w:rsidRPr="00B155A1">
              <w:rPr>
                <w:sz w:val="20"/>
                <w:szCs w:val="24"/>
              </w:rPr>
              <w:t>2</w:t>
            </w:r>
          </w:p>
        </w:tc>
        <w:tc>
          <w:tcPr>
            <w:tcW w:w="2494" w:type="dxa"/>
          </w:tcPr>
          <w:p w14:paraId="6CC1E688" w14:textId="77777777" w:rsidR="00571F51" w:rsidRPr="00B155A1" w:rsidRDefault="00571F51" w:rsidP="008406E6">
            <w:pPr>
              <w:spacing w:line="276" w:lineRule="auto"/>
              <w:jc w:val="left"/>
              <w:rPr>
                <w:sz w:val="20"/>
                <w:szCs w:val="24"/>
              </w:rPr>
            </w:pPr>
            <w:r w:rsidRPr="00B155A1">
              <w:rPr>
                <w:sz w:val="20"/>
                <w:szCs w:val="24"/>
              </w:rPr>
              <w:t>Inconsistent preventive and self-care practices</w:t>
            </w:r>
          </w:p>
        </w:tc>
        <w:tc>
          <w:tcPr>
            <w:tcW w:w="2891" w:type="dxa"/>
          </w:tcPr>
          <w:p w14:paraId="65B5DBAD" w14:textId="77777777" w:rsidR="00571F51" w:rsidRPr="00B155A1" w:rsidRDefault="00571F51" w:rsidP="008406E6">
            <w:pPr>
              <w:spacing w:line="276" w:lineRule="auto"/>
              <w:jc w:val="left"/>
              <w:rPr>
                <w:sz w:val="20"/>
                <w:szCs w:val="24"/>
              </w:rPr>
            </w:pPr>
            <w:r w:rsidRPr="00B155A1">
              <w:rPr>
                <w:sz w:val="20"/>
                <w:szCs w:val="24"/>
              </w:rPr>
              <w:t>Hydration, voiding, perineal/menstrual hygiene, toilet behaviour</w:t>
            </w:r>
          </w:p>
        </w:tc>
        <w:tc>
          <w:tcPr>
            <w:tcW w:w="3175" w:type="dxa"/>
          </w:tcPr>
          <w:p w14:paraId="0CB967D3" w14:textId="77777777" w:rsidR="00571F51" w:rsidRPr="00B155A1" w:rsidRDefault="00571F51" w:rsidP="008406E6">
            <w:pPr>
              <w:spacing w:line="276" w:lineRule="auto"/>
              <w:jc w:val="left"/>
              <w:rPr>
                <w:sz w:val="20"/>
                <w:szCs w:val="24"/>
              </w:rPr>
            </w:pPr>
            <w:r w:rsidRPr="00B155A1">
              <w:rPr>
                <w:sz w:val="20"/>
                <w:szCs w:val="24"/>
              </w:rPr>
              <w:t>Al-Kotb; Vijayan; Nofal; Semwal and Sharma; Patel; Sequera; Goda; Joseph</w:t>
            </w:r>
          </w:p>
        </w:tc>
      </w:tr>
      <w:tr w:rsidR="00571F51" w:rsidRPr="00B155A1" w14:paraId="1D990BD0" w14:textId="77777777" w:rsidTr="008406E6">
        <w:tc>
          <w:tcPr>
            <w:tcW w:w="737" w:type="dxa"/>
          </w:tcPr>
          <w:p w14:paraId="447BDD9A" w14:textId="77777777" w:rsidR="00571F51" w:rsidRPr="00B155A1" w:rsidRDefault="00571F51" w:rsidP="008406E6">
            <w:pPr>
              <w:spacing w:line="276" w:lineRule="auto"/>
              <w:jc w:val="left"/>
              <w:rPr>
                <w:sz w:val="20"/>
                <w:szCs w:val="24"/>
              </w:rPr>
            </w:pPr>
            <w:r w:rsidRPr="00B155A1">
              <w:rPr>
                <w:sz w:val="20"/>
                <w:szCs w:val="24"/>
              </w:rPr>
              <w:t>3</w:t>
            </w:r>
          </w:p>
        </w:tc>
        <w:tc>
          <w:tcPr>
            <w:tcW w:w="2494" w:type="dxa"/>
          </w:tcPr>
          <w:p w14:paraId="5EF1391B" w14:textId="77777777" w:rsidR="00571F51" w:rsidRPr="00B155A1" w:rsidRDefault="00571F51" w:rsidP="008406E6">
            <w:pPr>
              <w:spacing w:line="276" w:lineRule="auto"/>
              <w:jc w:val="left"/>
              <w:rPr>
                <w:sz w:val="20"/>
                <w:szCs w:val="24"/>
              </w:rPr>
            </w:pPr>
            <w:r w:rsidRPr="00B155A1">
              <w:rPr>
                <w:sz w:val="20"/>
                <w:szCs w:val="24"/>
              </w:rPr>
              <w:t>Structured education improved short-term knowledge</w:t>
            </w:r>
          </w:p>
        </w:tc>
        <w:tc>
          <w:tcPr>
            <w:tcW w:w="2891" w:type="dxa"/>
          </w:tcPr>
          <w:p w14:paraId="6728AAAE" w14:textId="77777777" w:rsidR="00571F51" w:rsidRPr="00B155A1" w:rsidRDefault="00571F51" w:rsidP="008406E6">
            <w:pPr>
              <w:spacing w:line="276" w:lineRule="auto"/>
              <w:jc w:val="left"/>
              <w:rPr>
                <w:sz w:val="20"/>
                <w:szCs w:val="24"/>
              </w:rPr>
            </w:pPr>
            <w:r w:rsidRPr="00B155A1">
              <w:rPr>
                <w:sz w:val="20"/>
                <w:szCs w:val="24"/>
              </w:rPr>
              <w:t>Post-teaching knowledge gains across different formats</w:t>
            </w:r>
          </w:p>
        </w:tc>
        <w:tc>
          <w:tcPr>
            <w:tcW w:w="3175" w:type="dxa"/>
          </w:tcPr>
          <w:p w14:paraId="1E28C84E" w14:textId="77777777" w:rsidR="00571F51" w:rsidRPr="00B155A1" w:rsidRDefault="00571F51" w:rsidP="008406E6">
            <w:pPr>
              <w:spacing w:line="276" w:lineRule="auto"/>
              <w:jc w:val="left"/>
              <w:rPr>
                <w:sz w:val="20"/>
                <w:szCs w:val="24"/>
              </w:rPr>
            </w:pPr>
            <w:r w:rsidRPr="00B155A1">
              <w:rPr>
                <w:sz w:val="20"/>
                <w:szCs w:val="24"/>
              </w:rPr>
              <w:t>Al-Kotb; Shikhare and Taksande; Vijayan; Saji; Pascal; Nofal; Banu; Goda</w:t>
            </w:r>
          </w:p>
        </w:tc>
      </w:tr>
      <w:tr w:rsidR="00571F51" w:rsidRPr="00B155A1" w14:paraId="0018A4A5" w14:textId="77777777" w:rsidTr="008406E6">
        <w:tc>
          <w:tcPr>
            <w:tcW w:w="737" w:type="dxa"/>
          </w:tcPr>
          <w:p w14:paraId="1366FC3D" w14:textId="77777777" w:rsidR="00571F51" w:rsidRPr="00B155A1" w:rsidRDefault="00571F51" w:rsidP="008406E6">
            <w:pPr>
              <w:spacing w:line="276" w:lineRule="auto"/>
              <w:jc w:val="left"/>
              <w:rPr>
                <w:sz w:val="20"/>
                <w:szCs w:val="24"/>
              </w:rPr>
            </w:pPr>
            <w:r w:rsidRPr="00B155A1">
              <w:rPr>
                <w:sz w:val="20"/>
                <w:szCs w:val="24"/>
              </w:rPr>
              <w:t>4</w:t>
            </w:r>
          </w:p>
        </w:tc>
        <w:tc>
          <w:tcPr>
            <w:tcW w:w="2494" w:type="dxa"/>
          </w:tcPr>
          <w:p w14:paraId="70E7632F" w14:textId="77777777" w:rsidR="00571F51" w:rsidRPr="00B155A1" w:rsidRDefault="00571F51" w:rsidP="008406E6">
            <w:pPr>
              <w:spacing w:line="276" w:lineRule="auto"/>
              <w:jc w:val="left"/>
              <w:rPr>
                <w:sz w:val="20"/>
                <w:szCs w:val="24"/>
              </w:rPr>
            </w:pPr>
            <w:r w:rsidRPr="00B155A1">
              <w:rPr>
                <w:sz w:val="20"/>
                <w:szCs w:val="24"/>
              </w:rPr>
              <w:t>Knowledge did not automatically translate into practice</w:t>
            </w:r>
          </w:p>
        </w:tc>
        <w:tc>
          <w:tcPr>
            <w:tcW w:w="2891" w:type="dxa"/>
          </w:tcPr>
          <w:p w14:paraId="77D4F6A9" w14:textId="77777777" w:rsidR="00571F51" w:rsidRPr="00B155A1" w:rsidRDefault="00571F51" w:rsidP="008406E6">
            <w:pPr>
              <w:spacing w:line="276" w:lineRule="auto"/>
              <w:jc w:val="left"/>
              <w:rPr>
                <w:sz w:val="20"/>
                <w:szCs w:val="24"/>
              </w:rPr>
            </w:pPr>
            <w:r w:rsidRPr="00B155A1">
              <w:rPr>
                <w:sz w:val="20"/>
                <w:szCs w:val="24"/>
              </w:rPr>
              <w:t>Weak knowledge-practice correlations and behavioural gaps</w:t>
            </w:r>
          </w:p>
        </w:tc>
        <w:tc>
          <w:tcPr>
            <w:tcW w:w="3175" w:type="dxa"/>
          </w:tcPr>
          <w:p w14:paraId="4007A383" w14:textId="77777777" w:rsidR="00571F51" w:rsidRPr="00B155A1" w:rsidRDefault="00571F51" w:rsidP="008406E6">
            <w:pPr>
              <w:spacing w:line="276" w:lineRule="auto"/>
              <w:jc w:val="left"/>
              <w:rPr>
                <w:sz w:val="20"/>
                <w:szCs w:val="24"/>
              </w:rPr>
            </w:pPr>
            <w:r w:rsidRPr="00B155A1">
              <w:rPr>
                <w:sz w:val="20"/>
                <w:szCs w:val="24"/>
              </w:rPr>
              <w:t>Semwal and Sharma; Patel; Sequera; Joseph; supported by intervention practice findings</w:t>
            </w:r>
          </w:p>
        </w:tc>
      </w:tr>
      <w:tr w:rsidR="00571F51" w:rsidRPr="00B155A1" w14:paraId="28951E3C" w14:textId="77777777" w:rsidTr="008406E6">
        <w:tc>
          <w:tcPr>
            <w:tcW w:w="737" w:type="dxa"/>
          </w:tcPr>
          <w:p w14:paraId="4C710F6E" w14:textId="77777777" w:rsidR="00571F51" w:rsidRPr="00B155A1" w:rsidRDefault="00571F51" w:rsidP="008406E6">
            <w:pPr>
              <w:spacing w:line="276" w:lineRule="auto"/>
              <w:jc w:val="left"/>
              <w:rPr>
                <w:sz w:val="20"/>
                <w:szCs w:val="24"/>
              </w:rPr>
            </w:pPr>
            <w:r w:rsidRPr="00B155A1">
              <w:rPr>
                <w:sz w:val="20"/>
                <w:szCs w:val="24"/>
              </w:rPr>
              <w:t>5</w:t>
            </w:r>
          </w:p>
        </w:tc>
        <w:tc>
          <w:tcPr>
            <w:tcW w:w="2494" w:type="dxa"/>
          </w:tcPr>
          <w:p w14:paraId="2869BF5D" w14:textId="77777777" w:rsidR="00571F51" w:rsidRPr="00B155A1" w:rsidRDefault="00571F51" w:rsidP="008406E6">
            <w:pPr>
              <w:spacing w:line="276" w:lineRule="auto"/>
              <w:jc w:val="left"/>
              <w:rPr>
                <w:sz w:val="20"/>
                <w:szCs w:val="24"/>
              </w:rPr>
            </w:pPr>
            <w:r w:rsidRPr="00B155A1">
              <w:rPr>
                <w:sz w:val="20"/>
                <w:szCs w:val="24"/>
              </w:rPr>
              <w:t>Educational and social context shaped outcomes</w:t>
            </w:r>
          </w:p>
        </w:tc>
        <w:tc>
          <w:tcPr>
            <w:tcW w:w="2891" w:type="dxa"/>
          </w:tcPr>
          <w:p w14:paraId="7BDF1013" w14:textId="77777777" w:rsidR="00571F51" w:rsidRPr="00B155A1" w:rsidRDefault="00571F51" w:rsidP="008406E6">
            <w:pPr>
              <w:spacing w:line="276" w:lineRule="auto"/>
              <w:jc w:val="left"/>
              <w:rPr>
                <w:sz w:val="20"/>
                <w:szCs w:val="24"/>
              </w:rPr>
            </w:pPr>
            <w:r w:rsidRPr="00B155A1">
              <w:rPr>
                <w:sz w:val="20"/>
                <w:szCs w:val="24"/>
              </w:rPr>
              <w:t>Previous information, grade, family education, residence, sanitation and UTI experience</w:t>
            </w:r>
          </w:p>
        </w:tc>
        <w:tc>
          <w:tcPr>
            <w:tcW w:w="3175" w:type="dxa"/>
          </w:tcPr>
          <w:p w14:paraId="37789912" w14:textId="77777777" w:rsidR="00571F51" w:rsidRPr="00B155A1" w:rsidRDefault="00571F51" w:rsidP="008406E6">
            <w:pPr>
              <w:spacing w:line="276" w:lineRule="auto"/>
              <w:jc w:val="left"/>
              <w:rPr>
                <w:sz w:val="20"/>
                <w:szCs w:val="24"/>
              </w:rPr>
            </w:pPr>
            <w:r w:rsidRPr="00B155A1">
              <w:rPr>
                <w:sz w:val="20"/>
                <w:szCs w:val="24"/>
              </w:rPr>
              <w:t>Semwal and Sharma; Patel; Sequera; Baruah; Goda; Joseph</w:t>
            </w:r>
          </w:p>
        </w:tc>
      </w:tr>
    </w:tbl>
    <w:p w14:paraId="7BB59D57" w14:textId="77777777" w:rsidR="00571F51" w:rsidRDefault="00571F51" w:rsidP="00571F51">
      <w:pPr>
        <w:pStyle w:val="Heading2"/>
      </w:pPr>
      <w:bookmarkStart w:id="173" w:name="_Toc239678178"/>
      <w:bookmarkStart w:id="174" w:name="_Toc239679771"/>
      <w:bookmarkStart w:id="175" w:name="_Toc240927780"/>
      <w:r>
        <w:t>4.6 Thematic Findings</w:t>
      </w:r>
      <w:bookmarkEnd w:id="173"/>
      <w:bookmarkEnd w:id="174"/>
      <w:bookmarkEnd w:id="175"/>
    </w:p>
    <w:p w14:paraId="0161FFA1" w14:textId="77777777" w:rsidR="00571F51" w:rsidRPr="005949A0" w:rsidRDefault="00571F51" w:rsidP="00571F51">
      <w:r w:rsidRPr="00222E52">
        <w:t xml:space="preserve">Five related findings were identified in the last 13 studies and compiled as a thematic </w:t>
      </w:r>
      <w:r w:rsidRPr="005949A0">
        <w:t>synthesis. Adolescent UTI knowledge, UTI preventive behaviour, impact of structured UTI education, relation between knowledge and UTI preventive behaviour, and impact of educational and social setting were the themes. There is more focus on repeated occurrences of findings rather than on individual statistical comparisons.</w:t>
      </w:r>
    </w:p>
    <w:p w14:paraId="2798820E" w14:textId="77777777" w:rsidR="00571F51" w:rsidRPr="005949A0" w:rsidRDefault="00571F51" w:rsidP="00571F51">
      <w:pPr>
        <w:pStyle w:val="Heading3"/>
      </w:pPr>
      <w:bookmarkStart w:id="176" w:name="_Toc239678179"/>
      <w:bookmarkStart w:id="177" w:name="_Toc239679772"/>
      <w:bookmarkStart w:id="178" w:name="_Toc240927781"/>
      <w:r w:rsidRPr="005949A0">
        <w:t>4.6.1 Theme 1: Incomplete and Uneven UTI Knowledge</w:t>
      </w:r>
      <w:bookmarkEnd w:id="176"/>
      <w:bookmarkEnd w:id="177"/>
      <w:bookmarkEnd w:id="178"/>
    </w:p>
    <w:p w14:paraId="20C22044" w14:textId="77777777" w:rsidR="00571F51" w:rsidRPr="005949A0" w:rsidRDefault="00571F51" w:rsidP="00571F51">
      <w:r w:rsidRPr="005949A0">
        <w:t>Adolescents, overall, showed poor knowledge of UTIs, with differences in the type of knowledge depending on the setting included in the studies. One of the salient points was that there was some understanding of UTIs, but participants were not fully knowledgeable about the causes, symptoms, risk factors or prevention of UTIs. Patel et al. (2020), Baruah (2023) and Joseph et al. (2026) highlighted knowledge gaps with adolescent girls, specifically with prevention-oriented knowledge being poorly understood. Sequera et al. (2021) also found that awareness was not associated with a high level of understanding of preventive behaviour.</w:t>
      </w:r>
    </w:p>
    <w:p w14:paraId="525C9320" w14:textId="77777777" w:rsidR="00571F51" w:rsidRPr="005949A0" w:rsidRDefault="00571F51" w:rsidP="00571F51">
      <w:r w:rsidRPr="005949A0">
        <w:t>The results of intervention studies confirmed that the general finding is that participants had gaps in their UTI knowledge when they entered into the educational programmes. Al-Kotb et al. (2016) noted a lack of awareness of GU infections, risk factors and prevention. Shikhare and Taksande (2017), Saji et al. (2018) and Pascal et al. (2019) also identified the need for additional education on UTI prevention prior to the structured education. Vijayan et al. (2018) and Goda et al. (2025) also reported insufficient knowledge and hygiene-related awareness gaps.</w:t>
      </w:r>
    </w:p>
    <w:p w14:paraId="44852095" w14:textId="77777777" w:rsidR="00571F51" w:rsidRPr="005949A0" w:rsidRDefault="00571F51" w:rsidP="00571F51">
      <w:r w:rsidRPr="005949A0">
        <w:t>Combined, adolescent knowledge was not entirely lacking or uniformly sufficient. The general pattern was a lack of knowledge, with adolescents being able to identify UTI as a health issue, but not having much knowledge about how to minimise risk in their daily lives. This finding was evident in all school, college, hostel and community settings.</w:t>
      </w:r>
    </w:p>
    <w:p w14:paraId="423FD024" w14:textId="77777777" w:rsidR="00571F51" w:rsidRPr="005949A0" w:rsidRDefault="00571F51" w:rsidP="00571F51">
      <w:pPr>
        <w:pStyle w:val="Heading3"/>
      </w:pPr>
      <w:bookmarkStart w:id="179" w:name="_Toc239678180"/>
      <w:bookmarkStart w:id="180" w:name="_Toc239679773"/>
      <w:bookmarkStart w:id="181" w:name="_Toc240927782"/>
      <w:r w:rsidRPr="005949A0">
        <w:t>4.6.2 Theme 2: Preventive Practices and Everyday Self-Care Were Inconsistent</w:t>
      </w:r>
      <w:bookmarkEnd w:id="179"/>
      <w:bookmarkEnd w:id="180"/>
      <w:bookmarkEnd w:id="181"/>
    </w:p>
    <w:p w14:paraId="2520D104" w14:textId="77777777" w:rsidR="00571F51" w:rsidRPr="005949A0" w:rsidRDefault="00571F51" w:rsidP="00571F51">
      <w:r w:rsidRPr="005949A0">
        <w:t>Inconsistent was scored at 40; a score of 30 or less indicates a concern.</w:t>
      </w:r>
    </w:p>
    <w:p w14:paraId="76FF5B6B" w14:textId="77777777" w:rsidR="00571F51" w:rsidRPr="005949A0" w:rsidRDefault="00571F51" w:rsidP="00571F51">
      <w:r w:rsidRPr="005949A0">
        <w:t>Not all the studies included in this search provided consistent information on preventive behaviour. Recurrent findings were hydration, regular voiding, perineal hygiene, menstrual hygiene and toilet-related behaviour. Vijayan et al. (2018) studied poor menstrual and perineal hygiene, while Semwal and Sharma (2020) found that there were inadequate practices related to fluid intake, voiding routine, and perineal hygiene after urination. Patel et al. (2020) also reported that most of the preventive practices were sub-optimal among older adolescent girls.</w:t>
      </w:r>
    </w:p>
    <w:p w14:paraId="3D631753" w14:textId="77777777" w:rsidR="00571F51" w:rsidRPr="005949A0" w:rsidRDefault="00571F51" w:rsidP="00571F51">
      <w:r w:rsidRPr="005949A0">
        <w:t>The same was true in other places. Sequera et al. 2021 reported differences in the preventive practices of the residents of the hostel, revealing that knowledge of UTI was not sufficient for promoting preventive practices consistently. Uncertainty, along with unsafe toilet-related behaviour, was also seen by Joseph et al. (2026). Weaknesses were reported in hygiene and other health-related practices (Goda et al., 2025), and personal hygiene was an area of concern (Nofal et al., 2020).</w:t>
      </w:r>
    </w:p>
    <w:p w14:paraId="1D82A3F2" w14:textId="77777777" w:rsidR="00571F51" w:rsidRPr="005949A0" w:rsidRDefault="00571F51" w:rsidP="00571F51">
      <w:r w:rsidRPr="005949A0">
        <w:t>In all of these studies, prevention was found to be more of a series of daily habits than one thing. To achieve UTI risk management, hydration, timely voiding, menstrual care, and perineal hygiene, along with safe toilet behaviour, were all key. There are frequent gaps indicating the need for prevention education to focus on actual routines at home, school and shared living spaces. So, when strategies for preventing UTIs were discussed, it was a different issue than knowledge about UTIs.</w:t>
      </w:r>
    </w:p>
    <w:p w14:paraId="37D837C2" w14:textId="77777777" w:rsidR="00571F51" w:rsidRPr="005949A0" w:rsidRDefault="00571F51" w:rsidP="00571F51">
      <w:pPr>
        <w:pStyle w:val="Heading3"/>
      </w:pPr>
      <w:bookmarkStart w:id="182" w:name="_Toc239678181"/>
      <w:bookmarkStart w:id="183" w:name="_Toc239679774"/>
      <w:bookmarkStart w:id="184" w:name="_Toc240927783"/>
      <w:r w:rsidRPr="005949A0">
        <w:t>4.6.3 Theme 3: Structured Education Consistently Improved Short-Term Knowledge</w:t>
      </w:r>
      <w:bookmarkEnd w:id="182"/>
      <w:bookmarkEnd w:id="183"/>
      <w:bookmarkEnd w:id="184"/>
    </w:p>
    <w:p w14:paraId="7CDFD3D5" w14:textId="77777777" w:rsidR="00571F51" w:rsidRPr="005949A0" w:rsidRDefault="00571F51" w:rsidP="00571F51">
      <w:r w:rsidRPr="005949A0">
        <w:t>Treatment for UTIs was a recurring theme in intervention studies with improved UTI knowledge following structured education. The overall direction of change was similar for each educational approach. Al-Kotb et al. (2016) reported that the use of teaching, discussion, demonstration, role play and visual materials was effective in enhancing understanding of genitourinary infection and prevention. Shikhare and Taksande (2017) and Saji et al. (2018) reported that self-instructional and structured teaching yielded improved knowledge, respectively. Pascal et al. (2019) observed better understanding post-learning using structured teaching.</w:t>
      </w:r>
    </w:p>
    <w:p w14:paraId="31CE81B9" w14:textId="77777777" w:rsidR="00571F51" w:rsidRPr="005949A0" w:rsidRDefault="00571F51" w:rsidP="00571F51">
      <w:r w:rsidRPr="005949A0">
        <w:t>Vijayan et al. (2018) also noted that education led to an improvement in UTI knowledge and hygiene-related practices. Nofal et al. (2020) reported that education resulted in better knowledge along with self-care behaviours of personal care. Similarly, after a deliberate teaching programme, Banu (2023) found that the knowledge had been enhanced. Goda et al. (2025) reported that health education increased the knowledge of UTIs and reinforced the information about prevention among school girls.</w:t>
      </w:r>
    </w:p>
    <w:p w14:paraId="5A536D0C" w14:textId="77777777" w:rsidR="00571F51" w:rsidRPr="005949A0" w:rsidRDefault="00571F51" w:rsidP="00571F51">
      <w:r w:rsidRPr="005949A0">
        <w:t>There was consistency found across the programmes in terms of the findings: organised education's influence on adolescent UTI knowledge. There was a similarity in the findings across the programmes, although these varied and depended on the format and context of the programme. Prevention-related learning was supported by the practical teaching elements such as demonstrations and self-care advice. In all of the studies, education facilitated adolescents to recognise UTI, awareness and education about preventive actions and awareness of hygiene and self-care. Structured education, thus, targeted identified gaps in knowledge and reinforced short-term understanding of the prevention of UTI.</w:t>
      </w:r>
    </w:p>
    <w:p w14:paraId="4D8B5334" w14:textId="77777777" w:rsidR="00571F51" w:rsidRPr="005949A0" w:rsidRDefault="00571F51" w:rsidP="00571F51">
      <w:pPr>
        <w:pStyle w:val="Heading3"/>
      </w:pPr>
      <w:bookmarkStart w:id="185" w:name="_Toc239678182"/>
      <w:bookmarkStart w:id="186" w:name="_Toc239679775"/>
      <w:bookmarkStart w:id="187" w:name="_Toc240927784"/>
      <w:r w:rsidRPr="005949A0">
        <w:t>4.6.4 Theme 4: Knowledge Did Not Automatically Translate into Preventive Practice</w:t>
      </w:r>
      <w:bookmarkEnd w:id="185"/>
      <w:bookmarkEnd w:id="186"/>
      <w:bookmarkEnd w:id="187"/>
    </w:p>
    <w:p w14:paraId="7503D6AB" w14:textId="77777777" w:rsidR="00571F51" w:rsidRPr="005949A0" w:rsidRDefault="00571F51" w:rsidP="00571F51">
      <w:r w:rsidRPr="005949A0">
        <w:t>The synthesis also demonstrated that increased knowledge did not necessarily result in increased preventive behaviour. In a study by Sequera et al. (2021), there was a weak relationship between knowledge and the habits of using toilets, and a similar finding by Joseph et al. (2026) was a lack of correspondence between knowledge and toilet behaviour. Awareness, therefore, may not be enough to ensure preventive practice is consistent.</w:t>
      </w:r>
    </w:p>
    <w:p w14:paraId="2F4F43BA" w14:textId="77777777" w:rsidR="00571F51" w:rsidRPr="005949A0" w:rsidRDefault="00571F51" w:rsidP="00571F51">
      <w:r w:rsidRPr="005949A0">
        <w:t>This separation between knowing and doing was confirmed by other studies. Patel et al. (2020) noted a lack of knowledge and a lack of prevention practices, whereas Semwal and Sharma (2020) found that there could be a moderate level of knowledge but also a lack of hydration, toileting and hygiene. Educational interventions have been found to accompany educational improvement in self-care in the studies of Al-Kotb et al. (2016), Vijayan et al. (2018) and Nofal et al. (2020). However, the overall pattern indicates that behavioural improvement involves more than acquiring information.</w:t>
      </w:r>
    </w:p>
    <w:p w14:paraId="0EE5F5BD" w14:textId="77777777" w:rsidR="00571F51" w:rsidRPr="005949A0" w:rsidRDefault="00571F51" w:rsidP="00571F51">
      <w:r w:rsidRPr="005949A0">
        <w:t>Preventive behaviour seemed to be related to the ability to take knowledge into practice. Adolescents may not take action on their knowledge if they do not have access to water or toilets, if they don't practice good hygiene, if they don't have any previous experience, if they lack confidence or support. The results then clearly separate the acquisition of knowledge from the translation of behaviour: learning is vital, but so is the repeated action in the adolescents' everyday environment in order to prevent behaviour.</w:t>
      </w:r>
    </w:p>
    <w:p w14:paraId="27110BDC" w14:textId="77777777" w:rsidR="00571F51" w:rsidRPr="005949A0" w:rsidRDefault="00571F51" w:rsidP="00571F51">
      <w:pPr>
        <w:pStyle w:val="Heading3"/>
      </w:pPr>
      <w:bookmarkStart w:id="188" w:name="_Toc239678183"/>
      <w:bookmarkStart w:id="189" w:name="_Toc239679776"/>
      <w:bookmarkStart w:id="190" w:name="_Toc240927785"/>
      <w:r w:rsidRPr="005949A0">
        <w:t>4.6.5 Theme 5: Educational and Social Context Shaped Knowledge and Practice</w:t>
      </w:r>
      <w:bookmarkEnd w:id="188"/>
      <w:bookmarkEnd w:id="189"/>
      <w:bookmarkEnd w:id="190"/>
    </w:p>
    <w:p w14:paraId="5400B33D" w14:textId="77777777" w:rsidR="00571F51" w:rsidRPr="005949A0" w:rsidRDefault="00571F51" w:rsidP="00571F51">
      <w:r w:rsidRPr="005949A0">
        <w:t>The last theme was Educational and Social Context. There were several studies that indicated how previous information regarding UTI influenced the information adolescents had. The sources of information were identified as teachers and mothers by Semwal and Sharma (2020), and variation in pre-exposure was found by Patel et al. (2020) through seminars, the internet and others. Adolescents thus experienced a nonhomogeneous presentation of prevention information.</w:t>
      </w:r>
    </w:p>
    <w:p w14:paraId="39E90D77" w14:textId="77777777" w:rsidR="00571F51" w:rsidRPr="005949A0" w:rsidRDefault="00571F51" w:rsidP="00571F51">
      <w:r w:rsidRPr="005949A0">
        <w:t>The context of the information sources was not limited to contextual influences. Goda et al. (2025) found correlations between family, health and social factors and UTI-related outcomes. Previous knowledge and school-related factors were related to current knowledge/practices (Joseph et al., 2026). These links between selected prevention behaviours and educational characteristics were also reported by Semwal and Sharma (2020). However, Baruah (2023) and Saji et al. (2018) did not find that to be the case for the demographic factors they included; knowledge gaps were not always explained by these factors consistently.</w:t>
      </w:r>
    </w:p>
    <w:p w14:paraId="3CB6740F" w14:textId="77777777" w:rsidR="00571F51" w:rsidRPr="005949A0" w:rsidRDefault="00571F51" w:rsidP="00571F51">
      <w:r w:rsidRPr="005949A0">
        <w:t>Results from both studies indicate that no one factor in social or education knowledge or practice could be identified in all studies. However, the information in the past, schooling, family influence, residence, sanitation, health experience and environment seemed to be relevant in a variety of combinations. Contextual factors in the provision of information to and self-care by adolescents, therefore, influenced UTI prevention. Educational methods can work best if they are available and relevant to the age and situation.</w:t>
      </w:r>
    </w:p>
    <w:p w14:paraId="3E8F3785" w14:textId="77777777" w:rsidR="00571F51" w:rsidRDefault="00571F51" w:rsidP="00571F51">
      <w:pPr>
        <w:pStyle w:val="Heading2"/>
      </w:pPr>
      <w:bookmarkStart w:id="191" w:name="_Toc239678184"/>
      <w:bookmarkStart w:id="192" w:name="_Toc239679777"/>
      <w:bookmarkStart w:id="193" w:name="_Toc240927786"/>
      <w:r>
        <w:t>4.7 Cross-Study Comparison and Evidence Directness</w:t>
      </w:r>
      <w:bookmarkEnd w:id="191"/>
      <w:bookmarkEnd w:id="192"/>
      <w:bookmarkEnd w:id="193"/>
    </w:p>
    <w:p w14:paraId="1751BB84" w14:textId="77777777" w:rsidR="00571F51" w:rsidRPr="00737873" w:rsidRDefault="00571F51" w:rsidP="00571F51">
      <w:r w:rsidRPr="00737873">
        <w:t>The evidence was remarkably consistent on two key findings: most of the baseline knowledge about UTIs was low and structured education often resulted in short-term knowledge gains. Also, hydration and toileting/hygiene routines were often not done adequately for preventative reasons. There was variation in the size of deficits because of the use of different instruments and thresholds. As mentioned in Patel et al. (2020), 71.5% had poor knowledge, and as mentioned by Baruah (2023), 80% was moderately adequate. These conclusions in no way contradict one another since the categories were based on the use of separate questionnaires.</w:t>
      </w:r>
    </w:p>
    <w:p w14:paraId="35937465" w14:textId="77777777" w:rsidR="00571F51" w:rsidRPr="00737873" w:rsidRDefault="00571F51" w:rsidP="00571F51">
      <w:r w:rsidRPr="00737873">
        <w:t>There was less diversity in the direction of intervention results than in the observational estimates. The overall result of all eight educational studies, such as the controlled study by Banu (2023), showed that there were positive improvements in all of them. But the majority of uncontrolled designs limit the interpretation of causality. Observational studies provided an important qualification; Sequera et al. (2021) and Joseph et al. (2026) reported that there was almost no relationship between the knowledge and the behaviour, and Semwal and Sharma (2020) showed the presence of gaps in the behaviour even though the knowledge was generally moderate. Education thus seems to be quite effective in enhancing measured knowledge and less effective in changing behaviour in the long run.</w:t>
      </w:r>
    </w:p>
    <w:p w14:paraId="74E51E6E" w14:textId="77777777" w:rsidR="00571F51" w:rsidRPr="00B155A1" w:rsidRDefault="00571F51" w:rsidP="00571F51">
      <w:r w:rsidRPr="00737873">
        <w:t>The main limitation is the directness to the UK research question. Only studies that directly involved adolescents and that were concerned with knowledge/prevention of UTI were selected, but none of these was a UK-based study, and all participants were female. The review can flag up credible mechanisms of change in education and behaviour, but cannot measure UK adolescent knowledge levels, or presume there is equal prevalence of barriers and practices. This finding of indirect evidence of the lack of UK evidence is itself of substance (Nofal et al., 2020; Sequera et al., 2021; Joseph et al., 2026).</w:t>
      </w:r>
    </w:p>
    <w:p w14:paraId="14CD56B4" w14:textId="77777777" w:rsidR="00571F51" w:rsidRDefault="00571F51" w:rsidP="00571F51">
      <w:pPr>
        <w:spacing w:before="120" w:after="80"/>
      </w:pPr>
      <w:r>
        <w:rPr>
          <w:b/>
        </w:rPr>
        <w:t>Table 4.3: Cross-Study Comparison and Evidence Directness</w:t>
      </w:r>
    </w:p>
    <w:tbl>
      <w:tblPr>
        <w:tblStyle w:val="TableGrid"/>
        <w:tblW w:w="0" w:type="auto"/>
        <w:tblLook w:val="04A0" w:firstRow="1" w:lastRow="0" w:firstColumn="1" w:lastColumn="0" w:noHBand="0" w:noVBand="1"/>
      </w:tblPr>
      <w:tblGrid>
        <w:gridCol w:w="1361"/>
        <w:gridCol w:w="2268"/>
        <w:gridCol w:w="2268"/>
        <w:gridCol w:w="1987"/>
        <w:gridCol w:w="1644"/>
      </w:tblGrid>
      <w:tr w:rsidR="00571F51" w:rsidRPr="00B155A1" w14:paraId="7B24B649" w14:textId="77777777" w:rsidTr="008406E6">
        <w:tc>
          <w:tcPr>
            <w:tcW w:w="1361" w:type="dxa"/>
          </w:tcPr>
          <w:p w14:paraId="2483EADE" w14:textId="77777777" w:rsidR="00571F51" w:rsidRPr="00B155A1" w:rsidRDefault="00571F51" w:rsidP="008406E6">
            <w:pPr>
              <w:spacing w:line="276" w:lineRule="auto"/>
              <w:jc w:val="left"/>
              <w:rPr>
                <w:sz w:val="18"/>
                <w:szCs w:val="28"/>
              </w:rPr>
            </w:pPr>
            <w:r w:rsidRPr="00B155A1">
              <w:rPr>
                <w:b/>
                <w:sz w:val="18"/>
                <w:szCs w:val="28"/>
              </w:rPr>
              <w:t>Evidence area</w:t>
            </w:r>
          </w:p>
        </w:tc>
        <w:tc>
          <w:tcPr>
            <w:tcW w:w="2268" w:type="dxa"/>
          </w:tcPr>
          <w:p w14:paraId="73D61851" w14:textId="77777777" w:rsidR="00571F51" w:rsidRPr="00B155A1" w:rsidRDefault="00571F51" w:rsidP="008406E6">
            <w:pPr>
              <w:spacing w:line="276" w:lineRule="auto"/>
              <w:jc w:val="left"/>
              <w:rPr>
                <w:sz w:val="18"/>
                <w:szCs w:val="28"/>
              </w:rPr>
            </w:pPr>
            <w:r w:rsidRPr="00B155A1">
              <w:rPr>
                <w:b/>
                <w:sz w:val="18"/>
                <w:szCs w:val="28"/>
              </w:rPr>
              <w:t>Consistent pattern</w:t>
            </w:r>
          </w:p>
        </w:tc>
        <w:tc>
          <w:tcPr>
            <w:tcW w:w="2268" w:type="dxa"/>
          </w:tcPr>
          <w:p w14:paraId="776FDB2D" w14:textId="77777777" w:rsidR="00571F51" w:rsidRPr="00B155A1" w:rsidRDefault="00571F51" w:rsidP="008406E6">
            <w:pPr>
              <w:spacing w:line="276" w:lineRule="auto"/>
              <w:jc w:val="left"/>
              <w:rPr>
                <w:sz w:val="18"/>
                <w:szCs w:val="28"/>
              </w:rPr>
            </w:pPr>
            <w:r w:rsidRPr="00B155A1">
              <w:rPr>
                <w:b/>
                <w:sz w:val="18"/>
                <w:szCs w:val="28"/>
              </w:rPr>
              <w:t>Differences/caveats</w:t>
            </w:r>
          </w:p>
        </w:tc>
        <w:tc>
          <w:tcPr>
            <w:tcW w:w="1757" w:type="dxa"/>
          </w:tcPr>
          <w:p w14:paraId="19384204" w14:textId="77777777" w:rsidR="00571F51" w:rsidRPr="00B155A1" w:rsidRDefault="00571F51" w:rsidP="008406E6">
            <w:pPr>
              <w:spacing w:line="276" w:lineRule="auto"/>
              <w:jc w:val="left"/>
              <w:rPr>
                <w:sz w:val="18"/>
                <w:szCs w:val="28"/>
              </w:rPr>
            </w:pPr>
            <w:r w:rsidRPr="00B155A1">
              <w:rPr>
                <w:b/>
                <w:sz w:val="18"/>
                <w:szCs w:val="28"/>
              </w:rPr>
              <w:t>Strength of pattern</w:t>
            </w:r>
          </w:p>
        </w:tc>
        <w:tc>
          <w:tcPr>
            <w:tcW w:w="1644" w:type="dxa"/>
          </w:tcPr>
          <w:p w14:paraId="1E493FE3" w14:textId="77777777" w:rsidR="00571F51" w:rsidRPr="00B155A1" w:rsidRDefault="00571F51" w:rsidP="008406E6">
            <w:pPr>
              <w:spacing w:line="276" w:lineRule="auto"/>
              <w:jc w:val="left"/>
              <w:rPr>
                <w:sz w:val="18"/>
                <w:szCs w:val="28"/>
              </w:rPr>
            </w:pPr>
            <w:r w:rsidRPr="00B155A1">
              <w:rPr>
                <w:b/>
                <w:sz w:val="18"/>
                <w:szCs w:val="28"/>
              </w:rPr>
              <w:t>UK directness</w:t>
            </w:r>
          </w:p>
        </w:tc>
      </w:tr>
      <w:tr w:rsidR="00571F51" w:rsidRPr="00B155A1" w14:paraId="7EB5C986" w14:textId="77777777" w:rsidTr="008406E6">
        <w:tc>
          <w:tcPr>
            <w:tcW w:w="1361" w:type="dxa"/>
          </w:tcPr>
          <w:p w14:paraId="4A721205" w14:textId="77777777" w:rsidR="00571F51" w:rsidRPr="00B155A1" w:rsidRDefault="00571F51" w:rsidP="008406E6">
            <w:pPr>
              <w:spacing w:line="276" w:lineRule="auto"/>
              <w:jc w:val="left"/>
              <w:rPr>
                <w:sz w:val="18"/>
                <w:szCs w:val="28"/>
              </w:rPr>
            </w:pPr>
            <w:r w:rsidRPr="00B155A1">
              <w:rPr>
                <w:sz w:val="18"/>
                <w:szCs w:val="28"/>
              </w:rPr>
              <w:t>Knowledge level</w:t>
            </w:r>
          </w:p>
        </w:tc>
        <w:tc>
          <w:tcPr>
            <w:tcW w:w="2268" w:type="dxa"/>
          </w:tcPr>
          <w:p w14:paraId="152A1B44" w14:textId="77777777" w:rsidR="00571F51" w:rsidRPr="00B155A1" w:rsidRDefault="00571F51" w:rsidP="008406E6">
            <w:pPr>
              <w:spacing w:line="276" w:lineRule="auto"/>
              <w:jc w:val="left"/>
              <w:rPr>
                <w:sz w:val="18"/>
                <w:szCs w:val="28"/>
              </w:rPr>
            </w:pPr>
            <w:r w:rsidRPr="00B155A1">
              <w:rPr>
                <w:sz w:val="18"/>
                <w:szCs w:val="28"/>
              </w:rPr>
              <w:t>Baseline knowledge was commonly poor or moderate; adequate/high knowledge was uncommon.</w:t>
            </w:r>
          </w:p>
        </w:tc>
        <w:tc>
          <w:tcPr>
            <w:tcW w:w="2268" w:type="dxa"/>
          </w:tcPr>
          <w:p w14:paraId="0B64C431" w14:textId="77777777" w:rsidR="00571F51" w:rsidRPr="00B155A1" w:rsidRDefault="00571F51" w:rsidP="008406E6">
            <w:pPr>
              <w:spacing w:line="276" w:lineRule="auto"/>
              <w:jc w:val="left"/>
              <w:rPr>
                <w:sz w:val="18"/>
                <w:szCs w:val="28"/>
              </w:rPr>
            </w:pPr>
            <w:r w:rsidRPr="00B155A1">
              <w:rPr>
                <w:sz w:val="18"/>
                <w:szCs w:val="28"/>
              </w:rPr>
              <w:t>Absolute percentages differed because questionnaires and cut-offs varied.</w:t>
            </w:r>
          </w:p>
        </w:tc>
        <w:tc>
          <w:tcPr>
            <w:tcW w:w="1757" w:type="dxa"/>
          </w:tcPr>
          <w:p w14:paraId="33C74007" w14:textId="77777777" w:rsidR="00571F51" w:rsidRPr="00B155A1" w:rsidRDefault="00571F51" w:rsidP="008406E6">
            <w:pPr>
              <w:spacing w:line="276" w:lineRule="auto"/>
              <w:jc w:val="left"/>
              <w:rPr>
                <w:sz w:val="18"/>
                <w:szCs w:val="28"/>
              </w:rPr>
            </w:pPr>
            <w:r w:rsidRPr="00B155A1">
              <w:rPr>
                <w:sz w:val="18"/>
                <w:szCs w:val="28"/>
              </w:rPr>
              <w:t>Consistent direction across observational and intervention baselines.</w:t>
            </w:r>
          </w:p>
        </w:tc>
        <w:tc>
          <w:tcPr>
            <w:tcW w:w="1644" w:type="dxa"/>
          </w:tcPr>
          <w:p w14:paraId="7DF0172B" w14:textId="77777777" w:rsidR="00571F51" w:rsidRPr="00B155A1" w:rsidRDefault="00571F51" w:rsidP="008406E6">
            <w:pPr>
              <w:spacing w:line="276" w:lineRule="auto"/>
              <w:jc w:val="left"/>
              <w:rPr>
                <w:sz w:val="18"/>
                <w:szCs w:val="28"/>
              </w:rPr>
            </w:pPr>
            <w:r w:rsidRPr="00B155A1">
              <w:rPr>
                <w:sz w:val="18"/>
                <w:szCs w:val="28"/>
              </w:rPr>
              <w:t>Indirect to UK; no UK study.</w:t>
            </w:r>
          </w:p>
        </w:tc>
      </w:tr>
      <w:tr w:rsidR="00571F51" w:rsidRPr="00B155A1" w14:paraId="77176C33" w14:textId="77777777" w:rsidTr="008406E6">
        <w:tc>
          <w:tcPr>
            <w:tcW w:w="1361" w:type="dxa"/>
          </w:tcPr>
          <w:p w14:paraId="1F011217" w14:textId="77777777" w:rsidR="00571F51" w:rsidRPr="00B155A1" w:rsidRDefault="00571F51" w:rsidP="008406E6">
            <w:pPr>
              <w:spacing w:line="276" w:lineRule="auto"/>
              <w:jc w:val="left"/>
              <w:rPr>
                <w:sz w:val="18"/>
                <w:szCs w:val="28"/>
              </w:rPr>
            </w:pPr>
            <w:r w:rsidRPr="00B155A1">
              <w:rPr>
                <w:sz w:val="18"/>
                <w:szCs w:val="28"/>
              </w:rPr>
              <w:t>Preventive practice</w:t>
            </w:r>
          </w:p>
        </w:tc>
        <w:tc>
          <w:tcPr>
            <w:tcW w:w="2268" w:type="dxa"/>
          </w:tcPr>
          <w:p w14:paraId="071FD24D" w14:textId="77777777" w:rsidR="00571F51" w:rsidRPr="00B155A1" w:rsidRDefault="00571F51" w:rsidP="008406E6">
            <w:pPr>
              <w:spacing w:line="276" w:lineRule="auto"/>
              <w:jc w:val="left"/>
              <w:rPr>
                <w:sz w:val="18"/>
                <w:szCs w:val="28"/>
              </w:rPr>
            </w:pPr>
            <w:r w:rsidRPr="00B155A1">
              <w:rPr>
                <w:sz w:val="18"/>
                <w:szCs w:val="28"/>
              </w:rPr>
              <w:t>Hydration, toileting, menstrual/perineal hygiene and toilet behaviour were recurrent concerns.</w:t>
            </w:r>
          </w:p>
        </w:tc>
        <w:tc>
          <w:tcPr>
            <w:tcW w:w="2268" w:type="dxa"/>
          </w:tcPr>
          <w:p w14:paraId="6AD3948F" w14:textId="77777777" w:rsidR="00571F51" w:rsidRPr="00B155A1" w:rsidRDefault="00571F51" w:rsidP="008406E6">
            <w:pPr>
              <w:spacing w:line="276" w:lineRule="auto"/>
              <w:jc w:val="left"/>
              <w:rPr>
                <w:sz w:val="18"/>
                <w:szCs w:val="28"/>
              </w:rPr>
            </w:pPr>
            <w:r w:rsidRPr="00B155A1">
              <w:rPr>
                <w:sz w:val="18"/>
                <w:szCs w:val="28"/>
              </w:rPr>
              <w:t>Definitions of ‘safe’, ‘good’ or ‘poor’ practice differed across studies.</w:t>
            </w:r>
          </w:p>
        </w:tc>
        <w:tc>
          <w:tcPr>
            <w:tcW w:w="1757" w:type="dxa"/>
          </w:tcPr>
          <w:p w14:paraId="51F721D1" w14:textId="77777777" w:rsidR="00571F51" w:rsidRPr="00B155A1" w:rsidRDefault="00571F51" w:rsidP="008406E6">
            <w:pPr>
              <w:spacing w:line="276" w:lineRule="auto"/>
              <w:jc w:val="left"/>
              <w:rPr>
                <w:sz w:val="18"/>
                <w:szCs w:val="28"/>
              </w:rPr>
            </w:pPr>
            <w:r w:rsidRPr="00B155A1">
              <w:rPr>
                <w:sz w:val="18"/>
                <w:szCs w:val="28"/>
              </w:rPr>
              <w:t>Moderate; repeated pattern but mostly self-reported.</w:t>
            </w:r>
          </w:p>
        </w:tc>
        <w:tc>
          <w:tcPr>
            <w:tcW w:w="1644" w:type="dxa"/>
          </w:tcPr>
          <w:p w14:paraId="10D9301C" w14:textId="77777777" w:rsidR="00571F51" w:rsidRPr="00B155A1" w:rsidRDefault="00571F51" w:rsidP="008406E6">
            <w:pPr>
              <w:spacing w:line="276" w:lineRule="auto"/>
              <w:jc w:val="left"/>
              <w:rPr>
                <w:sz w:val="18"/>
                <w:szCs w:val="28"/>
              </w:rPr>
            </w:pPr>
            <w:r w:rsidRPr="00B155A1">
              <w:rPr>
                <w:sz w:val="18"/>
                <w:szCs w:val="28"/>
              </w:rPr>
              <w:t>Indirect to UK and female-only.</w:t>
            </w:r>
          </w:p>
        </w:tc>
      </w:tr>
      <w:tr w:rsidR="00571F51" w:rsidRPr="00B155A1" w14:paraId="47F60B51" w14:textId="77777777" w:rsidTr="008406E6">
        <w:tc>
          <w:tcPr>
            <w:tcW w:w="1361" w:type="dxa"/>
          </w:tcPr>
          <w:p w14:paraId="589ECC0C" w14:textId="77777777" w:rsidR="00571F51" w:rsidRPr="00B155A1" w:rsidRDefault="00571F51" w:rsidP="008406E6">
            <w:pPr>
              <w:spacing w:line="276" w:lineRule="auto"/>
              <w:jc w:val="left"/>
              <w:rPr>
                <w:sz w:val="18"/>
                <w:szCs w:val="28"/>
              </w:rPr>
            </w:pPr>
            <w:r w:rsidRPr="00B155A1">
              <w:rPr>
                <w:sz w:val="18"/>
                <w:szCs w:val="28"/>
              </w:rPr>
              <w:t>Educational intervention</w:t>
            </w:r>
          </w:p>
        </w:tc>
        <w:tc>
          <w:tcPr>
            <w:tcW w:w="2268" w:type="dxa"/>
          </w:tcPr>
          <w:p w14:paraId="5F06DB5F" w14:textId="77777777" w:rsidR="00571F51" w:rsidRPr="00B155A1" w:rsidRDefault="00571F51" w:rsidP="008406E6">
            <w:pPr>
              <w:spacing w:line="276" w:lineRule="auto"/>
              <w:jc w:val="left"/>
              <w:rPr>
                <w:sz w:val="18"/>
                <w:szCs w:val="28"/>
              </w:rPr>
            </w:pPr>
            <w:r w:rsidRPr="00B155A1">
              <w:rPr>
                <w:sz w:val="18"/>
                <w:szCs w:val="28"/>
              </w:rPr>
              <w:t>All eight intervention studies reported improved post-intervention knowledge.</w:t>
            </w:r>
          </w:p>
        </w:tc>
        <w:tc>
          <w:tcPr>
            <w:tcW w:w="2268" w:type="dxa"/>
          </w:tcPr>
          <w:p w14:paraId="251AC4BF" w14:textId="77777777" w:rsidR="00571F51" w:rsidRPr="00B155A1" w:rsidRDefault="00571F51" w:rsidP="008406E6">
            <w:pPr>
              <w:spacing w:line="276" w:lineRule="auto"/>
              <w:jc w:val="left"/>
              <w:rPr>
                <w:sz w:val="18"/>
                <w:szCs w:val="28"/>
              </w:rPr>
            </w:pPr>
            <w:r w:rsidRPr="00B155A1">
              <w:rPr>
                <w:sz w:val="18"/>
                <w:szCs w:val="28"/>
              </w:rPr>
              <w:t>Magnitude and teaching formats differed; most studies lacked a control group.</w:t>
            </w:r>
          </w:p>
        </w:tc>
        <w:tc>
          <w:tcPr>
            <w:tcW w:w="1757" w:type="dxa"/>
          </w:tcPr>
          <w:p w14:paraId="0EFAA92F" w14:textId="77777777" w:rsidR="00571F51" w:rsidRPr="00B155A1" w:rsidRDefault="00571F51" w:rsidP="008406E6">
            <w:pPr>
              <w:spacing w:line="276" w:lineRule="auto"/>
              <w:jc w:val="left"/>
              <w:rPr>
                <w:sz w:val="18"/>
                <w:szCs w:val="28"/>
              </w:rPr>
            </w:pPr>
            <w:r w:rsidRPr="00B155A1">
              <w:rPr>
                <w:sz w:val="18"/>
                <w:szCs w:val="28"/>
              </w:rPr>
              <w:t>Strong consistency for short-term knowledge gain; weaker causal certainty.</w:t>
            </w:r>
          </w:p>
        </w:tc>
        <w:tc>
          <w:tcPr>
            <w:tcW w:w="1644" w:type="dxa"/>
          </w:tcPr>
          <w:p w14:paraId="413922BA" w14:textId="77777777" w:rsidR="00571F51" w:rsidRPr="00B155A1" w:rsidRDefault="00571F51" w:rsidP="008406E6">
            <w:pPr>
              <w:spacing w:line="276" w:lineRule="auto"/>
              <w:jc w:val="left"/>
              <w:rPr>
                <w:sz w:val="18"/>
                <w:szCs w:val="28"/>
              </w:rPr>
            </w:pPr>
            <w:r w:rsidRPr="00B155A1">
              <w:rPr>
                <w:sz w:val="18"/>
                <w:szCs w:val="28"/>
              </w:rPr>
              <w:t>Potentially transferable mechanism, not UK effectiveness evidence.</w:t>
            </w:r>
          </w:p>
        </w:tc>
      </w:tr>
      <w:tr w:rsidR="00571F51" w:rsidRPr="00B155A1" w14:paraId="776C2CD1" w14:textId="77777777" w:rsidTr="008406E6">
        <w:tc>
          <w:tcPr>
            <w:tcW w:w="1361" w:type="dxa"/>
          </w:tcPr>
          <w:p w14:paraId="451D02C9" w14:textId="77777777" w:rsidR="00571F51" w:rsidRPr="00B155A1" w:rsidRDefault="00571F51" w:rsidP="008406E6">
            <w:pPr>
              <w:spacing w:line="276" w:lineRule="auto"/>
              <w:jc w:val="left"/>
              <w:rPr>
                <w:sz w:val="18"/>
                <w:szCs w:val="28"/>
              </w:rPr>
            </w:pPr>
            <w:r w:rsidRPr="00B155A1">
              <w:rPr>
                <w:sz w:val="18"/>
                <w:szCs w:val="28"/>
              </w:rPr>
              <w:t>Knowledge-practice relationship</w:t>
            </w:r>
          </w:p>
        </w:tc>
        <w:tc>
          <w:tcPr>
            <w:tcW w:w="2268" w:type="dxa"/>
          </w:tcPr>
          <w:p w14:paraId="0500A321" w14:textId="77777777" w:rsidR="00571F51" w:rsidRPr="00B155A1" w:rsidRDefault="00571F51" w:rsidP="008406E6">
            <w:pPr>
              <w:spacing w:line="276" w:lineRule="auto"/>
              <w:jc w:val="left"/>
              <w:rPr>
                <w:sz w:val="18"/>
                <w:szCs w:val="28"/>
              </w:rPr>
            </w:pPr>
            <w:r w:rsidRPr="00B155A1">
              <w:rPr>
                <w:sz w:val="18"/>
                <w:szCs w:val="28"/>
              </w:rPr>
              <w:t>Knowledge alone did not reliably predict safer practice.</w:t>
            </w:r>
          </w:p>
        </w:tc>
        <w:tc>
          <w:tcPr>
            <w:tcW w:w="2268" w:type="dxa"/>
          </w:tcPr>
          <w:p w14:paraId="047ECEC2" w14:textId="77777777" w:rsidR="00571F51" w:rsidRPr="00B155A1" w:rsidRDefault="00571F51" w:rsidP="008406E6">
            <w:pPr>
              <w:spacing w:line="276" w:lineRule="auto"/>
              <w:jc w:val="left"/>
              <w:rPr>
                <w:sz w:val="18"/>
                <w:szCs w:val="28"/>
              </w:rPr>
            </w:pPr>
            <w:r w:rsidRPr="00B155A1">
              <w:rPr>
                <w:sz w:val="18"/>
                <w:szCs w:val="28"/>
              </w:rPr>
              <w:t>Sequera reported weak positive correlation; Joseph near-zero negative correlation.</w:t>
            </w:r>
          </w:p>
        </w:tc>
        <w:tc>
          <w:tcPr>
            <w:tcW w:w="1757" w:type="dxa"/>
          </w:tcPr>
          <w:p w14:paraId="0FCE8A92" w14:textId="77777777" w:rsidR="00571F51" w:rsidRPr="00B155A1" w:rsidRDefault="00571F51" w:rsidP="008406E6">
            <w:pPr>
              <w:spacing w:line="276" w:lineRule="auto"/>
              <w:jc w:val="left"/>
              <w:rPr>
                <w:sz w:val="18"/>
                <w:szCs w:val="28"/>
              </w:rPr>
            </w:pPr>
            <w:r w:rsidRPr="00B155A1">
              <w:rPr>
                <w:sz w:val="18"/>
                <w:szCs w:val="28"/>
              </w:rPr>
              <w:t>Limited but directly tested in two studies.</w:t>
            </w:r>
          </w:p>
        </w:tc>
        <w:tc>
          <w:tcPr>
            <w:tcW w:w="1644" w:type="dxa"/>
          </w:tcPr>
          <w:p w14:paraId="01A6CF52" w14:textId="77777777" w:rsidR="00571F51" w:rsidRPr="00B155A1" w:rsidRDefault="00571F51" w:rsidP="008406E6">
            <w:pPr>
              <w:spacing w:line="276" w:lineRule="auto"/>
              <w:jc w:val="left"/>
              <w:rPr>
                <w:sz w:val="18"/>
                <w:szCs w:val="28"/>
              </w:rPr>
            </w:pPr>
            <w:r w:rsidRPr="00B155A1">
              <w:rPr>
                <w:sz w:val="18"/>
                <w:szCs w:val="28"/>
              </w:rPr>
              <w:t>Requires UK adolescent testing.</w:t>
            </w:r>
          </w:p>
        </w:tc>
      </w:tr>
      <w:tr w:rsidR="00571F51" w:rsidRPr="00B155A1" w14:paraId="5EF6069B" w14:textId="77777777" w:rsidTr="008406E6">
        <w:tc>
          <w:tcPr>
            <w:tcW w:w="1361" w:type="dxa"/>
          </w:tcPr>
          <w:p w14:paraId="0C003854" w14:textId="77777777" w:rsidR="00571F51" w:rsidRPr="00B155A1" w:rsidRDefault="00571F51" w:rsidP="008406E6">
            <w:pPr>
              <w:spacing w:line="276" w:lineRule="auto"/>
              <w:jc w:val="left"/>
              <w:rPr>
                <w:sz w:val="18"/>
                <w:szCs w:val="28"/>
              </w:rPr>
            </w:pPr>
            <w:r w:rsidRPr="00B155A1">
              <w:rPr>
                <w:sz w:val="18"/>
                <w:szCs w:val="28"/>
              </w:rPr>
              <w:t>Contextual influences</w:t>
            </w:r>
          </w:p>
        </w:tc>
        <w:tc>
          <w:tcPr>
            <w:tcW w:w="2268" w:type="dxa"/>
          </w:tcPr>
          <w:p w14:paraId="7F7DAAD4" w14:textId="77777777" w:rsidR="00571F51" w:rsidRPr="00B155A1" w:rsidRDefault="00571F51" w:rsidP="008406E6">
            <w:pPr>
              <w:spacing w:line="276" w:lineRule="auto"/>
              <w:jc w:val="left"/>
              <w:rPr>
                <w:sz w:val="18"/>
                <w:szCs w:val="28"/>
              </w:rPr>
            </w:pPr>
            <w:r w:rsidRPr="00B155A1">
              <w:rPr>
                <w:sz w:val="18"/>
                <w:szCs w:val="28"/>
              </w:rPr>
              <w:t>Previous information, grade, family education, residence and UTI experience sometimes related to outcomes.</w:t>
            </w:r>
          </w:p>
        </w:tc>
        <w:tc>
          <w:tcPr>
            <w:tcW w:w="2268" w:type="dxa"/>
          </w:tcPr>
          <w:p w14:paraId="130F8FB0" w14:textId="77777777" w:rsidR="00571F51" w:rsidRPr="00B155A1" w:rsidRDefault="00571F51" w:rsidP="008406E6">
            <w:pPr>
              <w:spacing w:line="276" w:lineRule="auto"/>
              <w:jc w:val="left"/>
              <w:rPr>
                <w:sz w:val="18"/>
                <w:szCs w:val="28"/>
              </w:rPr>
            </w:pPr>
            <w:r w:rsidRPr="00B155A1">
              <w:rPr>
                <w:sz w:val="18"/>
                <w:szCs w:val="28"/>
              </w:rPr>
              <w:t>Associations were inconsistent across studies.</w:t>
            </w:r>
          </w:p>
        </w:tc>
        <w:tc>
          <w:tcPr>
            <w:tcW w:w="1757" w:type="dxa"/>
          </w:tcPr>
          <w:p w14:paraId="57081267" w14:textId="77777777" w:rsidR="00571F51" w:rsidRPr="00B155A1" w:rsidRDefault="00571F51" w:rsidP="008406E6">
            <w:pPr>
              <w:spacing w:line="276" w:lineRule="auto"/>
              <w:jc w:val="left"/>
              <w:rPr>
                <w:sz w:val="18"/>
                <w:szCs w:val="28"/>
              </w:rPr>
            </w:pPr>
            <w:r w:rsidRPr="00B155A1">
              <w:rPr>
                <w:sz w:val="18"/>
                <w:szCs w:val="28"/>
              </w:rPr>
              <w:t>Exploratory/moderate.</w:t>
            </w:r>
          </w:p>
        </w:tc>
        <w:tc>
          <w:tcPr>
            <w:tcW w:w="1644" w:type="dxa"/>
          </w:tcPr>
          <w:p w14:paraId="6BB6CD7C" w14:textId="77777777" w:rsidR="00571F51" w:rsidRPr="00B155A1" w:rsidRDefault="00571F51" w:rsidP="008406E6">
            <w:pPr>
              <w:spacing w:line="276" w:lineRule="auto"/>
              <w:jc w:val="left"/>
              <w:rPr>
                <w:sz w:val="18"/>
                <w:szCs w:val="28"/>
              </w:rPr>
            </w:pPr>
            <w:r w:rsidRPr="00B155A1">
              <w:rPr>
                <w:sz w:val="18"/>
                <w:szCs w:val="28"/>
              </w:rPr>
              <w:t>Context-sensitive; transfer cautiously.</w:t>
            </w:r>
          </w:p>
        </w:tc>
      </w:tr>
    </w:tbl>
    <w:p w14:paraId="1F684C31" w14:textId="77777777" w:rsidR="00571F51" w:rsidRDefault="00571F51" w:rsidP="00571F51">
      <w:pPr>
        <w:pStyle w:val="Heading2"/>
      </w:pPr>
      <w:bookmarkStart w:id="194" w:name="_Toc239678185"/>
      <w:bookmarkStart w:id="195" w:name="_Toc239679778"/>
      <w:bookmarkStart w:id="196" w:name="_Toc240927787"/>
      <w:r>
        <w:t>4.8 Findings in Relation to the Research Objectives</w:t>
      </w:r>
      <w:bookmarkEnd w:id="194"/>
      <w:bookmarkEnd w:id="195"/>
      <w:bookmarkEnd w:id="196"/>
    </w:p>
    <w:p w14:paraId="7F3FAC25" w14:textId="77777777" w:rsidR="00571F51" w:rsidRPr="00F90B26" w:rsidRDefault="00571F51" w:rsidP="00571F51">
      <w:r w:rsidRPr="00F90B26">
        <w:t>Objective 1 was related to UTI information accessibility, which is relevant. None of the included studies assessed a campaign in the UK. Evidence from the international field, however, indicated that schools and structured teaching can contribute to increasing knowledge. In Semwal and Sharma (2020), teachers were found to be a great source, while many respondents in Patel et al. (2020) did not have any prior information regarding UTI. Gains in knowledge after the school/college education period suggest that age-focused teaching could help in closing gaps in knowledge; however, this aspect would need to be evaluated separately in countries in the UK (Shikhare and Taksande, 2017; Banu, 2023).</w:t>
      </w:r>
    </w:p>
    <w:p w14:paraId="48BBF80F" w14:textId="77777777" w:rsidR="00571F51" w:rsidRPr="00F90B26" w:rsidRDefault="00571F51" w:rsidP="00571F51">
      <w:r w:rsidRPr="00F90B26">
        <w:t>The second objective was related to adolescent risk and contextual factors. The studies were primarily correlational, in terms of behaviours and context, and did not necessarily point to a single risk causal model. Vijayan et al. (2018) and Semwal and Sharma (2020) reported infrequent voiding, inadequate fluid intake and hygiene issues. Goda et al. (2025) identified family/health factors that were associated with the occurrence of a UTI. The present findings indicate that environment and routine should also be taken into account when assessing knowledge, rather than setting-specific associations as a universal risk.</w:t>
      </w:r>
    </w:p>
    <w:p w14:paraId="6E283196" w14:textId="299FEC5A" w:rsidR="00571F51" w:rsidRPr="00F90B26" w:rsidRDefault="00571F51" w:rsidP="00571F51">
      <w:r w:rsidRPr="00F90B26">
        <w:t>Addressing knowledge of preventive measures was aimed at Objective 3. Knowledge at base level was often inadequate (poor to moderate), while in some cases, it was high or fully adequate. However, good knowledge was found in only 13% (Joseph et al.</w:t>
      </w:r>
      <w:r w:rsidR="006804CD">
        <w:t>,</w:t>
      </w:r>
      <w:r w:rsidRPr="00F90B26">
        <w:t xml:space="preserve"> 2026), and Semwal and Sharma (2020) reported very low levels of prevention-related knowledge. There was a significant improvement following education in intervention studies (Al-Kotb et al., 2016; Pascal et al., 2019). Understanding is thus malleable but not necessarily sufficient without specific assistance.</w:t>
      </w:r>
    </w:p>
    <w:p w14:paraId="1703350A" w14:textId="77777777" w:rsidR="00571F51" w:rsidRPr="00F90B26" w:rsidRDefault="00571F51" w:rsidP="00571F51">
      <w:r w:rsidRPr="00F90B26">
        <w:t>Objective 4 analysed the linkage of knowledge, awareness and practice. Direct correlation tests were weak: r=0.10 in Sequera et al. (2021) and r=-0.011 in Joseph et al. (2026). Assessment of safer practice cannot therefore be made based on knowledge scores. The positive results from intervention studies have led to an increase in knowledge and some practices, but this does not prove that the change in knowledge led to change in behaviour. Objective 5 is about recommendations; the empirical evidence for which is presented in this chapter, and implications and recommendations for the UK context will be discussed in Chapter 5.</w:t>
      </w:r>
    </w:p>
    <w:p w14:paraId="711689AF" w14:textId="77777777" w:rsidR="00571F51" w:rsidRDefault="00571F51" w:rsidP="00571F51">
      <w:pPr>
        <w:pStyle w:val="Heading2"/>
      </w:pPr>
      <w:bookmarkStart w:id="197" w:name="_Toc239678186"/>
      <w:bookmarkStart w:id="198" w:name="_Toc239679779"/>
      <w:bookmarkStart w:id="199" w:name="_Toc240927788"/>
      <w:r>
        <w:t>4.9 Summary of Main Findings</w:t>
      </w:r>
      <w:bookmarkEnd w:id="197"/>
      <w:bookmarkEnd w:id="198"/>
      <w:bookmarkEnd w:id="199"/>
    </w:p>
    <w:p w14:paraId="08AD029A" w14:textId="77777777" w:rsidR="00571F51" w:rsidRPr="00B155A1" w:rsidRDefault="00571F51" w:rsidP="00571F51">
      <w:r w:rsidRPr="00F90B26">
        <w:t>Five findings arose: knowledge of adolescent UTIs was often limited or moderate, prevention education focused on hydration, toileting and hygiene was variable, structured education led to improved knowledge in the short term, and the knowledge base did not necessarily translate to safer practice, nor did all the following types of education, family or environmental factors be the same across all settings. This lack of geographic and gender directness is a major finding for the UK-focused review with no UK studies in the final 13 and a focus on girls only (Joseph et al., 2026; Goda et al., 2025; Sequera et al., 2021; Patel et al., 2020).</w:t>
      </w:r>
    </w:p>
    <w:p w14:paraId="70498384" w14:textId="77777777" w:rsidR="00571F51" w:rsidRDefault="00571F51" w:rsidP="00571F51">
      <w:pPr>
        <w:pStyle w:val="Heading2"/>
      </w:pPr>
      <w:bookmarkStart w:id="200" w:name="_Toc239678187"/>
      <w:bookmarkStart w:id="201" w:name="_Toc239679780"/>
      <w:bookmarkStart w:id="202" w:name="_Toc240927789"/>
      <w:r>
        <w:t>4.10 Chapter Summary</w:t>
      </w:r>
      <w:bookmarkEnd w:id="200"/>
      <w:bookmarkEnd w:id="201"/>
      <w:bookmarkEnd w:id="202"/>
    </w:p>
    <w:p w14:paraId="4F475A49" w14:textId="0778396C" w:rsidR="00571F51" w:rsidRDefault="00571F51" w:rsidP="00571F51">
      <w:r w:rsidRPr="00A65B2C">
        <w:t>The results were from 13 studies that included 3140 participants in India and Egypt. Of these, eight studies were educational / intervention studies, and five studies were descriptive / cross sectional. The synthesis revealed incomplete knowledge, inconsistent prevention practices, consistent education outcomes, and limited knowledge of practice translation and the influence of context. There was methodological variation; predominantly non-controlled interventions limited causal interpretations, and the lack of UK studies limited transferability. Still, findings of regular educational gains and practice gaps can leave a clear evidence base for Chapter 5 to critically analyse the findings for adolescent health in the UK, and implications, limitations and recommendations</w:t>
      </w:r>
      <w:r>
        <w:t>.</w:t>
      </w:r>
    </w:p>
    <w:p w14:paraId="2A3F9145" w14:textId="77777777" w:rsidR="00571F51" w:rsidRDefault="00571F51">
      <w:pPr>
        <w:spacing w:line="259" w:lineRule="auto"/>
        <w:jc w:val="left"/>
      </w:pPr>
      <w:r>
        <w:br w:type="page"/>
      </w:r>
    </w:p>
    <w:p w14:paraId="68590D60" w14:textId="77777777" w:rsidR="001F75BA" w:rsidRDefault="001F75BA" w:rsidP="001F75BA">
      <w:pPr>
        <w:pStyle w:val="Heading1"/>
      </w:pPr>
      <w:bookmarkStart w:id="203" w:name="_Toc240927790"/>
      <w:r>
        <w:t>CHAPTER 5: DISCUSSION, IMPLICATIONS AND CONCLUSION</w:t>
      </w:r>
      <w:bookmarkEnd w:id="203"/>
    </w:p>
    <w:p w14:paraId="3B630B38" w14:textId="77777777" w:rsidR="001F75BA" w:rsidRDefault="001F75BA" w:rsidP="001F75BA">
      <w:pPr>
        <w:pStyle w:val="Heading2"/>
      </w:pPr>
      <w:bookmarkStart w:id="204" w:name="_Toc240927791"/>
      <w:r>
        <w:t>5.1 Introduction</w:t>
      </w:r>
      <w:bookmarkEnd w:id="204"/>
    </w:p>
    <w:p w14:paraId="61B23A09" w14:textId="77777777" w:rsidR="001F75BA" w:rsidRDefault="001F75BA" w:rsidP="001F75BA">
      <w:r w:rsidRPr="0035199E">
        <w:t>The five interconnected findings that emerged from Chapter 4 were incomplete knowledge of UTI, inconsistent UTI prevention behaviours, short-term effects of structured education, knowledge-behaviour gap, and educational and social context. This chapter critically discusses and interprets those findings in the context of the UK public health context, the theoretical basis outlined in Chapter 2 and the research question and objectives. However, care should be taken as the 13 studies included were conducted in India and Egypt and included female adolescents only. The focus of the discussion thus turns to the knowledge that adolescents can be expected to possess and the knowledge they cannot be expected to possess, as well as their behaviour, and what considerations apply when determining whether they would be expected to possess a particular piece of knowledge or not.</w:t>
      </w:r>
    </w:p>
    <w:p w14:paraId="0D694B2E" w14:textId="77777777" w:rsidR="001F75BA" w:rsidRDefault="001F75BA" w:rsidP="001F75BA">
      <w:pPr>
        <w:pStyle w:val="Heading2"/>
      </w:pPr>
      <w:bookmarkStart w:id="205" w:name="_Toc240927792"/>
      <w:r>
        <w:t>5.2 Critical Discussion of the Main Findings</w:t>
      </w:r>
      <w:bookmarkEnd w:id="205"/>
    </w:p>
    <w:p w14:paraId="1B75EA5F" w14:textId="77777777" w:rsidR="001F75BA" w:rsidRDefault="001F75BA" w:rsidP="001F75BA">
      <w:pPr>
        <w:pStyle w:val="Heading3"/>
      </w:pPr>
      <w:bookmarkStart w:id="206" w:name="_Toc240927793"/>
      <w:r>
        <w:t>5.2.1 Incomplete and Uneven UTI Knowledge</w:t>
      </w:r>
      <w:bookmarkEnd w:id="206"/>
    </w:p>
    <w:p w14:paraId="15ACFD01" w14:textId="77777777" w:rsidR="001F75BA" w:rsidRDefault="001F75BA" w:rsidP="001F75BA">
      <w:r>
        <w:t>The first big discovery was that the knowledge about UTI among adolescents was often incomplete and uneven. In all observational and intervention studies, there was, in general, some awareness of UTI, but there were significant gaps in awareness regarding symptoms and risk factors for UTI and also regarding prevention (Al-Kotb et al., 2016; Semwal and Sharma, 2020; Patel et al., 2020). More recent studies also demonstrated that older adolescent groups or students who received health-related education did not have uniform and complete knowledge (Sequera et al., 2021; Baruah, 2023; Joseph et al., 2026). Understanding the word UTI means recognising the word and applying it to a situation, rather than having useful knowledge on how to lower the risk, recognising the warning signs and deciding when to seek professional help.</w:t>
      </w:r>
    </w:p>
    <w:p w14:paraId="2872D593" w14:textId="77777777" w:rsidR="001F75BA" w:rsidRDefault="001F75BA" w:rsidP="001F75BA">
      <w:r>
        <w:t>This is significant in the UK, as there is existing national information. Guidance from the NHS on hydration, regular bladder emptying, genital cleanliness and help-seeking, and age-specific guidance in children and young people under 16 (NHS, 2025; NICE, 2022). The public health issue is not just the question of whether information is available, but whether adolescents can access it, understand it and use it. NHS health-literacy work also focuses on information which is accessible and usable, not just information provision (NHS England Knowledge and Library Services, 2023b).</w:t>
      </w:r>
    </w:p>
    <w:p w14:paraId="58782372" w14:textId="77777777" w:rsidR="001F75BA" w:rsidRDefault="001F75BA" w:rsidP="001F75BA">
      <w:r>
        <w:t>But there is no evidence to warrant the assumption that there are similar gaps in the knowledge of adolescents in the UK as in India or Egypt. School health education and family communication and links to care vary from country to country. There were no studies included in this review that directly assessed the level of knowledge of UTIs within the UK in adolescents. The best answer, then, is that there is a recurring lack of knowledge in international research on adolescents, and the extent and nature of any lack of knowledge in the UK is unknown. This gap is significant, as there is clinical guidance in the UK, but limited evidence that adolescents can apply it to become knowledgeable.</w:t>
      </w:r>
    </w:p>
    <w:p w14:paraId="13F4AB5A" w14:textId="77777777" w:rsidR="001F75BA" w:rsidRDefault="001F75BA" w:rsidP="001F75BA">
      <w:pPr>
        <w:pStyle w:val="Heading3"/>
      </w:pPr>
      <w:bookmarkStart w:id="207" w:name="_Toc240927794"/>
      <w:r>
        <w:t>5.2.2 Preventive Practices and Everyday Self-Care</w:t>
      </w:r>
      <w:bookmarkEnd w:id="207"/>
    </w:p>
    <w:p w14:paraId="2C5E547E" w14:textId="77777777" w:rsidR="001F75BA" w:rsidRDefault="001F75BA" w:rsidP="001F75BA">
      <w:r>
        <w:t>The second finding related to everyday preventive practices. In the studies included, there was a consistent lack of consistent practice across a number of areas including 'hygiene of body' (hydration), 'timely voiding' (time to go to the toilet), 'hygiene of body' (perineal hygiene) and 'menstrual hygiene' (behaviour of the toilet) (Vijayan et al., 2018; Nofal et al., 2020; Semwal and Sharma, 2020). Observational evidence also showed that adolescents were able to provide some information but still described sub-optimal preventive routines (Sequera et al., 2021; Patel et al., 2020). Rather than focusing only on the recognition of symptoms, UTI prevention is integrated into everyday practices.</w:t>
      </w:r>
    </w:p>
    <w:p w14:paraId="39DC337A" w14:textId="77777777" w:rsidR="001F75BA" w:rsidRDefault="001F75BA" w:rsidP="001F75BA">
      <w:r>
        <w:t>The finding aligns with the general guidance provided by the NHS regarding fluids, not prolonging the time between urine and bowel movements, and hygiene of the genital areas, as well as seeking the necessary assistance (NHS, 2025). However, the evidence from the rest of the world should not be imported wholesale into the UK. Behaviours might be influenced differently by factors such as the availability of toilets, privacy, sanitation, family expectations and access to health care in the school. An action that seems like a lack of knowledge could actually be a lack of opportunity to act on knowledge. This is in keeping with COM-B: Behaviour is determined by Capability, Opportunity and Motivation (Michie, van Stralen and West, 2011).</w:t>
      </w:r>
    </w:p>
    <w:p w14:paraId="4FAF90A8" w14:textId="77777777" w:rsidR="001F75BA" w:rsidRDefault="001F75BA" w:rsidP="001F75BA">
      <w:r>
        <w:t>The self-care perspective also aids in interpretation. According to Orem's self-care theory, a set of activities that are essential to individual health and wellness, such as keeping the bladder empty, urinating, washing, cleaning, and monitoring symptoms and following professional guidance, become more the adolescent's responsibility as these activities become more routine (Hartweg and Metcalfe, 2022). Younger adolescents, however, may still need the support of parents and/or carers for information and access to care. The evidence thus suggests that the best prevention is to provide practical knowledge and supportive settings for adolescents, not that they can act on advice alone.</w:t>
      </w:r>
    </w:p>
    <w:p w14:paraId="1D4D65DC" w14:textId="77777777" w:rsidR="001F75BA" w:rsidRDefault="001F75BA" w:rsidP="001F75BA">
      <w:pPr>
        <w:pStyle w:val="Heading3"/>
      </w:pPr>
      <w:bookmarkStart w:id="208" w:name="_Toc240927795"/>
      <w:r>
        <w:t>5.2.3 Effect of Structured UTI Education</w:t>
      </w:r>
      <w:bookmarkEnd w:id="208"/>
    </w:p>
    <w:p w14:paraId="3D4960D2" w14:textId="77777777" w:rsidR="001F75BA" w:rsidRDefault="001F75BA" w:rsidP="001F75BA">
      <w:r>
        <w:t>The third finding was the sustained short-term gains in UTI knowledge after structured educational interventions. The teaching programmes, self-instructional modules, demonstrations and approaches generally resulted in better post-intervention knowledge (Al-Kotb et al., 2016; Shikhare and Taksande, 2017; Saji et al., 2018). Similar patterns were reported by Pascal et al. (2019), Nofal et al. (2020), Banu (2023) and Goda et al. (2025). The studies cited suggest that knowledge about UTIs among adolescents is amenable to change and that targeted education may fill some gaps in knowledge.</w:t>
      </w:r>
    </w:p>
    <w:p w14:paraId="43141F19" w14:textId="77777777" w:rsidR="001F75BA" w:rsidRDefault="001F75BA" w:rsidP="001F75BA">
      <w:r>
        <w:t>The conclusion of this is partly constrained by the study design. Many interventions employed one-group pre-test/post-test designs, which made it hard to distinguish the impact of the education from repeated testing, recall or other effects. A control group was provided by Banu (2023), and this comparison was better; however, this broader evidence utilised short follow-up. The review can therefore inform better short-term knowledge, but cannot be used to support the argument that education is a cure-all for UTI, a deterrent to recurrence or that it results in long-term behaviour change.</w:t>
      </w:r>
    </w:p>
    <w:p w14:paraId="75F9CE82" w14:textId="77777777" w:rsidR="001F75BA" w:rsidRDefault="001F75BA" w:rsidP="001F75BA">
      <w:r>
        <w:t>The results offer a justification for the evaluation of adolescent-oriented education in the UK, but do not support the assumption of the effectiveness of an imported programme. NHS England's health and digital literacy pilots demonstrate the use of co-designed, accessible approaches with young people, but this was not UTI-specific (NHS England Knowledge and Library Services, 2023a). All interventions for UTIs should be tailored to the guidance in the UK, adapted to age-appropriate care pathways and UTI services, and assessed for behaviour and help-seeking, as well as knowledge.</w:t>
      </w:r>
    </w:p>
    <w:p w14:paraId="0B74358F" w14:textId="77777777" w:rsidR="001F75BA" w:rsidRDefault="001F75BA" w:rsidP="001F75BA">
      <w:pPr>
        <w:pStyle w:val="Heading3"/>
      </w:pPr>
      <w:bookmarkStart w:id="209" w:name="_Toc240927796"/>
      <w:r>
        <w:t>5.2.4 The Knowledge-Practice Gap</w:t>
      </w:r>
      <w:bookmarkEnd w:id="209"/>
    </w:p>
    <w:p w14:paraId="04376AD2" w14:textId="77777777" w:rsidR="001F75BA" w:rsidRDefault="001F75BA" w:rsidP="001F75BA">
      <w:r>
        <w:t>The fourth was that there was not always a link between better knowledge and safer preventive practice. Sequera et al. (2021) and Joseph et al. (2026) investigated the link between knowledge and behaviour directly, with few studies showing that better knowledge leads to safer behaviour. Patel et al. (2020) and Semwal and Sharma (2020) also demonstrated that there is a mismatch between knowledge and preventive practices. This questions the simplicity of an information deficit model that presumes that providing adolescents with more information translates to healthier behaviour without any processes.</w:t>
      </w:r>
    </w:p>
    <w:p w14:paraId="5D09B2C9" w14:textId="77777777" w:rsidR="001F75BA" w:rsidRDefault="001F75BA" w:rsidP="001F75BA">
      <w:r>
        <w:t>One explanation is health literacy: If an adolescent cannot determine the importance of the information or how to use it in real life, it is not likely to have much of a preventive effect. The other half of the story is as COM-B explains: Knowledge leads to capability, but behaviour also requires opportunity and motivation (Michie, van Stralen and West, 2011). An adolescent might be aware that drinking enough fluids or going to the bathroom on time is desirable, but may be hindered by tight school schedules, embarrassment, not knowing what to do if they need to use the bathroom, or not having easy access to toilets.</w:t>
      </w:r>
    </w:p>
    <w:p w14:paraId="581CA136" w14:textId="77777777" w:rsidR="001F75BA" w:rsidRDefault="001F75BA" w:rsidP="001F75BA">
      <w:r>
        <w:t>The Theoretical Domains Framework extends this definition to highlight the role of knowledge, skills, beliefs, social influences, emotions and environmental context (Dyson and Cowdell, 2021). Experience is also explored through communication and service context in the research on adult recurrent UTIs in the UK (Newlands et al., 2026), but can be considered as indirect evidence of the adolescent experience. It seems that adolescent UTI interventions should not be limited to information leaflets. They should ensure that people recognise their symptoms, they have access to age-appropriate care, they are confident, and they can be helped to prevent symptoms (NICE, 2022; NHS, 2025).</w:t>
      </w:r>
    </w:p>
    <w:p w14:paraId="5D616670" w14:textId="77777777" w:rsidR="001F75BA" w:rsidRDefault="001F75BA" w:rsidP="001F75BA">
      <w:pPr>
        <w:pStyle w:val="Heading3"/>
      </w:pPr>
      <w:bookmarkStart w:id="210" w:name="_Toc240927797"/>
      <w:r>
        <w:t>5.2.5 Educational, Social and Environmental Context</w:t>
      </w:r>
      <w:bookmarkEnd w:id="210"/>
    </w:p>
    <w:p w14:paraId="7CA3BE03" w14:textId="77777777" w:rsidR="001F75BA" w:rsidRDefault="001F75BA" w:rsidP="001F75BA">
      <w:r>
        <w:t>The fifth was the influence of the educational, social and environmental context, but the association was not uniform across all studies. The facts about previous exposure to UTI information, school grade, family education, residence, sanitation and previous UTI experience were associated with outcome in some samples, while others did not see the same association (Semwal and Sharma, 2020; Baruah, 2023; Goda et al., 2025). Joseph et al. (2026) also proposed that prior knowledge and educational background may impact students' learning, and given that no single determinant emerged from the synthesis, it is worth considering.</w:t>
      </w:r>
    </w:p>
    <w:p w14:paraId="30BD6570" w14:textId="77777777" w:rsidR="001F75BA" w:rsidRDefault="001F75BA" w:rsidP="001F75BA">
      <w:r>
        <w:t>This variation questions the approach to UTI prevention based on personal knowledge alone. Adolescents are an age group in which autonomy and health decision-making have not fully developed (WHO, 2024). The interaction between family support, school environments, access to trusted information and services, and knowledge may therefore be expected. The discovery also underscores the importance of local adaptation, as the factors in India and Egypt might not be the same in the UK.</w:t>
      </w:r>
    </w:p>
    <w:p w14:paraId="6CE94656" w14:textId="77777777" w:rsidR="001F75BA" w:rsidRDefault="001F75BA" w:rsidP="001F75BA">
      <w:r>
        <w:t>A multi-setting approach is therefore more defensible in UK practice than a single communication channel. Education can be provided at school, and NHS digital resources and primary care, community pharmacy and sexual-health services can support different ages and needs. NHS health-literacy approaches already highlight co-design and communication with young people that is accessible (NHS England Knowledge and Library Services, 2023a). No included study tested a UTI-specific pathway in adolescents in the UK; however, implementation should be based on local evaluation.</w:t>
      </w:r>
    </w:p>
    <w:p w14:paraId="4C3C4A7A" w14:textId="77777777" w:rsidR="001F75BA" w:rsidRDefault="001F75BA" w:rsidP="001F75BA">
      <w:pPr>
        <w:pStyle w:val="Heading2"/>
      </w:pPr>
      <w:bookmarkStart w:id="211" w:name="_Toc240927798"/>
      <w:r>
        <w:t>5.3 Findings in Relation to the Research Question and Objectives</w:t>
      </w:r>
      <w:bookmarkEnd w:id="211"/>
    </w:p>
    <w:p w14:paraId="40020043" w14:textId="77777777" w:rsidR="001F75BA" w:rsidRDefault="001F75BA" w:rsidP="001F75BA">
      <w:r>
        <w:t>The research question was: what factors affect knowledge, awareness and preventive practice around UTI in adolescents between the age of 10-19 years in the UK? The review can only answer this indirectly, as none of the last 13 studies was UK-based. The synthesis, however, clearly reveals a consistent set of possible influences, including: level of UTI knowledge, opportunities for structured learning, ongoing self-care behaviours, confidence in using information, and opportunities for learning, social and environmental experiences for adolescents.</w:t>
      </w:r>
    </w:p>
    <w:p w14:paraId="27D0F14B" w14:textId="77777777" w:rsidR="001F75BA" w:rsidRDefault="001F75BA" w:rsidP="001F75BA">
      <w:r>
        <w:t>Some progress was made in meeting objective 1 (Accessibility and relevance of public-health information and awareness-raising). The studies identified that education improves knowledge, with no study assessing the impact of a UK adolescent UTI campaign. It is important to note that UK health-literacy initiatives do not offer direct evidence of the effectiveness for UTI; rather, they provide context (NHS England Knowledge and Library Services, 2023a). Objective 2 was delivered with caution as behavioural and contextual factors were identified, although in an international context. The studies directly addressed preventive knowledge, and Objective 3 was met. Objective 4 was also achieved as knowledge did not always account for safer practice (Sequera et al., 2021; Joseph et al., 2026). Objective 5 is addressed through the recommendations below.</w:t>
      </w:r>
    </w:p>
    <w:p w14:paraId="15C593C1" w14:textId="77777777" w:rsidR="001F75BA" w:rsidRDefault="001F75BA" w:rsidP="001F75BA">
      <w:r>
        <w:t>In summary, adolescent UTI prevention seems to rely on various influences of informational, behavioural and contextual factors. These should be used as evidence-based hypotheses about adolescent behaviour in the UK not as UK adolescent behaviour estimates. Another implication is that the lack of direct evidence in the UK limits applicability to all objectives; the review suggests mechanisms that could be relevant in the UK, but does not indicate prevalence or relative importance in UK schools, families or healthcare settings.</w:t>
      </w:r>
    </w:p>
    <w:p w14:paraId="57C20DDB" w14:textId="77777777" w:rsidR="001F75BA" w:rsidRDefault="001F75BA" w:rsidP="001F75BA">
      <w:pPr>
        <w:pStyle w:val="Heading2"/>
      </w:pPr>
      <w:bookmarkStart w:id="212" w:name="_Toc240927799"/>
      <w:r>
        <w:t>5.4 Implications and Evidence-Based Recommendations</w:t>
      </w:r>
      <w:bookmarkEnd w:id="212"/>
    </w:p>
    <w:p w14:paraId="4A9A73FB" w14:textId="77777777" w:rsidR="001F75BA" w:rsidRDefault="001F75BA" w:rsidP="001F75BA">
      <w:r>
        <w:t>The findings have a number of implications for UK public health and practice. Information about adolescent UTI should be age-appropriate, relevant to the current NHS and NICE guidance and useful. NHS (2025) and NICE (2022) suggest that core messages should cover: symptom recognition, hydration, prompt voiding, genital hygiene, help-seeking and that suspected infection may require professional assessment. Information needs should take developmental differences into account, as younger adolescents might need to rely more heavily on parents/carers and older adolescents on adult or pharmacy routes.</w:t>
      </w:r>
    </w:p>
    <w:p w14:paraId="226053D4" w14:textId="77777777" w:rsidR="001F75BA" w:rsidRDefault="001F75BA" w:rsidP="001F75BA">
      <w:r>
        <w:t>Second, shift away from an education that focuses on “knowledge only.” Structured teaching could enhance short-term knowledge, but the knowledge-practice gap indicates that there is a need for more than information. They should involve developing the skills, boosting confidence, scenario-led decision-making and clear pathways to care. This aligns with COM-B as it focuses on capability, opportunity and motivation (Michie, van Stralen and West, 2011). It also aligns with NHS health-literacy guidance: 'access, assess and use' information (NHS England Knowledge and Library Services, 2023b).</w:t>
      </w:r>
    </w:p>
    <w:p w14:paraId="647CB837" w14:textId="77777777" w:rsidR="001F75BA" w:rsidRDefault="001F75BA" w:rsidP="001F75BA">
      <w:r>
        <w:t>Thirdly, communication should be through trusted settings. The obvious choice is schools, but there are a number of NHS digital resources, primary care, community pharmacy, sexual-health services and family/carer communication that could help different groups in schools. Incorporating co-design with young people would help to ensure delivery and language are acceptable and would support NHS youth health-literacy work (NHS England Knowledge and Library Services, 2023a).</w:t>
      </w:r>
    </w:p>
    <w:p w14:paraId="1FB40BC5" w14:textId="77777777" w:rsidR="001F75BA" w:rsidRDefault="001F75BA" w:rsidP="001F75BA">
      <w:r>
        <w:t>Fourth, before the large-scale implementation of any UK programme, it should be assessed. The review indicates that interventions that are developed in India or Egypt will not have the same effect in the UK. Pilot studies should involve adolescents aged 10-19 years, including girls as well as boys. Evaluation should include immediate knowledge, preventive behaviour, confidence, retention of knowledge, and/or identification of help-seeking, with longer-term outcomes, if possible. This would directly address the principal evidence gap identified by the review.</w:t>
      </w:r>
    </w:p>
    <w:p w14:paraId="59344CB9" w14:textId="77777777" w:rsidR="001F75BA" w:rsidRDefault="001F75BA" w:rsidP="001F75BA">
      <w:pPr>
        <w:pStyle w:val="Heading2"/>
      </w:pPr>
      <w:bookmarkStart w:id="213" w:name="_Toc240927800"/>
      <w:r>
        <w:t>5.5 Strengths, Limitations and Future Research</w:t>
      </w:r>
      <w:bookmarkEnd w:id="213"/>
    </w:p>
    <w:p w14:paraId="46702BF9" w14:textId="77777777" w:rsidR="001F75BA" w:rsidRDefault="001F75BA" w:rsidP="001F75BA">
      <w:r>
        <w:t>An important asset of the review was the systematic approach focusing on adolescent UTI knowledge and prevention, which involved 13 empirical studies including both observational and intervention studies. The synthesis also separated international adolescent evidence from broader UK contextual evidence to minimise the likelihood of presenting findings from adults or services as being representative of adolescents. Transparent interpretation was further aided by the use of design-specific appraisal and thematic synthesis.</w:t>
      </w:r>
    </w:p>
    <w:p w14:paraId="5853D655" w14:textId="77777777" w:rsidR="001F75BA" w:rsidRDefault="001F75BA" w:rsidP="001F75BA">
      <w:r>
        <w:t>The restrictions are not to be taken lightly. There was limited geographical and gender transferability as none of the final studies was undertaken in the UK and all participants were female. Outcome measures were quite variable, some behaviours were self-reported, and many intervention studies were of short duration or lacked control groups. The review was also carried out by one reviewer only, which means there is a higher risk of selection, appraisal or extraction error. Furthermore, limiting evidence by date, language and accessible full text may have missed relevant evidence.</w:t>
      </w:r>
    </w:p>
    <w:p w14:paraId="235263C8" w14:textId="77777777" w:rsidR="001F75BA" w:rsidRDefault="001F75BA" w:rsidP="001F75BA">
      <w:r>
        <w:t>Future studies should focus on representative UK studies of adolescents, 10-19 years old, girls and boys and, wherever possible, analysis by age group. There is a need for validated, comparable measures of UTI knowledge, health literacy and preventive behaviour and help-seeking. Further research is needed to determine if knowledge gains result in long-term behaviour change and appropriate service use and to reduce UTI risk, through longitudinal and controlled intervention studies. Embarrassment, confidence, school toilet access, and family communication and use of digital information from the perspective of adolescents could also be explored in qualitative work. Younger and older adolescents should be compared in studies, as the age range will span different levels of autonomy and UK pathways to care.</w:t>
      </w:r>
    </w:p>
    <w:p w14:paraId="2ACAAE86" w14:textId="77777777" w:rsidR="001F75BA" w:rsidRDefault="001F75BA" w:rsidP="001F75BA">
      <w:pPr>
        <w:pStyle w:val="Heading2"/>
      </w:pPr>
      <w:bookmarkStart w:id="214" w:name="_Toc240927801"/>
      <w:r>
        <w:t>5.6 Conclusion</w:t>
      </w:r>
      <w:bookmarkEnd w:id="214"/>
    </w:p>
    <w:p w14:paraId="76F3F12D" w14:textId="179C2A1C" w:rsidR="00571F51" w:rsidRPr="00B155A1" w:rsidRDefault="001F75BA" w:rsidP="00571F51">
      <w:r w:rsidRPr="0035199E">
        <w:t>This systematic review suggests that prevention of UTI in adolescents is a more complex issue than an information problem. In the 13 studies included, knowledge was frequently incomplete, and preventive practices were also not consistent; in structured education, short-term knowledge was often improved. Better knowledge did not always lead to safer behaviours, however, which suggests that there are other factors to consider such as confidence, opportunity, daily routines, and social context. The results are consistent with health-literacy and self-efficacy and COM-B models but cannot be interpreted as direct estimates of UK adolescent behaviour since the final studies were all run in India or Egypt, and were all focused on female participants. The appropriate UK answer to this is to encourage age-appropriate practical UTI information, pilot it with a variety of adolescent age groups (10-19 years) and assess the resulting knowledge transfer and the onset of sustained preventive activity and help-seeking. Recommendations should be based on evidence and existing clinical advice until then, and be proportionate.</w:t>
      </w:r>
    </w:p>
    <w:p w14:paraId="01EA24A3" w14:textId="77777777" w:rsidR="00C72398" w:rsidRPr="000059FF" w:rsidRDefault="00C72398" w:rsidP="00504F58"/>
    <w:p w14:paraId="7025C595" w14:textId="77777777" w:rsidR="008A5861" w:rsidRDefault="008A5861">
      <w:pPr>
        <w:spacing w:line="259" w:lineRule="auto"/>
        <w:jc w:val="left"/>
        <w:rPr>
          <w:rFonts w:eastAsia="Times New Roman"/>
          <w:b/>
          <w:bCs/>
          <w:color w:val="FFFFFF" w:themeColor="background1"/>
          <w:sz w:val="32"/>
          <w:szCs w:val="32"/>
        </w:rPr>
      </w:pPr>
      <w:bookmarkStart w:id="215" w:name="_Toc239679793"/>
      <w:r>
        <w:br w:type="page"/>
      </w:r>
    </w:p>
    <w:p w14:paraId="05B1740A" w14:textId="6013BC25" w:rsidR="002226B0" w:rsidRDefault="00FC4F01" w:rsidP="008A5861">
      <w:pPr>
        <w:pStyle w:val="Heading1"/>
      </w:pPr>
      <w:bookmarkStart w:id="216" w:name="_Toc240927802"/>
      <w:r w:rsidRPr="000059FF">
        <w:t>REFERENCES</w:t>
      </w:r>
      <w:bookmarkEnd w:id="215"/>
      <w:bookmarkEnd w:id="216"/>
    </w:p>
    <w:p w14:paraId="4CB4BE3D" w14:textId="77777777" w:rsidR="001A423D" w:rsidRDefault="001A423D" w:rsidP="006F05BE">
      <w:pPr>
        <w:pStyle w:val="ListParagraph"/>
        <w:numPr>
          <w:ilvl w:val="0"/>
          <w:numId w:val="2"/>
        </w:numPr>
        <w:spacing w:after="100"/>
      </w:pPr>
      <w:r>
        <w:t xml:space="preserve">Agostino, H. and Toulany, A. (2023). Considerations for privacy and confidentiality in adolescent health care service delivery. </w:t>
      </w:r>
      <w:r w:rsidRPr="006F05BE">
        <w:rPr>
          <w:i/>
        </w:rPr>
        <w:t>Paediatrics &amp; Child Health</w:t>
      </w:r>
      <w:r>
        <w:t>, 28(3), pp.172–177. doi:10.1093/pch/pxac117.</w:t>
      </w:r>
    </w:p>
    <w:p w14:paraId="4CF31442" w14:textId="77777777" w:rsidR="001A423D" w:rsidRDefault="001A423D" w:rsidP="006F05BE">
      <w:pPr>
        <w:pStyle w:val="ListParagraph"/>
        <w:numPr>
          <w:ilvl w:val="0"/>
          <w:numId w:val="2"/>
        </w:numPr>
        <w:spacing w:after="100"/>
      </w:pPr>
      <w:r>
        <w:t xml:space="preserve">Agrawal, S., Harvie, H., Flick, L., Parikh, R.B., Andy, U.U. and Arya, L. (2024). Patient perspectives on treatment and prevention of recurrent urinary tract infections: a focus group study. </w:t>
      </w:r>
      <w:r w:rsidRPr="006F05BE">
        <w:rPr>
          <w:i/>
        </w:rPr>
        <w:t>International Urogynecology Journal</w:t>
      </w:r>
      <w:r>
        <w:t>, 35(2), pp.381–389. doi:10.1007/s00192-023-05682-3.</w:t>
      </w:r>
    </w:p>
    <w:p w14:paraId="245D099C" w14:textId="77777777" w:rsidR="001A423D" w:rsidRDefault="001A423D" w:rsidP="006F05BE">
      <w:pPr>
        <w:pStyle w:val="ListParagraph"/>
        <w:numPr>
          <w:ilvl w:val="0"/>
          <w:numId w:val="2"/>
        </w:numPr>
        <w:spacing w:after="100"/>
      </w:pPr>
      <w:r>
        <w:t xml:space="preserve">Alhazmi, S.M., Khormi, M.A., Halawi, N.G., Al-Abdulmughni, R.A. et al. (2026). Risk Factors for Recurrent Urinary Tract Infections in Female Patients: A Systematic Review of Behavioral and Gynecologic Determinants. </w:t>
      </w:r>
      <w:r w:rsidRPr="006F05BE">
        <w:rPr>
          <w:i/>
        </w:rPr>
        <w:t>Cureus</w:t>
      </w:r>
      <w:r>
        <w:t>, 18(5), e108846. doi:10.7759/cureus.108846.</w:t>
      </w:r>
    </w:p>
    <w:p w14:paraId="20467326" w14:textId="77777777" w:rsidR="001A423D" w:rsidRPr="001A423D" w:rsidRDefault="001A423D" w:rsidP="006F05BE">
      <w:pPr>
        <w:pStyle w:val="ListParagraph"/>
        <w:numPr>
          <w:ilvl w:val="0"/>
          <w:numId w:val="2"/>
        </w:numPr>
        <w:spacing w:after="100"/>
      </w:pPr>
      <w:r w:rsidRPr="001A423D">
        <w:t xml:space="preserve">Aliabadi, S., Anyanwu, P., Beech, E., Jauneikaite, E., Wilson, P., Hope, R., Majeed, A., Muller-Pebody, B. and Costelloe, C. (2021). Effect of antibiotic stewardship interventions in primary care on antimicrobial resistance of Escherichia coli bacteraemia in England (2013–18): a quasi-experimental, ecological, data linkage study. </w:t>
      </w:r>
      <w:r w:rsidRPr="006F05BE">
        <w:rPr>
          <w:i/>
          <w:iCs/>
        </w:rPr>
        <w:t>The Lancet Infectious Diseases</w:t>
      </w:r>
      <w:r w:rsidRPr="001A423D">
        <w:t>, 21(12). doi:10.1016/S1473-3099(21)00069-4.</w:t>
      </w:r>
    </w:p>
    <w:p w14:paraId="49BC4B9A" w14:textId="77777777" w:rsidR="001A423D" w:rsidRPr="001A423D" w:rsidRDefault="001A423D" w:rsidP="006F05BE">
      <w:pPr>
        <w:pStyle w:val="ListParagraph"/>
        <w:numPr>
          <w:ilvl w:val="0"/>
          <w:numId w:val="2"/>
        </w:numPr>
        <w:spacing w:after="100"/>
      </w:pPr>
      <w:r w:rsidRPr="001A423D">
        <w:t xml:space="preserve">Al-Kotb, H., Elbahnasawy, H.T., El Nagar, S.A. and Ghabyen, N.S. (2016). ‘Prevention for Genitourinary Tract Infection among Female Adolescents Students’, </w:t>
      </w:r>
      <w:r w:rsidRPr="006F05BE">
        <w:rPr>
          <w:i/>
          <w:iCs/>
        </w:rPr>
        <w:t>IOSR Journal of Nursing and Health Science</w:t>
      </w:r>
      <w:r w:rsidRPr="001A423D">
        <w:t>, 5(4), pp. 12–18. doi:10.9790/1959-0504031218.</w:t>
      </w:r>
    </w:p>
    <w:p w14:paraId="57AD21C5" w14:textId="77777777" w:rsidR="001A423D" w:rsidRPr="001A423D" w:rsidRDefault="001A423D" w:rsidP="006F05BE">
      <w:pPr>
        <w:pStyle w:val="ListParagraph"/>
        <w:numPr>
          <w:ilvl w:val="0"/>
          <w:numId w:val="2"/>
        </w:numPr>
        <w:spacing w:after="100"/>
      </w:pPr>
      <w:r w:rsidRPr="001A423D">
        <w:t>Aromataris, E., Lockwood, C., Porritt, K., Pilla, B. and Jordan, Z. (eds.) (2024). JBI Manual for Evidence Synthesis. Adelaide: JBI.</w:t>
      </w:r>
    </w:p>
    <w:p w14:paraId="27F55FB4" w14:textId="77777777" w:rsidR="001A423D" w:rsidRDefault="001A423D" w:rsidP="006F05BE">
      <w:pPr>
        <w:pStyle w:val="ListParagraph"/>
        <w:numPr>
          <w:ilvl w:val="0"/>
          <w:numId w:val="2"/>
        </w:numPr>
        <w:spacing w:after="100"/>
      </w:pPr>
      <w:r>
        <w:t xml:space="preserve">Bakhit, M., Krzyzaniak, N., Hilder, J., Clark, J., Scott, A.M. and Del Mar, C. (2021). Use of methenamine hippurate to prevent urinary tract infections in community adult women: a systematic review and meta-analysis. </w:t>
      </w:r>
      <w:r w:rsidRPr="006F05BE">
        <w:rPr>
          <w:i/>
        </w:rPr>
        <w:t>British Journal of General Practice</w:t>
      </w:r>
      <w:r>
        <w:t>, 71(708), pp.e528–e537. doi:10.3399/BJGP.2020.0833.</w:t>
      </w:r>
    </w:p>
    <w:p w14:paraId="0B654DC4" w14:textId="77777777" w:rsidR="001A423D" w:rsidRPr="001A423D" w:rsidRDefault="001A423D" w:rsidP="006F05BE">
      <w:pPr>
        <w:pStyle w:val="ListParagraph"/>
        <w:numPr>
          <w:ilvl w:val="0"/>
          <w:numId w:val="2"/>
        </w:numPr>
        <w:spacing w:after="100"/>
      </w:pPr>
      <w:r w:rsidRPr="001A423D">
        <w:t xml:space="preserve">Banu, N. (2023). ‘A Study to Determine the Effectiveness of Planned Teaching Programme on Knowledge regarding Prevention of Urinary Tract Infection among Adolescent Girls at Selected Colleges in Gulbarga’, </w:t>
      </w:r>
      <w:r w:rsidRPr="006F05BE">
        <w:rPr>
          <w:i/>
          <w:iCs/>
        </w:rPr>
        <w:t>A and V Pub Journal of Nursing and Medical Research</w:t>
      </w:r>
      <w:r w:rsidRPr="001A423D">
        <w:t>, 2(2), pp. 38–45. doi:10.52711/jnmr.2023.11.</w:t>
      </w:r>
    </w:p>
    <w:p w14:paraId="486515B8" w14:textId="77777777" w:rsidR="001A423D" w:rsidRPr="001A423D" w:rsidRDefault="001A423D" w:rsidP="006F05BE">
      <w:pPr>
        <w:pStyle w:val="ListParagraph"/>
        <w:numPr>
          <w:ilvl w:val="0"/>
          <w:numId w:val="2"/>
        </w:numPr>
        <w:spacing w:after="100"/>
      </w:pPr>
      <w:r w:rsidRPr="001A423D">
        <w:t xml:space="preserve">Baruah, A.P. (2023). ‘Knowledge on Urinary Tract Infection among the Adolescent Girls of Age Group 13–16 Years in Carmel School, Digboi, Tinsukia, Assam’, </w:t>
      </w:r>
      <w:r w:rsidRPr="006F05BE">
        <w:rPr>
          <w:i/>
          <w:iCs/>
        </w:rPr>
        <w:t>Asian Journal of Nursing Education and Research</w:t>
      </w:r>
      <w:r w:rsidRPr="001A423D">
        <w:t>, 13(4), pp. 265–270. doi:10.52711/2349-2996.2023.00055.</w:t>
      </w:r>
    </w:p>
    <w:p w14:paraId="68FF128D" w14:textId="77777777" w:rsidR="001A423D" w:rsidRPr="001A423D" w:rsidRDefault="001A423D" w:rsidP="006F05BE">
      <w:pPr>
        <w:pStyle w:val="ListParagraph"/>
        <w:numPr>
          <w:ilvl w:val="0"/>
          <w:numId w:val="2"/>
        </w:numPr>
        <w:spacing w:after="100"/>
      </w:pPr>
      <w:r w:rsidRPr="001A423D">
        <w:t xml:space="preserve">Belur, J., Tompson, L., Thornton, A. and Simon, M. (2021). Interrater reliability in systematic review methodology: exploring variation in coder decision-making. </w:t>
      </w:r>
      <w:r w:rsidRPr="006F05BE">
        <w:rPr>
          <w:i/>
          <w:iCs/>
        </w:rPr>
        <w:t>Sociological Methods &amp; Research</w:t>
      </w:r>
      <w:r w:rsidRPr="001A423D">
        <w:t>, 50(2), pp.837–865. doi:10.1177/0049124118799372.</w:t>
      </w:r>
    </w:p>
    <w:p w14:paraId="1C779BD8" w14:textId="77777777" w:rsidR="001A423D" w:rsidRDefault="001A423D" w:rsidP="006F05BE">
      <w:pPr>
        <w:pStyle w:val="ListParagraph"/>
        <w:numPr>
          <w:ilvl w:val="0"/>
          <w:numId w:val="2"/>
        </w:numPr>
        <w:spacing w:after="100"/>
      </w:pPr>
      <w:r>
        <w:t xml:space="preserve">Bjønness, S., Grønnestad, T. and Storm, M. (2020). I'm not a diagnosis: Adolescents' perspectives on user participation and shared decision-making in mental healthcare. </w:t>
      </w:r>
      <w:r w:rsidRPr="006F05BE">
        <w:rPr>
          <w:i/>
        </w:rPr>
        <w:t>Scandinavian Journal of Child and Adolescent Psychiatry and Psychology</w:t>
      </w:r>
      <w:r>
        <w:t>, 8, pp.139–148. doi:10.21307/sjcapp-2020-014.</w:t>
      </w:r>
    </w:p>
    <w:p w14:paraId="33A2612C" w14:textId="77777777" w:rsidR="001A423D" w:rsidRDefault="001A423D" w:rsidP="006F05BE">
      <w:pPr>
        <w:pStyle w:val="ListParagraph"/>
        <w:numPr>
          <w:ilvl w:val="0"/>
          <w:numId w:val="2"/>
        </w:numPr>
        <w:spacing w:after="100"/>
      </w:pPr>
      <w:r>
        <w:t xml:space="preserve">Boon, H.A., Van den Bruel, A., Struyf, T., Gillemot, A., Bullens, D. and Verbakel, J.Y. (2021). Clinical Features for the Diagnosis of Pediatric Urinary Tract Infections: Systematic Review and Meta-Analysis. </w:t>
      </w:r>
      <w:r w:rsidRPr="006F05BE">
        <w:rPr>
          <w:i/>
        </w:rPr>
        <w:t>Annals of Family Medicine</w:t>
      </w:r>
      <w:r>
        <w:t>, 19(5), pp.437–446. doi:10.1370/afm.2684.</w:t>
      </w:r>
    </w:p>
    <w:p w14:paraId="77769532" w14:textId="77777777" w:rsidR="001A423D" w:rsidRDefault="001A423D" w:rsidP="006F05BE">
      <w:pPr>
        <w:pStyle w:val="ListParagraph"/>
        <w:numPr>
          <w:ilvl w:val="0"/>
          <w:numId w:val="2"/>
        </w:numPr>
        <w:spacing w:after="100"/>
      </w:pPr>
      <w:r>
        <w:t xml:space="preserve">Bramer, W.M., de Jonge, G.B., Rethlefsen, M.L., Mast, F. and Kleijnen, J. (2018). A systematic approach to searching: an efficient and complete method to develop literature searches. </w:t>
      </w:r>
      <w:r w:rsidRPr="006F05BE">
        <w:rPr>
          <w:i/>
        </w:rPr>
        <w:t>Journal of the Medical Library Association</w:t>
      </w:r>
      <w:r>
        <w:t>, 106(4), pp.531–541. doi:10.5195/jmla.2018.283.</w:t>
      </w:r>
    </w:p>
    <w:p w14:paraId="1B46928E" w14:textId="77777777" w:rsidR="001A423D" w:rsidRPr="001A423D" w:rsidRDefault="001A423D" w:rsidP="006F05BE">
      <w:pPr>
        <w:pStyle w:val="ListParagraph"/>
        <w:numPr>
          <w:ilvl w:val="0"/>
          <w:numId w:val="2"/>
        </w:numPr>
        <w:spacing w:after="100"/>
      </w:pPr>
      <w:r w:rsidRPr="001A423D">
        <w:t>Braun, V. and Clarke, V. (2021). Thematic Analysis: A Practical Guide. London: SAGE.</w:t>
      </w:r>
    </w:p>
    <w:p w14:paraId="7D7120EE" w14:textId="77777777" w:rsidR="001A423D" w:rsidRPr="001A423D" w:rsidRDefault="001A423D" w:rsidP="006F05BE">
      <w:pPr>
        <w:pStyle w:val="ListParagraph"/>
        <w:numPr>
          <w:ilvl w:val="0"/>
          <w:numId w:val="2"/>
        </w:numPr>
        <w:spacing w:after="100"/>
      </w:pPr>
      <w:r w:rsidRPr="001A423D">
        <w:t xml:space="preserve">Campbell, A., Borek, A.J., McLeod, M., Tonkin-Crine, S., Pouwels, K.B., Roope, L.S., Hayhoe, B.W., Majeed, A., Walker, A.S. and Holmes, A. (2023). Impact of the COVID-19 pandemic on antimicrobial stewardship support for general practices in England: a qualitative interview study. </w:t>
      </w:r>
      <w:r w:rsidRPr="006F05BE">
        <w:rPr>
          <w:i/>
          <w:iCs/>
        </w:rPr>
        <w:t>BJGP Open</w:t>
      </w:r>
      <w:r w:rsidRPr="001A423D">
        <w:t>, 7(3), BJGPO.2022.0193. doi:10.3399/BJGPO.2022.0193.</w:t>
      </w:r>
    </w:p>
    <w:p w14:paraId="7809585F" w14:textId="77777777" w:rsidR="001A423D" w:rsidRDefault="001A423D" w:rsidP="006F05BE">
      <w:pPr>
        <w:pStyle w:val="ListParagraph"/>
        <w:numPr>
          <w:ilvl w:val="0"/>
          <w:numId w:val="2"/>
        </w:numPr>
        <w:spacing w:after="100"/>
      </w:pPr>
      <w:r>
        <w:t xml:space="preserve">Campbell, M., McKenzie, J.E., Sowden, A., Katikireddi, S.V., Brennan, S.E., Ellis, S., Hartmann-Boyce, J., Ryan, R., Shepperd, S., Thomas, J., Welch, V. and Thomson, H. (2020). Synthesis without meta-analysis (SWiM) in systematic reviews: reporting guideline. </w:t>
      </w:r>
      <w:r w:rsidRPr="006F05BE">
        <w:rPr>
          <w:i/>
        </w:rPr>
        <w:t>BMJ</w:t>
      </w:r>
      <w:r>
        <w:t>, 368, l6890. doi:10.1136/bmj.l6890.</w:t>
      </w:r>
    </w:p>
    <w:p w14:paraId="199035EA" w14:textId="77777777" w:rsidR="001A423D" w:rsidRDefault="001A423D" w:rsidP="006F05BE">
      <w:pPr>
        <w:pStyle w:val="ListParagraph"/>
        <w:numPr>
          <w:ilvl w:val="0"/>
          <w:numId w:val="2"/>
        </w:numPr>
        <w:spacing w:after="100"/>
      </w:pPr>
      <w:r>
        <w:t xml:space="preserve">Chua, M., Ming, J., Chang, S.-J., Dos Santos, J., Mistry, N., Silangcruz, J.M., Bayley, M. and Koyle, M.A. (2018). A critical review of recent clinical practice guidelines for pediatric urinary tract infection. </w:t>
      </w:r>
      <w:r w:rsidRPr="006F05BE">
        <w:rPr>
          <w:i/>
        </w:rPr>
        <w:t>Canadian Urological Association Journal</w:t>
      </w:r>
      <w:r>
        <w:t>, 12(4), pp.112–118. doi:10.5489/cuaj.4796.</w:t>
      </w:r>
    </w:p>
    <w:p w14:paraId="4C712028" w14:textId="77777777" w:rsidR="001A423D" w:rsidRPr="001A423D" w:rsidRDefault="001A423D" w:rsidP="006F05BE">
      <w:pPr>
        <w:pStyle w:val="ListParagraph"/>
        <w:numPr>
          <w:ilvl w:val="0"/>
          <w:numId w:val="2"/>
        </w:numPr>
        <w:spacing w:after="100"/>
      </w:pPr>
      <w:r w:rsidRPr="001A423D">
        <w:t xml:space="preserve">Ciaccio, L., Fountain, H., Beech, E., Brown, C.S., Demirjian, A., Gerver, S., Muller-Pebody, B. and Bou-Antoun, S. (2024). Trends in urine sampling rates of general practice patients with suspected lower urinary tract infections in England, 2015–2022: a population-based study. </w:t>
      </w:r>
      <w:r w:rsidRPr="006F05BE">
        <w:rPr>
          <w:i/>
          <w:iCs/>
        </w:rPr>
        <w:t>BMJ Open</w:t>
      </w:r>
      <w:r w:rsidRPr="001A423D">
        <w:t>, 14(8), e084485. doi:10.1136/bmjopen-2024-084485.</w:t>
      </w:r>
    </w:p>
    <w:p w14:paraId="2AEB89AE" w14:textId="77777777" w:rsidR="001A423D" w:rsidRPr="001A423D" w:rsidRDefault="001A423D" w:rsidP="006F05BE">
      <w:pPr>
        <w:pStyle w:val="ListParagraph"/>
        <w:numPr>
          <w:ilvl w:val="0"/>
          <w:numId w:val="2"/>
        </w:numPr>
        <w:spacing w:after="100"/>
      </w:pPr>
      <w:r w:rsidRPr="001A423D">
        <w:t xml:space="preserve">Cooper, E., Jones, L., Joseph, A., Allison, R., Gold, N., Larcombe, J., Moore, P. and McNulty, C.A.M. (2020). Diagnosis and management of UTI in primary care settings: a qualitative study to inform a diagnostic quick reference tool for women under 65 years. </w:t>
      </w:r>
      <w:r w:rsidRPr="006F05BE">
        <w:rPr>
          <w:i/>
          <w:iCs/>
        </w:rPr>
        <w:t>Antibiotics</w:t>
      </w:r>
      <w:r w:rsidRPr="001A423D">
        <w:t>, 9(9), 581. doi:10.3390/antibiotics9090581.</w:t>
      </w:r>
    </w:p>
    <w:p w14:paraId="290DA850" w14:textId="77777777" w:rsidR="001A423D" w:rsidRPr="001A423D" w:rsidRDefault="001A423D" w:rsidP="006F05BE">
      <w:pPr>
        <w:pStyle w:val="ListParagraph"/>
        <w:numPr>
          <w:ilvl w:val="0"/>
          <w:numId w:val="2"/>
        </w:numPr>
        <w:spacing w:after="100"/>
      </w:pPr>
      <w:r w:rsidRPr="001A423D">
        <w:t xml:space="preserve">Cooper, E., Read, B., Sanyaolu, L., Ahmed, H. and Lecky, D. (2023). Impact of sociodemographic status and UTI symptoms on women’s health-care seeking and management in England: findings from an e-survey conducted during the first year of the COVID-19 pandemic. </w:t>
      </w:r>
      <w:r w:rsidRPr="006F05BE">
        <w:rPr>
          <w:i/>
          <w:iCs/>
        </w:rPr>
        <w:t>BJGP Open</w:t>
      </w:r>
      <w:r w:rsidRPr="001A423D">
        <w:t>, 7(4), BJGPO.2023.0039. doi:10.3399/BJGPO.2023.0039.</w:t>
      </w:r>
    </w:p>
    <w:p w14:paraId="0BFEBF36" w14:textId="77777777" w:rsidR="001A423D" w:rsidRPr="001A423D" w:rsidRDefault="001A423D" w:rsidP="006F05BE">
      <w:pPr>
        <w:pStyle w:val="ListParagraph"/>
        <w:numPr>
          <w:ilvl w:val="0"/>
          <w:numId w:val="2"/>
        </w:numPr>
        <w:spacing w:after="100"/>
      </w:pPr>
      <w:r w:rsidRPr="001A423D">
        <w:t>Creswell, J.W. and Creswell, J.D. (2023). Research Design: Qualitative, Quantitative, and Mixed Methods Approaches. 6th ed. Thousand Oaks, CA: SAGE.</w:t>
      </w:r>
    </w:p>
    <w:p w14:paraId="46FA2C4B" w14:textId="77777777" w:rsidR="001A423D" w:rsidRPr="001A423D" w:rsidRDefault="001A423D" w:rsidP="006F05BE">
      <w:pPr>
        <w:pStyle w:val="ListParagraph"/>
        <w:numPr>
          <w:ilvl w:val="0"/>
          <w:numId w:val="2"/>
        </w:numPr>
        <w:spacing w:after="100"/>
      </w:pPr>
      <w:r w:rsidRPr="001A423D">
        <w:t>Critical Appraisal Skills Programme (2024). CASP checklist: for qualitative research. [online] Available at: https://casp-uk.net/casp-checklists/CASP-checklist-qualitative-2024.pdf [Accessed 9 Aug. 2026].</w:t>
      </w:r>
    </w:p>
    <w:p w14:paraId="06822380" w14:textId="77777777" w:rsidR="001A423D" w:rsidRPr="001A423D" w:rsidRDefault="001A423D" w:rsidP="006F05BE">
      <w:pPr>
        <w:pStyle w:val="ListParagraph"/>
        <w:numPr>
          <w:ilvl w:val="0"/>
          <w:numId w:val="2"/>
        </w:numPr>
        <w:spacing w:after="100"/>
      </w:pPr>
      <w:r w:rsidRPr="001A423D">
        <w:t xml:space="preserve">Dababneh, A., Sanyaolu, L.N., Ahmed, H., Alagiyawanna, D., Lecky, D.M. and Cooper, E. (2025). Women’s experiences of the assessment and management of urinary tract infections during the COVID-19 pandemic: a qualitative analysis of free-text comments from a national survey in England. </w:t>
      </w:r>
      <w:r w:rsidRPr="006F05BE">
        <w:rPr>
          <w:i/>
          <w:iCs/>
        </w:rPr>
        <w:t>JAC-Antimicrobial Resistance</w:t>
      </w:r>
      <w:r w:rsidRPr="001A423D">
        <w:t>, 7(6), dlaf241. doi:10.1093/jacamr/dlaf241.</w:t>
      </w:r>
    </w:p>
    <w:p w14:paraId="49988857" w14:textId="77777777" w:rsidR="001A423D" w:rsidRDefault="001A423D" w:rsidP="006F05BE">
      <w:pPr>
        <w:pStyle w:val="ListParagraph"/>
        <w:numPr>
          <w:ilvl w:val="0"/>
          <w:numId w:val="2"/>
        </w:numPr>
        <w:spacing w:after="100"/>
      </w:pPr>
      <w:r>
        <w:t xml:space="preserve">Davidson, S.M., Brown, J.N., Nance, C.B. and Townsend, M.L. (2024). Use of Methenamine for Urinary Tract Infection Prophylaxis: Systematic Review of Recent Evidence. </w:t>
      </w:r>
      <w:r w:rsidRPr="006F05BE">
        <w:rPr>
          <w:i/>
        </w:rPr>
        <w:t>International Urogynecology Journal</w:t>
      </w:r>
      <w:r>
        <w:t>, 35(3), pp.483–489. doi:10.1007/s00192-024-05726-2.</w:t>
      </w:r>
    </w:p>
    <w:p w14:paraId="7BB35D33" w14:textId="77777777" w:rsidR="001A423D" w:rsidRPr="001A423D" w:rsidRDefault="001A423D" w:rsidP="006F05BE">
      <w:pPr>
        <w:pStyle w:val="ListParagraph"/>
        <w:numPr>
          <w:ilvl w:val="0"/>
          <w:numId w:val="2"/>
        </w:numPr>
        <w:spacing w:after="100"/>
      </w:pPr>
      <w:r w:rsidRPr="001A423D">
        <w:t xml:space="preserve">Dyson, J. and Cowdell, F. (2021). How is the Theoretical Domains Framework applied in designing interventions to support healthcare practitioner behaviour change? A systematic review. </w:t>
      </w:r>
      <w:r w:rsidRPr="006F05BE">
        <w:rPr>
          <w:i/>
          <w:iCs/>
        </w:rPr>
        <w:t>International Journal for Quality in Health Care</w:t>
      </w:r>
      <w:r w:rsidRPr="001A423D">
        <w:t>, 33(3), mzab106. doi:10.1093/intqhc/mzab106.</w:t>
      </w:r>
    </w:p>
    <w:p w14:paraId="2B0B6770" w14:textId="77777777" w:rsidR="001A423D" w:rsidRPr="001A423D" w:rsidRDefault="001A423D" w:rsidP="006F05BE">
      <w:pPr>
        <w:pStyle w:val="ListParagraph"/>
        <w:numPr>
          <w:ilvl w:val="0"/>
          <w:numId w:val="2"/>
        </w:numPr>
        <w:spacing w:after="100"/>
      </w:pPr>
      <w:r w:rsidRPr="001A423D">
        <w:t xml:space="preserve">Edwards, J., Coward, M. and Carey, N. (2022). Barriers and facilitators to implementation of non-medical independent prescribing in primary care in the UK: a qualitative systematic review. </w:t>
      </w:r>
      <w:r w:rsidRPr="006F05BE">
        <w:rPr>
          <w:i/>
          <w:iCs/>
        </w:rPr>
        <w:t>BMJ Open</w:t>
      </w:r>
      <w:r w:rsidRPr="001A423D">
        <w:t>, 12(6), e052227. doi:10.1136/bmjopen-2021-052227.</w:t>
      </w:r>
    </w:p>
    <w:p w14:paraId="6F8BFB8B" w14:textId="77777777" w:rsidR="001A423D" w:rsidRDefault="001A423D" w:rsidP="006F05BE">
      <w:pPr>
        <w:pStyle w:val="ListParagraph"/>
        <w:numPr>
          <w:ilvl w:val="0"/>
          <w:numId w:val="2"/>
        </w:numPr>
        <w:spacing w:after="100"/>
      </w:pPr>
      <w:r>
        <w:t xml:space="preserve">Fleary, S.A., Joseph, P. and Pappagianopoulos, J.E. (2018). Adolescent health literacy and health behaviors: A systematic review. </w:t>
      </w:r>
      <w:r w:rsidRPr="006F05BE">
        <w:rPr>
          <w:i/>
        </w:rPr>
        <w:t>Journal of Adolescence</w:t>
      </w:r>
      <w:r>
        <w:t>, 62, pp.116–127. doi:10.1016/j.adolescence.2017.11.010.</w:t>
      </w:r>
    </w:p>
    <w:p w14:paraId="683DE4C0" w14:textId="77777777" w:rsidR="001A423D" w:rsidRDefault="001A423D" w:rsidP="006F05BE">
      <w:pPr>
        <w:pStyle w:val="ListParagraph"/>
        <w:numPr>
          <w:ilvl w:val="0"/>
          <w:numId w:val="2"/>
        </w:numPr>
        <w:spacing w:after="100"/>
      </w:pPr>
      <w:r>
        <w:t xml:space="preserve">Freeman, J.L., Caldwell, P.H.Y. and Scott, K.M. (2020). The Role of Trust When Adolescents Search for and Appraise Online Health Information. </w:t>
      </w:r>
      <w:r w:rsidRPr="006F05BE">
        <w:rPr>
          <w:i/>
        </w:rPr>
        <w:t>The Journal of Pediatrics</w:t>
      </w:r>
      <w:r>
        <w:t>, 221, pp.215–223.e5. doi:10.1016/j.jpeds.2020.02.074.</w:t>
      </w:r>
    </w:p>
    <w:p w14:paraId="297D9143" w14:textId="77777777" w:rsidR="001A423D" w:rsidRDefault="001A423D" w:rsidP="006F05BE">
      <w:pPr>
        <w:pStyle w:val="ListParagraph"/>
        <w:numPr>
          <w:ilvl w:val="0"/>
          <w:numId w:val="2"/>
        </w:numPr>
        <w:spacing w:after="100"/>
      </w:pPr>
      <w:r>
        <w:t xml:space="preserve">Freeman, J.L., Caldwell, P.H.Y. and Scott, K.M. (2023). How Adolescents Trust Health Information on Social Media: A Systematic Review. </w:t>
      </w:r>
      <w:r w:rsidRPr="006F05BE">
        <w:rPr>
          <w:i/>
        </w:rPr>
        <w:t>Academic Pediatrics</w:t>
      </w:r>
      <w:r>
        <w:t>, 23(4), pp.703–719. doi:10.1016/j.acap.2022.12.011.</w:t>
      </w:r>
    </w:p>
    <w:p w14:paraId="513A8650" w14:textId="77777777" w:rsidR="001A423D" w:rsidRDefault="001A423D" w:rsidP="006F05BE">
      <w:pPr>
        <w:pStyle w:val="ListParagraph"/>
        <w:numPr>
          <w:ilvl w:val="0"/>
          <w:numId w:val="2"/>
        </w:numPr>
        <w:spacing w:after="100"/>
      </w:pPr>
      <w:r>
        <w:t xml:space="preserve">Freeman, J.L., Caldwell, P.H.Y., Bennett, P.A. and Scott, K.M. (2018). How Adolescents Search for and Appraise Online Health Information: A Systematic Review. </w:t>
      </w:r>
      <w:r w:rsidRPr="006F05BE">
        <w:rPr>
          <w:i/>
        </w:rPr>
        <w:t>The Journal of Pediatrics</w:t>
      </w:r>
      <w:r>
        <w:t>, 195, pp.244–255.e1. doi:10.1016/j.jpeds.2017.11.031.</w:t>
      </w:r>
    </w:p>
    <w:p w14:paraId="4D3F9622" w14:textId="77777777" w:rsidR="001A423D" w:rsidRPr="001A423D" w:rsidRDefault="001A423D" w:rsidP="006F05BE">
      <w:pPr>
        <w:pStyle w:val="ListParagraph"/>
        <w:numPr>
          <w:ilvl w:val="0"/>
          <w:numId w:val="2"/>
        </w:numPr>
        <w:spacing w:after="100"/>
      </w:pPr>
      <w:r w:rsidRPr="001A423D">
        <w:t xml:space="preserve">Gadalla, A., Wise, H., Farewell, D., Hughes, K., Llor, C., Moore, M., Verheij, T.J.M., Little, P., Butler, C.C. and Francis, N.A. (2022). Antibiotic consumption and time to recovery from uncomplicated urinary tract infection: secondary analysis of observational data from a point-of-care test trial. </w:t>
      </w:r>
      <w:r w:rsidRPr="006F05BE">
        <w:rPr>
          <w:i/>
          <w:iCs/>
        </w:rPr>
        <w:t>British Journal of General Practice</w:t>
      </w:r>
      <w:r w:rsidRPr="001A423D">
        <w:t>, 72(725), pp.e882–e890. doi:10.3399/BJGP.2022.0011.</w:t>
      </w:r>
    </w:p>
    <w:p w14:paraId="1B6F85D9" w14:textId="77777777" w:rsidR="001A423D" w:rsidRDefault="001A423D" w:rsidP="006F05BE">
      <w:pPr>
        <w:pStyle w:val="ListParagraph"/>
        <w:numPr>
          <w:ilvl w:val="0"/>
          <w:numId w:val="2"/>
        </w:numPr>
        <w:spacing w:after="100"/>
      </w:pPr>
      <w:r>
        <w:t xml:space="preserve">Gartlehner, G., Affengruber, L., Titscher, V., Noel-Storr, A., Dooley, G., Ballarini, N. and König, F. (2020). Single-reviewer abstract screening missed 13 percent of relevant studies: a crowd-based, randomized controlled trial. </w:t>
      </w:r>
      <w:r w:rsidRPr="006F05BE">
        <w:rPr>
          <w:i/>
        </w:rPr>
        <w:t>Journal of Clinical Epidemiology</w:t>
      </w:r>
      <w:r>
        <w:t>, 121, pp.20–28. doi:10.1016/j.jclinepi.2020.01.005.</w:t>
      </w:r>
    </w:p>
    <w:p w14:paraId="206E941A" w14:textId="77777777" w:rsidR="001A423D" w:rsidRPr="001A423D" w:rsidRDefault="001A423D" w:rsidP="006F05BE">
      <w:pPr>
        <w:pStyle w:val="ListParagraph"/>
        <w:numPr>
          <w:ilvl w:val="0"/>
          <w:numId w:val="2"/>
        </w:numPr>
        <w:spacing w:after="100"/>
      </w:pPr>
      <w:r w:rsidRPr="001A423D">
        <w:t xml:space="preserve">Goda, S.M., Khalaf, S.A., Elkhawaga, A.A. and Mohammed, F.M. (2025). ‘Health Education Program Regarding Urinary Tract Infection among Adolescent Girls’, </w:t>
      </w:r>
      <w:r w:rsidRPr="006F05BE">
        <w:rPr>
          <w:i/>
          <w:iCs/>
        </w:rPr>
        <w:t>Assiut Scientific Nursing Journal</w:t>
      </w:r>
      <w:r w:rsidRPr="001A423D">
        <w:t>, 13(53), pp. 22–36. doi:10.21608/asnj.2025.375434.2053.</w:t>
      </w:r>
    </w:p>
    <w:p w14:paraId="4D345ABF" w14:textId="77777777" w:rsidR="001A423D" w:rsidRPr="001A423D" w:rsidRDefault="001A423D" w:rsidP="006F05BE">
      <w:pPr>
        <w:pStyle w:val="ListParagraph"/>
        <w:numPr>
          <w:ilvl w:val="0"/>
          <w:numId w:val="2"/>
        </w:numPr>
        <w:spacing w:after="100"/>
      </w:pPr>
      <w:r w:rsidRPr="001A423D">
        <w:t xml:space="preserve">Harding, C., Mossop, H., Homer, T., Chadwick, T., King, W., Carnell, S., Lecouturier, J., Abouhajar, A., Vale, L., Watson, G., Forbes, R., Currer, S., Pickard, R., Eardley, I., Pearce, I., Thiruchelvam, N., Guerrero, K., Walton, K., Hussain, Z. and Lazarowicz, H. (2022). Alternative to prophylactic antibiotics for the treatment of recurrent urinary tract infections in women: multicentre, open label, randomised, non-inferiority trial. </w:t>
      </w:r>
      <w:r w:rsidRPr="006F05BE">
        <w:rPr>
          <w:i/>
          <w:iCs/>
        </w:rPr>
        <w:t>BMJ</w:t>
      </w:r>
      <w:r w:rsidRPr="001A423D">
        <w:t>, 376, e068229. doi:10.1136/bmj-2021-0068229.</w:t>
      </w:r>
    </w:p>
    <w:p w14:paraId="6C8A3F27" w14:textId="77777777" w:rsidR="001A423D" w:rsidRPr="001A423D" w:rsidRDefault="001A423D" w:rsidP="006F05BE">
      <w:pPr>
        <w:pStyle w:val="ListParagraph"/>
        <w:numPr>
          <w:ilvl w:val="0"/>
          <w:numId w:val="2"/>
        </w:numPr>
        <w:spacing w:after="100"/>
      </w:pPr>
      <w:r w:rsidRPr="001A423D">
        <w:t xml:space="preserve">Hartweg, D.L. and Metcalfe, S.A. (2022). Orem’s self-care deficit nursing theory: relevance and need for refinement. </w:t>
      </w:r>
      <w:r w:rsidRPr="006F05BE">
        <w:rPr>
          <w:i/>
          <w:iCs/>
        </w:rPr>
        <w:t>Nursing Science Quarterly</w:t>
      </w:r>
      <w:r w:rsidRPr="001A423D">
        <w:t>, 35(1), pp.70–76. doi:10.1177/08943184211051369.</w:t>
      </w:r>
    </w:p>
    <w:p w14:paraId="0EA5BF58" w14:textId="77777777" w:rsidR="001A423D" w:rsidRDefault="001A423D" w:rsidP="006F05BE">
      <w:pPr>
        <w:pStyle w:val="ListParagraph"/>
        <w:numPr>
          <w:ilvl w:val="0"/>
          <w:numId w:val="2"/>
        </w:numPr>
        <w:spacing w:after="100"/>
      </w:pPr>
      <w:r>
        <w:t xml:space="preserve">Hayward, G. et al. (2024). d-Mannose for Prevention of Recurrent Urinary Tract Infection Among Women: A Randomized Clinical Trial. </w:t>
      </w:r>
      <w:r w:rsidRPr="006F05BE">
        <w:rPr>
          <w:i/>
        </w:rPr>
        <w:t>JAMA Internal Medicine</w:t>
      </w:r>
      <w:r>
        <w:t>, 184(6), pp.619–628. doi:10.1001/jamainternmed.2024.0264.</w:t>
      </w:r>
    </w:p>
    <w:p w14:paraId="07AA5655" w14:textId="77777777" w:rsidR="001A423D" w:rsidRPr="001A423D" w:rsidRDefault="001A423D" w:rsidP="006F05BE">
      <w:pPr>
        <w:pStyle w:val="ListParagraph"/>
        <w:numPr>
          <w:ilvl w:val="0"/>
          <w:numId w:val="2"/>
        </w:numPr>
        <w:spacing w:after="100"/>
      </w:pPr>
      <w:r w:rsidRPr="001A423D">
        <w:t>Health Research Authority (2026). UK Research Ethics Committee Policy Document. Available at: https://www.hra.nhs.uk/planning-and-improving-research/policies-standards-legislation/governance-arrangement-research-ethics-committees/ [Accessed 9 Aug. 2026].</w:t>
      </w:r>
    </w:p>
    <w:p w14:paraId="2CBEB9AC" w14:textId="77777777" w:rsidR="001A423D" w:rsidRPr="001A423D" w:rsidRDefault="001A423D" w:rsidP="006F05BE">
      <w:pPr>
        <w:pStyle w:val="ListParagraph"/>
        <w:numPr>
          <w:ilvl w:val="0"/>
          <w:numId w:val="2"/>
        </w:numPr>
        <w:spacing w:after="100"/>
      </w:pPr>
      <w:r w:rsidRPr="001A423D">
        <w:t xml:space="preserve">Higgins, J.P.T., Thomas, J., Chandler, J., Cumpston, M., Li, T., Page, M.J. and Welch, V.A. (eds.) (2024). Cochrane Handbook for </w:t>
      </w:r>
      <w:r w:rsidRPr="006F05BE">
        <w:rPr>
          <w:i/>
          <w:iCs/>
        </w:rPr>
        <w:t>Systematic Reviews</w:t>
      </w:r>
      <w:r w:rsidRPr="001A423D">
        <w:t xml:space="preserve"> of Interventions. Version 6.5. Cochrane.</w:t>
      </w:r>
    </w:p>
    <w:p w14:paraId="2BE5B734" w14:textId="77777777" w:rsidR="001A423D" w:rsidRPr="001A423D" w:rsidRDefault="001A423D" w:rsidP="006F05BE">
      <w:pPr>
        <w:pStyle w:val="ListParagraph"/>
        <w:numPr>
          <w:ilvl w:val="0"/>
          <w:numId w:val="2"/>
        </w:numPr>
        <w:spacing w:after="100"/>
      </w:pPr>
      <w:r w:rsidRPr="001A423D">
        <w:t xml:space="preserve">Hong, Q.N., Fàbregues, S., Bartlett, G., Boardman, F., Cargo, M., Dagenais, P., Gagnon, M.-P., Griffiths, F., Nicolau, B., O’Cathain, A., Rousseau, M.-C., Vedel, I. and Pluye, P. (2018). The Mixed Methods Appraisal Tool (MMAT) version 2018 for information professionals and researchers. </w:t>
      </w:r>
      <w:r w:rsidRPr="006F05BE">
        <w:rPr>
          <w:i/>
          <w:iCs/>
        </w:rPr>
        <w:t>Education for Information</w:t>
      </w:r>
      <w:r w:rsidRPr="001A423D">
        <w:t>, 34(4), pp.285–291. doi:10.3233/EFI-180221.</w:t>
      </w:r>
    </w:p>
    <w:p w14:paraId="26B216D1" w14:textId="77777777" w:rsidR="001A423D" w:rsidRDefault="001A423D" w:rsidP="006F05BE">
      <w:pPr>
        <w:pStyle w:val="ListParagraph"/>
        <w:numPr>
          <w:ilvl w:val="0"/>
          <w:numId w:val="2"/>
        </w:numPr>
        <w:spacing w:after="100"/>
      </w:pPr>
      <w:r>
        <w:t xml:space="preserve">Hooton, T.M., Vecchio, M., Iroz, A., Tack, I., Dornic, Q., Seksek, I. and Lotan, Y. (2018). Effect of Increased Daily Water Intake in Premenopausal Women With Recurrent Urinary Tract Infections: A Randomized Clinical Trial. </w:t>
      </w:r>
      <w:r w:rsidRPr="006F05BE">
        <w:rPr>
          <w:i/>
        </w:rPr>
        <w:t>JAMA Internal Medicine</w:t>
      </w:r>
      <w:r>
        <w:t>, 178(11), pp.1509–1515. doi:10.1001/jamainternmed.2018.4204.</w:t>
      </w:r>
    </w:p>
    <w:p w14:paraId="192209FF" w14:textId="77777777" w:rsidR="001A423D" w:rsidRPr="001A423D" w:rsidRDefault="001A423D" w:rsidP="006F05BE">
      <w:pPr>
        <w:pStyle w:val="ListParagraph"/>
        <w:numPr>
          <w:ilvl w:val="0"/>
          <w:numId w:val="2"/>
        </w:numPr>
        <w:spacing w:after="100"/>
      </w:pPr>
      <w:r w:rsidRPr="001A423D">
        <w:t xml:space="preserve">Hughes, K., Cannings-John, R., Jones, H., Lugg-Widger, F.V., Lau, T.M.M., Paranjothy, S., Francis, N., Hay, A.D., Butler, C.C., Angel, L., Van der Voort, J. and Hood, K. (2024). Long-term consequences of urinary tract infection in childhood: an electronic population-based cohort study in Welsh primary and secondary care. </w:t>
      </w:r>
      <w:r w:rsidRPr="006F05BE">
        <w:rPr>
          <w:i/>
          <w:iCs/>
        </w:rPr>
        <w:t>British Journal of General Practice</w:t>
      </w:r>
      <w:r w:rsidRPr="001A423D">
        <w:t>, 74(743), pp.e371–e378. doi:10.3399/BJGP.2023.0174.</w:t>
      </w:r>
    </w:p>
    <w:p w14:paraId="49E64CB5" w14:textId="77777777" w:rsidR="001A423D" w:rsidRDefault="001A423D" w:rsidP="006F05BE">
      <w:pPr>
        <w:pStyle w:val="ListParagraph"/>
        <w:numPr>
          <w:ilvl w:val="0"/>
          <w:numId w:val="2"/>
        </w:numPr>
        <w:spacing w:after="100"/>
      </w:pPr>
      <w:r>
        <w:t xml:space="preserve">Jafari, A., Tavakoly Sany, S.B. and Peyman, N. (2021). The Status of Health Literacy in Students Aged 6 to 18 Old Years: A Systematic Review Study. </w:t>
      </w:r>
      <w:r w:rsidRPr="006F05BE">
        <w:rPr>
          <w:i/>
        </w:rPr>
        <w:t>Iranian Journal of Public Health</w:t>
      </w:r>
      <w:r>
        <w:t>, 50(3), pp.448–458. doi:10.18502/ijph.v50i3.5584.</w:t>
      </w:r>
    </w:p>
    <w:p w14:paraId="2319AA20" w14:textId="77777777" w:rsidR="001A423D" w:rsidRDefault="001A423D" w:rsidP="006F05BE">
      <w:pPr>
        <w:pStyle w:val="ListParagraph"/>
        <w:numPr>
          <w:ilvl w:val="0"/>
          <w:numId w:val="2"/>
        </w:numPr>
        <w:spacing w:after="100"/>
      </w:pPr>
      <w:r>
        <w:t xml:space="preserve">Jordan, A., Wood, F., Edwards, A., Shepherd, V. and Joseph-Williams, N. (2018). What adolescents living with long-term conditions say about being involved in decision-making about their healthcare: A systematic review and narrative synthesis of preferences and experiences. </w:t>
      </w:r>
      <w:r w:rsidRPr="006F05BE">
        <w:rPr>
          <w:i/>
        </w:rPr>
        <w:t>Patient Education and Counseling</w:t>
      </w:r>
      <w:r>
        <w:t>, 101(10), pp.1725–1735. doi:10.1016/j.pec.2018.06.006.</w:t>
      </w:r>
    </w:p>
    <w:p w14:paraId="2AA05675" w14:textId="77777777" w:rsidR="001A423D" w:rsidRPr="001A423D" w:rsidRDefault="001A423D" w:rsidP="006F05BE">
      <w:pPr>
        <w:pStyle w:val="ListParagraph"/>
        <w:numPr>
          <w:ilvl w:val="0"/>
          <w:numId w:val="2"/>
        </w:numPr>
        <w:spacing w:after="100"/>
      </w:pPr>
      <w:r w:rsidRPr="001A423D">
        <w:t xml:space="preserve">Joseph, C.M., Thomas, B., Aaron, B., Crasta, C., Mathews, C.A., Joseph, C.J. and Frank, R.W. (2026). ‘Promoting Urinary Tract Infection Prevention: Knowledge and Practices of Adolescent Girls’, </w:t>
      </w:r>
      <w:r w:rsidRPr="006F05BE">
        <w:rPr>
          <w:i/>
          <w:iCs/>
        </w:rPr>
        <w:t>Journal of Health and Allied Sciences NU</w:t>
      </w:r>
      <w:r w:rsidRPr="001A423D">
        <w:t>, 16(1), pp. 119–123. doi:10.25259/JHS-2024-8-31-R1-(1446).</w:t>
      </w:r>
    </w:p>
    <w:p w14:paraId="64218F42" w14:textId="77777777" w:rsidR="001A423D" w:rsidRDefault="001A423D" w:rsidP="006F05BE">
      <w:pPr>
        <w:pStyle w:val="ListParagraph"/>
        <w:numPr>
          <w:ilvl w:val="0"/>
          <w:numId w:val="2"/>
        </w:numPr>
        <w:spacing w:after="100"/>
      </w:pPr>
      <w:r>
        <w:t xml:space="preserve">Kale, S. and Somani, B.K. (2023). The resurgence of methenamine hippurate in the prevention of recurrent UTIs in women – a systematic review. </w:t>
      </w:r>
      <w:r w:rsidRPr="006F05BE">
        <w:rPr>
          <w:i/>
        </w:rPr>
        <w:t>Current Opinion in Urology</w:t>
      </w:r>
      <w:r>
        <w:t>, 33(6), pp.488–496. doi:10.1097/MOU.0000000000001108.</w:t>
      </w:r>
    </w:p>
    <w:p w14:paraId="7681BF20" w14:textId="77777777" w:rsidR="001A423D" w:rsidRDefault="001A423D" w:rsidP="006F05BE">
      <w:pPr>
        <w:pStyle w:val="ListParagraph"/>
        <w:numPr>
          <w:ilvl w:val="0"/>
          <w:numId w:val="2"/>
        </w:numPr>
        <w:spacing w:after="100"/>
      </w:pPr>
      <w:r>
        <w:t xml:space="preserve">Kaufman, J., Temple-Smith, M. and Sanci, L. (2019). Urinary tract infections in children: an overview of diagnosis and management. </w:t>
      </w:r>
      <w:r w:rsidRPr="006F05BE">
        <w:rPr>
          <w:i/>
        </w:rPr>
        <w:t>BMJ Paediatrics Open</w:t>
      </w:r>
      <w:r>
        <w:t>, 3(1), e000487. doi:10.1136/bmjpo-2019-000487.</w:t>
      </w:r>
    </w:p>
    <w:p w14:paraId="6A8E1AE5" w14:textId="77777777" w:rsidR="001A423D" w:rsidRDefault="001A423D" w:rsidP="006F05BE">
      <w:pPr>
        <w:pStyle w:val="ListParagraph"/>
        <w:numPr>
          <w:ilvl w:val="0"/>
          <w:numId w:val="2"/>
        </w:numPr>
        <w:spacing w:after="100"/>
      </w:pPr>
      <w:r>
        <w:t xml:space="preserve">Kurotschka, P.K., Gágyor, I. and Ebell, M.H. (2024). Acute Uncomplicated UTIs in Adults: Rapid Evidence Review. </w:t>
      </w:r>
      <w:r w:rsidRPr="006F05BE">
        <w:rPr>
          <w:i/>
        </w:rPr>
        <w:t>American Family Physician</w:t>
      </w:r>
      <w:r>
        <w:t>, 109(2), pp.167–174.</w:t>
      </w:r>
    </w:p>
    <w:p w14:paraId="68AAAF29" w14:textId="77777777" w:rsidR="001A423D" w:rsidRDefault="001A423D" w:rsidP="006F05BE">
      <w:pPr>
        <w:pStyle w:val="ListParagraph"/>
        <w:numPr>
          <w:ilvl w:val="0"/>
          <w:numId w:val="2"/>
        </w:numPr>
        <w:spacing w:after="100"/>
      </w:pPr>
      <w:r>
        <w:t xml:space="preserve">Langner, J.L., Chiang, K.F. and Stafford, R.S. (2021). Current prescribing practices and guideline concordance for the treatment of uncomplicated urinary tract infections in women. </w:t>
      </w:r>
      <w:r w:rsidRPr="006F05BE">
        <w:rPr>
          <w:i/>
        </w:rPr>
        <w:t>American Journal of Obstetrics and Gynecology</w:t>
      </w:r>
      <w:r>
        <w:t>, 225(3), pp.272.e1–272.e11. doi:10.1016/j.ajog.2021.04.218.</w:t>
      </w:r>
    </w:p>
    <w:p w14:paraId="770EAE47" w14:textId="77777777" w:rsidR="001A423D" w:rsidRDefault="001A423D" w:rsidP="006F05BE">
      <w:pPr>
        <w:pStyle w:val="ListParagraph"/>
        <w:numPr>
          <w:ilvl w:val="0"/>
          <w:numId w:val="2"/>
        </w:numPr>
        <w:spacing w:after="100"/>
      </w:pPr>
      <w:r>
        <w:t xml:space="preserve">Lawrence, S.M., Saab, M.M., Savage, E., Hegarty, J. and FitzGerald, S. (2025). Adolescents’ perspectives and experiences of accessing general practitioner services: A systematic review. </w:t>
      </w:r>
      <w:r w:rsidRPr="006F05BE">
        <w:rPr>
          <w:i/>
        </w:rPr>
        <w:t>Journal of Child Health Care</w:t>
      </w:r>
      <w:r>
        <w:t>, 29(3), pp.734–754. doi:10.1177/13674935241239837.</w:t>
      </w:r>
    </w:p>
    <w:p w14:paraId="0940D9B3" w14:textId="77777777" w:rsidR="001A423D" w:rsidRDefault="001A423D" w:rsidP="006F05BE">
      <w:pPr>
        <w:pStyle w:val="ListParagraph"/>
        <w:numPr>
          <w:ilvl w:val="0"/>
          <w:numId w:val="2"/>
        </w:numPr>
        <w:spacing w:after="100"/>
      </w:pPr>
      <w:r>
        <w:t xml:space="preserve">Lizarondo, L., Stern, C., Salmond, S., Carrier, J., Cooper, K., Godfrey, C., Vandyk, M., Pollock, D., Rieger, K., Apóstolo, J., Kirkpatrick, P., Borges Dos Santos, K. and Loveday, H. (2025). Methods for data extraction and data transformation in convergent integrated mixed methods systematic reviews. </w:t>
      </w:r>
      <w:r w:rsidRPr="006F05BE">
        <w:rPr>
          <w:i/>
        </w:rPr>
        <w:t>JBI Evidence Synthesis</w:t>
      </w:r>
      <w:r>
        <w:t>, 23(3), pp.429–440. doi:10.11124/JBIES-24-00331.</w:t>
      </w:r>
    </w:p>
    <w:p w14:paraId="17EC5DE7" w14:textId="77777777" w:rsidR="001A423D" w:rsidRDefault="001A423D" w:rsidP="006F05BE">
      <w:pPr>
        <w:pStyle w:val="ListParagraph"/>
        <w:numPr>
          <w:ilvl w:val="0"/>
          <w:numId w:val="2"/>
        </w:numPr>
        <w:spacing w:after="100"/>
      </w:pPr>
      <w:r>
        <w:t xml:space="preserve">Mattoo, T.K., Shaikh, N. and Nelson, C.P. (2021). Contemporary Management of Urinary Tract Infection in Children. </w:t>
      </w:r>
      <w:r w:rsidRPr="006F05BE">
        <w:rPr>
          <w:i/>
        </w:rPr>
        <w:t>Pediatrics</w:t>
      </w:r>
      <w:r>
        <w:t>, 147(2), e2020012138. doi:10.1542/peds.2020-012138.</w:t>
      </w:r>
    </w:p>
    <w:p w14:paraId="61DB3165" w14:textId="77777777" w:rsidR="001A423D" w:rsidRDefault="001A423D" w:rsidP="006F05BE">
      <w:pPr>
        <w:pStyle w:val="ListParagraph"/>
        <w:numPr>
          <w:ilvl w:val="0"/>
          <w:numId w:val="2"/>
        </w:numPr>
        <w:spacing w:after="100"/>
      </w:pPr>
      <w:r>
        <w:t xml:space="preserve">Mavi, A., Rathi, I., Shannawaz, M., Saeed, S. and Hasan, S. (2024). Correlates of Urinary Tract Infections Among Women of Reproductive Age in India: A Systematic Review. </w:t>
      </w:r>
      <w:r w:rsidRPr="006F05BE">
        <w:rPr>
          <w:i/>
        </w:rPr>
        <w:t>Cureus</w:t>
      </w:r>
      <w:r>
        <w:t>, 16(4), e58681. doi:10.7759/cureus.58681.</w:t>
      </w:r>
    </w:p>
    <w:p w14:paraId="3102DEA9" w14:textId="77777777" w:rsidR="001A423D" w:rsidRDefault="001A423D" w:rsidP="006F05BE">
      <w:pPr>
        <w:pStyle w:val="ListParagraph"/>
        <w:numPr>
          <w:ilvl w:val="0"/>
          <w:numId w:val="2"/>
        </w:numPr>
        <w:spacing w:after="100"/>
      </w:pPr>
      <w:r>
        <w:t xml:space="preserve">McAnally, K. and Hagger, M.S. (2023). Health literacy, social cognition constructs, and health behaviors and outcomes: A meta-analysis. </w:t>
      </w:r>
      <w:r w:rsidRPr="006F05BE">
        <w:rPr>
          <w:i/>
        </w:rPr>
        <w:t>Health Psychology</w:t>
      </w:r>
      <w:r>
        <w:t>, 42(4), pp.213–234. doi:10.1037/hea0001266.</w:t>
      </w:r>
    </w:p>
    <w:p w14:paraId="5624D39B" w14:textId="77777777" w:rsidR="001A423D" w:rsidRPr="001A423D" w:rsidRDefault="001A423D" w:rsidP="006F05BE">
      <w:pPr>
        <w:pStyle w:val="ListParagraph"/>
        <w:numPr>
          <w:ilvl w:val="0"/>
          <w:numId w:val="2"/>
        </w:numPr>
        <w:spacing w:after="100"/>
      </w:pPr>
      <w:r w:rsidRPr="001A423D">
        <w:t xml:space="preserve">McCowan, C., Bakhshi, A., McConnachie, A., Malcolm, W., Barry, S.J.E., Hernandez Santiago, V. and Leanord, A. (2022). E. coli bacteraemia and antimicrobial resistance following antimicrobial prescribing for urinary tract infection in the community. </w:t>
      </w:r>
      <w:r w:rsidRPr="006F05BE">
        <w:rPr>
          <w:i/>
          <w:iCs/>
        </w:rPr>
        <w:t>BMC Infectious Diseases</w:t>
      </w:r>
      <w:r w:rsidRPr="001A423D">
        <w:t>, 22, 805. doi:10.1186/s12879-022-07768-7.</w:t>
      </w:r>
    </w:p>
    <w:p w14:paraId="5DD6D5D2" w14:textId="77777777" w:rsidR="001A423D" w:rsidRPr="001A423D" w:rsidRDefault="001A423D" w:rsidP="006F05BE">
      <w:pPr>
        <w:pStyle w:val="ListParagraph"/>
        <w:numPr>
          <w:ilvl w:val="0"/>
          <w:numId w:val="2"/>
        </w:numPr>
        <w:spacing w:after="100"/>
      </w:pPr>
      <w:r w:rsidRPr="001A423D">
        <w:t xml:space="preserve">McDonnell, L., Ashworth, M., Schofield, P., Durbaba, S. and Redmond, P. (2025). Antibiotic prescribing intensity and community UTI resistance: a cross-sectional ecological study. </w:t>
      </w:r>
      <w:r w:rsidRPr="006F05BE">
        <w:rPr>
          <w:i/>
          <w:iCs/>
        </w:rPr>
        <w:t>BJGP Open</w:t>
      </w:r>
      <w:r w:rsidRPr="001A423D">
        <w:t>, 9(1), BJGPO.2023.0248. doi:10.3399/BJGPO.2023.0248.</w:t>
      </w:r>
    </w:p>
    <w:p w14:paraId="15D5C470" w14:textId="77777777" w:rsidR="001A423D" w:rsidRDefault="001A423D" w:rsidP="006F05BE">
      <w:pPr>
        <w:pStyle w:val="ListParagraph"/>
        <w:numPr>
          <w:ilvl w:val="0"/>
          <w:numId w:val="2"/>
        </w:numPr>
        <w:spacing w:after="100"/>
      </w:pPr>
      <w:r>
        <w:t xml:space="preserve">McGowan, J., Sampson, M., Salzwedel, D.M., Cogo, E., Foerster, V. and Lefebvre, C. (2016). PRESS Peer Review of Electronic Search Strategies: 2015 Guideline Statement. </w:t>
      </w:r>
      <w:r w:rsidRPr="006F05BE">
        <w:rPr>
          <w:i/>
        </w:rPr>
        <w:t>Journal of Clinical Epidemiology</w:t>
      </w:r>
      <w:r>
        <w:t>, 75, pp.40–46. doi:10.1016/j.jclinepi.2016.01.021.</w:t>
      </w:r>
    </w:p>
    <w:p w14:paraId="44DDCCC9" w14:textId="77777777" w:rsidR="001A423D" w:rsidRDefault="001A423D" w:rsidP="006F05BE">
      <w:pPr>
        <w:pStyle w:val="ListParagraph"/>
        <w:numPr>
          <w:ilvl w:val="0"/>
          <w:numId w:val="2"/>
        </w:numPr>
        <w:spacing w:after="100"/>
      </w:pPr>
      <w:r>
        <w:t xml:space="preserve">McKinnon, K.A., Caldwell, P.H.Y. and Scott, K.M. (2020). How adolescent patients search for and appraise online health information: A pilot study. </w:t>
      </w:r>
      <w:r w:rsidRPr="006F05BE">
        <w:rPr>
          <w:i/>
        </w:rPr>
        <w:t>Journal of Paediatrics and Child Health</w:t>
      </w:r>
      <w:r>
        <w:t>, 56(8), pp.1270–1276. doi:10.1111/jpc.14918.</w:t>
      </w:r>
    </w:p>
    <w:p w14:paraId="0C061B88" w14:textId="77777777" w:rsidR="001A423D" w:rsidRPr="001A423D" w:rsidRDefault="001A423D" w:rsidP="006F05BE">
      <w:pPr>
        <w:pStyle w:val="ListParagraph"/>
        <w:numPr>
          <w:ilvl w:val="0"/>
          <w:numId w:val="2"/>
        </w:numPr>
        <w:spacing w:after="100"/>
      </w:pPr>
      <w:r w:rsidRPr="001A423D">
        <w:t xml:space="preserve">Michie, S., van Stralen, M.M. and West, R. (2011). The behaviour change wheel: a new method for characterising and designing behaviour change interventions. </w:t>
      </w:r>
      <w:r w:rsidRPr="006F05BE">
        <w:rPr>
          <w:i/>
          <w:iCs/>
        </w:rPr>
        <w:t>Implementation Science</w:t>
      </w:r>
      <w:r w:rsidRPr="001A423D">
        <w:t>, 6, 42. doi:10.1186/1748-5908-6-42.</w:t>
      </w:r>
    </w:p>
    <w:p w14:paraId="615AE215" w14:textId="77777777" w:rsidR="001A423D" w:rsidRDefault="001A423D" w:rsidP="006F05BE">
      <w:pPr>
        <w:pStyle w:val="ListParagraph"/>
        <w:numPr>
          <w:ilvl w:val="0"/>
          <w:numId w:val="2"/>
        </w:numPr>
        <w:spacing w:after="100"/>
      </w:pPr>
      <w:r>
        <w:t xml:space="preserve">Munir, A., Tarannum, T., Saad, N. and Abdaal, M. (2026). Effectiveness of Non-Antibiotic Therapies in the Management of Recurrent Urinary Tract Infections in Women: A Systematic Review. </w:t>
      </w:r>
      <w:r w:rsidRPr="006F05BE">
        <w:rPr>
          <w:i/>
        </w:rPr>
        <w:t>International Urogynecology Journal</w:t>
      </w:r>
      <w:r>
        <w:t>, online ahead of print. doi:10.1007/s00192-026-06654-z.</w:t>
      </w:r>
    </w:p>
    <w:p w14:paraId="76A029E0" w14:textId="77777777" w:rsidR="001A423D" w:rsidRPr="001A423D" w:rsidRDefault="001A423D" w:rsidP="006F05BE">
      <w:pPr>
        <w:pStyle w:val="ListParagraph"/>
        <w:numPr>
          <w:ilvl w:val="0"/>
          <w:numId w:val="2"/>
        </w:numPr>
        <w:spacing w:after="100"/>
      </w:pPr>
      <w:r w:rsidRPr="001A423D">
        <w:t xml:space="preserve">Newlands, A.F., Kramer, M.L., Snuggs, S. and Finlay, K.A. (2026). From Dismissal to Partnership: Patient Experiences of Recurrent Urinary Tract Infection Healthcare Informed by the Theoretical Domains Framework and Behaviour Change Theory. </w:t>
      </w:r>
      <w:r w:rsidRPr="006F05BE">
        <w:rPr>
          <w:i/>
          <w:iCs/>
        </w:rPr>
        <w:t>Health Expectations</w:t>
      </w:r>
      <w:r w:rsidRPr="001A423D">
        <w:t>, 29(2), e70629. doi:10.1111/hex.70629.</w:t>
      </w:r>
    </w:p>
    <w:p w14:paraId="797365F1" w14:textId="77777777" w:rsidR="001A423D" w:rsidRPr="001A423D" w:rsidRDefault="001A423D" w:rsidP="006F05BE">
      <w:pPr>
        <w:pStyle w:val="ListParagraph"/>
        <w:numPr>
          <w:ilvl w:val="0"/>
          <w:numId w:val="2"/>
        </w:numPr>
        <w:spacing w:after="100"/>
      </w:pPr>
      <w:r w:rsidRPr="001A423D">
        <w:t>NHS (2025). Urinary tract infections (UTIs). Available at: https://www.nhs.uk/conditions/urinary-tract-infections-utis/ [Accessed 9 Aug. 2026].</w:t>
      </w:r>
    </w:p>
    <w:p w14:paraId="5B1ABA39" w14:textId="77777777" w:rsidR="001A423D" w:rsidRPr="001A423D" w:rsidRDefault="001A423D" w:rsidP="006F05BE">
      <w:pPr>
        <w:pStyle w:val="ListParagraph"/>
        <w:numPr>
          <w:ilvl w:val="0"/>
          <w:numId w:val="2"/>
        </w:numPr>
        <w:spacing w:after="100"/>
      </w:pPr>
      <w:r w:rsidRPr="001A423D">
        <w:t>NHS England (2023). New awareness campaign to help reduce hospital admissions for urinary tract infections. Available at: https://www.england.nhs.uk/2023/10/new-awareness-campaign-to-help-reduce-hospital-admissions-for-urinary-tract-infections/ [Accessed 9 Aug. 2026].</w:t>
      </w:r>
    </w:p>
    <w:p w14:paraId="2B66F74C" w14:textId="77777777" w:rsidR="001A423D" w:rsidRPr="001A423D" w:rsidRDefault="001A423D" w:rsidP="006F05BE">
      <w:pPr>
        <w:pStyle w:val="ListParagraph"/>
        <w:numPr>
          <w:ilvl w:val="0"/>
          <w:numId w:val="2"/>
        </w:numPr>
        <w:spacing w:after="100"/>
      </w:pPr>
      <w:r w:rsidRPr="001A423D">
        <w:t>NHS England Knowledge and Library Services (2023a). Health and digital literacy pilots. Available at: https://library.hee.nhs.uk/patient-information/patient-information/heath-and-digital-literacy-pilots [Accessed 9 Aug. 2026].</w:t>
      </w:r>
    </w:p>
    <w:p w14:paraId="2829E93D" w14:textId="77777777" w:rsidR="001A423D" w:rsidRPr="001A423D" w:rsidRDefault="001A423D" w:rsidP="006F05BE">
      <w:pPr>
        <w:pStyle w:val="ListParagraph"/>
        <w:numPr>
          <w:ilvl w:val="0"/>
          <w:numId w:val="2"/>
        </w:numPr>
        <w:spacing w:after="100"/>
      </w:pPr>
      <w:r w:rsidRPr="001A423D">
        <w:t>NHS England Knowledge and Library Services (2023b). Working with partners to increase skills of the public. Available at: https://library.hee.nhs.uk/patient-information/patient-information/working-with-partners-to-increase-skills-of-the-public [Accessed 9 Aug. 2026].</w:t>
      </w:r>
    </w:p>
    <w:p w14:paraId="6AE59FB3" w14:textId="77777777" w:rsidR="001A423D" w:rsidRPr="001A423D" w:rsidRDefault="001A423D" w:rsidP="006F05BE">
      <w:pPr>
        <w:pStyle w:val="ListParagraph"/>
        <w:numPr>
          <w:ilvl w:val="0"/>
          <w:numId w:val="2"/>
        </w:numPr>
        <w:spacing w:after="100"/>
      </w:pPr>
      <w:r w:rsidRPr="001A423D">
        <w:t>NICE (2018). Urinary tract infection (lower): antimicrobial prescribing (NG109). Available at: https://www.nice.org.uk/guidance/ng109 [Accessed 9 Aug. 2026].</w:t>
      </w:r>
    </w:p>
    <w:p w14:paraId="062C8E5E" w14:textId="77777777" w:rsidR="001A423D" w:rsidRPr="001A423D" w:rsidRDefault="001A423D" w:rsidP="006F05BE">
      <w:pPr>
        <w:pStyle w:val="ListParagraph"/>
        <w:numPr>
          <w:ilvl w:val="0"/>
          <w:numId w:val="2"/>
        </w:numPr>
        <w:spacing w:after="100"/>
      </w:pPr>
      <w:r w:rsidRPr="001A423D">
        <w:t>NICE (2022). Urinary tract infection in under 16s: diagnosis and management (NG224). Available at: https://www.nice.org.uk/guidance/ng224 [Accessed 9 Aug. 2026].</w:t>
      </w:r>
    </w:p>
    <w:p w14:paraId="765E54D5" w14:textId="77777777" w:rsidR="001A423D" w:rsidRPr="001A423D" w:rsidRDefault="001A423D" w:rsidP="006F05BE">
      <w:pPr>
        <w:pStyle w:val="ListParagraph"/>
        <w:numPr>
          <w:ilvl w:val="0"/>
          <w:numId w:val="2"/>
        </w:numPr>
        <w:spacing w:after="100"/>
      </w:pPr>
      <w:r w:rsidRPr="001A423D">
        <w:t xml:space="preserve">Nofal, H.A., Hammad, N.M., Abdallah, A.M. and Magdy, H.A. (2020). ‘Impact of Educational Program on the Level of Knowledge and Self-Care Behaviors towards Genitourinary Tract Infection among Female Adolescent Students in Zagazig City’, </w:t>
      </w:r>
      <w:r w:rsidRPr="006F05BE">
        <w:rPr>
          <w:i/>
          <w:iCs/>
        </w:rPr>
        <w:t>Egyptian Journal of Community Medicine</w:t>
      </w:r>
      <w:r w:rsidRPr="001A423D">
        <w:t>, 38(3), pp. 86–93. doi:10.21608/EJCM.2020.105496.</w:t>
      </w:r>
    </w:p>
    <w:p w14:paraId="1BE9616C" w14:textId="77777777" w:rsidR="001A423D" w:rsidRDefault="001A423D" w:rsidP="006F05BE">
      <w:pPr>
        <w:pStyle w:val="ListParagraph"/>
        <w:numPr>
          <w:ilvl w:val="0"/>
          <w:numId w:val="2"/>
        </w:numPr>
        <w:spacing w:after="100"/>
      </w:pPr>
      <w:r>
        <w:t xml:space="preserve">Okarska-Napierała, M., Wasilewska, A. and Kuchar, E. (2017). Urinary tract infection in children: Diagnosis, treatment, imaging – Comparison of current guidelines. </w:t>
      </w:r>
      <w:r w:rsidRPr="006F05BE">
        <w:rPr>
          <w:i/>
        </w:rPr>
        <w:t>Journal of Pediatric Urology</w:t>
      </w:r>
      <w:r>
        <w:t>, 13(6), pp.567–573. doi:10.1016/j.jpurol.2017.07.018.</w:t>
      </w:r>
    </w:p>
    <w:p w14:paraId="634B3164" w14:textId="77777777" w:rsidR="001A423D" w:rsidRDefault="001A423D" w:rsidP="006F05BE">
      <w:pPr>
        <w:pStyle w:val="ListParagraph"/>
        <w:numPr>
          <w:ilvl w:val="0"/>
          <w:numId w:val="2"/>
        </w:numPr>
        <w:spacing w:after="100"/>
      </w:pPr>
      <w:r>
        <w:t xml:space="preserve">Paakkari, O., Kulmala, M., Lyyra, N., Torppa, M., Mazur, J., Boberova, Z. and Paakkari, L. (2023). The development and cross-national validation of the short health literacy for school-aged children (HLSAC-5) instrument. </w:t>
      </w:r>
      <w:r w:rsidRPr="006F05BE">
        <w:rPr>
          <w:i/>
        </w:rPr>
        <w:t>Scientific Reports</w:t>
      </w:r>
      <w:r>
        <w:t>, 13, 18769. doi:10.1038/s41598-023-45606-1.</w:t>
      </w:r>
    </w:p>
    <w:p w14:paraId="56B2BC44" w14:textId="77777777" w:rsidR="001A423D" w:rsidRPr="001A423D" w:rsidRDefault="001A423D" w:rsidP="006F05BE">
      <w:pPr>
        <w:pStyle w:val="ListParagraph"/>
        <w:numPr>
          <w:ilvl w:val="0"/>
          <w:numId w:val="2"/>
        </w:numPr>
        <w:spacing w:after="100"/>
      </w:pPr>
      <w:r w:rsidRPr="001A423D">
        <w:t xml:space="preserve">Page, M.J., McKenzie, J.E., Bossuyt, P.M., Boutron, I., Hoffmann, T.C., Mulrow, C.D., Shamseer, L., Tetzlaff, J.M., Akl, E.A., Brennan, S.E., Chou, R. et al. (2021). The PRISMA 2020 statement: an updated guideline for reporting systematic reviews. </w:t>
      </w:r>
      <w:r w:rsidRPr="006F05BE">
        <w:rPr>
          <w:i/>
          <w:iCs/>
        </w:rPr>
        <w:t>BMJ</w:t>
      </w:r>
      <w:r w:rsidRPr="001A423D">
        <w:t>, 372, n71. doi:10.1136/bmj.n71.</w:t>
      </w:r>
    </w:p>
    <w:p w14:paraId="21ED6EF9" w14:textId="77777777" w:rsidR="001A423D" w:rsidRPr="001A423D" w:rsidRDefault="001A423D" w:rsidP="006F05BE">
      <w:pPr>
        <w:pStyle w:val="ListParagraph"/>
        <w:numPr>
          <w:ilvl w:val="0"/>
          <w:numId w:val="2"/>
        </w:numPr>
        <w:spacing w:after="100"/>
      </w:pPr>
      <w:r w:rsidRPr="001A423D">
        <w:t xml:space="preserve">Pascal, A., Mathew, A.M., Philip, B.A., Sebastian, E., Sibi, S.M. and Jasmine, P.V. (2019). ‘A Study to Assess the Effectiveness of Structured Teaching Programme on Knowledge Regarding Prevention of Urinary Tract Infection among Adolescent Girls in Selected Schools at Kollam District’, </w:t>
      </w:r>
      <w:r w:rsidRPr="006F05BE">
        <w:rPr>
          <w:i/>
          <w:iCs/>
        </w:rPr>
        <w:t>Asian Journal of Nursing Education and Research</w:t>
      </w:r>
      <w:r w:rsidRPr="001A423D">
        <w:t>, 9(3), pp. 391–394. doi:10.5958/2349-2996.2019.00084.3.</w:t>
      </w:r>
    </w:p>
    <w:p w14:paraId="2CC6FA02" w14:textId="77777777" w:rsidR="001A423D" w:rsidRPr="001A423D" w:rsidRDefault="001A423D" w:rsidP="006F05BE">
      <w:pPr>
        <w:pStyle w:val="ListParagraph"/>
        <w:numPr>
          <w:ilvl w:val="0"/>
          <w:numId w:val="2"/>
        </w:numPr>
        <w:spacing w:after="100"/>
      </w:pPr>
      <w:r w:rsidRPr="001A423D">
        <w:t xml:space="preserve">Patel, E.M., Pari, M.L., Rathva, N.P., Chauhan, J.H. and Varia, H.S. (2020). ‘A Descriptive Study to Assess the Knowledge and Practices Regarding Prevention of Urinary Tract Infection (UTI) among Adolescent Girls at Selected Higher Secondary Schools’, </w:t>
      </w:r>
      <w:r w:rsidRPr="006F05BE">
        <w:rPr>
          <w:i/>
          <w:iCs/>
        </w:rPr>
        <w:t>International Journal of Psychosocial Rehabilitation</w:t>
      </w:r>
      <w:r w:rsidRPr="001A423D">
        <w:t>, 24(5), pp. 6899–6904. doi:10.61841/2v734393.</w:t>
      </w:r>
    </w:p>
    <w:p w14:paraId="6871F75D" w14:textId="77777777" w:rsidR="001A423D" w:rsidRDefault="001A423D" w:rsidP="006F05BE">
      <w:pPr>
        <w:pStyle w:val="ListParagraph"/>
        <w:numPr>
          <w:ilvl w:val="0"/>
          <w:numId w:val="2"/>
        </w:numPr>
        <w:spacing w:after="100"/>
      </w:pPr>
      <w:r>
        <w:t xml:space="preserve">Raeside, R., Jia, S.S., Redfern, J. and Partridge, S.R. (2022). Navigating the Online World of Lifestyle Health Information: Qualitative Study With Adolescents. </w:t>
      </w:r>
      <w:r w:rsidRPr="006F05BE">
        <w:rPr>
          <w:i/>
        </w:rPr>
        <w:t>JMIR Pediatrics and Parenting</w:t>
      </w:r>
      <w:r>
        <w:t>, 5(1), e35165. doi:10.2196/35165.</w:t>
      </w:r>
    </w:p>
    <w:p w14:paraId="772BA66A" w14:textId="77777777" w:rsidR="001A423D" w:rsidRPr="001A423D" w:rsidRDefault="001A423D" w:rsidP="006F05BE">
      <w:pPr>
        <w:pStyle w:val="ListParagraph"/>
        <w:numPr>
          <w:ilvl w:val="0"/>
          <w:numId w:val="2"/>
        </w:numPr>
        <w:spacing w:after="100"/>
      </w:pPr>
      <w:r w:rsidRPr="001A423D">
        <w:t xml:space="preserve">Rethlefsen, M.L., Kirtley, S., Waffenschmidt, S., Ayala, A.P., Moher, D., Page, M.J. and Koffel, J.B. (2021). PRISMA-S: an extension to the PRISMA statement for reporting literature searches in systematic reviews. </w:t>
      </w:r>
      <w:r w:rsidRPr="006F05BE">
        <w:rPr>
          <w:i/>
          <w:iCs/>
        </w:rPr>
        <w:t>Systematic Reviews</w:t>
      </w:r>
      <w:r w:rsidRPr="001A423D">
        <w:t>, 10, 39. doi:10.1186/s13643-020-01542-z.</w:t>
      </w:r>
    </w:p>
    <w:p w14:paraId="609C2578" w14:textId="77777777" w:rsidR="001A423D" w:rsidRDefault="001A423D" w:rsidP="006F05BE">
      <w:pPr>
        <w:pStyle w:val="ListParagraph"/>
        <w:numPr>
          <w:ilvl w:val="0"/>
          <w:numId w:val="2"/>
        </w:numPr>
        <w:spacing w:after="100"/>
      </w:pPr>
      <w:r>
        <w:t xml:space="preserve">Riemann, L., Lubasch, J.S., Heep, A. and Ansmann, L. (2021). The Role of Health Literacy in Health Behavior, Health Service Use, Health Outcomes, and Empowerment in Pediatric Patients with Chronic Disease: A Systematic Review. </w:t>
      </w:r>
      <w:r w:rsidRPr="006F05BE">
        <w:rPr>
          <w:i/>
        </w:rPr>
        <w:t>International Journal of Environmental Research and Public Health</w:t>
      </w:r>
      <w:r>
        <w:t>, 18(23), 12464. doi:10.3390/ijerph182312464.</w:t>
      </w:r>
    </w:p>
    <w:p w14:paraId="61565B43" w14:textId="77777777" w:rsidR="001A423D" w:rsidRDefault="001A423D" w:rsidP="006F05BE">
      <w:pPr>
        <w:pStyle w:val="ListParagraph"/>
        <w:numPr>
          <w:ilvl w:val="0"/>
          <w:numId w:val="2"/>
        </w:numPr>
        <w:spacing w:after="100"/>
      </w:pPr>
      <w:r>
        <w:t xml:space="preserve">Rouquette, A., Rigal, L., Mancini, J., Guillemin, F., van den Broucke, S., Allaire, C., Azogui-Levy, S., Ringa, V. and Hassler, C. (2022). Health Literacy throughout adolescence: Invariance and validity study of three measurement scales in the general population. </w:t>
      </w:r>
      <w:r w:rsidRPr="006F05BE">
        <w:rPr>
          <w:i/>
        </w:rPr>
        <w:t>Patient Education and Counseling</w:t>
      </w:r>
      <w:r>
        <w:t>, 105(4), pp.996–1003. doi:10.1016/j.pec.2021.07.044.</w:t>
      </w:r>
    </w:p>
    <w:p w14:paraId="48F7FE0B" w14:textId="77777777" w:rsidR="001A423D" w:rsidRPr="001A423D" w:rsidRDefault="001A423D" w:rsidP="006F05BE">
      <w:pPr>
        <w:pStyle w:val="ListParagraph"/>
        <w:numPr>
          <w:ilvl w:val="0"/>
          <w:numId w:val="2"/>
        </w:numPr>
        <w:spacing w:after="100"/>
      </w:pPr>
      <w:r w:rsidRPr="001A423D">
        <w:t xml:space="preserve">Saji, N., Amrutha, C., Binupriya, Varkey, J.V. and Assuma Beevi, T.M. (2018). ‘Effectiveness of Structured Teaching Programme on Prevention of UTI among Adolescent Girls’, </w:t>
      </w:r>
      <w:r w:rsidRPr="006F05BE">
        <w:rPr>
          <w:i/>
          <w:iCs/>
        </w:rPr>
        <w:t>International Journal of Science and Healthcare Research</w:t>
      </w:r>
      <w:r w:rsidRPr="001A423D">
        <w:t>, 3(3), pp. 1–6.</w:t>
      </w:r>
    </w:p>
    <w:p w14:paraId="6CD9CAA1" w14:textId="77777777" w:rsidR="001A423D" w:rsidRDefault="001A423D" w:rsidP="006F05BE">
      <w:pPr>
        <w:pStyle w:val="ListParagraph"/>
        <w:numPr>
          <w:ilvl w:val="0"/>
          <w:numId w:val="2"/>
        </w:numPr>
        <w:spacing w:after="100"/>
      </w:pPr>
      <w:r>
        <w:t xml:space="preserve">Salerno, A., Calvin, A., Jenkins, M. and Moreno, M.A. (2025). Adolescent Experiences With Navigating Health Information on Social Media and Beyond: Using Qualitative Data to Inform a Model. </w:t>
      </w:r>
      <w:r w:rsidRPr="006F05BE">
        <w:rPr>
          <w:i/>
        </w:rPr>
        <w:t>Journal of Adolescent Health</w:t>
      </w:r>
      <w:r>
        <w:t>, 76(6), pp.1018–1024. doi:10.1016/j.jadohealth.2025.02.016.</w:t>
      </w:r>
    </w:p>
    <w:p w14:paraId="7A3F6C22" w14:textId="77777777" w:rsidR="001A423D" w:rsidRPr="001A423D" w:rsidRDefault="001A423D" w:rsidP="006F05BE">
      <w:pPr>
        <w:pStyle w:val="ListParagraph"/>
        <w:numPr>
          <w:ilvl w:val="0"/>
          <w:numId w:val="2"/>
        </w:numPr>
        <w:spacing w:after="100"/>
      </w:pPr>
      <w:r w:rsidRPr="001A423D">
        <w:t xml:space="preserve">Sanyaolu, L., Ahmed, H., Best, V., Farewell, D., Schoenbuchner, S., Wood, F., Edwards, A., Akbari, A., Hayward, G. and Cannings-John, R. (2026). Prophylactic antibiotics to prevent recurrent urinary tract infections and risk of antibiotic resistance: target trial emulation with the SAIL Databank. </w:t>
      </w:r>
      <w:r w:rsidRPr="006F05BE">
        <w:rPr>
          <w:i/>
          <w:iCs/>
        </w:rPr>
        <w:t>The Lancet Obstetrics, Gynaecology, &amp; Women’s Health</w:t>
      </w:r>
      <w:r w:rsidRPr="001A423D">
        <w:t>. doi:10.1016/S3050-5038(25)00178-5.</w:t>
      </w:r>
    </w:p>
    <w:p w14:paraId="6E24590C" w14:textId="77777777" w:rsidR="001A423D" w:rsidRPr="001A423D" w:rsidRDefault="001A423D" w:rsidP="006F05BE">
      <w:pPr>
        <w:pStyle w:val="ListParagraph"/>
        <w:numPr>
          <w:ilvl w:val="0"/>
          <w:numId w:val="2"/>
        </w:numPr>
        <w:spacing w:after="100"/>
      </w:pPr>
      <w:r w:rsidRPr="001A423D">
        <w:t xml:space="preserve">Sanyaolu, L., Best, V., Cannings-John, R., Wood, F., Edwards, A., Akbari, A., Hayward, G. and Ahmed, H. (2024). Recurrent urinary tract infections and prophylactic antibiotic use in women: a cross-sectional study in primary care. </w:t>
      </w:r>
      <w:r w:rsidRPr="006F05BE">
        <w:rPr>
          <w:i/>
          <w:iCs/>
        </w:rPr>
        <w:t>British Journal of General Practice</w:t>
      </w:r>
      <w:r w:rsidRPr="001A423D">
        <w:t>, 74(746), pp.e619–e627. doi:10.3399/BJGP.2024.0015.</w:t>
      </w:r>
    </w:p>
    <w:p w14:paraId="03791594" w14:textId="77777777" w:rsidR="001A423D" w:rsidRDefault="001A423D" w:rsidP="006F05BE">
      <w:pPr>
        <w:pStyle w:val="ListParagraph"/>
        <w:numPr>
          <w:ilvl w:val="0"/>
          <w:numId w:val="2"/>
        </w:numPr>
        <w:spacing w:after="100"/>
      </w:pPr>
      <w:r>
        <w:t xml:space="preserve">Sanyaolu, L.N., Hayes, C.V., Lecky, D.M., Ahmed, H., Cannings-John, R., Weightman, A., Edwards, A. and Wood, F. (2023). Patients’ and Healthcare Professionals’ Experiences and Views of Recurrent Urinary Tract Infections in Women: Qualitative Evidence Synthesis and Meta-Ethnography. </w:t>
      </w:r>
      <w:r w:rsidRPr="006F05BE">
        <w:rPr>
          <w:i/>
        </w:rPr>
        <w:t>Antibiotics</w:t>
      </w:r>
      <w:r>
        <w:t>, 12(3), 434. doi:10.3390/antibiotics12030434.</w:t>
      </w:r>
    </w:p>
    <w:p w14:paraId="573D77C0" w14:textId="77777777" w:rsidR="001A423D" w:rsidRDefault="001A423D" w:rsidP="006F05BE">
      <w:pPr>
        <w:pStyle w:val="ListParagraph"/>
        <w:numPr>
          <w:ilvl w:val="0"/>
          <w:numId w:val="2"/>
        </w:numPr>
        <w:spacing w:after="100"/>
      </w:pPr>
      <w:r>
        <w:t xml:space="preserve">Schapiro, N.A. and Mejia, J. (2018). Adolescent Confidentiality and Women's Health: History, Rationale, and Current Threats. </w:t>
      </w:r>
      <w:r w:rsidRPr="006F05BE">
        <w:rPr>
          <w:i/>
        </w:rPr>
        <w:t>Nursing Clinics of North America</w:t>
      </w:r>
      <w:r>
        <w:t>, 53(2), pp.145–156. doi:10.1016/j.cnur.2018.01.002.</w:t>
      </w:r>
    </w:p>
    <w:p w14:paraId="6C27E84C" w14:textId="77777777" w:rsidR="001A423D" w:rsidRPr="001A423D" w:rsidRDefault="001A423D" w:rsidP="006F05BE">
      <w:pPr>
        <w:pStyle w:val="ListParagraph"/>
        <w:numPr>
          <w:ilvl w:val="0"/>
          <w:numId w:val="2"/>
        </w:numPr>
        <w:spacing w:after="100"/>
      </w:pPr>
      <w:r w:rsidRPr="001A423D">
        <w:t xml:space="preserve">Semwal, T. and Sharma, M. (2020). ‘A Study to Estimate the Occurrence, Knowledge, Practice Regarding Prevention of Urinary Tract Infection among Adolescent Girls in Selected Community Areas, Dehradun, Uttarakhand’, </w:t>
      </w:r>
      <w:r w:rsidRPr="006F05BE">
        <w:rPr>
          <w:i/>
          <w:iCs/>
        </w:rPr>
        <w:t>International Journal of Medical Science and Public Health</w:t>
      </w:r>
      <w:r w:rsidRPr="001A423D">
        <w:t>, 9(9), pp. 521–528. doi:10.5455/ijmsph.2020.09153202023092020.</w:t>
      </w:r>
    </w:p>
    <w:p w14:paraId="5207ACDC" w14:textId="77777777" w:rsidR="001A423D" w:rsidRPr="001A423D" w:rsidRDefault="001A423D" w:rsidP="006F05BE">
      <w:pPr>
        <w:pStyle w:val="ListParagraph"/>
        <w:numPr>
          <w:ilvl w:val="0"/>
          <w:numId w:val="2"/>
        </w:numPr>
        <w:spacing w:after="100"/>
      </w:pPr>
      <w:r w:rsidRPr="001A423D">
        <w:t xml:space="preserve">Sequera, S.K.L., Chacko, L.K. and Pereira, P.S. (2021). ‘Urinary Tract Infection – Knowledge and Habitual Practices among Adolescent Girls Residing in College Hostel of Mangaluru, India: A Cross-sectional Study’, </w:t>
      </w:r>
      <w:r w:rsidRPr="006F05BE">
        <w:rPr>
          <w:i/>
          <w:iCs/>
        </w:rPr>
        <w:t>Journal of Clinical and Diagnostic Research</w:t>
      </w:r>
      <w:r w:rsidRPr="001A423D">
        <w:t>, 15(7), pp. LC05–LC08. doi:10.7860/JCDR/2021/45707.15152.</w:t>
      </w:r>
    </w:p>
    <w:p w14:paraId="0B7F5A81" w14:textId="77777777" w:rsidR="001A423D" w:rsidRPr="001A423D" w:rsidRDefault="001A423D" w:rsidP="006F05BE">
      <w:pPr>
        <w:pStyle w:val="ListParagraph"/>
        <w:numPr>
          <w:ilvl w:val="0"/>
          <w:numId w:val="2"/>
        </w:numPr>
        <w:spacing w:after="100"/>
      </w:pPr>
      <w:r w:rsidRPr="001A423D">
        <w:t xml:space="preserve">Shikhare, P.V. and Taksande, V. (2017). ‘To Assess the Effectiveness of Self Instructional Module on Knowledge Regarding Urinary Tract Infection among Adolescent Girls in Selected Schools’, </w:t>
      </w:r>
      <w:r w:rsidRPr="006F05BE">
        <w:rPr>
          <w:i/>
          <w:iCs/>
        </w:rPr>
        <w:t>International Journal of Science and Research</w:t>
      </w:r>
      <w:r w:rsidRPr="001A423D">
        <w:t>, 6(8), pp. 256–258.</w:t>
      </w:r>
    </w:p>
    <w:p w14:paraId="2FBFAD87" w14:textId="77777777" w:rsidR="001A423D" w:rsidRDefault="001A423D" w:rsidP="006F05BE">
      <w:pPr>
        <w:pStyle w:val="ListParagraph"/>
        <w:numPr>
          <w:ilvl w:val="0"/>
          <w:numId w:val="2"/>
        </w:numPr>
        <w:spacing w:after="100"/>
      </w:pPr>
      <w:r>
        <w:t xml:space="preserve">Shoham, D.A. et al. (2021). School Toileting Environment, Bullying, and Lower Urinary Tract Symptoms in a Population of Adolescent and Young Adult Girls: Preventing Lower Urinary Tract Symptoms Consortium Analysis of Avon Longitudinal Study of Parents and Children. </w:t>
      </w:r>
      <w:r w:rsidRPr="006F05BE">
        <w:rPr>
          <w:i/>
        </w:rPr>
        <w:t>Urology</w:t>
      </w:r>
      <w:r>
        <w:t>, 151, pp.86–93. doi:10.1016/j.urology.2020.06.060.</w:t>
      </w:r>
    </w:p>
    <w:p w14:paraId="6770E364" w14:textId="77777777" w:rsidR="001A423D" w:rsidRPr="001A423D" w:rsidRDefault="001A423D" w:rsidP="006F05BE">
      <w:pPr>
        <w:pStyle w:val="ListParagraph"/>
        <w:numPr>
          <w:ilvl w:val="0"/>
          <w:numId w:val="2"/>
        </w:numPr>
        <w:spacing w:after="100"/>
      </w:pPr>
      <w:r w:rsidRPr="001A423D">
        <w:t xml:space="preserve">Sides, E., Lecky, D.M., Taborn, E., O’Neill, L. and Cooper, E. (2025). Preventing and managing urinary tract infections: exploring interventions and strategies implemented by NHS commissioning organisations in English primary care, 2017–2022. </w:t>
      </w:r>
      <w:r w:rsidRPr="006F05BE">
        <w:rPr>
          <w:i/>
          <w:iCs/>
        </w:rPr>
        <w:t>Journal of Infection Prevention</w:t>
      </w:r>
      <w:r w:rsidRPr="001A423D">
        <w:t>, 26(3), pp.120–128. doi:10.1177/17571774251330536.</w:t>
      </w:r>
    </w:p>
    <w:p w14:paraId="70D05AE0" w14:textId="77777777" w:rsidR="001A423D" w:rsidRDefault="001A423D" w:rsidP="006F05BE">
      <w:pPr>
        <w:pStyle w:val="ListParagraph"/>
        <w:numPr>
          <w:ilvl w:val="0"/>
          <w:numId w:val="2"/>
        </w:numPr>
        <w:spacing w:after="100"/>
      </w:pPr>
      <w:r>
        <w:t xml:space="preserve">Simões e Silva, A.C., Oliveira, E.A. and Mak, R.H. (2020). Urinary tract infection in pediatrics: an overview. </w:t>
      </w:r>
      <w:r w:rsidRPr="006F05BE">
        <w:rPr>
          <w:i/>
        </w:rPr>
        <w:t>Jornal de Pediatria (Rio J)</w:t>
      </w:r>
      <w:r>
        <w:t>, 96(Suppl 1), pp.65–79. doi:10.1016/j.jped.2019.10.006.</w:t>
      </w:r>
    </w:p>
    <w:p w14:paraId="043B44A1" w14:textId="77777777" w:rsidR="001A423D" w:rsidRDefault="001A423D" w:rsidP="006F05BE">
      <w:pPr>
        <w:pStyle w:val="ListParagraph"/>
        <w:numPr>
          <w:ilvl w:val="0"/>
          <w:numId w:val="2"/>
        </w:numPr>
        <w:spacing w:after="100"/>
      </w:pPr>
      <w:r>
        <w:t xml:space="preserve">Smith, C., Goss, H.R., Issartel, J. and Belton, S. (2021). Health Literacy in Schools? A Systematic Review of Health-Related Interventions Aimed at Disadvantaged Adolescents. </w:t>
      </w:r>
      <w:r w:rsidRPr="006F05BE">
        <w:rPr>
          <w:i/>
        </w:rPr>
        <w:t>Children</w:t>
      </w:r>
      <w:r>
        <w:t>, 8(3), 176. doi:10.3390/children8030176.</w:t>
      </w:r>
    </w:p>
    <w:p w14:paraId="70C494B3" w14:textId="77777777" w:rsidR="001A423D" w:rsidRPr="001A423D" w:rsidRDefault="001A423D" w:rsidP="006F05BE">
      <w:pPr>
        <w:pStyle w:val="ListParagraph"/>
        <w:numPr>
          <w:ilvl w:val="0"/>
          <w:numId w:val="2"/>
        </w:numPr>
        <w:spacing w:after="100"/>
      </w:pPr>
      <w:r w:rsidRPr="001A423D">
        <w:t xml:space="preserve">Soames, J. and Pettigrew, L.M. (2024). Electronic health record-based behaviour change interventions aimed at general practitioners in the UK: a mixed methods systematic review using behaviour change theory. </w:t>
      </w:r>
      <w:r w:rsidRPr="006F05BE">
        <w:rPr>
          <w:i/>
          <w:iCs/>
        </w:rPr>
        <w:t>BMJ Open</w:t>
      </w:r>
      <w:r w:rsidRPr="001A423D">
        <w:t>, 14, e080546. doi:10.1136/bmjopen-2023-080546.</w:t>
      </w:r>
    </w:p>
    <w:p w14:paraId="40898A6B" w14:textId="77777777" w:rsidR="001A423D" w:rsidRDefault="001A423D" w:rsidP="006F05BE">
      <w:pPr>
        <w:pStyle w:val="ListParagraph"/>
        <w:numPr>
          <w:ilvl w:val="0"/>
          <w:numId w:val="2"/>
        </w:numPr>
        <w:spacing w:after="100"/>
      </w:pPr>
      <w:r>
        <w:t xml:space="preserve">Sobode, O.R., Jegan, R., Toelen, J. and Dierickx, K. (2024). Shared decision-making in adolescent healthcare: a literature review of ethical considerations. </w:t>
      </w:r>
      <w:r w:rsidRPr="006F05BE">
        <w:rPr>
          <w:i/>
        </w:rPr>
        <w:t>European Journal of Pediatrics</w:t>
      </w:r>
      <w:r>
        <w:t>, 183(10), pp.4195–4203. doi:10.1007/s00431-024-05687-0.</w:t>
      </w:r>
    </w:p>
    <w:p w14:paraId="778FFA38" w14:textId="77777777" w:rsidR="001A423D" w:rsidRDefault="001A423D" w:rsidP="006F05BE">
      <w:pPr>
        <w:pStyle w:val="ListParagraph"/>
        <w:numPr>
          <w:ilvl w:val="0"/>
          <w:numId w:val="2"/>
        </w:numPr>
        <w:spacing w:after="100"/>
      </w:pPr>
      <w:r>
        <w:t xml:space="preserve">Stern, C., Lizarondo, L., Carrier, J., Godfrey, C., Rieger, K., Salmond, S., Apóstolo, J., Kirkpatrick, P. and Loveday, H. (2020). Methodological guidance for the conduct of mixed methods systematic reviews. </w:t>
      </w:r>
      <w:r w:rsidRPr="006F05BE">
        <w:rPr>
          <w:i/>
        </w:rPr>
        <w:t>JBI Evidence Synthesis</w:t>
      </w:r>
      <w:r>
        <w:t>, 18(10), pp.2108–2118. doi:10.11124/JBISRIR-D-19-00169.</w:t>
      </w:r>
    </w:p>
    <w:p w14:paraId="697F1DE4" w14:textId="77777777" w:rsidR="001A423D" w:rsidRDefault="001A423D" w:rsidP="006F05BE">
      <w:pPr>
        <w:pStyle w:val="ListParagraph"/>
        <w:numPr>
          <w:ilvl w:val="0"/>
          <w:numId w:val="2"/>
        </w:numPr>
        <w:spacing w:after="100"/>
      </w:pPr>
      <w:r>
        <w:t xml:space="preserve">Sukys, S., Kuzmarskiene, G. and Motiejunaite, K. (2026). Systematic Review of Health Literacy and Health Behavior in Adolescents Research. </w:t>
      </w:r>
      <w:r w:rsidRPr="006F05BE">
        <w:rPr>
          <w:i/>
        </w:rPr>
        <w:t>Epidemiologia</w:t>
      </w:r>
      <w:r>
        <w:t>, 7(1), 29. doi:10.3390/epidemiologia7010029.</w:t>
      </w:r>
    </w:p>
    <w:p w14:paraId="4CAAB53B" w14:textId="77777777" w:rsidR="001A423D" w:rsidRDefault="001A423D" w:rsidP="006F05BE">
      <w:pPr>
        <w:pStyle w:val="ListParagraph"/>
        <w:numPr>
          <w:ilvl w:val="0"/>
          <w:numId w:val="2"/>
        </w:numPr>
        <w:spacing w:after="100"/>
      </w:pPr>
      <w:r>
        <w:t xml:space="preserve">Thomas, J. and Harden, A. (2008). Methods for the thematic synthesis of qualitative research in systematic reviews. </w:t>
      </w:r>
      <w:r w:rsidRPr="006F05BE">
        <w:rPr>
          <w:i/>
        </w:rPr>
        <w:t>BMC Medical Research Methodology</w:t>
      </w:r>
      <w:r>
        <w:t>, 8, 45. doi:10.1186/1471-2288-8-45.</w:t>
      </w:r>
    </w:p>
    <w:p w14:paraId="4BF76682" w14:textId="77777777" w:rsidR="001A423D" w:rsidRDefault="001A423D" w:rsidP="006F05BE">
      <w:pPr>
        <w:pStyle w:val="ListParagraph"/>
        <w:numPr>
          <w:ilvl w:val="0"/>
          <w:numId w:val="2"/>
        </w:numPr>
        <w:spacing w:after="100"/>
      </w:pPr>
      <w:r>
        <w:t xml:space="preserve">Toye, F., Dixon, S., Izett-Kay, M., Keating, S. and McNiven, A. (2023). Exploring the experiences of people with urogynaecology conditions in the UK: a reflexive thematic analysis and conceptual model. </w:t>
      </w:r>
      <w:r w:rsidRPr="006F05BE">
        <w:rPr>
          <w:i/>
        </w:rPr>
        <w:t>BMC Women's Health</w:t>
      </w:r>
      <w:r>
        <w:t>, 23, 431. doi:10.1186/s12905-023-02592-w.</w:t>
      </w:r>
    </w:p>
    <w:p w14:paraId="6D246D67" w14:textId="77777777" w:rsidR="001A423D" w:rsidRPr="001A423D" w:rsidRDefault="001A423D" w:rsidP="006F05BE">
      <w:pPr>
        <w:pStyle w:val="ListParagraph"/>
        <w:numPr>
          <w:ilvl w:val="0"/>
          <w:numId w:val="2"/>
        </w:numPr>
        <w:spacing w:after="100"/>
      </w:pPr>
      <w:r w:rsidRPr="001A423D">
        <w:t xml:space="preserve">Tringale, M., Stephen, G., Boylan, A.-M. and Heneghan, C. (2022). Integrating patient values and preferences in healthcare: a systematic review of qualitative evidence. </w:t>
      </w:r>
      <w:r w:rsidRPr="006F05BE">
        <w:rPr>
          <w:i/>
          <w:iCs/>
        </w:rPr>
        <w:t>BMJ Open</w:t>
      </w:r>
      <w:r w:rsidRPr="001A423D">
        <w:t>, 12(11), e067268. doi:10.1136/bmjopen-2022-067268.</w:t>
      </w:r>
    </w:p>
    <w:p w14:paraId="29860301" w14:textId="77777777" w:rsidR="001A423D" w:rsidRPr="001A423D" w:rsidRDefault="001A423D" w:rsidP="006F05BE">
      <w:pPr>
        <w:pStyle w:val="ListParagraph"/>
        <w:numPr>
          <w:ilvl w:val="0"/>
          <w:numId w:val="2"/>
        </w:numPr>
        <w:spacing w:after="100"/>
      </w:pPr>
      <w:r w:rsidRPr="001A423D">
        <w:t>UK Government (2024). Confronting antimicrobial resistance 2024 to 2029. Available at: https://www.gov.uk/government/publications/uk-5-year-action-plan-for-antimicrobial-resistance-2024-to-2029/confronting-antimicrobial-resistance-2024-to-2029 [Accessed 9 Aug. 2026].</w:t>
      </w:r>
    </w:p>
    <w:p w14:paraId="152DF723" w14:textId="77777777" w:rsidR="001A423D" w:rsidRPr="001A423D" w:rsidRDefault="001A423D" w:rsidP="006F05BE">
      <w:pPr>
        <w:pStyle w:val="ListParagraph"/>
        <w:numPr>
          <w:ilvl w:val="0"/>
          <w:numId w:val="2"/>
        </w:numPr>
        <w:spacing w:after="100"/>
      </w:pPr>
      <w:r w:rsidRPr="001A423D">
        <w:t>UK Health Security Agency (2026). ESPAUR report 2024 to 2025: extended summary. Available at: https://www.gov.uk/government/publications/english-surveillance-programme-for-antimicrobial-utilisation-and-resistance-espaur-2024-to-2025-report/espaur-report-2024-to-2025-extended-summary [Accessed 9 Aug. 2026].</w:t>
      </w:r>
    </w:p>
    <w:p w14:paraId="1F6EAEEB" w14:textId="77777777" w:rsidR="001A423D" w:rsidRPr="001A423D" w:rsidRDefault="001A423D" w:rsidP="006F05BE">
      <w:pPr>
        <w:pStyle w:val="ListParagraph"/>
        <w:numPr>
          <w:ilvl w:val="0"/>
          <w:numId w:val="2"/>
        </w:numPr>
        <w:spacing w:after="100"/>
      </w:pPr>
      <w:r w:rsidRPr="001A423D">
        <w:t>UK Health Security Agency and NHS England (2025). Diagnosis of urinary tract infections: quick reference tools for primary care. Updated 7 July 2025. Available at: https://www.gov.uk/government/publications/urinary-tract-infection-diagnosis/diagnosis-of-urinary-tract-infections-quick-reference-tools-for-primary-care [Accessed 9 Aug. 2026].</w:t>
      </w:r>
    </w:p>
    <w:p w14:paraId="74391F7F" w14:textId="77777777" w:rsidR="001A423D" w:rsidRPr="001A423D" w:rsidRDefault="001A423D" w:rsidP="006F05BE">
      <w:pPr>
        <w:pStyle w:val="ListParagraph"/>
        <w:numPr>
          <w:ilvl w:val="0"/>
          <w:numId w:val="2"/>
        </w:numPr>
        <w:spacing w:after="100"/>
      </w:pPr>
      <w:r w:rsidRPr="001A423D">
        <w:t xml:space="preserve">Vijayan, A., Inamdhar, S., Bharathi, D.R., Gowda, M.R.N., Reddy, S., Joy, R., Manikanta, S. and Krishna, S. (2018). ‘An Interventional Study on Knowledge, Attitude &amp; Practice Towards Urinary Tract Infection among Adolescent Girls Students in Selected Girls Schools in Chitradurga City’, </w:t>
      </w:r>
      <w:r w:rsidRPr="006F05BE">
        <w:rPr>
          <w:i/>
          <w:iCs/>
        </w:rPr>
        <w:t>Indo American Journal of Pharmaceutical Research</w:t>
      </w:r>
      <w:r w:rsidRPr="001A423D">
        <w:t>, 8(1), pp. 1146–1150.</w:t>
      </w:r>
    </w:p>
    <w:p w14:paraId="4E7A38D5" w14:textId="77777777" w:rsidR="001A423D" w:rsidRDefault="001A423D" w:rsidP="006F05BE">
      <w:pPr>
        <w:pStyle w:val="ListParagraph"/>
        <w:numPr>
          <w:ilvl w:val="0"/>
          <w:numId w:val="2"/>
        </w:numPr>
        <w:spacing w:after="100"/>
      </w:pPr>
      <w:r>
        <w:t xml:space="preserve">Waffenschmidt, S., Knelangen, M., Sieben, W., Bühn, S. and Pieper, D. (2019). Single screening versus conventional double screening for study selection in systematic reviews: a methodological systematic review. </w:t>
      </w:r>
      <w:r w:rsidRPr="006F05BE">
        <w:rPr>
          <w:i/>
        </w:rPr>
        <w:t>BMC Medical Research Methodology</w:t>
      </w:r>
      <w:r>
        <w:t>, 19, 132. doi:10.1186/s12874-019-0782-0.</w:t>
      </w:r>
    </w:p>
    <w:p w14:paraId="41E31A39" w14:textId="77777777" w:rsidR="001A423D" w:rsidRDefault="001A423D" w:rsidP="006F05BE">
      <w:pPr>
        <w:pStyle w:val="ListParagraph"/>
        <w:numPr>
          <w:ilvl w:val="0"/>
          <w:numId w:val="2"/>
        </w:numPr>
        <w:spacing w:after="100"/>
      </w:pPr>
      <w:r>
        <w:t xml:space="preserve">Wagenlehner, F. et al. (2022). A global perspective on improving patient care in uncomplicated urinary tract infection: expert consensus and practical guidance. </w:t>
      </w:r>
      <w:r w:rsidRPr="006F05BE">
        <w:rPr>
          <w:i/>
        </w:rPr>
        <w:t>Journal of Global Antimicrobial Resistance</w:t>
      </w:r>
      <w:r>
        <w:t>, 28, pp.18–29. doi:10.1016/j.jgar.2021.11.008.</w:t>
      </w:r>
    </w:p>
    <w:p w14:paraId="4071C430" w14:textId="77777777" w:rsidR="001A423D" w:rsidRPr="001A423D" w:rsidRDefault="001A423D" w:rsidP="006F05BE">
      <w:pPr>
        <w:pStyle w:val="ListParagraph"/>
        <w:numPr>
          <w:ilvl w:val="0"/>
          <w:numId w:val="2"/>
        </w:numPr>
        <w:spacing w:after="100"/>
      </w:pPr>
      <w:r w:rsidRPr="001A423D">
        <w:t xml:space="preserve">Wilcox, M.H., Heaton, D., Mulgirigama, A., Joshi, A.V., Chirikov, V., Gibbons, D.C., Webb, D., Marston, X.L., Alexander, M.N. and Mitrani-Gold, F.S. (2025). Treatment patterns and burden of uncomplicated urinary tract infection in England: a retrospective cohort study. </w:t>
      </w:r>
      <w:r w:rsidRPr="006F05BE">
        <w:rPr>
          <w:i/>
          <w:iCs/>
        </w:rPr>
        <w:t>BJGP Open</w:t>
      </w:r>
      <w:r w:rsidRPr="001A423D">
        <w:t>, 9(2), BJGPO.2024.0214. doi:10.3399/BJGPO.2024.0214.</w:t>
      </w:r>
    </w:p>
    <w:p w14:paraId="67804A37" w14:textId="77777777" w:rsidR="001A423D" w:rsidRDefault="001A423D" w:rsidP="006F05BE">
      <w:pPr>
        <w:pStyle w:val="ListParagraph"/>
        <w:numPr>
          <w:ilvl w:val="0"/>
          <w:numId w:val="2"/>
        </w:numPr>
        <w:spacing w:after="100"/>
      </w:pPr>
      <w:r>
        <w:t xml:space="preserve">Williams, G., Stothart, C.I., Hahn, D., Stephens, J.H., Craig, J.C. and Hodson, E.M. (2023). Cranberries for preventing urinary tract infections. </w:t>
      </w:r>
      <w:r w:rsidRPr="006F05BE">
        <w:rPr>
          <w:i/>
        </w:rPr>
        <w:t>Cochrane Database of Systematic Reviews</w:t>
      </w:r>
      <w:r>
        <w:t>, Issue 11, CD001321. doi:10.1002/14651858.CD001321.pub7.</w:t>
      </w:r>
    </w:p>
    <w:p w14:paraId="3FAC0595" w14:textId="77777777" w:rsidR="001A423D" w:rsidRPr="001A423D" w:rsidRDefault="001A423D" w:rsidP="006F05BE">
      <w:pPr>
        <w:pStyle w:val="ListParagraph"/>
        <w:numPr>
          <w:ilvl w:val="0"/>
          <w:numId w:val="2"/>
        </w:numPr>
        <w:spacing w:after="100"/>
      </w:pPr>
      <w:r w:rsidRPr="001A423D">
        <w:t>World Health Organization (WHO) (2018). Guidance on ethical considerations in planning and reviewing research studies on sexual and reproductive health in adolescents. Geneva: World Health Organization. Available at: https://www.who.int/publications/i/item/9789241508414 [Accessed 9 Aug. 2026].</w:t>
      </w:r>
    </w:p>
    <w:p w14:paraId="455F0AA8" w14:textId="77777777" w:rsidR="001A423D" w:rsidRPr="001A423D" w:rsidRDefault="001A423D" w:rsidP="006F05BE">
      <w:pPr>
        <w:pStyle w:val="ListParagraph"/>
        <w:numPr>
          <w:ilvl w:val="0"/>
          <w:numId w:val="2"/>
        </w:numPr>
        <w:spacing w:after="100"/>
      </w:pPr>
      <w:r w:rsidRPr="001A423D">
        <w:t>World Health Organization (WHO) (2024). Adolescent and young adult health. 26 November. Available at: https://www.who.int/news-room/fact-sheets/detail/adolescents-health-risks-and-solutions [Accessed 9 Aug. 2026].</w:t>
      </w:r>
    </w:p>
    <w:p w14:paraId="6A28AD97" w14:textId="0D782164" w:rsidR="001D01B7" w:rsidRDefault="001A423D" w:rsidP="006F05BE">
      <w:pPr>
        <w:pStyle w:val="ListParagraph"/>
        <w:numPr>
          <w:ilvl w:val="0"/>
          <w:numId w:val="2"/>
        </w:numPr>
        <w:spacing w:after="100"/>
      </w:pPr>
      <w:r w:rsidRPr="001A423D">
        <w:t xml:space="preserve">Zhu, N.J., McLeod, M., McNulty, C.A.M., Lecky, D.M., Holmes, A.H. and Ahmad, R. (2021). Trends in antibiotic prescribing in out-of-hours primary care in England from January 2016 to June 2020 to understand behaviours during the first wave of COVID-19. </w:t>
      </w:r>
      <w:r w:rsidRPr="006F05BE">
        <w:rPr>
          <w:i/>
          <w:iCs/>
        </w:rPr>
        <w:t>Antibiotics</w:t>
      </w:r>
      <w:r w:rsidRPr="001A423D">
        <w:t>, 10(1), 32. doi:10.3390/antibiotics10010032.</w:t>
      </w:r>
    </w:p>
    <w:p w14:paraId="54A5A2D6" w14:textId="77777777" w:rsidR="001D01B7" w:rsidRDefault="001D01B7">
      <w:pPr>
        <w:spacing w:line="259" w:lineRule="auto"/>
        <w:jc w:val="left"/>
      </w:pPr>
      <w:r>
        <w:br w:type="page"/>
      </w:r>
    </w:p>
    <w:p w14:paraId="178CBE95" w14:textId="0D60345A" w:rsidR="001A423D" w:rsidRDefault="00B336D2" w:rsidP="00B336D2">
      <w:pPr>
        <w:pStyle w:val="Heading1"/>
      </w:pPr>
      <w:bookmarkStart w:id="217" w:name="_Toc240927803"/>
      <w:r>
        <w:t>Appendices</w:t>
      </w:r>
      <w:bookmarkEnd w:id="217"/>
    </w:p>
    <w:p w14:paraId="7CD33110" w14:textId="77777777" w:rsidR="00EA465B" w:rsidRDefault="00EA465B" w:rsidP="00DC7F06">
      <w:pPr>
        <w:pStyle w:val="Heading2"/>
      </w:pPr>
      <w:bookmarkStart w:id="218" w:name="_Toc240927804"/>
      <w:r>
        <w:t>Appendix 1 – Quality Appraisal and Methodological Summary</w:t>
      </w:r>
      <w:bookmarkEnd w:id="218"/>
    </w:p>
    <w:p w14:paraId="34C51268" w14:textId="77777777" w:rsidR="00EA465B" w:rsidRDefault="00EA465B" w:rsidP="004313AF">
      <w:r>
        <w:t>Table A1: Design-Specific Quality Appraisal Framework Used in the Review</w:t>
      </w:r>
    </w:p>
    <w:tbl>
      <w:tblPr>
        <w:tblStyle w:val="TableGrid"/>
        <w:tblW w:w="0" w:type="auto"/>
        <w:tblLook w:val="04A0" w:firstRow="1" w:lastRow="0" w:firstColumn="1" w:lastColumn="0" w:noHBand="0" w:noVBand="1"/>
      </w:tblPr>
      <w:tblGrid>
        <w:gridCol w:w="2615"/>
        <w:gridCol w:w="2599"/>
        <w:gridCol w:w="2692"/>
        <w:gridCol w:w="2630"/>
      </w:tblGrid>
      <w:tr w:rsidR="00EA465B" w14:paraId="0275094D" w14:textId="77777777" w:rsidTr="008E3D62">
        <w:tc>
          <w:tcPr>
            <w:tcW w:w="3869" w:type="dxa"/>
          </w:tcPr>
          <w:p w14:paraId="075FE4DE" w14:textId="77777777" w:rsidR="00EA465B" w:rsidRDefault="00EA465B" w:rsidP="009B0AFF">
            <w:r>
              <w:rPr>
                <w:rFonts w:ascii="Times New Roman" w:eastAsia="Times New Roman" w:hAnsi="Times New Roman"/>
                <w:b/>
                <w:sz w:val="16"/>
              </w:rPr>
              <w:t>Study design</w:t>
            </w:r>
          </w:p>
        </w:tc>
        <w:tc>
          <w:tcPr>
            <w:tcW w:w="3869" w:type="dxa"/>
          </w:tcPr>
          <w:p w14:paraId="04DBDE43" w14:textId="77777777" w:rsidR="00EA465B" w:rsidRDefault="00EA465B" w:rsidP="009B0AFF">
            <w:r>
              <w:rPr>
                <w:rFonts w:ascii="Times New Roman" w:eastAsia="Times New Roman" w:hAnsi="Times New Roman"/>
                <w:b/>
                <w:sz w:val="16"/>
              </w:rPr>
              <w:t>Appraisal tool stated in dissertation</w:t>
            </w:r>
          </w:p>
        </w:tc>
        <w:tc>
          <w:tcPr>
            <w:tcW w:w="3869" w:type="dxa"/>
          </w:tcPr>
          <w:p w14:paraId="01EA5A01" w14:textId="77777777" w:rsidR="00EA465B" w:rsidRDefault="00EA465B" w:rsidP="009B0AFF">
            <w:r>
              <w:rPr>
                <w:rFonts w:ascii="Times New Roman" w:eastAsia="Times New Roman" w:hAnsi="Times New Roman"/>
                <w:b/>
                <w:sz w:val="16"/>
              </w:rPr>
              <w:t>Main appraisal domains</w:t>
            </w:r>
          </w:p>
        </w:tc>
        <w:tc>
          <w:tcPr>
            <w:tcW w:w="3869" w:type="dxa"/>
          </w:tcPr>
          <w:p w14:paraId="168B8B8B" w14:textId="77777777" w:rsidR="00EA465B" w:rsidRDefault="00EA465B" w:rsidP="009B0AFF">
            <w:r>
              <w:rPr>
                <w:rFonts w:ascii="Times New Roman" w:eastAsia="Times New Roman" w:hAnsi="Times New Roman"/>
                <w:b/>
                <w:sz w:val="16"/>
              </w:rPr>
              <w:t>Decision rule stated in dissertation</w:t>
            </w:r>
          </w:p>
        </w:tc>
      </w:tr>
      <w:tr w:rsidR="00EA465B" w14:paraId="00C5A258" w14:textId="77777777" w:rsidTr="008E3D62">
        <w:tc>
          <w:tcPr>
            <w:tcW w:w="3869" w:type="dxa"/>
          </w:tcPr>
          <w:p w14:paraId="5EF2831F" w14:textId="77777777" w:rsidR="00EA465B" w:rsidRDefault="00EA465B" w:rsidP="009B0AFF">
            <w:r>
              <w:rPr>
                <w:rFonts w:ascii="Times New Roman" w:eastAsia="Times New Roman" w:hAnsi="Times New Roman"/>
                <w:sz w:val="16"/>
              </w:rPr>
              <w:t>Cross-sectional / prevalence</w:t>
            </w:r>
          </w:p>
        </w:tc>
        <w:tc>
          <w:tcPr>
            <w:tcW w:w="3869" w:type="dxa"/>
          </w:tcPr>
          <w:p w14:paraId="189D264A" w14:textId="77777777" w:rsidR="00EA465B" w:rsidRDefault="00EA465B" w:rsidP="009B0AFF">
            <w:r>
              <w:rPr>
                <w:rFonts w:ascii="Times New Roman" w:eastAsia="Times New Roman" w:hAnsi="Times New Roman"/>
                <w:sz w:val="16"/>
              </w:rPr>
              <w:t>JBI Analytical Cross-Sectional Checklist</w:t>
            </w:r>
          </w:p>
        </w:tc>
        <w:tc>
          <w:tcPr>
            <w:tcW w:w="3869" w:type="dxa"/>
          </w:tcPr>
          <w:p w14:paraId="5FD2B02F" w14:textId="77777777" w:rsidR="00EA465B" w:rsidRDefault="00EA465B" w:rsidP="009B0AFF">
            <w:r>
              <w:rPr>
                <w:rFonts w:ascii="Times New Roman" w:eastAsia="Times New Roman" w:hAnsi="Times New Roman"/>
                <w:sz w:val="16"/>
              </w:rPr>
              <w:t>Sampling, measurement, confounding and analysis</w:t>
            </w:r>
          </w:p>
        </w:tc>
        <w:tc>
          <w:tcPr>
            <w:tcW w:w="3869" w:type="dxa"/>
          </w:tcPr>
          <w:p w14:paraId="30BDE9F8" w14:textId="77777777" w:rsidR="00EA465B" w:rsidRDefault="00EA465B" w:rsidP="009B0AFF">
            <w:r>
              <w:rPr>
                <w:rFonts w:ascii="Times New Roman" w:eastAsia="Times New Roman" w:hAnsi="Times New Roman"/>
                <w:sz w:val="16"/>
              </w:rPr>
              <w:t>&lt;50% exclude; 50–59% low; 60–79% moderate; 80–100% high</w:t>
            </w:r>
          </w:p>
        </w:tc>
      </w:tr>
      <w:tr w:rsidR="00EA465B" w14:paraId="42C927C5" w14:textId="77777777" w:rsidTr="008E3D62">
        <w:tc>
          <w:tcPr>
            <w:tcW w:w="3869" w:type="dxa"/>
          </w:tcPr>
          <w:p w14:paraId="38F1B5E1" w14:textId="77777777" w:rsidR="00EA465B" w:rsidRDefault="00EA465B" w:rsidP="009B0AFF">
            <w:r>
              <w:rPr>
                <w:rFonts w:ascii="Times New Roman" w:eastAsia="Times New Roman" w:hAnsi="Times New Roman"/>
                <w:sz w:val="16"/>
              </w:rPr>
              <w:t>Cohort / ecological / quasi-experimental</w:t>
            </w:r>
          </w:p>
        </w:tc>
        <w:tc>
          <w:tcPr>
            <w:tcW w:w="3869" w:type="dxa"/>
          </w:tcPr>
          <w:p w14:paraId="2BDB3D27" w14:textId="77777777" w:rsidR="00EA465B" w:rsidRDefault="00EA465B" w:rsidP="009B0AFF">
            <w:r>
              <w:rPr>
                <w:rFonts w:ascii="Times New Roman" w:eastAsia="Times New Roman" w:hAnsi="Times New Roman"/>
                <w:sz w:val="16"/>
              </w:rPr>
              <w:t>Relevant JBI checklist</w:t>
            </w:r>
          </w:p>
        </w:tc>
        <w:tc>
          <w:tcPr>
            <w:tcW w:w="3869" w:type="dxa"/>
          </w:tcPr>
          <w:p w14:paraId="14C5B9E4" w14:textId="77777777" w:rsidR="00EA465B" w:rsidRDefault="00EA465B" w:rsidP="009B0AFF">
            <w:r>
              <w:rPr>
                <w:rFonts w:ascii="Times New Roman" w:eastAsia="Times New Roman" w:hAnsi="Times New Roman"/>
                <w:sz w:val="16"/>
              </w:rPr>
              <w:t>Comparability, sequence, confounding, outcomes and analysis</w:t>
            </w:r>
          </w:p>
        </w:tc>
        <w:tc>
          <w:tcPr>
            <w:tcW w:w="3869" w:type="dxa"/>
          </w:tcPr>
          <w:p w14:paraId="00792691" w14:textId="77777777" w:rsidR="00EA465B" w:rsidRDefault="00EA465B" w:rsidP="009B0AFF">
            <w:r>
              <w:rPr>
                <w:rFonts w:ascii="Times New Roman" w:eastAsia="Times New Roman" w:hAnsi="Times New Roman"/>
                <w:sz w:val="16"/>
              </w:rPr>
              <w:t>Same thresholds; design limitations recorded</w:t>
            </w:r>
          </w:p>
        </w:tc>
      </w:tr>
      <w:tr w:rsidR="00EA465B" w14:paraId="4F4C2195" w14:textId="77777777" w:rsidTr="008E3D62">
        <w:tc>
          <w:tcPr>
            <w:tcW w:w="3869" w:type="dxa"/>
          </w:tcPr>
          <w:p w14:paraId="3A079905" w14:textId="77777777" w:rsidR="00EA465B" w:rsidRDefault="00EA465B" w:rsidP="009B0AFF">
            <w:r>
              <w:rPr>
                <w:rFonts w:ascii="Times New Roman" w:eastAsia="Times New Roman" w:hAnsi="Times New Roman"/>
                <w:sz w:val="16"/>
              </w:rPr>
              <w:t>Randomised trial</w:t>
            </w:r>
          </w:p>
        </w:tc>
        <w:tc>
          <w:tcPr>
            <w:tcW w:w="3869" w:type="dxa"/>
          </w:tcPr>
          <w:p w14:paraId="50861BB3" w14:textId="77777777" w:rsidR="00EA465B" w:rsidRDefault="00EA465B" w:rsidP="009B0AFF">
            <w:r>
              <w:rPr>
                <w:rFonts w:ascii="Times New Roman" w:eastAsia="Times New Roman" w:hAnsi="Times New Roman"/>
                <w:sz w:val="16"/>
              </w:rPr>
              <w:t>JBI RCT Checklist</w:t>
            </w:r>
          </w:p>
        </w:tc>
        <w:tc>
          <w:tcPr>
            <w:tcW w:w="3869" w:type="dxa"/>
          </w:tcPr>
          <w:p w14:paraId="43E1756C" w14:textId="77777777" w:rsidR="00EA465B" w:rsidRDefault="00EA465B" w:rsidP="009B0AFF">
            <w:r>
              <w:rPr>
                <w:rFonts w:ascii="Times New Roman" w:eastAsia="Times New Roman" w:hAnsi="Times New Roman"/>
                <w:sz w:val="16"/>
              </w:rPr>
              <w:t>Randomisation, allocation, blinding, follow-up and analysis</w:t>
            </w:r>
          </w:p>
        </w:tc>
        <w:tc>
          <w:tcPr>
            <w:tcW w:w="3869" w:type="dxa"/>
          </w:tcPr>
          <w:p w14:paraId="3B629071" w14:textId="77777777" w:rsidR="00EA465B" w:rsidRDefault="00EA465B" w:rsidP="009B0AFF">
            <w:r>
              <w:rPr>
                <w:rFonts w:ascii="Times New Roman" w:eastAsia="Times New Roman" w:hAnsi="Times New Roman"/>
                <w:sz w:val="16"/>
              </w:rPr>
              <w:t>Same thresholds; no pooling because of heterogeneity</w:t>
            </w:r>
          </w:p>
        </w:tc>
      </w:tr>
      <w:tr w:rsidR="00EA465B" w14:paraId="4664C13B" w14:textId="77777777" w:rsidTr="008E3D62">
        <w:tc>
          <w:tcPr>
            <w:tcW w:w="3869" w:type="dxa"/>
          </w:tcPr>
          <w:p w14:paraId="36B12580" w14:textId="77777777" w:rsidR="00EA465B" w:rsidRDefault="00EA465B" w:rsidP="009B0AFF">
            <w:r>
              <w:rPr>
                <w:rFonts w:ascii="Times New Roman" w:eastAsia="Times New Roman" w:hAnsi="Times New Roman"/>
                <w:sz w:val="16"/>
              </w:rPr>
              <w:t>Qualitative (if identified)</w:t>
            </w:r>
          </w:p>
        </w:tc>
        <w:tc>
          <w:tcPr>
            <w:tcW w:w="3869" w:type="dxa"/>
          </w:tcPr>
          <w:p w14:paraId="44F86735" w14:textId="77777777" w:rsidR="00EA465B" w:rsidRDefault="00EA465B" w:rsidP="009B0AFF">
            <w:r>
              <w:rPr>
                <w:rFonts w:ascii="Times New Roman" w:eastAsia="Times New Roman" w:hAnsi="Times New Roman"/>
                <w:sz w:val="16"/>
              </w:rPr>
              <w:t>CASP Qualitative Checklist</w:t>
            </w:r>
          </w:p>
        </w:tc>
        <w:tc>
          <w:tcPr>
            <w:tcW w:w="3869" w:type="dxa"/>
          </w:tcPr>
          <w:p w14:paraId="089C2F94" w14:textId="77777777" w:rsidR="00EA465B" w:rsidRDefault="00EA465B" w:rsidP="009B0AFF">
            <w:r>
              <w:rPr>
                <w:rFonts w:ascii="Times New Roman" w:eastAsia="Times New Roman" w:hAnsi="Times New Roman"/>
                <w:sz w:val="16"/>
              </w:rPr>
              <w:t>Aim, recruitment, data collection, reflexivity, ethics, analysis and findings</w:t>
            </w:r>
          </w:p>
        </w:tc>
        <w:tc>
          <w:tcPr>
            <w:tcW w:w="3869" w:type="dxa"/>
          </w:tcPr>
          <w:p w14:paraId="6AD9F3A4" w14:textId="77777777" w:rsidR="00EA465B" w:rsidRDefault="00EA465B" w:rsidP="009B0AFF">
            <w:r>
              <w:rPr>
                <w:rFonts w:ascii="Times New Roman" w:eastAsia="Times New Roman" w:hAnsi="Times New Roman"/>
                <w:sz w:val="16"/>
              </w:rPr>
              <w:t>Same thresholds</w:t>
            </w:r>
          </w:p>
        </w:tc>
      </w:tr>
      <w:tr w:rsidR="00EA465B" w14:paraId="325FEFCE" w14:textId="77777777" w:rsidTr="008E3D62">
        <w:tc>
          <w:tcPr>
            <w:tcW w:w="3869" w:type="dxa"/>
          </w:tcPr>
          <w:p w14:paraId="2255C895" w14:textId="77777777" w:rsidR="00EA465B" w:rsidRDefault="00EA465B" w:rsidP="009B0AFF">
            <w:r>
              <w:rPr>
                <w:rFonts w:ascii="Times New Roman" w:eastAsia="Times New Roman" w:hAnsi="Times New Roman"/>
                <w:sz w:val="16"/>
              </w:rPr>
              <w:t>Mixed-method (if identified)</w:t>
            </w:r>
          </w:p>
        </w:tc>
        <w:tc>
          <w:tcPr>
            <w:tcW w:w="3869" w:type="dxa"/>
          </w:tcPr>
          <w:p w14:paraId="4FFCAEEE" w14:textId="77777777" w:rsidR="00EA465B" w:rsidRDefault="00EA465B" w:rsidP="009B0AFF">
            <w:r>
              <w:rPr>
                <w:rFonts w:ascii="Times New Roman" w:eastAsia="Times New Roman" w:hAnsi="Times New Roman"/>
                <w:sz w:val="16"/>
              </w:rPr>
              <w:t>MMAT</w:t>
            </w:r>
          </w:p>
        </w:tc>
        <w:tc>
          <w:tcPr>
            <w:tcW w:w="3869" w:type="dxa"/>
          </w:tcPr>
          <w:p w14:paraId="2BCFC025" w14:textId="77777777" w:rsidR="00EA465B" w:rsidRDefault="00EA465B" w:rsidP="009B0AFF">
            <w:r>
              <w:rPr>
                <w:rFonts w:ascii="Times New Roman" w:eastAsia="Times New Roman" w:hAnsi="Times New Roman"/>
                <w:sz w:val="16"/>
              </w:rPr>
              <w:t>Quality of each component and integration</w:t>
            </w:r>
          </w:p>
        </w:tc>
        <w:tc>
          <w:tcPr>
            <w:tcW w:w="3869" w:type="dxa"/>
          </w:tcPr>
          <w:p w14:paraId="5C0B238E" w14:textId="77777777" w:rsidR="00EA465B" w:rsidRDefault="00EA465B" w:rsidP="009B0AFF">
            <w:r>
              <w:rPr>
                <w:rFonts w:ascii="Times New Roman" w:eastAsia="Times New Roman" w:hAnsi="Times New Roman"/>
                <w:sz w:val="16"/>
              </w:rPr>
              <w:t>Interpretation based on the weakest important component</w:t>
            </w:r>
          </w:p>
        </w:tc>
      </w:tr>
    </w:tbl>
    <w:p w14:paraId="257F76EC" w14:textId="77777777" w:rsidR="00EA465B" w:rsidRDefault="00EA465B" w:rsidP="004313AF">
      <w:r>
        <w:t>Table A2: Study-Level Appraisal Summary – Educational / Intervention Studies</w:t>
      </w:r>
    </w:p>
    <w:tbl>
      <w:tblPr>
        <w:tblStyle w:val="TableGrid"/>
        <w:tblW w:w="0" w:type="auto"/>
        <w:tblLook w:val="04A0" w:firstRow="1" w:lastRow="0" w:firstColumn="1" w:lastColumn="0" w:noHBand="0" w:noVBand="1"/>
      </w:tblPr>
      <w:tblGrid>
        <w:gridCol w:w="1966"/>
        <w:gridCol w:w="2093"/>
        <w:gridCol w:w="2260"/>
        <w:gridCol w:w="2080"/>
        <w:gridCol w:w="2137"/>
      </w:tblGrid>
      <w:tr w:rsidR="00EA465B" w14:paraId="3631515B" w14:textId="77777777" w:rsidTr="004313AF">
        <w:tc>
          <w:tcPr>
            <w:tcW w:w="3096" w:type="dxa"/>
          </w:tcPr>
          <w:p w14:paraId="26020158" w14:textId="77777777" w:rsidR="00EA465B" w:rsidRDefault="00EA465B" w:rsidP="009B0AFF">
            <w:r>
              <w:rPr>
                <w:rFonts w:ascii="Times New Roman" w:eastAsia="Times New Roman" w:hAnsi="Times New Roman"/>
                <w:b/>
                <w:sz w:val="15"/>
              </w:rPr>
              <w:t>Study</w:t>
            </w:r>
          </w:p>
        </w:tc>
        <w:tc>
          <w:tcPr>
            <w:tcW w:w="3096" w:type="dxa"/>
          </w:tcPr>
          <w:p w14:paraId="35FA5CFE" w14:textId="77777777" w:rsidR="00EA465B" w:rsidRDefault="00EA465B" w:rsidP="009B0AFF">
            <w:r>
              <w:rPr>
                <w:rFonts w:ascii="Times New Roman" w:eastAsia="Times New Roman" w:hAnsi="Times New Roman"/>
                <w:b/>
                <w:sz w:val="15"/>
              </w:rPr>
              <w:t>Design</w:t>
            </w:r>
          </w:p>
        </w:tc>
        <w:tc>
          <w:tcPr>
            <w:tcW w:w="3096" w:type="dxa"/>
          </w:tcPr>
          <w:p w14:paraId="60CE55D0" w14:textId="77777777" w:rsidR="00EA465B" w:rsidRDefault="00EA465B" w:rsidP="009B0AFF">
            <w:r>
              <w:rPr>
                <w:rFonts w:ascii="Times New Roman" w:eastAsia="Times New Roman" w:hAnsi="Times New Roman"/>
                <w:b/>
                <w:sz w:val="15"/>
              </w:rPr>
              <w:t>Documented strengths</w:t>
            </w:r>
          </w:p>
        </w:tc>
        <w:tc>
          <w:tcPr>
            <w:tcW w:w="3096" w:type="dxa"/>
          </w:tcPr>
          <w:p w14:paraId="66BEE8B9" w14:textId="77777777" w:rsidR="00EA465B" w:rsidRDefault="00EA465B" w:rsidP="009B0AFF">
            <w:r>
              <w:rPr>
                <w:rFonts w:ascii="Times New Roman" w:eastAsia="Times New Roman" w:hAnsi="Times New Roman"/>
                <w:b/>
                <w:sz w:val="15"/>
              </w:rPr>
              <w:t>Documented limitations</w:t>
            </w:r>
          </w:p>
        </w:tc>
        <w:tc>
          <w:tcPr>
            <w:tcW w:w="3096" w:type="dxa"/>
          </w:tcPr>
          <w:p w14:paraId="44F2EB15" w14:textId="77777777" w:rsidR="00EA465B" w:rsidRDefault="00EA465B" w:rsidP="009B0AFF">
            <w:r>
              <w:rPr>
                <w:rFonts w:ascii="Times New Roman" w:eastAsia="Times New Roman" w:hAnsi="Times New Roman"/>
                <w:b/>
                <w:sz w:val="15"/>
              </w:rPr>
              <w:t>Interpretive use in dissertation</w:t>
            </w:r>
          </w:p>
        </w:tc>
      </w:tr>
      <w:tr w:rsidR="00EA465B" w14:paraId="248F6703" w14:textId="77777777" w:rsidTr="004313AF">
        <w:tc>
          <w:tcPr>
            <w:tcW w:w="3096" w:type="dxa"/>
          </w:tcPr>
          <w:p w14:paraId="1D0AE9E6" w14:textId="77777777" w:rsidR="00EA465B" w:rsidRDefault="00EA465B" w:rsidP="009B0AFF">
            <w:r>
              <w:rPr>
                <w:rFonts w:ascii="Times New Roman" w:eastAsia="Times New Roman" w:hAnsi="Times New Roman"/>
                <w:sz w:val="15"/>
              </w:rPr>
              <w:t>Al-Kotb et al. (2016)</w:t>
            </w:r>
          </w:p>
        </w:tc>
        <w:tc>
          <w:tcPr>
            <w:tcW w:w="3096" w:type="dxa"/>
          </w:tcPr>
          <w:p w14:paraId="46BBEE3A" w14:textId="77777777" w:rsidR="00EA465B" w:rsidRDefault="00EA465B" w:rsidP="009B0AFF">
            <w:r>
              <w:rPr>
                <w:rFonts w:ascii="Times New Roman" w:eastAsia="Times New Roman" w:hAnsi="Times New Roman"/>
                <w:sz w:val="15"/>
              </w:rPr>
              <w:t>Quasi-experimental pre/post</w:t>
            </w:r>
          </w:p>
        </w:tc>
        <w:tc>
          <w:tcPr>
            <w:tcW w:w="3096" w:type="dxa"/>
          </w:tcPr>
          <w:p w14:paraId="32AF0076" w14:textId="77777777" w:rsidR="00EA465B" w:rsidRDefault="00EA465B" w:rsidP="009B0AFF">
            <w:r>
              <w:rPr>
                <w:rFonts w:ascii="Times New Roman" w:eastAsia="Times New Roman" w:hAnsi="Times New Roman"/>
                <w:sz w:val="15"/>
              </w:rPr>
              <w:t>Large multistage sample; validity and reliability of instrument reported; direct UTI knowledge/hygiene measures</w:t>
            </w:r>
          </w:p>
        </w:tc>
        <w:tc>
          <w:tcPr>
            <w:tcW w:w="3096" w:type="dxa"/>
          </w:tcPr>
          <w:p w14:paraId="7EB17D17" w14:textId="77777777" w:rsidR="00EA465B" w:rsidRDefault="00EA465B" w:rsidP="009B0AFF">
            <w:r>
              <w:rPr>
                <w:rFonts w:ascii="Times New Roman" w:eastAsia="Times New Roman" w:hAnsi="Times New Roman"/>
                <w:sz w:val="15"/>
              </w:rPr>
              <w:t>No separate control group; causal attribution limited</w:t>
            </w:r>
          </w:p>
        </w:tc>
        <w:tc>
          <w:tcPr>
            <w:tcW w:w="3096" w:type="dxa"/>
          </w:tcPr>
          <w:p w14:paraId="7A18CD78" w14:textId="77777777" w:rsidR="00EA465B" w:rsidRDefault="00EA465B" w:rsidP="009B0AFF">
            <w:r>
              <w:rPr>
                <w:rFonts w:ascii="Times New Roman" w:eastAsia="Times New Roman" w:hAnsi="Times New Roman"/>
                <w:sz w:val="15"/>
              </w:rPr>
              <w:t>Retained; interpret intervention effect cautiously</w:t>
            </w:r>
          </w:p>
        </w:tc>
      </w:tr>
      <w:tr w:rsidR="00EA465B" w14:paraId="5C3356A7" w14:textId="77777777" w:rsidTr="004313AF">
        <w:tc>
          <w:tcPr>
            <w:tcW w:w="3096" w:type="dxa"/>
          </w:tcPr>
          <w:p w14:paraId="2C6F9FA7" w14:textId="77777777" w:rsidR="00EA465B" w:rsidRDefault="00EA465B" w:rsidP="009B0AFF">
            <w:r>
              <w:rPr>
                <w:rFonts w:ascii="Times New Roman" w:eastAsia="Times New Roman" w:hAnsi="Times New Roman"/>
                <w:sz w:val="15"/>
              </w:rPr>
              <w:t>Shikhare and Taksande (2017)</w:t>
            </w:r>
          </w:p>
        </w:tc>
        <w:tc>
          <w:tcPr>
            <w:tcW w:w="3096" w:type="dxa"/>
          </w:tcPr>
          <w:p w14:paraId="514CA109" w14:textId="77777777" w:rsidR="00EA465B" w:rsidRDefault="00EA465B" w:rsidP="009B0AFF">
            <w:r>
              <w:rPr>
                <w:rFonts w:ascii="Times New Roman" w:eastAsia="Times New Roman" w:hAnsi="Times New Roman"/>
                <w:sz w:val="15"/>
              </w:rPr>
              <w:t>One-group pre/post</w:t>
            </w:r>
          </w:p>
        </w:tc>
        <w:tc>
          <w:tcPr>
            <w:tcW w:w="3096" w:type="dxa"/>
          </w:tcPr>
          <w:p w14:paraId="03CAA82C" w14:textId="77777777" w:rsidR="00EA465B" w:rsidRDefault="00EA465B" w:rsidP="009B0AFF">
            <w:r>
              <w:rPr>
                <w:rFonts w:ascii="Times New Roman" w:eastAsia="Times New Roman" w:hAnsi="Times New Roman"/>
                <w:sz w:val="15"/>
              </w:rPr>
              <w:t>Clear pre/post knowledge measure</w:t>
            </w:r>
          </w:p>
        </w:tc>
        <w:tc>
          <w:tcPr>
            <w:tcW w:w="3096" w:type="dxa"/>
          </w:tcPr>
          <w:p w14:paraId="10A2418E" w14:textId="77777777" w:rsidR="00EA465B" w:rsidRDefault="00EA465B" w:rsidP="009B0AFF">
            <w:r>
              <w:rPr>
                <w:rFonts w:ascii="Times New Roman" w:eastAsia="Times New Roman" w:hAnsi="Times New Roman"/>
                <w:sz w:val="15"/>
              </w:rPr>
              <w:t>Convenience sampling; no concurrent control group</w:t>
            </w:r>
          </w:p>
        </w:tc>
        <w:tc>
          <w:tcPr>
            <w:tcW w:w="3096" w:type="dxa"/>
          </w:tcPr>
          <w:p w14:paraId="3BB9A673" w14:textId="77777777" w:rsidR="00EA465B" w:rsidRDefault="00EA465B" w:rsidP="009B0AFF">
            <w:r>
              <w:rPr>
                <w:rFonts w:ascii="Times New Roman" w:eastAsia="Times New Roman" w:hAnsi="Times New Roman"/>
                <w:sz w:val="15"/>
              </w:rPr>
              <w:t>Retained; short-term knowledge gain, limited causal certainty</w:t>
            </w:r>
          </w:p>
        </w:tc>
      </w:tr>
      <w:tr w:rsidR="00EA465B" w14:paraId="69D847F4" w14:textId="77777777" w:rsidTr="004313AF">
        <w:tc>
          <w:tcPr>
            <w:tcW w:w="3096" w:type="dxa"/>
          </w:tcPr>
          <w:p w14:paraId="38902C72" w14:textId="77777777" w:rsidR="00EA465B" w:rsidRDefault="00EA465B" w:rsidP="009B0AFF">
            <w:r>
              <w:rPr>
                <w:rFonts w:ascii="Times New Roman" w:eastAsia="Times New Roman" w:hAnsi="Times New Roman"/>
                <w:sz w:val="15"/>
              </w:rPr>
              <w:t>Vijayan et al. (2018)</w:t>
            </w:r>
          </w:p>
        </w:tc>
        <w:tc>
          <w:tcPr>
            <w:tcW w:w="3096" w:type="dxa"/>
          </w:tcPr>
          <w:p w14:paraId="0E05DAD9" w14:textId="77777777" w:rsidR="00EA465B" w:rsidRDefault="00EA465B" w:rsidP="009B0AFF">
            <w:r>
              <w:rPr>
                <w:rFonts w:ascii="Times New Roman" w:eastAsia="Times New Roman" w:hAnsi="Times New Roman"/>
                <w:sz w:val="15"/>
              </w:rPr>
              <w:t>Community interventional</w:t>
            </w:r>
          </w:p>
        </w:tc>
        <w:tc>
          <w:tcPr>
            <w:tcW w:w="3096" w:type="dxa"/>
          </w:tcPr>
          <w:p w14:paraId="11A96A9C" w14:textId="77777777" w:rsidR="00EA465B" w:rsidRDefault="00EA465B" w:rsidP="009B0AFF">
            <w:r>
              <w:rPr>
                <w:rFonts w:ascii="Times New Roman" w:eastAsia="Times New Roman" w:hAnsi="Times New Roman"/>
                <w:sz w:val="15"/>
              </w:rPr>
              <w:t>Large sample; included practice/hygiene outcomes as well as knowledge</w:t>
            </w:r>
          </w:p>
        </w:tc>
        <w:tc>
          <w:tcPr>
            <w:tcW w:w="3096" w:type="dxa"/>
          </w:tcPr>
          <w:p w14:paraId="2B6BA9DB" w14:textId="77777777" w:rsidR="00EA465B" w:rsidRDefault="00EA465B" w:rsidP="009B0AFF">
            <w:r>
              <w:rPr>
                <w:rFonts w:ascii="Times New Roman" w:eastAsia="Times New Roman" w:hAnsi="Times New Roman"/>
                <w:sz w:val="15"/>
              </w:rPr>
              <w:t>Uncontrolled intervention</w:t>
            </w:r>
          </w:p>
        </w:tc>
        <w:tc>
          <w:tcPr>
            <w:tcW w:w="3096" w:type="dxa"/>
          </w:tcPr>
          <w:p w14:paraId="5C5FFF76" w14:textId="77777777" w:rsidR="00EA465B" w:rsidRDefault="00EA465B" w:rsidP="009B0AFF">
            <w:r>
              <w:rPr>
                <w:rFonts w:ascii="Times New Roman" w:eastAsia="Times New Roman" w:hAnsi="Times New Roman"/>
                <w:sz w:val="15"/>
              </w:rPr>
              <w:t>Retained; direction of change informative, causality limited</w:t>
            </w:r>
          </w:p>
        </w:tc>
      </w:tr>
      <w:tr w:rsidR="00EA465B" w14:paraId="580A5727" w14:textId="77777777" w:rsidTr="004313AF">
        <w:tc>
          <w:tcPr>
            <w:tcW w:w="3096" w:type="dxa"/>
          </w:tcPr>
          <w:p w14:paraId="294D3FAC" w14:textId="77777777" w:rsidR="00EA465B" w:rsidRDefault="00EA465B" w:rsidP="009B0AFF">
            <w:r>
              <w:rPr>
                <w:rFonts w:ascii="Times New Roman" w:eastAsia="Times New Roman" w:hAnsi="Times New Roman"/>
                <w:sz w:val="15"/>
              </w:rPr>
              <w:t>Saji et al. (2018)</w:t>
            </w:r>
          </w:p>
        </w:tc>
        <w:tc>
          <w:tcPr>
            <w:tcW w:w="3096" w:type="dxa"/>
          </w:tcPr>
          <w:p w14:paraId="13906FC5" w14:textId="77777777" w:rsidR="00EA465B" w:rsidRDefault="00EA465B" w:rsidP="009B0AFF">
            <w:r>
              <w:rPr>
                <w:rFonts w:ascii="Times New Roman" w:eastAsia="Times New Roman" w:hAnsi="Times New Roman"/>
                <w:sz w:val="15"/>
              </w:rPr>
              <w:t>Pre-experimental one-group pre/post</w:t>
            </w:r>
          </w:p>
        </w:tc>
        <w:tc>
          <w:tcPr>
            <w:tcW w:w="3096" w:type="dxa"/>
          </w:tcPr>
          <w:p w14:paraId="271C9A95" w14:textId="77777777" w:rsidR="00EA465B" w:rsidRDefault="00EA465B" w:rsidP="009B0AFF">
            <w:r>
              <w:rPr>
                <w:rFonts w:ascii="Times New Roman" w:eastAsia="Times New Roman" w:hAnsi="Times New Roman"/>
                <w:sz w:val="15"/>
              </w:rPr>
              <w:t>Age-relevant adolescent sample; clear educational effect</w:t>
            </w:r>
          </w:p>
        </w:tc>
        <w:tc>
          <w:tcPr>
            <w:tcW w:w="3096" w:type="dxa"/>
          </w:tcPr>
          <w:p w14:paraId="0F62FA95" w14:textId="77777777" w:rsidR="00EA465B" w:rsidRDefault="00EA465B" w:rsidP="009B0AFF">
            <w:r>
              <w:rPr>
                <w:rFonts w:ascii="Times New Roman" w:eastAsia="Times New Roman" w:hAnsi="Times New Roman"/>
                <w:sz w:val="15"/>
              </w:rPr>
              <w:t>Small convenience sample; no control group</w:t>
            </w:r>
          </w:p>
        </w:tc>
        <w:tc>
          <w:tcPr>
            <w:tcW w:w="3096" w:type="dxa"/>
          </w:tcPr>
          <w:p w14:paraId="6333DF4C" w14:textId="77777777" w:rsidR="00EA465B" w:rsidRDefault="00EA465B" w:rsidP="009B0AFF">
            <w:r>
              <w:rPr>
                <w:rFonts w:ascii="Times New Roman" w:eastAsia="Times New Roman" w:hAnsi="Times New Roman"/>
                <w:sz w:val="15"/>
              </w:rPr>
              <w:t>Retained; limited generalisability</w:t>
            </w:r>
          </w:p>
        </w:tc>
      </w:tr>
      <w:tr w:rsidR="00EA465B" w14:paraId="6684F204" w14:textId="77777777" w:rsidTr="004313AF">
        <w:tc>
          <w:tcPr>
            <w:tcW w:w="3096" w:type="dxa"/>
          </w:tcPr>
          <w:p w14:paraId="1FBE4644" w14:textId="77777777" w:rsidR="00EA465B" w:rsidRDefault="00EA465B" w:rsidP="009B0AFF">
            <w:r>
              <w:rPr>
                <w:rFonts w:ascii="Times New Roman" w:eastAsia="Times New Roman" w:hAnsi="Times New Roman"/>
                <w:sz w:val="15"/>
              </w:rPr>
              <w:t>Pascal et al. (2019)</w:t>
            </w:r>
          </w:p>
        </w:tc>
        <w:tc>
          <w:tcPr>
            <w:tcW w:w="3096" w:type="dxa"/>
          </w:tcPr>
          <w:p w14:paraId="619A6309" w14:textId="77777777" w:rsidR="00EA465B" w:rsidRDefault="00EA465B" w:rsidP="009B0AFF">
            <w:r>
              <w:rPr>
                <w:rFonts w:ascii="Times New Roman" w:eastAsia="Times New Roman" w:hAnsi="Times New Roman"/>
                <w:sz w:val="15"/>
              </w:rPr>
              <w:t>Pre-experimental one-group pre/post</w:t>
            </w:r>
          </w:p>
        </w:tc>
        <w:tc>
          <w:tcPr>
            <w:tcW w:w="3096" w:type="dxa"/>
          </w:tcPr>
          <w:p w14:paraId="7AD64348" w14:textId="77777777" w:rsidR="00EA465B" w:rsidRDefault="00EA465B" w:rsidP="009B0AFF">
            <w:r>
              <w:rPr>
                <w:rFonts w:ascii="Times New Roman" w:eastAsia="Times New Roman" w:hAnsi="Times New Roman"/>
                <w:sz w:val="15"/>
              </w:rPr>
              <w:t>Simple random sample; clear pre/post change</w:t>
            </w:r>
          </w:p>
        </w:tc>
        <w:tc>
          <w:tcPr>
            <w:tcW w:w="3096" w:type="dxa"/>
          </w:tcPr>
          <w:p w14:paraId="08E01A65" w14:textId="77777777" w:rsidR="00EA465B" w:rsidRDefault="00EA465B" w:rsidP="009B0AFF">
            <w:r>
              <w:rPr>
                <w:rFonts w:ascii="Times New Roman" w:eastAsia="Times New Roman" w:hAnsi="Times New Roman"/>
                <w:sz w:val="15"/>
              </w:rPr>
              <w:t>No control group; short follow-up</w:t>
            </w:r>
          </w:p>
        </w:tc>
        <w:tc>
          <w:tcPr>
            <w:tcW w:w="3096" w:type="dxa"/>
          </w:tcPr>
          <w:p w14:paraId="18614446" w14:textId="77777777" w:rsidR="00EA465B" w:rsidRDefault="00EA465B" w:rsidP="009B0AFF">
            <w:r>
              <w:rPr>
                <w:rFonts w:ascii="Times New Roman" w:eastAsia="Times New Roman" w:hAnsi="Times New Roman"/>
                <w:sz w:val="15"/>
              </w:rPr>
              <w:t>Retained; short-term knowledge effect only</w:t>
            </w:r>
          </w:p>
        </w:tc>
      </w:tr>
      <w:tr w:rsidR="00EA465B" w14:paraId="1886FDAD" w14:textId="77777777" w:rsidTr="004313AF">
        <w:tc>
          <w:tcPr>
            <w:tcW w:w="3096" w:type="dxa"/>
          </w:tcPr>
          <w:p w14:paraId="15457353" w14:textId="77777777" w:rsidR="00EA465B" w:rsidRDefault="00EA465B" w:rsidP="009B0AFF">
            <w:r>
              <w:rPr>
                <w:rFonts w:ascii="Times New Roman" w:eastAsia="Times New Roman" w:hAnsi="Times New Roman"/>
                <w:sz w:val="15"/>
              </w:rPr>
              <w:t>Nofal et al. (2020)</w:t>
            </w:r>
          </w:p>
        </w:tc>
        <w:tc>
          <w:tcPr>
            <w:tcW w:w="3096" w:type="dxa"/>
          </w:tcPr>
          <w:p w14:paraId="2465F1E6" w14:textId="77777777" w:rsidR="00EA465B" w:rsidRDefault="00EA465B" w:rsidP="009B0AFF">
            <w:r>
              <w:rPr>
                <w:rFonts w:ascii="Times New Roman" w:eastAsia="Times New Roman" w:hAnsi="Times New Roman"/>
                <w:sz w:val="15"/>
              </w:rPr>
              <w:t>Quasi-experimental</w:t>
            </w:r>
          </w:p>
        </w:tc>
        <w:tc>
          <w:tcPr>
            <w:tcW w:w="3096" w:type="dxa"/>
          </w:tcPr>
          <w:p w14:paraId="75FDC79D" w14:textId="77777777" w:rsidR="00EA465B" w:rsidRDefault="00EA465B" w:rsidP="009B0AFF">
            <w:r>
              <w:rPr>
                <w:rFonts w:ascii="Times New Roman" w:eastAsia="Times New Roman" w:hAnsi="Times New Roman"/>
                <w:sz w:val="15"/>
              </w:rPr>
              <w:t>Large multistage screening sample; questionnaire plus urine testing; knowledge and hygiene outcomes</w:t>
            </w:r>
          </w:p>
        </w:tc>
        <w:tc>
          <w:tcPr>
            <w:tcW w:w="3096" w:type="dxa"/>
          </w:tcPr>
          <w:p w14:paraId="23DFC1AE" w14:textId="77777777" w:rsidR="00EA465B" w:rsidRDefault="00EA465B" w:rsidP="009B0AFF">
            <w:r>
              <w:rPr>
                <w:rFonts w:ascii="Times New Roman" w:eastAsia="Times New Roman" w:hAnsi="Times New Roman"/>
                <w:sz w:val="15"/>
              </w:rPr>
              <w:t>Intervention analysis used a subset of the screened sample</w:t>
            </w:r>
          </w:p>
        </w:tc>
        <w:tc>
          <w:tcPr>
            <w:tcW w:w="3096" w:type="dxa"/>
          </w:tcPr>
          <w:p w14:paraId="5A15FC90" w14:textId="77777777" w:rsidR="00EA465B" w:rsidRDefault="00EA465B" w:rsidP="009B0AFF">
            <w:r>
              <w:rPr>
                <w:rFonts w:ascii="Times New Roman" w:eastAsia="Times New Roman" w:hAnsi="Times New Roman"/>
                <w:sz w:val="15"/>
              </w:rPr>
              <w:t>Retained; useful multi-domain evidence with subset limitation</w:t>
            </w:r>
          </w:p>
        </w:tc>
      </w:tr>
      <w:tr w:rsidR="00EA465B" w14:paraId="5F536D50" w14:textId="77777777" w:rsidTr="004313AF">
        <w:tc>
          <w:tcPr>
            <w:tcW w:w="3096" w:type="dxa"/>
          </w:tcPr>
          <w:p w14:paraId="0DBE95C4" w14:textId="77777777" w:rsidR="00EA465B" w:rsidRDefault="00EA465B" w:rsidP="009B0AFF">
            <w:r>
              <w:rPr>
                <w:rFonts w:ascii="Times New Roman" w:eastAsia="Times New Roman" w:hAnsi="Times New Roman"/>
                <w:sz w:val="15"/>
              </w:rPr>
              <w:t>Banu (2023)</w:t>
            </w:r>
          </w:p>
        </w:tc>
        <w:tc>
          <w:tcPr>
            <w:tcW w:w="3096" w:type="dxa"/>
          </w:tcPr>
          <w:p w14:paraId="6384315B" w14:textId="77777777" w:rsidR="00EA465B" w:rsidRDefault="00EA465B" w:rsidP="009B0AFF">
            <w:r>
              <w:rPr>
                <w:rFonts w:ascii="Times New Roman" w:eastAsia="Times New Roman" w:hAnsi="Times New Roman"/>
                <w:sz w:val="15"/>
              </w:rPr>
              <w:t>Quasi-experimental with control group</w:t>
            </w:r>
          </w:p>
        </w:tc>
        <w:tc>
          <w:tcPr>
            <w:tcW w:w="3096" w:type="dxa"/>
          </w:tcPr>
          <w:p w14:paraId="61664FE4" w14:textId="77777777" w:rsidR="00EA465B" w:rsidRDefault="00EA465B" w:rsidP="009B0AFF">
            <w:r>
              <w:rPr>
                <w:rFonts w:ascii="Times New Roman" w:eastAsia="Times New Roman" w:hAnsi="Times New Roman"/>
                <w:sz w:val="15"/>
              </w:rPr>
              <w:t>Control group strengthened comparison</w:t>
            </w:r>
          </w:p>
        </w:tc>
        <w:tc>
          <w:tcPr>
            <w:tcW w:w="3096" w:type="dxa"/>
          </w:tcPr>
          <w:p w14:paraId="2D13C3E2" w14:textId="77777777" w:rsidR="00EA465B" w:rsidRDefault="00EA465B" w:rsidP="009B0AFF">
            <w:r>
              <w:rPr>
                <w:rFonts w:ascii="Times New Roman" w:eastAsia="Times New Roman" w:hAnsi="Times New Roman"/>
                <w:sz w:val="15"/>
              </w:rPr>
              <w:t>Purposive sampling; short follow-up</w:t>
            </w:r>
          </w:p>
        </w:tc>
        <w:tc>
          <w:tcPr>
            <w:tcW w:w="3096" w:type="dxa"/>
          </w:tcPr>
          <w:p w14:paraId="6A4E77B6" w14:textId="77777777" w:rsidR="00EA465B" w:rsidRDefault="00EA465B" w:rsidP="009B0AFF">
            <w:r>
              <w:rPr>
                <w:rFonts w:ascii="Times New Roman" w:eastAsia="Times New Roman" w:hAnsi="Times New Roman"/>
                <w:sz w:val="15"/>
              </w:rPr>
              <w:t>Retained; strongest comparative design among interventions but generalisability limited</w:t>
            </w:r>
          </w:p>
        </w:tc>
      </w:tr>
      <w:tr w:rsidR="00EA465B" w14:paraId="7D02E003" w14:textId="77777777" w:rsidTr="004313AF">
        <w:tc>
          <w:tcPr>
            <w:tcW w:w="3096" w:type="dxa"/>
          </w:tcPr>
          <w:p w14:paraId="1E957AFE" w14:textId="77777777" w:rsidR="00EA465B" w:rsidRDefault="00EA465B" w:rsidP="009B0AFF">
            <w:r>
              <w:rPr>
                <w:rFonts w:ascii="Times New Roman" w:eastAsia="Times New Roman" w:hAnsi="Times New Roman"/>
                <w:sz w:val="15"/>
              </w:rPr>
              <w:t>Goda et al. (2025)</w:t>
            </w:r>
          </w:p>
        </w:tc>
        <w:tc>
          <w:tcPr>
            <w:tcW w:w="3096" w:type="dxa"/>
          </w:tcPr>
          <w:p w14:paraId="679C2F73" w14:textId="77777777" w:rsidR="00EA465B" w:rsidRDefault="00EA465B" w:rsidP="009B0AFF">
            <w:r>
              <w:rPr>
                <w:rFonts w:ascii="Times New Roman" w:eastAsia="Times New Roman" w:hAnsi="Times New Roman"/>
                <w:sz w:val="15"/>
              </w:rPr>
              <w:t>Quasi-experimental pre/post</w:t>
            </w:r>
          </w:p>
        </w:tc>
        <w:tc>
          <w:tcPr>
            <w:tcW w:w="3096" w:type="dxa"/>
          </w:tcPr>
          <w:p w14:paraId="6DD52C10" w14:textId="77777777" w:rsidR="00EA465B" w:rsidRDefault="00EA465B" w:rsidP="009B0AFF">
            <w:r>
              <w:rPr>
                <w:rFonts w:ascii="Times New Roman" w:eastAsia="Times New Roman" w:hAnsi="Times New Roman"/>
                <w:sz w:val="15"/>
              </w:rPr>
              <w:t>Large sample; multidomain assessment including knowledge, hygiene, nutrition and UTI status</w:t>
            </w:r>
          </w:p>
        </w:tc>
        <w:tc>
          <w:tcPr>
            <w:tcW w:w="3096" w:type="dxa"/>
          </w:tcPr>
          <w:p w14:paraId="26084120" w14:textId="77777777" w:rsidR="00EA465B" w:rsidRDefault="00EA465B" w:rsidP="009B0AFF">
            <w:r>
              <w:rPr>
                <w:rFonts w:ascii="Times New Roman" w:eastAsia="Times New Roman" w:hAnsi="Times New Roman"/>
                <w:sz w:val="15"/>
              </w:rPr>
              <w:t>No separate control group; self-reported practices</w:t>
            </w:r>
          </w:p>
        </w:tc>
        <w:tc>
          <w:tcPr>
            <w:tcW w:w="3096" w:type="dxa"/>
          </w:tcPr>
          <w:p w14:paraId="25B71DE7" w14:textId="77777777" w:rsidR="00EA465B" w:rsidRDefault="00EA465B" w:rsidP="009B0AFF">
            <w:r>
              <w:rPr>
                <w:rFonts w:ascii="Times New Roman" w:eastAsia="Times New Roman" w:hAnsi="Times New Roman"/>
                <w:sz w:val="15"/>
              </w:rPr>
              <w:t>Retained; broad outcome coverage but causal certainty limited</w:t>
            </w:r>
          </w:p>
        </w:tc>
      </w:tr>
    </w:tbl>
    <w:p w14:paraId="7258BCA9" w14:textId="77777777" w:rsidR="00EA465B" w:rsidRDefault="00EA465B" w:rsidP="004313AF">
      <w:r>
        <w:t>Table A3: Study-Level Appraisal Summary – Descriptive / Cross-Sectional Studies</w:t>
      </w:r>
    </w:p>
    <w:tbl>
      <w:tblPr>
        <w:tblStyle w:val="TableGrid"/>
        <w:tblW w:w="0" w:type="auto"/>
        <w:tblLook w:val="04A0" w:firstRow="1" w:lastRow="0" w:firstColumn="1" w:lastColumn="0" w:noHBand="0" w:noVBand="1"/>
      </w:tblPr>
      <w:tblGrid>
        <w:gridCol w:w="1948"/>
        <w:gridCol w:w="2080"/>
        <w:gridCol w:w="2104"/>
        <w:gridCol w:w="2124"/>
        <w:gridCol w:w="2280"/>
      </w:tblGrid>
      <w:tr w:rsidR="00EA465B" w14:paraId="28B0065A" w14:textId="77777777" w:rsidTr="004313AF">
        <w:tc>
          <w:tcPr>
            <w:tcW w:w="3096" w:type="dxa"/>
          </w:tcPr>
          <w:p w14:paraId="514A9D0C" w14:textId="77777777" w:rsidR="00EA465B" w:rsidRDefault="00EA465B" w:rsidP="009B0AFF">
            <w:r>
              <w:rPr>
                <w:rFonts w:ascii="Times New Roman" w:eastAsia="Times New Roman" w:hAnsi="Times New Roman"/>
                <w:b/>
                <w:sz w:val="15"/>
              </w:rPr>
              <w:t>Study</w:t>
            </w:r>
          </w:p>
        </w:tc>
        <w:tc>
          <w:tcPr>
            <w:tcW w:w="3096" w:type="dxa"/>
          </w:tcPr>
          <w:p w14:paraId="3677C6BA" w14:textId="77777777" w:rsidR="00EA465B" w:rsidRDefault="00EA465B" w:rsidP="009B0AFF">
            <w:r>
              <w:rPr>
                <w:rFonts w:ascii="Times New Roman" w:eastAsia="Times New Roman" w:hAnsi="Times New Roman"/>
                <w:b/>
                <w:sz w:val="15"/>
              </w:rPr>
              <w:t>Design</w:t>
            </w:r>
          </w:p>
        </w:tc>
        <w:tc>
          <w:tcPr>
            <w:tcW w:w="3096" w:type="dxa"/>
          </w:tcPr>
          <w:p w14:paraId="2C0FA098" w14:textId="77777777" w:rsidR="00EA465B" w:rsidRDefault="00EA465B" w:rsidP="009B0AFF">
            <w:r>
              <w:rPr>
                <w:rFonts w:ascii="Times New Roman" w:eastAsia="Times New Roman" w:hAnsi="Times New Roman"/>
                <w:b/>
                <w:sz w:val="15"/>
              </w:rPr>
              <w:t>Documented strengths</w:t>
            </w:r>
          </w:p>
        </w:tc>
        <w:tc>
          <w:tcPr>
            <w:tcW w:w="3096" w:type="dxa"/>
          </w:tcPr>
          <w:p w14:paraId="6E90A495" w14:textId="77777777" w:rsidR="00EA465B" w:rsidRDefault="00EA465B" w:rsidP="009B0AFF">
            <w:r>
              <w:rPr>
                <w:rFonts w:ascii="Times New Roman" w:eastAsia="Times New Roman" w:hAnsi="Times New Roman"/>
                <w:b/>
                <w:sz w:val="15"/>
              </w:rPr>
              <w:t>Documented limitations</w:t>
            </w:r>
          </w:p>
        </w:tc>
        <w:tc>
          <w:tcPr>
            <w:tcW w:w="3096" w:type="dxa"/>
          </w:tcPr>
          <w:p w14:paraId="3E06DF44" w14:textId="77777777" w:rsidR="00EA465B" w:rsidRDefault="00EA465B" w:rsidP="009B0AFF">
            <w:r>
              <w:rPr>
                <w:rFonts w:ascii="Times New Roman" w:eastAsia="Times New Roman" w:hAnsi="Times New Roman"/>
                <w:b/>
                <w:sz w:val="15"/>
              </w:rPr>
              <w:t>Interpretive use in dissertation</w:t>
            </w:r>
          </w:p>
        </w:tc>
      </w:tr>
      <w:tr w:rsidR="00EA465B" w14:paraId="55743BFE" w14:textId="77777777" w:rsidTr="004313AF">
        <w:tc>
          <w:tcPr>
            <w:tcW w:w="3096" w:type="dxa"/>
          </w:tcPr>
          <w:p w14:paraId="03F06B96" w14:textId="77777777" w:rsidR="00EA465B" w:rsidRDefault="00EA465B" w:rsidP="009B0AFF">
            <w:r>
              <w:rPr>
                <w:rFonts w:ascii="Times New Roman" w:eastAsia="Times New Roman" w:hAnsi="Times New Roman"/>
                <w:sz w:val="15"/>
              </w:rPr>
              <w:t>Semwal and Sharma (2020)</w:t>
            </w:r>
          </w:p>
        </w:tc>
        <w:tc>
          <w:tcPr>
            <w:tcW w:w="3096" w:type="dxa"/>
          </w:tcPr>
          <w:p w14:paraId="395C1882" w14:textId="77777777" w:rsidR="00EA465B" w:rsidRDefault="00EA465B" w:rsidP="009B0AFF">
            <w:r>
              <w:rPr>
                <w:rFonts w:ascii="Times New Roman" w:eastAsia="Times New Roman" w:hAnsi="Times New Roman"/>
                <w:sz w:val="15"/>
              </w:rPr>
              <w:t>Descriptive cross-sectional</w:t>
            </w:r>
          </w:p>
        </w:tc>
        <w:tc>
          <w:tcPr>
            <w:tcW w:w="3096" w:type="dxa"/>
          </w:tcPr>
          <w:p w14:paraId="1D2503DA" w14:textId="77777777" w:rsidR="00EA465B" w:rsidRDefault="00EA465B" w:rsidP="009B0AFF">
            <w:r>
              <w:rPr>
                <w:rFonts w:ascii="Times New Roman" w:eastAsia="Times New Roman" w:hAnsi="Times New Roman"/>
                <w:sz w:val="15"/>
              </w:rPr>
              <w:t>Direct knowledge and preventive-practice measures; community adolescent sample</w:t>
            </w:r>
          </w:p>
        </w:tc>
        <w:tc>
          <w:tcPr>
            <w:tcW w:w="3096" w:type="dxa"/>
          </w:tcPr>
          <w:p w14:paraId="301186C2" w14:textId="77777777" w:rsidR="00EA465B" w:rsidRDefault="00EA465B" w:rsidP="009B0AFF">
            <w:r>
              <w:rPr>
                <w:rFonts w:ascii="Times New Roman" w:eastAsia="Times New Roman" w:hAnsi="Times New Roman"/>
                <w:sz w:val="15"/>
              </w:rPr>
              <w:t>Cross-sectional self-report; cannot establish temporal or causal relationships</w:t>
            </w:r>
          </w:p>
        </w:tc>
        <w:tc>
          <w:tcPr>
            <w:tcW w:w="3096" w:type="dxa"/>
          </w:tcPr>
          <w:p w14:paraId="2B6B7BAC" w14:textId="77777777" w:rsidR="00EA465B" w:rsidRDefault="00EA465B" w:rsidP="009B0AFF">
            <w:r>
              <w:rPr>
                <w:rFonts w:ascii="Times New Roman" w:eastAsia="Times New Roman" w:hAnsi="Times New Roman"/>
                <w:sz w:val="15"/>
              </w:rPr>
              <w:t>Retained for knowledge/practice pattern and contextual findings</w:t>
            </w:r>
          </w:p>
        </w:tc>
      </w:tr>
      <w:tr w:rsidR="00EA465B" w14:paraId="30646349" w14:textId="77777777" w:rsidTr="004313AF">
        <w:tc>
          <w:tcPr>
            <w:tcW w:w="3096" w:type="dxa"/>
          </w:tcPr>
          <w:p w14:paraId="672E5630" w14:textId="77777777" w:rsidR="00EA465B" w:rsidRDefault="00EA465B" w:rsidP="009B0AFF">
            <w:r>
              <w:rPr>
                <w:rFonts w:ascii="Times New Roman" w:eastAsia="Times New Roman" w:hAnsi="Times New Roman"/>
                <w:sz w:val="15"/>
              </w:rPr>
              <w:t>Patel et al. (2020)</w:t>
            </w:r>
          </w:p>
        </w:tc>
        <w:tc>
          <w:tcPr>
            <w:tcW w:w="3096" w:type="dxa"/>
          </w:tcPr>
          <w:p w14:paraId="77AD643F" w14:textId="77777777" w:rsidR="00EA465B" w:rsidRDefault="00EA465B" w:rsidP="009B0AFF">
            <w:r>
              <w:rPr>
                <w:rFonts w:ascii="Times New Roman" w:eastAsia="Times New Roman" w:hAnsi="Times New Roman"/>
                <w:sz w:val="15"/>
              </w:rPr>
              <w:t>Cross-sectional descriptive survey</w:t>
            </w:r>
          </w:p>
        </w:tc>
        <w:tc>
          <w:tcPr>
            <w:tcW w:w="3096" w:type="dxa"/>
          </w:tcPr>
          <w:p w14:paraId="51EBCBE8" w14:textId="77777777" w:rsidR="00EA465B" w:rsidRDefault="00EA465B" w:rsidP="009B0AFF">
            <w:r>
              <w:rPr>
                <w:rFonts w:ascii="Times New Roman" w:eastAsia="Times New Roman" w:hAnsi="Times New Roman"/>
                <w:sz w:val="15"/>
              </w:rPr>
              <w:t>Simple random sample; n=200; direct knowledge and practice outcomes</w:t>
            </w:r>
          </w:p>
        </w:tc>
        <w:tc>
          <w:tcPr>
            <w:tcW w:w="3096" w:type="dxa"/>
          </w:tcPr>
          <w:p w14:paraId="5DFA6968" w14:textId="77777777" w:rsidR="00EA465B" w:rsidRDefault="00EA465B" w:rsidP="009B0AFF">
            <w:r>
              <w:rPr>
                <w:rFonts w:ascii="Times New Roman" w:eastAsia="Times New Roman" w:hAnsi="Times New Roman"/>
                <w:sz w:val="15"/>
              </w:rPr>
              <w:t>Self-reported practice; single setting; cross-sectional design</w:t>
            </w:r>
          </w:p>
        </w:tc>
        <w:tc>
          <w:tcPr>
            <w:tcW w:w="3096" w:type="dxa"/>
          </w:tcPr>
          <w:p w14:paraId="6AAAAAB9" w14:textId="77777777" w:rsidR="00EA465B" w:rsidRDefault="00EA465B" w:rsidP="009B0AFF">
            <w:r>
              <w:rPr>
                <w:rFonts w:ascii="Times New Roman" w:eastAsia="Times New Roman" w:hAnsi="Times New Roman"/>
                <w:sz w:val="15"/>
              </w:rPr>
              <w:t>Retained for baseline knowledge/practice estimates; not treated as UK estimate</w:t>
            </w:r>
          </w:p>
        </w:tc>
      </w:tr>
      <w:tr w:rsidR="00EA465B" w14:paraId="5FE8878B" w14:textId="77777777" w:rsidTr="004313AF">
        <w:tc>
          <w:tcPr>
            <w:tcW w:w="3096" w:type="dxa"/>
          </w:tcPr>
          <w:p w14:paraId="1641A676" w14:textId="77777777" w:rsidR="00EA465B" w:rsidRDefault="00EA465B" w:rsidP="009B0AFF">
            <w:r>
              <w:rPr>
                <w:rFonts w:ascii="Times New Roman" w:eastAsia="Times New Roman" w:hAnsi="Times New Roman"/>
                <w:sz w:val="15"/>
              </w:rPr>
              <w:t>Sequera et al. (2021)</w:t>
            </w:r>
          </w:p>
        </w:tc>
        <w:tc>
          <w:tcPr>
            <w:tcW w:w="3096" w:type="dxa"/>
          </w:tcPr>
          <w:p w14:paraId="6F9BC685" w14:textId="77777777" w:rsidR="00EA465B" w:rsidRDefault="00EA465B" w:rsidP="009B0AFF">
            <w:r>
              <w:rPr>
                <w:rFonts w:ascii="Times New Roman" w:eastAsia="Times New Roman" w:hAnsi="Times New Roman"/>
                <w:sz w:val="15"/>
              </w:rPr>
              <w:t>Descriptive cross-sectional</w:t>
            </w:r>
          </w:p>
        </w:tc>
        <w:tc>
          <w:tcPr>
            <w:tcW w:w="3096" w:type="dxa"/>
          </w:tcPr>
          <w:p w14:paraId="461BCB5C" w14:textId="77777777" w:rsidR="00EA465B" w:rsidRDefault="00EA465B" w:rsidP="009B0AFF">
            <w:r>
              <w:rPr>
                <w:rFonts w:ascii="Times New Roman" w:eastAsia="Times New Roman" w:hAnsi="Times New Roman"/>
                <w:sz w:val="15"/>
              </w:rPr>
              <w:t>Direct knowledge-practice correlation analysis</w:t>
            </w:r>
          </w:p>
        </w:tc>
        <w:tc>
          <w:tcPr>
            <w:tcW w:w="3096" w:type="dxa"/>
          </w:tcPr>
          <w:p w14:paraId="335569C1" w14:textId="77777777" w:rsidR="00EA465B" w:rsidRDefault="00EA465B" w:rsidP="009B0AFF">
            <w:r>
              <w:rPr>
                <w:rFonts w:ascii="Times New Roman" w:eastAsia="Times New Roman" w:hAnsi="Times New Roman"/>
                <w:sz w:val="15"/>
              </w:rPr>
              <w:t>Small specialised nursing/hostel sample; cross-sectional design</w:t>
            </w:r>
          </w:p>
        </w:tc>
        <w:tc>
          <w:tcPr>
            <w:tcW w:w="3096" w:type="dxa"/>
          </w:tcPr>
          <w:p w14:paraId="6EC6E914" w14:textId="77777777" w:rsidR="00EA465B" w:rsidRDefault="00EA465B" w:rsidP="009B0AFF">
            <w:r>
              <w:rPr>
                <w:rFonts w:ascii="Times New Roman" w:eastAsia="Times New Roman" w:hAnsi="Times New Roman"/>
                <w:sz w:val="15"/>
              </w:rPr>
              <w:t>Retained for direct test of knowledge-practice relationship</w:t>
            </w:r>
          </w:p>
        </w:tc>
      </w:tr>
      <w:tr w:rsidR="00EA465B" w14:paraId="54A11F40" w14:textId="77777777" w:rsidTr="004313AF">
        <w:tc>
          <w:tcPr>
            <w:tcW w:w="3096" w:type="dxa"/>
          </w:tcPr>
          <w:p w14:paraId="76A4D342" w14:textId="77777777" w:rsidR="00EA465B" w:rsidRDefault="00EA465B" w:rsidP="009B0AFF">
            <w:r>
              <w:rPr>
                <w:rFonts w:ascii="Times New Roman" w:eastAsia="Times New Roman" w:hAnsi="Times New Roman"/>
                <w:sz w:val="15"/>
              </w:rPr>
              <w:t>Baruah (2023)</w:t>
            </w:r>
          </w:p>
        </w:tc>
        <w:tc>
          <w:tcPr>
            <w:tcW w:w="3096" w:type="dxa"/>
          </w:tcPr>
          <w:p w14:paraId="2C497D2B" w14:textId="77777777" w:rsidR="00EA465B" w:rsidRDefault="00EA465B" w:rsidP="009B0AFF">
            <w:r>
              <w:rPr>
                <w:rFonts w:ascii="Times New Roman" w:eastAsia="Times New Roman" w:hAnsi="Times New Roman"/>
                <w:sz w:val="15"/>
              </w:rPr>
              <w:t>Quantitative descriptive</w:t>
            </w:r>
          </w:p>
        </w:tc>
        <w:tc>
          <w:tcPr>
            <w:tcW w:w="3096" w:type="dxa"/>
          </w:tcPr>
          <w:p w14:paraId="1A53AD92" w14:textId="77777777" w:rsidR="00EA465B" w:rsidRDefault="00EA465B" w:rsidP="009B0AFF">
            <w:r>
              <w:rPr>
                <w:rFonts w:ascii="Times New Roman" w:eastAsia="Times New Roman" w:hAnsi="Times New Roman"/>
                <w:sz w:val="15"/>
              </w:rPr>
              <w:t>Validated questionnaire</w:t>
            </w:r>
          </w:p>
        </w:tc>
        <w:tc>
          <w:tcPr>
            <w:tcW w:w="3096" w:type="dxa"/>
          </w:tcPr>
          <w:p w14:paraId="17367071" w14:textId="77777777" w:rsidR="00EA465B" w:rsidRDefault="00EA465B" w:rsidP="009B0AFF">
            <w:r>
              <w:rPr>
                <w:rFonts w:ascii="Times New Roman" w:eastAsia="Times New Roman" w:hAnsi="Times New Roman"/>
                <w:sz w:val="15"/>
              </w:rPr>
              <w:t>Small single-school sample (n=40)</w:t>
            </w:r>
          </w:p>
        </w:tc>
        <w:tc>
          <w:tcPr>
            <w:tcW w:w="3096" w:type="dxa"/>
          </w:tcPr>
          <w:p w14:paraId="1E844D95" w14:textId="77777777" w:rsidR="00EA465B" w:rsidRDefault="00EA465B" w:rsidP="009B0AFF">
            <w:r>
              <w:rPr>
                <w:rFonts w:ascii="Times New Roman" w:eastAsia="Times New Roman" w:hAnsi="Times New Roman"/>
                <w:sz w:val="15"/>
              </w:rPr>
              <w:t>Retained for baseline knowledge and contextual associations</w:t>
            </w:r>
          </w:p>
        </w:tc>
      </w:tr>
      <w:tr w:rsidR="00EA465B" w14:paraId="38B806A2" w14:textId="77777777" w:rsidTr="004313AF">
        <w:tc>
          <w:tcPr>
            <w:tcW w:w="3096" w:type="dxa"/>
          </w:tcPr>
          <w:p w14:paraId="4438B716" w14:textId="77777777" w:rsidR="00EA465B" w:rsidRDefault="00EA465B" w:rsidP="009B0AFF">
            <w:r>
              <w:rPr>
                <w:rFonts w:ascii="Times New Roman" w:eastAsia="Times New Roman" w:hAnsi="Times New Roman"/>
                <w:sz w:val="15"/>
              </w:rPr>
              <w:t>Joseph et al. (2026)</w:t>
            </w:r>
          </w:p>
        </w:tc>
        <w:tc>
          <w:tcPr>
            <w:tcW w:w="3096" w:type="dxa"/>
          </w:tcPr>
          <w:p w14:paraId="4ED4A2DB" w14:textId="77777777" w:rsidR="00EA465B" w:rsidRDefault="00EA465B" w:rsidP="009B0AFF">
            <w:r>
              <w:rPr>
                <w:rFonts w:ascii="Times New Roman" w:eastAsia="Times New Roman" w:hAnsi="Times New Roman"/>
                <w:sz w:val="15"/>
              </w:rPr>
              <w:t>Descriptive correlational</w:t>
            </w:r>
          </w:p>
        </w:tc>
        <w:tc>
          <w:tcPr>
            <w:tcW w:w="3096" w:type="dxa"/>
          </w:tcPr>
          <w:p w14:paraId="4E78798F" w14:textId="77777777" w:rsidR="00EA465B" w:rsidRDefault="00EA465B" w:rsidP="009B0AFF">
            <w:r>
              <w:rPr>
                <w:rFonts w:ascii="Times New Roman" w:eastAsia="Times New Roman" w:hAnsi="Times New Roman"/>
                <w:sz w:val="15"/>
              </w:rPr>
              <w:t>Stratified sample; directly tested knowledge-practice relationship</w:t>
            </w:r>
          </w:p>
        </w:tc>
        <w:tc>
          <w:tcPr>
            <w:tcW w:w="3096" w:type="dxa"/>
          </w:tcPr>
          <w:p w14:paraId="7EDC4028" w14:textId="77777777" w:rsidR="00EA465B" w:rsidRDefault="00EA465B" w:rsidP="009B0AFF">
            <w:r>
              <w:rPr>
                <w:rFonts w:ascii="Times New Roman" w:eastAsia="Times New Roman" w:hAnsi="Times New Roman"/>
                <w:sz w:val="15"/>
              </w:rPr>
              <w:t>Cross-sectional self-report</w:t>
            </w:r>
          </w:p>
        </w:tc>
        <w:tc>
          <w:tcPr>
            <w:tcW w:w="3096" w:type="dxa"/>
          </w:tcPr>
          <w:p w14:paraId="62963D3C" w14:textId="77777777" w:rsidR="00EA465B" w:rsidRDefault="00EA465B" w:rsidP="009B0AFF">
            <w:r>
              <w:rPr>
                <w:rFonts w:ascii="Times New Roman" w:eastAsia="Times New Roman" w:hAnsi="Times New Roman"/>
                <w:sz w:val="15"/>
              </w:rPr>
              <w:t>Retained for older-adolescent knowledge/practice relationship</w:t>
            </w:r>
          </w:p>
        </w:tc>
      </w:tr>
    </w:tbl>
    <w:p w14:paraId="55637B1B" w14:textId="77777777" w:rsidR="00EA465B" w:rsidRDefault="00EA465B" w:rsidP="00EA465B">
      <w:pPr>
        <w:sectPr w:rsidR="00EA465B" w:rsidSect="00DC3F5B">
          <w:footerReference w:type="default" r:id="rId23"/>
          <w:pgSz w:w="11906" w:h="16838"/>
          <w:pgMar w:top="680" w:right="680" w:bottom="680" w:left="680" w:header="720" w:footer="720" w:gutter="0"/>
          <w:cols w:space="720"/>
          <w:docGrid w:linePitch="360"/>
        </w:sectPr>
      </w:pPr>
    </w:p>
    <w:p w14:paraId="6476A701" w14:textId="77777777" w:rsidR="00EA465B" w:rsidRDefault="00EA465B" w:rsidP="00DC3F5B">
      <w:pPr>
        <w:pStyle w:val="Heading2"/>
      </w:pPr>
      <w:bookmarkStart w:id="219" w:name="_Toc240927805"/>
      <w:r>
        <w:t>Appendix 2 – Search Record Summary and Main Search Strategy</w:t>
      </w:r>
      <w:bookmarkEnd w:id="219"/>
    </w:p>
    <w:p w14:paraId="71EB286B" w14:textId="77777777" w:rsidR="00EA465B" w:rsidRDefault="00EA465B" w:rsidP="004313AF">
      <w:r>
        <w:t>Table A4: Database Search Record</w:t>
      </w:r>
    </w:p>
    <w:tbl>
      <w:tblPr>
        <w:tblStyle w:val="TableGrid"/>
        <w:tblW w:w="0" w:type="auto"/>
        <w:tblLook w:val="04A0" w:firstRow="1" w:lastRow="0" w:firstColumn="1" w:lastColumn="0" w:noHBand="0" w:noVBand="1"/>
      </w:tblPr>
      <w:tblGrid>
        <w:gridCol w:w="2522"/>
        <w:gridCol w:w="2520"/>
        <w:gridCol w:w="2520"/>
        <w:gridCol w:w="2520"/>
      </w:tblGrid>
      <w:tr w:rsidR="00EA465B" w14:paraId="71D66775" w14:textId="77777777" w:rsidTr="00DC3F5B">
        <w:tc>
          <w:tcPr>
            <w:tcW w:w="2522" w:type="dxa"/>
          </w:tcPr>
          <w:p w14:paraId="657A9485" w14:textId="77777777" w:rsidR="00EA465B" w:rsidRDefault="00EA465B" w:rsidP="009B0AFF">
            <w:r>
              <w:rPr>
                <w:rFonts w:ascii="Times New Roman" w:eastAsia="Times New Roman" w:hAnsi="Times New Roman"/>
                <w:b/>
                <w:sz w:val="18"/>
              </w:rPr>
              <w:t>Source</w:t>
            </w:r>
          </w:p>
        </w:tc>
        <w:tc>
          <w:tcPr>
            <w:tcW w:w="2520" w:type="dxa"/>
          </w:tcPr>
          <w:p w14:paraId="2AA091B4" w14:textId="77777777" w:rsidR="00EA465B" w:rsidRDefault="00EA465B" w:rsidP="009B0AFF">
            <w:r>
              <w:rPr>
                <w:rFonts w:ascii="Times New Roman" w:eastAsia="Times New Roman" w:hAnsi="Times New Roman"/>
                <w:b/>
                <w:sz w:val="18"/>
              </w:rPr>
              <w:t>Records identified</w:t>
            </w:r>
          </w:p>
        </w:tc>
        <w:tc>
          <w:tcPr>
            <w:tcW w:w="2520" w:type="dxa"/>
          </w:tcPr>
          <w:p w14:paraId="6D0262A1" w14:textId="77777777" w:rsidR="00EA465B" w:rsidRDefault="00EA465B" w:rsidP="009B0AFF">
            <w:r>
              <w:rPr>
                <w:rFonts w:ascii="Times New Roman" w:eastAsia="Times New Roman" w:hAnsi="Times New Roman"/>
                <w:b/>
                <w:sz w:val="18"/>
              </w:rPr>
              <w:t>Duplicates / non-unique removed</w:t>
            </w:r>
          </w:p>
        </w:tc>
        <w:tc>
          <w:tcPr>
            <w:tcW w:w="2520" w:type="dxa"/>
          </w:tcPr>
          <w:p w14:paraId="0F8EBC31" w14:textId="77777777" w:rsidR="00EA465B" w:rsidRDefault="00EA465B" w:rsidP="009B0AFF">
            <w:r>
              <w:rPr>
                <w:rFonts w:ascii="Times New Roman" w:eastAsia="Times New Roman" w:hAnsi="Times New Roman"/>
                <w:b/>
                <w:sz w:val="18"/>
              </w:rPr>
              <w:t>Illustrative unique records</w:t>
            </w:r>
          </w:p>
        </w:tc>
      </w:tr>
      <w:tr w:rsidR="00EA465B" w14:paraId="1F0610F0" w14:textId="77777777" w:rsidTr="00DC3F5B">
        <w:tc>
          <w:tcPr>
            <w:tcW w:w="2522" w:type="dxa"/>
          </w:tcPr>
          <w:p w14:paraId="494BF488" w14:textId="77777777" w:rsidR="00EA465B" w:rsidRDefault="00EA465B" w:rsidP="009B0AFF">
            <w:r>
              <w:rPr>
                <w:rFonts w:ascii="Times New Roman" w:eastAsia="Times New Roman" w:hAnsi="Times New Roman"/>
                <w:sz w:val="18"/>
              </w:rPr>
              <w:t>PubMed / MEDLINE</w:t>
            </w:r>
          </w:p>
        </w:tc>
        <w:tc>
          <w:tcPr>
            <w:tcW w:w="2520" w:type="dxa"/>
          </w:tcPr>
          <w:p w14:paraId="01F0D728" w14:textId="77777777" w:rsidR="00EA465B" w:rsidRDefault="00EA465B" w:rsidP="009B0AFF">
            <w:r>
              <w:rPr>
                <w:rFonts w:ascii="Times New Roman" w:eastAsia="Times New Roman" w:hAnsi="Times New Roman"/>
                <w:sz w:val="18"/>
              </w:rPr>
              <w:t>62</w:t>
            </w:r>
          </w:p>
        </w:tc>
        <w:tc>
          <w:tcPr>
            <w:tcW w:w="2520" w:type="dxa"/>
          </w:tcPr>
          <w:p w14:paraId="0F7AD387" w14:textId="77777777" w:rsidR="00EA465B" w:rsidRDefault="00EA465B" w:rsidP="009B0AFF">
            <w:r>
              <w:rPr>
                <w:rFonts w:ascii="Times New Roman" w:eastAsia="Times New Roman" w:hAnsi="Times New Roman"/>
                <w:sz w:val="18"/>
              </w:rPr>
              <w:t>18</w:t>
            </w:r>
          </w:p>
        </w:tc>
        <w:tc>
          <w:tcPr>
            <w:tcW w:w="2520" w:type="dxa"/>
          </w:tcPr>
          <w:p w14:paraId="7611AC25" w14:textId="77777777" w:rsidR="00EA465B" w:rsidRDefault="00EA465B" w:rsidP="009B0AFF">
            <w:r>
              <w:rPr>
                <w:rFonts w:ascii="Times New Roman" w:eastAsia="Times New Roman" w:hAnsi="Times New Roman"/>
                <w:sz w:val="18"/>
              </w:rPr>
              <w:t>44</w:t>
            </w:r>
          </w:p>
        </w:tc>
      </w:tr>
      <w:tr w:rsidR="00EA465B" w14:paraId="32E05466" w14:textId="77777777" w:rsidTr="00DC3F5B">
        <w:tc>
          <w:tcPr>
            <w:tcW w:w="2522" w:type="dxa"/>
          </w:tcPr>
          <w:p w14:paraId="46C486A7" w14:textId="77777777" w:rsidR="00EA465B" w:rsidRDefault="00EA465B" w:rsidP="009B0AFF">
            <w:r>
              <w:rPr>
                <w:rFonts w:ascii="Times New Roman" w:eastAsia="Times New Roman" w:hAnsi="Times New Roman"/>
                <w:sz w:val="18"/>
              </w:rPr>
              <w:t>CINAHL</w:t>
            </w:r>
          </w:p>
        </w:tc>
        <w:tc>
          <w:tcPr>
            <w:tcW w:w="2520" w:type="dxa"/>
          </w:tcPr>
          <w:p w14:paraId="7C6E88BC" w14:textId="77777777" w:rsidR="00EA465B" w:rsidRDefault="00EA465B" w:rsidP="009B0AFF">
            <w:r>
              <w:rPr>
                <w:rFonts w:ascii="Times New Roman" w:eastAsia="Times New Roman" w:hAnsi="Times New Roman"/>
                <w:sz w:val="18"/>
              </w:rPr>
              <w:t>41</w:t>
            </w:r>
          </w:p>
        </w:tc>
        <w:tc>
          <w:tcPr>
            <w:tcW w:w="2520" w:type="dxa"/>
          </w:tcPr>
          <w:p w14:paraId="37808CDB" w14:textId="77777777" w:rsidR="00EA465B" w:rsidRDefault="00EA465B" w:rsidP="009B0AFF">
            <w:r>
              <w:rPr>
                <w:rFonts w:ascii="Times New Roman" w:eastAsia="Times New Roman" w:hAnsi="Times New Roman"/>
                <w:sz w:val="18"/>
              </w:rPr>
              <w:t>12</w:t>
            </w:r>
          </w:p>
        </w:tc>
        <w:tc>
          <w:tcPr>
            <w:tcW w:w="2520" w:type="dxa"/>
          </w:tcPr>
          <w:p w14:paraId="59A89170" w14:textId="77777777" w:rsidR="00EA465B" w:rsidRDefault="00EA465B" w:rsidP="009B0AFF">
            <w:r>
              <w:rPr>
                <w:rFonts w:ascii="Times New Roman" w:eastAsia="Times New Roman" w:hAnsi="Times New Roman"/>
                <w:sz w:val="18"/>
              </w:rPr>
              <w:t>29</w:t>
            </w:r>
          </w:p>
        </w:tc>
      </w:tr>
      <w:tr w:rsidR="00EA465B" w14:paraId="6825B5E7" w14:textId="77777777" w:rsidTr="00DC3F5B">
        <w:tc>
          <w:tcPr>
            <w:tcW w:w="2522" w:type="dxa"/>
          </w:tcPr>
          <w:p w14:paraId="6312974F" w14:textId="77777777" w:rsidR="00EA465B" w:rsidRDefault="00EA465B" w:rsidP="009B0AFF">
            <w:r>
              <w:rPr>
                <w:rFonts w:ascii="Times New Roman" w:eastAsia="Times New Roman" w:hAnsi="Times New Roman"/>
                <w:sz w:val="18"/>
              </w:rPr>
              <w:t>Embase</w:t>
            </w:r>
          </w:p>
        </w:tc>
        <w:tc>
          <w:tcPr>
            <w:tcW w:w="2520" w:type="dxa"/>
          </w:tcPr>
          <w:p w14:paraId="5B438BC3" w14:textId="77777777" w:rsidR="00EA465B" w:rsidRDefault="00EA465B" w:rsidP="009B0AFF">
            <w:r>
              <w:rPr>
                <w:rFonts w:ascii="Times New Roman" w:eastAsia="Times New Roman" w:hAnsi="Times New Roman"/>
                <w:sz w:val="18"/>
              </w:rPr>
              <w:t>74</w:t>
            </w:r>
          </w:p>
        </w:tc>
        <w:tc>
          <w:tcPr>
            <w:tcW w:w="2520" w:type="dxa"/>
          </w:tcPr>
          <w:p w14:paraId="49559E6B" w14:textId="77777777" w:rsidR="00EA465B" w:rsidRDefault="00EA465B" w:rsidP="009B0AFF">
            <w:r>
              <w:rPr>
                <w:rFonts w:ascii="Times New Roman" w:eastAsia="Times New Roman" w:hAnsi="Times New Roman"/>
                <w:sz w:val="18"/>
              </w:rPr>
              <w:t>24</w:t>
            </w:r>
          </w:p>
        </w:tc>
        <w:tc>
          <w:tcPr>
            <w:tcW w:w="2520" w:type="dxa"/>
          </w:tcPr>
          <w:p w14:paraId="74AB3BE5" w14:textId="77777777" w:rsidR="00EA465B" w:rsidRDefault="00EA465B" w:rsidP="009B0AFF">
            <w:r>
              <w:rPr>
                <w:rFonts w:ascii="Times New Roman" w:eastAsia="Times New Roman" w:hAnsi="Times New Roman"/>
                <w:sz w:val="18"/>
              </w:rPr>
              <w:t>50</w:t>
            </w:r>
          </w:p>
        </w:tc>
      </w:tr>
      <w:tr w:rsidR="00EA465B" w14:paraId="59F37EF9" w14:textId="77777777" w:rsidTr="00DC3F5B">
        <w:tc>
          <w:tcPr>
            <w:tcW w:w="2522" w:type="dxa"/>
          </w:tcPr>
          <w:p w14:paraId="09C0468C" w14:textId="77777777" w:rsidR="00EA465B" w:rsidRDefault="00EA465B" w:rsidP="009B0AFF">
            <w:r>
              <w:rPr>
                <w:rFonts w:ascii="Times New Roman" w:eastAsia="Times New Roman" w:hAnsi="Times New Roman"/>
                <w:sz w:val="18"/>
              </w:rPr>
              <w:t>Web of Science</w:t>
            </w:r>
          </w:p>
        </w:tc>
        <w:tc>
          <w:tcPr>
            <w:tcW w:w="2520" w:type="dxa"/>
          </w:tcPr>
          <w:p w14:paraId="305F245B" w14:textId="77777777" w:rsidR="00EA465B" w:rsidRDefault="00EA465B" w:rsidP="009B0AFF">
            <w:r>
              <w:rPr>
                <w:rFonts w:ascii="Times New Roman" w:eastAsia="Times New Roman" w:hAnsi="Times New Roman"/>
                <w:sz w:val="18"/>
              </w:rPr>
              <w:t>48</w:t>
            </w:r>
          </w:p>
        </w:tc>
        <w:tc>
          <w:tcPr>
            <w:tcW w:w="2520" w:type="dxa"/>
          </w:tcPr>
          <w:p w14:paraId="4D027313" w14:textId="77777777" w:rsidR="00EA465B" w:rsidRDefault="00EA465B" w:rsidP="009B0AFF">
            <w:r>
              <w:rPr>
                <w:rFonts w:ascii="Times New Roman" w:eastAsia="Times New Roman" w:hAnsi="Times New Roman"/>
                <w:sz w:val="18"/>
              </w:rPr>
              <w:t>14</w:t>
            </w:r>
          </w:p>
        </w:tc>
        <w:tc>
          <w:tcPr>
            <w:tcW w:w="2520" w:type="dxa"/>
          </w:tcPr>
          <w:p w14:paraId="72058CB2" w14:textId="77777777" w:rsidR="00EA465B" w:rsidRDefault="00EA465B" w:rsidP="009B0AFF">
            <w:r>
              <w:rPr>
                <w:rFonts w:ascii="Times New Roman" w:eastAsia="Times New Roman" w:hAnsi="Times New Roman"/>
                <w:sz w:val="18"/>
              </w:rPr>
              <w:t>34</w:t>
            </w:r>
          </w:p>
        </w:tc>
      </w:tr>
      <w:tr w:rsidR="00EA465B" w14:paraId="6FABDE07" w14:textId="77777777" w:rsidTr="00DC3F5B">
        <w:tc>
          <w:tcPr>
            <w:tcW w:w="2522" w:type="dxa"/>
          </w:tcPr>
          <w:p w14:paraId="6D5B0F77" w14:textId="77777777" w:rsidR="00EA465B" w:rsidRDefault="00EA465B" w:rsidP="009B0AFF">
            <w:r>
              <w:rPr>
                <w:rFonts w:ascii="Times New Roman" w:eastAsia="Times New Roman" w:hAnsi="Times New Roman"/>
                <w:sz w:val="18"/>
              </w:rPr>
              <w:t>ScienceDirect</w:t>
            </w:r>
          </w:p>
        </w:tc>
        <w:tc>
          <w:tcPr>
            <w:tcW w:w="2520" w:type="dxa"/>
          </w:tcPr>
          <w:p w14:paraId="596D2F7B" w14:textId="77777777" w:rsidR="00EA465B" w:rsidRDefault="00EA465B" w:rsidP="009B0AFF">
            <w:r>
              <w:rPr>
                <w:rFonts w:ascii="Times New Roman" w:eastAsia="Times New Roman" w:hAnsi="Times New Roman"/>
                <w:sz w:val="18"/>
              </w:rPr>
              <w:t>39</w:t>
            </w:r>
          </w:p>
        </w:tc>
        <w:tc>
          <w:tcPr>
            <w:tcW w:w="2520" w:type="dxa"/>
          </w:tcPr>
          <w:p w14:paraId="4CC36736" w14:textId="77777777" w:rsidR="00EA465B" w:rsidRDefault="00EA465B" w:rsidP="009B0AFF">
            <w:r>
              <w:rPr>
                <w:rFonts w:ascii="Times New Roman" w:eastAsia="Times New Roman" w:hAnsi="Times New Roman"/>
                <w:sz w:val="18"/>
              </w:rPr>
              <w:t>11</w:t>
            </w:r>
          </w:p>
        </w:tc>
        <w:tc>
          <w:tcPr>
            <w:tcW w:w="2520" w:type="dxa"/>
          </w:tcPr>
          <w:p w14:paraId="7F5B612C" w14:textId="77777777" w:rsidR="00EA465B" w:rsidRDefault="00EA465B" w:rsidP="009B0AFF">
            <w:r>
              <w:rPr>
                <w:rFonts w:ascii="Times New Roman" w:eastAsia="Times New Roman" w:hAnsi="Times New Roman"/>
                <w:sz w:val="18"/>
              </w:rPr>
              <w:t>28</w:t>
            </w:r>
          </w:p>
        </w:tc>
      </w:tr>
      <w:tr w:rsidR="00EA465B" w14:paraId="6FAF90F9" w14:textId="77777777" w:rsidTr="00DC3F5B">
        <w:tc>
          <w:tcPr>
            <w:tcW w:w="2522" w:type="dxa"/>
          </w:tcPr>
          <w:p w14:paraId="2F7194ED" w14:textId="77777777" w:rsidR="00EA465B" w:rsidRDefault="00EA465B" w:rsidP="009B0AFF">
            <w:r>
              <w:rPr>
                <w:rFonts w:ascii="Times New Roman" w:eastAsia="Times New Roman" w:hAnsi="Times New Roman"/>
                <w:sz w:val="18"/>
              </w:rPr>
              <w:t>Cochrane Library</w:t>
            </w:r>
          </w:p>
        </w:tc>
        <w:tc>
          <w:tcPr>
            <w:tcW w:w="2520" w:type="dxa"/>
          </w:tcPr>
          <w:p w14:paraId="336B0E9B" w14:textId="77777777" w:rsidR="00EA465B" w:rsidRDefault="00EA465B" w:rsidP="009B0AFF">
            <w:r>
              <w:rPr>
                <w:rFonts w:ascii="Times New Roman" w:eastAsia="Times New Roman" w:hAnsi="Times New Roman"/>
                <w:sz w:val="18"/>
              </w:rPr>
              <w:t>9</w:t>
            </w:r>
          </w:p>
        </w:tc>
        <w:tc>
          <w:tcPr>
            <w:tcW w:w="2520" w:type="dxa"/>
          </w:tcPr>
          <w:p w14:paraId="2D1C273A" w14:textId="77777777" w:rsidR="00EA465B" w:rsidRDefault="00EA465B" w:rsidP="009B0AFF">
            <w:r>
              <w:rPr>
                <w:rFonts w:ascii="Times New Roman" w:eastAsia="Times New Roman" w:hAnsi="Times New Roman"/>
                <w:sz w:val="18"/>
              </w:rPr>
              <w:t>2</w:t>
            </w:r>
          </w:p>
        </w:tc>
        <w:tc>
          <w:tcPr>
            <w:tcW w:w="2520" w:type="dxa"/>
          </w:tcPr>
          <w:p w14:paraId="2C19AA86" w14:textId="77777777" w:rsidR="00EA465B" w:rsidRDefault="00EA465B" w:rsidP="009B0AFF">
            <w:r>
              <w:rPr>
                <w:rFonts w:ascii="Times New Roman" w:eastAsia="Times New Roman" w:hAnsi="Times New Roman"/>
                <w:sz w:val="18"/>
              </w:rPr>
              <w:t>7</w:t>
            </w:r>
          </w:p>
        </w:tc>
      </w:tr>
      <w:tr w:rsidR="00EA465B" w14:paraId="7B2A54B9" w14:textId="77777777" w:rsidTr="00DC3F5B">
        <w:tc>
          <w:tcPr>
            <w:tcW w:w="2522" w:type="dxa"/>
          </w:tcPr>
          <w:p w14:paraId="3D59866F" w14:textId="77777777" w:rsidR="00EA465B" w:rsidRDefault="00EA465B" w:rsidP="009B0AFF">
            <w:r>
              <w:rPr>
                <w:rFonts w:ascii="Times New Roman" w:eastAsia="Times New Roman" w:hAnsi="Times New Roman"/>
                <w:sz w:val="18"/>
              </w:rPr>
              <w:t>Google Scholar / citation search</w:t>
            </w:r>
          </w:p>
        </w:tc>
        <w:tc>
          <w:tcPr>
            <w:tcW w:w="2520" w:type="dxa"/>
          </w:tcPr>
          <w:p w14:paraId="2E873268" w14:textId="77777777" w:rsidR="00EA465B" w:rsidRDefault="00EA465B" w:rsidP="009B0AFF">
            <w:r>
              <w:rPr>
                <w:rFonts w:ascii="Times New Roman" w:eastAsia="Times New Roman" w:hAnsi="Times New Roman"/>
                <w:sz w:val="18"/>
              </w:rPr>
              <w:t>17</w:t>
            </w:r>
          </w:p>
        </w:tc>
        <w:tc>
          <w:tcPr>
            <w:tcW w:w="2520" w:type="dxa"/>
          </w:tcPr>
          <w:p w14:paraId="13A590B5" w14:textId="77777777" w:rsidR="00EA465B" w:rsidRDefault="00EA465B" w:rsidP="009B0AFF">
            <w:r>
              <w:rPr>
                <w:rFonts w:ascii="Times New Roman" w:eastAsia="Times New Roman" w:hAnsi="Times New Roman"/>
                <w:sz w:val="18"/>
              </w:rPr>
              <w:t>9</w:t>
            </w:r>
          </w:p>
        </w:tc>
        <w:tc>
          <w:tcPr>
            <w:tcW w:w="2520" w:type="dxa"/>
          </w:tcPr>
          <w:p w14:paraId="51AD29D3" w14:textId="77777777" w:rsidR="00EA465B" w:rsidRDefault="00EA465B" w:rsidP="009B0AFF">
            <w:r>
              <w:rPr>
                <w:rFonts w:ascii="Times New Roman" w:eastAsia="Times New Roman" w:hAnsi="Times New Roman"/>
                <w:sz w:val="18"/>
              </w:rPr>
              <w:t>8</w:t>
            </w:r>
          </w:p>
        </w:tc>
      </w:tr>
      <w:tr w:rsidR="00EA465B" w14:paraId="7670C6CD" w14:textId="77777777" w:rsidTr="00DC3F5B">
        <w:tc>
          <w:tcPr>
            <w:tcW w:w="2522" w:type="dxa"/>
          </w:tcPr>
          <w:p w14:paraId="22012B94" w14:textId="77777777" w:rsidR="00EA465B" w:rsidRDefault="00EA465B" w:rsidP="009B0AFF">
            <w:r>
              <w:rPr>
                <w:rFonts w:ascii="Times New Roman" w:eastAsia="Times New Roman" w:hAnsi="Times New Roman"/>
                <w:sz w:val="18"/>
              </w:rPr>
              <w:t>Total</w:t>
            </w:r>
          </w:p>
        </w:tc>
        <w:tc>
          <w:tcPr>
            <w:tcW w:w="2520" w:type="dxa"/>
          </w:tcPr>
          <w:p w14:paraId="21F195AC" w14:textId="77777777" w:rsidR="00EA465B" w:rsidRDefault="00EA465B" w:rsidP="009B0AFF">
            <w:r>
              <w:rPr>
                <w:rFonts w:ascii="Times New Roman" w:eastAsia="Times New Roman" w:hAnsi="Times New Roman"/>
                <w:sz w:val="18"/>
              </w:rPr>
              <w:t>290</w:t>
            </w:r>
          </w:p>
        </w:tc>
        <w:tc>
          <w:tcPr>
            <w:tcW w:w="2520" w:type="dxa"/>
          </w:tcPr>
          <w:p w14:paraId="4C07B735" w14:textId="77777777" w:rsidR="00EA465B" w:rsidRDefault="00EA465B" w:rsidP="009B0AFF">
            <w:r>
              <w:rPr>
                <w:rFonts w:ascii="Times New Roman" w:eastAsia="Times New Roman" w:hAnsi="Times New Roman"/>
                <w:sz w:val="18"/>
              </w:rPr>
              <w:t>90</w:t>
            </w:r>
          </w:p>
        </w:tc>
        <w:tc>
          <w:tcPr>
            <w:tcW w:w="2520" w:type="dxa"/>
          </w:tcPr>
          <w:p w14:paraId="5F0C5048" w14:textId="77777777" w:rsidR="00EA465B" w:rsidRDefault="00EA465B" w:rsidP="009B0AFF">
            <w:r>
              <w:rPr>
                <w:rFonts w:ascii="Times New Roman" w:eastAsia="Times New Roman" w:hAnsi="Times New Roman"/>
                <w:sz w:val="18"/>
              </w:rPr>
              <w:t>200</w:t>
            </w:r>
          </w:p>
        </w:tc>
      </w:tr>
    </w:tbl>
    <w:p w14:paraId="3F492891" w14:textId="21B1AE1F" w:rsidR="004313AF" w:rsidRDefault="004313AF" w:rsidP="004313AF">
      <w:r>
        <w:rPr>
          <w:noProof/>
        </w:rPr>
        <w:drawing>
          <wp:inline distT="0" distB="0" distL="0" distR="0" wp14:anchorId="6BF07F69" wp14:editId="55FE8E9B">
            <wp:extent cx="6468110" cy="74295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68110" cy="742950"/>
                    </a:xfrm>
                    <a:prstGeom prst="rect">
                      <a:avLst/>
                    </a:prstGeom>
                    <a:noFill/>
                  </pic:spPr>
                </pic:pic>
              </a:graphicData>
            </a:graphic>
          </wp:inline>
        </w:drawing>
      </w:r>
    </w:p>
    <w:p w14:paraId="6E7FF5B8" w14:textId="76A55209" w:rsidR="00EA465B" w:rsidRDefault="00EA465B" w:rsidP="00EA465B">
      <w:pPr>
        <w:pStyle w:val="Heading2"/>
        <w:spacing w:before="60" w:after="120"/>
      </w:pPr>
      <w:bookmarkStart w:id="220" w:name="_Toc240927806"/>
      <w:r>
        <w:rPr>
          <w:rFonts w:ascii="Times New Roman" w:hAnsi="Times New Roman"/>
        </w:rPr>
        <w:t>Main Search Concepts</w:t>
      </w:r>
      <w:bookmarkEnd w:id="220"/>
    </w:p>
    <w:tbl>
      <w:tblPr>
        <w:tblStyle w:val="TableGrid"/>
        <w:tblW w:w="0" w:type="auto"/>
        <w:tblLook w:val="04A0" w:firstRow="1" w:lastRow="0" w:firstColumn="1" w:lastColumn="0" w:noHBand="0" w:noVBand="1"/>
      </w:tblPr>
      <w:tblGrid>
        <w:gridCol w:w="2695"/>
        <w:gridCol w:w="7387"/>
      </w:tblGrid>
      <w:tr w:rsidR="00EA465B" w14:paraId="5DC3C5CC" w14:textId="77777777" w:rsidTr="00292B70">
        <w:tc>
          <w:tcPr>
            <w:tcW w:w="2695" w:type="dxa"/>
          </w:tcPr>
          <w:p w14:paraId="3E027A59" w14:textId="77777777" w:rsidR="00EA465B" w:rsidRDefault="00EA465B" w:rsidP="009B0AFF">
            <w:r>
              <w:rPr>
                <w:rFonts w:ascii="Times New Roman" w:eastAsia="Times New Roman" w:hAnsi="Times New Roman"/>
                <w:b/>
                <w:sz w:val="17"/>
              </w:rPr>
              <w:t>Framework element</w:t>
            </w:r>
          </w:p>
        </w:tc>
        <w:tc>
          <w:tcPr>
            <w:tcW w:w="7387" w:type="dxa"/>
          </w:tcPr>
          <w:p w14:paraId="001C6E65" w14:textId="77777777" w:rsidR="00EA465B" w:rsidRDefault="00EA465B" w:rsidP="009B0AFF">
            <w:r>
              <w:rPr>
                <w:rFonts w:ascii="Times New Roman" w:eastAsia="Times New Roman" w:hAnsi="Times New Roman"/>
                <w:b/>
                <w:sz w:val="17"/>
              </w:rPr>
              <w:t>Indicative search concepts</w:t>
            </w:r>
          </w:p>
        </w:tc>
      </w:tr>
      <w:tr w:rsidR="00EA465B" w14:paraId="57C41660" w14:textId="77777777" w:rsidTr="00292B70">
        <w:tc>
          <w:tcPr>
            <w:tcW w:w="2695" w:type="dxa"/>
          </w:tcPr>
          <w:p w14:paraId="3A880A4A" w14:textId="77777777" w:rsidR="00EA465B" w:rsidRDefault="00EA465B" w:rsidP="009B0AFF">
            <w:r>
              <w:rPr>
                <w:rFonts w:ascii="Times New Roman" w:eastAsia="Times New Roman" w:hAnsi="Times New Roman"/>
                <w:sz w:val="17"/>
              </w:rPr>
              <w:t>Population</w:t>
            </w:r>
          </w:p>
        </w:tc>
        <w:tc>
          <w:tcPr>
            <w:tcW w:w="7387" w:type="dxa"/>
          </w:tcPr>
          <w:p w14:paraId="0FFF7F52" w14:textId="77777777" w:rsidR="00EA465B" w:rsidRDefault="00EA465B" w:rsidP="009B0AFF">
            <w:r>
              <w:rPr>
                <w:rFonts w:ascii="Times New Roman" w:eastAsia="Times New Roman" w:hAnsi="Times New Roman"/>
                <w:sz w:val="17"/>
              </w:rPr>
              <w:t>adolescent* OR teen* OR teenager* OR “young people” OR “school student*”</w:t>
            </w:r>
          </w:p>
        </w:tc>
      </w:tr>
      <w:tr w:rsidR="00EA465B" w14:paraId="5AE9A229" w14:textId="77777777" w:rsidTr="00292B70">
        <w:tc>
          <w:tcPr>
            <w:tcW w:w="2695" w:type="dxa"/>
          </w:tcPr>
          <w:p w14:paraId="189B3373" w14:textId="77777777" w:rsidR="00EA465B" w:rsidRDefault="00EA465B" w:rsidP="009B0AFF">
            <w:r>
              <w:rPr>
                <w:rFonts w:ascii="Times New Roman" w:eastAsia="Times New Roman" w:hAnsi="Times New Roman"/>
                <w:sz w:val="17"/>
              </w:rPr>
              <w:t>Condition / phenomenon</w:t>
            </w:r>
          </w:p>
        </w:tc>
        <w:tc>
          <w:tcPr>
            <w:tcW w:w="7387" w:type="dxa"/>
          </w:tcPr>
          <w:p w14:paraId="15117CB3" w14:textId="77777777" w:rsidR="00EA465B" w:rsidRDefault="00EA465B" w:rsidP="009B0AFF">
            <w:r>
              <w:rPr>
                <w:rFonts w:ascii="Times New Roman" w:eastAsia="Times New Roman" w:hAnsi="Times New Roman"/>
                <w:sz w:val="17"/>
              </w:rPr>
              <w:t>“urinary tract infection*” OR UTI OR cystitis OR “bladder infection*” OR “urinary infection*” OR “lower urinary tract infection*” OR pyelonephritis</w:t>
            </w:r>
          </w:p>
        </w:tc>
      </w:tr>
      <w:tr w:rsidR="00EA465B" w14:paraId="14D25A80" w14:textId="77777777" w:rsidTr="00292B70">
        <w:tc>
          <w:tcPr>
            <w:tcW w:w="2695" w:type="dxa"/>
          </w:tcPr>
          <w:p w14:paraId="4FFEF581" w14:textId="77777777" w:rsidR="00EA465B" w:rsidRDefault="00EA465B" w:rsidP="009B0AFF">
            <w:r>
              <w:rPr>
                <w:rFonts w:ascii="Times New Roman" w:eastAsia="Times New Roman" w:hAnsi="Times New Roman"/>
                <w:sz w:val="17"/>
              </w:rPr>
              <w:t>Exposure / interest</w:t>
            </w:r>
          </w:p>
        </w:tc>
        <w:tc>
          <w:tcPr>
            <w:tcW w:w="7387" w:type="dxa"/>
          </w:tcPr>
          <w:p w14:paraId="031D4450" w14:textId="77777777" w:rsidR="00EA465B" w:rsidRDefault="00EA465B" w:rsidP="009B0AFF">
            <w:r>
              <w:rPr>
                <w:rFonts w:ascii="Times New Roman" w:eastAsia="Times New Roman" w:hAnsi="Times New Roman"/>
                <w:sz w:val="17"/>
              </w:rPr>
              <w:t>knowledge OR awareness OR “health literacy” OR prevention OR “preventive practice*” OR self-care OR help-seeking</w:t>
            </w:r>
          </w:p>
        </w:tc>
      </w:tr>
      <w:tr w:rsidR="00EA465B" w14:paraId="3C137F6C" w14:textId="77777777" w:rsidTr="00292B70">
        <w:tc>
          <w:tcPr>
            <w:tcW w:w="2695" w:type="dxa"/>
          </w:tcPr>
          <w:p w14:paraId="64E6A522" w14:textId="77777777" w:rsidR="00EA465B" w:rsidRDefault="00EA465B" w:rsidP="009B0AFF">
            <w:r>
              <w:rPr>
                <w:rFonts w:ascii="Times New Roman" w:eastAsia="Times New Roman" w:hAnsi="Times New Roman"/>
                <w:sz w:val="17"/>
              </w:rPr>
              <w:t>Outcomes</w:t>
            </w:r>
          </w:p>
        </w:tc>
        <w:tc>
          <w:tcPr>
            <w:tcW w:w="7387" w:type="dxa"/>
          </w:tcPr>
          <w:p w14:paraId="7F5A08E0" w14:textId="77777777" w:rsidR="00EA465B" w:rsidRDefault="00EA465B" w:rsidP="009B0AFF">
            <w:r>
              <w:rPr>
                <w:rFonts w:ascii="Times New Roman" w:eastAsia="Times New Roman" w:hAnsi="Times New Roman"/>
                <w:sz w:val="17"/>
              </w:rPr>
              <w:t>knowledge OR symptom* OR “preventive behaviour*” OR self-efficacy OR help-seeking OR antibiotic*</w:t>
            </w:r>
          </w:p>
        </w:tc>
      </w:tr>
      <w:tr w:rsidR="00EA465B" w14:paraId="4E0D1532" w14:textId="77777777" w:rsidTr="00292B70">
        <w:tc>
          <w:tcPr>
            <w:tcW w:w="2695" w:type="dxa"/>
          </w:tcPr>
          <w:p w14:paraId="530C2A6D" w14:textId="77777777" w:rsidR="00EA465B" w:rsidRDefault="00EA465B" w:rsidP="009B0AFF">
            <w:r>
              <w:rPr>
                <w:rFonts w:ascii="Times New Roman" w:eastAsia="Times New Roman" w:hAnsi="Times New Roman"/>
                <w:sz w:val="17"/>
              </w:rPr>
              <w:t>Setting</w:t>
            </w:r>
          </w:p>
        </w:tc>
        <w:tc>
          <w:tcPr>
            <w:tcW w:w="7387" w:type="dxa"/>
          </w:tcPr>
          <w:p w14:paraId="14C4696C" w14:textId="77777777" w:rsidR="00EA465B" w:rsidRDefault="00EA465B" w:rsidP="009B0AFF">
            <w:r>
              <w:rPr>
                <w:rFonts w:ascii="Times New Roman" w:eastAsia="Times New Roman" w:hAnsi="Times New Roman"/>
                <w:sz w:val="17"/>
              </w:rPr>
              <w:t>“United Kingdom” OR UK OR England OR Scotland OR Wales OR “Northern Ireland”</w:t>
            </w:r>
          </w:p>
        </w:tc>
      </w:tr>
      <w:tr w:rsidR="00EA465B" w14:paraId="3F1EF6A7" w14:textId="77777777" w:rsidTr="00292B70">
        <w:tc>
          <w:tcPr>
            <w:tcW w:w="2695" w:type="dxa"/>
          </w:tcPr>
          <w:p w14:paraId="66F30B82" w14:textId="77777777" w:rsidR="00EA465B" w:rsidRDefault="00EA465B" w:rsidP="009B0AFF">
            <w:r>
              <w:rPr>
                <w:rFonts w:ascii="Times New Roman" w:eastAsia="Times New Roman" w:hAnsi="Times New Roman"/>
                <w:sz w:val="17"/>
              </w:rPr>
              <w:t>Study designs</w:t>
            </w:r>
          </w:p>
        </w:tc>
        <w:tc>
          <w:tcPr>
            <w:tcW w:w="7387" w:type="dxa"/>
          </w:tcPr>
          <w:p w14:paraId="150D6D18" w14:textId="77777777" w:rsidR="00EA465B" w:rsidRDefault="00EA465B" w:rsidP="009B0AFF">
            <w:r>
              <w:rPr>
                <w:rFonts w:ascii="Times New Roman" w:eastAsia="Times New Roman" w:hAnsi="Times New Roman"/>
                <w:sz w:val="17"/>
              </w:rPr>
              <w:t>survey OR interview* OR cohort OR trial OR qualitative OR mixed-method*</w:t>
            </w:r>
          </w:p>
        </w:tc>
      </w:tr>
    </w:tbl>
    <w:p w14:paraId="5D78C4F2" w14:textId="77777777" w:rsidR="00EA465B" w:rsidRDefault="00EA465B" w:rsidP="00EA465B"/>
    <w:p w14:paraId="0E688F7F" w14:textId="0657027B" w:rsidR="00292B70" w:rsidRDefault="00292B70" w:rsidP="00EA465B">
      <w:pPr>
        <w:sectPr w:rsidR="00292B70" w:rsidSect="00EA465B">
          <w:footerReference w:type="default" r:id="rId25"/>
          <w:pgSz w:w="11906" w:h="16838"/>
          <w:pgMar w:top="850" w:right="907" w:bottom="850" w:left="907" w:header="720" w:footer="720" w:gutter="0"/>
          <w:cols w:space="720"/>
          <w:docGrid w:linePitch="360"/>
        </w:sectPr>
      </w:pPr>
      <w:r>
        <w:rPr>
          <w:noProof/>
        </w:rPr>
        <w:drawing>
          <wp:inline distT="0" distB="0" distL="0" distR="0" wp14:anchorId="00E1617D" wp14:editId="5F6D7CBB">
            <wp:extent cx="6506210" cy="2629535"/>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06210" cy="2629535"/>
                    </a:xfrm>
                    <a:prstGeom prst="rect">
                      <a:avLst/>
                    </a:prstGeom>
                    <a:noFill/>
                  </pic:spPr>
                </pic:pic>
              </a:graphicData>
            </a:graphic>
          </wp:inline>
        </w:drawing>
      </w:r>
    </w:p>
    <w:p w14:paraId="5C55C17E" w14:textId="77777777" w:rsidR="00EA465B" w:rsidRDefault="00EA465B" w:rsidP="00C4460E">
      <w:pPr>
        <w:pStyle w:val="Heading2"/>
      </w:pPr>
      <w:bookmarkStart w:id="221" w:name="_Toc240927807"/>
      <w:r>
        <w:t>Appendix 3 – Eligibility and Full-Text Exclusion Summary</w:t>
      </w:r>
      <w:bookmarkEnd w:id="221"/>
    </w:p>
    <w:p w14:paraId="60ECEE1D" w14:textId="77777777" w:rsidR="00EA465B" w:rsidRDefault="00EA465B" w:rsidP="00C4460E">
      <w:r>
        <w:t>Table A5: Eligibility Criteria</w:t>
      </w:r>
    </w:p>
    <w:tbl>
      <w:tblPr>
        <w:tblStyle w:val="TableGrid"/>
        <w:tblW w:w="0" w:type="auto"/>
        <w:tblLook w:val="04A0" w:firstRow="1" w:lastRow="0" w:firstColumn="1" w:lastColumn="0" w:noHBand="0" w:noVBand="1"/>
      </w:tblPr>
      <w:tblGrid>
        <w:gridCol w:w="3361"/>
        <w:gridCol w:w="3361"/>
        <w:gridCol w:w="3360"/>
      </w:tblGrid>
      <w:tr w:rsidR="00EA465B" w14:paraId="1549C4C7" w14:textId="77777777" w:rsidTr="00C4460E">
        <w:tc>
          <w:tcPr>
            <w:tcW w:w="3364" w:type="dxa"/>
          </w:tcPr>
          <w:p w14:paraId="7C77CB96" w14:textId="77777777" w:rsidR="00EA465B" w:rsidRDefault="00EA465B" w:rsidP="009B0AFF">
            <w:r>
              <w:rPr>
                <w:rFonts w:ascii="Times New Roman" w:eastAsia="Times New Roman" w:hAnsi="Times New Roman"/>
                <w:b/>
                <w:sz w:val="17"/>
              </w:rPr>
              <w:t>Criterion</w:t>
            </w:r>
          </w:p>
        </w:tc>
        <w:tc>
          <w:tcPr>
            <w:tcW w:w="3364" w:type="dxa"/>
          </w:tcPr>
          <w:p w14:paraId="1ACA3FC4" w14:textId="77777777" w:rsidR="00EA465B" w:rsidRDefault="00EA465B" w:rsidP="009B0AFF">
            <w:r>
              <w:rPr>
                <w:rFonts w:ascii="Times New Roman" w:eastAsia="Times New Roman" w:hAnsi="Times New Roman"/>
                <w:b/>
                <w:sz w:val="17"/>
              </w:rPr>
              <w:t>Inclusion</w:t>
            </w:r>
          </w:p>
        </w:tc>
        <w:tc>
          <w:tcPr>
            <w:tcW w:w="3364" w:type="dxa"/>
          </w:tcPr>
          <w:p w14:paraId="5BFD08DC" w14:textId="77777777" w:rsidR="00EA465B" w:rsidRDefault="00EA465B" w:rsidP="009B0AFF">
            <w:r>
              <w:rPr>
                <w:rFonts w:ascii="Times New Roman" w:eastAsia="Times New Roman" w:hAnsi="Times New Roman"/>
                <w:b/>
                <w:sz w:val="17"/>
              </w:rPr>
              <w:t>Exclusion</w:t>
            </w:r>
          </w:p>
        </w:tc>
      </w:tr>
      <w:tr w:rsidR="00EA465B" w14:paraId="5B7E1723" w14:textId="77777777" w:rsidTr="00C4460E">
        <w:tc>
          <w:tcPr>
            <w:tcW w:w="3364" w:type="dxa"/>
          </w:tcPr>
          <w:p w14:paraId="4A0ECC80" w14:textId="77777777" w:rsidR="00EA465B" w:rsidRDefault="00EA465B" w:rsidP="009B0AFF">
            <w:r>
              <w:rPr>
                <w:rFonts w:ascii="Times New Roman" w:eastAsia="Times New Roman" w:hAnsi="Times New Roman"/>
                <w:sz w:val="17"/>
              </w:rPr>
              <w:t>Population</w:t>
            </w:r>
          </w:p>
        </w:tc>
        <w:tc>
          <w:tcPr>
            <w:tcW w:w="3364" w:type="dxa"/>
          </w:tcPr>
          <w:p w14:paraId="34C82BE8" w14:textId="77777777" w:rsidR="00EA465B" w:rsidRDefault="00EA465B" w:rsidP="009B0AFF">
            <w:r>
              <w:rPr>
                <w:rFonts w:ascii="Times New Roman" w:eastAsia="Times New Roman" w:hAnsi="Times New Roman"/>
                <w:sz w:val="17"/>
              </w:rPr>
              <w:t>Adolescents aged 10–19 years; separately extractable adolescent subgroup data; UK prioritised; international adolescent evidence allowed as indirect evidence.</w:t>
            </w:r>
          </w:p>
        </w:tc>
        <w:tc>
          <w:tcPr>
            <w:tcW w:w="3364" w:type="dxa"/>
          </w:tcPr>
          <w:p w14:paraId="7E494236" w14:textId="77777777" w:rsidR="00EA465B" w:rsidRDefault="00EA465B" w:rsidP="009B0AFF">
            <w:r>
              <w:rPr>
                <w:rFonts w:ascii="Times New Roman" w:eastAsia="Times New Roman" w:hAnsi="Times New Roman"/>
                <w:sz w:val="17"/>
              </w:rPr>
              <w:t>Participants outside 10–19 years without extractable adolescent data; neonatal, infant or prepubertal-only samples; unrelated adult-only samples.</w:t>
            </w:r>
          </w:p>
        </w:tc>
      </w:tr>
      <w:tr w:rsidR="00EA465B" w14:paraId="3BE0B4BF" w14:textId="77777777" w:rsidTr="00C4460E">
        <w:tc>
          <w:tcPr>
            <w:tcW w:w="3364" w:type="dxa"/>
          </w:tcPr>
          <w:p w14:paraId="0F4A8DEF" w14:textId="77777777" w:rsidR="00EA465B" w:rsidRDefault="00EA465B" w:rsidP="009B0AFF">
            <w:r>
              <w:rPr>
                <w:rFonts w:ascii="Times New Roman" w:eastAsia="Times New Roman" w:hAnsi="Times New Roman"/>
                <w:sz w:val="17"/>
              </w:rPr>
              <w:t>Phenomenon</w:t>
            </w:r>
          </w:p>
        </w:tc>
        <w:tc>
          <w:tcPr>
            <w:tcW w:w="3364" w:type="dxa"/>
          </w:tcPr>
          <w:p w14:paraId="3A33B2BC" w14:textId="77777777" w:rsidR="00EA465B" w:rsidRDefault="00EA465B" w:rsidP="009B0AFF">
            <w:r>
              <w:rPr>
                <w:rFonts w:ascii="Times New Roman" w:eastAsia="Times New Roman" w:hAnsi="Times New Roman"/>
                <w:sz w:val="17"/>
              </w:rPr>
              <w:t>UTI knowledge, risk, prevention, symptoms, self-care, help-seeking, communication or antibiotics.</w:t>
            </w:r>
          </w:p>
        </w:tc>
        <w:tc>
          <w:tcPr>
            <w:tcW w:w="3364" w:type="dxa"/>
          </w:tcPr>
          <w:p w14:paraId="6C5CB6E1" w14:textId="77777777" w:rsidR="00EA465B" w:rsidRDefault="00EA465B" w:rsidP="009B0AFF">
            <w:r>
              <w:rPr>
                <w:rFonts w:ascii="Times New Roman" w:eastAsia="Times New Roman" w:hAnsi="Times New Roman"/>
                <w:sz w:val="17"/>
              </w:rPr>
              <w:t>Laboratory or treatment-only outcomes without prevention relevance.</w:t>
            </w:r>
          </w:p>
        </w:tc>
      </w:tr>
      <w:tr w:rsidR="00EA465B" w14:paraId="4F423EFC" w14:textId="77777777" w:rsidTr="00C4460E">
        <w:tc>
          <w:tcPr>
            <w:tcW w:w="3364" w:type="dxa"/>
          </w:tcPr>
          <w:p w14:paraId="3682E984" w14:textId="77777777" w:rsidR="00EA465B" w:rsidRDefault="00EA465B" w:rsidP="009B0AFF">
            <w:r>
              <w:rPr>
                <w:rFonts w:ascii="Times New Roman" w:eastAsia="Times New Roman" w:hAnsi="Times New Roman"/>
                <w:sz w:val="17"/>
              </w:rPr>
              <w:t>Study design</w:t>
            </w:r>
          </w:p>
        </w:tc>
        <w:tc>
          <w:tcPr>
            <w:tcW w:w="3364" w:type="dxa"/>
          </w:tcPr>
          <w:p w14:paraId="57453688" w14:textId="77777777" w:rsidR="00EA465B" w:rsidRDefault="00EA465B" w:rsidP="009B0AFF">
            <w:r>
              <w:rPr>
                <w:rFonts w:ascii="Times New Roman" w:eastAsia="Times New Roman" w:hAnsi="Times New Roman"/>
                <w:sz w:val="17"/>
              </w:rPr>
              <w:t>Peer-reviewed qualitative, quantitative or mixed-method empirical studies.</w:t>
            </w:r>
          </w:p>
        </w:tc>
        <w:tc>
          <w:tcPr>
            <w:tcW w:w="3364" w:type="dxa"/>
          </w:tcPr>
          <w:p w14:paraId="1549E77C" w14:textId="77777777" w:rsidR="00EA465B" w:rsidRDefault="00EA465B" w:rsidP="009B0AFF">
            <w:r>
              <w:rPr>
                <w:rFonts w:ascii="Times New Roman" w:eastAsia="Times New Roman" w:hAnsi="Times New Roman"/>
                <w:sz w:val="17"/>
              </w:rPr>
              <w:t>Reviews, protocols, editorials, abstracts and non-empirical reports.</w:t>
            </w:r>
          </w:p>
        </w:tc>
      </w:tr>
      <w:tr w:rsidR="00EA465B" w14:paraId="31FC008E" w14:textId="77777777" w:rsidTr="00C4460E">
        <w:tc>
          <w:tcPr>
            <w:tcW w:w="3364" w:type="dxa"/>
          </w:tcPr>
          <w:p w14:paraId="3B773991" w14:textId="77777777" w:rsidR="00EA465B" w:rsidRDefault="00EA465B" w:rsidP="009B0AFF">
            <w:r>
              <w:rPr>
                <w:rFonts w:ascii="Times New Roman" w:eastAsia="Times New Roman" w:hAnsi="Times New Roman"/>
                <w:sz w:val="17"/>
              </w:rPr>
              <w:t>Setting</w:t>
            </w:r>
          </w:p>
        </w:tc>
        <w:tc>
          <w:tcPr>
            <w:tcW w:w="3364" w:type="dxa"/>
          </w:tcPr>
          <w:p w14:paraId="67E8385B" w14:textId="77777777" w:rsidR="00EA465B" w:rsidRDefault="00EA465B" w:rsidP="009B0AFF">
            <w:r>
              <w:rPr>
                <w:rFonts w:ascii="Times New Roman" w:eastAsia="Times New Roman" w:hAnsi="Times New Roman"/>
                <w:sz w:val="17"/>
              </w:rPr>
              <w:t>School, community, pharmacy, primary care, sexual-health or online settings relevant to adolescents.</w:t>
            </w:r>
          </w:p>
        </w:tc>
        <w:tc>
          <w:tcPr>
            <w:tcW w:w="3364" w:type="dxa"/>
          </w:tcPr>
          <w:p w14:paraId="52C6DC3D" w14:textId="77777777" w:rsidR="00EA465B" w:rsidRDefault="00EA465B" w:rsidP="009B0AFF">
            <w:r>
              <w:rPr>
                <w:rFonts w:ascii="Times New Roman" w:eastAsia="Times New Roman" w:hAnsi="Times New Roman"/>
                <w:sz w:val="17"/>
              </w:rPr>
              <w:t>Inpatient or catheter-only settings without transferable awareness or prevention relevance.</w:t>
            </w:r>
          </w:p>
        </w:tc>
      </w:tr>
      <w:tr w:rsidR="00EA465B" w14:paraId="554192C4" w14:textId="77777777" w:rsidTr="00C4460E">
        <w:tc>
          <w:tcPr>
            <w:tcW w:w="3364" w:type="dxa"/>
          </w:tcPr>
          <w:p w14:paraId="2BAE0CBF" w14:textId="77777777" w:rsidR="00EA465B" w:rsidRDefault="00EA465B" w:rsidP="009B0AFF">
            <w:r>
              <w:rPr>
                <w:rFonts w:ascii="Times New Roman" w:eastAsia="Times New Roman" w:hAnsi="Times New Roman"/>
                <w:sz w:val="17"/>
              </w:rPr>
              <w:t>Date/language</w:t>
            </w:r>
          </w:p>
        </w:tc>
        <w:tc>
          <w:tcPr>
            <w:tcW w:w="3364" w:type="dxa"/>
          </w:tcPr>
          <w:p w14:paraId="4F2BC7F6" w14:textId="77777777" w:rsidR="00EA465B" w:rsidRDefault="00EA465B" w:rsidP="009B0AFF">
            <w:r>
              <w:rPr>
                <w:rFonts w:ascii="Times New Roman" w:eastAsia="Times New Roman" w:hAnsi="Times New Roman"/>
                <w:sz w:val="17"/>
              </w:rPr>
              <w:t>January 2016–August 2026; English; accessible full text.</w:t>
            </w:r>
          </w:p>
        </w:tc>
        <w:tc>
          <w:tcPr>
            <w:tcW w:w="3364" w:type="dxa"/>
          </w:tcPr>
          <w:p w14:paraId="5DA31AA2" w14:textId="77777777" w:rsidR="00EA465B" w:rsidRDefault="00EA465B" w:rsidP="009B0AFF">
            <w:r>
              <w:rPr>
                <w:rFonts w:ascii="Times New Roman" w:eastAsia="Times New Roman" w:hAnsi="Times New Roman"/>
                <w:sz w:val="17"/>
              </w:rPr>
              <w:t>Pre-2016, non-English or unavailable full text.</w:t>
            </w:r>
          </w:p>
        </w:tc>
      </w:tr>
    </w:tbl>
    <w:p w14:paraId="4FA841D8" w14:textId="77777777" w:rsidR="00EA465B" w:rsidRDefault="00EA465B" w:rsidP="00C4460E">
      <w:r>
        <w:t>Table A6: Study-Selection and Full-Text Exclusion Summary</w:t>
      </w:r>
    </w:p>
    <w:tbl>
      <w:tblPr>
        <w:tblStyle w:val="TableGrid"/>
        <w:tblW w:w="0" w:type="auto"/>
        <w:tblLook w:val="04A0" w:firstRow="1" w:lastRow="0" w:firstColumn="1" w:lastColumn="0" w:noHBand="0" w:noVBand="1"/>
      </w:tblPr>
      <w:tblGrid>
        <w:gridCol w:w="3361"/>
        <w:gridCol w:w="3360"/>
        <w:gridCol w:w="3361"/>
      </w:tblGrid>
      <w:tr w:rsidR="00EA465B" w14:paraId="607F01C6" w14:textId="77777777" w:rsidTr="00C4460E">
        <w:tc>
          <w:tcPr>
            <w:tcW w:w="3364" w:type="dxa"/>
          </w:tcPr>
          <w:p w14:paraId="04F2D0BE" w14:textId="77777777" w:rsidR="00EA465B" w:rsidRDefault="00EA465B" w:rsidP="009B0AFF">
            <w:r>
              <w:rPr>
                <w:rFonts w:ascii="Times New Roman" w:eastAsia="Times New Roman" w:hAnsi="Times New Roman"/>
                <w:b/>
                <w:sz w:val="17"/>
              </w:rPr>
              <w:t>Selection stage</w:t>
            </w:r>
          </w:p>
        </w:tc>
        <w:tc>
          <w:tcPr>
            <w:tcW w:w="3364" w:type="dxa"/>
          </w:tcPr>
          <w:p w14:paraId="723EB142" w14:textId="77777777" w:rsidR="00EA465B" w:rsidRDefault="00EA465B" w:rsidP="009B0AFF">
            <w:r>
              <w:rPr>
                <w:rFonts w:ascii="Times New Roman" w:eastAsia="Times New Roman" w:hAnsi="Times New Roman"/>
                <w:b/>
                <w:sz w:val="17"/>
              </w:rPr>
              <w:t>Number</w:t>
            </w:r>
          </w:p>
        </w:tc>
        <w:tc>
          <w:tcPr>
            <w:tcW w:w="3364" w:type="dxa"/>
          </w:tcPr>
          <w:p w14:paraId="6A231F92" w14:textId="77777777" w:rsidR="00EA465B" w:rsidRDefault="00EA465B" w:rsidP="009B0AFF">
            <w:r>
              <w:rPr>
                <w:rFonts w:ascii="Times New Roman" w:eastAsia="Times New Roman" w:hAnsi="Times New Roman"/>
                <w:b/>
                <w:sz w:val="17"/>
              </w:rPr>
              <w:t>Reason / outcome</w:t>
            </w:r>
          </w:p>
        </w:tc>
      </w:tr>
      <w:tr w:rsidR="00EA465B" w14:paraId="1D72D994" w14:textId="77777777" w:rsidTr="00C4460E">
        <w:tc>
          <w:tcPr>
            <w:tcW w:w="3364" w:type="dxa"/>
          </w:tcPr>
          <w:p w14:paraId="0373EBB0" w14:textId="77777777" w:rsidR="00EA465B" w:rsidRDefault="00EA465B" w:rsidP="009B0AFF">
            <w:r>
              <w:rPr>
                <w:rFonts w:ascii="Times New Roman" w:eastAsia="Times New Roman" w:hAnsi="Times New Roman"/>
                <w:sz w:val="17"/>
              </w:rPr>
              <w:t>Records identified</w:t>
            </w:r>
          </w:p>
        </w:tc>
        <w:tc>
          <w:tcPr>
            <w:tcW w:w="3364" w:type="dxa"/>
          </w:tcPr>
          <w:p w14:paraId="112581DA" w14:textId="77777777" w:rsidR="00EA465B" w:rsidRDefault="00EA465B" w:rsidP="009B0AFF">
            <w:r>
              <w:rPr>
                <w:rFonts w:ascii="Times New Roman" w:eastAsia="Times New Roman" w:hAnsi="Times New Roman"/>
                <w:sz w:val="17"/>
              </w:rPr>
              <w:t>290</w:t>
            </w:r>
          </w:p>
        </w:tc>
        <w:tc>
          <w:tcPr>
            <w:tcW w:w="3364" w:type="dxa"/>
          </w:tcPr>
          <w:p w14:paraId="66F34389" w14:textId="77777777" w:rsidR="00EA465B" w:rsidRDefault="00EA465B" w:rsidP="009B0AFF">
            <w:r>
              <w:rPr>
                <w:rFonts w:ascii="Times New Roman" w:eastAsia="Times New Roman" w:hAnsi="Times New Roman"/>
                <w:sz w:val="17"/>
              </w:rPr>
              <w:t>Database and supplementary searches</w:t>
            </w:r>
          </w:p>
        </w:tc>
      </w:tr>
      <w:tr w:rsidR="00EA465B" w14:paraId="3935F46B" w14:textId="77777777" w:rsidTr="00C4460E">
        <w:tc>
          <w:tcPr>
            <w:tcW w:w="3364" w:type="dxa"/>
          </w:tcPr>
          <w:p w14:paraId="5A11D170" w14:textId="77777777" w:rsidR="00EA465B" w:rsidRDefault="00EA465B" w:rsidP="009B0AFF">
            <w:r>
              <w:rPr>
                <w:rFonts w:ascii="Times New Roman" w:eastAsia="Times New Roman" w:hAnsi="Times New Roman"/>
                <w:sz w:val="17"/>
              </w:rPr>
              <w:t>Duplicates removed</w:t>
            </w:r>
          </w:p>
        </w:tc>
        <w:tc>
          <w:tcPr>
            <w:tcW w:w="3364" w:type="dxa"/>
          </w:tcPr>
          <w:p w14:paraId="789CAB3F" w14:textId="77777777" w:rsidR="00EA465B" w:rsidRDefault="00EA465B" w:rsidP="009B0AFF">
            <w:r>
              <w:rPr>
                <w:rFonts w:ascii="Times New Roman" w:eastAsia="Times New Roman" w:hAnsi="Times New Roman"/>
                <w:sz w:val="17"/>
              </w:rPr>
              <w:t>90</w:t>
            </w:r>
          </w:p>
        </w:tc>
        <w:tc>
          <w:tcPr>
            <w:tcW w:w="3364" w:type="dxa"/>
          </w:tcPr>
          <w:p w14:paraId="2D628FDE" w14:textId="77777777" w:rsidR="00EA465B" w:rsidRDefault="00EA465B" w:rsidP="009B0AFF">
            <w:r>
              <w:rPr>
                <w:rFonts w:ascii="Times New Roman" w:eastAsia="Times New Roman" w:hAnsi="Times New Roman"/>
                <w:sz w:val="17"/>
              </w:rPr>
              <w:t>Duplicate records removed after merging search outputs</w:t>
            </w:r>
          </w:p>
        </w:tc>
      </w:tr>
      <w:tr w:rsidR="00EA465B" w14:paraId="30DB7594" w14:textId="77777777" w:rsidTr="00C4460E">
        <w:tc>
          <w:tcPr>
            <w:tcW w:w="3364" w:type="dxa"/>
          </w:tcPr>
          <w:p w14:paraId="65EE6C42" w14:textId="77777777" w:rsidR="00EA465B" w:rsidRDefault="00EA465B" w:rsidP="009B0AFF">
            <w:r>
              <w:rPr>
                <w:rFonts w:ascii="Times New Roman" w:eastAsia="Times New Roman" w:hAnsi="Times New Roman"/>
                <w:sz w:val="17"/>
              </w:rPr>
              <w:t>Unique records screened</w:t>
            </w:r>
          </w:p>
        </w:tc>
        <w:tc>
          <w:tcPr>
            <w:tcW w:w="3364" w:type="dxa"/>
          </w:tcPr>
          <w:p w14:paraId="06BC1372" w14:textId="77777777" w:rsidR="00EA465B" w:rsidRDefault="00EA465B" w:rsidP="009B0AFF">
            <w:r>
              <w:rPr>
                <w:rFonts w:ascii="Times New Roman" w:eastAsia="Times New Roman" w:hAnsi="Times New Roman"/>
                <w:sz w:val="17"/>
              </w:rPr>
              <w:t>200</w:t>
            </w:r>
          </w:p>
        </w:tc>
        <w:tc>
          <w:tcPr>
            <w:tcW w:w="3364" w:type="dxa"/>
          </w:tcPr>
          <w:p w14:paraId="7842AC5D" w14:textId="77777777" w:rsidR="00EA465B" w:rsidRDefault="00EA465B" w:rsidP="009B0AFF">
            <w:r>
              <w:rPr>
                <w:rFonts w:ascii="Times New Roman" w:eastAsia="Times New Roman" w:hAnsi="Times New Roman"/>
                <w:sz w:val="17"/>
              </w:rPr>
              <w:t>Title and abstract screening</w:t>
            </w:r>
          </w:p>
        </w:tc>
      </w:tr>
      <w:tr w:rsidR="00EA465B" w14:paraId="55C8026C" w14:textId="77777777" w:rsidTr="00C4460E">
        <w:tc>
          <w:tcPr>
            <w:tcW w:w="3364" w:type="dxa"/>
          </w:tcPr>
          <w:p w14:paraId="6E3A8A1A" w14:textId="77777777" w:rsidR="00EA465B" w:rsidRDefault="00EA465B" w:rsidP="009B0AFF">
            <w:r>
              <w:rPr>
                <w:rFonts w:ascii="Times New Roman" w:eastAsia="Times New Roman" w:hAnsi="Times New Roman"/>
                <w:sz w:val="17"/>
              </w:rPr>
              <w:t>Records excluded at title/abstract</w:t>
            </w:r>
          </w:p>
        </w:tc>
        <w:tc>
          <w:tcPr>
            <w:tcW w:w="3364" w:type="dxa"/>
          </w:tcPr>
          <w:p w14:paraId="56D0F165" w14:textId="77777777" w:rsidR="00EA465B" w:rsidRDefault="00EA465B" w:rsidP="009B0AFF">
            <w:r>
              <w:rPr>
                <w:rFonts w:ascii="Times New Roman" w:eastAsia="Times New Roman" w:hAnsi="Times New Roman"/>
                <w:sz w:val="17"/>
              </w:rPr>
              <w:t>157</w:t>
            </w:r>
          </w:p>
        </w:tc>
        <w:tc>
          <w:tcPr>
            <w:tcW w:w="3364" w:type="dxa"/>
          </w:tcPr>
          <w:p w14:paraId="28C9838A" w14:textId="77777777" w:rsidR="00EA465B" w:rsidRDefault="00EA465B" w:rsidP="009B0AFF">
            <w:r>
              <w:rPr>
                <w:rFonts w:ascii="Times New Roman" w:eastAsia="Times New Roman" w:hAnsi="Times New Roman"/>
                <w:sz w:val="17"/>
              </w:rPr>
              <w:t>Population, age, context or outcome mismatch</w:t>
            </w:r>
          </w:p>
        </w:tc>
      </w:tr>
      <w:tr w:rsidR="00EA465B" w14:paraId="036B3F66" w14:textId="77777777" w:rsidTr="00C4460E">
        <w:tc>
          <w:tcPr>
            <w:tcW w:w="3364" w:type="dxa"/>
          </w:tcPr>
          <w:p w14:paraId="7511D966" w14:textId="77777777" w:rsidR="00EA465B" w:rsidRDefault="00EA465B" w:rsidP="009B0AFF">
            <w:r>
              <w:rPr>
                <w:rFonts w:ascii="Times New Roman" w:eastAsia="Times New Roman" w:hAnsi="Times New Roman"/>
                <w:sz w:val="17"/>
              </w:rPr>
              <w:t>Full texts assessed</w:t>
            </w:r>
          </w:p>
        </w:tc>
        <w:tc>
          <w:tcPr>
            <w:tcW w:w="3364" w:type="dxa"/>
          </w:tcPr>
          <w:p w14:paraId="48CE1B09" w14:textId="77777777" w:rsidR="00EA465B" w:rsidRDefault="00EA465B" w:rsidP="009B0AFF">
            <w:r>
              <w:rPr>
                <w:rFonts w:ascii="Times New Roman" w:eastAsia="Times New Roman" w:hAnsi="Times New Roman"/>
                <w:sz w:val="17"/>
              </w:rPr>
              <w:t>43</w:t>
            </w:r>
          </w:p>
        </w:tc>
        <w:tc>
          <w:tcPr>
            <w:tcW w:w="3364" w:type="dxa"/>
          </w:tcPr>
          <w:p w14:paraId="25F00136" w14:textId="77777777" w:rsidR="00EA465B" w:rsidRDefault="00EA465B" w:rsidP="009B0AFF">
            <w:r>
              <w:rPr>
                <w:rFonts w:ascii="Times New Roman" w:eastAsia="Times New Roman" w:hAnsi="Times New Roman"/>
                <w:sz w:val="17"/>
              </w:rPr>
              <w:t>Potentially eligible full-text articles</w:t>
            </w:r>
          </w:p>
        </w:tc>
      </w:tr>
      <w:tr w:rsidR="00EA465B" w14:paraId="6457561F" w14:textId="77777777" w:rsidTr="00C4460E">
        <w:tc>
          <w:tcPr>
            <w:tcW w:w="3364" w:type="dxa"/>
          </w:tcPr>
          <w:p w14:paraId="446BEA2C" w14:textId="77777777" w:rsidR="00EA465B" w:rsidRDefault="00EA465B" w:rsidP="009B0AFF">
            <w:r>
              <w:rPr>
                <w:rFonts w:ascii="Times New Roman" w:eastAsia="Times New Roman" w:hAnsi="Times New Roman"/>
                <w:sz w:val="17"/>
              </w:rPr>
              <w:t>Full texts excluded</w:t>
            </w:r>
          </w:p>
        </w:tc>
        <w:tc>
          <w:tcPr>
            <w:tcW w:w="3364" w:type="dxa"/>
          </w:tcPr>
          <w:p w14:paraId="7B0363B6" w14:textId="77777777" w:rsidR="00EA465B" w:rsidRDefault="00EA465B" w:rsidP="009B0AFF">
            <w:r>
              <w:rPr>
                <w:rFonts w:ascii="Times New Roman" w:eastAsia="Times New Roman" w:hAnsi="Times New Roman"/>
                <w:sz w:val="17"/>
              </w:rPr>
              <w:t>30</w:t>
            </w:r>
          </w:p>
        </w:tc>
        <w:tc>
          <w:tcPr>
            <w:tcW w:w="3364" w:type="dxa"/>
          </w:tcPr>
          <w:p w14:paraId="4C153321" w14:textId="77777777" w:rsidR="00EA465B" w:rsidRDefault="00EA465B" w:rsidP="009B0AFF">
            <w:r>
              <w:rPr>
                <w:rFonts w:ascii="Times New Roman" w:eastAsia="Times New Roman" w:hAnsi="Times New Roman"/>
                <w:sz w:val="17"/>
              </w:rPr>
              <w:t>Population/age = 11; outcome = 8; context = 4; publication type = 4; methodological reporting = 3</w:t>
            </w:r>
          </w:p>
        </w:tc>
      </w:tr>
      <w:tr w:rsidR="00EA465B" w14:paraId="76173E02" w14:textId="77777777" w:rsidTr="00C4460E">
        <w:tc>
          <w:tcPr>
            <w:tcW w:w="3364" w:type="dxa"/>
          </w:tcPr>
          <w:p w14:paraId="058FDB00" w14:textId="77777777" w:rsidR="00EA465B" w:rsidRDefault="00EA465B" w:rsidP="009B0AFF">
            <w:r>
              <w:rPr>
                <w:rFonts w:ascii="Times New Roman" w:eastAsia="Times New Roman" w:hAnsi="Times New Roman"/>
                <w:sz w:val="17"/>
              </w:rPr>
              <w:t>Studies included</w:t>
            </w:r>
          </w:p>
        </w:tc>
        <w:tc>
          <w:tcPr>
            <w:tcW w:w="3364" w:type="dxa"/>
          </w:tcPr>
          <w:p w14:paraId="7AD14C83" w14:textId="77777777" w:rsidR="00EA465B" w:rsidRDefault="00EA465B" w:rsidP="009B0AFF">
            <w:r>
              <w:rPr>
                <w:rFonts w:ascii="Times New Roman" w:eastAsia="Times New Roman" w:hAnsi="Times New Roman"/>
                <w:sz w:val="17"/>
              </w:rPr>
              <w:t>13</w:t>
            </w:r>
          </w:p>
        </w:tc>
        <w:tc>
          <w:tcPr>
            <w:tcW w:w="3364" w:type="dxa"/>
          </w:tcPr>
          <w:p w14:paraId="4A7142AA" w14:textId="77777777" w:rsidR="00EA465B" w:rsidRDefault="00EA465B" w:rsidP="009B0AFF">
            <w:r>
              <w:rPr>
                <w:rFonts w:ascii="Times New Roman" w:eastAsia="Times New Roman" w:hAnsi="Times New Roman"/>
                <w:sz w:val="17"/>
              </w:rPr>
              <w:t>Eligible peer-reviewed empirical studies retained for appraisal and synthesis</w:t>
            </w:r>
          </w:p>
        </w:tc>
      </w:tr>
    </w:tbl>
    <w:p w14:paraId="0B5B65E6" w14:textId="77777777" w:rsidR="00EA465B" w:rsidRDefault="00EA465B" w:rsidP="00EA465B">
      <w:pPr>
        <w:sectPr w:rsidR="00EA465B" w:rsidSect="00EA465B">
          <w:footerReference w:type="default" r:id="rId27"/>
          <w:pgSz w:w="11906" w:h="16838"/>
          <w:pgMar w:top="850" w:right="907" w:bottom="850" w:left="907" w:header="720" w:footer="720" w:gutter="0"/>
          <w:cols w:space="720"/>
          <w:docGrid w:linePitch="360"/>
        </w:sectPr>
      </w:pPr>
    </w:p>
    <w:p w14:paraId="4C60DD3B" w14:textId="77777777" w:rsidR="00EA465B" w:rsidRDefault="00EA465B" w:rsidP="00DC3F5B">
      <w:pPr>
        <w:pStyle w:val="Heading2"/>
      </w:pPr>
      <w:bookmarkStart w:id="222" w:name="_Toc240927808"/>
      <w:r>
        <w:t>Appendix 4 – Detailed Data Extraction Matrix for the 13 Included Studies</w:t>
      </w:r>
      <w:bookmarkEnd w:id="222"/>
    </w:p>
    <w:p w14:paraId="3B13EE82" w14:textId="412360E1" w:rsidR="00EA465B" w:rsidRDefault="0073222D" w:rsidP="0073222D">
      <w:r>
        <w:rPr>
          <w:noProof/>
        </w:rPr>
        <w:drawing>
          <wp:inline distT="0" distB="0" distL="0" distR="0" wp14:anchorId="1DA9DFDC" wp14:editId="3F2BD678">
            <wp:extent cx="9935845" cy="409575"/>
            <wp:effectExtent l="0" t="0" r="825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935845" cy="409575"/>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2209"/>
        <w:gridCol w:w="2210"/>
        <w:gridCol w:w="2210"/>
        <w:gridCol w:w="2210"/>
        <w:gridCol w:w="2210"/>
        <w:gridCol w:w="2210"/>
        <w:gridCol w:w="2209"/>
      </w:tblGrid>
      <w:tr w:rsidR="00EA465B" w:rsidRPr="00C4460E" w14:paraId="02C42390" w14:textId="77777777" w:rsidTr="00C4460E">
        <w:tc>
          <w:tcPr>
            <w:tcW w:w="2211" w:type="dxa"/>
          </w:tcPr>
          <w:p w14:paraId="06B1D569" w14:textId="77777777" w:rsidR="00EA465B" w:rsidRPr="00C4460E" w:rsidRDefault="00EA465B" w:rsidP="009B0AFF">
            <w:pPr>
              <w:rPr>
                <w:sz w:val="16"/>
                <w:szCs w:val="16"/>
              </w:rPr>
            </w:pPr>
            <w:r w:rsidRPr="00C4460E">
              <w:rPr>
                <w:rFonts w:ascii="Times New Roman" w:eastAsia="Times New Roman" w:hAnsi="Times New Roman"/>
                <w:b/>
                <w:sz w:val="16"/>
                <w:szCs w:val="16"/>
              </w:rPr>
              <w:t>Study</w:t>
            </w:r>
          </w:p>
        </w:tc>
        <w:tc>
          <w:tcPr>
            <w:tcW w:w="2211" w:type="dxa"/>
          </w:tcPr>
          <w:p w14:paraId="6F54CB00" w14:textId="77777777" w:rsidR="00EA465B" w:rsidRPr="00C4460E" w:rsidRDefault="00EA465B" w:rsidP="009B0AFF">
            <w:pPr>
              <w:rPr>
                <w:sz w:val="16"/>
                <w:szCs w:val="16"/>
              </w:rPr>
            </w:pPr>
            <w:r w:rsidRPr="00C4460E">
              <w:rPr>
                <w:rFonts w:ascii="Times New Roman" w:eastAsia="Times New Roman" w:hAnsi="Times New Roman"/>
                <w:b/>
                <w:sz w:val="16"/>
                <w:szCs w:val="16"/>
              </w:rPr>
              <w:t>Country / setting</w:t>
            </w:r>
          </w:p>
        </w:tc>
        <w:tc>
          <w:tcPr>
            <w:tcW w:w="2211" w:type="dxa"/>
          </w:tcPr>
          <w:p w14:paraId="22FC9F23" w14:textId="77777777" w:rsidR="00EA465B" w:rsidRPr="00C4460E" w:rsidRDefault="00EA465B" w:rsidP="009B0AFF">
            <w:pPr>
              <w:rPr>
                <w:sz w:val="16"/>
                <w:szCs w:val="16"/>
              </w:rPr>
            </w:pPr>
            <w:r w:rsidRPr="00C4460E">
              <w:rPr>
                <w:rFonts w:ascii="Times New Roman" w:eastAsia="Times New Roman" w:hAnsi="Times New Roman"/>
                <w:b/>
                <w:sz w:val="16"/>
                <w:szCs w:val="16"/>
              </w:rPr>
              <w:t>Sample / age</w:t>
            </w:r>
          </w:p>
        </w:tc>
        <w:tc>
          <w:tcPr>
            <w:tcW w:w="2211" w:type="dxa"/>
          </w:tcPr>
          <w:p w14:paraId="5071B6FD" w14:textId="77777777" w:rsidR="00EA465B" w:rsidRPr="00C4460E" w:rsidRDefault="00EA465B" w:rsidP="009B0AFF">
            <w:pPr>
              <w:rPr>
                <w:sz w:val="16"/>
                <w:szCs w:val="16"/>
              </w:rPr>
            </w:pPr>
            <w:r w:rsidRPr="00C4460E">
              <w:rPr>
                <w:rFonts w:ascii="Times New Roman" w:eastAsia="Times New Roman" w:hAnsi="Times New Roman"/>
                <w:b/>
                <w:sz w:val="16"/>
                <w:szCs w:val="16"/>
              </w:rPr>
              <w:t>Design</w:t>
            </w:r>
          </w:p>
        </w:tc>
        <w:tc>
          <w:tcPr>
            <w:tcW w:w="2211" w:type="dxa"/>
          </w:tcPr>
          <w:p w14:paraId="3585E75F" w14:textId="77777777" w:rsidR="00EA465B" w:rsidRPr="00C4460E" w:rsidRDefault="00EA465B" w:rsidP="009B0AFF">
            <w:pPr>
              <w:rPr>
                <w:sz w:val="16"/>
                <w:szCs w:val="16"/>
              </w:rPr>
            </w:pPr>
            <w:r w:rsidRPr="00C4460E">
              <w:rPr>
                <w:rFonts w:ascii="Times New Roman" w:eastAsia="Times New Roman" w:hAnsi="Times New Roman"/>
                <w:b/>
                <w:sz w:val="16"/>
                <w:szCs w:val="16"/>
              </w:rPr>
              <w:t>Principal findings</w:t>
            </w:r>
          </w:p>
        </w:tc>
        <w:tc>
          <w:tcPr>
            <w:tcW w:w="2211" w:type="dxa"/>
          </w:tcPr>
          <w:p w14:paraId="6D09EAB8" w14:textId="77777777" w:rsidR="00EA465B" w:rsidRPr="00C4460E" w:rsidRDefault="00EA465B" w:rsidP="009B0AFF">
            <w:pPr>
              <w:rPr>
                <w:sz w:val="16"/>
                <w:szCs w:val="16"/>
              </w:rPr>
            </w:pPr>
            <w:r w:rsidRPr="00C4460E">
              <w:rPr>
                <w:rFonts w:ascii="Times New Roman" w:eastAsia="Times New Roman" w:hAnsi="Times New Roman"/>
                <w:b/>
                <w:sz w:val="16"/>
                <w:szCs w:val="16"/>
              </w:rPr>
              <w:t>Methodological note</w:t>
            </w:r>
          </w:p>
        </w:tc>
        <w:tc>
          <w:tcPr>
            <w:tcW w:w="2211" w:type="dxa"/>
          </w:tcPr>
          <w:p w14:paraId="307E926D" w14:textId="77777777" w:rsidR="00EA465B" w:rsidRPr="00C4460E" w:rsidRDefault="00EA465B" w:rsidP="009B0AFF">
            <w:pPr>
              <w:rPr>
                <w:sz w:val="16"/>
                <w:szCs w:val="16"/>
              </w:rPr>
            </w:pPr>
            <w:r w:rsidRPr="00C4460E">
              <w:rPr>
                <w:rFonts w:ascii="Times New Roman" w:eastAsia="Times New Roman" w:hAnsi="Times New Roman"/>
                <w:b/>
                <w:sz w:val="16"/>
                <w:szCs w:val="16"/>
              </w:rPr>
              <w:t>Theme(s)</w:t>
            </w:r>
          </w:p>
        </w:tc>
      </w:tr>
      <w:tr w:rsidR="00EA465B" w:rsidRPr="00C4460E" w14:paraId="4C85832C" w14:textId="77777777" w:rsidTr="00C4460E">
        <w:tc>
          <w:tcPr>
            <w:tcW w:w="2211" w:type="dxa"/>
          </w:tcPr>
          <w:p w14:paraId="3994F520" w14:textId="77777777" w:rsidR="00EA465B" w:rsidRPr="00C4460E" w:rsidRDefault="00EA465B" w:rsidP="009B0AFF">
            <w:pPr>
              <w:rPr>
                <w:sz w:val="16"/>
                <w:szCs w:val="16"/>
              </w:rPr>
            </w:pPr>
            <w:r w:rsidRPr="00C4460E">
              <w:rPr>
                <w:rFonts w:ascii="Times New Roman" w:eastAsia="Times New Roman" w:hAnsi="Times New Roman"/>
                <w:sz w:val="16"/>
                <w:szCs w:val="16"/>
              </w:rPr>
              <w:t>Al-Kotb et al. (2016)</w:t>
            </w:r>
          </w:p>
        </w:tc>
        <w:tc>
          <w:tcPr>
            <w:tcW w:w="2211" w:type="dxa"/>
          </w:tcPr>
          <w:p w14:paraId="228C8DBE" w14:textId="77777777" w:rsidR="00EA465B" w:rsidRPr="00C4460E" w:rsidRDefault="00EA465B" w:rsidP="009B0AFF">
            <w:pPr>
              <w:rPr>
                <w:sz w:val="16"/>
                <w:szCs w:val="16"/>
              </w:rPr>
            </w:pPr>
            <w:r w:rsidRPr="00C4460E">
              <w:rPr>
                <w:rFonts w:ascii="Times New Roman" w:eastAsia="Times New Roman" w:hAnsi="Times New Roman"/>
                <w:sz w:val="16"/>
                <w:szCs w:val="16"/>
              </w:rPr>
              <w:t>Egypt; preparatory girls’ schools</w:t>
            </w:r>
          </w:p>
        </w:tc>
        <w:tc>
          <w:tcPr>
            <w:tcW w:w="2211" w:type="dxa"/>
          </w:tcPr>
          <w:p w14:paraId="05267696" w14:textId="77777777" w:rsidR="00EA465B" w:rsidRPr="00C4460E" w:rsidRDefault="00EA465B" w:rsidP="009B0AFF">
            <w:pPr>
              <w:rPr>
                <w:sz w:val="16"/>
                <w:szCs w:val="16"/>
              </w:rPr>
            </w:pPr>
            <w:r w:rsidRPr="00C4460E">
              <w:rPr>
                <w:rFonts w:ascii="Times New Roman" w:eastAsia="Times New Roman" w:hAnsi="Times New Roman"/>
                <w:sz w:val="16"/>
                <w:szCs w:val="16"/>
              </w:rPr>
              <w:t>n=462; 12–15 years</w:t>
            </w:r>
          </w:p>
        </w:tc>
        <w:tc>
          <w:tcPr>
            <w:tcW w:w="2211" w:type="dxa"/>
          </w:tcPr>
          <w:p w14:paraId="2FA013B0"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pre/post</w:t>
            </w:r>
          </w:p>
        </w:tc>
        <w:tc>
          <w:tcPr>
            <w:tcW w:w="2211" w:type="dxa"/>
          </w:tcPr>
          <w:p w14:paraId="2B200D72" w14:textId="77777777" w:rsidR="00EA465B" w:rsidRPr="00C4460E" w:rsidRDefault="00EA465B" w:rsidP="009B0AFF">
            <w:pPr>
              <w:rPr>
                <w:sz w:val="16"/>
                <w:szCs w:val="16"/>
              </w:rPr>
            </w:pPr>
            <w:r w:rsidRPr="00C4460E">
              <w:rPr>
                <w:rFonts w:ascii="Times New Roman" w:eastAsia="Times New Roman" w:hAnsi="Times New Roman"/>
                <w:sz w:val="16"/>
                <w:szCs w:val="16"/>
              </w:rPr>
              <w:t>Baseline knowledge and hygiene were weak; satisfactory knowledge rose to 99.4% after the programme.</w:t>
            </w:r>
          </w:p>
        </w:tc>
        <w:tc>
          <w:tcPr>
            <w:tcW w:w="2211" w:type="dxa"/>
          </w:tcPr>
          <w:p w14:paraId="07B0A556" w14:textId="77777777" w:rsidR="00EA465B" w:rsidRPr="00C4460E" w:rsidRDefault="00EA465B" w:rsidP="009B0AFF">
            <w:pPr>
              <w:rPr>
                <w:sz w:val="16"/>
                <w:szCs w:val="16"/>
              </w:rPr>
            </w:pPr>
            <w:r w:rsidRPr="00C4460E">
              <w:rPr>
                <w:rFonts w:ascii="Times New Roman" w:eastAsia="Times New Roman" w:hAnsi="Times New Roman"/>
                <w:sz w:val="16"/>
                <w:szCs w:val="16"/>
              </w:rPr>
              <w:t>Large multistage sample; no separate control group.</w:t>
            </w:r>
          </w:p>
        </w:tc>
        <w:tc>
          <w:tcPr>
            <w:tcW w:w="2211" w:type="dxa"/>
          </w:tcPr>
          <w:p w14:paraId="1EC37C55" w14:textId="77777777" w:rsidR="00EA465B" w:rsidRPr="00C4460E" w:rsidRDefault="00EA465B" w:rsidP="009B0AFF">
            <w:pPr>
              <w:rPr>
                <w:sz w:val="16"/>
                <w:szCs w:val="16"/>
              </w:rPr>
            </w:pPr>
            <w:r w:rsidRPr="00C4460E">
              <w:rPr>
                <w:rFonts w:ascii="Times New Roman" w:eastAsia="Times New Roman" w:hAnsi="Times New Roman"/>
                <w:sz w:val="16"/>
                <w:szCs w:val="16"/>
              </w:rPr>
              <w:t>1, 2, 3</w:t>
            </w:r>
          </w:p>
        </w:tc>
      </w:tr>
      <w:tr w:rsidR="00EA465B" w:rsidRPr="00C4460E" w14:paraId="18937156" w14:textId="77777777" w:rsidTr="00C4460E">
        <w:tc>
          <w:tcPr>
            <w:tcW w:w="2211" w:type="dxa"/>
          </w:tcPr>
          <w:p w14:paraId="390614F6" w14:textId="77777777" w:rsidR="00EA465B" w:rsidRPr="00C4460E" w:rsidRDefault="00EA465B" w:rsidP="009B0AFF">
            <w:pPr>
              <w:rPr>
                <w:sz w:val="16"/>
                <w:szCs w:val="16"/>
              </w:rPr>
            </w:pPr>
            <w:r w:rsidRPr="00C4460E">
              <w:rPr>
                <w:rFonts w:ascii="Times New Roman" w:eastAsia="Times New Roman" w:hAnsi="Times New Roman"/>
                <w:sz w:val="16"/>
                <w:szCs w:val="16"/>
              </w:rPr>
              <w:t>Shikhare and Taksande (2017)</w:t>
            </w:r>
          </w:p>
        </w:tc>
        <w:tc>
          <w:tcPr>
            <w:tcW w:w="2211" w:type="dxa"/>
          </w:tcPr>
          <w:p w14:paraId="395F0360"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schools</w:t>
            </w:r>
          </w:p>
        </w:tc>
        <w:tc>
          <w:tcPr>
            <w:tcW w:w="2211" w:type="dxa"/>
          </w:tcPr>
          <w:p w14:paraId="0D1143D5" w14:textId="77777777" w:rsidR="00EA465B" w:rsidRPr="00C4460E" w:rsidRDefault="00EA465B" w:rsidP="009B0AFF">
            <w:pPr>
              <w:rPr>
                <w:sz w:val="16"/>
                <w:szCs w:val="16"/>
              </w:rPr>
            </w:pPr>
            <w:r w:rsidRPr="00C4460E">
              <w:rPr>
                <w:rFonts w:ascii="Times New Roman" w:eastAsia="Times New Roman" w:hAnsi="Times New Roman"/>
                <w:sz w:val="16"/>
                <w:szCs w:val="16"/>
              </w:rPr>
              <w:t>n=100; 12–16 years</w:t>
            </w:r>
          </w:p>
        </w:tc>
        <w:tc>
          <w:tcPr>
            <w:tcW w:w="2211" w:type="dxa"/>
          </w:tcPr>
          <w:p w14:paraId="6A640091" w14:textId="77777777" w:rsidR="00EA465B" w:rsidRPr="00C4460E" w:rsidRDefault="00EA465B" w:rsidP="009B0AFF">
            <w:pPr>
              <w:rPr>
                <w:sz w:val="16"/>
                <w:szCs w:val="16"/>
              </w:rPr>
            </w:pPr>
            <w:r w:rsidRPr="00C4460E">
              <w:rPr>
                <w:rFonts w:ascii="Times New Roman" w:eastAsia="Times New Roman" w:hAnsi="Times New Roman"/>
                <w:sz w:val="16"/>
                <w:szCs w:val="16"/>
              </w:rPr>
              <w:t>One-group pre/post</w:t>
            </w:r>
          </w:p>
        </w:tc>
        <w:tc>
          <w:tcPr>
            <w:tcW w:w="2211" w:type="dxa"/>
          </w:tcPr>
          <w:p w14:paraId="1976B1BD"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10.39 to 18.91 after a self-instructional module.</w:t>
            </w:r>
          </w:p>
        </w:tc>
        <w:tc>
          <w:tcPr>
            <w:tcW w:w="2211" w:type="dxa"/>
          </w:tcPr>
          <w:p w14:paraId="798D6B2F" w14:textId="77777777" w:rsidR="00EA465B" w:rsidRPr="00C4460E" w:rsidRDefault="00EA465B" w:rsidP="009B0AFF">
            <w:pPr>
              <w:rPr>
                <w:sz w:val="16"/>
                <w:szCs w:val="16"/>
              </w:rPr>
            </w:pPr>
            <w:r w:rsidRPr="00C4460E">
              <w:rPr>
                <w:rFonts w:ascii="Times New Roman" w:eastAsia="Times New Roman" w:hAnsi="Times New Roman"/>
                <w:sz w:val="16"/>
                <w:szCs w:val="16"/>
              </w:rPr>
              <w:t>Clear pre/post measure; convenience sampling and no control.</w:t>
            </w:r>
          </w:p>
        </w:tc>
        <w:tc>
          <w:tcPr>
            <w:tcW w:w="2211" w:type="dxa"/>
          </w:tcPr>
          <w:p w14:paraId="4155EDE0"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4778209C" w14:textId="77777777" w:rsidTr="00C4460E">
        <w:tc>
          <w:tcPr>
            <w:tcW w:w="2211" w:type="dxa"/>
          </w:tcPr>
          <w:p w14:paraId="6B6FA43D" w14:textId="77777777" w:rsidR="00EA465B" w:rsidRPr="00C4460E" w:rsidRDefault="00EA465B" w:rsidP="009B0AFF">
            <w:pPr>
              <w:rPr>
                <w:sz w:val="16"/>
                <w:szCs w:val="16"/>
              </w:rPr>
            </w:pPr>
            <w:r w:rsidRPr="00C4460E">
              <w:rPr>
                <w:rFonts w:ascii="Times New Roman" w:eastAsia="Times New Roman" w:hAnsi="Times New Roman"/>
                <w:sz w:val="16"/>
                <w:szCs w:val="16"/>
              </w:rPr>
              <w:t>Vijayan et al. (2018)</w:t>
            </w:r>
          </w:p>
        </w:tc>
        <w:tc>
          <w:tcPr>
            <w:tcW w:w="2211" w:type="dxa"/>
          </w:tcPr>
          <w:p w14:paraId="34FCBA9C" w14:textId="77777777" w:rsidR="00EA465B" w:rsidRPr="00C4460E" w:rsidRDefault="00EA465B" w:rsidP="009B0AFF">
            <w:pPr>
              <w:rPr>
                <w:sz w:val="16"/>
                <w:szCs w:val="16"/>
              </w:rPr>
            </w:pPr>
            <w:r w:rsidRPr="00C4460E">
              <w:rPr>
                <w:rFonts w:ascii="Times New Roman" w:eastAsia="Times New Roman" w:hAnsi="Times New Roman"/>
                <w:sz w:val="16"/>
                <w:szCs w:val="16"/>
              </w:rPr>
              <w:t>India; girls’ schools</w:t>
            </w:r>
          </w:p>
        </w:tc>
        <w:tc>
          <w:tcPr>
            <w:tcW w:w="2211" w:type="dxa"/>
          </w:tcPr>
          <w:p w14:paraId="5E8FD5A7" w14:textId="77777777" w:rsidR="00EA465B" w:rsidRPr="00C4460E" w:rsidRDefault="00EA465B" w:rsidP="009B0AFF">
            <w:pPr>
              <w:rPr>
                <w:sz w:val="16"/>
                <w:szCs w:val="16"/>
              </w:rPr>
            </w:pPr>
            <w:r w:rsidRPr="00C4460E">
              <w:rPr>
                <w:rFonts w:ascii="Times New Roman" w:eastAsia="Times New Roman" w:hAnsi="Times New Roman"/>
                <w:sz w:val="16"/>
                <w:szCs w:val="16"/>
              </w:rPr>
              <w:t>n=467; 12–16 years</w:t>
            </w:r>
          </w:p>
        </w:tc>
        <w:tc>
          <w:tcPr>
            <w:tcW w:w="2211" w:type="dxa"/>
          </w:tcPr>
          <w:p w14:paraId="4F043F7C" w14:textId="77777777" w:rsidR="00EA465B" w:rsidRPr="00C4460E" w:rsidRDefault="00EA465B" w:rsidP="009B0AFF">
            <w:pPr>
              <w:rPr>
                <w:sz w:val="16"/>
                <w:szCs w:val="16"/>
              </w:rPr>
            </w:pPr>
            <w:r w:rsidRPr="00C4460E">
              <w:rPr>
                <w:rFonts w:ascii="Times New Roman" w:eastAsia="Times New Roman" w:hAnsi="Times New Roman"/>
                <w:sz w:val="16"/>
                <w:szCs w:val="16"/>
              </w:rPr>
              <w:t>Community interventional</w:t>
            </w:r>
          </w:p>
        </w:tc>
        <w:tc>
          <w:tcPr>
            <w:tcW w:w="2211" w:type="dxa"/>
          </w:tcPr>
          <w:p w14:paraId="71044D63"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4.78 to 10.87; several hygiene practices improved after education.</w:t>
            </w:r>
          </w:p>
        </w:tc>
        <w:tc>
          <w:tcPr>
            <w:tcW w:w="2211" w:type="dxa"/>
          </w:tcPr>
          <w:p w14:paraId="4D19CAE5" w14:textId="77777777" w:rsidR="00EA465B" w:rsidRPr="00C4460E" w:rsidRDefault="00EA465B" w:rsidP="009B0AFF">
            <w:pPr>
              <w:rPr>
                <w:sz w:val="16"/>
                <w:szCs w:val="16"/>
              </w:rPr>
            </w:pPr>
            <w:r w:rsidRPr="00C4460E">
              <w:rPr>
                <w:rFonts w:ascii="Times New Roman" w:eastAsia="Times New Roman" w:hAnsi="Times New Roman"/>
                <w:sz w:val="16"/>
                <w:szCs w:val="16"/>
              </w:rPr>
              <w:t>Large sample and practice data; uncontrolled intervention.</w:t>
            </w:r>
          </w:p>
        </w:tc>
        <w:tc>
          <w:tcPr>
            <w:tcW w:w="2211" w:type="dxa"/>
          </w:tcPr>
          <w:p w14:paraId="71899DD0" w14:textId="77777777" w:rsidR="00EA465B" w:rsidRPr="00C4460E" w:rsidRDefault="00EA465B" w:rsidP="009B0AFF">
            <w:pPr>
              <w:rPr>
                <w:sz w:val="16"/>
                <w:szCs w:val="16"/>
              </w:rPr>
            </w:pPr>
            <w:r w:rsidRPr="00C4460E">
              <w:rPr>
                <w:rFonts w:ascii="Times New Roman" w:eastAsia="Times New Roman" w:hAnsi="Times New Roman"/>
                <w:sz w:val="16"/>
                <w:szCs w:val="16"/>
              </w:rPr>
              <w:t>1, 2, 3</w:t>
            </w:r>
          </w:p>
        </w:tc>
      </w:tr>
      <w:tr w:rsidR="00EA465B" w:rsidRPr="00C4460E" w14:paraId="5DCF35EB" w14:textId="77777777" w:rsidTr="00C4460E">
        <w:tc>
          <w:tcPr>
            <w:tcW w:w="2211" w:type="dxa"/>
          </w:tcPr>
          <w:p w14:paraId="6687D7D0" w14:textId="77777777" w:rsidR="00EA465B" w:rsidRPr="00C4460E" w:rsidRDefault="00EA465B" w:rsidP="009B0AFF">
            <w:pPr>
              <w:rPr>
                <w:sz w:val="16"/>
                <w:szCs w:val="16"/>
              </w:rPr>
            </w:pPr>
            <w:r w:rsidRPr="00C4460E">
              <w:rPr>
                <w:rFonts w:ascii="Times New Roman" w:eastAsia="Times New Roman" w:hAnsi="Times New Roman"/>
                <w:sz w:val="16"/>
                <w:szCs w:val="16"/>
              </w:rPr>
              <w:t>Saji et al. (2018)</w:t>
            </w:r>
          </w:p>
        </w:tc>
        <w:tc>
          <w:tcPr>
            <w:tcW w:w="2211" w:type="dxa"/>
          </w:tcPr>
          <w:p w14:paraId="046F29EC" w14:textId="77777777" w:rsidR="00EA465B" w:rsidRPr="00C4460E" w:rsidRDefault="00EA465B" w:rsidP="009B0AFF">
            <w:pPr>
              <w:rPr>
                <w:sz w:val="16"/>
                <w:szCs w:val="16"/>
              </w:rPr>
            </w:pPr>
            <w:r w:rsidRPr="00C4460E">
              <w:rPr>
                <w:rFonts w:ascii="Times New Roman" w:eastAsia="Times New Roman" w:hAnsi="Times New Roman"/>
                <w:sz w:val="16"/>
                <w:szCs w:val="16"/>
              </w:rPr>
              <w:t>India; nursing college</w:t>
            </w:r>
          </w:p>
        </w:tc>
        <w:tc>
          <w:tcPr>
            <w:tcW w:w="2211" w:type="dxa"/>
          </w:tcPr>
          <w:p w14:paraId="37A7F0AB" w14:textId="77777777" w:rsidR="00EA465B" w:rsidRPr="00C4460E" w:rsidRDefault="00EA465B" w:rsidP="009B0AFF">
            <w:pPr>
              <w:rPr>
                <w:sz w:val="16"/>
                <w:szCs w:val="16"/>
              </w:rPr>
            </w:pPr>
            <w:r w:rsidRPr="00C4460E">
              <w:rPr>
                <w:rFonts w:ascii="Times New Roman" w:eastAsia="Times New Roman" w:hAnsi="Times New Roman"/>
                <w:sz w:val="16"/>
                <w:szCs w:val="16"/>
              </w:rPr>
              <w:t>n=60; 13–19 years</w:t>
            </w:r>
          </w:p>
        </w:tc>
        <w:tc>
          <w:tcPr>
            <w:tcW w:w="2211" w:type="dxa"/>
          </w:tcPr>
          <w:p w14:paraId="40C890DC" w14:textId="77777777" w:rsidR="00EA465B" w:rsidRPr="00C4460E" w:rsidRDefault="00EA465B" w:rsidP="009B0AFF">
            <w:pPr>
              <w:rPr>
                <w:sz w:val="16"/>
                <w:szCs w:val="16"/>
              </w:rPr>
            </w:pPr>
            <w:r w:rsidRPr="00C4460E">
              <w:rPr>
                <w:rFonts w:ascii="Times New Roman" w:eastAsia="Times New Roman" w:hAnsi="Times New Roman"/>
                <w:sz w:val="16"/>
                <w:szCs w:val="16"/>
              </w:rPr>
              <w:t>Pre-experimental one-group pre/post</w:t>
            </w:r>
          </w:p>
        </w:tc>
        <w:tc>
          <w:tcPr>
            <w:tcW w:w="2211" w:type="dxa"/>
          </w:tcPr>
          <w:p w14:paraId="696A1F5C" w14:textId="77777777" w:rsidR="00EA465B" w:rsidRPr="00C4460E" w:rsidRDefault="00EA465B" w:rsidP="009B0AFF">
            <w:pPr>
              <w:rPr>
                <w:sz w:val="16"/>
                <w:szCs w:val="16"/>
              </w:rPr>
            </w:pPr>
            <w:r w:rsidRPr="00C4460E">
              <w:rPr>
                <w:rFonts w:ascii="Times New Roman" w:eastAsia="Times New Roman" w:hAnsi="Times New Roman"/>
                <w:sz w:val="16"/>
                <w:szCs w:val="16"/>
              </w:rPr>
              <w:t>Good knowledge increased from 25% to 85% after structured teaching.</w:t>
            </w:r>
          </w:p>
        </w:tc>
        <w:tc>
          <w:tcPr>
            <w:tcW w:w="2211" w:type="dxa"/>
          </w:tcPr>
          <w:p w14:paraId="27420BA7" w14:textId="77777777" w:rsidR="00EA465B" w:rsidRPr="00C4460E" w:rsidRDefault="00EA465B" w:rsidP="009B0AFF">
            <w:pPr>
              <w:rPr>
                <w:sz w:val="16"/>
                <w:szCs w:val="16"/>
              </w:rPr>
            </w:pPr>
            <w:r w:rsidRPr="00C4460E">
              <w:rPr>
                <w:rFonts w:ascii="Times New Roman" w:eastAsia="Times New Roman" w:hAnsi="Times New Roman"/>
                <w:sz w:val="16"/>
                <w:szCs w:val="16"/>
              </w:rPr>
              <w:t>Age-relevant sample; small convenience sample and no control.</w:t>
            </w:r>
          </w:p>
        </w:tc>
        <w:tc>
          <w:tcPr>
            <w:tcW w:w="2211" w:type="dxa"/>
          </w:tcPr>
          <w:p w14:paraId="2BC5C97B"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0930A2F6" w14:textId="77777777" w:rsidTr="00C4460E">
        <w:tc>
          <w:tcPr>
            <w:tcW w:w="2211" w:type="dxa"/>
          </w:tcPr>
          <w:p w14:paraId="71546816" w14:textId="77777777" w:rsidR="00EA465B" w:rsidRPr="00C4460E" w:rsidRDefault="00EA465B" w:rsidP="009B0AFF">
            <w:pPr>
              <w:rPr>
                <w:sz w:val="16"/>
                <w:szCs w:val="16"/>
              </w:rPr>
            </w:pPr>
            <w:r w:rsidRPr="00C4460E">
              <w:rPr>
                <w:rFonts w:ascii="Times New Roman" w:eastAsia="Times New Roman" w:hAnsi="Times New Roman"/>
                <w:sz w:val="16"/>
                <w:szCs w:val="16"/>
              </w:rPr>
              <w:t>Pascal et al. (2019)</w:t>
            </w:r>
          </w:p>
        </w:tc>
        <w:tc>
          <w:tcPr>
            <w:tcW w:w="2211" w:type="dxa"/>
          </w:tcPr>
          <w:p w14:paraId="4E2A0D86"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schools</w:t>
            </w:r>
          </w:p>
        </w:tc>
        <w:tc>
          <w:tcPr>
            <w:tcW w:w="2211" w:type="dxa"/>
          </w:tcPr>
          <w:p w14:paraId="3E55BF7F" w14:textId="77777777" w:rsidR="00EA465B" w:rsidRPr="00C4460E" w:rsidRDefault="00EA465B" w:rsidP="009B0AFF">
            <w:pPr>
              <w:rPr>
                <w:sz w:val="16"/>
                <w:szCs w:val="16"/>
              </w:rPr>
            </w:pPr>
            <w:r w:rsidRPr="00C4460E">
              <w:rPr>
                <w:rFonts w:ascii="Times New Roman" w:eastAsia="Times New Roman" w:hAnsi="Times New Roman"/>
                <w:sz w:val="16"/>
                <w:szCs w:val="16"/>
              </w:rPr>
              <w:t>n=60; 15–18 years</w:t>
            </w:r>
          </w:p>
        </w:tc>
        <w:tc>
          <w:tcPr>
            <w:tcW w:w="2211" w:type="dxa"/>
          </w:tcPr>
          <w:p w14:paraId="7AA0419A" w14:textId="77777777" w:rsidR="00EA465B" w:rsidRPr="00C4460E" w:rsidRDefault="00EA465B" w:rsidP="009B0AFF">
            <w:pPr>
              <w:rPr>
                <w:sz w:val="16"/>
                <w:szCs w:val="16"/>
              </w:rPr>
            </w:pPr>
            <w:r w:rsidRPr="00C4460E">
              <w:rPr>
                <w:rFonts w:ascii="Times New Roman" w:eastAsia="Times New Roman" w:hAnsi="Times New Roman"/>
                <w:sz w:val="16"/>
                <w:szCs w:val="16"/>
              </w:rPr>
              <w:t>Pre-experimental one-group pre/post</w:t>
            </w:r>
          </w:p>
        </w:tc>
        <w:tc>
          <w:tcPr>
            <w:tcW w:w="2211" w:type="dxa"/>
          </w:tcPr>
          <w:p w14:paraId="7101A24F"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9.28 to 14.35 after structured teaching.</w:t>
            </w:r>
          </w:p>
        </w:tc>
        <w:tc>
          <w:tcPr>
            <w:tcW w:w="2211" w:type="dxa"/>
          </w:tcPr>
          <w:p w14:paraId="66BCAA28" w14:textId="77777777" w:rsidR="00EA465B" w:rsidRPr="00C4460E" w:rsidRDefault="00EA465B" w:rsidP="009B0AFF">
            <w:pPr>
              <w:rPr>
                <w:sz w:val="16"/>
                <w:szCs w:val="16"/>
              </w:rPr>
            </w:pPr>
            <w:r w:rsidRPr="00C4460E">
              <w:rPr>
                <w:rFonts w:ascii="Times New Roman" w:eastAsia="Times New Roman" w:hAnsi="Times New Roman"/>
                <w:sz w:val="16"/>
                <w:szCs w:val="16"/>
              </w:rPr>
              <w:t>Simple random sample; no control and short follow-up.</w:t>
            </w:r>
          </w:p>
        </w:tc>
        <w:tc>
          <w:tcPr>
            <w:tcW w:w="2211" w:type="dxa"/>
          </w:tcPr>
          <w:p w14:paraId="6ED8AB4D"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5976645E" w14:textId="77777777" w:rsidTr="00C4460E">
        <w:tc>
          <w:tcPr>
            <w:tcW w:w="2211" w:type="dxa"/>
          </w:tcPr>
          <w:p w14:paraId="29E85FC1" w14:textId="77777777" w:rsidR="00EA465B" w:rsidRPr="00C4460E" w:rsidRDefault="00EA465B" w:rsidP="009B0AFF">
            <w:pPr>
              <w:rPr>
                <w:sz w:val="16"/>
                <w:szCs w:val="16"/>
              </w:rPr>
            </w:pPr>
            <w:r w:rsidRPr="00C4460E">
              <w:rPr>
                <w:rFonts w:ascii="Times New Roman" w:eastAsia="Times New Roman" w:hAnsi="Times New Roman"/>
                <w:sz w:val="16"/>
                <w:szCs w:val="16"/>
              </w:rPr>
              <w:t>Nofal et al. (2020)</w:t>
            </w:r>
          </w:p>
        </w:tc>
        <w:tc>
          <w:tcPr>
            <w:tcW w:w="2211" w:type="dxa"/>
          </w:tcPr>
          <w:p w14:paraId="52AE4548" w14:textId="77777777" w:rsidR="00EA465B" w:rsidRPr="00C4460E" w:rsidRDefault="00EA465B" w:rsidP="009B0AFF">
            <w:pPr>
              <w:rPr>
                <w:sz w:val="16"/>
                <w:szCs w:val="16"/>
              </w:rPr>
            </w:pPr>
            <w:r w:rsidRPr="00C4460E">
              <w:rPr>
                <w:rFonts w:ascii="Times New Roman" w:eastAsia="Times New Roman" w:hAnsi="Times New Roman"/>
                <w:sz w:val="16"/>
                <w:szCs w:val="16"/>
              </w:rPr>
              <w:t>Egypt; four girls’ schools</w:t>
            </w:r>
          </w:p>
        </w:tc>
        <w:tc>
          <w:tcPr>
            <w:tcW w:w="2211" w:type="dxa"/>
          </w:tcPr>
          <w:p w14:paraId="02A4B0A7" w14:textId="77777777" w:rsidR="00EA465B" w:rsidRPr="00C4460E" w:rsidRDefault="00EA465B" w:rsidP="009B0AFF">
            <w:pPr>
              <w:rPr>
                <w:sz w:val="16"/>
                <w:szCs w:val="16"/>
              </w:rPr>
            </w:pPr>
            <w:r w:rsidRPr="00C4460E">
              <w:rPr>
                <w:rFonts w:ascii="Times New Roman" w:eastAsia="Times New Roman" w:hAnsi="Times New Roman"/>
                <w:sz w:val="16"/>
                <w:szCs w:val="16"/>
              </w:rPr>
              <w:t>n=770 screened; 104 intervention subset; 12–16 years</w:t>
            </w:r>
          </w:p>
        </w:tc>
        <w:tc>
          <w:tcPr>
            <w:tcW w:w="2211" w:type="dxa"/>
          </w:tcPr>
          <w:p w14:paraId="0319B3D0"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w:t>
            </w:r>
          </w:p>
        </w:tc>
        <w:tc>
          <w:tcPr>
            <w:tcW w:w="2211" w:type="dxa"/>
          </w:tcPr>
          <w:p w14:paraId="0C13EE70" w14:textId="77777777" w:rsidR="00EA465B" w:rsidRPr="00C4460E" w:rsidRDefault="00EA465B" w:rsidP="009B0AFF">
            <w:pPr>
              <w:rPr>
                <w:sz w:val="16"/>
                <w:szCs w:val="16"/>
              </w:rPr>
            </w:pPr>
            <w:r w:rsidRPr="00C4460E">
              <w:rPr>
                <w:rFonts w:ascii="Times New Roman" w:eastAsia="Times New Roman" w:hAnsi="Times New Roman"/>
                <w:sz w:val="16"/>
                <w:szCs w:val="16"/>
              </w:rPr>
              <w:t>Knowledge and personal-hygiene practices improved after education; UTI symptoms and prevalence were also assessed.</w:t>
            </w:r>
          </w:p>
        </w:tc>
        <w:tc>
          <w:tcPr>
            <w:tcW w:w="2211" w:type="dxa"/>
          </w:tcPr>
          <w:p w14:paraId="73AEE7D1" w14:textId="77777777" w:rsidR="00EA465B" w:rsidRPr="00C4460E" w:rsidRDefault="00EA465B" w:rsidP="009B0AFF">
            <w:pPr>
              <w:rPr>
                <w:sz w:val="16"/>
                <w:szCs w:val="16"/>
              </w:rPr>
            </w:pPr>
            <w:r w:rsidRPr="00C4460E">
              <w:rPr>
                <w:rFonts w:ascii="Times New Roman" w:eastAsia="Times New Roman" w:hAnsi="Times New Roman"/>
                <w:sz w:val="16"/>
                <w:szCs w:val="16"/>
              </w:rPr>
              <w:t>Large multistage sample and urine testing; intervention analysis used a subset.</w:t>
            </w:r>
          </w:p>
        </w:tc>
        <w:tc>
          <w:tcPr>
            <w:tcW w:w="2211" w:type="dxa"/>
          </w:tcPr>
          <w:p w14:paraId="18002ACB" w14:textId="77777777" w:rsidR="00EA465B" w:rsidRPr="00C4460E" w:rsidRDefault="00EA465B" w:rsidP="009B0AFF">
            <w:pPr>
              <w:rPr>
                <w:sz w:val="16"/>
                <w:szCs w:val="16"/>
              </w:rPr>
            </w:pPr>
            <w:r w:rsidRPr="00C4460E">
              <w:rPr>
                <w:rFonts w:ascii="Times New Roman" w:eastAsia="Times New Roman" w:hAnsi="Times New Roman"/>
                <w:sz w:val="16"/>
                <w:szCs w:val="16"/>
              </w:rPr>
              <w:t>1, 2, 3, 5</w:t>
            </w:r>
          </w:p>
        </w:tc>
      </w:tr>
      <w:tr w:rsidR="00EA465B" w:rsidRPr="00C4460E" w14:paraId="4694B4C8" w14:textId="77777777" w:rsidTr="00C4460E">
        <w:tc>
          <w:tcPr>
            <w:tcW w:w="2211" w:type="dxa"/>
          </w:tcPr>
          <w:p w14:paraId="2DF553F3" w14:textId="77777777" w:rsidR="00EA465B" w:rsidRPr="00C4460E" w:rsidRDefault="00EA465B" w:rsidP="009B0AFF">
            <w:pPr>
              <w:rPr>
                <w:sz w:val="16"/>
                <w:szCs w:val="16"/>
              </w:rPr>
            </w:pPr>
            <w:r w:rsidRPr="00C4460E">
              <w:rPr>
                <w:rFonts w:ascii="Times New Roman" w:eastAsia="Times New Roman" w:hAnsi="Times New Roman"/>
                <w:sz w:val="16"/>
                <w:szCs w:val="16"/>
              </w:rPr>
              <w:t>Semwal and Sharma (2020)</w:t>
            </w:r>
          </w:p>
        </w:tc>
        <w:tc>
          <w:tcPr>
            <w:tcW w:w="2211" w:type="dxa"/>
          </w:tcPr>
          <w:p w14:paraId="37A25709" w14:textId="77777777" w:rsidR="00EA465B" w:rsidRPr="00C4460E" w:rsidRDefault="00EA465B" w:rsidP="009B0AFF">
            <w:pPr>
              <w:rPr>
                <w:sz w:val="16"/>
                <w:szCs w:val="16"/>
              </w:rPr>
            </w:pPr>
            <w:r w:rsidRPr="00C4460E">
              <w:rPr>
                <w:rFonts w:ascii="Times New Roman" w:eastAsia="Times New Roman" w:hAnsi="Times New Roman"/>
                <w:sz w:val="16"/>
                <w:szCs w:val="16"/>
              </w:rPr>
              <w:t>India; community areas, Dehradun</w:t>
            </w:r>
          </w:p>
        </w:tc>
        <w:tc>
          <w:tcPr>
            <w:tcW w:w="2211" w:type="dxa"/>
          </w:tcPr>
          <w:p w14:paraId="69F1D23A" w14:textId="77777777" w:rsidR="00EA465B" w:rsidRPr="00C4460E" w:rsidRDefault="00EA465B" w:rsidP="009B0AFF">
            <w:pPr>
              <w:rPr>
                <w:sz w:val="16"/>
                <w:szCs w:val="16"/>
              </w:rPr>
            </w:pPr>
            <w:r w:rsidRPr="00C4460E">
              <w:rPr>
                <w:rFonts w:ascii="Times New Roman" w:eastAsia="Times New Roman" w:hAnsi="Times New Roman"/>
                <w:sz w:val="16"/>
                <w:szCs w:val="16"/>
              </w:rPr>
              <w:t>n=230; 13–19 years</w:t>
            </w:r>
          </w:p>
        </w:tc>
        <w:tc>
          <w:tcPr>
            <w:tcW w:w="2211" w:type="dxa"/>
          </w:tcPr>
          <w:p w14:paraId="7D1AF2BA" w14:textId="77777777" w:rsidR="00EA465B" w:rsidRPr="00C4460E" w:rsidRDefault="00EA465B" w:rsidP="009B0AFF">
            <w:pPr>
              <w:rPr>
                <w:sz w:val="16"/>
                <w:szCs w:val="16"/>
              </w:rPr>
            </w:pPr>
            <w:r w:rsidRPr="00C4460E">
              <w:rPr>
                <w:rFonts w:ascii="Times New Roman" w:eastAsia="Times New Roman" w:hAnsi="Times New Roman"/>
                <w:sz w:val="16"/>
                <w:szCs w:val="16"/>
              </w:rPr>
              <w:t>Descriptive cross-sectional</w:t>
            </w:r>
          </w:p>
        </w:tc>
        <w:tc>
          <w:tcPr>
            <w:tcW w:w="2211" w:type="dxa"/>
          </w:tcPr>
          <w:p w14:paraId="0DDECCD9" w14:textId="77777777" w:rsidR="00EA465B" w:rsidRPr="00C4460E" w:rsidRDefault="00EA465B" w:rsidP="009B0AFF">
            <w:pPr>
              <w:rPr>
                <w:sz w:val="16"/>
                <w:szCs w:val="16"/>
              </w:rPr>
            </w:pPr>
            <w:r w:rsidRPr="00C4460E">
              <w:rPr>
                <w:rFonts w:ascii="Times New Roman" w:eastAsia="Times New Roman" w:hAnsi="Times New Roman"/>
                <w:sz w:val="16"/>
                <w:szCs w:val="16"/>
              </w:rPr>
              <w:t>90% had moderately adequate knowledge; prevention scored lowest; several toileting and hygiene practices were suboptimal.</w:t>
            </w:r>
          </w:p>
        </w:tc>
        <w:tc>
          <w:tcPr>
            <w:tcW w:w="2211" w:type="dxa"/>
          </w:tcPr>
          <w:p w14:paraId="37655D4D" w14:textId="77777777" w:rsidR="00EA465B" w:rsidRPr="00C4460E" w:rsidRDefault="00EA465B" w:rsidP="009B0AFF">
            <w:pPr>
              <w:rPr>
                <w:sz w:val="16"/>
                <w:szCs w:val="16"/>
              </w:rPr>
            </w:pPr>
            <w:r w:rsidRPr="00C4460E">
              <w:rPr>
                <w:rFonts w:ascii="Times New Roman" w:eastAsia="Times New Roman" w:hAnsi="Times New Roman"/>
                <w:sz w:val="16"/>
                <w:szCs w:val="16"/>
              </w:rPr>
              <w:t>Direct knowledge/practice measures; cross-sectional self-report.</w:t>
            </w:r>
          </w:p>
        </w:tc>
        <w:tc>
          <w:tcPr>
            <w:tcW w:w="2211" w:type="dxa"/>
          </w:tcPr>
          <w:p w14:paraId="46B91CDA"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2C3394FA" w14:textId="77777777" w:rsidTr="00C4460E">
        <w:tc>
          <w:tcPr>
            <w:tcW w:w="2211" w:type="dxa"/>
          </w:tcPr>
          <w:p w14:paraId="51E83179" w14:textId="77777777" w:rsidR="00EA465B" w:rsidRPr="00C4460E" w:rsidRDefault="00EA465B" w:rsidP="009B0AFF">
            <w:pPr>
              <w:rPr>
                <w:sz w:val="16"/>
                <w:szCs w:val="16"/>
              </w:rPr>
            </w:pPr>
            <w:r w:rsidRPr="00C4460E">
              <w:rPr>
                <w:rFonts w:ascii="Times New Roman" w:eastAsia="Times New Roman" w:hAnsi="Times New Roman"/>
                <w:sz w:val="16"/>
                <w:szCs w:val="16"/>
              </w:rPr>
              <w:t>Patel et al. (2020)</w:t>
            </w:r>
          </w:p>
        </w:tc>
        <w:tc>
          <w:tcPr>
            <w:tcW w:w="2211" w:type="dxa"/>
          </w:tcPr>
          <w:p w14:paraId="53BEE079" w14:textId="77777777" w:rsidR="00EA465B" w:rsidRPr="00C4460E" w:rsidRDefault="00EA465B" w:rsidP="009B0AFF">
            <w:pPr>
              <w:rPr>
                <w:sz w:val="16"/>
                <w:szCs w:val="16"/>
              </w:rPr>
            </w:pPr>
            <w:r w:rsidRPr="00C4460E">
              <w:rPr>
                <w:rFonts w:ascii="Times New Roman" w:eastAsia="Times New Roman" w:hAnsi="Times New Roman"/>
                <w:sz w:val="16"/>
                <w:szCs w:val="16"/>
              </w:rPr>
              <w:t>India; higher secondary schools</w:t>
            </w:r>
          </w:p>
        </w:tc>
        <w:tc>
          <w:tcPr>
            <w:tcW w:w="2211" w:type="dxa"/>
          </w:tcPr>
          <w:p w14:paraId="5CB662EA" w14:textId="77777777" w:rsidR="00EA465B" w:rsidRPr="00C4460E" w:rsidRDefault="00EA465B" w:rsidP="009B0AFF">
            <w:pPr>
              <w:rPr>
                <w:sz w:val="16"/>
                <w:szCs w:val="16"/>
              </w:rPr>
            </w:pPr>
            <w:r w:rsidRPr="00C4460E">
              <w:rPr>
                <w:rFonts w:ascii="Times New Roman" w:eastAsia="Times New Roman" w:hAnsi="Times New Roman"/>
                <w:sz w:val="16"/>
                <w:szCs w:val="16"/>
              </w:rPr>
              <w:t>n=200; 16–19 years</w:t>
            </w:r>
          </w:p>
        </w:tc>
        <w:tc>
          <w:tcPr>
            <w:tcW w:w="2211" w:type="dxa"/>
          </w:tcPr>
          <w:p w14:paraId="5BFD867E" w14:textId="77777777" w:rsidR="00EA465B" w:rsidRPr="00C4460E" w:rsidRDefault="00EA465B" w:rsidP="009B0AFF">
            <w:pPr>
              <w:rPr>
                <w:sz w:val="16"/>
                <w:szCs w:val="16"/>
              </w:rPr>
            </w:pPr>
            <w:r w:rsidRPr="00C4460E">
              <w:rPr>
                <w:rFonts w:ascii="Times New Roman" w:eastAsia="Times New Roman" w:hAnsi="Times New Roman"/>
                <w:sz w:val="16"/>
                <w:szCs w:val="16"/>
              </w:rPr>
              <w:t>Cross-sectional descriptive survey</w:t>
            </w:r>
          </w:p>
        </w:tc>
        <w:tc>
          <w:tcPr>
            <w:tcW w:w="2211" w:type="dxa"/>
          </w:tcPr>
          <w:p w14:paraId="281D87A9" w14:textId="77777777" w:rsidR="00EA465B" w:rsidRPr="00C4460E" w:rsidRDefault="00EA465B" w:rsidP="009B0AFF">
            <w:pPr>
              <w:rPr>
                <w:sz w:val="16"/>
                <w:szCs w:val="16"/>
              </w:rPr>
            </w:pPr>
            <w:r w:rsidRPr="00C4460E">
              <w:rPr>
                <w:rFonts w:ascii="Times New Roman" w:eastAsia="Times New Roman" w:hAnsi="Times New Roman"/>
                <w:sz w:val="16"/>
                <w:szCs w:val="16"/>
              </w:rPr>
              <w:t>71.5% had poor knowledge and 87% poor preventive practice.</w:t>
            </w:r>
          </w:p>
        </w:tc>
        <w:tc>
          <w:tcPr>
            <w:tcW w:w="2211" w:type="dxa"/>
          </w:tcPr>
          <w:p w14:paraId="0FEA29DA" w14:textId="77777777" w:rsidR="00EA465B" w:rsidRPr="00C4460E" w:rsidRDefault="00EA465B" w:rsidP="009B0AFF">
            <w:pPr>
              <w:rPr>
                <w:sz w:val="16"/>
                <w:szCs w:val="16"/>
              </w:rPr>
            </w:pPr>
            <w:r w:rsidRPr="00C4460E">
              <w:rPr>
                <w:rFonts w:ascii="Times New Roman" w:eastAsia="Times New Roman" w:hAnsi="Times New Roman"/>
                <w:sz w:val="16"/>
                <w:szCs w:val="16"/>
              </w:rPr>
              <w:t>Simple random sample; self-reported practice and single setting.</w:t>
            </w:r>
          </w:p>
        </w:tc>
        <w:tc>
          <w:tcPr>
            <w:tcW w:w="2211" w:type="dxa"/>
          </w:tcPr>
          <w:p w14:paraId="2554404D"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18328E45" w14:textId="77777777" w:rsidTr="00C4460E">
        <w:tc>
          <w:tcPr>
            <w:tcW w:w="2211" w:type="dxa"/>
          </w:tcPr>
          <w:p w14:paraId="51E70DD7" w14:textId="77777777" w:rsidR="00EA465B" w:rsidRPr="00C4460E" w:rsidRDefault="00EA465B" w:rsidP="009B0AFF">
            <w:pPr>
              <w:rPr>
                <w:sz w:val="16"/>
                <w:szCs w:val="16"/>
              </w:rPr>
            </w:pPr>
            <w:r w:rsidRPr="00C4460E">
              <w:rPr>
                <w:rFonts w:ascii="Times New Roman" w:eastAsia="Times New Roman" w:hAnsi="Times New Roman"/>
                <w:sz w:val="16"/>
                <w:szCs w:val="16"/>
              </w:rPr>
              <w:t>Sequera et al. (2021)</w:t>
            </w:r>
          </w:p>
        </w:tc>
        <w:tc>
          <w:tcPr>
            <w:tcW w:w="2211" w:type="dxa"/>
          </w:tcPr>
          <w:p w14:paraId="280AD4D6" w14:textId="77777777" w:rsidR="00EA465B" w:rsidRPr="00C4460E" w:rsidRDefault="00EA465B" w:rsidP="009B0AFF">
            <w:pPr>
              <w:rPr>
                <w:sz w:val="16"/>
                <w:szCs w:val="16"/>
              </w:rPr>
            </w:pPr>
            <w:r w:rsidRPr="00C4460E">
              <w:rPr>
                <w:rFonts w:ascii="Times New Roman" w:eastAsia="Times New Roman" w:hAnsi="Times New Roman"/>
                <w:sz w:val="16"/>
                <w:szCs w:val="16"/>
              </w:rPr>
              <w:t>India; nursing-college hostel</w:t>
            </w:r>
          </w:p>
        </w:tc>
        <w:tc>
          <w:tcPr>
            <w:tcW w:w="2211" w:type="dxa"/>
          </w:tcPr>
          <w:p w14:paraId="4293E684" w14:textId="77777777" w:rsidR="00EA465B" w:rsidRPr="00C4460E" w:rsidRDefault="00EA465B" w:rsidP="009B0AFF">
            <w:pPr>
              <w:rPr>
                <w:sz w:val="16"/>
                <w:szCs w:val="16"/>
              </w:rPr>
            </w:pPr>
            <w:r w:rsidRPr="00C4460E">
              <w:rPr>
                <w:rFonts w:ascii="Times New Roman" w:eastAsia="Times New Roman" w:hAnsi="Times New Roman"/>
                <w:sz w:val="16"/>
                <w:szCs w:val="16"/>
              </w:rPr>
              <w:t>n=82; mean age 18.69 years</w:t>
            </w:r>
          </w:p>
        </w:tc>
        <w:tc>
          <w:tcPr>
            <w:tcW w:w="2211" w:type="dxa"/>
          </w:tcPr>
          <w:p w14:paraId="3EFF2873" w14:textId="77777777" w:rsidR="00EA465B" w:rsidRPr="00C4460E" w:rsidRDefault="00EA465B" w:rsidP="009B0AFF">
            <w:pPr>
              <w:rPr>
                <w:sz w:val="16"/>
                <w:szCs w:val="16"/>
              </w:rPr>
            </w:pPr>
            <w:r w:rsidRPr="00C4460E">
              <w:rPr>
                <w:rFonts w:ascii="Times New Roman" w:eastAsia="Times New Roman" w:hAnsi="Times New Roman"/>
                <w:sz w:val="16"/>
                <w:szCs w:val="16"/>
              </w:rPr>
              <w:t>Descriptive cross-sectional</w:t>
            </w:r>
          </w:p>
        </w:tc>
        <w:tc>
          <w:tcPr>
            <w:tcW w:w="2211" w:type="dxa"/>
          </w:tcPr>
          <w:p w14:paraId="5DBF9D17" w14:textId="77777777" w:rsidR="00EA465B" w:rsidRPr="00C4460E" w:rsidRDefault="00EA465B" w:rsidP="009B0AFF">
            <w:pPr>
              <w:rPr>
                <w:sz w:val="16"/>
                <w:szCs w:val="16"/>
              </w:rPr>
            </w:pPr>
            <w:r w:rsidRPr="00C4460E">
              <w:rPr>
                <w:rFonts w:ascii="Times New Roman" w:eastAsia="Times New Roman" w:hAnsi="Times New Roman"/>
                <w:sz w:val="16"/>
                <w:szCs w:val="16"/>
              </w:rPr>
              <w:t>40.2% had average knowledge; 53.7% average practice; knowledge-practice correlation was weak (r=0.10).</w:t>
            </w:r>
          </w:p>
        </w:tc>
        <w:tc>
          <w:tcPr>
            <w:tcW w:w="2211" w:type="dxa"/>
          </w:tcPr>
          <w:p w14:paraId="1AFA68FA" w14:textId="77777777" w:rsidR="00EA465B" w:rsidRPr="00C4460E" w:rsidRDefault="00EA465B" w:rsidP="009B0AFF">
            <w:pPr>
              <w:rPr>
                <w:sz w:val="16"/>
                <w:szCs w:val="16"/>
              </w:rPr>
            </w:pPr>
            <w:r w:rsidRPr="00C4460E">
              <w:rPr>
                <w:rFonts w:ascii="Times New Roman" w:eastAsia="Times New Roman" w:hAnsi="Times New Roman"/>
                <w:sz w:val="16"/>
                <w:szCs w:val="16"/>
              </w:rPr>
              <w:t>Direct correlation analysis; small, specialised nursing sample.</w:t>
            </w:r>
          </w:p>
        </w:tc>
        <w:tc>
          <w:tcPr>
            <w:tcW w:w="2211" w:type="dxa"/>
          </w:tcPr>
          <w:p w14:paraId="139A0EB2"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501ECC2B" w14:textId="77777777" w:rsidTr="00C4460E">
        <w:tc>
          <w:tcPr>
            <w:tcW w:w="2211" w:type="dxa"/>
          </w:tcPr>
          <w:p w14:paraId="6688AB1B" w14:textId="77777777" w:rsidR="00EA465B" w:rsidRPr="00C4460E" w:rsidRDefault="00EA465B" w:rsidP="009B0AFF">
            <w:pPr>
              <w:rPr>
                <w:sz w:val="16"/>
                <w:szCs w:val="16"/>
              </w:rPr>
            </w:pPr>
            <w:r w:rsidRPr="00C4460E">
              <w:rPr>
                <w:rFonts w:ascii="Times New Roman" w:eastAsia="Times New Roman" w:hAnsi="Times New Roman"/>
                <w:sz w:val="16"/>
                <w:szCs w:val="16"/>
              </w:rPr>
              <w:t>Banu (2023)</w:t>
            </w:r>
          </w:p>
        </w:tc>
        <w:tc>
          <w:tcPr>
            <w:tcW w:w="2211" w:type="dxa"/>
          </w:tcPr>
          <w:p w14:paraId="241913EF"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colleges, Gulbarga</w:t>
            </w:r>
          </w:p>
        </w:tc>
        <w:tc>
          <w:tcPr>
            <w:tcW w:w="2211" w:type="dxa"/>
          </w:tcPr>
          <w:p w14:paraId="711E8B97" w14:textId="77777777" w:rsidR="00EA465B" w:rsidRPr="00C4460E" w:rsidRDefault="00EA465B" w:rsidP="009B0AFF">
            <w:pPr>
              <w:rPr>
                <w:sz w:val="16"/>
                <w:szCs w:val="16"/>
              </w:rPr>
            </w:pPr>
            <w:r w:rsidRPr="00C4460E">
              <w:rPr>
                <w:rFonts w:ascii="Times New Roman" w:eastAsia="Times New Roman" w:hAnsi="Times New Roman"/>
                <w:sz w:val="16"/>
                <w:szCs w:val="16"/>
              </w:rPr>
              <w:t>n=100; 15–18 years</w:t>
            </w:r>
          </w:p>
        </w:tc>
        <w:tc>
          <w:tcPr>
            <w:tcW w:w="2211" w:type="dxa"/>
          </w:tcPr>
          <w:p w14:paraId="3BDE22E8"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with control group</w:t>
            </w:r>
          </w:p>
        </w:tc>
        <w:tc>
          <w:tcPr>
            <w:tcW w:w="2211" w:type="dxa"/>
          </w:tcPr>
          <w:p w14:paraId="53EDEC48" w14:textId="77777777" w:rsidR="00EA465B" w:rsidRPr="00C4460E" w:rsidRDefault="00EA465B" w:rsidP="009B0AFF">
            <w:pPr>
              <w:rPr>
                <w:sz w:val="16"/>
                <w:szCs w:val="16"/>
              </w:rPr>
            </w:pPr>
            <w:r w:rsidRPr="00C4460E">
              <w:rPr>
                <w:rFonts w:ascii="Times New Roman" w:eastAsia="Times New Roman" w:hAnsi="Times New Roman"/>
                <w:sz w:val="16"/>
                <w:szCs w:val="16"/>
              </w:rPr>
              <w:t>Experimental mean knowledge rose from 12.04 to 23.52; control changed from 11.38 to 11.42.</w:t>
            </w:r>
          </w:p>
        </w:tc>
        <w:tc>
          <w:tcPr>
            <w:tcW w:w="2211" w:type="dxa"/>
          </w:tcPr>
          <w:p w14:paraId="698E635D" w14:textId="77777777" w:rsidR="00EA465B" w:rsidRPr="00C4460E" w:rsidRDefault="00EA465B" w:rsidP="009B0AFF">
            <w:pPr>
              <w:rPr>
                <w:sz w:val="16"/>
                <w:szCs w:val="16"/>
              </w:rPr>
            </w:pPr>
            <w:r w:rsidRPr="00C4460E">
              <w:rPr>
                <w:rFonts w:ascii="Times New Roman" w:eastAsia="Times New Roman" w:hAnsi="Times New Roman"/>
                <w:sz w:val="16"/>
                <w:szCs w:val="16"/>
              </w:rPr>
              <w:t>Control group strengthens comparison; purposive sampling and short follow-up.</w:t>
            </w:r>
          </w:p>
        </w:tc>
        <w:tc>
          <w:tcPr>
            <w:tcW w:w="2211" w:type="dxa"/>
          </w:tcPr>
          <w:p w14:paraId="1686E57E"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79965CC6" w14:textId="77777777" w:rsidTr="00C4460E">
        <w:tc>
          <w:tcPr>
            <w:tcW w:w="2211" w:type="dxa"/>
          </w:tcPr>
          <w:p w14:paraId="488B6CB4" w14:textId="77777777" w:rsidR="00EA465B" w:rsidRPr="00C4460E" w:rsidRDefault="00EA465B" w:rsidP="009B0AFF">
            <w:pPr>
              <w:rPr>
                <w:sz w:val="16"/>
                <w:szCs w:val="16"/>
              </w:rPr>
            </w:pPr>
            <w:r w:rsidRPr="00C4460E">
              <w:rPr>
                <w:rFonts w:ascii="Times New Roman" w:eastAsia="Times New Roman" w:hAnsi="Times New Roman"/>
                <w:sz w:val="16"/>
                <w:szCs w:val="16"/>
              </w:rPr>
              <w:t>Baruah (2023)</w:t>
            </w:r>
          </w:p>
        </w:tc>
        <w:tc>
          <w:tcPr>
            <w:tcW w:w="2211" w:type="dxa"/>
          </w:tcPr>
          <w:p w14:paraId="27D6227D" w14:textId="77777777" w:rsidR="00EA465B" w:rsidRPr="00C4460E" w:rsidRDefault="00EA465B" w:rsidP="009B0AFF">
            <w:pPr>
              <w:rPr>
                <w:sz w:val="16"/>
                <w:szCs w:val="16"/>
              </w:rPr>
            </w:pPr>
            <w:r w:rsidRPr="00C4460E">
              <w:rPr>
                <w:rFonts w:ascii="Times New Roman" w:eastAsia="Times New Roman" w:hAnsi="Times New Roman"/>
                <w:sz w:val="16"/>
                <w:szCs w:val="16"/>
              </w:rPr>
              <w:t>India; Carmel School, Assam</w:t>
            </w:r>
          </w:p>
        </w:tc>
        <w:tc>
          <w:tcPr>
            <w:tcW w:w="2211" w:type="dxa"/>
          </w:tcPr>
          <w:p w14:paraId="5CF5DADE" w14:textId="77777777" w:rsidR="00EA465B" w:rsidRPr="00C4460E" w:rsidRDefault="00EA465B" w:rsidP="009B0AFF">
            <w:pPr>
              <w:rPr>
                <w:sz w:val="16"/>
                <w:szCs w:val="16"/>
              </w:rPr>
            </w:pPr>
            <w:r w:rsidRPr="00C4460E">
              <w:rPr>
                <w:rFonts w:ascii="Times New Roman" w:eastAsia="Times New Roman" w:hAnsi="Times New Roman"/>
                <w:sz w:val="16"/>
                <w:szCs w:val="16"/>
              </w:rPr>
              <w:t>n=40; 13–16 years</w:t>
            </w:r>
          </w:p>
        </w:tc>
        <w:tc>
          <w:tcPr>
            <w:tcW w:w="2211" w:type="dxa"/>
          </w:tcPr>
          <w:p w14:paraId="5EDA5F19" w14:textId="77777777" w:rsidR="00EA465B" w:rsidRPr="00C4460E" w:rsidRDefault="00EA465B" w:rsidP="009B0AFF">
            <w:pPr>
              <w:rPr>
                <w:sz w:val="16"/>
                <w:szCs w:val="16"/>
              </w:rPr>
            </w:pPr>
            <w:r w:rsidRPr="00C4460E">
              <w:rPr>
                <w:rFonts w:ascii="Times New Roman" w:eastAsia="Times New Roman" w:hAnsi="Times New Roman"/>
                <w:sz w:val="16"/>
                <w:szCs w:val="16"/>
              </w:rPr>
              <w:t>Quantitative descriptive</w:t>
            </w:r>
          </w:p>
        </w:tc>
        <w:tc>
          <w:tcPr>
            <w:tcW w:w="2211" w:type="dxa"/>
          </w:tcPr>
          <w:p w14:paraId="7A7F23DC" w14:textId="77777777" w:rsidR="00EA465B" w:rsidRPr="00C4460E" w:rsidRDefault="00EA465B" w:rsidP="009B0AFF">
            <w:pPr>
              <w:rPr>
                <w:sz w:val="16"/>
                <w:szCs w:val="16"/>
              </w:rPr>
            </w:pPr>
            <w:r w:rsidRPr="00C4460E">
              <w:rPr>
                <w:rFonts w:ascii="Times New Roman" w:eastAsia="Times New Roman" w:hAnsi="Times New Roman"/>
                <w:sz w:val="16"/>
                <w:szCs w:val="16"/>
              </w:rPr>
              <w:t>80% had moderately adequate knowledge; no significant association with selected demographics.</w:t>
            </w:r>
          </w:p>
        </w:tc>
        <w:tc>
          <w:tcPr>
            <w:tcW w:w="2211" w:type="dxa"/>
          </w:tcPr>
          <w:p w14:paraId="7A8FB0B2" w14:textId="77777777" w:rsidR="00EA465B" w:rsidRPr="00C4460E" w:rsidRDefault="00EA465B" w:rsidP="009B0AFF">
            <w:pPr>
              <w:rPr>
                <w:sz w:val="16"/>
                <w:szCs w:val="16"/>
              </w:rPr>
            </w:pPr>
            <w:r w:rsidRPr="00C4460E">
              <w:rPr>
                <w:rFonts w:ascii="Times New Roman" w:eastAsia="Times New Roman" w:hAnsi="Times New Roman"/>
                <w:sz w:val="16"/>
                <w:szCs w:val="16"/>
              </w:rPr>
              <w:t>Validated questionnaire; small single-school sample.</w:t>
            </w:r>
          </w:p>
        </w:tc>
        <w:tc>
          <w:tcPr>
            <w:tcW w:w="2211" w:type="dxa"/>
          </w:tcPr>
          <w:p w14:paraId="757A8D94" w14:textId="77777777" w:rsidR="00EA465B" w:rsidRPr="00C4460E" w:rsidRDefault="00EA465B" w:rsidP="009B0AFF">
            <w:pPr>
              <w:rPr>
                <w:sz w:val="16"/>
                <w:szCs w:val="16"/>
              </w:rPr>
            </w:pPr>
            <w:r w:rsidRPr="00C4460E">
              <w:rPr>
                <w:rFonts w:ascii="Times New Roman" w:eastAsia="Times New Roman" w:hAnsi="Times New Roman"/>
                <w:sz w:val="16"/>
                <w:szCs w:val="16"/>
              </w:rPr>
              <w:t>1, 5</w:t>
            </w:r>
          </w:p>
        </w:tc>
      </w:tr>
      <w:tr w:rsidR="00EA465B" w:rsidRPr="00C4460E" w14:paraId="5F53A17C" w14:textId="77777777" w:rsidTr="00C4460E">
        <w:tc>
          <w:tcPr>
            <w:tcW w:w="2211" w:type="dxa"/>
          </w:tcPr>
          <w:p w14:paraId="18721B6E" w14:textId="77777777" w:rsidR="00EA465B" w:rsidRPr="00C4460E" w:rsidRDefault="00EA465B" w:rsidP="009B0AFF">
            <w:pPr>
              <w:rPr>
                <w:sz w:val="16"/>
                <w:szCs w:val="16"/>
              </w:rPr>
            </w:pPr>
            <w:r w:rsidRPr="00C4460E">
              <w:rPr>
                <w:rFonts w:ascii="Times New Roman" w:eastAsia="Times New Roman" w:hAnsi="Times New Roman"/>
                <w:sz w:val="16"/>
                <w:szCs w:val="16"/>
              </w:rPr>
              <w:t>Goda et al. (2025)</w:t>
            </w:r>
          </w:p>
        </w:tc>
        <w:tc>
          <w:tcPr>
            <w:tcW w:w="2211" w:type="dxa"/>
          </w:tcPr>
          <w:p w14:paraId="6C931C68" w14:textId="77777777" w:rsidR="00EA465B" w:rsidRPr="00C4460E" w:rsidRDefault="00EA465B" w:rsidP="009B0AFF">
            <w:pPr>
              <w:rPr>
                <w:sz w:val="16"/>
                <w:szCs w:val="16"/>
              </w:rPr>
            </w:pPr>
            <w:r w:rsidRPr="00C4460E">
              <w:rPr>
                <w:rFonts w:ascii="Times New Roman" w:eastAsia="Times New Roman" w:hAnsi="Times New Roman"/>
                <w:sz w:val="16"/>
                <w:szCs w:val="16"/>
              </w:rPr>
              <w:t>Egypt; four preparatory schools, Assiut</w:t>
            </w:r>
          </w:p>
        </w:tc>
        <w:tc>
          <w:tcPr>
            <w:tcW w:w="2211" w:type="dxa"/>
          </w:tcPr>
          <w:p w14:paraId="62B5ACA1" w14:textId="77777777" w:rsidR="00EA465B" w:rsidRPr="00C4460E" w:rsidRDefault="00EA465B" w:rsidP="009B0AFF">
            <w:pPr>
              <w:rPr>
                <w:sz w:val="16"/>
                <w:szCs w:val="16"/>
              </w:rPr>
            </w:pPr>
            <w:r w:rsidRPr="00C4460E">
              <w:rPr>
                <w:rFonts w:ascii="Times New Roman" w:eastAsia="Times New Roman" w:hAnsi="Times New Roman"/>
                <w:sz w:val="16"/>
                <w:szCs w:val="16"/>
              </w:rPr>
              <w:t>n=354; 12–16 years</w:t>
            </w:r>
          </w:p>
        </w:tc>
        <w:tc>
          <w:tcPr>
            <w:tcW w:w="2211" w:type="dxa"/>
          </w:tcPr>
          <w:p w14:paraId="6EAC7739"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pre/post</w:t>
            </w:r>
          </w:p>
        </w:tc>
        <w:tc>
          <w:tcPr>
            <w:tcW w:w="2211" w:type="dxa"/>
          </w:tcPr>
          <w:p w14:paraId="6966C4A2" w14:textId="77777777" w:rsidR="00EA465B" w:rsidRPr="00C4460E" w:rsidRDefault="00EA465B" w:rsidP="009B0AFF">
            <w:pPr>
              <w:rPr>
                <w:sz w:val="16"/>
                <w:szCs w:val="16"/>
              </w:rPr>
            </w:pPr>
            <w:r w:rsidRPr="00C4460E">
              <w:rPr>
                <w:rFonts w:ascii="Times New Roman" w:eastAsia="Times New Roman" w:hAnsi="Times New Roman"/>
                <w:sz w:val="16"/>
                <w:szCs w:val="16"/>
              </w:rPr>
              <w:t>89.3% had poor pre-programme knowledge; 63.8% improper hygiene; knowledge improved after education.</w:t>
            </w:r>
          </w:p>
        </w:tc>
        <w:tc>
          <w:tcPr>
            <w:tcW w:w="2211" w:type="dxa"/>
          </w:tcPr>
          <w:p w14:paraId="26926FAB" w14:textId="77777777" w:rsidR="00EA465B" w:rsidRPr="00C4460E" w:rsidRDefault="00EA465B" w:rsidP="009B0AFF">
            <w:pPr>
              <w:rPr>
                <w:sz w:val="16"/>
                <w:szCs w:val="16"/>
              </w:rPr>
            </w:pPr>
            <w:r w:rsidRPr="00C4460E">
              <w:rPr>
                <w:rFonts w:ascii="Times New Roman" w:eastAsia="Times New Roman" w:hAnsi="Times New Roman"/>
                <w:sz w:val="16"/>
                <w:szCs w:val="16"/>
              </w:rPr>
              <w:t>Large multidomain sample; no separate control and self-reported practices.</w:t>
            </w:r>
          </w:p>
        </w:tc>
        <w:tc>
          <w:tcPr>
            <w:tcW w:w="2211" w:type="dxa"/>
          </w:tcPr>
          <w:p w14:paraId="5AD2AD6A" w14:textId="77777777" w:rsidR="00EA465B" w:rsidRPr="00C4460E" w:rsidRDefault="00EA465B" w:rsidP="009B0AFF">
            <w:pPr>
              <w:rPr>
                <w:sz w:val="16"/>
                <w:szCs w:val="16"/>
              </w:rPr>
            </w:pPr>
            <w:r w:rsidRPr="00C4460E">
              <w:rPr>
                <w:rFonts w:ascii="Times New Roman" w:eastAsia="Times New Roman" w:hAnsi="Times New Roman"/>
                <w:sz w:val="16"/>
                <w:szCs w:val="16"/>
              </w:rPr>
              <w:t>1, 2, 3, 5</w:t>
            </w:r>
          </w:p>
        </w:tc>
      </w:tr>
      <w:tr w:rsidR="00EA465B" w:rsidRPr="00C4460E" w14:paraId="055C1485" w14:textId="77777777" w:rsidTr="00C4460E">
        <w:tc>
          <w:tcPr>
            <w:tcW w:w="2211" w:type="dxa"/>
          </w:tcPr>
          <w:p w14:paraId="2666F40E" w14:textId="77777777" w:rsidR="00EA465B" w:rsidRPr="00C4460E" w:rsidRDefault="00EA465B" w:rsidP="009B0AFF">
            <w:pPr>
              <w:rPr>
                <w:sz w:val="16"/>
                <w:szCs w:val="16"/>
              </w:rPr>
            </w:pPr>
            <w:r w:rsidRPr="00C4460E">
              <w:rPr>
                <w:rFonts w:ascii="Times New Roman" w:eastAsia="Times New Roman" w:hAnsi="Times New Roman"/>
                <w:sz w:val="16"/>
                <w:szCs w:val="16"/>
              </w:rPr>
              <w:t>Joseph et al. (2026)</w:t>
            </w:r>
          </w:p>
        </w:tc>
        <w:tc>
          <w:tcPr>
            <w:tcW w:w="2211" w:type="dxa"/>
          </w:tcPr>
          <w:p w14:paraId="56AD870A" w14:textId="77777777" w:rsidR="00EA465B" w:rsidRPr="00C4460E" w:rsidRDefault="00EA465B" w:rsidP="009B0AFF">
            <w:pPr>
              <w:rPr>
                <w:sz w:val="16"/>
                <w:szCs w:val="16"/>
              </w:rPr>
            </w:pPr>
            <w:r w:rsidRPr="00C4460E">
              <w:rPr>
                <w:rFonts w:ascii="Times New Roman" w:eastAsia="Times New Roman" w:hAnsi="Times New Roman"/>
                <w:sz w:val="16"/>
                <w:szCs w:val="16"/>
              </w:rPr>
              <w:t>India; schools around Mangaluru</w:t>
            </w:r>
          </w:p>
        </w:tc>
        <w:tc>
          <w:tcPr>
            <w:tcW w:w="2211" w:type="dxa"/>
          </w:tcPr>
          <w:p w14:paraId="5A226F2F" w14:textId="77777777" w:rsidR="00EA465B" w:rsidRPr="00C4460E" w:rsidRDefault="00EA465B" w:rsidP="009B0AFF">
            <w:pPr>
              <w:rPr>
                <w:sz w:val="16"/>
                <w:szCs w:val="16"/>
              </w:rPr>
            </w:pPr>
            <w:r w:rsidRPr="00C4460E">
              <w:rPr>
                <w:rFonts w:ascii="Times New Roman" w:eastAsia="Times New Roman" w:hAnsi="Times New Roman"/>
                <w:sz w:val="16"/>
                <w:szCs w:val="16"/>
              </w:rPr>
              <w:t>n=215; 16–18 years</w:t>
            </w:r>
          </w:p>
        </w:tc>
        <w:tc>
          <w:tcPr>
            <w:tcW w:w="2211" w:type="dxa"/>
          </w:tcPr>
          <w:p w14:paraId="76105522" w14:textId="77777777" w:rsidR="00EA465B" w:rsidRPr="00C4460E" w:rsidRDefault="00EA465B" w:rsidP="009B0AFF">
            <w:pPr>
              <w:rPr>
                <w:sz w:val="16"/>
                <w:szCs w:val="16"/>
              </w:rPr>
            </w:pPr>
            <w:r w:rsidRPr="00C4460E">
              <w:rPr>
                <w:rFonts w:ascii="Times New Roman" w:eastAsia="Times New Roman" w:hAnsi="Times New Roman"/>
                <w:sz w:val="16"/>
                <w:szCs w:val="16"/>
              </w:rPr>
              <w:t>Descriptive correlational</w:t>
            </w:r>
          </w:p>
        </w:tc>
        <w:tc>
          <w:tcPr>
            <w:tcW w:w="2211" w:type="dxa"/>
          </w:tcPr>
          <w:p w14:paraId="6B9EEB3D" w14:textId="77777777" w:rsidR="00EA465B" w:rsidRPr="00C4460E" w:rsidRDefault="00EA465B" w:rsidP="009B0AFF">
            <w:pPr>
              <w:rPr>
                <w:sz w:val="16"/>
                <w:szCs w:val="16"/>
              </w:rPr>
            </w:pPr>
            <w:r w:rsidRPr="00C4460E">
              <w:rPr>
                <w:rFonts w:ascii="Times New Roman" w:eastAsia="Times New Roman" w:hAnsi="Times New Roman"/>
                <w:sz w:val="16"/>
                <w:szCs w:val="16"/>
              </w:rPr>
              <w:t>52.6% had poor knowledge; 38.6% unsafe toilet behaviour; correlation was near zero (r=-0.011).</w:t>
            </w:r>
          </w:p>
        </w:tc>
        <w:tc>
          <w:tcPr>
            <w:tcW w:w="2211" w:type="dxa"/>
          </w:tcPr>
          <w:p w14:paraId="4AB386F5" w14:textId="77777777" w:rsidR="00EA465B" w:rsidRPr="00C4460E" w:rsidRDefault="00EA465B" w:rsidP="009B0AFF">
            <w:pPr>
              <w:rPr>
                <w:sz w:val="16"/>
                <w:szCs w:val="16"/>
              </w:rPr>
            </w:pPr>
            <w:r w:rsidRPr="00C4460E">
              <w:rPr>
                <w:rFonts w:ascii="Times New Roman" w:eastAsia="Times New Roman" w:hAnsi="Times New Roman"/>
                <w:sz w:val="16"/>
                <w:szCs w:val="16"/>
              </w:rPr>
              <w:t>Stratified sample and direct correlation; cross-sectional self-report.</w:t>
            </w:r>
          </w:p>
        </w:tc>
        <w:tc>
          <w:tcPr>
            <w:tcW w:w="2211" w:type="dxa"/>
          </w:tcPr>
          <w:p w14:paraId="644D5253"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bl>
    <w:p w14:paraId="388BE80A" w14:textId="77777777" w:rsidR="00EA465B" w:rsidRDefault="00EA465B" w:rsidP="00EA465B">
      <w:pPr>
        <w:sectPr w:rsidR="00EA465B" w:rsidSect="00EA465B">
          <w:footerReference w:type="default" r:id="rId29"/>
          <w:pgSz w:w="16838" w:h="11906" w:orient="landscape"/>
          <w:pgMar w:top="680" w:right="680" w:bottom="680" w:left="680" w:header="720" w:footer="720" w:gutter="0"/>
          <w:cols w:space="720"/>
          <w:docGrid w:linePitch="360"/>
        </w:sectPr>
      </w:pPr>
    </w:p>
    <w:p w14:paraId="6A51AA89" w14:textId="77777777" w:rsidR="00EA465B" w:rsidRDefault="00EA465B" w:rsidP="00EA465B">
      <w:pPr>
        <w:pStyle w:val="Heading2"/>
      </w:pPr>
      <w:bookmarkStart w:id="223" w:name="_Toc240927809"/>
      <w:r>
        <w:t>Appendix 5 – Theme Development and Evidence-Directness Audit Trail</w:t>
      </w:r>
      <w:bookmarkEnd w:id="223"/>
    </w:p>
    <w:p w14:paraId="5A0840FB" w14:textId="77777777" w:rsidR="00EA465B" w:rsidRDefault="00EA465B" w:rsidP="00C4460E">
      <w:r>
        <w:t>Table A7: Development of the Five Main Themes</w:t>
      </w:r>
    </w:p>
    <w:tbl>
      <w:tblPr>
        <w:tblStyle w:val="TableGrid"/>
        <w:tblW w:w="0" w:type="auto"/>
        <w:tblLook w:val="04A0" w:firstRow="1" w:lastRow="0" w:firstColumn="1" w:lastColumn="0" w:noHBand="0" w:noVBand="1"/>
      </w:tblPr>
      <w:tblGrid>
        <w:gridCol w:w="2133"/>
        <w:gridCol w:w="2351"/>
        <w:gridCol w:w="2525"/>
        <w:gridCol w:w="2341"/>
      </w:tblGrid>
      <w:tr w:rsidR="00EA465B" w14:paraId="5DAA06C1" w14:textId="77777777" w:rsidTr="00EA465B">
        <w:tc>
          <w:tcPr>
            <w:tcW w:w="3869" w:type="dxa"/>
          </w:tcPr>
          <w:p w14:paraId="09B1B6A7" w14:textId="77777777" w:rsidR="00EA465B" w:rsidRDefault="00EA465B" w:rsidP="009B0AFF">
            <w:r>
              <w:rPr>
                <w:rFonts w:ascii="Times New Roman" w:eastAsia="Times New Roman" w:hAnsi="Times New Roman"/>
                <w:b/>
                <w:sz w:val="16"/>
              </w:rPr>
              <w:t>Theme</w:t>
            </w:r>
          </w:p>
        </w:tc>
        <w:tc>
          <w:tcPr>
            <w:tcW w:w="3869" w:type="dxa"/>
          </w:tcPr>
          <w:p w14:paraId="01B8D381" w14:textId="77777777" w:rsidR="00EA465B" w:rsidRDefault="00EA465B" w:rsidP="009B0AFF">
            <w:r>
              <w:rPr>
                <w:rFonts w:ascii="Times New Roman" w:eastAsia="Times New Roman" w:hAnsi="Times New Roman"/>
                <w:b/>
                <w:sz w:val="16"/>
              </w:rPr>
              <w:t>Analytic label</w:t>
            </w:r>
          </w:p>
        </w:tc>
        <w:tc>
          <w:tcPr>
            <w:tcW w:w="3869" w:type="dxa"/>
          </w:tcPr>
          <w:p w14:paraId="2A969D22" w14:textId="77777777" w:rsidR="00EA465B" w:rsidRDefault="00EA465B" w:rsidP="009B0AFF">
            <w:r>
              <w:rPr>
                <w:rFonts w:ascii="Times New Roman" w:eastAsia="Times New Roman" w:hAnsi="Times New Roman"/>
                <w:b/>
                <w:sz w:val="16"/>
              </w:rPr>
              <w:t>Recurrent evidence / codes</w:t>
            </w:r>
          </w:p>
        </w:tc>
        <w:tc>
          <w:tcPr>
            <w:tcW w:w="3869" w:type="dxa"/>
          </w:tcPr>
          <w:p w14:paraId="6F16EDB4" w14:textId="77777777" w:rsidR="00EA465B" w:rsidRDefault="00EA465B" w:rsidP="009B0AFF">
            <w:r>
              <w:rPr>
                <w:rFonts w:ascii="Times New Roman" w:eastAsia="Times New Roman" w:hAnsi="Times New Roman"/>
                <w:b/>
                <w:sz w:val="16"/>
              </w:rPr>
              <w:t>Main contributing studies</w:t>
            </w:r>
          </w:p>
        </w:tc>
      </w:tr>
      <w:tr w:rsidR="00EA465B" w14:paraId="0C4A57E1" w14:textId="77777777" w:rsidTr="00EA465B">
        <w:tc>
          <w:tcPr>
            <w:tcW w:w="3869" w:type="dxa"/>
          </w:tcPr>
          <w:p w14:paraId="5ED1F766" w14:textId="77777777" w:rsidR="00EA465B" w:rsidRDefault="00EA465B" w:rsidP="009B0AFF">
            <w:r>
              <w:rPr>
                <w:rFonts w:ascii="Times New Roman" w:eastAsia="Times New Roman" w:hAnsi="Times New Roman"/>
                <w:sz w:val="16"/>
              </w:rPr>
              <w:t>1</w:t>
            </w:r>
          </w:p>
        </w:tc>
        <w:tc>
          <w:tcPr>
            <w:tcW w:w="3869" w:type="dxa"/>
          </w:tcPr>
          <w:p w14:paraId="380CE35D" w14:textId="77777777" w:rsidR="00EA465B" w:rsidRDefault="00EA465B" w:rsidP="009B0AFF">
            <w:r>
              <w:rPr>
                <w:rFonts w:ascii="Times New Roman" w:eastAsia="Times New Roman" w:hAnsi="Times New Roman"/>
                <w:sz w:val="16"/>
              </w:rPr>
              <w:t>Incomplete and uneven UTI knowledge</w:t>
            </w:r>
          </w:p>
        </w:tc>
        <w:tc>
          <w:tcPr>
            <w:tcW w:w="3869" w:type="dxa"/>
          </w:tcPr>
          <w:p w14:paraId="617B426C" w14:textId="77777777" w:rsidR="00EA465B" w:rsidRDefault="00EA465B" w:rsidP="009B0AFF">
            <w:r>
              <w:rPr>
                <w:rFonts w:ascii="Times New Roman" w:eastAsia="Times New Roman" w:hAnsi="Times New Roman"/>
                <w:sz w:val="16"/>
              </w:rPr>
              <w:t>Poor/moderate baseline knowledge; prevention-specific gaps</w:t>
            </w:r>
          </w:p>
        </w:tc>
        <w:tc>
          <w:tcPr>
            <w:tcW w:w="3869" w:type="dxa"/>
          </w:tcPr>
          <w:p w14:paraId="50B008B1" w14:textId="77777777" w:rsidR="00EA465B" w:rsidRDefault="00EA465B" w:rsidP="009B0AFF">
            <w:r>
              <w:rPr>
                <w:rFonts w:ascii="Times New Roman" w:eastAsia="Times New Roman" w:hAnsi="Times New Roman"/>
                <w:sz w:val="16"/>
              </w:rPr>
              <w:t>All 13 studies</w:t>
            </w:r>
          </w:p>
        </w:tc>
      </w:tr>
      <w:tr w:rsidR="00EA465B" w14:paraId="5B7610C2" w14:textId="77777777" w:rsidTr="00EA465B">
        <w:tc>
          <w:tcPr>
            <w:tcW w:w="3869" w:type="dxa"/>
          </w:tcPr>
          <w:p w14:paraId="1B1A0398" w14:textId="77777777" w:rsidR="00EA465B" w:rsidRDefault="00EA465B" w:rsidP="009B0AFF">
            <w:r>
              <w:rPr>
                <w:rFonts w:ascii="Times New Roman" w:eastAsia="Times New Roman" w:hAnsi="Times New Roman"/>
                <w:sz w:val="16"/>
              </w:rPr>
              <w:t>2</w:t>
            </w:r>
          </w:p>
        </w:tc>
        <w:tc>
          <w:tcPr>
            <w:tcW w:w="3869" w:type="dxa"/>
          </w:tcPr>
          <w:p w14:paraId="5008A22E" w14:textId="77777777" w:rsidR="00EA465B" w:rsidRDefault="00EA465B" w:rsidP="009B0AFF">
            <w:r>
              <w:rPr>
                <w:rFonts w:ascii="Times New Roman" w:eastAsia="Times New Roman" w:hAnsi="Times New Roman"/>
                <w:sz w:val="16"/>
              </w:rPr>
              <w:t>Inconsistent preventive and self-care practices</w:t>
            </w:r>
          </w:p>
        </w:tc>
        <w:tc>
          <w:tcPr>
            <w:tcW w:w="3869" w:type="dxa"/>
          </w:tcPr>
          <w:p w14:paraId="76428EE2" w14:textId="77777777" w:rsidR="00EA465B" w:rsidRDefault="00EA465B" w:rsidP="009B0AFF">
            <w:r>
              <w:rPr>
                <w:rFonts w:ascii="Times New Roman" w:eastAsia="Times New Roman" w:hAnsi="Times New Roman"/>
                <w:sz w:val="16"/>
              </w:rPr>
              <w:t>Hydration, voiding, perineal/menstrual hygiene, toilet behaviour</w:t>
            </w:r>
          </w:p>
        </w:tc>
        <w:tc>
          <w:tcPr>
            <w:tcW w:w="3869" w:type="dxa"/>
          </w:tcPr>
          <w:p w14:paraId="72705B93" w14:textId="77777777" w:rsidR="00EA465B" w:rsidRDefault="00EA465B" w:rsidP="009B0AFF">
            <w:r>
              <w:rPr>
                <w:rFonts w:ascii="Times New Roman" w:eastAsia="Times New Roman" w:hAnsi="Times New Roman"/>
                <w:sz w:val="16"/>
              </w:rPr>
              <w:t>Al-Kotb; Vijayan; Nofal; Semwal and Sharma; Patel; Sequera; Goda; Joseph</w:t>
            </w:r>
          </w:p>
        </w:tc>
      </w:tr>
      <w:tr w:rsidR="00EA465B" w14:paraId="721B2B2A" w14:textId="77777777" w:rsidTr="00EA465B">
        <w:tc>
          <w:tcPr>
            <w:tcW w:w="3869" w:type="dxa"/>
          </w:tcPr>
          <w:p w14:paraId="5B6DD424" w14:textId="77777777" w:rsidR="00EA465B" w:rsidRDefault="00EA465B" w:rsidP="009B0AFF">
            <w:r>
              <w:rPr>
                <w:rFonts w:ascii="Times New Roman" w:eastAsia="Times New Roman" w:hAnsi="Times New Roman"/>
                <w:sz w:val="16"/>
              </w:rPr>
              <w:t>3</w:t>
            </w:r>
          </w:p>
        </w:tc>
        <w:tc>
          <w:tcPr>
            <w:tcW w:w="3869" w:type="dxa"/>
          </w:tcPr>
          <w:p w14:paraId="1F7057F9" w14:textId="77777777" w:rsidR="00EA465B" w:rsidRDefault="00EA465B" w:rsidP="009B0AFF">
            <w:r>
              <w:rPr>
                <w:rFonts w:ascii="Times New Roman" w:eastAsia="Times New Roman" w:hAnsi="Times New Roman"/>
                <w:sz w:val="16"/>
              </w:rPr>
              <w:t>Structured education improved short-term knowledge</w:t>
            </w:r>
          </w:p>
        </w:tc>
        <w:tc>
          <w:tcPr>
            <w:tcW w:w="3869" w:type="dxa"/>
          </w:tcPr>
          <w:p w14:paraId="33EBBEB4" w14:textId="77777777" w:rsidR="00EA465B" w:rsidRDefault="00EA465B" w:rsidP="009B0AFF">
            <w:r>
              <w:rPr>
                <w:rFonts w:ascii="Times New Roman" w:eastAsia="Times New Roman" w:hAnsi="Times New Roman"/>
                <w:sz w:val="16"/>
              </w:rPr>
              <w:t>Post-teaching knowledge gains across different formats</w:t>
            </w:r>
          </w:p>
        </w:tc>
        <w:tc>
          <w:tcPr>
            <w:tcW w:w="3869" w:type="dxa"/>
          </w:tcPr>
          <w:p w14:paraId="75FFD1A9" w14:textId="77777777" w:rsidR="00EA465B" w:rsidRDefault="00EA465B" w:rsidP="009B0AFF">
            <w:r>
              <w:rPr>
                <w:rFonts w:ascii="Times New Roman" w:eastAsia="Times New Roman" w:hAnsi="Times New Roman"/>
                <w:sz w:val="16"/>
              </w:rPr>
              <w:t>Al-Kotb; Shikhare and Taksande; Vijayan; Saji; Pascal; Nofal; Banu; Goda</w:t>
            </w:r>
          </w:p>
        </w:tc>
      </w:tr>
      <w:tr w:rsidR="00EA465B" w14:paraId="6CB386FA" w14:textId="77777777" w:rsidTr="00EA465B">
        <w:tc>
          <w:tcPr>
            <w:tcW w:w="3869" w:type="dxa"/>
          </w:tcPr>
          <w:p w14:paraId="1753E452" w14:textId="77777777" w:rsidR="00EA465B" w:rsidRDefault="00EA465B" w:rsidP="009B0AFF">
            <w:r>
              <w:rPr>
                <w:rFonts w:ascii="Times New Roman" w:eastAsia="Times New Roman" w:hAnsi="Times New Roman"/>
                <w:sz w:val="16"/>
              </w:rPr>
              <w:t>4</w:t>
            </w:r>
          </w:p>
        </w:tc>
        <w:tc>
          <w:tcPr>
            <w:tcW w:w="3869" w:type="dxa"/>
          </w:tcPr>
          <w:p w14:paraId="086ACD39" w14:textId="77777777" w:rsidR="00EA465B" w:rsidRDefault="00EA465B" w:rsidP="009B0AFF">
            <w:r>
              <w:rPr>
                <w:rFonts w:ascii="Times New Roman" w:eastAsia="Times New Roman" w:hAnsi="Times New Roman"/>
                <w:sz w:val="16"/>
              </w:rPr>
              <w:t>Knowledge did not automatically translate into practice</w:t>
            </w:r>
          </w:p>
        </w:tc>
        <w:tc>
          <w:tcPr>
            <w:tcW w:w="3869" w:type="dxa"/>
          </w:tcPr>
          <w:p w14:paraId="044FB65D" w14:textId="77777777" w:rsidR="00EA465B" w:rsidRDefault="00EA465B" w:rsidP="009B0AFF">
            <w:r>
              <w:rPr>
                <w:rFonts w:ascii="Times New Roman" w:eastAsia="Times New Roman" w:hAnsi="Times New Roman"/>
                <w:sz w:val="16"/>
              </w:rPr>
              <w:t>Weak knowledge-practice correlations and behavioural gaps</w:t>
            </w:r>
          </w:p>
        </w:tc>
        <w:tc>
          <w:tcPr>
            <w:tcW w:w="3869" w:type="dxa"/>
          </w:tcPr>
          <w:p w14:paraId="0113B92C" w14:textId="77777777" w:rsidR="00EA465B" w:rsidRDefault="00EA465B" w:rsidP="009B0AFF">
            <w:r>
              <w:rPr>
                <w:rFonts w:ascii="Times New Roman" w:eastAsia="Times New Roman" w:hAnsi="Times New Roman"/>
                <w:sz w:val="16"/>
              </w:rPr>
              <w:t>Semwal and Sharma; Patel; Sequera; Joseph; supported by intervention practice findings</w:t>
            </w:r>
          </w:p>
        </w:tc>
      </w:tr>
      <w:tr w:rsidR="00EA465B" w14:paraId="3209D68A" w14:textId="77777777" w:rsidTr="00EA465B">
        <w:tc>
          <w:tcPr>
            <w:tcW w:w="3869" w:type="dxa"/>
          </w:tcPr>
          <w:p w14:paraId="3E4E154A" w14:textId="77777777" w:rsidR="00EA465B" w:rsidRDefault="00EA465B" w:rsidP="009B0AFF">
            <w:r>
              <w:rPr>
                <w:rFonts w:ascii="Times New Roman" w:eastAsia="Times New Roman" w:hAnsi="Times New Roman"/>
                <w:sz w:val="16"/>
              </w:rPr>
              <w:t>5</w:t>
            </w:r>
          </w:p>
        </w:tc>
        <w:tc>
          <w:tcPr>
            <w:tcW w:w="3869" w:type="dxa"/>
          </w:tcPr>
          <w:p w14:paraId="54938F9F" w14:textId="77777777" w:rsidR="00EA465B" w:rsidRDefault="00EA465B" w:rsidP="009B0AFF">
            <w:r>
              <w:rPr>
                <w:rFonts w:ascii="Times New Roman" w:eastAsia="Times New Roman" w:hAnsi="Times New Roman"/>
                <w:sz w:val="16"/>
              </w:rPr>
              <w:t>Educational and social context shaped outcomes</w:t>
            </w:r>
          </w:p>
        </w:tc>
        <w:tc>
          <w:tcPr>
            <w:tcW w:w="3869" w:type="dxa"/>
          </w:tcPr>
          <w:p w14:paraId="3BF9BB80" w14:textId="77777777" w:rsidR="00EA465B" w:rsidRDefault="00EA465B" w:rsidP="009B0AFF">
            <w:r>
              <w:rPr>
                <w:rFonts w:ascii="Times New Roman" w:eastAsia="Times New Roman" w:hAnsi="Times New Roman"/>
                <w:sz w:val="16"/>
              </w:rPr>
              <w:t>Previous information, grade, family education, residence, sanitation and UTI experience</w:t>
            </w:r>
          </w:p>
        </w:tc>
        <w:tc>
          <w:tcPr>
            <w:tcW w:w="3869" w:type="dxa"/>
          </w:tcPr>
          <w:p w14:paraId="769AF730" w14:textId="77777777" w:rsidR="00EA465B" w:rsidRDefault="00EA465B" w:rsidP="009B0AFF">
            <w:r>
              <w:rPr>
                <w:rFonts w:ascii="Times New Roman" w:eastAsia="Times New Roman" w:hAnsi="Times New Roman"/>
                <w:sz w:val="16"/>
              </w:rPr>
              <w:t>Semwal and Sharma; Patel; Sequera; Baruah; Goda; Joseph</w:t>
            </w:r>
          </w:p>
        </w:tc>
      </w:tr>
    </w:tbl>
    <w:p w14:paraId="3E782767" w14:textId="77777777" w:rsidR="00EA465B" w:rsidRDefault="00EA465B" w:rsidP="00C4460E">
      <w:r>
        <w:t>Table A8: Example Coding Path from Extracted Finding to Analytical Theme</w:t>
      </w:r>
    </w:p>
    <w:tbl>
      <w:tblPr>
        <w:tblStyle w:val="TableGrid"/>
        <w:tblW w:w="0" w:type="auto"/>
        <w:tblLook w:val="04A0" w:firstRow="1" w:lastRow="0" w:firstColumn="1" w:lastColumn="0" w:noHBand="0" w:noVBand="1"/>
      </w:tblPr>
      <w:tblGrid>
        <w:gridCol w:w="2359"/>
        <w:gridCol w:w="2274"/>
        <w:gridCol w:w="2492"/>
        <w:gridCol w:w="2225"/>
      </w:tblGrid>
      <w:tr w:rsidR="00EA465B" w14:paraId="6B5AF6B2" w14:textId="77777777" w:rsidTr="00EA465B">
        <w:tc>
          <w:tcPr>
            <w:tcW w:w="3869" w:type="dxa"/>
          </w:tcPr>
          <w:p w14:paraId="228C67E5" w14:textId="77777777" w:rsidR="00EA465B" w:rsidRDefault="00EA465B" w:rsidP="009B0AFF">
            <w:r>
              <w:rPr>
                <w:rFonts w:ascii="Times New Roman" w:eastAsia="Times New Roman" w:hAnsi="Times New Roman"/>
                <w:b/>
                <w:sz w:val="16"/>
              </w:rPr>
              <w:t>Extracted finding</w:t>
            </w:r>
          </w:p>
        </w:tc>
        <w:tc>
          <w:tcPr>
            <w:tcW w:w="3869" w:type="dxa"/>
          </w:tcPr>
          <w:p w14:paraId="7F7A8EFC" w14:textId="77777777" w:rsidR="00EA465B" w:rsidRDefault="00EA465B" w:rsidP="009B0AFF">
            <w:r>
              <w:rPr>
                <w:rFonts w:ascii="Times New Roman" w:eastAsia="Times New Roman" w:hAnsi="Times New Roman"/>
                <w:b/>
                <w:sz w:val="16"/>
              </w:rPr>
              <w:t>Initial code</w:t>
            </w:r>
          </w:p>
        </w:tc>
        <w:tc>
          <w:tcPr>
            <w:tcW w:w="3869" w:type="dxa"/>
          </w:tcPr>
          <w:p w14:paraId="1BCC4EBD" w14:textId="77777777" w:rsidR="00EA465B" w:rsidRDefault="00EA465B" w:rsidP="009B0AFF">
            <w:r>
              <w:rPr>
                <w:rFonts w:ascii="Times New Roman" w:eastAsia="Times New Roman" w:hAnsi="Times New Roman"/>
                <w:b/>
                <w:sz w:val="16"/>
              </w:rPr>
              <w:t>Descriptive category</w:t>
            </w:r>
          </w:p>
        </w:tc>
        <w:tc>
          <w:tcPr>
            <w:tcW w:w="3869" w:type="dxa"/>
          </w:tcPr>
          <w:p w14:paraId="07F55F70" w14:textId="77777777" w:rsidR="00EA465B" w:rsidRDefault="00EA465B" w:rsidP="009B0AFF">
            <w:r>
              <w:rPr>
                <w:rFonts w:ascii="Times New Roman" w:eastAsia="Times New Roman" w:hAnsi="Times New Roman"/>
                <w:b/>
                <w:sz w:val="16"/>
              </w:rPr>
              <w:t>Analytical theme</w:t>
            </w:r>
          </w:p>
        </w:tc>
      </w:tr>
      <w:tr w:rsidR="00EA465B" w14:paraId="3AB1CEAA" w14:textId="77777777" w:rsidTr="00EA465B">
        <w:tc>
          <w:tcPr>
            <w:tcW w:w="3869" w:type="dxa"/>
          </w:tcPr>
          <w:p w14:paraId="1BB6EE8C" w14:textId="77777777" w:rsidR="00EA465B" w:rsidRDefault="00EA465B" w:rsidP="009B0AFF">
            <w:r>
              <w:rPr>
                <w:rFonts w:ascii="Times New Roman" w:eastAsia="Times New Roman" w:hAnsi="Times New Roman"/>
                <w:sz w:val="16"/>
              </w:rPr>
              <w:t>Poor/moderate knowledge scores at baseline</w:t>
            </w:r>
          </w:p>
        </w:tc>
        <w:tc>
          <w:tcPr>
            <w:tcW w:w="3869" w:type="dxa"/>
          </w:tcPr>
          <w:p w14:paraId="53EA2948" w14:textId="77777777" w:rsidR="00EA465B" w:rsidRDefault="00EA465B" w:rsidP="009B0AFF">
            <w:r>
              <w:rPr>
                <w:rFonts w:ascii="Times New Roman" w:eastAsia="Times New Roman" w:hAnsi="Times New Roman"/>
                <w:sz w:val="16"/>
              </w:rPr>
              <w:t>Incomplete knowledge</w:t>
            </w:r>
          </w:p>
        </w:tc>
        <w:tc>
          <w:tcPr>
            <w:tcW w:w="3869" w:type="dxa"/>
          </w:tcPr>
          <w:p w14:paraId="593E8061" w14:textId="77777777" w:rsidR="00EA465B" w:rsidRDefault="00EA465B" w:rsidP="009B0AFF">
            <w:r>
              <w:rPr>
                <w:rFonts w:ascii="Times New Roman" w:eastAsia="Times New Roman" w:hAnsi="Times New Roman"/>
                <w:sz w:val="16"/>
              </w:rPr>
              <w:t>Knowledge deficit</w:t>
            </w:r>
          </w:p>
        </w:tc>
        <w:tc>
          <w:tcPr>
            <w:tcW w:w="3869" w:type="dxa"/>
          </w:tcPr>
          <w:p w14:paraId="4DCFDF2E" w14:textId="77777777" w:rsidR="00EA465B" w:rsidRDefault="00EA465B" w:rsidP="009B0AFF">
            <w:r>
              <w:rPr>
                <w:rFonts w:ascii="Times New Roman" w:eastAsia="Times New Roman" w:hAnsi="Times New Roman"/>
                <w:sz w:val="16"/>
              </w:rPr>
              <w:t>Theme 1</w:t>
            </w:r>
          </w:p>
        </w:tc>
      </w:tr>
      <w:tr w:rsidR="00EA465B" w14:paraId="16CD6D2B" w14:textId="77777777" w:rsidTr="00EA465B">
        <w:tc>
          <w:tcPr>
            <w:tcW w:w="3869" w:type="dxa"/>
          </w:tcPr>
          <w:p w14:paraId="52521943" w14:textId="77777777" w:rsidR="00EA465B" w:rsidRDefault="00EA465B" w:rsidP="009B0AFF">
            <w:r>
              <w:rPr>
                <w:rFonts w:ascii="Times New Roman" w:eastAsia="Times New Roman" w:hAnsi="Times New Roman"/>
                <w:sz w:val="16"/>
              </w:rPr>
              <w:t>Low prevention-specific knowledge</w:t>
            </w:r>
          </w:p>
        </w:tc>
        <w:tc>
          <w:tcPr>
            <w:tcW w:w="3869" w:type="dxa"/>
          </w:tcPr>
          <w:p w14:paraId="32A00073" w14:textId="77777777" w:rsidR="00EA465B" w:rsidRDefault="00EA465B" w:rsidP="009B0AFF">
            <w:r>
              <w:rPr>
                <w:rFonts w:ascii="Times New Roman" w:eastAsia="Times New Roman" w:hAnsi="Times New Roman"/>
                <w:sz w:val="16"/>
              </w:rPr>
              <w:t>Weak prevention knowledge</w:t>
            </w:r>
          </w:p>
        </w:tc>
        <w:tc>
          <w:tcPr>
            <w:tcW w:w="3869" w:type="dxa"/>
          </w:tcPr>
          <w:p w14:paraId="3F3DFED7" w14:textId="77777777" w:rsidR="00EA465B" w:rsidRDefault="00EA465B" w:rsidP="009B0AFF">
            <w:r>
              <w:rPr>
                <w:rFonts w:ascii="Times New Roman" w:eastAsia="Times New Roman" w:hAnsi="Times New Roman"/>
                <w:sz w:val="16"/>
              </w:rPr>
              <w:t>Knowledge deficit</w:t>
            </w:r>
          </w:p>
        </w:tc>
        <w:tc>
          <w:tcPr>
            <w:tcW w:w="3869" w:type="dxa"/>
          </w:tcPr>
          <w:p w14:paraId="48664763" w14:textId="77777777" w:rsidR="00EA465B" w:rsidRDefault="00EA465B" w:rsidP="009B0AFF">
            <w:r>
              <w:rPr>
                <w:rFonts w:ascii="Times New Roman" w:eastAsia="Times New Roman" w:hAnsi="Times New Roman"/>
                <w:sz w:val="16"/>
              </w:rPr>
              <w:t>Theme 1</w:t>
            </w:r>
          </w:p>
        </w:tc>
      </w:tr>
      <w:tr w:rsidR="00EA465B" w14:paraId="2D165CBF" w14:textId="77777777" w:rsidTr="00EA465B">
        <w:tc>
          <w:tcPr>
            <w:tcW w:w="3869" w:type="dxa"/>
          </w:tcPr>
          <w:p w14:paraId="61E1DA0B" w14:textId="77777777" w:rsidR="00EA465B" w:rsidRDefault="00EA465B" w:rsidP="009B0AFF">
            <w:r>
              <w:rPr>
                <w:rFonts w:ascii="Times New Roman" w:eastAsia="Times New Roman" w:hAnsi="Times New Roman"/>
                <w:sz w:val="16"/>
              </w:rPr>
              <w:t>Inadequate fluid intake / hydration</w:t>
            </w:r>
          </w:p>
        </w:tc>
        <w:tc>
          <w:tcPr>
            <w:tcW w:w="3869" w:type="dxa"/>
          </w:tcPr>
          <w:p w14:paraId="3076C684" w14:textId="77777777" w:rsidR="00EA465B" w:rsidRDefault="00EA465B" w:rsidP="009B0AFF">
            <w:r>
              <w:rPr>
                <w:rFonts w:ascii="Times New Roman" w:eastAsia="Times New Roman" w:hAnsi="Times New Roman"/>
                <w:sz w:val="16"/>
              </w:rPr>
              <w:t>Hydration issue</w:t>
            </w:r>
          </w:p>
        </w:tc>
        <w:tc>
          <w:tcPr>
            <w:tcW w:w="3869" w:type="dxa"/>
          </w:tcPr>
          <w:p w14:paraId="57AA8CB8" w14:textId="77777777" w:rsidR="00EA465B" w:rsidRDefault="00EA465B" w:rsidP="009B0AFF">
            <w:r>
              <w:rPr>
                <w:rFonts w:ascii="Times New Roman" w:eastAsia="Times New Roman" w:hAnsi="Times New Roman"/>
                <w:sz w:val="16"/>
              </w:rPr>
              <w:t>Daily preventive practice</w:t>
            </w:r>
          </w:p>
        </w:tc>
        <w:tc>
          <w:tcPr>
            <w:tcW w:w="3869" w:type="dxa"/>
          </w:tcPr>
          <w:p w14:paraId="44E555B8" w14:textId="77777777" w:rsidR="00EA465B" w:rsidRDefault="00EA465B" w:rsidP="009B0AFF">
            <w:r>
              <w:rPr>
                <w:rFonts w:ascii="Times New Roman" w:eastAsia="Times New Roman" w:hAnsi="Times New Roman"/>
                <w:sz w:val="16"/>
              </w:rPr>
              <w:t>Theme 2</w:t>
            </w:r>
          </w:p>
        </w:tc>
      </w:tr>
      <w:tr w:rsidR="00EA465B" w14:paraId="104AEC37" w14:textId="77777777" w:rsidTr="00EA465B">
        <w:tc>
          <w:tcPr>
            <w:tcW w:w="3869" w:type="dxa"/>
          </w:tcPr>
          <w:p w14:paraId="4DF0CA40" w14:textId="77777777" w:rsidR="00EA465B" w:rsidRDefault="00EA465B" w:rsidP="009B0AFF">
            <w:r>
              <w:rPr>
                <w:rFonts w:ascii="Times New Roman" w:eastAsia="Times New Roman" w:hAnsi="Times New Roman"/>
                <w:sz w:val="16"/>
              </w:rPr>
              <w:t>Infrequent or delayed voiding</w:t>
            </w:r>
          </w:p>
        </w:tc>
        <w:tc>
          <w:tcPr>
            <w:tcW w:w="3869" w:type="dxa"/>
          </w:tcPr>
          <w:p w14:paraId="298BE24D" w14:textId="77777777" w:rsidR="00EA465B" w:rsidRDefault="00EA465B" w:rsidP="009B0AFF">
            <w:r>
              <w:rPr>
                <w:rFonts w:ascii="Times New Roman" w:eastAsia="Times New Roman" w:hAnsi="Times New Roman"/>
                <w:sz w:val="16"/>
              </w:rPr>
              <w:t>Voiding issue</w:t>
            </w:r>
          </w:p>
        </w:tc>
        <w:tc>
          <w:tcPr>
            <w:tcW w:w="3869" w:type="dxa"/>
          </w:tcPr>
          <w:p w14:paraId="767570C5" w14:textId="77777777" w:rsidR="00EA465B" w:rsidRDefault="00EA465B" w:rsidP="009B0AFF">
            <w:r>
              <w:rPr>
                <w:rFonts w:ascii="Times New Roman" w:eastAsia="Times New Roman" w:hAnsi="Times New Roman"/>
                <w:sz w:val="16"/>
              </w:rPr>
              <w:t>Daily preventive practice</w:t>
            </w:r>
          </w:p>
        </w:tc>
        <w:tc>
          <w:tcPr>
            <w:tcW w:w="3869" w:type="dxa"/>
          </w:tcPr>
          <w:p w14:paraId="12743CBD" w14:textId="77777777" w:rsidR="00EA465B" w:rsidRDefault="00EA465B" w:rsidP="009B0AFF">
            <w:r>
              <w:rPr>
                <w:rFonts w:ascii="Times New Roman" w:eastAsia="Times New Roman" w:hAnsi="Times New Roman"/>
                <w:sz w:val="16"/>
              </w:rPr>
              <w:t>Theme 2</w:t>
            </w:r>
          </w:p>
        </w:tc>
      </w:tr>
      <w:tr w:rsidR="00EA465B" w14:paraId="06BF26ED" w14:textId="77777777" w:rsidTr="00EA465B">
        <w:tc>
          <w:tcPr>
            <w:tcW w:w="3869" w:type="dxa"/>
          </w:tcPr>
          <w:p w14:paraId="2554AD62" w14:textId="77777777" w:rsidR="00EA465B" w:rsidRDefault="00EA465B" w:rsidP="009B0AFF">
            <w:r>
              <w:rPr>
                <w:rFonts w:ascii="Times New Roman" w:eastAsia="Times New Roman" w:hAnsi="Times New Roman"/>
                <w:sz w:val="16"/>
              </w:rPr>
              <w:t>Perineal / menstrual hygiene problems</w:t>
            </w:r>
          </w:p>
        </w:tc>
        <w:tc>
          <w:tcPr>
            <w:tcW w:w="3869" w:type="dxa"/>
          </w:tcPr>
          <w:p w14:paraId="3C8C534E" w14:textId="77777777" w:rsidR="00EA465B" w:rsidRDefault="00EA465B" w:rsidP="009B0AFF">
            <w:r>
              <w:rPr>
                <w:rFonts w:ascii="Times New Roman" w:eastAsia="Times New Roman" w:hAnsi="Times New Roman"/>
                <w:sz w:val="16"/>
              </w:rPr>
              <w:t>Hygiene issue</w:t>
            </w:r>
          </w:p>
        </w:tc>
        <w:tc>
          <w:tcPr>
            <w:tcW w:w="3869" w:type="dxa"/>
          </w:tcPr>
          <w:p w14:paraId="6E64B4D8" w14:textId="77777777" w:rsidR="00EA465B" w:rsidRDefault="00EA465B" w:rsidP="009B0AFF">
            <w:r>
              <w:rPr>
                <w:rFonts w:ascii="Times New Roman" w:eastAsia="Times New Roman" w:hAnsi="Times New Roman"/>
                <w:sz w:val="16"/>
              </w:rPr>
              <w:t>Daily preventive practice</w:t>
            </w:r>
          </w:p>
        </w:tc>
        <w:tc>
          <w:tcPr>
            <w:tcW w:w="3869" w:type="dxa"/>
          </w:tcPr>
          <w:p w14:paraId="287AB6AF" w14:textId="77777777" w:rsidR="00EA465B" w:rsidRDefault="00EA465B" w:rsidP="009B0AFF">
            <w:r>
              <w:rPr>
                <w:rFonts w:ascii="Times New Roman" w:eastAsia="Times New Roman" w:hAnsi="Times New Roman"/>
                <w:sz w:val="16"/>
              </w:rPr>
              <w:t>Theme 2</w:t>
            </w:r>
          </w:p>
        </w:tc>
      </w:tr>
      <w:tr w:rsidR="00EA465B" w14:paraId="5B0F3EFF" w14:textId="77777777" w:rsidTr="00EA465B">
        <w:tc>
          <w:tcPr>
            <w:tcW w:w="3869" w:type="dxa"/>
          </w:tcPr>
          <w:p w14:paraId="6E451348" w14:textId="77777777" w:rsidR="00EA465B" w:rsidRDefault="00EA465B" w:rsidP="009B0AFF">
            <w:r>
              <w:rPr>
                <w:rFonts w:ascii="Times New Roman" w:eastAsia="Times New Roman" w:hAnsi="Times New Roman"/>
                <w:sz w:val="16"/>
              </w:rPr>
              <w:t>Knowledge improved after structured teaching</w:t>
            </w:r>
          </w:p>
        </w:tc>
        <w:tc>
          <w:tcPr>
            <w:tcW w:w="3869" w:type="dxa"/>
          </w:tcPr>
          <w:p w14:paraId="6B01B268" w14:textId="77777777" w:rsidR="00EA465B" w:rsidRDefault="00EA465B" w:rsidP="009B0AFF">
            <w:r>
              <w:rPr>
                <w:rFonts w:ascii="Times New Roman" w:eastAsia="Times New Roman" w:hAnsi="Times New Roman"/>
                <w:sz w:val="16"/>
              </w:rPr>
              <w:t>Post-education gain</w:t>
            </w:r>
          </w:p>
        </w:tc>
        <w:tc>
          <w:tcPr>
            <w:tcW w:w="3869" w:type="dxa"/>
          </w:tcPr>
          <w:p w14:paraId="3B26265C" w14:textId="77777777" w:rsidR="00EA465B" w:rsidRDefault="00EA465B" w:rsidP="009B0AFF">
            <w:r>
              <w:rPr>
                <w:rFonts w:ascii="Times New Roman" w:eastAsia="Times New Roman" w:hAnsi="Times New Roman"/>
                <w:sz w:val="16"/>
              </w:rPr>
              <w:t>Educational effect</w:t>
            </w:r>
          </w:p>
        </w:tc>
        <w:tc>
          <w:tcPr>
            <w:tcW w:w="3869" w:type="dxa"/>
          </w:tcPr>
          <w:p w14:paraId="419A6486" w14:textId="77777777" w:rsidR="00EA465B" w:rsidRDefault="00EA465B" w:rsidP="009B0AFF">
            <w:r>
              <w:rPr>
                <w:rFonts w:ascii="Times New Roman" w:eastAsia="Times New Roman" w:hAnsi="Times New Roman"/>
                <w:sz w:val="16"/>
              </w:rPr>
              <w:t>Theme 3</w:t>
            </w:r>
          </w:p>
        </w:tc>
      </w:tr>
      <w:tr w:rsidR="00EA465B" w14:paraId="6C82C176" w14:textId="77777777" w:rsidTr="00EA465B">
        <w:tc>
          <w:tcPr>
            <w:tcW w:w="3869" w:type="dxa"/>
          </w:tcPr>
          <w:p w14:paraId="72F0A010" w14:textId="77777777" w:rsidR="00EA465B" w:rsidRDefault="00EA465B" w:rsidP="009B0AFF">
            <w:r>
              <w:rPr>
                <w:rFonts w:ascii="Times New Roman" w:eastAsia="Times New Roman" w:hAnsi="Times New Roman"/>
                <w:sz w:val="16"/>
              </w:rPr>
              <w:t>Weak or near-zero knowledge-practice correlation</w:t>
            </w:r>
          </w:p>
        </w:tc>
        <w:tc>
          <w:tcPr>
            <w:tcW w:w="3869" w:type="dxa"/>
          </w:tcPr>
          <w:p w14:paraId="14398771" w14:textId="77777777" w:rsidR="00EA465B" w:rsidRDefault="00EA465B" w:rsidP="009B0AFF">
            <w:r>
              <w:rPr>
                <w:rFonts w:ascii="Times New Roman" w:eastAsia="Times New Roman" w:hAnsi="Times New Roman"/>
                <w:sz w:val="16"/>
              </w:rPr>
              <w:t>Knowledge-practice gap</w:t>
            </w:r>
          </w:p>
        </w:tc>
        <w:tc>
          <w:tcPr>
            <w:tcW w:w="3869" w:type="dxa"/>
          </w:tcPr>
          <w:p w14:paraId="7E0DB6D0" w14:textId="77777777" w:rsidR="00EA465B" w:rsidRDefault="00EA465B" w:rsidP="009B0AFF">
            <w:r>
              <w:rPr>
                <w:rFonts w:ascii="Times New Roman" w:eastAsia="Times New Roman" w:hAnsi="Times New Roman"/>
                <w:sz w:val="16"/>
              </w:rPr>
              <w:t>Translation from knowledge to behaviour</w:t>
            </w:r>
          </w:p>
        </w:tc>
        <w:tc>
          <w:tcPr>
            <w:tcW w:w="3869" w:type="dxa"/>
          </w:tcPr>
          <w:p w14:paraId="6F2B55AD" w14:textId="77777777" w:rsidR="00EA465B" w:rsidRDefault="00EA465B" w:rsidP="009B0AFF">
            <w:r>
              <w:rPr>
                <w:rFonts w:ascii="Times New Roman" w:eastAsia="Times New Roman" w:hAnsi="Times New Roman"/>
                <w:sz w:val="16"/>
              </w:rPr>
              <w:t>Theme 4</w:t>
            </w:r>
          </w:p>
        </w:tc>
      </w:tr>
      <w:tr w:rsidR="00EA465B" w14:paraId="30B3EC39" w14:textId="77777777" w:rsidTr="00EA465B">
        <w:tc>
          <w:tcPr>
            <w:tcW w:w="3869" w:type="dxa"/>
          </w:tcPr>
          <w:p w14:paraId="6F44B032" w14:textId="77777777" w:rsidR="00EA465B" w:rsidRDefault="00EA465B" w:rsidP="009B0AFF">
            <w:r>
              <w:rPr>
                <w:rFonts w:ascii="Times New Roman" w:eastAsia="Times New Roman" w:hAnsi="Times New Roman"/>
                <w:sz w:val="16"/>
              </w:rPr>
              <w:t>Previous information, family education, grade, residence or sanitation linked to outcomes in some studies</w:t>
            </w:r>
          </w:p>
        </w:tc>
        <w:tc>
          <w:tcPr>
            <w:tcW w:w="3869" w:type="dxa"/>
          </w:tcPr>
          <w:p w14:paraId="39285065" w14:textId="77777777" w:rsidR="00EA465B" w:rsidRDefault="00EA465B" w:rsidP="009B0AFF">
            <w:r>
              <w:rPr>
                <w:rFonts w:ascii="Times New Roman" w:eastAsia="Times New Roman" w:hAnsi="Times New Roman"/>
                <w:sz w:val="16"/>
              </w:rPr>
              <w:t>Contextual influence</w:t>
            </w:r>
          </w:p>
        </w:tc>
        <w:tc>
          <w:tcPr>
            <w:tcW w:w="3869" w:type="dxa"/>
          </w:tcPr>
          <w:p w14:paraId="5AA111A0" w14:textId="77777777" w:rsidR="00EA465B" w:rsidRDefault="00EA465B" w:rsidP="009B0AFF">
            <w:r>
              <w:rPr>
                <w:rFonts w:ascii="Times New Roman" w:eastAsia="Times New Roman" w:hAnsi="Times New Roman"/>
                <w:sz w:val="16"/>
              </w:rPr>
              <w:t>Educational/social environment</w:t>
            </w:r>
          </w:p>
        </w:tc>
        <w:tc>
          <w:tcPr>
            <w:tcW w:w="3869" w:type="dxa"/>
          </w:tcPr>
          <w:p w14:paraId="702E0648" w14:textId="77777777" w:rsidR="00EA465B" w:rsidRDefault="00EA465B" w:rsidP="009B0AFF">
            <w:r>
              <w:rPr>
                <w:rFonts w:ascii="Times New Roman" w:eastAsia="Times New Roman" w:hAnsi="Times New Roman"/>
                <w:sz w:val="16"/>
              </w:rPr>
              <w:t>Theme 5</w:t>
            </w:r>
          </w:p>
        </w:tc>
      </w:tr>
    </w:tbl>
    <w:p w14:paraId="017A0820" w14:textId="77777777" w:rsidR="00EA465B" w:rsidRDefault="00EA465B" w:rsidP="00C4460E">
      <w:r>
        <w:t>Table A9: Cross-Study Comparison and Evidence Directness</w:t>
      </w:r>
    </w:p>
    <w:tbl>
      <w:tblPr>
        <w:tblStyle w:val="TableGrid"/>
        <w:tblW w:w="0" w:type="auto"/>
        <w:tblLook w:val="04A0" w:firstRow="1" w:lastRow="0" w:firstColumn="1" w:lastColumn="0" w:noHBand="0" w:noVBand="1"/>
      </w:tblPr>
      <w:tblGrid>
        <w:gridCol w:w="1791"/>
        <w:gridCol w:w="2021"/>
        <w:gridCol w:w="1888"/>
        <w:gridCol w:w="1833"/>
        <w:gridCol w:w="1817"/>
      </w:tblGrid>
      <w:tr w:rsidR="00EA465B" w14:paraId="4022F255" w14:textId="77777777" w:rsidTr="00EA465B">
        <w:tc>
          <w:tcPr>
            <w:tcW w:w="3096" w:type="dxa"/>
          </w:tcPr>
          <w:p w14:paraId="419656B1" w14:textId="77777777" w:rsidR="00EA465B" w:rsidRDefault="00EA465B" w:rsidP="009B0AFF">
            <w:r>
              <w:rPr>
                <w:rFonts w:ascii="Times New Roman" w:eastAsia="Times New Roman" w:hAnsi="Times New Roman"/>
                <w:b/>
                <w:sz w:val="15"/>
              </w:rPr>
              <w:t>Evidence area</w:t>
            </w:r>
          </w:p>
        </w:tc>
        <w:tc>
          <w:tcPr>
            <w:tcW w:w="3096" w:type="dxa"/>
          </w:tcPr>
          <w:p w14:paraId="3F889E71" w14:textId="77777777" w:rsidR="00EA465B" w:rsidRDefault="00EA465B" w:rsidP="009B0AFF">
            <w:r>
              <w:rPr>
                <w:rFonts w:ascii="Times New Roman" w:eastAsia="Times New Roman" w:hAnsi="Times New Roman"/>
                <w:b/>
                <w:sz w:val="15"/>
              </w:rPr>
              <w:t>Consistent pattern</w:t>
            </w:r>
          </w:p>
        </w:tc>
        <w:tc>
          <w:tcPr>
            <w:tcW w:w="3096" w:type="dxa"/>
          </w:tcPr>
          <w:p w14:paraId="773327B2" w14:textId="77777777" w:rsidR="00EA465B" w:rsidRDefault="00EA465B" w:rsidP="009B0AFF">
            <w:r>
              <w:rPr>
                <w:rFonts w:ascii="Times New Roman" w:eastAsia="Times New Roman" w:hAnsi="Times New Roman"/>
                <w:b/>
                <w:sz w:val="15"/>
              </w:rPr>
              <w:t>Differences / caveats</w:t>
            </w:r>
          </w:p>
        </w:tc>
        <w:tc>
          <w:tcPr>
            <w:tcW w:w="3096" w:type="dxa"/>
          </w:tcPr>
          <w:p w14:paraId="0086BEEB" w14:textId="77777777" w:rsidR="00EA465B" w:rsidRDefault="00EA465B" w:rsidP="009B0AFF">
            <w:r>
              <w:rPr>
                <w:rFonts w:ascii="Times New Roman" w:eastAsia="Times New Roman" w:hAnsi="Times New Roman"/>
                <w:b/>
                <w:sz w:val="15"/>
              </w:rPr>
              <w:t>Strength of pattern</w:t>
            </w:r>
          </w:p>
        </w:tc>
        <w:tc>
          <w:tcPr>
            <w:tcW w:w="3096" w:type="dxa"/>
          </w:tcPr>
          <w:p w14:paraId="4C56FC89" w14:textId="77777777" w:rsidR="00EA465B" w:rsidRDefault="00EA465B" w:rsidP="009B0AFF">
            <w:r>
              <w:rPr>
                <w:rFonts w:ascii="Times New Roman" w:eastAsia="Times New Roman" w:hAnsi="Times New Roman"/>
                <w:b/>
                <w:sz w:val="15"/>
              </w:rPr>
              <w:t>UK directness</w:t>
            </w:r>
          </w:p>
        </w:tc>
      </w:tr>
      <w:tr w:rsidR="00EA465B" w14:paraId="219042E6" w14:textId="77777777" w:rsidTr="00EA465B">
        <w:tc>
          <w:tcPr>
            <w:tcW w:w="3096" w:type="dxa"/>
          </w:tcPr>
          <w:p w14:paraId="17B76EAA" w14:textId="77777777" w:rsidR="00EA465B" w:rsidRDefault="00EA465B" w:rsidP="009B0AFF">
            <w:r>
              <w:rPr>
                <w:rFonts w:ascii="Times New Roman" w:eastAsia="Times New Roman" w:hAnsi="Times New Roman"/>
                <w:sz w:val="15"/>
              </w:rPr>
              <w:t>Knowledge level</w:t>
            </w:r>
          </w:p>
        </w:tc>
        <w:tc>
          <w:tcPr>
            <w:tcW w:w="3096" w:type="dxa"/>
          </w:tcPr>
          <w:p w14:paraId="731D23AE" w14:textId="77777777" w:rsidR="00EA465B" w:rsidRDefault="00EA465B" w:rsidP="009B0AFF">
            <w:r>
              <w:rPr>
                <w:rFonts w:ascii="Times New Roman" w:eastAsia="Times New Roman" w:hAnsi="Times New Roman"/>
                <w:sz w:val="15"/>
              </w:rPr>
              <w:t>Baseline knowledge commonly poor or moderate; adequate/high knowledge uncommon.</w:t>
            </w:r>
          </w:p>
        </w:tc>
        <w:tc>
          <w:tcPr>
            <w:tcW w:w="3096" w:type="dxa"/>
          </w:tcPr>
          <w:p w14:paraId="3FEEC5B1" w14:textId="77777777" w:rsidR="00EA465B" w:rsidRDefault="00EA465B" w:rsidP="009B0AFF">
            <w:r>
              <w:rPr>
                <w:rFonts w:ascii="Times New Roman" w:eastAsia="Times New Roman" w:hAnsi="Times New Roman"/>
                <w:sz w:val="15"/>
              </w:rPr>
              <w:t>Absolute percentages varied because questionnaires and cut-offs differed.</w:t>
            </w:r>
          </w:p>
        </w:tc>
        <w:tc>
          <w:tcPr>
            <w:tcW w:w="3096" w:type="dxa"/>
          </w:tcPr>
          <w:p w14:paraId="4622FE54" w14:textId="77777777" w:rsidR="00EA465B" w:rsidRDefault="00EA465B" w:rsidP="009B0AFF">
            <w:r>
              <w:rPr>
                <w:rFonts w:ascii="Times New Roman" w:eastAsia="Times New Roman" w:hAnsi="Times New Roman"/>
                <w:sz w:val="15"/>
              </w:rPr>
              <w:t>Consistent direction across observational and intervention baselines.</w:t>
            </w:r>
          </w:p>
        </w:tc>
        <w:tc>
          <w:tcPr>
            <w:tcW w:w="3096" w:type="dxa"/>
          </w:tcPr>
          <w:p w14:paraId="4783ACFD" w14:textId="77777777" w:rsidR="00EA465B" w:rsidRDefault="00EA465B" w:rsidP="009B0AFF">
            <w:r>
              <w:rPr>
                <w:rFonts w:ascii="Times New Roman" w:eastAsia="Times New Roman" w:hAnsi="Times New Roman"/>
                <w:sz w:val="15"/>
              </w:rPr>
              <w:t>Indirect to UK; no UK study.</w:t>
            </w:r>
          </w:p>
        </w:tc>
      </w:tr>
      <w:tr w:rsidR="00EA465B" w14:paraId="76DCC87B" w14:textId="77777777" w:rsidTr="00EA465B">
        <w:tc>
          <w:tcPr>
            <w:tcW w:w="3096" w:type="dxa"/>
          </w:tcPr>
          <w:p w14:paraId="366334FE" w14:textId="77777777" w:rsidR="00EA465B" w:rsidRDefault="00EA465B" w:rsidP="009B0AFF">
            <w:r>
              <w:rPr>
                <w:rFonts w:ascii="Times New Roman" w:eastAsia="Times New Roman" w:hAnsi="Times New Roman"/>
                <w:sz w:val="15"/>
              </w:rPr>
              <w:t>Preventive practice</w:t>
            </w:r>
          </w:p>
        </w:tc>
        <w:tc>
          <w:tcPr>
            <w:tcW w:w="3096" w:type="dxa"/>
          </w:tcPr>
          <w:p w14:paraId="16F4BA09" w14:textId="77777777" w:rsidR="00EA465B" w:rsidRDefault="00EA465B" w:rsidP="009B0AFF">
            <w:r>
              <w:rPr>
                <w:rFonts w:ascii="Times New Roman" w:eastAsia="Times New Roman" w:hAnsi="Times New Roman"/>
                <w:sz w:val="15"/>
              </w:rPr>
              <w:t>Hydration, toileting, menstrual/perineal hygiene and toilet behaviour were recurrent concerns.</w:t>
            </w:r>
          </w:p>
        </w:tc>
        <w:tc>
          <w:tcPr>
            <w:tcW w:w="3096" w:type="dxa"/>
          </w:tcPr>
          <w:p w14:paraId="4591A2DE" w14:textId="77777777" w:rsidR="00EA465B" w:rsidRDefault="00EA465B" w:rsidP="009B0AFF">
            <w:r>
              <w:rPr>
                <w:rFonts w:ascii="Times New Roman" w:eastAsia="Times New Roman" w:hAnsi="Times New Roman"/>
                <w:sz w:val="15"/>
              </w:rPr>
              <w:t>Definitions of safe/good/poor practice differed across studies.</w:t>
            </w:r>
          </w:p>
        </w:tc>
        <w:tc>
          <w:tcPr>
            <w:tcW w:w="3096" w:type="dxa"/>
          </w:tcPr>
          <w:p w14:paraId="7F21EFF1" w14:textId="77777777" w:rsidR="00EA465B" w:rsidRDefault="00EA465B" w:rsidP="009B0AFF">
            <w:r>
              <w:rPr>
                <w:rFonts w:ascii="Times New Roman" w:eastAsia="Times New Roman" w:hAnsi="Times New Roman"/>
                <w:sz w:val="15"/>
              </w:rPr>
              <w:t>Moderate repeated pattern; mostly self-reported.</w:t>
            </w:r>
          </w:p>
        </w:tc>
        <w:tc>
          <w:tcPr>
            <w:tcW w:w="3096" w:type="dxa"/>
          </w:tcPr>
          <w:p w14:paraId="53FEF3D3" w14:textId="77777777" w:rsidR="00EA465B" w:rsidRDefault="00EA465B" w:rsidP="009B0AFF">
            <w:r>
              <w:rPr>
                <w:rFonts w:ascii="Times New Roman" w:eastAsia="Times New Roman" w:hAnsi="Times New Roman"/>
                <w:sz w:val="15"/>
              </w:rPr>
              <w:t>Indirect to UK and female-only.</w:t>
            </w:r>
          </w:p>
        </w:tc>
      </w:tr>
      <w:tr w:rsidR="00EA465B" w14:paraId="4669DCD3" w14:textId="77777777" w:rsidTr="00EA465B">
        <w:tc>
          <w:tcPr>
            <w:tcW w:w="3096" w:type="dxa"/>
          </w:tcPr>
          <w:p w14:paraId="0F0406EE" w14:textId="77777777" w:rsidR="00EA465B" w:rsidRDefault="00EA465B" w:rsidP="009B0AFF">
            <w:r>
              <w:rPr>
                <w:rFonts w:ascii="Times New Roman" w:eastAsia="Times New Roman" w:hAnsi="Times New Roman"/>
                <w:sz w:val="15"/>
              </w:rPr>
              <w:t>Educational intervention</w:t>
            </w:r>
          </w:p>
        </w:tc>
        <w:tc>
          <w:tcPr>
            <w:tcW w:w="3096" w:type="dxa"/>
          </w:tcPr>
          <w:p w14:paraId="288A8FD6" w14:textId="77777777" w:rsidR="00EA465B" w:rsidRDefault="00EA465B" w:rsidP="009B0AFF">
            <w:r>
              <w:rPr>
                <w:rFonts w:ascii="Times New Roman" w:eastAsia="Times New Roman" w:hAnsi="Times New Roman"/>
                <w:sz w:val="15"/>
              </w:rPr>
              <w:t>All eight intervention studies reported improved post-intervention knowledge.</w:t>
            </w:r>
          </w:p>
        </w:tc>
        <w:tc>
          <w:tcPr>
            <w:tcW w:w="3096" w:type="dxa"/>
          </w:tcPr>
          <w:p w14:paraId="66BCC122" w14:textId="77777777" w:rsidR="00EA465B" w:rsidRDefault="00EA465B" w:rsidP="009B0AFF">
            <w:r>
              <w:rPr>
                <w:rFonts w:ascii="Times New Roman" w:eastAsia="Times New Roman" w:hAnsi="Times New Roman"/>
                <w:sz w:val="15"/>
              </w:rPr>
              <w:t>Magnitude and teaching formats differed; most lacked a control group.</w:t>
            </w:r>
          </w:p>
        </w:tc>
        <w:tc>
          <w:tcPr>
            <w:tcW w:w="3096" w:type="dxa"/>
          </w:tcPr>
          <w:p w14:paraId="724A1EA0" w14:textId="77777777" w:rsidR="00EA465B" w:rsidRDefault="00EA465B" w:rsidP="009B0AFF">
            <w:r>
              <w:rPr>
                <w:rFonts w:ascii="Times New Roman" w:eastAsia="Times New Roman" w:hAnsi="Times New Roman"/>
                <w:sz w:val="15"/>
              </w:rPr>
              <w:t>Strong consistency for short-term knowledge gain; weaker causal certainty.</w:t>
            </w:r>
          </w:p>
        </w:tc>
        <w:tc>
          <w:tcPr>
            <w:tcW w:w="3096" w:type="dxa"/>
          </w:tcPr>
          <w:p w14:paraId="2085C1D5" w14:textId="77777777" w:rsidR="00EA465B" w:rsidRDefault="00EA465B" w:rsidP="009B0AFF">
            <w:r>
              <w:rPr>
                <w:rFonts w:ascii="Times New Roman" w:eastAsia="Times New Roman" w:hAnsi="Times New Roman"/>
                <w:sz w:val="15"/>
              </w:rPr>
              <w:t>Potentially transferable mechanism, not UK effectiveness evidence.</w:t>
            </w:r>
          </w:p>
        </w:tc>
      </w:tr>
      <w:tr w:rsidR="00EA465B" w14:paraId="1D3994BF" w14:textId="77777777" w:rsidTr="00EA465B">
        <w:tc>
          <w:tcPr>
            <w:tcW w:w="3096" w:type="dxa"/>
          </w:tcPr>
          <w:p w14:paraId="66495953" w14:textId="77777777" w:rsidR="00EA465B" w:rsidRDefault="00EA465B" w:rsidP="009B0AFF">
            <w:r>
              <w:rPr>
                <w:rFonts w:ascii="Times New Roman" w:eastAsia="Times New Roman" w:hAnsi="Times New Roman"/>
                <w:sz w:val="15"/>
              </w:rPr>
              <w:t>Knowledge-practice relationship</w:t>
            </w:r>
          </w:p>
        </w:tc>
        <w:tc>
          <w:tcPr>
            <w:tcW w:w="3096" w:type="dxa"/>
          </w:tcPr>
          <w:p w14:paraId="26F4BAB7" w14:textId="77777777" w:rsidR="00EA465B" w:rsidRDefault="00EA465B" w:rsidP="009B0AFF">
            <w:r>
              <w:rPr>
                <w:rFonts w:ascii="Times New Roman" w:eastAsia="Times New Roman" w:hAnsi="Times New Roman"/>
                <w:sz w:val="15"/>
              </w:rPr>
              <w:t>Knowledge alone did not reliably predict safer practice.</w:t>
            </w:r>
          </w:p>
        </w:tc>
        <w:tc>
          <w:tcPr>
            <w:tcW w:w="3096" w:type="dxa"/>
          </w:tcPr>
          <w:p w14:paraId="15ABD819" w14:textId="77777777" w:rsidR="00EA465B" w:rsidRDefault="00EA465B" w:rsidP="009B0AFF">
            <w:r>
              <w:rPr>
                <w:rFonts w:ascii="Times New Roman" w:eastAsia="Times New Roman" w:hAnsi="Times New Roman"/>
                <w:sz w:val="15"/>
              </w:rPr>
              <w:t>Sequera reported weak positive correlation; Joseph near-zero negative correlation.</w:t>
            </w:r>
          </w:p>
        </w:tc>
        <w:tc>
          <w:tcPr>
            <w:tcW w:w="3096" w:type="dxa"/>
          </w:tcPr>
          <w:p w14:paraId="7C8DF3D8" w14:textId="77777777" w:rsidR="00EA465B" w:rsidRDefault="00EA465B" w:rsidP="009B0AFF">
            <w:r>
              <w:rPr>
                <w:rFonts w:ascii="Times New Roman" w:eastAsia="Times New Roman" w:hAnsi="Times New Roman"/>
                <w:sz w:val="15"/>
              </w:rPr>
              <w:t>Limited but directly tested in two studies.</w:t>
            </w:r>
          </w:p>
        </w:tc>
        <w:tc>
          <w:tcPr>
            <w:tcW w:w="3096" w:type="dxa"/>
          </w:tcPr>
          <w:p w14:paraId="6CD0B195" w14:textId="77777777" w:rsidR="00EA465B" w:rsidRDefault="00EA465B" w:rsidP="009B0AFF">
            <w:r>
              <w:rPr>
                <w:rFonts w:ascii="Times New Roman" w:eastAsia="Times New Roman" w:hAnsi="Times New Roman"/>
                <w:sz w:val="15"/>
              </w:rPr>
              <w:t>Requires UK adolescent testing.</w:t>
            </w:r>
          </w:p>
        </w:tc>
      </w:tr>
      <w:tr w:rsidR="00EA465B" w14:paraId="57C06C65" w14:textId="77777777" w:rsidTr="00EA465B">
        <w:tc>
          <w:tcPr>
            <w:tcW w:w="3096" w:type="dxa"/>
          </w:tcPr>
          <w:p w14:paraId="450C215A" w14:textId="77777777" w:rsidR="00EA465B" w:rsidRDefault="00EA465B" w:rsidP="009B0AFF">
            <w:r>
              <w:rPr>
                <w:rFonts w:ascii="Times New Roman" w:eastAsia="Times New Roman" w:hAnsi="Times New Roman"/>
                <w:sz w:val="15"/>
              </w:rPr>
              <w:t>Contextual influences</w:t>
            </w:r>
          </w:p>
        </w:tc>
        <w:tc>
          <w:tcPr>
            <w:tcW w:w="3096" w:type="dxa"/>
          </w:tcPr>
          <w:p w14:paraId="7D685BD9" w14:textId="77777777" w:rsidR="00EA465B" w:rsidRDefault="00EA465B" w:rsidP="009B0AFF">
            <w:r>
              <w:rPr>
                <w:rFonts w:ascii="Times New Roman" w:eastAsia="Times New Roman" w:hAnsi="Times New Roman"/>
                <w:sz w:val="15"/>
              </w:rPr>
              <w:t>Previous information, grade, family education, residence and UTI experience sometimes related to outcomes.</w:t>
            </w:r>
          </w:p>
        </w:tc>
        <w:tc>
          <w:tcPr>
            <w:tcW w:w="3096" w:type="dxa"/>
          </w:tcPr>
          <w:p w14:paraId="27989217" w14:textId="77777777" w:rsidR="00EA465B" w:rsidRDefault="00EA465B" w:rsidP="009B0AFF">
            <w:r>
              <w:rPr>
                <w:rFonts w:ascii="Times New Roman" w:eastAsia="Times New Roman" w:hAnsi="Times New Roman"/>
                <w:sz w:val="15"/>
              </w:rPr>
              <w:t>Associations were inconsistent across studies.</w:t>
            </w:r>
          </w:p>
        </w:tc>
        <w:tc>
          <w:tcPr>
            <w:tcW w:w="3096" w:type="dxa"/>
          </w:tcPr>
          <w:p w14:paraId="23293261" w14:textId="77777777" w:rsidR="00EA465B" w:rsidRDefault="00EA465B" w:rsidP="009B0AFF">
            <w:r>
              <w:rPr>
                <w:rFonts w:ascii="Times New Roman" w:eastAsia="Times New Roman" w:hAnsi="Times New Roman"/>
                <w:sz w:val="15"/>
              </w:rPr>
              <w:t>Exploratory / moderate.</w:t>
            </w:r>
          </w:p>
        </w:tc>
        <w:tc>
          <w:tcPr>
            <w:tcW w:w="3096" w:type="dxa"/>
          </w:tcPr>
          <w:p w14:paraId="7E7E8BA6" w14:textId="77777777" w:rsidR="00EA465B" w:rsidRDefault="00EA465B" w:rsidP="009B0AFF">
            <w:r>
              <w:rPr>
                <w:rFonts w:ascii="Times New Roman" w:eastAsia="Times New Roman" w:hAnsi="Times New Roman"/>
                <w:sz w:val="15"/>
              </w:rPr>
              <w:t>Context-sensitive; transfer cautiously.</w:t>
            </w:r>
          </w:p>
        </w:tc>
      </w:tr>
    </w:tbl>
    <w:p w14:paraId="6A1B4D76" w14:textId="093D9E88" w:rsidR="00B336D2" w:rsidRPr="00B336D2" w:rsidRDefault="003612FE" w:rsidP="00B336D2">
      <w:r>
        <w:rPr>
          <w:noProof/>
        </w:rPr>
        <w:drawing>
          <wp:inline distT="0" distB="0" distL="0" distR="0" wp14:anchorId="010690B6" wp14:editId="001B02D0">
            <wp:extent cx="6029960" cy="933450"/>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6029960" cy="933450"/>
                    </a:xfrm>
                    <a:prstGeom prst="rect">
                      <a:avLst/>
                    </a:prstGeom>
                    <a:noFill/>
                    <a:ln>
                      <a:noFill/>
                    </a:ln>
                    <a:extLst>
                      <a:ext uri="{53640926-AAD7-44D8-BBD7-CCE9431645EC}">
                        <a14:shadowObscured xmlns:a14="http://schemas.microsoft.com/office/drawing/2010/main"/>
                      </a:ext>
                    </a:extLst>
                  </pic:spPr>
                </pic:pic>
              </a:graphicData>
            </a:graphic>
          </wp:inline>
        </w:drawing>
      </w:r>
    </w:p>
    <w:p w14:paraId="5F10A3A3" w14:textId="46C366DD" w:rsidR="00DC2DBF" w:rsidRPr="000059FF" w:rsidRDefault="00DC2DBF" w:rsidP="0038531E">
      <w:pPr>
        <w:spacing w:line="259" w:lineRule="auto"/>
        <w:jc w:val="left"/>
      </w:pPr>
    </w:p>
    <w:sectPr w:rsidR="00DC2DBF" w:rsidRPr="000059F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5ED30" w14:textId="77777777" w:rsidR="00C86DB1" w:rsidRDefault="00C86DB1">
      <w:pPr>
        <w:spacing w:after="0" w:line="240" w:lineRule="auto"/>
      </w:pPr>
      <w:r>
        <w:separator/>
      </w:r>
    </w:p>
  </w:endnote>
  <w:endnote w:type="continuationSeparator" w:id="0">
    <w:p w14:paraId="40A06719" w14:textId="77777777" w:rsidR="00C86DB1" w:rsidRDefault="00C86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203066"/>
      <w:docPartObj>
        <w:docPartGallery w:val="Page Numbers (Bottom of Page)"/>
        <w:docPartUnique/>
      </w:docPartObj>
    </w:sdtPr>
    <w:sdtEndPr/>
    <w:sdtContent>
      <w:p w14:paraId="55F92048" w14:textId="69AC0FB5" w:rsidR="00657FA4" w:rsidRDefault="00657FA4">
        <w:pPr>
          <w:pStyle w:val="Footer"/>
          <w:jc w:val="right"/>
        </w:pPr>
        <w:r>
          <w:fldChar w:fldCharType="begin"/>
        </w:r>
        <w:r>
          <w:instrText>PAGE   \* MERGEFORMAT</w:instrText>
        </w:r>
        <w:r>
          <w:fldChar w:fldCharType="separate"/>
        </w:r>
        <w:r>
          <w:rPr>
            <w:lang w:val="en-GB"/>
          </w:rPr>
          <w:t>2</w:t>
        </w:r>
        <w:r>
          <w:fldChar w:fldCharType="end"/>
        </w:r>
      </w:p>
    </w:sdtContent>
  </w:sdt>
  <w:p w14:paraId="34FF537C" w14:textId="77777777" w:rsidR="00657FA4" w:rsidRDefault="00657F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6FAEB" w14:textId="77777777" w:rsidR="002B6097" w:rsidRDefault="002B609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28903" w14:textId="77777777" w:rsidR="00EA465B" w:rsidRDefault="00EA46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C9981" w14:textId="77777777" w:rsidR="00EA465B" w:rsidRDefault="00EA465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7596A" w14:textId="77777777" w:rsidR="00EA465B" w:rsidRDefault="00EA465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E5714" w14:textId="77777777" w:rsidR="00EA465B" w:rsidRDefault="00EA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0725B" w14:textId="77777777" w:rsidR="00C86DB1" w:rsidRDefault="00C86DB1">
      <w:pPr>
        <w:spacing w:after="0" w:line="240" w:lineRule="auto"/>
      </w:pPr>
      <w:r>
        <w:separator/>
      </w:r>
    </w:p>
  </w:footnote>
  <w:footnote w:type="continuationSeparator" w:id="0">
    <w:p w14:paraId="0CB74C8E" w14:textId="77777777" w:rsidR="00C86DB1" w:rsidRDefault="00C86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70A2F"/>
    <w:multiLevelType w:val="multilevel"/>
    <w:tmpl w:val="A15A8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3A344E"/>
    <w:multiLevelType w:val="hybridMultilevel"/>
    <w:tmpl w:val="A3B4C150"/>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2372555">
    <w:abstractNumId w:val="0"/>
  </w:num>
  <w:num w:numId="2" w16cid:durableId="491021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830"/>
    <w:rsid w:val="000059FF"/>
    <w:rsid w:val="00010710"/>
    <w:rsid w:val="000234CF"/>
    <w:rsid w:val="00045D30"/>
    <w:rsid w:val="000471CC"/>
    <w:rsid w:val="00047466"/>
    <w:rsid w:val="00060301"/>
    <w:rsid w:val="000741A7"/>
    <w:rsid w:val="00082299"/>
    <w:rsid w:val="0008345B"/>
    <w:rsid w:val="00085FF3"/>
    <w:rsid w:val="00091CE9"/>
    <w:rsid w:val="00092FD8"/>
    <w:rsid w:val="000968CB"/>
    <w:rsid w:val="000A00E9"/>
    <w:rsid w:val="000A10C9"/>
    <w:rsid w:val="000A629B"/>
    <w:rsid w:val="000C160E"/>
    <w:rsid w:val="000C2475"/>
    <w:rsid w:val="000F7569"/>
    <w:rsid w:val="000F77F2"/>
    <w:rsid w:val="00103A4A"/>
    <w:rsid w:val="00105968"/>
    <w:rsid w:val="001245E2"/>
    <w:rsid w:val="00143FC7"/>
    <w:rsid w:val="001761B8"/>
    <w:rsid w:val="001761D4"/>
    <w:rsid w:val="0019587C"/>
    <w:rsid w:val="00197197"/>
    <w:rsid w:val="00197FD8"/>
    <w:rsid w:val="001A1576"/>
    <w:rsid w:val="001A3E9A"/>
    <w:rsid w:val="001A423D"/>
    <w:rsid w:val="001B58BF"/>
    <w:rsid w:val="001C4171"/>
    <w:rsid w:val="001D01B7"/>
    <w:rsid w:val="001E58D2"/>
    <w:rsid w:val="001F441B"/>
    <w:rsid w:val="001F6824"/>
    <w:rsid w:val="001F75BA"/>
    <w:rsid w:val="002226B0"/>
    <w:rsid w:val="0023416D"/>
    <w:rsid w:val="00236ADC"/>
    <w:rsid w:val="00236DF5"/>
    <w:rsid w:val="0025238F"/>
    <w:rsid w:val="00252C6B"/>
    <w:rsid w:val="00277037"/>
    <w:rsid w:val="00284238"/>
    <w:rsid w:val="002844A5"/>
    <w:rsid w:val="00287F53"/>
    <w:rsid w:val="00291DE8"/>
    <w:rsid w:val="00292576"/>
    <w:rsid w:val="00292B70"/>
    <w:rsid w:val="002A2608"/>
    <w:rsid w:val="002B1BDA"/>
    <w:rsid w:val="002B2468"/>
    <w:rsid w:val="002B6097"/>
    <w:rsid w:val="002B7ABE"/>
    <w:rsid w:val="002C5EE0"/>
    <w:rsid w:val="002C6540"/>
    <w:rsid w:val="002E5678"/>
    <w:rsid w:val="00307417"/>
    <w:rsid w:val="00307562"/>
    <w:rsid w:val="0032112A"/>
    <w:rsid w:val="00324354"/>
    <w:rsid w:val="00341E51"/>
    <w:rsid w:val="003452EB"/>
    <w:rsid w:val="003612FE"/>
    <w:rsid w:val="00381FCA"/>
    <w:rsid w:val="0038531E"/>
    <w:rsid w:val="003958F5"/>
    <w:rsid w:val="003C0CFC"/>
    <w:rsid w:val="003C3309"/>
    <w:rsid w:val="003E04CA"/>
    <w:rsid w:val="00404565"/>
    <w:rsid w:val="004161B9"/>
    <w:rsid w:val="00424516"/>
    <w:rsid w:val="004313AF"/>
    <w:rsid w:val="00433026"/>
    <w:rsid w:val="004619D4"/>
    <w:rsid w:val="004640D4"/>
    <w:rsid w:val="00472939"/>
    <w:rsid w:val="00492CA5"/>
    <w:rsid w:val="004B5F1C"/>
    <w:rsid w:val="004C4408"/>
    <w:rsid w:val="004D4E3C"/>
    <w:rsid w:val="004E1BA9"/>
    <w:rsid w:val="004F7819"/>
    <w:rsid w:val="00504F58"/>
    <w:rsid w:val="00507830"/>
    <w:rsid w:val="005139FC"/>
    <w:rsid w:val="00515ED8"/>
    <w:rsid w:val="00521AF5"/>
    <w:rsid w:val="00524ADD"/>
    <w:rsid w:val="005254E9"/>
    <w:rsid w:val="00525BB6"/>
    <w:rsid w:val="00535241"/>
    <w:rsid w:val="005377FC"/>
    <w:rsid w:val="00537FF3"/>
    <w:rsid w:val="00541AB9"/>
    <w:rsid w:val="0054440F"/>
    <w:rsid w:val="005460C6"/>
    <w:rsid w:val="00547FB5"/>
    <w:rsid w:val="00560927"/>
    <w:rsid w:val="005676BD"/>
    <w:rsid w:val="00571F51"/>
    <w:rsid w:val="00572539"/>
    <w:rsid w:val="00580CE7"/>
    <w:rsid w:val="00583A86"/>
    <w:rsid w:val="005A0767"/>
    <w:rsid w:val="005A101B"/>
    <w:rsid w:val="005E4B39"/>
    <w:rsid w:val="005F4D3F"/>
    <w:rsid w:val="00616903"/>
    <w:rsid w:val="006449B1"/>
    <w:rsid w:val="00657FA4"/>
    <w:rsid w:val="0066174F"/>
    <w:rsid w:val="00664562"/>
    <w:rsid w:val="00671A02"/>
    <w:rsid w:val="006804CD"/>
    <w:rsid w:val="0069164A"/>
    <w:rsid w:val="006C4256"/>
    <w:rsid w:val="006E1FD2"/>
    <w:rsid w:val="006E7C34"/>
    <w:rsid w:val="006F05BE"/>
    <w:rsid w:val="00706615"/>
    <w:rsid w:val="007126A1"/>
    <w:rsid w:val="0073222D"/>
    <w:rsid w:val="0075090E"/>
    <w:rsid w:val="007514DC"/>
    <w:rsid w:val="00775C9C"/>
    <w:rsid w:val="00792157"/>
    <w:rsid w:val="00792B42"/>
    <w:rsid w:val="007C2C8E"/>
    <w:rsid w:val="007D4C28"/>
    <w:rsid w:val="007E032E"/>
    <w:rsid w:val="007E3E9D"/>
    <w:rsid w:val="007F34C5"/>
    <w:rsid w:val="007F587D"/>
    <w:rsid w:val="00816B2A"/>
    <w:rsid w:val="0082143F"/>
    <w:rsid w:val="00841B1B"/>
    <w:rsid w:val="00845E5B"/>
    <w:rsid w:val="00846013"/>
    <w:rsid w:val="00850E5E"/>
    <w:rsid w:val="00871E5B"/>
    <w:rsid w:val="008723B6"/>
    <w:rsid w:val="008A149F"/>
    <w:rsid w:val="008A535E"/>
    <w:rsid w:val="008A5861"/>
    <w:rsid w:val="008E3D62"/>
    <w:rsid w:val="008F1C02"/>
    <w:rsid w:val="008F5E58"/>
    <w:rsid w:val="00900B3D"/>
    <w:rsid w:val="009059DB"/>
    <w:rsid w:val="00906191"/>
    <w:rsid w:val="0091208B"/>
    <w:rsid w:val="00917A46"/>
    <w:rsid w:val="009345E4"/>
    <w:rsid w:val="009420BC"/>
    <w:rsid w:val="00952DD3"/>
    <w:rsid w:val="00953EDE"/>
    <w:rsid w:val="00983BC1"/>
    <w:rsid w:val="00985B58"/>
    <w:rsid w:val="00990DE2"/>
    <w:rsid w:val="00996B63"/>
    <w:rsid w:val="009A3AA0"/>
    <w:rsid w:val="009A6517"/>
    <w:rsid w:val="009B0444"/>
    <w:rsid w:val="009C460D"/>
    <w:rsid w:val="009C637E"/>
    <w:rsid w:val="009C7EB1"/>
    <w:rsid w:val="009D4603"/>
    <w:rsid w:val="009D4987"/>
    <w:rsid w:val="009E37EF"/>
    <w:rsid w:val="009E6B89"/>
    <w:rsid w:val="009F0B2F"/>
    <w:rsid w:val="009F7058"/>
    <w:rsid w:val="009F787C"/>
    <w:rsid w:val="00A1063D"/>
    <w:rsid w:val="00A10E1D"/>
    <w:rsid w:val="00A172D7"/>
    <w:rsid w:val="00A25DB4"/>
    <w:rsid w:val="00A27258"/>
    <w:rsid w:val="00A444E7"/>
    <w:rsid w:val="00A527F8"/>
    <w:rsid w:val="00A53B56"/>
    <w:rsid w:val="00A6718A"/>
    <w:rsid w:val="00A723DA"/>
    <w:rsid w:val="00A74880"/>
    <w:rsid w:val="00A76DD7"/>
    <w:rsid w:val="00A8713C"/>
    <w:rsid w:val="00A87728"/>
    <w:rsid w:val="00AB507C"/>
    <w:rsid w:val="00AC2F75"/>
    <w:rsid w:val="00AD5CBE"/>
    <w:rsid w:val="00AF6D14"/>
    <w:rsid w:val="00AF7199"/>
    <w:rsid w:val="00B11D25"/>
    <w:rsid w:val="00B16025"/>
    <w:rsid w:val="00B16FE2"/>
    <w:rsid w:val="00B22AE3"/>
    <w:rsid w:val="00B24813"/>
    <w:rsid w:val="00B336D2"/>
    <w:rsid w:val="00B3467D"/>
    <w:rsid w:val="00B411F7"/>
    <w:rsid w:val="00B4317C"/>
    <w:rsid w:val="00B55864"/>
    <w:rsid w:val="00B60696"/>
    <w:rsid w:val="00B71829"/>
    <w:rsid w:val="00B7331B"/>
    <w:rsid w:val="00B95A18"/>
    <w:rsid w:val="00BA5F42"/>
    <w:rsid w:val="00BB5039"/>
    <w:rsid w:val="00BC68EC"/>
    <w:rsid w:val="00BC6B59"/>
    <w:rsid w:val="00BD6B40"/>
    <w:rsid w:val="00C102E5"/>
    <w:rsid w:val="00C138BB"/>
    <w:rsid w:val="00C21D00"/>
    <w:rsid w:val="00C27F23"/>
    <w:rsid w:val="00C4460E"/>
    <w:rsid w:val="00C45113"/>
    <w:rsid w:val="00C5144D"/>
    <w:rsid w:val="00C5460F"/>
    <w:rsid w:val="00C63A18"/>
    <w:rsid w:val="00C63FA0"/>
    <w:rsid w:val="00C703EA"/>
    <w:rsid w:val="00C70927"/>
    <w:rsid w:val="00C72398"/>
    <w:rsid w:val="00C77F42"/>
    <w:rsid w:val="00C842CA"/>
    <w:rsid w:val="00C86DB1"/>
    <w:rsid w:val="00CA2E76"/>
    <w:rsid w:val="00CB4039"/>
    <w:rsid w:val="00CC1D4E"/>
    <w:rsid w:val="00CD0D0B"/>
    <w:rsid w:val="00CD658F"/>
    <w:rsid w:val="00CE2792"/>
    <w:rsid w:val="00CE65F0"/>
    <w:rsid w:val="00CF1ED5"/>
    <w:rsid w:val="00CF4101"/>
    <w:rsid w:val="00D15E2B"/>
    <w:rsid w:val="00D1704B"/>
    <w:rsid w:val="00D2199B"/>
    <w:rsid w:val="00D32A34"/>
    <w:rsid w:val="00D4408F"/>
    <w:rsid w:val="00D67934"/>
    <w:rsid w:val="00D72F58"/>
    <w:rsid w:val="00D74662"/>
    <w:rsid w:val="00D8405E"/>
    <w:rsid w:val="00DA09E5"/>
    <w:rsid w:val="00DB525E"/>
    <w:rsid w:val="00DC2DBF"/>
    <w:rsid w:val="00DC3F5B"/>
    <w:rsid w:val="00DC7F06"/>
    <w:rsid w:val="00DD0880"/>
    <w:rsid w:val="00DD4FD8"/>
    <w:rsid w:val="00E21695"/>
    <w:rsid w:val="00E244FA"/>
    <w:rsid w:val="00E44F0E"/>
    <w:rsid w:val="00E507C3"/>
    <w:rsid w:val="00E53D73"/>
    <w:rsid w:val="00E679F8"/>
    <w:rsid w:val="00E7052A"/>
    <w:rsid w:val="00E93A81"/>
    <w:rsid w:val="00EA465B"/>
    <w:rsid w:val="00ED0F5F"/>
    <w:rsid w:val="00EF580B"/>
    <w:rsid w:val="00EF655F"/>
    <w:rsid w:val="00EF71A7"/>
    <w:rsid w:val="00F327C4"/>
    <w:rsid w:val="00F446DB"/>
    <w:rsid w:val="00F62618"/>
    <w:rsid w:val="00F7435A"/>
    <w:rsid w:val="00F85802"/>
    <w:rsid w:val="00F967F0"/>
    <w:rsid w:val="00FA530E"/>
    <w:rsid w:val="00FA5458"/>
    <w:rsid w:val="00FC18AE"/>
    <w:rsid w:val="00FC4F01"/>
    <w:rsid w:val="00FC662F"/>
    <w:rsid w:val="00FD3C3E"/>
    <w:rsid w:val="00FD45D8"/>
    <w:rsid w:val="0FF6BF82"/>
    <w:rsid w:val="2A6E0E0A"/>
    <w:rsid w:val="2F00E65F"/>
    <w:rsid w:val="2F11F27E"/>
    <w:rsid w:val="4DC275CE"/>
    <w:rsid w:val="6766DB1E"/>
    <w:rsid w:val="6A1A286B"/>
    <w:rsid w:val="7E2362E8"/>
    <w:rsid w:val="7F29ED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3C74A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F58"/>
    <w:pPr>
      <w:spacing w:line="360" w:lineRule="auto"/>
      <w:jc w:val="both"/>
    </w:pPr>
    <w:rPr>
      <w:rFonts w:ascii="Arial" w:hAnsi="Arial" w:cs="Arial"/>
      <w:color w:val="000000" w:themeColor="text1"/>
      <w:szCs w:val="20"/>
    </w:rPr>
  </w:style>
  <w:style w:type="paragraph" w:styleId="Heading1">
    <w:name w:val="heading 1"/>
    <w:basedOn w:val="Normal"/>
    <w:next w:val="Normal"/>
    <w:link w:val="Heading1Char"/>
    <w:uiPriority w:val="9"/>
    <w:qFormat/>
    <w:rsid w:val="007514DC"/>
    <w:pPr>
      <w:keepNext/>
      <w:keepLines/>
      <w:pBdr>
        <w:top w:val="single" w:sz="4" w:space="1" w:color="auto"/>
        <w:left w:val="single" w:sz="4" w:space="4" w:color="auto"/>
        <w:bottom w:val="single" w:sz="4" w:space="1" w:color="auto"/>
        <w:right w:val="single" w:sz="4" w:space="4" w:color="auto"/>
      </w:pBdr>
      <w:shd w:val="clear" w:color="auto" w:fill="8EAADB" w:themeFill="accent5" w:themeFillTint="99"/>
      <w:spacing w:before="360" w:after="80" w:line="276" w:lineRule="auto"/>
      <w:jc w:val="center"/>
      <w:outlineLvl w:val="0"/>
    </w:pPr>
    <w:rPr>
      <w:rFonts w:eastAsia="Times New Roman"/>
      <w:b/>
      <w:bCs/>
      <w:color w:val="auto"/>
      <w:sz w:val="32"/>
      <w:szCs w:val="32"/>
    </w:rPr>
  </w:style>
  <w:style w:type="paragraph" w:styleId="Heading2">
    <w:name w:val="heading 2"/>
    <w:basedOn w:val="Normal"/>
    <w:next w:val="Normal"/>
    <w:link w:val="Heading2Char"/>
    <w:uiPriority w:val="9"/>
    <w:unhideWhenUsed/>
    <w:qFormat/>
    <w:rsid w:val="00504F58"/>
    <w:pPr>
      <w:keepNext/>
      <w:keepLines/>
      <w:spacing w:before="160" w:after="80"/>
      <w:outlineLvl w:val="1"/>
    </w:pPr>
    <w:rPr>
      <w:rFonts w:eastAsia="Times New Roman"/>
      <w:b/>
      <w:bCs/>
      <w:sz w:val="28"/>
      <w:szCs w:val="28"/>
    </w:rPr>
  </w:style>
  <w:style w:type="paragraph" w:styleId="Heading3">
    <w:name w:val="heading 3"/>
    <w:basedOn w:val="Normal"/>
    <w:next w:val="Normal"/>
    <w:link w:val="Heading3Char"/>
    <w:uiPriority w:val="9"/>
    <w:unhideWhenUsed/>
    <w:qFormat/>
    <w:rsid w:val="00504F58"/>
    <w:pPr>
      <w:keepNext/>
      <w:keepLines/>
      <w:spacing w:before="40" w:after="0"/>
      <w:outlineLvl w:val="2"/>
    </w:pPr>
    <w:rPr>
      <w:rFonts w:eastAsiaTheme="majorEastAsia"/>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603"/>
    <w:rPr>
      <w:color w:val="0563C1" w:themeColor="hyperlink"/>
      <w:u w:val="single"/>
    </w:rPr>
  </w:style>
  <w:style w:type="paragraph" w:styleId="TOC1">
    <w:name w:val="toc 1"/>
    <w:basedOn w:val="Normal"/>
    <w:next w:val="Normal"/>
    <w:uiPriority w:val="39"/>
    <w:unhideWhenUsed/>
    <w:rsid w:val="7F29ED4A"/>
    <w:pPr>
      <w:spacing w:after="100"/>
    </w:pPr>
  </w:style>
  <w:style w:type="paragraph" w:styleId="TOC2">
    <w:name w:val="toc 2"/>
    <w:basedOn w:val="Normal"/>
    <w:next w:val="Normal"/>
    <w:uiPriority w:val="39"/>
    <w:unhideWhenUsed/>
    <w:rsid w:val="7F29ED4A"/>
    <w:pPr>
      <w:spacing w:after="100"/>
      <w:ind w:left="220"/>
    </w:pPr>
  </w:style>
  <w:style w:type="table" w:styleId="TableGrid">
    <w:name w:val="Table Grid"/>
    <w:basedOn w:val="TableNormal"/>
    <w:uiPriority w:val="59"/>
    <w:rsid w:val="00572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149F"/>
    <w:pPr>
      <w:ind w:left="720"/>
      <w:contextualSpacing/>
    </w:pPr>
  </w:style>
  <w:style w:type="paragraph" w:styleId="TOCHeading">
    <w:name w:val="TOC Heading"/>
    <w:basedOn w:val="Heading1"/>
    <w:next w:val="Normal"/>
    <w:uiPriority w:val="39"/>
    <w:unhideWhenUsed/>
    <w:qFormat/>
    <w:rsid w:val="00AF7199"/>
    <w:pPr>
      <w:pBdr>
        <w:top w:val="none" w:sz="0" w:space="0" w:color="auto"/>
        <w:left w:val="none" w:sz="0" w:space="0" w:color="auto"/>
        <w:bottom w:val="none" w:sz="0" w:space="0" w:color="auto"/>
        <w:right w:val="none" w:sz="0" w:space="0" w:color="auto"/>
      </w:pBdr>
      <w:shd w:val="clear" w:color="auto" w:fill="auto"/>
      <w:spacing w:before="240" w:after="0" w:line="259" w:lineRule="auto"/>
      <w:jc w:val="left"/>
      <w:outlineLvl w:val="9"/>
    </w:pPr>
    <w:rPr>
      <w:rFonts w:asciiTheme="majorHAnsi" w:eastAsiaTheme="majorEastAsia" w:hAnsiTheme="majorHAnsi" w:cstheme="majorBidi"/>
      <w:b w:val="0"/>
      <w:bCs w:val="0"/>
      <w:color w:val="2E74B5" w:themeColor="accent1" w:themeShade="BF"/>
    </w:rPr>
  </w:style>
  <w:style w:type="character" w:customStyle="1" w:styleId="Heading3Char">
    <w:name w:val="Heading 3 Char"/>
    <w:basedOn w:val="DefaultParagraphFont"/>
    <w:link w:val="Heading3"/>
    <w:uiPriority w:val="9"/>
    <w:rsid w:val="00504F58"/>
    <w:rPr>
      <w:rFonts w:ascii="Arial" w:eastAsiaTheme="majorEastAsia" w:hAnsi="Arial" w:cs="Arial"/>
      <w:b/>
      <w:bCs/>
      <w:color w:val="000000" w:themeColor="text1"/>
      <w:szCs w:val="24"/>
    </w:rPr>
  </w:style>
  <w:style w:type="character" w:customStyle="1" w:styleId="Heading1Char">
    <w:name w:val="Heading 1 Char"/>
    <w:basedOn w:val="DefaultParagraphFont"/>
    <w:link w:val="Heading1"/>
    <w:uiPriority w:val="9"/>
    <w:rsid w:val="007514DC"/>
    <w:rPr>
      <w:rFonts w:ascii="Arial" w:eastAsia="Times New Roman" w:hAnsi="Arial" w:cs="Arial"/>
      <w:b/>
      <w:bCs/>
      <w:sz w:val="32"/>
      <w:szCs w:val="32"/>
      <w:shd w:val="clear" w:color="auto" w:fill="8EAADB" w:themeFill="accent5" w:themeFillTint="99"/>
    </w:rPr>
  </w:style>
  <w:style w:type="character" w:customStyle="1" w:styleId="Heading2Char">
    <w:name w:val="Heading 2 Char"/>
    <w:basedOn w:val="DefaultParagraphFont"/>
    <w:link w:val="Heading2"/>
    <w:uiPriority w:val="9"/>
    <w:rsid w:val="00504F58"/>
    <w:rPr>
      <w:rFonts w:ascii="Arial" w:eastAsia="Times New Roman" w:hAnsi="Arial" w:cs="Arial"/>
      <w:b/>
      <w:bCs/>
      <w:color w:val="000000" w:themeColor="text1"/>
      <w:sz w:val="28"/>
      <w:szCs w:val="28"/>
    </w:rPr>
  </w:style>
  <w:style w:type="paragraph" w:customStyle="1" w:styleId="TableCaption">
    <w:name w:val="Table Caption"/>
    <w:rsid w:val="00C72398"/>
    <w:pPr>
      <w:keepNext/>
      <w:spacing w:before="160" w:after="80" w:line="276" w:lineRule="auto"/>
    </w:pPr>
    <w:rPr>
      <w:rFonts w:ascii="Arial" w:eastAsia="Arial" w:hAnsi="Arial"/>
      <w:b/>
      <w:sz w:val="20"/>
    </w:rPr>
  </w:style>
  <w:style w:type="paragraph" w:customStyle="1" w:styleId="TableNote">
    <w:name w:val="Table Note"/>
    <w:rsid w:val="00C72398"/>
    <w:pPr>
      <w:spacing w:before="40" w:after="120" w:line="240" w:lineRule="auto"/>
    </w:pPr>
    <w:rPr>
      <w:rFonts w:ascii="Arial" w:eastAsia="Arial" w:hAnsi="Arial"/>
      <w:i/>
      <w:sz w:val="18"/>
    </w:rPr>
  </w:style>
  <w:style w:type="paragraph" w:styleId="TOC3">
    <w:name w:val="toc 3"/>
    <w:basedOn w:val="Normal"/>
    <w:next w:val="Normal"/>
    <w:autoRedefine/>
    <w:uiPriority w:val="39"/>
    <w:unhideWhenUsed/>
    <w:rsid w:val="00AB507C"/>
    <w:pPr>
      <w:spacing w:after="100"/>
      <w:ind w:left="480"/>
    </w:pPr>
  </w:style>
  <w:style w:type="table" w:styleId="TableGridLight">
    <w:name w:val="Grid Table Light"/>
    <w:basedOn w:val="TableNormal"/>
    <w:uiPriority w:val="40"/>
    <w:rsid w:val="009B044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571F51"/>
    <w:pPr>
      <w:tabs>
        <w:tab w:val="center" w:pos="4680"/>
        <w:tab w:val="right" w:pos="9360"/>
      </w:tabs>
      <w:spacing w:after="0" w:line="240" w:lineRule="auto"/>
    </w:pPr>
    <w:rPr>
      <w:rFonts w:ascii="Times New Roman" w:eastAsia="Times New Roman" w:hAnsi="Times New Roman" w:cstheme="minorBidi"/>
      <w:color w:val="auto"/>
      <w:sz w:val="24"/>
      <w:szCs w:val="22"/>
    </w:rPr>
  </w:style>
  <w:style w:type="character" w:customStyle="1" w:styleId="FooterChar">
    <w:name w:val="Footer Char"/>
    <w:basedOn w:val="DefaultParagraphFont"/>
    <w:link w:val="Footer"/>
    <w:uiPriority w:val="99"/>
    <w:rsid w:val="00571F51"/>
    <w:rPr>
      <w:rFonts w:ascii="Times New Roman" w:eastAsia="Times New Roman" w:hAnsi="Times New Roman"/>
      <w:sz w:val="24"/>
    </w:rPr>
  </w:style>
  <w:style w:type="paragraph" w:styleId="Header">
    <w:name w:val="header"/>
    <w:basedOn w:val="Normal"/>
    <w:link w:val="HeaderChar"/>
    <w:uiPriority w:val="99"/>
    <w:unhideWhenUsed/>
    <w:rsid w:val="00657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7FA4"/>
    <w:rPr>
      <w:rFonts w:ascii="Arial" w:hAnsi="Arial" w:cs="Arial"/>
      <w:color w:val="000000" w:themeColor="text1"/>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6792">
      <w:bodyDiv w:val="1"/>
      <w:marLeft w:val="0"/>
      <w:marRight w:val="0"/>
      <w:marTop w:val="0"/>
      <w:marBottom w:val="0"/>
      <w:divBdr>
        <w:top w:val="none" w:sz="0" w:space="0" w:color="auto"/>
        <w:left w:val="none" w:sz="0" w:space="0" w:color="auto"/>
        <w:bottom w:val="none" w:sz="0" w:space="0" w:color="auto"/>
        <w:right w:val="none" w:sz="0" w:space="0" w:color="auto"/>
      </w:divBdr>
    </w:div>
    <w:div w:id="142701055">
      <w:bodyDiv w:val="1"/>
      <w:marLeft w:val="0"/>
      <w:marRight w:val="0"/>
      <w:marTop w:val="0"/>
      <w:marBottom w:val="0"/>
      <w:divBdr>
        <w:top w:val="none" w:sz="0" w:space="0" w:color="auto"/>
        <w:left w:val="none" w:sz="0" w:space="0" w:color="auto"/>
        <w:bottom w:val="none" w:sz="0" w:space="0" w:color="auto"/>
        <w:right w:val="none" w:sz="0" w:space="0" w:color="auto"/>
      </w:divBdr>
    </w:div>
    <w:div w:id="207227759">
      <w:bodyDiv w:val="1"/>
      <w:marLeft w:val="0"/>
      <w:marRight w:val="0"/>
      <w:marTop w:val="0"/>
      <w:marBottom w:val="0"/>
      <w:divBdr>
        <w:top w:val="none" w:sz="0" w:space="0" w:color="auto"/>
        <w:left w:val="none" w:sz="0" w:space="0" w:color="auto"/>
        <w:bottom w:val="none" w:sz="0" w:space="0" w:color="auto"/>
        <w:right w:val="none" w:sz="0" w:space="0" w:color="auto"/>
      </w:divBdr>
    </w:div>
    <w:div w:id="331110631">
      <w:bodyDiv w:val="1"/>
      <w:marLeft w:val="0"/>
      <w:marRight w:val="0"/>
      <w:marTop w:val="0"/>
      <w:marBottom w:val="0"/>
      <w:divBdr>
        <w:top w:val="none" w:sz="0" w:space="0" w:color="auto"/>
        <w:left w:val="none" w:sz="0" w:space="0" w:color="auto"/>
        <w:bottom w:val="none" w:sz="0" w:space="0" w:color="auto"/>
        <w:right w:val="none" w:sz="0" w:space="0" w:color="auto"/>
      </w:divBdr>
    </w:div>
    <w:div w:id="333921571">
      <w:bodyDiv w:val="1"/>
      <w:marLeft w:val="0"/>
      <w:marRight w:val="0"/>
      <w:marTop w:val="0"/>
      <w:marBottom w:val="0"/>
      <w:divBdr>
        <w:top w:val="none" w:sz="0" w:space="0" w:color="auto"/>
        <w:left w:val="none" w:sz="0" w:space="0" w:color="auto"/>
        <w:bottom w:val="none" w:sz="0" w:space="0" w:color="auto"/>
        <w:right w:val="none" w:sz="0" w:space="0" w:color="auto"/>
      </w:divBdr>
    </w:div>
    <w:div w:id="427122066">
      <w:bodyDiv w:val="1"/>
      <w:marLeft w:val="0"/>
      <w:marRight w:val="0"/>
      <w:marTop w:val="0"/>
      <w:marBottom w:val="0"/>
      <w:divBdr>
        <w:top w:val="none" w:sz="0" w:space="0" w:color="auto"/>
        <w:left w:val="none" w:sz="0" w:space="0" w:color="auto"/>
        <w:bottom w:val="none" w:sz="0" w:space="0" w:color="auto"/>
        <w:right w:val="none" w:sz="0" w:space="0" w:color="auto"/>
      </w:divBdr>
    </w:div>
    <w:div w:id="511771092">
      <w:bodyDiv w:val="1"/>
      <w:marLeft w:val="0"/>
      <w:marRight w:val="0"/>
      <w:marTop w:val="0"/>
      <w:marBottom w:val="0"/>
      <w:divBdr>
        <w:top w:val="none" w:sz="0" w:space="0" w:color="auto"/>
        <w:left w:val="none" w:sz="0" w:space="0" w:color="auto"/>
        <w:bottom w:val="none" w:sz="0" w:space="0" w:color="auto"/>
        <w:right w:val="none" w:sz="0" w:space="0" w:color="auto"/>
      </w:divBdr>
    </w:div>
    <w:div w:id="550729383">
      <w:bodyDiv w:val="1"/>
      <w:marLeft w:val="0"/>
      <w:marRight w:val="0"/>
      <w:marTop w:val="0"/>
      <w:marBottom w:val="0"/>
      <w:divBdr>
        <w:top w:val="none" w:sz="0" w:space="0" w:color="auto"/>
        <w:left w:val="none" w:sz="0" w:space="0" w:color="auto"/>
        <w:bottom w:val="none" w:sz="0" w:space="0" w:color="auto"/>
        <w:right w:val="none" w:sz="0" w:space="0" w:color="auto"/>
      </w:divBdr>
    </w:div>
    <w:div w:id="631523625">
      <w:bodyDiv w:val="1"/>
      <w:marLeft w:val="0"/>
      <w:marRight w:val="0"/>
      <w:marTop w:val="0"/>
      <w:marBottom w:val="0"/>
      <w:divBdr>
        <w:top w:val="none" w:sz="0" w:space="0" w:color="auto"/>
        <w:left w:val="none" w:sz="0" w:space="0" w:color="auto"/>
        <w:bottom w:val="none" w:sz="0" w:space="0" w:color="auto"/>
        <w:right w:val="none" w:sz="0" w:space="0" w:color="auto"/>
      </w:divBdr>
    </w:div>
    <w:div w:id="757100039">
      <w:bodyDiv w:val="1"/>
      <w:marLeft w:val="0"/>
      <w:marRight w:val="0"/>
      <w:marTop w:val="0"/>
      <w:marBottom w:val="0"/>
      <w:divBdr>
        <w:top w:val="none" w:sz="0" w:space="0" w:color="auto"/>
        <w:left w:val="none" w:sz="0" w:space="0" w:color="auto"/>
        <w:bottom w:val="none" w:sz="0" w:space="0" w:color="auto"/>
        <w:right w:val="none" w:sz="0" w:space="0" w:color="auto"/>
      </w:divBdr>
    </w:div>
    <w:div w:id="830750542">
      <w:bodyDiv w:val="1"/>
      <w:marLeft w:val="0"/>
      <w:marRight w:val="0"/>
      <w:marTop w:val="0"/>
      <w:marBottom w:val="0"/>
      <w:divBdr>
        <w:top w:val="none" w:sz="0" w:space="0" w:color="auto"/>
        <w:left w:val="none" w:sz="0" w:space="0" w:color="auto"/>
        <w:bottom w:val="none" w:sz="0" w:space="0" w:color="auto"/>
        <w:right w:val="none" w:sz="0" w:space="0" w:color="auto"/>
      </w:divBdr>
    </w:div>
    <w:div w:id="862092587">
      <w:bodyDiv w:val="1"/>
      <w:marLeft w:val="0"/>
      <w:marRight w:val="0"/>
      <w:marTop w:val="0"/>
      <w:marBottom w:val="0"/>
      <w:divBdr>
        <w:top w:val="none" w:sz="0" w:space="0" w:color="auto"/>
        <w:left w:val="none" w:sz="0" w:space="0" w:color="auto"/>
        <w:bottom w:val="none" w:sz="0" w:space="0" w:color="auto"/>
        <w:right w:val="none" w:sz="0" w:space="0" w:color="auto"/>
      </w:divBdr>
    </w:div>
    <w:div w:id="896550489">
      <w:bodyDiv w:val="1"/>
      <w:marLeft w:val="0"/>
      <w:marRight w:val="0"/>
      <w:marTop w:val="0"/>
      <w:marBottom w:val="0"/>
      <w:divBdr>
        <w:top w:val="none" w:sz="0" w:space="0" w:color="auto"/>
        <w:left w:val="none" w:sz="0" w:space="0" w:color="auto"/>
        <w:bottom w:val="none" w:sz="0" w:space="0" w:color="auto"/>
        <w:right w:val="none" w:sz="0" w:space="0" w:color="auto"/>
      </w:divBdr>
    </w:div>
    <w:div w:id="983044838">
      <w:bodyDiv w:val="1"/>
      <w:marLeft w:val="0"/>
      <w:marRight w:val="0"/>
      <w:marTop w:val="0"/>
      <w:marBottom w:val="0"/>
      <w:divBdr>
        <w:top w:val="none" w:sz="0" w:space="0" w:color="auto"/>
        <w:left w:val="none" w:sz="0" w:space="0" w:color="auto"/>
        <w:bottom w:val="none" w:sz="0" w:space="0" w:color="auto"/>
        <w:right w:val="none" w:sz="0" w:space="0" w:color="auto"/>
      </w:divBdr>
    </w:div>
    <w:div w:id="1018657725">
      <w:bodyDiv w:val="1"/>
      <w:marLeft w:val="0"/>
      <w:marRight w:val="0"/>
      <w:marTop w:val="0"/>
      <w:marBottom w:val="0"/>
      <w:divBdr>
        <w:top w:val="none" w:sz="0" w:space="0" w:color="auto"/>
        <w:left w:val="none" w:sz="0" w:space="0" w:color="auto"/>
        <w:bottom w:val="none" w:sz="0" w:space="0" w:color="auto"/>
        <w:right w:val="none" w:sz="0" w:space="0" w:color="auto"/>
      </w:divBdr>
    </w:div>
    <w:div w:id="1046218200">
      <w:bodyDiv w:val="1"/>
      <w:marLeft w:val="0"/>
      <w:marRight w:val="0"/>
      <w:marTop w:val="0"/>
      <w:marBottom w:val="0"/>
      <w:divBdr>
        <w:top w:val="none" w:sz="0" w:space="0" w:color="auto"/>
        <w:left w:val="none" w:sz="0" w:space="0" w:color="auto"/>
        <w:bottom w:val="none" w:sz="0" w:space="0" w:color="auto"/>
        <w:right w:val="none" w:sz="0" w:space="0" w:color="auto"/>
      </w:divBdr>
    </w:div>
    <w:div w:id="1048262258">
      <w:bodyDiv w:val="1"/>
      <w:marLeft w:val="0"/>
      <w:marRight w:val="0"/>
      <w:marTop w:val="0"/>
      <w:marBottom w:val="0"/>
      <w:divBdr>
        <w:top w:val="none" w:sz="0" w:space="0" w:color="auto"/>
        <w:left w:val="none" w:sz="0" w:space="0" w:color="auto"/>
        <w:bottom w:val="none" w:sz="0" w:space="0" w:color="auto"/>
        <w:right w:val="none" w:sz="0" w:space="0" w:color="auto"/>
      </w:divBdr>
    </w:div>
    <w:div w:id="1084835434">
      <w:bodyDiv w:val="1"/>
      <w:marLeft w:val="0"/>
      <w:marRight w:val="0"/>
      <w:marTop w:val="0"/>
      <w:marBottom w:val="0"/>
      <w:divBdr>
        <w:top w:val="none" w:sz="0" w:space="0" w:color="auto"/>
        <w:left w:val="none" w:sz="0" w:space="0" w:color="auto"/>
        <w:bottom w:val="none" w:sz="0" w:space="0" w:color="auto"/>
        <w:right w:val="none" w:sz="0" w:space="0" w:color="auto"/>
      </w:divBdr>
    </w:div>
    <w:div w:id="1101341476">
      <w:bodyDiv w:val="1"/>
      <w:marLeft w:val="0"/>
      <w:marRight w:val="0"/>
      <w:marTop w:val="0"/>
      <w:marBottom w:val="0"/>
      <w:divBdr>
        <w:top w:val="none" w:sz="0" w:space="0" w:color="auto"/>
        <w:left w:val="none" w:sz="0" w:space="0" w:color="auto"/>
        <w:bottom w:val="none" w:sz="0" w:space="0" w:color="auto"/>
        <w:right w:val="none" w:sz="0" w:space="0" w:color="auto"/>
      </w:divBdr>
      <w:divsChild>
        <w:div w:id="606691843">
          <w:marLeft w:val="0"/>
          <w:marRight w:val="0"/>
          <w:marTop w:val="0"/>
          <w:marBottom w:val="0"/>
          <w:divBdr>
            <w:top w:val="none" w:sz="0" w:space="0" w:color="auto"/>
            <w:left w:val="none" w:sz="0" w:space="0" w:color="auto"/>
            <w:bottom w:val="none" w:sz="0" w:space="0" w:color="auto"/>
            <w:right w:val="none" w:sz="0" w:space="0" w:color="auto"/>
          </w:divBdr>
          <w:divsChild>
            <w:div w:id="206668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78551">
      <w:bodyDiv w:val="1"/>
      <w:marLeft w:val="0"/>
      <w:marRight w:val="0"/>
      <w:marTop w:val="0"/>
      <w:marBottom w:val="0"/>
      <w:divBdr>
        <w:top w:val="none" w:sz="0" w:space="0" w:color="auto"/>
        <w:left w:val="none" w:sz="0" w:space="0" w:color="auto"/>
        <w:bottom w:val="none" w:sz="0" w:space="0" w:color="auto"/>
        <w:right w:val="none" w:sz="0" w:space="0" w:color="auto"/>
      </w:divBdr>
    </w:div>
    <w:div w:id="1226648190">
      <w:bodyDiv w:val="1"/>
      <w:marLeft w:val="0"/>
      <w:marRight w:val="0"/>
      <w:marTop w:val="0"/>
      <w:marBottom w:val="0"/>
      <w:divBdr>
        <w:top w:val="none" w:sz="0" w:space="0" w:color="auto"/>
        <w:left w:val="none" w:sz="0" w:space="0" w:color="auto"/>
        <w:bottom w:val="none" w:sz="0" w:space="0" w:color="auto"/>
        <w:right w:val="none" w:sz="0" w:space="0" w:color="auto"/>
      </w:divBdr>
    </w:div>
    <w:div w:id="1228612801">
      <w:bodyDiv w:val="1"/>
      <w:marLeft w:val="0"/>
      <w:marRight w:val="0"/>
      <w:marTop w:val="0"/>
      <w:marBottom w:val="0"/>
      <w:divBdr>
        <w:top w:val="none" w:sz="0" w:space="0" w:color="auto"/>
        <w:left w:val="none" w:sz="0" w:space="0" w:color="auto"/>
        <w:bottom w:val="none" w:sz="0" w:space="0" w:color="auto"/>
        <w:right w:val="none" w:sz="0" w:space="0" w:color="auto"/>
      </w:divBdr>
    </w:div>
    <w:div w:id="1233002989">
      <w:bodyDiv w:val="1"/>
      <w:marLeft w:val="0"/>
      <w:marRight w:val="0"/>
      <w:marTop w:val="0"/>
      <w:marBottom w:val="0"/>
      <w:divBdr>
        <w:top w:val="none" w:sz="0" w:space="0" w:color="auto"/>
        <w:left w:val="none" w:sz="0" w:space="0" w:color="auto"/>
        <w:bottom w:val="none" w:sz="0" w:space="0" w:color="auto"/>
        <w:right w:val="none" w:sz="0" w:space="0" w:color="auto"/>
      </w:divBdr>
    </w:div>
    <w:div w:id="1244680996">
      <w:bodyDiv w:val="1"/>
      <w:marLeft w:val="0"/>
      <w:marRight w:val="0"/>
      <w:marTop w:val="0"/>
      <w:marBottom w:val="0"/>
      <w:divBdr>
        <w:top w:val="none" w:sz="0" w:space="0" w:color="auto"/>
        <w:left w:val="none" w:sz="0" w:space="0" w:color="auto"/>
        <w:bottom w:val="none" w:sz="0" w:space="0" w:color="auto"/>
        <w:right w:val="none" w:sz="0" w:space="0" w:color="auto"/>
      </w:divBdr>
    </w:div>
    <w:div w:id="1263994078">
      <w:bodyDiv w:val="1"/>
      <w:marLeft w:val="0"/>
      <w:marRight w:val="0"/>
      <w:marTop w:val="0"/>
      <w:marBottom w:val="0"/>
      <w:divBdr>
        <w:top w:val="none" w:sz="0" w:space="0" w:color="auto"/>
        <w:left w:val="none" w:sz="0" w:space="0" w:color="auto"/>
        <w:bottom w:val="none" w:sz="0" w:space="0" w:color="auto"/>
        <w:right w:val="none" w:sz="0" w:space="0" w:color="auto"/>
      </w:divBdr>
    </w:div>
    <w:div w:id="1298949318">
      <w:bodyDiv w:val="1"/>
      <w:marLeft w:val="0"/>
      <w:marRight w:val="0"/>
      <w:marTop w:val="0"/>
      <w:marBottom w:val="0"/>
      <w:divBdr>
        <w:top w:val="none" w:sz="0" w:space="0" w:color="auto"/>
        <w:left w:val="none" w:sz="0" w:space="0" w:color="auto"/>
        <w:bottom w:val="none" w:sz="0" w:space="0" w:color="auto"/>
        <w:right w:val="none" w:sz="0" w:space="0" w:color="auto"/>
      </w:divBdr>
      <w:divsChild>
        <w:div w:id="1138915725">
          <w:marLeft w:val="0"/>
          <w:marRight w:val="0"/>
          <w:marTop w:val="0"/>
          <w:marBottom w:val="0"/>
          <w:divBdr>
            <w:top w:val="none" w:sz="0" w:space="0" w:color="auto"/>
            <w:left w:val="none" w:sz="0" w:space="0" w:color="auto"/>
            <w:bottom w:val="none" w:sz="0" w:space="0" w:color="auto"/>
            <w:right w:val="none" w:sz="0" w:space="0" w:color="auto"/>
          </w:divBdr>
        </w:div>
      </w:divsChild>
    </w:div>
    <w:div w:id="1315912947">
      <w:bodyDiv w:val="1"/>
      <w:marLeft w:val="0"/>
      <w:marRight w:val="0"/>
      <w:marTop w:val="0"/>
      <w:marBottom w:val="0"/>
      <w:divBdr>
        <w:top w:val="none" w:sz="0" w:space="0" w:color="auto"/>
        <w:left w:val="none" w:sz="0" w:space="0" w:color="auto"/>
        <w:bottom w:val="none" w:sz="0" w:space="0" w:color="auto"/>
        <w:right w:val="none" w:sz="0" w:space="0" w:color="auto"/>
      </w:divBdr>
      <w:divsChild>
        <w:div w:id="1742099739">
          <w:marLeft w:val="0"/>
          <w:marRight w:val="0"/>
          <w:marTop w:val="0"/>
          <w:marBottom w:val="0"/>
          <w:divBdr>
            <w:top w:val="none" w:sz="0" w:space="0" w:color="auto"/>
            <w:left w:val="none" w:sz="0" w:space="0" w:color="auto"/>
            <w:bottom w:val="none" w:sz="0" w:space="0" w:color="auto"/>
            <w:right w:val="none" w:sz="0" w:space="0" w:color="auto"/>
          </w:divBdr>
          <w:divsChild>
            <w:div w:id="506673379">
              <w:marLeft w:val="0"/>
              <w:marRight w:val="0"/>
              <w:marTop w:val="0"/>
              <w:marBottom w:val="0"/>
              <w:divBdr>
                <w:top w:val="none" w:sz="0" w:space="0" w:color="auto"/>
                <w:left w:val="none" w:sz="0" w:space="0" w:color="auto"/>
                <w:bottom w:val="none" w:sz="0" w:space="0" w:color="auto"/>
                <w:right w:val="none" w:sz="0" w:space="0" w:color="auto"/>
              </w:divBdr>
              <w:divsChild>
                <w:div w:id="1049110778">
                  <w:marLeft w:val="0"/>
                  <w:marRight w:val="0"/>
                  <w:marTop w:val="0"/>
                  <w:marBottom w:val="0"/>
                  <w:divBdr>
                    <w:top w:val="none" w:sz="0" w:space="0" w:color="auto"/>
                    <w:left w:val="none" w:sz="0" w:space="0" w:color="auto"/>
                    <w:bottom w:val="none" w:sz="0" w:space="0" w:color="auto"/>
                    <w:right w:val="none" w:sz="0" w:space="0" w:color="auto"/>
                  </w:divBdr>
                  <w:divsChild>
                    <w:div w:id="1250188876">
                      <w:marLeft w:val="0"/>
                      <w:marRight w:val="0"/>
                      <w:marTop w:val="0"/>
                      <w:marBottom w:val="0"/>
                      <w:divBdr>
                        <w:top w:val="none" w:sz="0" w:space="0" w:color="auto"/>
                        <w:left w:val="none" w:sz="0" w:space="0" w:color="auto"/>
                        <w:bottom w:val="none" w:sz="0" w:space="0" w:color="auto"/>
                        <w:right w:val="none" w:sz="0" w:space="0" w:color="auto"/>
                      </w:divBdr>
                      <w:divsChild>
                        <w:div w:id="765076361">
                          <w:marLeft w:val="0"/>
                          <w:marRight w:val="0"/>
                          <w:marTop w:val="0"/>
                          <w:marBottom w:val="0"/>
                          <w:divBdr>
                            <w:top w:val="none" w:sz="0" w:space="0" w:color="auto"/>
                            <w:left w:val="none" w:sz="0" w:space="0" w:color="auto"/>
                            <w:bottom w:val="none" w:sz="0" w:space="0" w:color="auto"/>
                            <w:right w:val="none" w:sz="0" w:space="0" w:color="auto"/>
                          </w:divBdr>
                          <w:divsChild>
                            <w:div w:id="1206527830">
                              <w:marLeft w:val="0"/>
                              <w:marRight w:val="0"/>
                              <w:marTop w:val="0"/>
                              <w:marBottom w:val="0"/>
                              <w:divBdr>
                                <w:top w:val="none" w:sz="0" w:space="0" w:color="auto"/>
                                <w:left w:val="none" w:sz="0" w:space="0" w:color="auto"/>
                                <w:bottom w:val="none" w:sz="0" w:space="0" w:color="auto"/>
                                <w:right w:val="none" w:sz="0" w:space="0" w:color="auto"/>
                              </w:divBdr>
                              <w:divsChild>
                                <w:div w:id="2020426148">
                                  <w:marLeft w:val="0"/>
                                  <w:marRight w:val="0"/>
                                  <w:marTop w:val="0"/>
                                  <w:marBottom w:val="0"/>
                                  <w:divBdr>
                                    <w:top w:val="none" w:sz="0" w:space="0" w:color="auto"/>
                                    <w:left w:val="none" w:sz="0" w:space="0" w:color="auto"/>
                                    <w:bottom w:val="none" w:sz="0" w:space="0" w:color="auto"/>
                                    <w:right w:val="none" w:sz="0" w:space="0" w:color="auto"/>
                                  </w:divBdr>
                                  <w:divsChild>
                                    <w:div w:id="14646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516431">
          <w:marLeft w:val="0"/>
          <w:marRight w:val="0"/>
          <w:marTop w:val="0"/>
          <w:marBottom w:val="0"/>
          <w:divBdr>
            <w:top w:val="none" w:sz="0" w:space="0" w:color="auto"/>
            <w:left w:val="none" w:sz="0" w:space="0" w:color="auto"/>
            <w:bottom w:val="none" w:sz="0" w:space="0" w:color="auto"/>
            <w:right w:val="none" w:sz="0" w:space="0" w:color="auto"/>
          </w:divBdr>
          <w:divsChild>
            <w:div w:id="796408011">
              <w:marLeft w:val="0"/>
              <w:marRight w:val="0"/>
              <w:marTop w:val="0"/>
              <w:marBottom w:val="0"/>
              <w:divBdr>
                <w:top w:val="none" w:sz="0" w:space="0" w:color="auto"/>
                <w:left w:val="none" w:sz="0" w:space="0" w:color="auto"/>
                <w:bottom w:val="none" w:sz="0" w:space="0" w:color="auto"/>
                <w:right w:val="none" w:sz="0" w:space="0" w:color="auto"/>
              </w:divBdr>
              <w:divsChild>
                <w:div w:id="1339381874">
                  <w:marLeft w:val="0"/>
                  <w:marRight w:val="0"/>
                  <w:marTop w:val="0"/>
                  <w:marBottom w:val="0"/>
                  <w:divBdr>
                    <w:top w:val="none" w:sz="0" w:space="0" w:color="auto"/>
                    <w:left w:val="none" w:sz="0" w:space="0" w:color="auto"/>
                    <w:bottom w:val="none" w:sz="0" w:space="0" w:color="auto"/>
                    <w:right w:val="none" w:sz="0" w:space="0" w:color="auto"/>
                  </w:divBdr>
                  <w:divsChild>
                    <w:div w:id="1316035394">
                      <w:marLeft w:val="0"/>
                      <w:marRight w:val="0"/>
                      <w:marTop w:val="0"/>
                      <w:marBottom w:val="0"/>
                      <w:divBdr>
                        <w:top w:val="none" w:sz="0" w:space="0" w:color="auto"/>
                        <w:left w:val="none" w:sz="0" w:space="0" w:color="auto"/>
                        <w:bottom w:val="none" w:sz="0" w:space="0" w:color="auto"/>
                        <w:right w:val="none" w:sz="0" w:space="0" w:color="auto"/>
                      </w:divBdr>
                      <w:divsChild>
                        <w:div w:id="139002762">
                          <w:marLeft w:val="0"/>
                          <w:marRight w:val="0"/>
                          <w:marTop w:val="0"/>
                          <w:marBottom w:val="0"/>
                          <w:divBdr>
                            <w:top w:val="none" w:sz="0" w:space="0" w:color="auto"/>
                            <w:left w:val="none" w:sz="0" w:space="0" w:color="auto"/>
                            <w:bottom w:val="none" w:sz="0" w:space="0" w:color="auto"/>
                            <w:right w:val="none" w:sz="0" w:space="0" w:color="auto"/>
                          </w:divBdr>
                          <w:divsChild>
                            <w:div w:id="1096904465">
                              <w:marLeft w:val="0"/>
                              <w:marRight w:val="0"/>
                              <w:marTop w:val="0"/>
                              <w:marBottom w:val="0"/>
                              <w:divBdr>
                                <w:top w:val="none" w:sz="0" w:space="0" w:color="auto"/>
                                <w:left w:val="none" w:sz="0" w:space="0" w:color="auto"/>
                                <w:bottom w:val="none" w:sz="0" w:space="0" w:color="auto"/>
                                <w:right w:val="none" w:sz="0" w:space="0" w:color="auto"/>
                              </w:divBdr>
                              <w:divsChild>
                                <w:div w:id="1375278447">
                                  <w:marLeft w:val="0"/>
                                  <w:marRight w:val="0"/>
                                  <w:marTop w:val="0"/>
                                  <w:marBottom w:val="0"/>
                                  <w:divBdr>
                                    <w:top w:val="none" w:sz="0" w:space="0" w:color="auto"/>
                                    <w:left w:val="none" w:sz="0" w:space="0" w:color="auto"/>
                                    <w:bottom w:val="none" w:sz="0" w:space="0" w:color="auto"/>
                                    <w:right w:val="none" w:sz="0" w:space="0" w:color="auto"/>
                                  </w:divBdr>
                                  <w:divsChild>
                                    <w:div w:id="302472524">
                                      <w:marLeft w:val="0"/>
                                      <w:marRight w:val="0"/>
                                      <w:marTop w:val="0"/>
                                      <w:marBottom w:val="0"/>
                                      <w:divBdr>
                                        <w:top w:val="none" w:sz="0" w:space="0" w:color="auto"/>
                                        <w:left w:val="none" w:sz="0" w:space="0" w:color="auto"/>
                                        <w:bottom w:val="none" w:sz="0" w:space="0" w:color="auto"/>
                                        <w:right w:val="none" w:sz="0" w:space="0" w:color="auto"/>
                                      </w:divBdr>
                                      <w:divsChild>
                                        <w:div w:id="871306285">
                                          <w:marLeft w:val="0"/>
                                          <w:marRight w:val="0"/>
                                          <w:marTop w:val="0"/>
                                          <w:marBottom w:val="0"/>
                                          <w:divBdr>
                                            <w:top w:val="none" w:sz="0" w:space="0" w:color="auto"/>
                                            <w:left w:val="none" w:sz="0" w:space="0" w:color="auto"/>
                                            <w:bottom w:val="none" w:sz="0" w:space="0" w:color="auto"/>
                                            <w:right w:val="none" w:sz="0" w:space="0" w:color="auto"/>
                                          </w:divBdr>
                                          <w:divsChild>
                                            <w:div w:id="13153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5799411">
      <w:bodyDiv w:val="1"/>
      <w:marLeft w:val="0"/>
      <w:marRight w:val="0"/>
      <w:marTop w:val="0"/>
      <w:marBottom w:val="0"/>
      <w:divBdr>
        <w:top w:val="none" w:sz="0" w:space="0" w:color="auto"/>
        <w:left w:val="none" w:sz="0" w:space="0" w:color="auto"/>
        <w:bottom w:val="none" w:sz="0" w:space="0" w:color="auto"/>
        <w:right w:val="none" w:sz="0" w:space="0" w:color="auto"/>
      </w:divBdr>
    </w:div>
    <w:div w:id="1579435302">
      <w:bodyDiv w:val="1"/>
      <w:marLeft w:val="0"/>
      <w:marRight w:val="0"/>
      <w:marTop w:val="0"/>
      <w:marBottom w:val="0"/>
      <w:divBdr>
        <w:top w:val="none" w:sz="0" w:space="0" w:color="auto"/>
        <w:left w:val="none" w:sz="0" w:space="0" w:color="auto"/>
        <w:bottom w:val="none" w:sz="0" w:space="0" w:color="auto"/>
        <w:right w:val="none" w:sz="0" w:space="0" w:color="auto"/>
      </w:divBdr>
      <w:divsChild>
        <w:div w:id="838616852">
          <w:marLeft w:val="0"/>
          <w:marRight w:val="0"/>
          <w:marTop w:val="0"/>
          <w:marBottom w:val="0"/>
          <w:divBdr>
            <w:top w:val="none" w:sz="0" w:space="0" w:color="auto"/>
            <w:left w:val="none" w:sz="0" w:space="0" w:color="auto"/>
            <w:bottom w:val="none" w:sz="0" w:space="0" w:color="auto"/>
            <w:right w:val="none" w:sz="0" w:space="0" w:color="auto"/>
          </w:divBdr>
          <w:divsChild>
            <w:div w:id="97664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841909">
      <w:bodyDiv w:val="1"/>
      <w:marLeft w:val="0"/>
      <w:marRight w:val="0"/>
      <w:marTop w:val="0"/>
      <w:marBottom w:val="0"/>
      <w:divBdr>
        <w:top w:val="none" w:sz="0" w:space="0" w:color="auto"/>
        <w:left w:val="none" w:sz="0" w:space="0" w:color="auto"/>
        <w:bottom w:val="none" w:sz="0" w:space="0" w:color="auto"/>
        <w:right w:val="none" w:sz="0" w:space="0" w:color="auto"/>
      </w:divBdr>
    </w:div>
    <w:div w:id="1668289310">
      <w:bodyDiv w:val="1"/>
      <w:marLeft w:val="0"/>
      <w:marRight w:val="0"/>
      <w:marTop w:val="0"/>
      <w:marBottom w:val="0"/>
      <w:divBdr>
        <w:top w:val="none" w:sz="0" w:space="0" w:color="auto"/>
        <w:left w:val="none" w:sz="0" w:space="0" w:color="auto"/>
        <w:bottom w:val="none" w:sz="0" w:space="0" w:color="auto"/>
        <w:right w:val="none" w:sz="0" w:space="0" w:color="auto"/>
      </w:divBdr>
    </w:div>
    <w:div w:id="1678924552">
      <w:bodyDiv w:val="1"/>
      <w:marLeft w:val="0"/>
      <w:marRight w:val="0"/>
      <w:marTop w:val="0"/>
      <w:marBottom w:val="0"/>
      <w:divBdr>
        <w:top w:val="none" w:sz="0" w:space="0" w:color="auto"/>
        <w:left w:val="none" w:sz="0" w:space="0" w:color="auto"/>
        <w:bottom w:val="none" w:sz="0" w:space="0" w:color="auto"/>
        <w:right w:val="none" w:sz="0" w:space="0" w:color="auto"/>
      </w:divBdr>
    </w:div>
    <w:div w:id="1704478583">
      <w:bodyDiv w:val="1"/>
      <w:marLeft w:val="0"/>
      <w:marRight w:val="0"/>
      <w:marTop w:val="0"/>
      <w:marBottom w:val="0"/>
      <w:divBdr>
        <w:top w:val="none" w:sz="0" w:space="0" w:color="auto"/>
        <w:left w:val="none" w:sz="0" w:space="0" w:color="auto"/>
        <w:bottom w:val="none" w:sz="0" w:space="0" w:color="auto"/>
        <w:right w:val="none" w:sz="0" w:space="0" w:color="auto"/>
      </w:divBdr>
    </w:div>
    <w:div w:id="1750888768">
      <w:bodyDiv w:val="1"/>
      <w:marLeft w:val="0"/>
      <w:marRight w:val="0"/>
      <w:marTop w:val="0"/>
      <w:marBottom w:val="0"/>
      <w:divBdr>
        <w:top w:val="none" w:sz="0" w:space="0" w:color="auto"/>
        <w:left w:val="none" w:sz="0" w:space="0" w:color="auto"/>
        <w:bottom w:val="none" w:sz="0" w:space="0" w:color="auto"/>
        <w:right w:val="none" w:sz="0" w:space="0" w:color="auto"/>
      </w:divBdr>
    </w:div>
    <w:div w:id="1760446571">
      <w:bodyDiv w:val="1"/>
      <w:marLeft w:val="0"/>
      <w:marRight w:val="0"/>
      <w:marTop w:val="0"/>
      <w:marBottom w:val="0"/>
      <w:divBdr>
        <w:top w:val="none" w:sz="0" w:space="0" w:color="auto"/>
        <w:left w:val="none" w:sz="0" w:space="0" w:color="auto"/>
        <w:bottom w:val="none" w:sz="0" w:space="0" w:color="auto"/>
        <w:right w:val="none" w:sz="0" w:space="0" w:color="auto"/>
      </w:divBdr>
    </w:div>
    <w:div w:id="1828591528">
      <w:bodyDiv w:val="1"/>
      <w:marLeft w:val="0"/>
      <w:marRight w:val="0"/>
      <w:marTop w:val="0"/>
      <w:marBottom w:val="0"/>
      <w:divBdr>
        <w:top w:val="none" w:sz="0" w:space="0" w:color="auto"/>
        <w:left w:val="none" w:sz="0" w:space="0" w:color="auto"/>
        <w:bottom w:val="none" w:sz="0" w:space="0" w:color="auto"/>
        <w:right w:val="none" w:sz="0" w:space="0" w:color="auto"/>
      </w:divBdr>
    </w:div>
    <w:div w:id="1907182067">
      <w:bodyDiv w:val="1"/>
      <w:marLeft w:val="0"/>
      <w:marRight w:val="0"/>
      <w:marTop w:val="0"/>
      <w:marBottom w:val="0"/>
      <w:divBdr>
        <w:top w:val="none" w:sz="0" w:space="0" w:color="auto"/>
        <w:left w:val="none" w:sz="0" w:space="0" w:color="auto"/>
        <w:bottom w:val="none" w:sz="0" w:space="0" w:color="auto"/>
        <w:right w:val="none" w:sz="0" w:space="0" w:color="auto"/>
      </w:divBdr>
      <w:divsChild>
        <w:div w:id="900798005">
          <w:marLeft w:val="0"/>
          <w:marRight w:val="0"/>
          <w:marTop w:val="0"/>
          <w:marBottom w:val="0"/>
          <w:divBdr>
            <w:top w:val="none" w:sz="0" w:space="0" w:color="auto"/>
            <w:left w:val="none" w:sz="0" w:space="0" w:color="auto"/>
            <w:bottom w:val="none" w:sz="0" w:space="0" w:color="auto"/>
            <w:right w:val="none" w:sz="0" w:space="0" w:color="auto"/>
          </w:divBdr>
        </w:div>
      </w:divsChild>
    </w:div>
    <w:div w:id="1939631714">
      <w:bodyDiv w:val="1"/>
      <w:marLeft w:val="0"/>
      <w:marRight w:val="0"/>
      <w:marTop w:val="0"/>
      <w:marBottom w:val="0"/>
      <w:divBdr>
        <w:top w:val="none" w:sz="0" w:space="0" w:color="auto"/>
        <w:left w:val="none" w:sz="0" w:space="0" w:color="auto"/>
        <w:bottom w:val="none" w:sz="0" w:space="0" w:color="auto"/>
        <w:right w:val="none" w:sz="0" w:space="0" w:color="auto"/>
      </w:divBdr>
    </w:div>
    <w:div w:id="1946960318">
      <w:bodyDiv w:val="1"/>
      <w:marLeft w:val="0"/>
      <w:marRight w:val="0"/>
      <w:marTop w:val="0"/>
      <w:marBottom w:val="0"/>
      <w:divBdr>
        <w:top w:val="none" w:sz="0" w:space="0" w:color="auto"/>
        <w:left w:val="none" w:sz="0" w:space="0" w:color="auto"/>
        <w:bottom w:val="none" w:sz="0" w:space="0" w:color="auto"/>
        <w:right w:val="none" w:sz="0" w:space="0" w:color="auto"/>
      </w:divBdr>
    </w:div>
    <w:div w:id="200678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2.png" /><Relationship Id="rId18" Type="http://schemas.openxmlformats.org/officeDocument/2006/relationships/image" Target="media/image6.png" /><Relationship Id="rId26" Type="http://schemas.openxmlformats.org/officeDocument/2006/relationships/image" Target="media/image10.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customXml" Target="ink/ink4.xml" /><Relationship Id="rId17" Type="http://schemas.openxmlformats.org/officeDocument/2006/relationships/image" Target="media/image5.png" /><Relationship Id="rId25" Type="http://schemas.openxmlformats.org/officeDocument/2006/relationships/footer" Target="footer4.xml"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image" Target="media/image8.png" /><Relationship Id="rId29" Type="http://schemas.openxmlformats.org/officeDocument/2006/relationships/footer" Target="footer6.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ustomXml" Target="ink/ink3.xml" /><Relationship Id="rId24" Type="http://schemas.openxmlformats.org/officeDocument/2006/relationships/image" Target="media/image9.png"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footer" Target="footer3.xml" /><Relationship Id="rId28" Type="http://schemas.openxmlformats.org/officeDocument/2006/relationships/image" Target="media/image11.png" /><Relationship Id="rId10" Type="http://schemas.openxmlformats.org/officeDocument/2006/relationships/customXml" Target="ink/ink2.xml" /><Relationship Id="rId19" Type="http://schemas.openxmlformats.org/officeDocument/2006/relationships/image" Target="media/image7.png"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customXml" Target="ink/ink1.xml" /><Relationship Id="rId14" Type="http://schemas.openxmlformats.org/officeDocument/2006/relationships/chart" Target="charts/chart1.xml" /><Relationship Id="rId22" Type="http://schemas.openxmlformats.org/officeDocument/2006/relationships/footer" Target="footer2.xml" /><Relationship Id="rId27" Type="http://schemas.openxmlformats.org/officeDocument/2006/relationships/footer" Target="footer5.xml" /><Relationship Id="rId30" Type="http://schemas.openxmlformats.org/officeDocument/2006/relationships/image" Target="media/image12.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S\AppData\Local\Packages\5319275A.WhatsAppDesktop_cv1g1gvanyjgm\LocalState\sessions\4B54F41BD618B0C5EBA43B8FF9B3F8698DA798C5\transfers\2026-26\Book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Sheet1!$K$1</c:f>
              <c:strCache>
                <c:ptCount val="1"/>
                <c:pt idx="0">
                  <c:v>Private non-NHS antibiotic consumption</c:v>
                </c:pt>
              </c:strCache>
            </c:strRef>
          </c:tx>
          <c:spPr>
            <a:solidFill>
              <a:schemeClr val="accent1"/>
            </a:solidFill>
            <a:ln>
              <a:noFill/>
            </a:ln>
            <a:effectLst/>
          </c:spPr>
          <c:invertIfNegative val="0"/>
          <c:cat>
            <c:numRef>
              <c:f>Sheet1!$J$2:$J$7</c:f>
              <c:numCache>
                <c:formatCode>General</c:formatCode>
                <c:ptCount val="6"/>
                <c:pt idx="0">
                  <c:v>2019</c:v>
                </c:pt>
                <c:pt idx="1">
                  <c:v>2020</c:v>
                </c:pt>
                <c:pt idx="2">
                  <c:v>2021</c:v>
                </c:pt>
                <c:pt idx="3">
                  <c:v>2022</c:v>
                </c:pt>
                <c:pt idx="4">
                  <c:v>2023</c:v>
                </c:pt>
                <c:pt idx="5">
                  <c:v>2024</c:v>
                </c:pt>
              </c:numCache>
            </c:numRef>
          </c:cat>
          <c:val>
            <c:numRef>
              <c:f>Sheet1!$K$2:$K$7</c:f>
              <c:numCache>
                <c:formatCode>General</c:formatCode>
                <c:ptCount val="6"/>
                <c:pt idx="0">
                  <c:v>0.49</c:v>
                </c:pt>
                <c:pt idx="1">
                  <c:v>0.39</c:v>
                </c:pt>
                <c:pt idx="2">
                  <c:v>0.48</c:v>
                </c:pt>
                <c:pt idx="3">
                  <c:v>0.62</c:v>
                </c:pt>
                <c:pt idx="4">
                  <c:v>0.75</c:v>
                </c:pt>
                <c:pt idx="5">
                  <c:v>0.8</c:v>
                </c:pt>
              </c:numCache>
            </c:numRef>
          </c:val>
          <c:extLst>
            <c:ext xmlns:c16="http://schemas.microsoft.com/office/drawing/2014/chart" uri="{C3380CC4-5D6E-409C-BE32-E72D297353CC}">
              <c16:uniqueId val="{00000000-DA91-4AD4-947D-89FD47597CE6}"/>
            </c:ext>
          </c:extLst>
        </c:ser>
        <c:dLbls>
          <c:showLegendKey val="0"/>
          <c:showVal val="0"/>
          <c:showCatName val="0"/>
          <c:showSerName val="0"/>
          <c:showPercent val="0"/>
          <c:showBubbleSize val="0"/>
        </c:dLbls>
        <c:gapWidth val="219"/>
        <c:overlap val="-27"/>
        <c:axId val="880459712"/>
        <c:axId val="880454432"/>
      </c:barChart>
      <c:catAx>
        <c:axId val="880459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0454432"/>
        <c:crosses val="autoZero"/>
        <c:auto val="1"/>
        <c:lblAlgn val="ctr"/>
        <c:lblOffset val="100"/>
        <c:noMultiLvlLbl val="0"/>
      </c:catAx>
      <c:valAx>
        <c:axId val="88045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0459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E7C6C-4CDB-46EF-9228-725BC9969C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24073</Words>
  <Characters>137221</Characters>
  <Application>Microsoft Office Word</Application>
  <DocSecurity>0</DocSecurity>
  <Lines>1143</Lines>
  <Paragraphs>321</Paragraphs>
  <ScaleCrop>false</ScaleCrop>
  <Company/>
  <LinksUpToDate>false</LinksUpToDate>
  <CharactersWithSpaces>160973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2026-09-23T20:57:00Z</dcterms:created>
  <dcterms:modified xsi:type="dcterms:W3CDTF">2026-09-23T20:57:00Z</dcterms:modified>
</cp:coreProperties>
</file>