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36B5CE7" wp14:paraId="12FC3FB1" wp14:textId="48F50F5E">
      <w:pPr>
        <w:spacing w:line="360" w:lineRule="auto"/>
      </w:pPr>
      <w:r w:rsidR="2593895C">
        <w:rPr/>
        <w:t>Business Plan</w:t>
      </w:r>
      <w:r w:rsidR="1A714CC6">
        <w:rPr/>
        <w:t xml:space="preserve"> – </w:t>
      </w:r>
      <w:r w:rsidR="1A714CC6">
        <w:rPr/>
        <w:t>AutoStream</w:t>
      </w:r>
      <w:r w:rsidR="1A714CC6">
        <w:rPr/>
        <w:t xml:space="preserve"> Logistics</w:t>
      </w:r>
    </w:p>
    <w:p xmlns:wp14="http://schemas.microsoft.com/office/word/2010/wordml" wp14:paraId="0BDB16F8" wp14:textId="6C69A266">
      <w:r w:rsidR="6D0883BC">
        <w:rPr/>
        <w:t xml:space="preserve">Student Number: Arif Ali Arif </w:t>
      </w:r>
    </w:p>
    <w:p xmlns:wp14="http://schemas.microsoft.com/office/word/2010/wordml" wp14:paraId="01EA67A7" wp14:textId="0B681AA8">
      <w:r w:rsidR="6D0883BC">
        <w:rPr/>
        <w:t>Student Number:2425768</w:t>
      </w:r>
    </w:p>
    <w:p xmlns:wp14="http://schemas.microsoft.com/office/word/2010/wordml" wp14:paraId="27D6A50D" wp14:textId="16CA1380">
      <w:r w:rsidR="6D0883BC">
        <w:rPr/>
        <w:t xml:space="preserve"> Enterprise and Entrepreneurship </w:t>
      </w:r>
    </w:p>
    <w:p xmlns:wp14="http://schemas.microsoft.com/office/word/2010/wordml" wp14:paraId="2D918ECD" wp14:textId="1226E671">
      <w:r w:rsidR="6D0883BC">
        <w:rPr/>
        <w:t>Table of Contents Cover Page</w:t>
      </w:r>
    </w:p>
    <w:p xmlns:wp14="http://schemas.microsoft.com/office/word/2010/wordml" wp14:paraId="45590112" wp14:textId="7B24016F">
      <w:r w:rsidR="6D0883BC">
        <w:rPr/>
        <w:t xml:space="preserve"> / Title Business Overview</w:t>
      </w:r>
    </w:p>
    <w:p xmlns:wp14="http://schemas.microsoft.com/office/word/2010/wordml" wp14:paraId="26DEC4F0" wp14:textId="272BF7AF">
      <w:r w:rsidR="6D0883BC">
        <w:rPr/>
        <w:t xml:space="preserve"> and Objectives Market Analysis and Marketing Plan Operations, </w:t>
      </w:r>
    </w:p>
    <w:p xmlns:wp14="http://schemas.microsoft.com/office/word/2010/wordml" wp14:paraId="1144CAD1" wp14:textId="78F99D4D">
      <w:r w:rsidR="6D0883BC">
        <w:rPr/>
        <w:t>Financial Plan,</w:t>
      </w:r>
    </w:p>
    <w:p xmlns:wp14="http://schemas.microsoft.com/office/word/2010/wordml" wp14:paraId="6C8D36FC" wp14:textId="76B497B2">
      <w:r w:rsidR="6D0883BC">
        <w:rPr/>
        <w:t xml:space="preserve"> and Growth Conclusion </w:t>
      </w:r>
    </w:p>
    <w:p xmlns:wp14="http://schemas.microsoft.com/office/word/2010/wordml" wp14:paraId="5E5787A5" wp14:textId="0DECB40F">
      <w:r w:rsidR="2593895C">
        <w:rPr/>
        <w:t>References</w:t>
      </w:r>
    </w:p>
    <w:p w:rsidR="6DF89671" w:rsidRDefault="6DF89671" w14:paraId="5F767028" w14:textId="737BCE00">
      <w:r w:rsidR="6DF89671">
        <w:rPr/>
        <w:t>Lecturer: Said Usman</w:t>
      </w:r>
    </w:p>
    <w:p w:rsidR="336B5CE7" w:rsidRDefault="336B5CE7" w14:paraId="0E5C1384" w14:textId="737C95F4"/>
    <w:p w:rsidR="336B5CE7" w:rsidRDefault="336B5CE7" w14:paraId="632CED87" w14:textId="52399622"/>
    <w:p w:rsidR="336B5CE7" w:rsidRDefault="336B5CE7" w14:paraId="7800919E" w14:textId="3C8D0B6C"/>
    <w:p w:rsidR="3CFB3928" w:rsidP="336B5CE7" w:rsidRDefault="3CFB3928" w14:paraId="4E30CE48" w14:textId="73005EDC">
      <w:pPr>
        <w:pStyle w:val="Subtitle"/>
        <w:rPr>
          <w:rFonts w:ascii="Arial" w:hAnsi="Arial"/>
          <w:b w:val="1"/>
          <w:bCs w:val="1"/>
          <w:noProof w:val="0"/>
          <w:sz w:val="24"/>
          <w:szCs w:val="24"/>
          <w:lang w:val="en-GB"/>
        </w:rPr>
      </w:pPr>
      <w:r w:rsidRPr="336B5CE7" w:rsidR="3CFB3928">
        <w:rPr>
          <w:noProof w:val="0"/>
          <w:lang w:val="en-GB"/>
        </w:rPr>
        <w:t>1. Executive Summary &amp; Business Objectives</w:t>
      </w:r>
    </w:p>
    <w:p w:rsidR="336B5CE7" w:rsidP="336B5CE7" w:rsidRDefault="336B5CE7" w14:paraId="75E879CA" w14:textId="5C5A239F">
      <w:pPr>
        <w:pStyle w:val="Normal"/>
        <w:rPr>
          <w:rFonts w:ascii="Arial" w:hAnsi="Arial"/>
          <w:b w:val="0"/>
          <w:bCs w:val="0"/>
          <w:noProof w:val="0"/>
          <w:sz w:val="24"/>
          <w:szCs w:val="24"/>
          <w:lang w:val="en-GB"/>
        </w:rPr>
      </w:pPr>
    </w:p>
    <w:p w:rsidR="7266EAE5" w:rsidP="336B5CE7" w:rsidRDefault="7266EAE5" w14:paraId="6E9673E8" w14:textId="0EF772D1">
      <w:pPr>
        <w:pStyle w:val="Normal"/>
      </w:pPr>
      <w:r w:rsidRPr="336B5CE7" w:rsidR="7266EAE5">
        <w:rPr>
          <w:rFonts w:ascii="Arial" w:hAnsi="Arial"/>
          <w:b w:val="0"/>
          <w:bCs w:val="0"/>
          <w:noProof w:val="0"/>
          <w:sz w:val="24"/>
          <w:szCs w:val="24"/>
          <w:lang w:val="en-GB"/>
        </w:rPr>
        <w:t>Autostream logistics is a leading provider of concierge automobile transportation services addressing a void in the marketplace between motorist and service providers. As time becomes increasingly valuable in today’s urban environment, autostream fills the “friction” area of vehicle maintenance by providing professional transportation services. Through his experience as a professional Mercedes-Benz logistics specialist, Arif can offer more than simply a delivery service he can provide a white glove asset management experience. His expertise as a logistics specialist insures high-value automobiles are treated with both technical competence and care; establishing a specific service category.</w:t>
      </w:r>
    </w:p>
    <w:p w:rsidR="7266EAE5" w:rsidP="336B5CE7" w:rsidRDefault="7266EAE5" w14:paraId="6901CA8A" w14:textId="66465437">
      <w:pPr>
        <w:pStyle w:val="Normal"/>
      </w:pPr>
      <w:r w:rsidRPr="336B5CE7" w:rsidR="7266EAE5">
        <w:rPr>
          <w:rFonts w:ascii="Arial" w:hAnsi="Arial"/>
          <w:b w:val="0"/>
          <w:bCs w:val="0"/>
          <w:noProof w:val="0"/>
          <w:sz w:val="24"/>
          <w:szCs w:val="24"/>
          <w:lang w:val="en-GB"/>
        </w:rPr>
        <w:t xml:space="preserve">As a Sole Proprietorship, autostream will be able to operate in an agile manner at a very low cost. a Sole Proprietorship allows Arif to establish personal contact with the first few consumers of his product thereby enabling him to establish the reputation for reliability required to establish his new company. However, there exists a “trigger point” in autostream’s business model. Once the fleet size reaches three vehicles, autostream will convert to a private limited company. At this time, autostream will have sufficient liability protection to allow for future investment and Expansion. </w:t>
      </w:r>
      <w:r>
        <w:br/>
      </w:r>
      <w:r w:rsidRPr="336B5CE7" w:rsidR="7266EAE5">
        <w:rPr>
          <w:rFonts w:ascii="Arial" w:hAnsi="Arial"/>
          <w:b w:val="0"/>
          <w:bCs w:val="0"/>
          <w:noProof w:val="0"/>
          <w:sz w:val="24"/>
          <w:szCs w:val="24"/>
          <w:lang w:val="en-GB"/>
        </w:rPr>
        <w:t>SMART strategic objectives</w:t>
      </w:r>
      <w:r>
        <w:br/>
      </w:r>
      <w:r w:rsidRPr="336B5CE7" w:rsidR="7266EAE5">
        <w:rPr>
          <w:rFonts w:ascii="Arial" w:hAnsi="Arial"/>
          <w:b w:val="0"/>
          <w:bCs w:val="0"/>
          <w:noProof w:val="0"/>
          <w:sz w:val="24"/>
          <w:szCs w:val="24"/>
          <w:lang w:val="en-GB"/>
        </w:rPr>
        <w:t>In order to facilitate disciplined growth, autostream will utilize the SMART strategy [Doran, 1981]</w:t>
      </w:r>
    </w:p>
    <w:p w:rsidR="7266EAE5" w:rsidP="336B5CE7" w:rsidRDefault="7266EAE5" w14:paraId="43B033E2" w14:textId="0B3902CD">
      <w:pPr>
        <w:pStyle w:val="Normal"/>
      </w:pPr>
      <w:r w:rsidRPr="336B5CE7" w:rsidR="7266EAE5">
        <w:rPr>
          <w:rFonts w:ascii="Arial" w:hAnsi="Arial"/>
          <w:b w:val="0"/>
          <w:bCs w:val="0"/>
          <w:noProof w:val="0"/>
          <w:sz w:val="24"/>
          <w:szCs w:val="24"/>
          <w:lang w:val="en-GB"/>
        </w:rPr>
        <w:t>Specific: develop a superior automobile collection and delivery service in the [metropolitan area], in high density areas.</w:t>
      </w:r>
    </w:p>
    <w:p w:rsidR="7266EAE5" w:rsidP="336B5CE7" w:rsidRDefault="7266EAE5" w14:paraId="36FCD579" w14:textId="705101A8">
      <w:pPr>
        <w:pStyle w:val="Normal"/>
      </w:pPr>
      <w:r w:rsidRPr="336B5CE7" w:rsidR="7266EAE5">
        <w:rPr>
          <w:rFonts w:ascii="Arial" w:hAnsi="Arial"/>
          <w:b w:val="0"/>
          <w:bCs w:val="0"/>
          <w:noProof w:val="0"/>
          <w:sz w:val="24"/>
          <w:szCs w:val="24"/>
          <w:lang w:val="en-GB"/>
        </w:rPr>
        <w:t>Measurable: obtain 60 different, repeat private customers and secure 3 contractual service level agreements with local garages in year one.</w:t>
      </w:r>
    </w:p>
    <w:p w:rsidR="7266EAE5" w:rsidP="336B5CE7" w:rsidRDefault="7266EAE5" w14:paraId="27F4B2D3" w14:textId="12223B75">
      <w:pPr>
        <w:pStyle w:val="Normal"/>
      </w:pPr>
      <w:r w:rsidRPr="336B5CE7" w:rsidR="7266EAE5">
        <w:rPr>
          <w:rFonts w:ascii="Arial" w:hAnsi="Arial"/>
          <w:b w:val="0"/>
          <w:bCs w:val="0"/>
          <w:noProof w:val="0"/>
          <w:sz w:val="24"/>
          <w:szCs w:val="24"/>
          <w:lang w:val="en-GB"/>
        </w:rPr>
        <w:t>Achievable: leverage Arif’s professional driving qualifications and limited start up budget of £50,000 to obtain maximum efficiency.</w:t>
      </w:r>
    </w:p>
    <w:p w:rsidR="7266EAE5" w:rsidP="336B5CE7" w:rsidRDefault="7266EAE5" w14:paraId="52E4EBF7" w14:textId="3ADBDFC7">
      <w:pPr>
        <w:pStyle w:val="Normal"/>
      </w:pPr>
      <w:r w:rsidRPr="336B5CE7" w:rsidR="7266EAE5">
        <w:rPr>
          <w:rFonts w:ascii="Arial" w:hAnsi="Arial"/>
          <w:b w:val="0"/>
          <w:bCs w:val="0"/>
          <w:noProof w:val="0"/>
          <w:sz w:val="24"/>
          <w:szCs w:val="24"/>
          <w:lang w:val="en-GB"/>
        </w:rPr>
        <w:t>Relevant: take advantage of the "convenience economy," whereby 70% of urban professionals favor time saving services above those offering lowest prices.</w:t>
      </w:r>
    </w:p>
    <w:p w:rsidR="7266EAE5" w:rsidP="336B5CE7" w:rsidRDefault="7266EAE5" w14:paraId="1FA797C1" w14:textId="6E8D720F">
      <w:pPr>
        <w:pStyle w:val="Normal"/>
      </w:pPr>
      <w:r w:rsidRPr="336B5CE7" w:rsidR="7266EAE5">
        <w:rPr>
          <w:rFonts w:ascii="Arial" w:hAnsi="Arial"/>
          <w:b w:val="0"/>
          <w:bCs w:val="0"/>
          <w:noProof w:val="0"/>
          <w:sz w:val="24"/>
          <w:szCs w:val="24"/>
          <w:lang w:val="en-GB"/>
        </w:rPr>
        <w:t>Time-bound: achieve operational breakeven point by month nine in the first year of operation.</w:t>
      </w:r>
    </w:p>
    <w:p w:rsidR="336B5CE7" w:rsidP="336B5CE7" w:rsidRDefault="336B5CE7" w14:paraId="5FD9279A" w14:textId="5887532E">
      <w:pPr>
        <w:pStyle w:val="Normal"/>
        <w:rPr>
          <w:rFonts w:ascii="Arial" w:hAnsi="Arial"/>
          <w:b w:val="0"/>
          <w:bCs w:val="0"/>
          <w:noProof w:val="0"/>
          <w:sz w:val="24"/>
          <w:szCs w:val="24"/>
          <w:lang w:val="en-GB"/>
        </w:rPr>
      </w:pPr>
    </w:p>
    <w:p w:rsidR="22148D9B" w:rsidP="336B5CE7" w:rsidRDefault="22148D9B" w14:paraId="2648B189" w14:textId="6C64447A">
      <w:pPr>
        <w:pStyle w:val="Normal"/>
        <w:rPr>
          <w:rFonts w:ascii="Arial" w:hAnsi="Arial"/>
          <w:b w:val="0"/>
          <w:bCs w:val="0"/>
          <w:noProof w:val="0"/>
          <w:sz w:val="24"/>
          <w:szCs w:val="24"/>
          <w:lang w:val="en-GB"/>
        </w:rPr>
      </w:pPr>
      <w:r w:rsidRPr="336B5CE7" w:rsidR="22148D9B">
        <w:rPr>
          <w:rFonts w:ascii="Arial" w:hAnsi="Arial"/>
          <w:b w:val="0"/>
          <w:bCs w:val="0"/>
          <w:noProof w:val="0"/>
          <w:sz w:val="24"/>
          <w:szCs w:val="24"/>
          <w:lang w:val="en-GB"/>
        </w:rPr>
        <w:t xml:space="preserve">Relevant: Take advantage of the increasing "on demand" economy where the convenience of a product or service drives consumer </w:t>
      </w:r>
      <w:r w:rsidRPr="336B5CE7" w:rsidR="22148D9B">
        <w:rPr>
          <w:rFonts w:ascii="Arial" w:hAnsi="Arial"/>
          <w:b w:val="0"/>
          <w:bCs w:val="0"/>
          <w:noProof w:val="0"/>
          <w:sz w:val="24"/>
          <w:szCs w:val="24"/>
          <w:lang w:val="en-GB"/>
        </w:rPr>
        <w:t>behavior</w:t>
      </w:r>
      <w:r w:rsidRPr="336B5CE7" w:rsidR="22148D9B">
        <w:rPr>
          <w:rFonts w:ascii="Arial" w:hAnsi="Arial"/>
          <w:b w:val="0"/>
          <w:bCs w:val="0"/>
          <w:noProof w:val="0"/>
          <w:sz w:val="24"/>
          <w:szCs w:val="24"/>
          <w:lang w:val="en-GB"/>
        </w:rPr>
        <w:t>.</w:t>
      </w:r>
    </w:p>
    <w:p w:rsidR="22148D9B" w:rsidP="336B5CE7" w:rsidRDefault="22148D9B" w14:paraId="76FB0DD7" w14:textId="1B67E2E7">
      <w:pPr>
        <w:pStyle w:val="Normal"/>
        <w:rPr>
          <w:rFonts w:ascii="Arial" w:hAnsi="Arial"/>
          <w:b w:val="0"/>
          <w:bCs w:val="0"/>
          <w:noProof w:val="0"/>
          <w:sz w:val="24"/>
          <w:szCs w:val="24"/>
          <w:lang w:val="en-GB"/>
        </w:rPr>
      </w:pPr>
      <w:r w:rsidRPr="336B5CE7" w:rsidR="22148D9B">
        <w:rPr>
          <w:rFonts w:ascii="Arial" w:hAnsi="Arial"/>
          <w:b w:val="0"/>
          <w:bCs w:val="0"/>
          <w:noProof w:val="0"/>
          <w:sz w:val="24"/>
          <w:szCs w:val="24"/>
          <w:lang w:val="en-GB"/>
        </w:rPr>
        <w:t xml:space="preserve">Time-bound: Reach </w:t>
      </w:r>
      <w:r w:rsidRPr="336B5CE7" w:rsidR="22148D9B">
        <w:rPr>
          <w:rFonts w:ascii="Arial" w:hAnsi="Arial"/>
          <w:b w:val="0"/>
          <w:bCs w:val="0"/>
          <w:noProof w:val="0"/>
          <w:sz w:val="24"/>
          <w:szCs w:val="24"/>
          <w:lang w:val="en-GB"/>
        </w:rPr>
        <w:t>break even</w:t>
      </w:r>
      <w:r w:rsidRPr="336B5CE7" w:rsidR="22148D9B">
        <w:rPr>
          <w:rFonts w:ascii="Arial" w:hAnsi="Arial"/>
          <w:b w:val="0"/>
          <w:bCs w:val="0"/>
          <w:noProof w:val="0"/>
          <w:sz w:val="24"/>
          <w:szCs w:val="24"/>
          <w:lang w:val="en-GB"/>
        </w:rPr>
        <w:t xml:space="preserve"> </w:t>
      </w:r>
      <w:r w:rsidRPr="336B5CE7" w:rsidR="22148D9B">
        <w:rPr>
          <w:rFonts w:ascii="Arial" w:hAnsi="Arial"/>
          <w:b w:val="0"/>
          <w:bCs w:val="0"/>
          <w:noProof w:val="0"/>
          <w:sz w:val="24"/>
          <w:szCs w:val="24"/>
          <w:lang w:val="en-GB"/>
        </w:rPr>
        <w:t>point</w:t>
      </w:r>
      <w:r w:rsidRPr="336B5CE7" w:rsidR="22148D9B">
        <w:rPr>
          <w:rFonts w:ascii="Arial" w:hAnsi="Arial"/>
          <w:b w:val="0"/>
          <w:bCs w:val="0"/>
          <w:noProof w:val="0"/>
          <w:sz w:val="24"/>
          <w:szCs w:val="24"/>
          <w:lang w:val="en-GB"/>
        </w:rPr>
        <w:t xml:space="preserve"> by month nine of year one [Doran, 1981].</w:t>
      </w:r>
    </w:p>
    <w:p w:rsidR="336B5CE7" w:rsidP="336B5CE7" w:rsidRDefault="336B5CE7" w14:paraId="51F36B42" w14:textId="2124539F">
      <w:pPr>
        <w:pStyle w:val="Normal"/>
        <w:rPr>
          <w:rFonts w:ascii="Arial" w:hAnsi="Arial"/>
          <w:b w:val="0"/>
          <w:bCs w:val="0"/>
          <w:noProof w:val="0"/>
          <w:sz w:val="24"/>
          <w:szCs w:val="24"/>
          <w:lang w:val="en-GB"/>
        </w:rPr>
      </w:pPr>
    </w:p>
    <w:p w:rsidR="2213B417" w:rsidP="336B5CE7" w:rsidRDefault="2213B417" w14:paraId="54852789" w14:textId="37736461">
      <w:pPr>
        <w:pStyle w:val="Subtitle"/>
        <w:rPr>
          <w:noProof w:val="0"/>
          <w:lang w:val="en-GB"/>
        </w:rPr>
      </w:pPr>
      <w:r w:rsidRPr="336B5CE7" w:rsidR="2213B417">
        <w:rPr>
          <w:noProof w:val="0"/>
          <w:lang w:val="en-GB"/>
        </w:rPr>
        <w:t>2. Market Analysis and Marketing Plan</w:t>
      </w:r>
    </w:p>
    <w:p w:rsidR="265F8B38" w:rsidP="336B5CE7" w:rsidRDefault="265F8B38" w14:paraId="6C1A6510" w14:textId="7C9816F0">
      <w:pPr>
        <w:pStyle w:val="Normal"/>
      </w:pPr>
      <w:r w:rsidRPr="336B5CE7" w:rsidR="265F8B38">
        <w:rPr>
          <w:noProof w:val="0"/>
          <w:lang w:val="en-GB"/>
        </w:rPr>
        <w:t>Market analysis and marketing Plan</w:t>
      </w:r>
      <w:r>
        <w:br/>
      </w:r>
      <w:r w:rsidRPr="336B5CE7" w:rsidR="265F8B38">
        <w:rPr>
          <w:noProof w:val="0"/>
          <w:lang w:val="en-GB"/>
        </w:rPr>
        <w:t xml:space="preserve">The automotive aftermarket industry is changing. </w:t>
      </w:r>
      <w:r>
        <w:br/>
      </w:r>
      <w:r w:rsidRPr="336B5CE7" w:rsidR="265F8B38">
        <w:rPr>
          <w:noProof w:val="0"/>
          <w:lang w:val="en-GB"/>
        </w:rPr>
        <w:t xml:space="preserve">According to IBISWorld (2024) the premium convenience segment is significantly underserved. While main dealerships offer concierge services to their own customers, the independent market—where most motorists take their cars for better pricing—does not currently have a dedicated logistics solution. </w:t>
      </w:r>
      <w:r>
        <w:br/>
      </w:r>
      <w:r w:rsidRPr="336B5CE7" w:rsidR="265F8B38">
        <w:rPr>
          <w:noProof w:val="0"/>
          <w:lang w:val="en-GB"/>
        </w:rPr>
        <w:t>Market segmentation &amp; target profiles</w:t>
      </w:r>
      <w:r>
        <w:br/>
      </w:r>
      <w:r w:rsidRPr="336B5CE7" w:rsidR="265F8B38">
        <w:rPr>
          <w:noProof w:val="0"/>
          <w:lang w:val="en-GB"/>
        </w:rPr>
        <w:t>The time poor professional: those with higher incomes whose hourly wage is worth more than the service fee. They see autostream as a productivity tool versus a luxury item.</w:t>
      </w:r>
    </w:p>
    <w:p w:rsidR="265F8B38" w:rsidP="336B5CE7" w:rsidRDefault="265F8B38" w14:paraId="48771D5E" w14:textId="48DC4633">
      <w:pPr>
        <w:pStyle w:val="Normal"/>
      </w:pPr>
      <w:r w:rsidRPr="336B5CE7" w:rsidR="265F8B38">
        <w:rPr>
          <w:noProof w:val="0"/>
          <w:lang w:val="en-GB"/>
        </w:rPr>
        <w:t>Affluent multi vehicle households: family members managing multiple maintenance schedules (MOTs, services, tire changes) seeking a set and forget solution.</w:t>
      </w:r>
    </w:p>
    <w:p w:rsidR="265F8B38" w:rsidP="336B5CE7" w:rsidRDefault="265F8B38" w14:paraId="33F78D46" w14:textId="345162FA">
      <w:pPr>
        <w:pStyle w:val="Normal"/>
      </w:pPr>
      <w:r w:rsidRPr="336B5CE7" w:rsidR="265F8B38">
        <w:rPr>
          <w:noProof w:val="0"/>
          <w:lang w:val="en-GB"/>
        </w:rPr>
        <w:t xml:space="preserve">Independent garage b2b service providers: small garage operators wishing to compete with larger dealership networks by offering pick-up and drop-off services however they do not possess the insurance nor staff costs associated with such services. </w:t>
      </w:r>
      <w:r>
        <w:br/>
      </w:r>
      <w:r w:rsidRPr="336B5CE7" w:rsidR="265F8B38">
        <w:rPr>
          <w:noProof w:val="0"/>
          <w:lang w:val="en-GB"/>
        </w:rPr>
        <w:t>Competitive Positioning</w:t>
      </w:r>
      <w:r>
        <w:br/>
      </w:r>
      <w:r w:rsidRPr="336B5CE7" w:rsidR="265F8B38">
        <w:rPr>
          <w:noProof w:val="0"/>
          <w:lang w:val="en-GB"/>
        </w:rPr>
        <w:t>Unlike typical recovery services which are reactionary (distress based) and rely upon tow trucks, autostream operates proactively utilizing mercedes class handling standards. Tow trucks collect damaged vehicles, we deliver/collect functional ones. By limiting our focus to routine logistics we incur lower equipment costs and achieve greater margin percentages than standard towing companies [Porter, 1980].</w:t>
      </w:r>
    </w:p>
    <w:p w:rsidR="265F8B38" w:rsidP="336B5CE7" w:rsidRDefault="265F8B38" w14:paraId="5E06824D" w14:textId="49E1197C">
      <w:pPr>
        <w:pStyle w:val="Normal"/>
      </w:pPr>
      <w:r w:rsidRPr="336B5CE7" w:rsidR="265F8B38">
        <w:rPr>
          <w:noProof w:val="0"/>
          <w:lang w:val="en-GB"/>
        </w:rPr>
        <w:t>Swot analysis</w:t>
      </w:r>
      <w:r>
        <w:br/>
      </w:r>
      <w:r w:rsidRPr="336B5CE7" w:rsidR="265F8B38">
        <w:rPr>
          <w:noProof w:val="0"/>
          <w:lang w:val="en-GB"/>
        </w:rPr>
        <w:t>Strengths: low start up costs; technical expertise (mercedes standards); deep local geographic understanding.</w:t>
      </w:r>
    </w:p>
    <w:p w:rsidR="265F8B38" w:rsidP="336B5CE7" w:rsidRDefault="265F8B38" w14:paraId="5D623126" w14:textId="1E3BD749">
      <w:pPr>
        <w:pStyle w:val="Normal"/>
      </w:pPr>
      <w:r w:rsidRPr="336B5CE7" w:rsidR="265F8B38">
        <w:rPr>
          <w:noProof w:val="0"/>
          <w:lang w:val="en-GB"/>
        </w:rPr>
        <w:t>Weaknesses: current single operator dependency which restricts capacity during peak demand periods.</w:t>
      </w:r>
    </w:p>
    <w:p w:rsidR="265F8B38" w:rsidP="336B5CE7" w:rsidRDefault="265F8B38" w14:paraId="2814DC47" w14:textId="542B1DDD">
      <w:pPr>
        <w:pStyle w:val="Normal"/>
      </w:pPr>
      <w:r w:rsidRPr="336B5CE7" w:rsidR="265F8B38">
        <w:rPr>
          <w:noProof w:val="0"/>
          <w:lang w:val="en-GB"/>
        </w:rPr>
        <w:t>Opportunities: expand mobile valet (detailing) services; offer fleet management solutions for local sme's.</w:t>
      </w:r>
    </w:p>
    <w:p w:rsidR="265F8B38" w:rsidP="336B5CE7" w:rsidRDefault="265F8B38" w14:paraId="5AA5B1C5" w14:textId="7AFD289A">
      <w:pPr>
        <w:pStyle w:val="Normal"/>
      </w:pPr>
      <w:r w:rsidRPr="336B5CE7" w:rsidR="265F8B38">
        <w:rPr>
          <w:noProof w:val="0"/>
          <w:lang w:val="en-GB"/>
        </w:rPr>
        <w:t>Threats: Fuel price volatility; potential entry of ride hailing apps into logistics space [Barney, 1991].</w:t>
      </w:r>
    </w:p>
    <w:p w:rsidR="336B5CE7" w:rsidP="336B5CE7" w:rsidRDefault="336B5CE7" w14:paraId="00CF2FD0" w14:textId="4EBB8955">
      <w:pPr>
        <w:pStyle w:val="Normal"/>
        <w:rPr>
          <w:noProof w:val="0"/>
          <w:lang w:val="en-GB"/>
        </w:rPr>
      </w:pPr>
    </w:p>
    <w:p w:rsidR="336B5CE7" w:rsidP="336B5CE7" w:rsidRDefault="336B5CE7" w14:paraId="33347B5E" w14:textId="1F46AD62">
      <w:pPr>
        <w:pStyle w:val="Normal"/>
        <w:rPr>
          <w:noProof w:val="0"/>
          <w:lang w:val="en-GB"/>
        </w:rPr>
      </w:pPr>
    </w:p>
    <w:p w:rsidR="2213B417" w:rsidP="336B5CE7" w:rsidRDefault="2213B417" w14:paraId="4BA25520" w14:textId="09F7ADB8">
      <w:pPr>
        <w:pStyle w:val="Subtitle"/>
      </w:pPr>
      <w:r w:rsidRPr="336B5CE7" w:rsidR="2213B417">
        <w:rPr>
          <w:noProof w:val="0"/>
          <w:lang w:val="en-GB"/>
        </w:rPr>
        <w:t>3. Operations Plan</w:t>
      </w:r>
    </w:p>
    <w:p w:rsidR="7F16A92E" w:rsidP="336B5CE7" w:rsidRDefault="7F16A92E" w14:paraId="54039A0A" w14:textId="45DA80EB">
      <w:pPr>
        <w:spacing w:before="240" w:beforeAutospacing="off" w:after="240" w:afterAutospacing="off"/>
      </w:pPr>
      <w:r w:rsidRPr="336B5CE7" w:rsidR="7F16A92E">
        <w:rPr>
          <w:rFonts w:ascii="Arial" w:hAnsi="Arial" w:eastAsia="Arial" w:cs="Arial"/>
          <w:noProof w:val="0"/>
          <w:sz w:val="24"/>
          <w:szCs w:val="24"/>
          <w:lang w:val="en-GB"/>
        </w:rPr>
        <w:t>digital first strategy</w:t>
      </w:r>
      <w:r>
        <w:br/>
      </w:r>
      <w:r w:rsidRPr="336B5CE7" w:rsidR="7F16A92E">
        <w:rPr>
          <w:rFonts w:ascii="Arial" w:hAnsi="Arial" w:eastAsia="Arial" w:cs="Arial"/>
          <w:noProof w:val="0"/>
          <w:sz w:val="24"/>
          <w:szCs w:val="24"/>
          <w:lang w:val="en-GB"/>
        </w:rPr>
        <w:t>Reliability is key to successful operations for autostream. Therefore, in order to avoid problems associated with lack of attendance or conflict with client appointments all workflow is automated [Heizer et al., 2017].</w:t>
      </w:r>
    </w:p>
    <w:p w:rsidR="7F16A92E" w:rsidP="336B5CE7" w:rsidRDefault="7F16A92E" w14:paraId="00847AB4" w14:textId="21B61858">
      <w:pPr>
        <w:pStyle w:val="Normal"/>
        <w:spacing w:before="240" w:beforeAutospacing="off" w:after="240" w:afterAutospacing="off"/>
      </w:pPr>
      <w:r w:rsidRPr="336B5CE7" w:rsidR="7F16A92E">
        <w:rPr>
          <w:rFonts w:ascii="Arial" w:hAnsi="Arial" w:eastAsia="Arial" w:cs="Arial"/>
          <w:noProof w:val="0"/>
          <w:sz w:val="24"/>
          <w:szCs w:val="24"/>
          <w:lang w:val="en-GB"/>
        </w:rPr>
        <w:t>Client booking and dispatch: client bookings are made through a mobile responsive portal. Route optimization using artificial intelligence (AI) is used to minimize Fuel consumption while maintaining timely arrival times.</w:t>
      </w:r>
    </w:p>
    <w:p w:rsidR="7F16A92E" w:rsidP="336B5CE7" w:rsidRDefault="7F16A92E" w14:paraId="0D491FB7" w14:textId="46BFE7A6">
      <w:pPr>
        <w:pStyle w:val="Normal"/>
        <w:spacing w:before="240" w:beforeAutospacing="off" w:after="240" w:afterAutospacing="off"/>
      </w:pPr>
      <w:r w:rsidRPr="336B5CE7" w:rsidR="7F16A92E">
        <w:rPr>
          <w:rFonts w:ascii="Arial" w:hAnsi="Arial" w:eastAsia="Arial" w:cs="Arial"/>
          <w:noProof w:val="0"/>
          <w:sz w:val="24"/>
          <w:szCs w:val="24"/>
          <w:lang w:val="en-GB"/>
        </w:rPr>
        <w:t>The pre flight Inspection: upon every pickup, the driver completes a 360 degree digital Inspection of the vehicle via tablet. The Inspection captures images of the vehicles’ condition, Fuel levels, mileage etc. Resulting in an instant ‘digital twin’ report being sent electronically to the client providing transparency and liability protection.</w:t>
      </w:r>
    </w:p>
    <w:p w:rsidR="7F16A92E" w:rsidP="336B5CE7" w:rsidRDefault="7F16A92E" w14:paraId="708EF73B" w14:textId="712BFC27">
      <w:pPr>
        <w:pStyle w:val="Normal"/>
        <w:spacing w:before="240" w:beforeAutospacing="off" w:after="240" w:afterAutospacing="off"/>
      </w:pPr>
      <w:r w:rsidRPr="336B5CE7" w:rsidR="7F16A92E">
        <w:rPr>
          <w:rFonts w:ascii="Arial" w:hAnsi="Arial" w:eastAsia="Arial" w:cs="Arial"/>
          <w:noProof w:val="0"/>
          <w:sz w:val="24"/>
          <w:szCs w:val="24"/>
          <w:lang w:val="en-GB"/>
        </w:rPr>
        <w:t xml:space="preserve">Preventive maintenance: to </w:t>
      </w:r>
      <w:r w:rsidRPr="336B5CE7" w:rsidR="7F16A92E">
        <w:rPr>
          <w:rFonts w:ascii="Arial" w:hAnsi="Arial" w:eastAsia="Arial" w:cs="Arial"/>
          <w:noProof w:val="0"/>
          <w:sz w:val="24"/>
          <w:szCs w:val="24"/>
          <w:lang w:val="en-GB"/>
        </w:rPr>
        <w:t>insure</w:t>
      </w:r>
      <w:r w:rsidRPr="336B5CE7" w:rsidR="7F16A92E">
        <w:rPr>
          <w:rFonts w:ascii="Arial" w:hAnsi="Arial" w:eastAsia="Arial" w:cs="Arial"/>
          <w:noProof w:val="0"/>
          <w:sz w:val="24"/>
          <w:szCs w:val="24"/>
          <w:lang w:val="en-GB"/>
        </w:rPr>
        <w:t xml:space="preserve"> no service down time occurs due to mechanical failure from </w:t>
      </w:r>
      <w:r w:rsidRPr="336B5CE7" w:rsidR="7F16A92E">
        <w:rPr>
          <w:rFonts w:ascii="Arial" w:hAnsi="Arial" w:eastAsia="Arial" w:cs="Arial"/>
          <w:noProof w:val="0"/>
          <w:sz w:val="24"/>
          <w:szCs w:val="24"/>
          <w:lang w:val="en-GB"/>
        </w:rPr>
        <w:t>autostreams</w:t>
      </w:r>
      <w:r w:rsidRPr="336B5CE7" w:rsidR="7F16A92E">
        <w:rPr>
          <w:rFonts w:ascii="Arial" w:hAnsi="Arial" w:eastAsia="Arial" w:cs="Arial"/>
          <w:noProof w:val="0"/>
          <w:sz w:val="24"/>
          <w:szCs w:val="24"/>
          <w:lang w:val="en-GB"/>
        </w:rPr>
        <w:t xml:space="preserve"> support vehicles, the support vehicles strictly adhere to preventive maintenance schedules so that </w:t>
      </w:r>
      <w:r w:rsidRPr="336B5CE7" w:rsidR="7F16A92E">
        <w:rPr>
          <w:rFonts w:ascii="Arial" w:hAnsi="Arial" w:eastAsia="Arial" w:cs="Arial"/>
          <w:noProof w:val="0"/>
          <w:sz w:val="24"/>
          <w:szCs w:val="24"/>
          <w:lang w:val="en-GB"/>
        </w:rPr>
        <w:t>autostream</w:t>
      </w:r>
      <w:r w:rsidRPr="336B5CE7" w:rsidR="7F16A92E">
        <w:rPr>
          <w:rFonts w:ascii="Arial" w:hAnsi="Arial" w:eastAsia="Arial" w:cs="Arial"/>
          <w:noProof w:val="0"/>
          <w:sz w:val="24"/>
          <w:szCs w:val="24"/>
          <w:lang w:val="en-GB"/>
        </w:rPr>
        <w:t xml:space="preserve"> never fails to meet one of its clients scheduled appointment times.</w:t>
      </w:r>
    </w:p>
    <w:p w:rsidR="336B5CE7" w:rsidP="336B5CE7" w:rsidRDefault="336B5CE7" w14:paraId="7D2834A6" w14:textId="15772565">
      <w:pPr>
        <w:spacing w:before="240" w:beforeAutospacing="off" w:after="240" w:afterAutospacing="off"/>
        <w:rPr>
          <w:rFonts w:ascii="Arial" w:hAnsi="Arial" w:eastAsia="Arial" w:cs="Arial"/>
          <w:noProof w:val="0"/>
          <w:sz w:val="24"/>
          <w:szCs w:val="24"/>
          <w:lang w:val="en-GB"/>
        </w:rPr>
      </w:pPr>
    </w:p>
    <w:p w:rsidR="2213B417" w:rsidP="336B5CE7" w:rsidRDefault="2213B417" w14:paraId="513C6ED4" w14:textId="69D8415D">
      <w:pPr>
        <w:pStyle w:val="Normal"/>
        <w:rPr>
          <w:noProof w:val="0"/>
          <w:lang w:val="en-GB"/>
        </w:rPr>
      </w:pPr>
      <w:r w:rsidRPr="336B5CE7" w:rsidR="2213B417">
        <w:rPr>
          <w:noProof w:val="0"/>
          <w:lang w:val="en-GB"/>
        </w:rPr>
        <w:t xml:space="preserve"> </w:t>
      </w:r>
    </w:p>
    <w:p w:rsidR="5136DA4F" w:rsidP="336B5CE7" w:rsidRDefault="5136DA4F" w14:paraId="17EB2BD2" w14:textId="7E388832">
      <w:pPr>
        <w:pStyle w:val="Subtitle"/>
      </w:pPr>
      <w:r w:rsidRPr="336B5CE7" w:rsidR="5136DA4F">
        <w:rPr>
          <w:noProof w:val="0"/>
          <w:lang w:val="en-GB"/>
        </w:rPr>
        <w:t>4. Financial Plan and Growth</w:t>
      </w:r>
    </w:p>
    <w:tbl>
      <w:tblPr>
        <w:tblStyle w:val="TableGrid"/>
        <w:bidiVisual w:val="0"/>
        <w:tblW w:w="0" w:type="auto"/>
        <w:tblLook w:val="06A0" w:firstRow="1" w:lastRow="0" w:firstColumn="1" w:lastColumn="0" w:noHBand="1" w:noVBand="1"/>
      </w:tblPr>
      <w:tblGrid>
        <w:gridCol w:w="1395"/>
        <w:gridCol w:w="1395"/>
        <w:gridCol w:w="1485"/>
        <w:gridCol w:w="1395"/>
        <w:gridCol w:w="1395"/>
        <w:gridCol w:w="1395"/>
      </w:tblGrid>
      <w:tr w:rsidR="336B5CE7" w:rsidTr="336B5CE7" w14:paraId="42401698">
        <w:trPr>
          <w:trHeight w:val="315"/>
        </w:trPr>
        <w:tc>
          <w:tcPr>
            <w:tcW w:w="1395"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336B5CE7" w:rsidP="336B5CE7" w:rsidRDefault="336B5CE7" w14:paraId="5A4A5F7C" w14:textId="0F0312C6">
            <w:pPr>
              <w:spacing w:before="0" w:beforeAutospacing="off" w:after="0" w:afterAutospacing="off"/>
            </w:pPr>
            <w:r w:rsidRPr="336B5CE7" w:rsidR="336B5CE7">
              <w:rPr>
                <w:rFonts w:ascii="Arial" w:hAnsi="Arial" w:eastAsia="Arial" w:cs="Arial"/>
                <w:sz w:val="20"/>
                <w:szCs w:val="20"/>
              </w:rPr>
              <w:t>Category</w:t>
            </w:r>
          </w:p>
        </w:tc>
        <w:tc>
          <w:tcPr>
            <w:tcW w:w="1395"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336B5CE7" w:rsidP="336B5CE7" w:rsidRDefault="336B5CE7" w14:paraId="2B518083" w14:textId="686CCD73">
            <w:pPr>
              <w:spacing w:before="0" w:beforeAutospacing="off" w:after="0" w:afterAutospacing="off"/>
            </w:pPr>
            <w:r w:rsidRPr="336B5CE7" w:rsidR="336B5CE7">
              <w:rPr>
                <w:rFonts w:ascii="Arial" w:hAnsi="Arial" w:eastAsia="Arial" w:cs="Arial"/>
                <w:sz w:val="20"/>
                <w:szCs w:val="20"/>
              </w:rPr>
              <w:t>Allocation</w:t>
            </w:r>
          </w:p>
        </w:tc>
        <w:tc>
          <w:tcPr>
            <w:tcW w:w="1485"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336B5CE7" w:rsidP="336B5CE7" w:rsidRDefault="336B5CE7" w14:paraId="4C19EA2D" w14:textId="6E0FEC9B">
            <w:pPr>
              <w:spacing w:before="0" w:beforeAutospacing="off" w:after="0" w:afterAutospacing="off"/>
            </w:pPr>
            <w:r w:rsidRPr="336B5CE7" w:rsidR="336B5CE7">
              <w:rPr>
                <w:rFonts w:ascii="Arial" w:hAnsi="Arial" w:eastAsia="Arial" w:cs="Arial"/>
                <w:sz w:val="20"/>
                <w:szCs w:val="20"/>
              </w:rPr>
              <w:t>Description</w:t>
            </w:r>
          </w:p>
        </w:tc>
        <w:tc>
          <w:tcPr>
            <w:tcW w:w="1395"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336B5CE7" w:rsidRDefault="336B5CE7" w14:paraId="4FEF2A56" w14:textId="5A2AC1A5"/>
        </w:tc>
        <w:tc>
          <w:tcPr>
            <w:tcW w:w="1395"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336B5CE7" w:rsidRDefault="336B5CE7" w14:paraId="7109C3EC" w14:textId="704B6A97"/>
        </w:tc>
        <w:tc>
          <w:tcPr>
            <w:tcW w:w="1395"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336B5CE7" w:rsidRDefault="336B5CE7" w14:paraId="37672A9F" w14:textId="0C712D68"/>
        </w:tc>
      </w:tr>
      <w:tr w:rsidR="336B5CE7" w:rsidTr="336B5CE7" w14:paraId="4608396C">
        <w:trPr>
          <w:trHeight w:val="315"/>
        </w:trPr>
        <w:tc>
          <w:tcPr>
            <w:tcW w:w="1395"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336B5CE7" w:rsidP="336B5CE7" w:rsidRDefault="336B5CE7" w14:paraId="6B784E52" w14:textId="6E692322">
            <w:pPr>
              <w:spacing w:before="0" w:beforeAutospacing="off" w:after="0" w:afterAutospacing="off"/>
            </w:pPr>
            <w:r w:rsidRPr="336B5CE7" w:rsidR="336B5CE7">
              <w:rPr>
                <w:rFonts w:ascii="Arial" w:hAnsi="Arial" w:eastAsia="Arial" w:cs="Arial"/>
                <w:sz w:val="20"/>
                <w:szCs w:val="20"/>
              </w:rPr>
              <w:t>Asset Acquisition</w:t>
            </w:r>
          </w:p>
        </w:tc>
        <w:tc>
          <w:tcPr>
            <w:tcW w:w="1395"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336B5CE7" w:rsidP="336B5CE7" w:rsidRDefault="336B5CE7" w14:paraId="1B503C4B" w14:textId="69020A40">
            <w:pPr>
              <w:spacing w:before="0" w:beforeAutospacing="off" w:after="0" w:afterAutospacing="off"/>
              <w:jc w:val="right"/>
            </w:pPr>
            <w:r w:rsidRPr="336B5CE7" w:rsidR="336B5CE7">
              <w:rPr>
                <w:rFonts w:ascii="Arial" w:hAnsi="Arial" w:eastAsia="Arial" w:cs="Arial"/>
                <w:sz w:val="20"/>
                <w:szCs w:val="20"/>
              </w:rPr>
              <w:t>£25,000</w:t>
            </w:r>
          </w:p>
        </w:tc>
        <w:tc>
          <w:tcPr>
            <w:tcW w:w="1485" w:type="dxa"/>
            <w:tcBorders>
              <w:top w:val="single" w:color="CCCCCC" w:sz="6"/>
              <w:left w:val="single" w:color="CCCCCC" w:sz="6"/>
              <w:bottom w:val="single" w:color="CCCCCC" w:sz="6"/>
              <w:right w:val="single" w:sz="6"/>
            </w:tcBorders>
            <w:tcMar>
              <w:top w:w="30" w:type="dxa"/>
              <w:bottom w:w="30" w:type="dxa"/>
            </w:tcMar>
            <w:vAlign w:val="bottom"/>
          </w:tcPr>
          <w:p w:rsidR="336B5CE7" w:rsidP="336B5CE7" w:rsidRDefault="336B5CE7" w14:paraId="24671490" w14:textId="6B54D9A2">
            <w:pPr>
              <w:spacing w:before="0" w:beforeAutospacing="off" w:after="0" w:afterAutospacing="off"/>
            </w:pPr>
            <w:r w:rsidRPr="336B5CE7" w:rsidR="336B5CE7">
              <w:rPr>
                <w:rFonts w:ascii="Arial" w:hAnsi="Arial" w:eastAsia="Arial" w:cs="Arial"/>
                <w:sz w:val="20"/>
                <w:szCs w:val="20"/>
              </w:rPr>
              <w:t>Acquisition of a professional, late-model support vehicle.</w:t>
            </w:r>
          </w:p>
        </w:tc>
        <w:tc>
          <w:tcPr>
            <w:tcW w:w="1395" w:type="dxa"/>
            <w:tcBorders>
              <w:top w:val="single" w:color="CCCCCC" w:sz="6"/>
              <w:left w:val="single" w:color="CCCCCC" w:sz="6"/>
              <w:bottom w:val="single" w:color="CCCCCC" w:sz="6"/>
              <w:right w:val="single" w:sz="6"/>
            </w:tcBorders>
            <w:tcMar>
              <w:top w:w="30" w:type="dxa"/>
              <w:left w:w="45" w:type="dxa"/>
              <w:bottom w:w="30" w:type="dxa"/>
              <w:right w:w="45" w:type="dxa"/>
            </w:tcMar>
            <w:vAlign w:val="bottom"/>
          </w:tcPr>
          <w:p w:rsidR="336B5CE7" w:rsidRDefault="336B5CE7" w14:paraId="0731DE07" w14:textId="40CF8B8E"/>
        </w:tc>
        <w:tc>
          <w:tcPr>
            <w:tcW w:w="1395" w:type="dxa"/>
            <w:tcBorders>
              <w:top w:val="single" w:color="CCCCCC" w:sz="6"/>
              <w:left w:val="single" w:color="CCCCCC" w:sz="6"/>
              <w:bottom w:val="single" w:color="CCCCCC" w:sz="6"/>
              <w:right w:val="single" w:sz="6"/>
            </w:tcBorders>
            <w:tcMar>
              <w:top w:w="30" w:type="dxa"/>
              <w:left w:w="45" w:type="dxa"/>
              <w:bottom w:w="30" w:type="dxa"/>
              <w:right w:w="45" w:type="dxa"/>
            </w:tcMar>
            <w:vAlign w:val="bottom"/>
          </w:tcPr>
          <w:p w:rsidR="336B5CE7" w:rsidRDefault="336B5CE7" w14:paraId="3A1D7815" w14:textId="0538D288"/>
        </w:tc>
        <w:tc>
          <w:tcPr>
            <w:tcW w:w="1395"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336B5CE7" w:rsidRDefault="336B5CE7" w14:paraId="21380B2F" w14:textId="7AEFFF2F"/>
        </w:tc>
      </w:tr>
      <w:tr w:rsidR="336B5CE7" w:rsidTr="336B5CE7" w14:paraId="453B5985">
        <w:trPr>
          <w:trHeight w:val="315"/>
        </w:trPr>
        <w:tc>
          <w:tcPr>
            <w:tcW w:w="1395"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336B5CE7" w:rsidP="336B5CE7" w:rsidRDefault="336B5CE7" w14:paraId="539929AB" w14:textId="52474305">
            <w:pPr>
              <w:spacing w:before="0" w:beforeAutospacing="off" w:after="0" w:afterAutospacing="off"/>
            </w:pPr>
            <w:r w:rsidRPr="336B5CE7" w:rsidR="336B5CE7">
              <w:rPr>
                <w:rFonts w:ascii="Arial" w:hAnsi="Arial" w:eastAsia="Arial" w:cs="Arial"/>
                <w:sz w:val="20"/>
                <w:szCs w:val="20"/>
              </w:rPr>
              <w:t>Specialist Insurance</w:t>
            </w:r>
          </w:p>
        </w:tc>
        <w:tc>
          <w:tcPr>
            <w:tcW w:w="1395"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336B5CE7" w:rsidP="336B5CE7" w:rsidRDefault="336B5CE7" w14:paraId="4778CC81" w14:textId="650F2505">
            <w:pPr>
              <w:spacing w:before="0" w:beforeAutospacing="off" w:after="0" w:afterAutospacing="off"/>
              <w:jc w:val="right"/>
            </w:pPr>
            <w:r w:rsidRPr="336B5CE7" w:rsidR="336B5CE7">
              <w:rPr>
                <w:rFonts w:ascii="Arial" w:hAnsi="Arial" w:eastAsia="Arial" w:cs="Arial"/>
                <w:sz w:val="20"/>
                <w:szCs w:val="20"/>
              </w:rPr>
              <w:t>£8,000</w:t>
            </w:r>
          </w:p>
        </w:tc>
        <w:tc>
          <w:tcPr>
            <w:tcW w:w="1485" w:type="dxa"/>
            <w:tcBorders>
              <w:top w:val="single" w:color="CCCCCC" w:sz="6"/>
              <w:left w:val="single" w:color="CCCCCC" w:sz="6"/>
              <w:bottom w:val="single" w:color="CCCCCC" w:sz="6"/>
              <w:right w:val="single" w:sz="6"/>
            </w:tcBorders>
            <w:tcMar>
              <w:top w:w="30" w:type="dxa"/>
              <w:bottom w:w="30" w:type="dxa"/>
            </w:tcMar>
            <w:vAlign w:val="bottom"/>
          </w:tcPr>
          <w:p w:rsidR="336B5CE7" w:rsidP="336B5CE7" w:rsidRDefault="336B5CE7" w14:paraId="31B964FC" w14:textId="7308BBE1">
            <w:pPr>
              <w:spacing w:before="0" w:beforeAutospacing="off" w:after="0" w:afterAutospacing="off"/>
            </w:pPr>
            <w:r w:rsidRPr="336B5CE7" w:rsidR="336B5CE7">
              <w:rPr>
                <w:rFonts w:ascii="Arial" w:hAnsi="Arial" w:eastAsia="Arial" w:cs="Arial"/>
                <w:sz w:val="20"/>
                <w:szCs w:val="20"/>
              </w:rPr>
              <w:t>Comprehensive Motor Trade (All Risks) &amp; Public Liability.</w:t>
            </w:r>
          </w:p>
        </w:tc>
        <w:tc>
          <w:tcPr>
            <w:tcW w:w="1395" w:type="dxa"/>
            <w:tcBorders>
              <w:top w:val="single" w:color="CCCCCC" w:sz="6"/>
              <w:left w:val="single" w:color="CCCCCC" w:sz="6"/>
              <w:bottom w:val="single" w:color="CCCCCC" w:sz="6"/>
              <w:right w:val="single" w:sz="6"/>
            </w:tcBorders>
            <w:tcMar>
              <w:top w:w="30" w:type="dxa"/>
              <w:left w:w="45" w:type="dxa"/>
              <w:bottom w:w="30" w:type="dxa"/>
              <w:right w:w="45" w:type="dxa"/>
            </w:tcMar>
            <w:vAlign w:val="bottom"/>
          </w:tcPr>
          <w:p w:rsidR="336B5CE7" w:rsidRDefault="336B5CE7" w14:paraId="5E8A6514" w14:textId="6B3C246C"/>
        </w:tc>
        <w:tc>
          <w:tcPr>
            <w:tcW w:w="1395" w:type="dxa"/>
            <w:tcBorders>
              <w:top w:val="single" w:color="CCCCCC" w:sz="6"/>
              <w:left w:val="single" w:color="CCCCCC" w:sz="6"/>
              <w:bottom w:val="single" w:color="CCCCCC" w:sz="6"/>
              <w:right w:val="single" w:sz="6"/>
            </w:tcBorders>
            <w:tcMar>
              <w:top w:w="30" w:type="dxa"/>
              <w:left w:w="45" w:type="dxa"/>
              <w:bottom w:w="30" w:type="dxa"/>
              <w:right w:w="45" w:type="dxa"/>
            </w:tcMar>
            <w:vAlign w:val="bottom"/>
          </w:tcPr>
          <w:p w:rsidR="336B5CE7" w:rsidRDefault="336B5CE7" w14:paraId="5CB97EA2" w14:textId="3A51C944"/>
        </w:tc>
        <w:tc>
          <w:tcPr>
            <w:tcW w:w="1395"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336B5CE7" w:rsidRDefault="336B5CE7" w14:paraId="69B9F1BE" w14:textId="7BA0C36D"/>
        </w:tc>
      </w:tr>
      <w:tr w:rsidR="336B5CE7" w:rsidTr="336B5CE7" w14:paraId="47E4746A">
        <w:trPr>
          <w:trHeight w:val="315"/>
        </w:trPr>
        <w:tc>
          <w:tcPr>
            <w:tcW w:w="1395"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336B5CE7" w:rsidP="336B5CE7" w:rsidRDefault="336B5CE7" w14:paraId="3812EF37" w14:textId="4C141FE7">
            <w:pPr>
              <w:spacing w:before="0" w:beforeAutospacing="off" w:after="0" w:afterAutospacing="off"/>
            </w:pPr>
            <w:r w:rsidRPr="336B5CE7" w:rsidR="336B5CE7">
              <w:rPr>
                <w:rFonts w:ascii="Arial" w:hAnsi="Arial" w:eastAsia="Arial" w:cs="Arial"/>
                <w:sz w:val="20"/>
                <w:szCs w:val="20"/>
              </w:rPr>
              <w:t>Marketing &amp; Tech</w:t>
            </w:r>
          </w:p>
        </w:tc>
        <w:tc>
          <w:tcPr>
            <w:tcW w:w="1395"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336B5CE7" w:rsidP="336B5CE7" w:rsidRDefault="336B5CE7" w14:paraId="30BC6576" w14:textId="618EBC6A">
            <w:pPr>
              <w:spacing w:before="0" w:beforeAutospacing="off" w:after="0" w:afterAutospacing="off"/>
              <w:jc w:val="right"/>
            </w:pPr>
            <w:r w:rsidRPr="336B5CE7" w:rsidR="336B5CE7">
              <w:rPr>
                <w:rFonts w:ascii="Arial" w:hAnsi="Arial" w:eastAsia="Arial" w:cs="Arial"/>
                <w:sz w:val="20"/>
                <w:szCs w:val="20"/>
              </w:rPr>
              <w:t>£7,000</w:t>
            </w:r>
          </w:p>
        </w:tc>
        <w:tc>
          <w:tcPr>
            <w:tcW w:w="1485" w:type="dxa"/>
            <w:tcBorders>
              <w:top w:val="single" w:color="CCCCCC" w:sz="6"/>
              <w:left w:val="single" w:color="CCCCCC" w:sz="6"/>
              <w:bottom w:val="single" w:color="CCCCCC" w:sz="6"/>
              <w:right w:val="single" w:sz="6"/>
            </w:tcBorders>
            <w:tcMar>
              <w:top w:w="30" w:type="dxa"/>
              <w:bottom w:w="30" w:type="dxa"/>
            </w:tcMar>
            <w:vAlign w:val="bottom"/>
          </w:tcPr>
          <w:p w:rsidR="336B5CE7" w:rsidP="336B5CE7" w:rsidRDefault="336B5CE7" w14:paraId="6C50FF7A" w14:textId="561B784B">
            <w:pPr>
              <w:spacing w:before="0" w:beforeAutospacing="off" w:after="0" w:afterAutospacing="off"/>
            </w:pPr>
            <w:r w:rsidRPr="336B5CE7" w:rsidR="336B5CE7">
              <w:rPr>
                <w:rFonts w:ascii="Arial" w:hAnsi="Arial" w:eastAsia="Arial" w:cs="Arial"/>
                <w:sz w:val="20"/>
                <w:szCs w:val="20"/>
              </w:rPr>
              <w:t>Website development, CRM, and localized SEO targeting.</w:t>
            </w:r>
          </w:p>
        </w:tc>
        <w:tc>
          <w:tcPr>
            <w:tcW w:w="1395" w:type="dxa"/>
            <w:tcBorders>
              <w:top w:val="single" w:color="CCCCCC" w:sz="6"/>
              <w:left w:val="single" w:color="CCCCCC" w:sz="6"/>
              <w:bottom w:val="single" w:color="CCCCCC" w:sz="6"/>
              <w:right w:val="single" w:sz="6"/>
            </w:tcBorders>
            <w:tcMar>
              <w:top w:w="30" w:type="dxa"/>
              <w:left w:w="45" w:type="dxa"/>
              <w:bottom w:w="30" w:type="dxa"/>
              <w:right w:w="45" w:type="dxa"/>
            </w:tcMar>
            <w:vAlign w:val="bottom"/>
          </w:tcPr>
          <w:p w:rsidR="336B5CE7" w:rsidRDefault="336B5CE7" w14:paraId="6F74B247" w14:textId="09F18AD2"/>
        </w:tc>
        <w:tc>
          <w:tcPr>
            <w:tcW w:w="1395" w:type="dxa"/>
            <w:tcBorders>
              <w:top w:val="single" w:color="CCCCCC" w:sz="6"/>
              <w:left w:val="single" w:color="CCCCCC" w:sz="6"/>
              <w:bottom w:val="single" w:color="CCCCCC" w:sz="6"/>
              <w:right w:val="single" w:sz="6"/>
            </w:tcBorders>
            <w:tcMar>
              <w:top w:w="30" w:type="dxa"/>
              <w:left w:w="45" w:type="dxa"/>
              <w:bottom w:w="30" w:type="dxa"/>
              <w:right w:w="45" w:type="dxa"/>
            </w:tcMar>
            <w:vAlign w:val="bottom"/>
          </w:tcPr>
          <w:p w:rsidR="336B5CE7" w:rsidRDefault="336B5CE7" w14:paraId="6C54F742" w14:textId="7F86A135"/>
        </w:tc>
        <w:tc>
          <w:tcPr>
            <w:tcW w:w="1395"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336B5CE7" w:rsidRDefault="336B5CE7" w14:paraId="15673A07" w14:textId="6AE8FC6B"/>
        </w:tc>
      </w:tr>
      <w:tr w:rsidR="336B5CE7" w:rsidTr="336B5CE7" w14:paraId="12B5F9E1">
        <w:trPr>
          <w:trHeight w:val="315"/>
        </w:trPr>
        <w:tc>
          <w:tcPr>
            <w:tcW w:w="1395"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336B5CE7" w:rsidP="336B5CE7" w:rsidRDefault="336B5CE7" w14:paraId="69FC5CE3" w14:textId="00400BFA">
            <w:pPr>
              <w:spacing w:before="0" w:beforeAutospacing="off" w:after="0" w:afterAutospacing="off"/>
            </w:pPr>
            <w:r w:rsidRPr="336B5CE7" w:rsidR="336B5CE7">
              <w:rPr>
                <w:rFonts w:ascii="Arial" w:hAnsi="Arial" w:eastAsia="Arial" w:cs="Arial"/>
                <w:sz w:val="20"/>
                <w:szCs w:val="20"/>
              </w:rPr>
              <w:t>Working Capital</w:t>
            </w:r>
          </w:p>
        </w:tc>
        <w:tc>
          <w:tcPr>
            <w:tcW w:w="1395"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336B5CE7" w:rsidP="336B5CE7" w:rsidRDefault="336B5CE7" w14:paraId="7684E9CD" w14:textId="7F112A18">
            <w:pPr>
              <w:spacing w:before="0" w:beforeAutospacing="off" w:after="0" w:afterAutospacing="off"/>
              <w:jc w:val="right"/>
            </w:pPr>
            <w:r w:rsidRPr="336B5CE7" w:rsidR="336B5CE7">
              <w:rPr>
                <w:rFonts w:ascii="Arial" w:hAnsi="Arial" w:eastAsia="Arial" w:cs="Arial"/>
                <w:sz w:val="20"/>
                <w:szCs w:val="20"/>
              </w:rPr>
              <w:t>£10,000</w:t>
            </w:r>
          </w:p>
        </w:tc>
        <w:tc>
          <w:tcPr>
            <w:tcW w:w="1485" w:type="dxa"/>
            <w:tcBorders>
              <w:top w:val="single" w:color="CCCCCC" w:sz="6"/>
              <w:left w:val="single" w:color="CCCCCC" w:sz="6"/>
              <w:bottom w:val="single" w:color="CCCCCC" w:sz="6"/>
              <w:right w:val="single" w:sz="6"/>
            </w:tcBorders>
            <w:tcMar>
              <w:top w:w="30" w:type="dxa"/>
              <w:bottom w:w="30" w:type="dxa"/>
            </w:tcMar>
            <w:vAlign w:val="bottom"/>
          </w:tcPr>
          <w:p w:rsidR="336B5CE7" w:rsidP="336B5CE7" w:rsidRDefault="336B5CE7" w14:paraId="763C7FE6" w14:textId="110AA4E7">
            <w:pPr>
              <w:spacing w:before="0" w:beforeAutospacing="off" w:after="0" w:afterAutospacing="off"/>
            </w:pPr>
            <w:r w:rsidRPr="336B5CE7" w:rsidR="336B5CE7">
              <w:rPr>
                <w:rFonts w:ascii="Arial" w:hAnsi="Arial" w:eastAsia="Arial" w:cs="Arial"/>
                <w:sz w:val="20"/>
                <w:szCs w:val="20"/>
              </w:rPr>
              <w:t>Operational buffer for fuel, maintenance, and 3-month runway.</w:t>
            </w:r>
          </w:p>
        </w:tc>
        <w:tc>
          <w:tcPr>
            <w:tcW w:w="1395" w:type="dxa"/>
            <w:tcBorders>
              <w:top w:val="single" w:color="CCCCCC" w:sz="6"/>
              <w:left w:val="single" w:color="CCCCCC" w:sz="6"/>
              <w:bottom w:val="single" w:color="CCCCCC" w:sz="6"/>
              <w:right w:val="single" w:sz="6"/>
            </w:tcBorders>
            <w:tcMar>
              <w:top w:w="30" w:type="dxa"/>
              <w:left w:w="45" w:type="dxa"/>
              <w:bottom w:w="30" w:type="dxa"/>
              <w:right w:w="45" w:type="dxa"/>
            </w:tcMar>
            <w:vAlign w:val="bottom"/>
          </w:tcPr>
          <w:p w:rsidR="336B5CE7" w:rsidRDefault="336B5CE7" w14:paraId="6EF5EA3E" w14:textId="483061D7"/>
        </w:tc>
        <w:tc>
          <w:tcPr>
            <w:tcW w:w="1395" w:type="dxa"/>
            <w:tcBorders>
              <w:top w:val="single" w:color="CCCCCC" w:sz="6"/>
              <w:left w:val="single" w:color="CCCCCC" w:sz="6"/>
              <w:bottom w:val="single" w:color="CCCCCC" w:sz="6"/>
              <w:right w:val="single" w:sz="6"/>
            </w:tcBorders>
            <w:tcMar>
              <w:top w:w="30" w:type="dxa"/>
              <w:left w:w="45" w:type="dxa"/>
              <w:bottom w:w="30" w:type="dxa"/>
              <w:right w:w="45" w:type="dxa"/>
            </w:tcMar>
            <w:vAlign w:val="bottom"/>
          </w:tcPr>
          <w:p w:rsidR="336B5CE7" w:rsidRDefault="336B5CE7" w14:paraId="591254B5" w14:textId="7A175219"/>
        </w:tc>
        <w:tc>
          <w:tcPr>
            <w:tcW w:w="1395" w:type="dxa"/>
            <w:tcBorders>
              <w:top w:val="single" w:color="CCCCCC" w:sz="6"/>
              <w:left w:val="single" w:color="CCCCCC" w:sz="6"/>
              <w:bottom w:val="single" w:color="CCCCCC" w:sz="6"/>
              <w:right w:val="single" w:color="CCCCCC" w:sz="6"/>
            </w:tcBorders>
            <w:tcMar>
              <w:top w:w="30" w:type="dxa"/>
              <w:left w:w="45" w:type="dxa"/>
              <w:bottom w:w="30" w:type="dxa"/>
              <w:right w:w="45" w:type="dxa"/>
            </w:tcMar>
            <w:vAlign w:val="bottom"/>
          </w:tcPr>
          <w:p w:rsidR="336B5CE7" w:rsidRDefault="336B5CE7" w14:paraId="4907B992" w14:textId="717D077A"/>
        </w:tc>
      </w:tr>
    </w:tbl>
    <w:p w:rsidR="336B5CE7" w:rsidP="336B5CE7" w:rsidRDefault="336B5CE7" w14:paraId="5055E3F8" w14:textId="6C6C938A">
      <w:pPr>
        <w:pStyle w:val="Normal"/>
        <w:rPr>
          <w:noProof w:val="0"/>
          <w:lang w:val="en-GB"/>
        </w:rPr>
      </w:pPr>
    </w:p>
    <w:p w:rsidR="7DCBE343" w:rsidP="336B5CE7" w:rsidRDefault="7DCBE343" w14:paraId="05551B34" w14:textId="4FFAF4AA">
      <w:pPr>
        <w:pStyle w:val="Normal"/>
        <w:rPr>
          <w:rFonts w:ascii="Arial" w:hAnsi="Arial"/>
          <w:b w:val="1"/>
          <w:bCs w:val="1"/>
          <w:noProof w:val="0"/>
          <w:sz w:val="24"/>
          <w:szCs w:val="24"/>
          <w:lang w:val="en-GB"/>
        </w:rPr>
      </w:pPr>
      <w:r w:rsidRPr="336B5CE7" w:rsidR="7DCBE343">
        <w:rPr>
          <w:rFonts w:ascii="Arial" w:hAnsi="Arial"/>
          <w:b w:val="1"/>
          <w:bCs w:val="1"/>
          <w:noProof w:val="0"/>
          <w:sz w:val="24"/>
          <w:szCs w:val="24"/>
          <w:lang w:val="en-GB"/>
        </w:rPr>
        <w:t>Growth Strategy:</w:t>
      </w:r>
    </w:p>
    <w:p w:rsidR="44769D12" w:rsidP="336B5CE7" w:rsidRDefault="44769D12" w14:paraId="76500E4B" w14:textId="475243A9">
      <w:pPr>
        <w:pStyle w:val="Normal"/>
        <w:suppressLineNumbers w:val="0"/>
        <w:bidi w:val="0"/>
        <w:spacing w:before="240" w:beforeAutospacing="off" w:after="240" w:afterAutospacing="off"/>
        <w:jc w:val="left"/>
        <w:rPr>
          <w:rFonts w:ascii="Arial" w:hAnsi="Arial"/>
          <w:b w:val="0"/>
          <w:bCs w:val="0"/>
          <w:noProof w:val="0"/>
          <w:sz w:val="24"/>
          <w:szCs w:val="24"/>
          <w:lang w:val="en-GB"/>
        </w:rPr>
      </w:pPr>
      <w:r w:rsidRPr="336B5CE7" w:rsidR="44769D12">
        <w:rPr>
          <w:rFonts w:ascii="Arial" w:hAnsi="Arial"/>
          <w:b w:val="0"/>
          <w:bCs w:val="0"/>
          <w:noProof w:val="0"/>
          <w:sz w:val="24"/>
          <w:szCs w:val="24"/>
          <w:lang w:val="en-GB"/>
        </w:rPr>
        <w:t xml:space="preserve">It includes </w:t>
      </w:r>
      <w:r w:rsidRPr="336B5CE7" w:rsidR="44769D12">
        <w:rPr>
          <w:rFonts w:ascii="Arial" w:hAnsi="Arial" w:eastAsia="Arial" w:cs="Arial"/>
          <w:noProof w:val="0"/>
          <w:sz w:val="24"/>
          <w:szCs w:val="24"/>
          <w:lang w:val="en-GB"/>
        </w:rPr>
        <w:t>25 percent increase in revenue each year. In addition to this we are going to develop a subscription model that is going to enable our customers to have access to our services at a fixed price per month with an option of annual contract and having their vehicle's MOT/Servicing booked first.</w:t>
      </w:r>
    </w:p>
    <w:p w:rsidR="336B5CE7" w:rsidP="336B5CE7" w:rsidRDefault="336B5CE7" w14:paraId="0DE80A62" w14:textId="23AC93BB">
      <w:pPr>
        <w:pStyle w:val="Normal"/>
        <w:suppressLineNumbers w:val="0"/>
        <w:bidi w:val="0"/>
        <w:spacing w:before="240" w:beforeAutospacing="off" w:after="240" w:afterAutospacing="off"/>
        <w:jc w:val="left"/>
        <w:rPr>
          <w:rFonts w:ascii="Arial" w:hAnsi="Arial" w:eastAsia="Arial" w:cs="Arial"/>
          <w:noProof w:val="0"/>
          <w:sz w:val="24"/>
          <w:szCs w:val="24"/>
          <w:lang w:val="en-GB"/>
        </w:rPr>
      </w:pPr>
    </w:p>
    <w:p w:rsidR="025F89D9" w:rsidP="336B5CE7" w:rsidRDefault="025F89D9" w14:paraId="739A82D7" w14:textId="1688762F">
      <w:pPr>
        <w:pStyle w:val="Subtitle"/>
        <w:bidi w:val="0"/>
        <w:rPr>
          <w:rFonts w:ascii="Arial" w:hAnsi="Arial" w:eastAsia="Arial" w:cs="Arial"/>
          <w:noProof w:val="0"/>
          <w:sz w:val="24"/>
          <w:szCs w:val="24"/>
          <w:lang w:val="en-GB"/>
        </w:rPr>
      </w:pPr>
      <w:r w:rsidRPr="336B5CE7" w:rsidR="025F89D9">
        <w:rPr>
          <w:noProof w:val="0"/>
          <w:lang w:val="en-GB"/>
        </w:rPr>
        <w:t xml:space="preserve">5. Risk Management </w:t>
      </w:r>
    </w:p>
    <w:p w:rsidR="214DE983" w:rsidP="336B5CE7" w:rsidRDefault="214DE983" w14:paraId="61411CBD" w14:textId="5146BF61">
      <w:pPr>
        <w:bidi w:val="0"/>
        <w:spacing w:before="240" w:beforeAutospacing="off" w:after="240" w:afterAutospacing="off"/>
      </w:pPr>
      <w:r w:rsidRPr="336B5CE7" w:rsidR="214DE983">
        <w:rPr>
          <w:rFonts w:ascii="Arial" w:hAnsi="Arial" w:eastAsia="Arial" w:cs="Arial"/>
          <w:noProof w:val="0"/>
          <w:sz w:val="24"/>
          <w:szCs w:val="24"/>
          <w:lang w:val="en-GB"/>
        </w:rPr>
        <w:t>to establish 100% reliability &amp; professional trust for rebuilding, AutoStream is utilizing a cloud-based log system. The log system captures all milestones of a jobs, from start-to-finish, including: En Route, Vehicle Collected, Arrived at Garage, Returned to Owner.</w:t>
      </w:r>
    </w:p>
    <w:p w:rsidR="214DE983" w:rsidP="336B5CE7" w:rsidRDefault="214DE983" w14:paraId="4288FBF8" w14:textId="12FFF13A">
      <w:pPr>
        <w:bidi w:val="0"/>
        <w:spacing w:before="240" w:beforeAutospacing="off" w:after="240" w:afterAutospacing="off"/>
      </w:pPr>
      <w:r w:rsidRPr="336B5CE7" w:rsidR="214DE983">
        <w:rPr>
          <w:rFonts w:ascii="Arial" w:hAnsi="Arial" w:eastAsia="Arial" w:cs="Arial"/>
          <w:noProof w:val="0"/>
          <w:sz w:val="24"/>
          <w:szCs w:val="24"/>
          <w:lang w:val="en-GB"/>
        </w:rPr>
        <w:t>Liability Mitigation:</w:t>
      </w:r>
    </w:p>
    <w:p w:rsidR="214DE983" w:rsidP="336B5CE7" w:rsidRDefault="214DE983" w14:paraId="56446D95" w14:textId="6CB9A3C3">
      <w:pPr>
        <w:bidi w:val="0"/>
        <w:spacing w:before="240" w:beforeAutospacing="off" w:after="240" w:afterAutospacing="off"/>
      </w:pPr>
      <w:r w:rsidRPr="336B5CE7" w:rsidR="214DE983">
        <w:rPr>
          <w:rFonts w:ascii="Arial" w:hAnsi="Arial" w:eastAsia="Arial" w:cs="Arial"/>
          <w:noProof w:val="0"/>
          <w:sz w:val="24"/>
          <w:szCs w:val="24"/>
          <w:lang w:val="en-GB"/>
        </w:rPr>
        <w:t xml:space="preserve">Transferring high value assets can be extremely risky; </w:t>
      </w:r>
      <w:r w:rsidRPr="336B5CE7" w:rsidR="214DE983">
        <w:rPr>
          <w:rFonts w:ascii="Arial" w:hAnsi="Arial" w:eastAsia="Arial" w:cs="Arial"/>
          <w:noProof w:val="0"/>
          <w:sz w:val="24"/>
          <w:szCs w:val="24"/>
          <w:lang w:val="en-GB"/>
        </w:rPr>
        <w:t>therefore</w:t>
      </w:r>
      <w:r w:rsidRPr="336B5CE7" w:rsidR="214DE983">
        <w:rPr>
          <w:rFonts w:ascii="Arial" w:hAnsi="Arial" w:eastAsia="Arial" w:cs="Arial"/>
          <w:noProof w:val="0"/>
          <w:sz w:val="24"/>
          <w:szCs w:val="24"/>
          <w:lang w:val="en-GB"/>
        </w:rPr>
        <w:t xml:space="preserve"> we have taken all necessary steps to protect ourselves legally. </w:t>
      </w:r>
      <w:r w:rsidRPr="336B5CE7" w:rsidR="214DE983">
        <w:rPr>
          <w:rFonts w:ascii="Arial" w:hAnsi="Arial" w:eastAsia="Arial" w:cs="Arial"/>
          <w:noProof w:val="0"/>
          <w:sz w:val="24"/>
          <w:szCs w:val="24"/>
          <w:lang w:val="en-GB"/>
        </w:rPr>
        <w:t>AutoStream</w:t>
      </w:r>
      <w:r w:rsidRPr="336B5CE7" w:rsidR="214DE983">
        <w:rPr>
          <w:rFonts w:ascii="Arial" w:hAnsi="Arial" w:eastAsia="Arial" w:cs="Arial"/>
          <w:noProof w:val="0"/>
          <w:sz w:val="24"/>
          <w:szCs w:val="24"/>
          <w:lang w:val="en-GB"/>
        </w:rPr>
        <w:t xml:space="preserve"> has a Motor Trade Insurance policy in place. Our coverage </w:t>
      </w:r>
      <w:r w:rsidRPr="336B5CE7" w:rsidR="214DE983">
        <w:rPr>
          <w:rFonts w:ascii="Arial" w:hAnsi="Arial" w:eastAsia="Arial" w:cs="Arial"/>
          <w:noProof w:val="0"/>
          <w:sz w:val="24"/>
          <w:szCs w:val="24"/>
          <w:lang w:val="en-GB"/>
        </w:rPr>
        <w:t>includes:</w:t>
      </w:r>
      <w:r w:rsidRPr="336B5CE7" w:rsidR="214DE983">
        <w:rPr>
          <w:rFonts w:ascii="Arial" w:hAnsi="Arial" w:eastAsia="Arial" w:cs="Arial"/>
          <w:noProof w:val="0"/>
          <w:sz w:val="24"/>
          <w:szCs w:val="24"/>
          <w:lang w:val="en-GB"/>
        </w:rPr>
        <w:t xml:space="preserve"> Hire and Reward and vehicles under our care, </w:t>
      </w:r>
      <w:r w:rsidRPr="336B5CE7" w:rsidR="214DE983">
        <w:rPr>
          <w:rFonts w:ascii="Arial" w:hAnsi="Arial" w:eastAsia="Arial" w:cs="Arial"/>
          <w:noProof w:val="0"/>
          <w:sz w:val="24"/>
          <w:szCs w:val="24"/>
          <w:lang w:val="en-GB"/>
        </w:rPr>
        <w:t>custody</w:t>
      </w:r>
      <w:r w:rsidRPr="336B5CE7" w:rsidR="214DE983">
        <w:rPr>
          <w:rFonts w:ascii="Arial" w:hAnsi="Arial" w:eastAsia="Arial" w:cs="Arial"/>
          <w:noProof w:val="0"/>
          <w:sz w:val="24"/>
          <w:szCs w:val="24"/>
          <w:lang w:val="en-GB"/>
        </w:rPr>
        <w:t xml:space="preserve"> or control. Therefore, if an accident occurs while transferring either the </w:t>
      </w:r>
      <w:r w:rsidRPr="336B5CE7" w:rsidR="214DE983">
        <w:rPr>
          <w:rFonts w:ascii="Arial" w:hAnsi="Arial" w:eastAsia="Arial" w:cs="Arial"/>
          <w:noProof w:val="0"/>
          <w:sz w:val="24"/>
          <w:szCs w:val="24"/>
          <w:lang w:val="en-GB"/>
        </w:rPr>
        <w:t>clients</w:t>
      </w:r>
      <w:r w:rsidRPr="336B5CE7" w:rsidR="214DE983">
        <w:rPr>
          <w:rFonts w:ascii="Arial" w:hAnsi="Arial" w:eastAsia="Arial" w:cs="Arial"/>
          <w:noProof w:val="0"/>
          <w:sz w:val="24"/>
          <w:szCs w:val="24"/>
          <w:lang w:val="en-GB"/>
        </w:rPr>
        <w:t xml:space="preserve"> vehicle (asset) or the business' own capital will be fully protected. Additionally, the Digital Inspection Protocol provides legal </w:t>
      </w:r>
      <w:r w:rsidRPr="336B5CE7" w:rsidR="214DE983">
        <w:rPr>
          <w:rFonts w:ascii="Arial" w:hAnsi="Arial" w:eastAsia="Arial" w:cs="Arial"/>
          <w:noProof w:val="0"/>
          <w:sz w:val="24"/>
          <w:szCs w:val="24"/>
          <w:lang w:val="en-GB"/>
        </w:rPr>
        <w:t>defense</w:t>
      </w:r>
      <w:r w:rsidRPr="336B5CE7" w:rsidR="214DE983">
        <w:rPr>
          <w:rFonts w:ascii="Arial" w:hAnsi="Arial" w:eastAsia="Arial" w:cs="Arial"/>
          <w:noProof w:val="0"/>
          <w:sz w:val="24"/>
          <w:szCs w:val="24"/>
          <w:lang w:val="en-GB"/>
        </w:rPr>
        <w:t xml:space="preserve"> against possible existing damages on the vehicle prior to transfer.</w:t>
      </w:r>
    </w:p>
    <w:p w:rsidR="025F89D9" w:rsidP="336B5CE7" w:rsidRDefault="025F89D9" w14:paraId="683BF997" w14:textId="26BECFE9">
      <w:pPr>
        <w:pStyle w:val="Subtitle"/>
        <w:bidi w:val="0"/>
        <w:rPr>
          <w:noProof w:val="0"/>
          <w:lang w:val="en-GB"/>
        </w:rPr>
      </w:pPr>
      <w:r w:rsidRPr="336B5CE7" w:rsidR="025F89D9">
        <w:rPr>
          <w:noProof w:val="0"/>
          <w:lang w:val="en-GB"/>
        </w:rPr>
        <w:t>6.Conclusions</w:t>
      </w:r>
    </w:p>
    <w:p w:rsidR="7D8EA663" w:rsidP="336B5CE7" w:rsidRDefault="7D8EA663" w14:paraId="2A13EB48" w14:textId="44A83E8C">
      <w:pPr>
        <w:bidi w:val="0"/>
        <w:spacing w:before="240" w:beforeAutospacing="off" w:after="240" w:afterAutospacing="off"/>
      </w:pPr>
      <w:r w:rsidRPr="336B5CE7" w:rsidR="7D8EA663">
        <w:rPr>
          <w:rFonts w:ascii="Arial" w:hAnsi="Arial" w:eastAsia="Arial" w:cs="Arial"/>
          <w:noProof w:val="0"/>
          <w:sz w:val="24"/>
          <w:szCs w:val="24"/>
          <w:lang w:val="en-GB"/>
        </w:rPr>
        <w:t xml:space="preserve">The scalable technology-based model that has been developed by </w:t>
      </w:r>
      <w:r w:rsidRPr="336B5CE7" w:rsidR="7D8EA663">
        <w:rPr>
          <w:rFonts w:ascii="Arial" w:hAnsi="Arial" w:eastAsia="Arial" w:cs="Arial"/>
          <w:noProof w:val="0"/>
          <w:sz w:val="24"/>
          <w:szCs w:val="24"/>
          <w:lang w:val="en-GB"/>
        </w:rPr>
        <w:t>AutoStream</w:t>
      </w:r>
      <w:r w:rsidRPr="336B5CE7" w:rsidR="7D8EA663">
        <w:rPr>
          <w:rFonts w:ascii="Arial" w:hAnsi="Arial" w:eastAsia="Arial" w:cs="Arial"/>
          <w:noProof w:val="0"/>
          <w:sz w:val="24"/>
          <w:szCs w:val="24"/>
          <w:lang w:val="en-GB"/>
        </w:rPr>
        <w:t xml:space="preserve"> Logistics provides an innovative response to a rapidly emerging urban issue. In addition, as Arif brings his years of experience in high-performance driving to this business while working from a streamlined digital-only operational structure, he will be able to effectively meet the demand for the urban premium convenience delivery service. </w:t>
      </w:r>
      <w:r w:rsidRPr="336B5CE7" w:rsidR="7D8EA663">
        <w:rPr>
          <w:rFonts w:ascii="Arial" w:hAnsi="Arial" w:eastAsia="Arial" w:cs="Arial"/>
          <w:noProof w:val="0"/>
          <w:sz w:val="24"/>
          <w:szCs w:val="24"/>
          <w:lang w:val="en-GB"/>
        </w:rPr>
        <w:t>AutoStream</w:t>
      </w:r>
      <w:r w:rsidRPr="336B5CE7" w:rsidR="7D8EA663">
        <w:rPr>
          <w:rFonts w:ascii="Arial" w:hAnsi="Arial" w:eastAsia="Arial" w:cs="Arial"/>
          <w:noProof w:val="0"/>
          <w:sz w:val="24"/>
          <w:szCs w:val="24"/>
          <w:lang w:val="en-GB"/>
        </w:rPr>
        <w:t xml:space="preserve"> Logistics is expected to achieve its break-even point within approximately nine </w:t>
      </w:r>
      <w:r w:rsidRPr="336B5CE7" w:rsidR="7D8EA663">
        <w:rPr>
          <w:rFonts w:ascii="Arial" w:hAnsi="Arial" w:eastAsia="Arial" w:cs="Arial"/>
          <w:noProof w:val="0"/>
          <w:sz w:val="24"/>
          <w:szCs w:val="24"/>
          <w:lang w:val="en-GB"/>
        </w:rPr>
        <w:t>months</w:t>
      </w:r>
      <w:r w:rsidRPr="336B5CE7" w:rsidR="7D8EA663">
        <w:rPr>
          <w:rFonts w:ascii="Arial" w:hAnsi="Arial" w:eastAsia="Arial" w:cs="Arial"/>
          <w:noProof w:val="0"/>
          <w:sz w:val="24"/>
          <w:szCs w:val="24"/>
          <w:lang w:val="en-GB"/>
        </w:rPr>
        <w:t xml:space="preserve"> and the company also has a clearly defined road map for corporate formation. Therefore, </w:t>
      </w:r>
      <w:r w:rsidRPr="336B5CE7" w:rsidR="7D8EA663">
        <w:rPr>
          <w:rFonts w:ascii="Arial" w:hAnsi="Arial" w:eastAsia="Arial" w:cs="Arial"/>
          <w:noProof w:val="0"/>
          <w:sz w:val="24"/>
          <w:szCs w:val="24"/>
          <w:lang w:val="en-GB"/>
        </w:rPr>
        <w:t>AutoStream</w:t>
      </w:r>
      <w:r w:rsidRPr="336B5CE7" w:rsidR="7D8EA663">
        <w:rPr>
          <w:rFonts w:ascii="Arial" w:hAnsi="Arial" w:eastAsia="Arial" w:cs="Arial"/>
          <w:noProof w:val="0"/>
          <w:sz w:val="24"/>
          <w:szCs w:val="24"/>
          <w:lang w:val="en-GB"/>
        </w:rPr>
        <w:t xml:space="preserve"> Logistics will have all of the characteristics necessary for sustainable performance and professional success.</w:t>
      </w:r>
    </w:p>
    <w:p w:rsidR="336B5CE7" w:rsidP="336B5CE7" w:rsidRDefault="336B5CE7" w14:paraId="219828F2" w14:textId="4A3167EE">
      <w:pPr>
        <w:pStyle w:val="Normal"/>
        <w:bidi w:val="0"/>
        <w:rPr>
          <w:noProof w:val="0"/>
          <w:lang w:val="en-GB"/>
        </w:rPr>
      </w:pPr>
    </w:p>
    <w:p w:rsidR="336B5CE7" w:rsidP="336B5CE7" w:rsidRDefault="336B5CE7" w14:paraId="517516AA" w14:textId="695DB5D7">
      <w:pPr>
        <w:pStyle w:val="Normal"/>
        <w:bidi w:val="0"/>
        <w:rPr>
          <w:noProof w:val="0"/>
          <w:lang w:val="en-GB"/>
        </w:rPr>
      </w:pPr>
    </w:p>
    <w:p w:rsidR="5E712144" w:rsidP="336B5CE7" w:rsidRDefault="5E712144" w14:paraId="2C479F36" w14:textId="7B9204A7">
      <w:pPr>
        <w:pStyle w:val="Heading3"/>
        <w:bidi w:val="0"/>
        <w:spacing w:before="281" w:beforeAutospacing="off" w:after="281" w:afterAutospacing="off"/>
      </w:pPr>
      <w:r w:rsidRPr="336B5CE7" w:rsidR="5E712144">
        <w:rPr>
          <w:rFonts w:ascii="Arial" w:hAnsi="Arial" w:eastAsia="Arial" w:cs="Arial"/>
          <w:b w:val="1"/>
          <w:bCs w:val="1"/>
          <w:noProof w:val="0"/>
          <w:sz w:val="28"/>
          <w:szCs w:val="28"/>
          <w:lang w:val="en-GB"/>
        </w:rPr>
        <w:t>References</w:t>
      </w:r>
    </w:p>
    <w:p w:rsidR="5E712144" w:rsidP="336B5CE7" w:rsidRDefault="5E712144" w14:paraId="1DA703AE" w14:textId="04A229EC">
      <w:pPr>
        <w:bidi w:val="0"/>
        <w:spacing w:before="240" w:beforeAutospacing="off" w:after="240" w:afterAutospacing="off"/>
      </w:pPr>
      <w:r w:rsidRPr="336B5CE7" w:rsidR="5E712144">
        <w:rPr>
          <w:rFonts w:ascii="Arial" w:hAnsi="Arial" w:eastAsia="Arial" w:cs="Arial"/>
          <w:noProof w:val="0"/>
          <w:sz w:val="24"/>
          <w:szCs w:val="24"/>
          <w:lang w:val="en-GB"/>
        </w:rPr>
        <w:t xml:space="preserve">Barney, J. (1991). Firm resources and sustained competitive advantage. </w:t>
      </w:r>
      <w:r w:rsidRPr="336B5CE7" w:rsidR="5E712144">
        <w:rPr>
          <w:rFonts w:ascii="Arial" w:hAnsi="Arial" w:eastAsia="Arial" w:cs="Arial"/>
          <w:i w:val="1"/>
          <w:iCs w:val="1"/>
          <w:noProof w:val="0"/>
          <w:sz w:val="24"/>
          <w:szCs w:val="24"/>
          <w:lang w:val="en-GB"/>
        </w:rPr>
        <w:t>Journal of Management</w:t>
      </w:r>
      <w:r w:rsidRPr="336B5CE7" w:rsidR="5E712144">
        <w:rPr>
          <w:rFonts w:ascii="Arial" w:hAnsi="Arial" w:eastAsia="Arial" w:cs="Arial"/>
          <w:noProof w:val="0"/>
          <w:sz w:val="24"/>
          <w:szCs w:val="24"/>
          <w:lang w:val="en-GB"/>
        </w:rPr>
        <w:t xml:space="preserve">, </w:t>
      </w:r>
      <w:r w:rsidRPr="336B5CE7" w:rsidR="5E712144">
        <w:rPr>
          <w:rFonts w:ascii="Arial" w:hAnsi="Arial" w:eastAsia="Arial" w:cs="Arial"/>
          <w:i w:val="1"/>
          <w:iCs w:val="1"/>
          <w:noProof w:val="0"/>
          <w:sz w:val="24"/>
          <w:szCs w:val="24"/>
          <w:lang w:val="en-GB"/>
        </w:rPr>
        <w:t>17</w:t>
      </w:r>
      <w:r w:rsidRPr="336B5CE7" w:rsidR="5E712144">
        <w:rPr>
          <w:rFonts w:ascii="Arial" w:hAnsi="Arial" w:eastAsia="Arial" w:cs="Arial"/>
          <w:noProof w:val="0"/>
          <w:sz w:val="24"/>
          <w:szCs w:val="24"/>
          <w:lang w:val="en-GB"/>
        </w:rPr>
        <w:t xml:space="preserve">(1), 99–120. </w:t>
      </w:r>
      <w:hyperlink r:id="Rf06660d10fb14c1d">
        <w:r w:rsidRPr="336B5CE7" w:rsidR="5E712144">
          <w:rPr>
            <w:rStyle w:val="Hyperlink"/>
            <w:rFonts w:ascii="Arial" w:hAnsi="Arial" w:eastAsia="Arial" w:cs="Arial"/>
            <w:noProof w:val="0"/>
            <w:sz w:val="24"/>
            <w:szCs w:val="24"/>
            <w:lang w:val="en-GB"/>
          </w:rPr>
          <w:t>https://doi.org/10.1177/014920639101700108</w:t>
        </w:r>
      </w:hyperlink>
      <w:r w:rsidRPr="336B5CE7" w:rsidR="5E712144">
        <w:rPr>
          <w:rFonts w:ascii="Arial" w:hAnsi="Arial" w:eastAsia="Arial" w:cs="Arial"/>
          <w:noProof w:val="0"/>
          <w:sz w:val="24"/>
          <w:szCs w:val="24"/>
          <w:lang w:val="en-GB"/>
        </w:rPr>
        <w:t xml:space="preserve"> Cited by: 123937</w:t>
      </w:r>
    </w:p>
    <w:p w:rsidR="5E712144" w:rsidP="336B5CE7" w:rsidRDefault="5E712144" w14:paraId="594730D0" w14:textId="4C1F348C">
      <w:pPr>
        <w:bidi w:val="0"/>
        <w:spacing w:before="240" w:beforeAutospacing="off" w:after="240" w:afterAutospacing="off"/>
      </w:pPr>
      <w:r w:rsidRPr="336B5CE7" w:rsidR="5E712144">
        <w:rPr>
          <w:rFonts w:ascii="Arial" w:hAnsi="Arial" w:eastAsia="Arial" w:cs="Arial"/>
          <w:noProof w:val="0"/>
          <w:sz w:val="24"/>
          <w:szCs w:val="24"/>
          <w:lang w:val="en-GB"/>
        </w:rPr>
        <w:t xml:space="preserve">Barrow, C., Barrow, P., &amp; Brown, R. (2012). </w:t>
      </w:r>
      <w:r w:rsidRPr="336B5CE7" w:rsidR="5E712144">
        <w:rPr>
          <w:rFonts w:ascii="Arial" w:hAnsi="Arial" w:eastAsia="Arial" w:cs="Arial"/>
          <w:i w:val="1"/>
          <w:iCs w:val="1"/>
          <w:noProof w:val="0"/>
          <w:sz w:val="24"/>
          <w:szCs w:val="24"/>
          <w:lang w:val="en-GB"/>
        </w:rPr>
        <w:t>The Business Plan Workbook: The Definitive Guide to Researching, Writing Up and Presenting a Winning Plan</w:t>
      </w:r>
      <w:r w:rsidRPr="336B5CE7" w:rsidR="5E712144">
        <w:rPr>
          <w:rFonts w:ascii="Arial" w:hAnsi="Arial" w:eastAsia="Arial" w:cs="Arial"/>
          <w:noProof w:val="0"/>
          <w:sz w:val="24"/>
          <w:szCs w:val="24"/>
          <w:lang w:val="en-GB"/>
        </w:rPr>
        <w:t xml:space="preserve"> (6th ed.). Kogan Page.</w:t>
      </w:r>
    </w:p>
    <w:p w:rsidR="5E712144" w:rsidP="336B5CE7" w:rsidRDefault="5E712144" w14:paraId="763333BE" w14:textId="6DE8407B">
      <w:pPr>
        <w:bidi w:val="0"/>
        <w:spacing w:before="240" w:beforeAutospacing="off" w:after="240" w:afterAutospacing="off"/>
      </w:pPr>
      <w:r w:rsidRPr="336B5CE7" w:rsidR="5E712144">
        <w:rPr>
          <w:rFonts w:ascii="Arial" w:hAnsi="Arial" w:eastAsia="Arial" w:cs="Arial"/>
          <w:noProof w:val="0"/>
          <w:sz w:val="24"/>
          <w:szCs w:val="24"/>
          <w:lang w:val="en-GB"/>
        </w:rPr>
        <w:t xml:space="preserve">Bird, M. D., Swann, C., &amp; Jackman, P. C. (2023). The what, why, and how of goal setting: A review of the goal-setting process in applied sport psychology practice. </w:t>
      </w:r>
      <w:r w:rsidRPr="336B5CE7" w:rsidR="5E712144">
        <w:rPr>
          <w:rFonts w:ascii="Arial" w:hAnsi="Arial" w:eastAsia="Arial" w:cs="Arial"/>
          <w:i w:val="1"/>
          <w:iCs w:val="1"/>
          <w:noProof w:val="0"/>
          <w:sz w:val="24"/>
          <w:szCs w:val="24"/>
          <w:lang w:val="en-GB"/>
        </w:rPr>
        <w:t>Journal of Applied Sport Psychology</w:t>
      </w:r>
      <w:r w:rsidRPr="336B5CE7" w:rsidR="5E712144">
        <w:rPr>
          <w:rFonts w:ascii="Arial" w:hAnsi="Arial" w:eastAsia="Arial" w:cs="Arial"/>
          <w:noProof w:val="0"/>
          <w:sz w:val="24"/>
          <w:szCs w:val="24"/>
          <w:lang w:val="en-GB"/>
        </w:rPr>
        <w:t xml:space="preserve">, </w:t>
      </w:r>
      <w:r w:rsidRPr="336B5CE7" w:rsidR="5E712144">
        <w:rPr>
          <w:rFonts w:ascii="Arial" w:hAnsi="Arial" w:eastAsia="Arial" w:cs="Arial"/>
          <w:i w:val="1"/>
          <w:iCs w:val="1"/>
          <w:noProof w:val="0"/>
          <w:sz w:val="24"/>
          <w:szCs w:val="24"/>
          <w:lang w:val="en-GB"/>
        </w:rPr>
        <w:t>36</w:t>
      </w:r>
      <w:r w:rsidRPr="336B5CE7" w:rsidR="5E712144">
        <w:rPr>
          <w:rFonts w:ascii="Arial" w:hAnsi="Arial" w:eastAsia="Arial" w:cs="Arial"/>
          <w:noProof w:val="0"/>
          <w:sz w:val="24"/>
          <w:szCs w:val="24"/>
          <w:lang w:val="en-GB"/>
        </w:rPr>
        <w:t xml:space="preserve">(1), 75–97. </w:t>
      </w:r>
      <w:hyperlink r:id="R07162c4b818f47a0">
        <w:r w:rsidRPr="336B5CE7" w:rsidR="5E712144">
          <w:rPr>
            <w:rStyle w:val="Hyperlink"/>
            <w:rFonts w:ascii="Arial" w:hAnsi="Arial" w:eastAsia="Arial" w:cs="Arial"/>
            <w:noProof w:val="0"/>
            <w:sz w:val="24"/>
            <w:szCs w:val="24"/>
            <w:lang w:val="en-GB"/>
          </w:rPr>
          <w:t>https://doi.org/10.1080/10413200.2023.2185699</w:t>
        </w:r>
      </w:hyperlink>
      <w:r w:rsidRPr="336B5CE7" w:rsidR="5E712144">
        <w:rPr>
          <w:rFonts w:ascii="Arial" w:hAnsi="Arial" w:eastAsia="Arial" w:cs="Arial"/>
          <w:noProof w:val="0"/>
          <w:sz w:val="24"/>
          <w:szCs w:val="24"/>
          <w:lang w:val="en-GB"/>
        </w:rPr>
        <w:t xml:space="preserve"> Cited by: 73</w:t>
      </w:r>
    </w:p>
    <w:p w:rsidR="5E712144" w:rsidP="336B5CE7" w:rsidRDefault="5E712144" w14:paraId="2348FC06" w14:textId="6FDD401A">
      <w:pPr>
        <w:bidi w:val="0"/>
        <w:spacing w:before="240" w:beforeAutospacing="off" w:after="240" w:afterAutospacing="off"/>
      </w:pPr>
      <w:r w:rsidRPr="336B5CE7" w:rsidR="5E712144">
        <w:rPr>
          <w:rFonts w:ascii="Arial" w:hAnsi="Arial" w:eastAsia="Arial" w:cs="Arial"/>
          <w:noProof w:val="0"/>
          <w:sz w:val="24"/>
          <w:szCs w:val="24"/>
          <w:lang w:val="en-GB"/>
        </w:rPr>
        <w:t xml:space="preserve">Doran, G. T. (1981). There's a S.M.A.R.T. way to write management's goals and objectives. </w:t>
      </w:r>
      <w:r w:rsidRPr="336B5CE7" w:rsidR="5E712144">
        <w:rPr>
          <w:rFonts w:ascii="Arial" w:hAnsi="Arial" w:eastAsia="Arial" w:cs="Arial"/>
          <w:i w:val="1"/>
          <w:iCs w:val="1"/>
          <w:noProof w:val="0"/>
          <w:sz w:val="24"/>
          <w:szCs w:val="24"/>
          <w:lang w:val="en-GB"/>
        </w:rPr>
        <w:t>Management Review</w:t>
      </w:r>
      <w:r w:rsidRPr="336B5CE7" w:rsidR="5E712144">
        <w:rPr>
          <w:rFonts w:ascii="Arial" w:hAnsi="Arial" w:eastAsia="Arial" w:cs="Arial"/>
          <w:noProof w:val="0"/>
          <w:sz w:val="24"/>
          <w:szCs w:val="24"/>
          <w:lang w:val="en-GB"/>
        </w:rPr>
        <w:t xml:space="preserve">, </w:t>
      </w:r>
      <w:r w:rsidRPr="336B5CE7" w:rsidR="5E712144">
        <w:rPr>
          <w:rFonts w:ascii="Arial" w:hAnsi="Arial" w:eastAsia="Arial" w:cs="Arial"/>
          <w:i w:val="1"/>
          <w:iCs w:val="1"/>
          <w:noProof w:val="0"/>
          <w:sz w:val="24"/>
          <w:szCs w:val="24"/>
          <w:lang w:val="en-GB"/>
        </w:rPr>
        <w:t>70</w:t>
      </w:r>
      <w:r w:rsidRPr="336B5CE7" w:rsidR="5E712144">
        <w:rPr>
          <w:rFonts w:ascii="Arial" w:hAnsi="Arial" w:eastAsia="Arial" w:cs="Arial"/>
          <w:noProof w:val="0"/>
          <w:sz w:val="24"/>
          <w:szCs w:val="24"/>
          <w:lang w:val="en-GB"/>
        </w:rPr>
        <w:t>(11), 35–36.</w:t>
      </w:r>
    </w:p>
    <w:p w:rsidR="5E712144" w:rsidP="336B5CE7" w:rsidRDefault="5E712144" w14:paraId="063A484A" w14:textId="5D420410">
      <w:pPr>
        <w:bidi w:val="0"/>
        <w:spacing w:before="240" w:beforeAutospacing="off" w:after="240" w:afterAutospacing="off"/>
      </w:pPr>
      <w:r w:rsidRPr="336B5CE7" w:rsidR="5E712144">
        <w:rPr>
          <w:rFonts w:ascii="Arial" w:hAnsi="Arial" w:eastAsia="Arial" w:cs="Arial"/>
          <w:noProof w:val="0"/>
          <w:sz w:val="24"/>
          <w:szCs w:val="24"/>
          <w:lang w:val="en-GB"/>
        </w:rPr>
        <w:t xml:space="preserve">Heizer, J., Render, B., &amp; Munson, C. (2017). </w:t>
      </w:r>
      <w:r w:rsidRPr="336B5CE7" w:rsidR="5E712144">
        <w:rPr>
          <w:rFonts w:ascii="Arial" w:hAnsi="Arial" w:eastAsia="Arial" w:cs="Arial"/>
          <w:i w:val="1"/>
          <w:iCs w:val="1"/>
          <w:noProof w:val="0"/>
          <w:sz w:val="24"/>
          <w:szCs w:val="24"/>
          <w:lang w:val="en-GB"/>
        </w:rPr>
        <w:t>Operations Management: Sustainability and Supply Chain Management</w:t>
      </w:r>
      <w:r w:rsidRPr="336B5CE7" w:rsidR="5E712144">
        <w:rPr>
          <w:rFonts w:ascii="Arial" w:hAnsi="Arial" w:eastAsia="Arial" w:cs="Arial"/>
          <w:noProof w:val="0"/>
          <w:sz w:val="24"/>
          <w:szCs w:val="24"/>
          <w:lang w:val="en-GB"/>
        </w:rPr>
        <w:t xml:space="preserve"> (12th ed.). Pearson Education.</w:t>
      </w:r>
    </w:p>
    <w:p w:rsidR="5E712144" w:rsidP="336B5CE7" w:rsidRDefault="5E712144" w14:paraId="51869DEE" w14:textId="58EEBAAB">
      <w:pPr>
        <w:bidi w:val="0"/>
        <w:spacing w:before="240" w:beforeAutospacing="off" w:after="240" w:afterAutospacing="off"/>
      </w:pPr>
      <w:r w:rsidRPr="336B5CE7" w:rsidR="5E712144">
        <w:rPr>
          <w:rFonts w:ascii="Arial" w:hAnsi="Arial" w:eastAsia="Arial" w:cs="Arial"/>
          <w:noProof w:val="0"/>
          <w:sz w:val="24"/>
          <w:szCs w:val="24"/>
          <w:lang w:val="en-GB"/>
        </w:rPr>
        <w:t xml:space="preserve">Hisrich, R. D., Peters, M. P., &amp; Shepherd, D. A. (2017). </w:t>
      </w:r>
      <w:r w:rsidRPr="336B5CE7" w:rsidR="5E712144">
        <w:rPr>
          <w:rFonts w:ascii="Arial" w:hAnsi="Arial" w:eastAsia="Arial" w:cs="Arial"/>
          <w:i w:val="1"/>
          <w:iCs w:val="1"/>
          <w:noProof w:val="0"/>
          <w:sz w:val="24"/>
          <w:szCs w:val="24"/>
          <w:lang w:val="en-GB"/>
        </w:rPr>
        <w:t>Entrepreneurship</w:t>
      </w:r>
      <w:r w:rsidRPr="336B5CE7" w:rsidR="5E712144">
        <w:rPr>
          <w:rFonts w:ascii="Arial" w:hAnsi="Arial" w:eastAsia="Arial" w:cs="Arial"/>
          <w:noProof w:val="0"/>
          <w:sz w:val="24"/>
          <w:szCs w:val="24"/>
          <w:lang w:val="en-GB"/>
        </w:rPr>
        <w:t xml:space="preserve"> (10th ed.). McGraw-Hill Education.</w:t>
      </w:r>
    </w:p>
    <w:p w:rsidR="5E712144" w:rsidP="336B5CE7" w:rsidRDefault="5E712144" w14:paraId="255E7348" w14:textId="2A4215FF">
      <w:pPr>
        <w:bidi w:val="0"/>
        <w:spacing w:before="240" w:beforeAutospacing="off" w:after="240" w:afterAutospacing="off"/>
      </w:pPr>
      <w:r w:rsidRPr="336B5CE7" w:rsidR="5E712144">
        <w:rPr>
          <w:rFonts w:ascii="Arial" w:hAnsi="Arial" w:eastAsia="Arial" w:cs="Arial"/>
          <w:noProof w:val="0"/>
          <w:sz w:val="24"/>
          <w:szCs w:val="24"/>
          <w:lang w:val="en-GB"/>
        </w:rPr>
        <w:t xml:space="preserve">Huang, K. F., Dyerson, R., Wu, L. Y., &amp; Harindranath, G. (2015). From temporary competitive advantage to sustainable competitive advantage. </w:t>
      </w:r>
      <w:r w:rsidRPr="336B5CE7" w:rsidR="5E712144">
        <w:rPr>
          <w:rFonts w:ascii="Arial" w:hAnsi="Arial" w:eastAsia="Arial" w:cs="Arial"/>
          <w:i w:val="1"/>
          <w:iCs w:val="1"/>
          <w:noProof w:val="0"/>
          <w:sz w:val="24"/>
          <w:szCs w:val="24"/>
          <w:lang w:val="en-GB"/>
        </w:rPr>
        <w:t>British Journal of Management</w:t>
      </w:r>
      <w:r w:rsidRPr="336B5CE7" w:rsidR="5E712144">
        <w:rPr>
          <w:rFonts w:ascii="Arial" w:hAnsi="Arial" w:eastAsia="Arial" w:cs="Arial"/>
          <w:noProof w:val="0"/>
          <w:sz w:val="24"/>
          <w:szCs w:val="24"/>
          <w:lang w:val="en-GB"/>
        </w:rPr>
        <w:t xml:space="preserve">, </w:t>
      </w:r>
      <w:r w:rsidRPr="336B5CE7" w:rsidR="5E712144">
        <w:rPr>
          <w:rFonts w:ascii="Arial" w:hAnsi="Arial" w:eastAsia="Arial" w:cs="Arial"/>
          <w:i w:val="1"/>
          <w:iCs w:val="1"/>
          <w:noProof w:val="0"/>
          <w:sz w:val="24"/>
          <w:szCs w:val="24"/>
          <w:lang w:val="en-GB"/>
        </w:rPr>
        <w:t>26</w:t>
      </w:r>
      <w:r w:rsidRPr="336B5CE7" w:rsidR="5E712144">
        <w:rPr>
          <w:rFonts w:ascii="Arial" w:hAnsi="Arial" w:eastAsia="Arial" w:cs="Arial"/>
          <w:noProof w:val="0"/>
          <w:sz w:val="24"/>
          <w:szCs w:val="24"/>
          <w:lang w:val="en-GB"/>
        </w:rPr>
        <w:t xml:space="preserve">(4), 617–636. </w:t>
      </w:r>
      <w:hyperlink r:id="R574ff04e797345f1">
        <w:r w:rsidRPr="336B5CE7" w:rsidR="5E712144">
          <w:rPr>
            <w:rStyle w:val="Hyperlink"/>
            <w:rFonts w:ascii="Arial" w:hAnsi="Arial" w:eastAsia="Arial" w:cs="Arial"/>
            <w:noProof w:val="0"/>
            <w:sz w:val="24"/>
            <w:szCs w:val="24"/>
            <w:lang w:val="en-GB"/>
          </w:rPr>
          <w:t>https://doi.org/10.1111/1467-8551.12104</w:t>
        </w:r>
      </w:hyperlink>
      <w:r w:rsidRPr="336B5CE7" w:rsidR="5E712144">
        <w:rPr>
          <w:rFonts w:ascii="Arial" w:hAnsi="Arial" w:eastAsia="Arial" w:cs="Arial"/>
          <w:noProof w:val="0"/>
          <w:sz w:val="24"/>
          <w:szCs w:val="24"/>
          <w:lang w:val="en-GB"/>
        </w:rPr>
        <w:t xml:space="preserve"> Cited by: 380</w:t>
      </w:r>
    </w:p>
    <w:p w:rsidR="5E712144" w:rsidP="336B5CE7" w:rsidRDefault="5E712144" w14:paraId="530C8039" w14:textId="4B837BBB">
      <w:pPr>
        <w:bidi w:val="0"/>
        <w:spacing w:before="240" w:beforeAutospacing="off" w:after="240" w:afterAutospacing="off"/>
      </w:pPr>
      <w:r w:rsidRPr="336B5CE7" w:rsidR="5E712144">
        <w:rPr>
          <w:rFonts w:ascii="Arial" w:hAnsi="Arial" w:eastAsia="Arial" w:cs="Arial"/>
          <w:noProof w:val="0"/>
          <w:sz w:val="24"/>
          <w:szCs w:val="24"/>
          <w:lang w:val="en-GB"/>
        </w:rPr>
        <w:t xml:space="preserve">Keller, K. L., &amp; Kotler, P. (2016). </w:t>
      </w:r>
      <w:r w:rsidRPr="336B5CE7" w:rsidR="5E712144">
        <w:rPr>
          <w:rFonts w:ascii="Arial" w:hAnsi="Arial" w:eastAsia="Arial" w:cs="Arial"/>
          <w:i w:val="1"/>
          <w:iCs w:val="1"/>
          <w:noProof w:val="0"/>
          <w:sz w:val="24"/>
          <w:szCs w:val="24"/>
          <w:lang w:val="en-GB"/>
        </w:rPr>
        <w:t>Marketing Management</w:t>
      </w:r>
      <w:r w:rsidRPr="336B5CE7" w:rsidR="5E712144">
        <w:rPr>
          <w:rFonts w:ascii="Arial" w:hAnsi="Arial" w:eastAsia="Arial" w:cs="Arial"/>
          <w:noProof w:val="0"/>
          <w:sz w:val="24"/>
          <w:szCs w:val="24"/>
          <w:lang w:val="en-GB"/>
        </w:rPr>
        <w:t xml:space="preserve"> (15th global ed.). Pearson Education.</w:t>
      </w:r>
    </w:p>
    <w:p w:rsidR="5E712144" w:rsidP="336B5CE7" w:rsidRDefault="5E712144" w14:paraId="25846452" w14:textId="705B2CA4">
      <w:pPr>
        <w:bidi w:val="0"/>
        <w:spacing w:before="240" w:beforeAutospacing="off" w:after="240" w:afterAutospacing="off"/>
      </w:pPr>
      <w:r w:rsidRPr="336B5CE7" w:rsidR="5E712144">
        <w:rPr>
          <w:rFonts w:ascii="Arial" w:hAnsi="Arial" w:eastAsia="Arial" w:cs="Arial"/>
          <w:noProof w:val="0"/>
          <w:sz w:val="24"/>
          <w:szCs w:val="24"/>
          <w:lang w:val="en-GB"/>
        </w:rPr>
        <w:t xml:space="preserve">Lubis, N. W. (2022). Resource Based View (RBV) in improving company strategic capacity. </w:t>
      </w:r>
      <w:r w:rsidRPr="336B5CE7" w:rsidR="5E712144">
        <w:rPr>
          <w:rFonts w:ascii="Arial" w:hAnsi="Arial" w:eastAsia="Arial" w:cs="Arial"/>
          <w:i w:val="1"/>
          <w:iCs w:val="1"/>
          <w:noProof w:val="0"/>
          <w:sz w:val="24"/>
          <w:szCs w:val="24"/>
          <w:lang w:val="en-GB"/>
        </w:rPr>
        <w:t>Research Horizon</w:t>
      </w:r>
      <w:r w:rsidRPr="336B5CE7" w:rsidR="5E712144">
        <w:rPr>
          <w:rFonts w:ascii="Arial" w:hAnsi="Arial" w:eastAsia="Arial" w:cs="Arial"/>
          <w:noProof w:val="0"/>
          <w:sz w:val="24"/>
          <w:szCs w:val="24"/>
          <w:lang w:val="en-GB"/>
        </w:rPr>
        <w:t xml:space="preserve">, </w:t>
      </w:r>
      <w:r w:rsidRPr="336B5CE7" w:rsidR="5E712144">
        <w:rPr>
          <w:rFonts w:ascii="Arial" w:hAnsi="Arial" w:eastAsia="Arial" w:cs="Arial"/>
          <w:i w:val="1"/>
          <w:iCs w:val="1"/>
          <w:noProof w:val="0"/>
          <w:sz w:val="24"/>
          <w:szCs w:val="24"/>
          <w:lang w:val="en-GB"/>
        </w:rPr>
        <w:t>2</w:t>
      </w:r>
      <w:r w:rsidRPr="336B5CE7" w:rsidR="5E712144">
        <w:rPr>
          <w:rFonts w:ascii="Arial" w:hAnsi="Arial" w:eastAsia="Arial" w:cs="Arial"/>
          <w:noProof w:val="0"/>
          <w:sz w:val="24"/>
          <w:szCs w:val="24"/>
          <w:lang w:val="en-GB"/>
        </w:rPr>
        <w:t xml:space="preserve">(6), 587–596. </w:t>
      </w:r>
      <w:hyperlink r:id="R76af4eb9221342b7">
        <w:r w:rsidRPr="336B5CE7" w:rsidR="5E712144">
          <w:rPr>
            <w:rStyle w:val="Hyperlink"/>
            <w:rFonts w:ascii="Arial" w:hAnsi="Arial" w:eastAsia="Arial" w:cs="Arial"/>
            <w:noProof w:val="0"/>
            <w:sz w:val="24"/>
            <w:szCs w:val="24"/>
            <w:lang w:val="en-GB"/>
          </w:rPr>
          <w:t>https://doi.org/10.54518/rh.2.6.2022.587-596</w:t>
        </w:r>
      </w:hyperlink>
      <w:r w:rsidRPr="336B5CE7" w:rsidR="5E712144">
        <w:rPr>
          <w:rFonts w:ascii="Arial" w:hAnsi="Arial" w:eastAsia="Arial" w:cs="Arial"/>
          <w:noProof w:val="0"/>
          <w:sz w:val="24"/>
          <w:szCs w:val="24"/>
          <w:lang w:val="en-GB"/>
        </w:rPr>
        <w:t xml:space="preserve"> Cited by: 318</w:t>
      </w:r>
    </w:p>
    <w:p w:rsidR="5E712144" w:rsidP="336B5CE7" w:rsidRDefault="5E712144" w14:paraId="34AD740A" w14:textId="1F456B7B">
      <w:pPr>
        <w:bidi w:val="0"/>
        <w:spacing w:before="240" w:beforeAutospacing="off" w:after="240" w:afterAutospacing="off"/>
      </w:pPr>
      <w:r w:rsidRPr="336B5CE7" w:rsidR="5E712144">
        <w:rPr>
          <w:rFonts w:ascii="Arial" w:hAnsi="Arial" w:eastAsia="Arial" w:cs="Arial"/>
          <w:noProof w:val="0"/>
          <w:sz w:val="24"/>
          <w:szCs w:val="24"/>
          <w:lang w:val="en-GB"/>
        </w:rPr>
        <w:t xml:space="preserve">Porter, M. E. (1980). </w:t>
      </w:r>
      <w:r w:rsidRPr="336B5CE7" w:rsidR="5E712144">
        <w:rPr>
          <w:rFonts w:ascii="Arial" w:hAnsi="Arial" w:eastAsia="Arial" w:cs="Arial"/>
          <w:i w:val="1"/>
          <w:iCs w:val="1"/>
          <w:noProof w:val="0"/>
          <w:sz w:val="24"/>
          <w:szCs w:val="24"/>
          <w:lang w:val="en-GB"/>
        </w:rPr>
        <w:t>Competitive Strategy: Techniques for Analyzing Industries and Competitors</w:t>
      </w:r>
      <w:r w:rsidRPr="336B5CE7" w:rsidR="5E712144">
        <w:rPr>
          <w:rFonts w:ascii="Arial" w:hAnsi="Arial" w:eastAsia="Arial" w:cs="Arial"/>
          <w:noProof w:val="0"/>
          <w:sz w:val="24"/>
          <w:szCs w:val="24"/>
          <w:lang w:val="en-GB"/>
        </w:rPr>
        <w:t>. Free Press.</w:t>
      </w:r>
    </w:p>
    <w:p w:rsidR="5E712144" w:rsidP="336B5CE7" w:rsidRDefault="5E712144" w14:paraId="5E95F8F7" w14:textId="24D8BBB7">
      <w:pPr>
        <w:bidi w:val="0"/>
        <w:spacing w:before="240" w:beforeAutospacing="off" w:after="240" w:afterAutospacing="off"/>
      </w:pPr>
      <w:r w:rsidRPr="336B5CE7" w:rsidR="5E712144">
        <w:rPr>
          <w:rFonts w:ascii="Arial" w:hAnsi="Arial" w:eastAsia="Arial" w:cs="Arial"/>
          <w:noProof w:val="0"/>
          <w:sz w:val="24"/>
          <w:szCs w:val="24"/>
          <w:lang w:val="en-GB"/>
        </w:rPr>
        <w:t xml:space="preserve">Scarborough, N. M., &amp; Cornwall, J. R. (2016). </w:t>
      </w:r>
      <w:r w:rsidRPr="336B5CE7" w:rsidR="5E712144">
        <w:rPr>
          <w:rFonts w:ascii="Arial" w:hAnsi="Arial" w:eastAsia="Arial" w:cs="Arial"/>
          <w:i w:val="1"/>
          <w:iCs w:val="1"/>
          <w:noProof w:val="0"/>
          <w:sz w:val="24"/>
          <w:szCs w:val="24"/>
          <w:lang w:val="en-GB"/>
        </w:rPr>
        <w:t>Essentials of Entrepreneurship and Small Business Management</w:t>
      </w:r>
      <w:r w:rsidRPr="336B5CE7" w:rsidR="5E712144">
        <w:rPr>
          <w:rFonts w:ascii="Arial" w:hAnsi="Arial" w:eastAsia="Arial" w:cs="Arial"/>
          <w:noProof w:val="0"/>
          <w:sz w:val="24"/>
          <w:szCs w:val="24"/>
          <w:lang w:val="en-GB"/>
        </w:rPr>
        <w:t xml:space="preserve"> (8th ed.). Pearson Education.</w:t>
      </w:r>
    </w:p>
    <w:p w:rsidR="5E712144" w:rsidP="336B5CE7" w:rsidRDefault="5E712144" w14:paraId="6EE0F888" w14:textId="76F89B41">
      <w:pPr>
        <w:bidi w:val="0"/>
        <w:spacing w:before="240" w:beforeAutospacing="off" w:after="240" w:afterAutospacing="off"/>
      </w:pPr>
      <w:r w:rsidRPr="336B5CE7" w:rsidR="5E712144">
        <w:rPr>
          <w:rFonts w:ascii="Arial" w:hAnsi="Arial" w:eastAsia="Arial" w:cs="Arial"/>
          <w:noProof w:val="0"/>
          <w:sz w:val="24"/>
          <w:szCs w:val="24"/>
          <w:lang w:val="en-GB"/>
        </w:rPr>
        <w:t xml:space="preserve">Whittington, R., Angwin, D., Regner, P., Johnson, G., &amp; Scholes, K. (2020). </w:t>
      </w:r>
      <w:r w:rsidRPr="336B5CE7" w:rsidR="5E712144">
        <w:rPr>
          <w:rFonts w:ascii="Arial" w:hAnsi="Arial" w:eastAsia="Arial" w:cs="Arial"/>
          <w:i w:val="1"/>
          <w:iCs w:val="1"/>
          <w:noProof w:val="0"/>
          <w:sz w:val="24"/>
          <w:szCs w:val="24"/>
          <w:lang w:val="en-GB"/>
        </w:rPr>
        <w:t>Exploring Strategy: Text and Cases</w:t>
      </w:r>
      <w:r w:rsidRPr="336B5CE7" w:rsidR="5E712144">
        <w:rPr>
          <w:rFonts w:ascii="Arial" w:hAnsi="Arial" w:eastAsia="Arial" w:cs="Arial"/>
          <w:noProof w:val="0"/>
          <w:sz w:val="24"/>
          <w:szCs w:val="24"/>
          <w:lang w:val="en-GB"/>
        </w:rPr>
        <w:t xml:space="preserve"> (12th ed.). Pearson Education.</w:t>
      </w:r>
    </w:p>
    <w:p w:rsidR="336B5CE7" w:rsidP="336B5CE7" w:rsidRDefault="336B5CE7" w14:paraId="1301D513" w14:textId="12944A93">
      <w:pPr>
        <w:pStyle w:val="Normal"/>
        <w:bidi w:val="0"/>
        <w:rPr>
          <w:noProof w:val="0"/>
          <w:lang w:val="en-GB"/>
        </w:rPr>
      </w:pPr>
    </w:p>
    <w:p w:rsidR="336B5CE7" w:rsidP="336B5CE7" w:rsidRDefault="336B5CE7" w14:paraId="68CF1687" w14:textId="2C9FC4F6">
      <w:pPr>
        <w:pStyle w:val="Normal"/>
        <w:bidi w:val="0"/>
        <w:rPr>
          <w:noProof w:val="0"/>
          <w:lang w:val="en-GB"/>
        </w:rPr>
      </w:pPr>
    </w:p>
    <w:p w:rsidR="336B5CE7" w:rsidP="336B5CE7" w:rsidRDefault="336B5CE7" w14:paraId="0F969026" w14:textId="22AB4730">
      <w:pPr>
        <w:pStyle w:val="Normal"/>
        <w:suppressLineNumbers w:val="0"/>
        <w:bidi w:val="0"/>
        <w:spacing w:before="0" w:beforeAutospacing="off" w:after="160" w:afterAutospacing="off" w:line="279" w:lineRule="auto"/>
        <w:ind w:left="0" w:right="0"/>
        <w:jc w:val="left"/>
        <w:rPr>
          <w:rFonts w:ascii="Arial" w:hAnsi="Arial"/>
          <w:b w:val="0"/>
          <w:bCs w:val="0"/>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D2A682"/>
    <w:rsid w:val="024D868D"/>
    <w:rsid w:val="025F89D9"/>
    <w:rsid w:val="05DAAA82"/>
    <w:rsid w:val="0A791253"/>
    <w:rsid w:val="0D6D2723"/>
    <w:rsid w:val="108941CB"/>
    <w:rsid w:val="10C50BFA"/>
    <w:rsid w:val="1191FE2A"/>
    <w:rsid w:val="1651EF92"/>
    <w:rsid w:val="1A714CC6"/>
    <w:rsid w:val="20D2A682"/>
    <w:rsid w:val="214DE983"/>
    <w:rsid w:val="2213B417"/>
    <w:rsid w:val="22148D9B"/>
    <w:rsid w:val="2593895C"/>
    <w:rsid w:val="265F8B38"/>
    <w:rsid w:val="275C04D0"/>
    <w:rsid w:val="2D30D340"/>
    <w:rsid w:val="2D357C16"/>
    <w:rsid w:val="2DB87EF0"/>
    <w:rsid w:val="2DCF0602"/>
    <w:rsid w:val="3015BA6F"/>
    <w:rsid w:val="3087FA63"/>
    <w:rsid w:val="336B5CE7"/>
    <w:rsid w:val="396E4C83"/>
    <w:rsid w:val="3CFB3928"/>
    <w:rsid w:val="3D75914D"/>
    <w:rsid w:val="3F7D9E16"/>
    <w:rsid w:val="440CF0D2"/>
    <w:rsid w:val="44769D12"/>
    <w:rsid w:val="49A6344D"/>
    <w:rsid w:val="49B09CAD"/>
    <w:rsid w:val="5136DA4F"/>
    <w:rsid w:val="5242FA42"/>
    <w:rsid w:val="5B9DE1AC"/>
    <w:rsid w:val="5E712144"/>
    <w:rsid w:val="68FE1FB8"/>
    <w:rsid w:val="6AC6C8B3"/>
    <w:rsid w:val="6C276084"/>
    <w:rsid w:val="6D0883BC"/>
    <w:rsid w:val="6DF89671"/>
    <w:rsid w:val="6E03F4EA"/>
    <w:rsid w:val="6FF3924C"/>
    <w:rsid w:val="7266EAE5"/>
    <w:rsid w:val="7286A77D"/>
    <w:rsid w:val="76EEE67E"/>
    <w:rsid w:val="797416B4"/>
    <w:rsid w:val="7D8EA663"/>
    <w:rsid w:val="7DCBE343"/>
    <w:rsid w:val="7E5D600C"/>
    <w:rsid w:val="7F16A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2A682"/>
  <w15:chartTrackingRefBased/>
  <w15:docId w15:val="{07028E02-8321-41A9-8620-6ED4DCC4CC2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ubtitle">
    <w:uiPriority w:val="11"/>
    <w:name w:val="Subtitle"/>
    <w:basedOn w:val="Normal"/>
    <w:next w:val="Normal"/>
    <w:qFormat/>
    <w:rsid w:val="336B5CE7"/>
    <w:rPr>
      <w:rFonts w:eastAsia="" w:cs="" w:eastAsiaTheme="majorEastAsia" w:cstheme="majorBidi"/>
      <w:color w:val="595959" w:themeColor="text1" w:themeTint="A6" w:themeShade="FF"/>
      <w:sz w:val="28"/>
      <w:szCs w:val="28"/>
    </w:rPr>
  </w:style>
  <w:style w:type="paragraph" w:styleId="Heading2">
    <w:uiPriority w:val="9"/>
    <w:name w:val="heading 2"/>
    <w:basedOn w:val="Normal"/>
    <w:next w:val="Normal"/>
    <w:unhideWhenUsed/>
    <w:qFormat/>
    <w:rsid w:val="336B5CE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36B5CE7"/>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336B5CE7"/>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177/014920639101700108" TargetMode="External" Id="Rf06660d10fb14c1d" /><Relationship Type="http://schemas.openxmlformats.org/officeDocument/2006/relationships/hyperlink" Target="https://doi.org/10.1080/10413200.2023.2185699" TargetMode="External" Id="R07162c4b818f47a0" /><Relationship Type="http://schemas.openxmlformats.org/officeDocument/2006/relationships/hyperlink" Target="https://doi.org/10.1111/1467-8551.12104" TargetMode="External" Id="R574ff04e797345f1" /><Relationship Type="http://schemas.openxmlformats.org/officeDocument/2006/relationships/hyperlink" Target="https://doi.org/10.54518/rh.2.6.2022.587-596" TargetMode="External" Id="R76af4eb9221342b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Arif Ali Arif (2425768)</dc:creator>
  <keywords/>
  <dc:description/>
  <lastModifiedBy>Arif Ali Arif (2425768)</lastModifiedBy>
  <revision>3</revision>
  <dcterms:created xsi:type="dcterms:W3CDTF">2026-03-29T21:11:22.2863578Z</dcterms:created>
  <dcterms:modified xsi:type="dcterms:W3CDTF">2026-03-29T21:58:00.8836253Z</dcterms:modified>
</coreProperties>
</file>