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39D99" w14:textId="77777777" w:rsidR="006921ED" w:rsidRDefault="00D73B41">
      <w:pPr>
        <w:spacing w:line="692" w:lineRule="auto"/>
        <w:rPr>
          <w:rFonts w:ascii="Arial" w:eastAsia="Arial" w:hAnsi="Arial" w:cs="Arial"/>
          <w:sz w:val="58"/>
          <w:szCs w:val="58"/>
        </w:rPr>
      </w:pPr>
      <w:bookmarkStart w:id="0" w:name="_heading=h.j7lzkun20dzz" w:colFirst="0" w:colLast="0"/>
      <w:bookmarkEnd w:id="0"/>
      <w:r>
        <w:rPr>
          <w:noProof/>
        </w:rPr>
        <w:drawing>
          <wp:anchor distT="0" distB="0" distL="114300" distR="114300" simplePos="0" relativeHeight="251658240" behindDoc="0" locked="0" layoutInCell="1" hidden="0" allowOverlap="1" wp14:anchorId="51C3A14E" wp14:editId="51C3A14F">
            <wp:simplePos x="0" y="0"/>
            <wp:positionH relativeFrom="column">
              <wp:posOffset>948054</wp:posOffset>
            </wp:positionH>
            <wp:positionV relativeFrom="paragraph">
              <wp:posOffset>0</wp:posOffset>
            </wp:positionV>
            <wp:extent cx="4812665" cy="1174750"/>
            <wp:effectExtent l="0" t="0" r="0" b="0"/>
            <wp:wrapSquare wrapText="bothSides" distT="0" distB="0" distL="114300" distR="114300"/>
            <wp:docPr id="22" name="image1.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0" name="image1.png" descr="SCVO | Sandwell Council of Voluntary Organisations."/>
                    <pic:cNvPicPr preferRelativeResize="0"/>
                  </pic:nvPicPr>
                  <pic:blipFill>
                    <a:blip r:embed="rId8"/>
                    <a:srcRect/>
                    <a:stretch>
                      <a:fillRect/>
                    </a:stretch>
                  </pic:blipFill>
                  <pic:spPr>
                    <a:xfrm>
                      <a:off x="0" y="0"/>
                      <a:ext cx="4812665" cy="1174750"/>
                    </a:xfrm>
                    <a:prstGeom prst="rect">
                      <a:avLst/>
                    </a:prstGeom>
                    <a:ln/>
                  </pic:spPr>
                </pic:pic>
              </a:graphicData>
            </a:graphic>
          </wp:anchor>
        </w:drawing>
      </w:r>
    </w:p>
    <w:p w14:paraId="51C39D9A" w14:textId="77777777" w:rsidR="006921ED" w:rsidRDefault="006921ED">
      <w:pPr>
        <w:spacing w:before="240" w:after="240" w:line="360" w:lineRule="auto"/>
        <w:rPr>
          <w:rFonts w:ascii="Arial" w:eastAsia="Arial" w:hAnsi="Arial" w:cs="Arial"/>
          <w:b/>
          <w:bCs/>
          <w:sz w:val="22"/>
          <w:szCs w:val="22"/>
        </w:rPr>
      </w:pPr>
    </w:p>
    <w:p w14:paraId="51C39D9B" w14:textId="77777777" w:rsidR="006921ED" w:rsidRDefault="00D73B41">
      <w:pPr>
        <w:spacing w:before="240" w:after="240" w:line="360" w:lineRule="auto"/>
        <w:jc w:val="center"/>
        <w:rPr>
          <w:rFonts w:ascii="Arial" w:eastAsia="Arial" w:hAnsi="Arial" w:cs="Arial"/>
          <w:b/>
          <w:bCs/>
          <w:sz w:val="36"/>
          <w:szCs w:val="36"/>
        </w:rPr>
      </w:pPr>
      <w:r>
        <w:rPr>
          <w:rFonts w:ascii="Arial" w:eastAsia="Arial" w:hAnsi="Arial" w:cs="Arial"/>
          <w:b/>
          <w:bCs/>
          <w:sz w:val="36"/>
          <w:szCs w:val="36"/>
        </w:rPr>
        <w:t>Exploring the Health and Social Care Experiences of People Living with HIV in the UK</w:t>
      </w:r>
    </w:p>
    <w:p w14:paraId="51C39D9C"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rPr>
          <w:rFonts w:ascii="Arial" w:eastAsia="Arial" w:hAnsi="Arial" w:cs="Arial"/>
          <w:sz w:val="22"/>
          <w:szCs w:val="22"/>
        </w:rPr>
      </w:pPr>
    </w:p>
    <w:p w14:paraId="51C39D9D" w14:textId="77777777" w:rsidR="006921ED" w:rsidRDefault="00D73B41">
      <w:pPr>
        <w:spacing w:line="276" w:lineRule="auto"/>
        <w:jc w:val="center"/>
        <w:rPr>
          <w:rFonts w:ascii="Arial" w:eastAsia="Arial" w:hAnsi="Arial" w:cs="Arial"/>
          <w:sz w:val="22"/>
          <w:szCs w:val="22"/>
        </w:rPr>
      </w:pPr>
      <w:r>
        <w:rPr>
          <w:rFonts w:ascii="Arial" w:eastAsia="Arial" w:hAnsi="Arial" w:cs="Arial"/>
          <w:b/>
          <w:bCs/>
          <w:sz w:val="22"/>
          <w:szCs w:val="22"/>
        </w:rPr>
        <w:t>Student name:</w:t>
      </w:r>
      <w:r>
        <w:rPr>
          <w:rFonts w:ascii="Arial" w:eastAsia="Arial" w:hAnsi="Arial" w:cs="Arial"/>
          <w:sz w:val="22"/>
          <w:szCs w:val="22"/>
        </w:rPr>
        <w:t xml:space="preserve"> Donna Olivia Shilunga</w:t>
      </w:r>
    </w:p>
    <w:p w14:paraId="51C39D9E" w14:textId="77777777" w:rsidR="006921ED" w:rsidRDefault="00D73B41">
      <w:pPr>
        <w:spacing w:line="276" w:lineRule="auto"/>
        <w:jc w:val="center"/>
        <w:rPr>
          <w:rFonts w:ascii="Arial" w:eastAsia="Arial" w:hAnsi="Arial" w:cs="Arial"/>
          <w:sz w:val="22"/>
          <w:szCs w:val="22"/>
        </w:rPr>
      </w:pPr>
      <w:r>
        <w:rPr>
          <w:rFonts w:ascii="Arial" w:eastAsia="Arial" w:hAnsi="Arial" w:cs="Arial"/>
          <w:b/>
          <w:bCs/>
          <w:sz w:val="22"/>
          <w:szCs w:val="22"/>
        </w:rPr>
        <w:t>Student ID:</w:t>
      </w:r>
      <w:r>
        <w:rPr>
          <w:rFonts w:ascii="Arial" w:eastAsia="Arial" w:hAnsi="Arial" w:cs="Arial"/>
          <w:sz w:val="22"/>
          <w:szCs w:val="22"/>
        </w:rPr>
        <w:t xml:space="preserve"> 2129251</w:t>
      </w:r>
    </w:p>
    <w:p w14:paraId="51C39D9F" w14:textId="77777777" w:rsidR="006921ED" w:rsidRDefault="00D73B41">
      <w:pPr>
        <w:spacing w:line="276" w:lineRule="auto"/>
        <w:jc w:val="center"/>
        <w:rPr>
          <w:rFonts w:ascii="Arial" w:eastAsia="Arial" w:hAnsi="Arial" w:cs="Arial"/>
          <w:sz w:val="22"/>
          <w:szCs w:val="22"/>
        </w:rPr>
      </w:pPr>
      <w:r>
        <w:rPr>
          <w:rFonts w:ascii="Arial" w:eastAsia="Arial" w:hAnsi="Arial" w:cs="Arial"/>
          <w:b/>
          <w:bCs/>
          <w:sz w:val="22"/>
          <w:szCs w:val="22"/>
        </w:rPr>
        <w:t xml:space="preserve">Programme: </w:t>
      </w:r>
      <w:r>
        <w:rPr>
          <w:rFonts w:ascii="Arial" w:eastAsia="Arial" w:hAnsi="Arial" w:cs="Arial"/>
          <w:sz w:val="22"/>
          <w:szCs w:val="22"/>
        </w:rPr>
        <w:t>MSc Public Health and social care in Practice</w:t>
      </w:r>
    </w:p>
    <w:p w14:paraId="51C39DA0" w14:textId="77777777" w:rsidR="006921ED" w:rsidRDefault="00D73B41">
      <w:pPr>
        <w:spacing w:line="276" w:lineRule="auto"/>
        <w:jc w:val="center"/>
        <w:rPr>
          <w:rFonts w:ascii="Arial" w:eastAsia="Arial" w:hAnsi="Arial" w:cs="Arial"/>
          <w:sz w:val="22"/>
          <w:szCs w:val="22"/>
        </w:rPr>
      </w:pPr>
      <w:r>
        <w:rPr>
          <w:rFonts w:ascii="Arial" w:eastAsia="Arial" w:hAnsi="Arial" w:cs="Arial"/>
          <w:b/>
          <w:bCs/>
          <w:sz w:val="22"/>
          <w:szCs w:val="22"/>
        </w:rPr>
        <w:t xml:space="preserve">Module: </w:t>
      </w:r>
      <w:r>
        <w:rPr>
          <w:rFonts w:ascii="Arial" w:eastAsia="Arial" w:hAnsi="Arial" w:cs="Arial"/>
          <w:sz w:val="22"/>
          <w:szCs w:val="22"/>
        </w:rPr>
        <w:t>Public health and social care Dissertation</w:t>
      </w:r>
    </w:p>
    <w:p w14:paraId="51C39DA1" w14:textId="77777777" w:rsidR="006921ED" w:rsidRDefault="00D73B41">
      <w:pPr>
        <w:spacing w:line="276" w:lineRule="auto"/>
        <w:jc w:val="center"/>
        <w:rPr>
          <w:rFonts w:ascii="Arial" w:eastAsia="Arial" w:hAnsi="Arial" w:cs="Arial"/>
          <w:sz w:val="22"/>
          <w:szCs w:val="22"/>
        </w:rPr>
      </w:pPr>
      <w:r>
        <w:rPr>
          <w:rFonts w:ascii="Arial" w:eastAsia="Arial" w:hAnsi="Arial" w:cs="Arial"/>
          <w:b/>
          <w:bCs/>
          <w:sz w:val="22"/>
          <w:szCs w:val="22"/>
        </w:rPr>
        <w:t xml:space="preserve">Module code: </w:t>
      </w:r>
      <w:r>
        <w:rPr>
          <w:rFonts w:ascii="Arial" w:eastAsia="Arial" w:hAnsi="Arial" w:cs="Arial"/>
          <w:sz w:val="22"/>
          <w:szCs w:val="22"/>
        </w:rPr>
        <w:t>LCHS7004</w:t>
      </w:r>
    </w:p>
    <w:p w14:paraId="51C39DA2" w14:textId="77777777" w:rsidR="006921ED" w:rsidRDefault="00D73B41">
      <w:pPr>
        <w:spacing w:line="276" w:lineRule="auto"/>
        <w:jc w:val="center"/>
        <w:rPr>
          <w:rFonts w:ascii="Arial" w:eastAsia="Arial" w:hAnsi="Arial" w:cs="Arial"/>
          <w:sz w:val="22"/>
          <w:szCs w:val="22"/>
        </w:rPr>
      </w:pPr>
      <w:r>
        <w:rPr>
          <w:rFonts w:ascii="Arial" w:eastAsia="Arial" w:hAnsi="Arial" w:cs="Arial"/>
          <w:b/>
          <w:bCs/>
          <w:sz w:val="22"/>
          <w:szCs w:val="22"/>
        </w:rPr>
        <w:t xml:space="preserve">Lecturer: </w:t>
      </w:r>
      <w:r>
        <w:rPr>
          <w:rFonts w:ascii="Arial" w:eastAsia="Arial" w:hAnsi="Arial" w:cs="Arial"/>
          <w:sz w:val="22"/>
          <w:szCs w:val="22"/>
        </w:rPr>
        <w:t>Dr Hamdi Hussain</w:t>
      </w:r>
    </w:p>
    <w:p w14:paraId="51C39DA3" w14:textId="77777777" w:rsidR="006921ED" w:rsidRDefault="00D73B41">
      <w:pPr>
        <w:spacing w:line="276" w:lineRule="auto"/>
        <w:jc w:val="center"/>
        <w:rPr>
          <w:rFonts w:ascii="Arial" w:eastAsia="Arial" w:hAnsi="Arial" w:cs="Arial"/>
          <w:sz w:val="22"/>
          <w:szCs w:val="22"/>
        </w:rPr>
      </w:pPr>
      <w:r>
        <w:rPr>
          <w:rFonts w:ascii="Arial" w:eastAsia="Arial" w:hAnsi="Arial" w:cs="Arial"/>
          <w:b/>
          <w:bCs/>
          <w:sz w:val="22"/>
          <w:szCs w:val="22"/>
        </w:rPr>
        <w:t>Supervisor Name:</w:t>
      </w:r>
      <w:r>
        <w:rPr>
          <w:rFonts w:ascii="Arial" w:eastAsia="Arial" w:hAnsi="Arial" w:cs="Arial"/>
          <w:sz w:val="22"/>
          <w:szCs w:val="22"/>
        </w:rPr>
        <w:t xml:space="preserve"> Dr. Zeno Leung</w:t>
      </w:r>
    </w:p>
    <w:p w14:paraId="51C39DA4" w14:textId="77777777" w:rsidR="006921ED" w:rsidRDefault="00D73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w:hAnsi="Arial" w:cs="Arial"/>
          <w:sz w:val="22"/>
          <w:szCs w:val="22"/>
        </w:rPr>
      </w:pPr>
      <w:r>
        <w:rPr>
          <w:rFonts w:ascii="Arial" w:eastAsia="Arial" w:hAnsi="Arial" w:cs="Arial"/>
          <w:sz w:val="22"/>
          <w:szCs w:val="22"/>
        </w:rPr>
        <w:t>12 May 2026</w:t>
      </w:r>
    </w:p>
    <w:p w14:paraId="51C39DA5"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A6"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A7"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A8"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A9"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AA"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AD"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E2CEC3B" w14:textId="77777777" w:rsidR="006F567A" w:rsidRDefault="006F56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B1E9853" w14:textId="77777777" w:rsidR="006F567A" w:rsidRDefault="006F56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AE" w14:textId="77777777" w:rsidR="006921ED" w:rsidRDefault="00D73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r>
        <w:rPr>
          <w:rFonts w:ascii="Arial" w:eastAsia="Arial" w:hAnsi="Arial" w:cs="Arial"/>
          <w:b/>
          <w:bCs/>
          <w:sz w:val="22"/>
          <w:szCs w:val="22"/>
        </w:rPr>
        <w:lastRenderedPageBreak/>
        <w:t>Dissertation submitted as part of the requirements for the award of MSc Public Health and Social Care in Practice.</w:t>
      </w:r>
      <w:r>
        <w:br w:type="page"/>
      </w:r>
    </w:p>
    <w:p w14:paraId="51C39DAF"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sz w:val="22"/>
          <w:szCs w:val="22"/>
        </w:rPr>
      </w:pPr>
    </w:p>
    <w:p w14:paraId="51C39DB0" w14:textId="77777777" w:rsidR="006921ED" w:rsidRDefault="00D73B41">
      <w:pPr>
        <w:spacing w:before="240" w:after="240" w:line="360" w:lineRule="auto"/>
        <w:jc w:val="center"/>
        <w:rPr>
          <w:rFonts w:ascii="Arial" w:eastAsia="Arial" w:hAnsi="Arial" w:cs="Arial"/>
          <w:b/>
          <w:bCs/>
          <w:sz w:val="22"/>
          <w:szCs w:val="22"/>
        </w:rPr>
      </w:pPr>
      <w:r>
        <w:rPr>
          <w:rFonts w:ascii="Arial" w:eastAsia="Arial" w:hAnsi="Arial" w:cs="Arial"/>
          <w:b/>
          <w:bCs/>
          <w:sz w:val="22"/>
          <w:szCs w:val="22"/>
        </w:rPr>
        <w:t>DECLARATION</w:t>
      </w:r>
    </w:p>
    <w:p w14:paraId="51C39DB1" w14:textId="77777777" w:rsidR="006921ED" w:rsidRDefault="00D73B4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2"/>
          <w:szCs w:val="22"/>
        </w:rPr>
      </w:pPr>
      <w:r>
        <w:rPr>
          <w:rFonts w:ascii="Arial" w:eastAsia="Arial" w:hAnsi="Arial" w:cs="Arial"/>
          <w:sz w:val="22"/>
          <w:szCs w:val="22"/>
        </w:rPr>
        <w:t>I, Donna Olivia Shilinga,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1C39DB2"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2"/>
          <w:szCs w:val="22"/>
        </w:rPr>
      </w:pPr>
    </w:p>
    <w:p w14:paraId="51C39DB3" w14:textId="77777777" w:rsidR="006921ED" w:rsidRDefault="00D73B4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2"/>
          <w:szCs w:val="22"/>
        </w:rPr>
      </w:pPr>
      <w:r>
        <w:rPr>
          <w:rFonts w:ascii="Arial" w:eastAsia="Arial" w:hAnsi="Arial" w:cs="Arial"/>
          <w:sz w:val="22"/>
          <w:szCs w:val="22"/>
        </w:rPr>
        <w:t xml:space="preserve">Signature: </w:t>
      </w:r>
      <w:r>
        <w:rPr>
          <w:rFonts w:ascii="Arial" w:eastAsia="Arial" w:hAnsi="Arial" w:cs="Arial"/>
          <w:b/>
          <w:bCs/>
          <w:sz w:val="22"/>
          <w:szCs w:val="22"/>
        </w:rPr>
        <w:t>Donna Olivia Shilinga (DS)</w:t>
      </w:r>
    </w:p>
    <w:p w14:paraId="51C39DB4"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2"/>
          <w:szCs w:val="22"/>
        </w:rPr>
      </w:pPr>
    </w:p>
    <w:p w14:paraId="51C39DB5" w14:textId="77777777" w:rsidR="006921ED" w:rsidRDefault="00D73B4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both"/>
        <w:rPr>
          <w:rFonts w:ascii="Arial" w:eastAsia="Arial" w:hAnsi="Arial" w:cs="Arial"/>
          <w:sz w:val="22"/>
          <w:szCs w:val="22"/>
        </w:rPr>
      </w:pPr>
      <w:r>
        <w:rPr>
          <w:rFonts w:ascii="Arial" w:eastAsia="Arial" w:hAnsi="Arial" w:cs="Arial"/>
          <w:sz w:val="22"/>
          <w:szCs w:val="22"/>
        </w:rPr>
        <w:t>Date: …1 May 2026…………………</w:t>
      </w:r>
    </w:p>
    <w:p w14:paraId="51C39DB6"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2"/>
          <w:szCs w:val="22"/>
        </w:rPr>
      </w:pPr>
    </w:p>
    <w:p w14:paraId="51C39DB7"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8"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9"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A"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B"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C"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D"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E"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BF"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0"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1"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2"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3"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4"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5" w14:textId="77777777" w:rsidR="006921ED" w:rsidRDefault="00D73B41">
      <w:pPr>
        <w:rPr>
          <w:rFonts w:ascii="Arial" w:eastAsia="Arial" w:hAnsi="Arial" w:cs="Arial"/>
          <w:b/>
          <w:bCs/>
          <w:sz w:val="22"/>
          <w:szCs w:val="22"/>
        </w:rPr>
      </w:pPr>
      <w:r>
        <w:br w:type="page"/>
      </w:r>
    </w:p>
    <w:p w14:paraId="51C39DC6"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7" w14:textId="77777777" w:rsidR="006921ED" w:rsidRDefault="00D73B41">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240" w:line="360" w:lineRule="auto"/>
        <w:jc w:val="center"/>
        <w:rPr>
          <w:rFonts w:ascii="Arial" w:eastAsia="Arial" w:hAnsi="Arial" w:cs="Arial"/>
          <w:b/>
          <w:bCs/>
          <w:sz w:val="22"/>
          <w:szCs w:val="22"/>
        </w:rPr>
      </w:pPr>
      <w:r>
        <w:rPr>
          <w:rFonts w:ascii="Arial" w:eastAsia="Arial" w:hAnsi="Arial" w:cs="Arial"/>
          <w:b/>
          <w:bCs/>
          <w:sz w:val="22"/>
          <w:szCs w:val="22"/>
        </w:rPr>
        <w:t>Acknowledgements</w:t>
      </w:r>
    </w:p>
    <w:p w14:paraId="51C39DC8" w14:textId="77777777" w:rsidR="006921ED" w:rsidRDefault="00D73B41">
      <w:pPr>
        <w:pBdr>
          <w:top w:val="nil"/>
          <w:left w:val="nil"/>
          <w:bottom w:val="nil"/>
          <w:right w:val="nil"/>
          <w:between w:val="nil"/>
        </w:pBdr>
        <w:shd w:val="clear" w:color="auto" w:fill="FFFFFF"/>
        <w:spacing w:before="240" w:after="240" w:line="360" w:lineRule="auto"/>
        <w:jc w:val="both"/>
        <w:rPr>
          <w:rFonts w:ascii="Arial" w:eastAsia="Arial" w:hAnsi="Arial" w:cs="Arial"/>
          <w:color w:val="000000"/>
          <w:sz w:val="22"/>
          <w:szCs w:val="22"/>
        </w:rPr>
      </w:pPr>
      <w:r>
        <w:rPr>
          <w:rFonts w:ascii="Arial" w:eastAsia="Arial" w:hAnsi="Arial" w:cs="Arial"/>
          <w:color w:val="000000"/>
          <w:sz w:val="22"/>
          <w:szCs w:val="22"/>
        </w:rPr>
        <w:t>I would like to thank my supervisor as he has supported me, guiding me, and giving me useful feedback all the way through the completion of this dissertation. Their academic wisdom and motivation have played a critical role in influencing this study. I am thankful as well to the faculty and librarians who made the necessary materials and advice on the literature and research tools available to me. I would also like to mention my peers and colleagues who supported, discussed, and encouraged me throughout thi</w:t>
      </w:r>
      <w:r>
        <w:rPr>
          <w:rFonts w:ascii="Arial" w:eastAsia="Arial" w:hAnsi="Arial" w:cs="Arial"/>
          <w:color w:val="000000"/>
          <w:sz w:val="22"/>
          <w:szCs w:val="22"/>
        </w:rPr>
        <w:t>s process. Lastly, I owe a lot of credit to my family who has constantly supported, been patient, and understanding and helped me to accomplish this dissertation.</w:t>
      </w:r>
    </w:p>
    <w:p w14:paraId="51C39DC9"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A"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B"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C"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D"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E"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CF"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0"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1"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2"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3"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4"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5"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6"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7"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8"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9"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A" w14:textId="77777777" w:rsidR="006921ED" w:rsidRDefault="006921E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B" w14:textId="77777777" w:rsidR="006921ED" w:rsidRDefault="00D73B41">
      <w:pPr>
        <w:rPr>
          <w:rFonts w:ascii="Arial" w:eastAsia="Arial" w:hAnsi="Arial" w:cs="Arial"/>
          <w:b/>
          <w:bCs/>
          <w:sz w:val="22"/>
          <w:szCs w:val="22"/>
        </w:rPr>
      </w:pPr>
      <w:r>
        <w:br w:type="page"/>
      </w:r>
    </w:p>
    <w:p w14:paraId="51C39DDC"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b/>
          <w:bCs/>
          <w:sz w:val="22"/>
          <w:szCs w:val="22"/>
        </w:rPr>
      </w:pPr>
    </w:p>
    <w:p w14:paraId="51C39DDD" w14:textId="77777777" w:rsidR="006921ED" w:rsidRDefault="00D73B4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w:hAnsi="Arial" w:cs="Arial"/>
          <w:sz w:val="22"/>
          <w:szCs w:val="22"/>
        </w:rPr>
      </w:pPr>
      <w:r>
        <w:rPr>
          <w:rFonts w:ascii="Arial" w:eastAsia="Arial" w:hAnsi="Arial" w:cs="Arial"/>
          <w:b/>
          <w:bCs/>
          <w:sz w:val="22"/>
          <w:szCs w:val="22"/>
        </w:rPr>
        <w:t>Abstract</w:t>
      </w:r>
    </w:p>
    <w:p w14:paraId="51C39DDE" w14:textId="77777777" w:rsidR="006921ED" w:rsidRDefault="00D73B41">
      <w:pPr>
        <w:pBdr>
          <w:top w:val="nil"/>
          <w:left w:val="nil"/>
          <w:bottom w:val="nil"/>
          <w:right w:val="nil"/>
          <w:between w:val="nil"/>
        </w:pBdr>
        <w:spacing w:before="240" w:after="240" w:line="360" w:lineRule="auto"/>
        <w:jc w:val="both"/>
        <w:rPr>
          <w:rFonts w:ascii="Arial" w:eastAsia="Arial" w:hAnsi="Arial" w:cs="Arial"/>
          <w:color w:val="000000"/>
          <w:sz w:val="22"/>
          <w:szCs w:val="22"/>
        </w:rPr>
      </w:pPr>
      <w:r>
        <w:rPr>
          <w:rFonts w:ascii="Arial" w:eastAsia="Arial" w:hAnsi="Arial" w:cs="Arial"/>
          <w:color w:val="000000"/>
          <w:sz w:val="22"/>
          <w:szCs w:val="22"/>
        </w:rPr>
        <w:t>The Human Immunodeficiency Virus (HIV) has been transformed into a disease that can be controlled over time as a long-term disease rather than a life-threatening disease with the development of antiretroviral therapy. In the United Kingdom, longer life expectancy of people living with HIV (PLWH) has changed the perspective of care towards survival and long-term experiences of health and social care. Nevertheless, issues like stigma, poor service fragmentation, and social inequalities are still a challenge t</w:t>
      </w:r>
      <w:r>
        <w:rPr>
          <w:rFonts w:ascii="Arial" w:eastAsia="Arial" w:hAnsi="Arial" w:cs="Arial"/>
          <w:color w:val="000000"/>
          <w:sz w:val="22"/>
          <w:szCs w:val="22"/>
        </w:rPr>
        <w:t>o patient wellbeing. This paper will discuss the health and social care experiences of people living with HIV in the UK.</w:t>
      </w:r>
    </w:p>
    <w:p w14:paraId="51C39DDF" w14:textId="77777777" w:rsidR="006921ED" w:rsidRDefault="00D73B41">
      <w:pPr>
        <w:pBdr>
          <w:top w:val="nil"/>
          <w:left w:val="nil"/>
          <w:bottom w:val="nil"/>
          <w:right w:val="nil"/>
          <w:between w:val="nil"/>
        </w:pBdr>
        <w:spacing w:before="240" w:after="240" w:line="360" w:lineRule="auto"/>
        <w:jc w:val="both"/>
        <w:rPr>
          <w:rFonts w:ascii="Arial" w:eastAsia="Arial" w:hAnsi="Arial" w:cs="Arial"/>
          <w:color w:val="000000"/>
          <w:sz w:val="22"/>
          <w:szCs w:val="22"/>
        </w:rPr>
      </w:pPr>
      <w:r>
        <w:rPr>
          <w:rFonts w:ascii="Arial" w:eastAsia="Arial" w:hAnsi="Arial" w:cs="Arial"/>
          <w:color w:val="000000"/>
          <w:sz w:val="22"/>
          <w:szCs w:val="22"/>
        </w:rPr>
        <w:t>This study used a systematic literature review methodology in line with PRISMA methodology. The databases such as PubMed, Scopus, CINAHL, Web of Science, and Google Scholar were searched in detail. The study selected twelve articles published in the past five years (2010-2025) according to the predetermined inclusion and exclusion criteria. The review involved quantitative, and mixed-method research that concentrated on lived experiences of PLWH in the UK. Thematic analysis was used to extract and analyse d</w:t>
      </w:r>
      <w:r>
        <w:rPr>
          <w:rFonts w:ascii="Arial" w:eastAsia="Arial" w:hAnsi="Arial" w:cs="Arial"/>
          <w:color w:val="000000"/>
          <w:sz w:val="22"/>
          <w:szCs w:val="22"/>
        </w:rPr>
        <w:t xml:space="preserve">ata </w:t>
      </w:r>
      <w:proofErr w:type="gramStart"/>
      <w:r>
        <w:rPr>
          <w:rFonts w:ascii="Arial" w:eastAsia="Arial" w:hAnsi="Arial" w:cs="Arial"/>
          <w:color w:val="000000"/>
          <w:sz w:val="22"/>
          <w:szCs w:val="22"/>
        </w:rPr>
        <w:t>in order to</w:t>
      </w:r>
      <w:proofErr w:type="gramEnd"/>
      <w:r>
        <w:rPr>
          <w:rFonts w:ascii="Arial" w:eastAsia="Arial" w:hAnsi="Arial" w:cs="Arial"/>
          <w:color w:val="000000"/>
          <w:sz w:val="22"/>
          <w:szCs w:val="22"/>
        </w:rPr>
        <w:t xml:space="preserve"> present significant patterns and themes.</w:t>
      </w:r>
    </w:p>
    <w:p w14:paraId="51C39DE0" w14:textId="77777777" w:rsidR="006921ED" w:rsidRDefault="00D73B41">
      <w:pPr>
        <w:pBdr>
          <w:top w:val="nil"/>
          <w:left w:val="nil"/>
          <w:bottom w:val="nil"/>
          <w:right w:val="nil"/>
          <w:between w:val="nil"/>
        </w:pBdr>
        <w:spacing w:before="240" w:after="240"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The analysis resulted in four major themes, namely, the continued stigma towards HIV, the disintegration of health and social care service, the issues of ageing with HIV, and the impact of cultural and social disparities. The results show that although clinical outcomes have improved, stigma is a major obstacle to access to healthcare and psychosocial wellbeing. Moreover, there is the deficiency in integration of healthcare services, which adds to inconsistency in the experiences of care. It was found that </w:t>
      </w:r>
      <w:r>
        <w:rPr>
          <w:rFonts w:ascii="Arial" w:eastAsia="Arial" w:hAnsi="Arial" w:cs="Arial"/>
          <w:color w:val="000000"/>
          <w:sz w:val="22"/>
          <w:szCs w:val="22"/>
        </w:rPr>
        <w:t>older adults and minority groups had further throughput issues because of complicated health requirements and social obstacles.</w:t>
      </w:r>
    </w:p>
    <w:p w14:paraId="51C39DE1" w14:textId="77777777" w:rsidR="006921ED" w:rsidRDefault="00D73B41">
      <w:pPr>
        <w:pBdr>
          <w:top w:val="nil"/>
          <w:left w:val="nil"/>
          <w:bottom w:val="nil"/>
          <w:right w:val="nil"/>
          <w:between w:val="nil"/>
        </w:pBdr>
        <w:spacing w:before="240" w:after="240" w:line="360" w:lineRule="auto"/>
        <w:jc w:val="both"/>
        <w:rPr>
          <w:rFonts w:ascii="Arial" w:eastAsia="Arial" w:hAnsi="Arial" w:cs="Arial"/>
          <w:color w:val="000000"/>
          <w:sz w:val="22"/>
          <w:szCs w:val="22"/>
        </w:rPr>
      </w:pPr>
      <w:r>
        <w:rPr>
          <w:rFonts w:ascii="Arial" w:eastAsia="Arial" w:hAnsi="Arial" w:cs="Arial"/>
          <w:color w:val="000000"/>
          <w:sz w:val="22"/>
          <w:szCs w:val="22"/>
        </w:rPr>
        <w:t>The research finds that although the UK has recorded significant achievements in the biomedical management of HIV, there are still critical gaps in the provision of health and social care services to the broader population of PLWH. More person-centred, culturally sensitive care models, which are more integrated, are required to enhance patient outcomes and improve the quality of life.</w:t>
      </w:r>
    </w:p>
    <w:p w14:paraId="51C39DE2" w14:textId="77777777" w:rsidR="006921ED" w:rsidRDefault="00D73B41">
      <w:pPr>
        <w:pBdr>
          <w:top w:val="nil"/>
          <w:left w:val="nil"/>
          <w:bottom w:val="nil"/>
          <w:right w:val="nil"/>
          <w:between w:val="nil"/>
        </w:pBdr>
        <w:spacing w:before="240" w:after="240" w:line="360" w:lineRule="auto"/>
        <w:jc w:val="both"/>
        <w:rPr>
          <w:rFonts w:ascii="Arial" w:eastAsia="Arial" w:hAnsi="Arial" w:cs="Arial"/>
          <w:b/>
          <w:bCs/>
          <w:color w:val="000000"/>
          <w:sz w:val="22"/>
          <w:szCs w:val="22"/>
        </w:rPr>
      </w:pPr>
      <w:r>
        <w:rPr>
          <w:rFonts w:ascii="Arial" w:eastAsia="Arial" w:hAnsi="Arial" w:cs="Arial"/>
          <w:b/>
          <w:bCs/>
          <w:color w:val="000000"/>
          <w:sz w:val="22"/>
          <w:szCs w:val="22"/>
        </w:rPr>
        <w:t>Keywords</w:t>
      </w:r>
    </w:p>
    <w:p w14:paraId="51C39DE3" w14:textId="77777777" w:rsidR="006921ED" w:rsidRDefault="00D73B41">
      <w:pPr>
        <w:pBdr>
          <w:top w:val="nil"/>
          <w:left w:val="nil"/>
          <w:bottom w:val="nil"/>
          <w:right w:val="nil"/>
          <w:between w:val="nil"/>
        </w:pBdr>
        <w:spacing w:before="240" w:after="240" w:line="360" w:lineRule="auto"/>
        <w:jc w:val="both"/>
        <w:rPr>
          <w:rFonts w:ascii="Arial" w:eastAsia="Arial" w:hAnsi="Arial" w:cs="Arial"/>
          <w:color w:val="000000"/>
          <w:sz w:val="22"/>
          <w:szCs w:val="22"/>
        </w:rPr>
      </w:pPr>
      <w:r>
        <w:rPr>
          <w:rFonts w:ascii="Arial" w:eastAsia="Arial" w:hAnsi="Arial" w:cs="Arial"/>
          <w:color w:val="000000"/>
          <w:sz w:val="22"/>
          <w:szCs w:val="22"/>
        </w:rPr>
        <w:t>HIV, health and social care, stigma, integrated care, qualitative research, United Kingdom.</w:t>
      </w:r>
    </w:p>
    <w:p w14:paraId="51C39DE4" w14:textId="77777777" w:rsidR="006921ED" w:rsidRDefault="00D73B41">
      <w:pPr>
        <w:rPr>
          <w:rFonts w:ascii="Arial" w:eastAsia="Arial" w:hAnsi="Arial" w:cs="Arial"/>
          <w:sz w:val="22"/>
          <w:szCs w:val="22"/>
        </w:rPr>
      </w:pPr>
      <w:r>
        <w:br w:type="page"/>
      </w:r>
    </w:p>
    <w:p w14:paraId="51C39DE5" w14:textId="77777777" w:rsidR="006921ED" w:rsidRDefault="00D73B41">
      <w:pPr>
        <w:keepNext/>
        <w:keepLines/>
        <w:pBdr>
          <w:top w:val="nil"/>
          <w:left w:val="nil"/>
          <w:bottom w:val="nil"/>
          <w:right w:val="nil"/>
          <w:between w:val="nil"/>
        </w:pBdr>
        <w:spacing w:before="320" w:after="240" w:line="360" w:lineRule="auto"/>
        <w:jc w:val="center"/>
        <w:rPr>
          <w:rFonts w:ascii="Arial" w:eastAsia="Arial" w:hAnsi="Arial" w:cs="Arial"/>
          <w:color w:val="000000"/>
          <w:sz w:val="22"/>
          <w:szCs w:val="22"/>
        </w:rPr>
      </w:pPr>
      <w:r>
        <w:rPr>
          <w:rFonts w:ascii="Arial" w:eastAsia="Arial" w:hAnsi="Arial" w:cs="Arial"/>
          <w:b/>
          <w:bCs/>
          <w:color w:val="000000"/>
          <w:sz w:val="22"/>
          <w:szCs w:val="22"/>
        </w:rPr>
        <w:lastRenderedPageBreak/>
        <w:t>Table of Contents</w:t>
      </w:r>
    </w:p>
    <w:sdt>
      <w:sdtPr>
        <w:id w:val="-1480809225"/>
        <w:docPartObj>
          <w:docPartGallery w:val="Table of Contents"/>
          <w:docPartUnique/>
        </w:docPartObj>
      </w:sdtPr>
      <w:sdtEndPr/>
      <w:sdtContent>
        <w:p w14:paraId="51C39DE6" w14:textId="77777777" w:rsidR="006921ED" w:rsidRDefault="00D73B41">
          <w:pPr>
            <w:pBdr>
              <w:top w:val="nil"/>
              <w:left w:val="nil"/>
              <w:bottom w:val="nil"/>
              <w:right w:val="nil"/>
              <w:between w:val="nil"/>
            </w:pBdr>
            <w:tabs>
              <w:tab w:val="left" w:pos="480"/>
              <w:tab w:val="right" w:leader="dot" w:pos="9016"/>
            </w:tabs>
            <w:spacing w:before="240" w:after="100" w:line="360" w:lineRule="auto"/>
            <w:jc w:val="both"/>
            <w:rPr>
              <w:rFonts w:ascii="Arial" w:eastAsia="Arial" w:hAnsi="Arial" w:cs="Arial"/>
              <w:b/>
              <w:bCs/>
              <w:color w:val="000000"/>
              <w:sz w:val="22"/>
              <w:szCs w:val="22"/>
            </w:rPr>
          </w:pPr>
          <w:r>
            <w:fldChar w:fldCharType="begin"/>
          </w:r>
          <w:r>
            <w:instrText xml:space="preserve"> TOC \h \u \z \t "Heading 1,1,Heading 2,2,Heading 3,3,"</w:instrText>
          </w:r>
          <w:r>
            <w:fldChar w:fldCharType="separate"/>
          </w:r>
          <w:hyperlink w:anchor="_heading=h.rqf8pckgrv84">
            <w:r w:rsidR="006921ED">
              <w:rPr>
                <w:rFonts w:ascii="Arial" w:eastAsia="Arial" w:hAnsi="Arial" w:cs="Arial"/>
                <w:b/>
                <w:bCs/>
                <w:color w:val="000000"/>
                <w:sz w:val="22"/>
                <w:szCs w:val="22"/>
              </w:rPr>
              <w:t>1.</w:t>
            </w:r>
            <w:r w:rsidR="006921ED">
              <w:rPr>
                <w:rFonts w:ascii="Arial" w:eastAsia="Arial" w:hAnsi="Arial" w:cs="Arial"/>
                <w:b/>
                <w:bCs/>
                <w:color w:val="000000"/>
                <w:sz w:val="22"/>
                <w:szCs w:val="22"/>
              </w:rPr>
              <w:tab/>
              <w:t>Chapter 1: Introduction and Background</w:t>
            </w:r>
            <w:r w:rsidR="006921ED">
              <w:rPr>
                <w:rFonts w:ascii="Arial" w:eastAsia="Arial" w:hAnsi="Arial" w:cs="Arial"/>
                <w:b/>
                <w:bCs/>
                <w:color w:val="000000"/>
                <w:sz w:val="22"/>
                <w:szCs w:val="22"/>
              </w:rPr>
              <w:tab/>
              <w:t>11</w:t>
            </w:r>
          </w:hyperlink>
        </w:p>
        <w:p w14:paraId="51C39DE7"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5hy62lef3s8l">
            <w:r>
              <w:rPr>
                <w:rFonts w:ascii="Arial" w:eastAsia="Arial" w:hAnsi="Arial" w:cs="Arial"/>
                <w:color w:val="000000"/>
                <w:sz w:val="22"/>
                <w:szCs w:val="22"/>
              </w:rPr>
              <w:t>1.1.</w:t>
            </w:r>
            <w:r>
              <w:rPr>
                <w:rFonts w:ascii="Arial" w:eastAsia="Arial" w:hAnsi="Arial" w:cs="Arial"/>
                <w:color w:val="000000"/>
                <w:sz w:val="22"/>
                <w:szCs w:val="22"/>
              </w:rPr>
              <w:tab/>
              <w:t>Introduction</w:t>
            </w:r>
            <w:r>
              <w:rPr>
                <w:rFonts w:ascii="Arial" w:eastAsia="Arial" w:hAnsi="Arial" w:cs="Arial"/>
                <w:color w:val="000000"/>
                <w:sz w:val="22"/>
                <w:szCs w:val="22"/>
              </w:rPr>
              <w:tab/>
              <w:t>12</w:t>
            </w:r>
          </w:hyperlink>
        </w:p>
        <w:p w14:paraId="51C39DE8"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8d75qibhmc5h">
            <w:r>
              <w:rPr>
                <w:rFonts w:ascii="Arial" w:eastAsia="Arial" w:hAnsi="Arial" w:cs="Arial"/>
                <w:color w:val="000000"/>
                <w:sz w:val="22"/>
                <w:szCs w:val="22"/>
              </w:rPr>
              <w:t>1.2.</w:t>
            </w:r>
            <w:r>
              <w:rPr>
                <w:rFonts w:ascii="Arial" w:eastAsia="Arial" w:hAnsi="Arial" w:cs="Arial"/>
                <w:color w:val="000000"/>
                <w:sz w:val="22"/>
                <w:szCs w:val="22"/>
              </w:rPr>
              <w:tab/>
              <w:t>Background and Current Context</w:t>
            </w:r>
            <w:r>
              <w:rPr>
                <w:rFonts w:ascii="Arial" w:eastAsia="Arial" w:hAnsi="Arial" w:cs="Arial"/>
                <w:color w:val="000000"/>
                <w:sz w:val="22"/>
                <w:szCs w:val="22"/>
              </w:rPr>
              <w:tab/>
              <w:t>12</w:t>
            </w:r>
          </w:hyperlink>
        </w:p>
        <w:p w14:paraId="51C39DE9"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qu8vm46k49d5">
            <w:r>
              <w:rPr>
                <w:rFonts w:ascii="Arial" w:eastAsia="Arial" w:hAnsi="Arial" w:cs="Arial"/>
                <w:color w:val="000000"/>
                <w:sz w:val="22"/>
                <w:szCs w:val="22"/>
              </w:rPr>
              <w:t>1.2.1.</w:t>
            </w:r>
            <w:r>
              <w:rPr>
                <w:rFonts w:ascii="Arial" w:eastAsia="Arial" w:hAnsi="Arial" w:cs="Arial"/>
                <w:color w:val="000000"/>
                <w:sz w:val="22"/>
                <w:szCs w:val="22"/>
              </w:rPr>
              <w:tab/>
              <w:t>HIV In The UK</w:t>
            </w:r>
            <w:r>
              <w:rPr>
                <w:rFonts w:ascii="Arial" w:eastAsia="Arial" w:hAnsi="Arial" w:cs="Arial"/>
                <w:color w:val="000000"/>
                <w:sz w:val="22"/>
                <w:szCs w:val="22"/>
              </w:rPr>
              <w:tab/>
              <w:t>12</w:t>
            </w:r>
          </w:hyperlink>
        </w:p>
        <w:p w14:paraId="51C39DEA"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rxeetxknvj3j">
            <w:r>
              <w:rPr>
                <w:rFonts w:ascii="Arial" w:eastAsia="Arial" w:hAnsi="Arial" w:cs="Arial"/>
                <w:color w:val="000000"/>
                <w:sz w:val="22"/>
                <w:szCs w:val="22"/>
              </w:rPr>
              <w:t>1.2.2.</w:t>
            </w:r>
            <w:r>
              <w:rPr>
                <w:rFonts w:ascii="Arial" w:eastAsia="Arial" w:hAnsi="Arial" w:cs="Arial"/>
                <w:color w:val="000000"/>
                <w:sz w:val="22"/>
                <w:szCs w:val="22"/>
              </w:rPr>
              <w:tab/>
              <w:t>HIV as a Long-Term Condition</w:t>
            </w:r>
            <w:r>
              <w:rPr>
                <w:rFonts w:ascii="Arial" w:eastAsia="Arial" w:hAnsi="Arial" w:cs="Arial"/>
                <w:color w:val="000000"/>
                <w:sz w:val="22"/>
                <w:szCs w:val="22"/>
              </w:rPr>
              <w:tab/>
              <w:t>13</w:t>
            </w:r>
          </w:hyperlink>
        </w:p>
        <w:p w14:paraId="51C39DEB"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1j2tifrejwuu">
            <w:r>
              <w:rPr>
                <w:rFonts w:ascii="Arial" w:eastAsia="Arial" w:hAnsi="Arial" w:cs="Arial"/>
                <w:color w:val="000000"/>
                <w:sz w:val="22"/>
                <w:szCs w:val="22"/>
              </w:rPr>
              <w:t>1.2.3.</w:t>
            </w:r>
            <w:r>
              <w:rPr>
                <w:rFonts w:ascii="Arial" w:eastAsia="Arial" w:hAnsi="Arial" w:cs="Arial"/>
                <w:color w:val="000000"/>
                <w:sz w:val="22"/>
                <w:szCs w:val="22"/>
              </w:rPr>
              <w:tab/>
              <w:t>Stigma, Disclosure, and Social Inclusion</w:t>
            </w:r>
            <w:r>
              <w:rPr>
                <w:rFonts w:ascii="Arial" w:eastAsia="Arial" w:hAnsi="Arial" w:cs="Arial"/>
                <w:color w:val="000000"/>
                <w:sz w:val="22"/>
                <w:szCs w:val="22"/>
              </w:rPr>
              <w:tab/>
              <w:t>13</w:t>
            </w:r>
          </w:hyperlink>
        </w:p>
        <w:p w14:paraId="51C39DEC"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rm60227qab3n">
            <w:r>
              <w:rPr>
                <w:rFonts w:ascii="Arial" w:eastAsia="Arial" w:hAnsi="Arial" w:cs="Arial"/>
                <w:color w:val="000000"/>
                <w:sz w:val="22"/>
                <w:szCs w:val="22"/>
              </w:rPr>
              <w:t>1.2.4.</w:t>
            </w:r>
            <w:r>
              <w:rPr>
                <w:rFonts w:ascii="Arial" w:eastAsia="Arial" w:hAnsi="Arial" w:cs="Arial"/>
                <w:color w:val="000000"/>
                <w:sz w:val="22"/>
                <w:szCs w:val="22"/>
              </w:rPr>
              <w:tab/>
              <w:t>Mental Health and Quality of Life</w:t>
            </w:r>
            <w:r>
              <w:rPr>
                <w:rFonts w:ascii="Arial" w:eastAsia="Arial" w:hAnsi="Arial" w:cs="Arial"/>
                <w:color w:val="000000"/>
                <w:sz w:val="22"/>
                <w:szCs w:val="22"/>
              </w:rPr>
              <w:tab/>
              <w:t>13</w:t>
            </w:r>
          </w:hyperlink>
        </w:p>
        <w:p w14:paraId="51C39DED"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rvkgt97sro94">
            <w:r>
              <w:rPr>
                <w:rFonts w:ascii="Arial" w:eastAsia="Arial" w:hAnsi="Arial" w:cs="Arial"/>
                <w:color w:val="000000"/>
                <w:sz w:val="22"/>
                <w:szCs w:val="22"/>
              </w:rPr>
              <w:t>1.2.5.</w:t>
            </w:r>
            <w:r>
              <w:rPr>
                <w:rFonts w:ascii="Arial" w:eastAsia="Arial" w:hAnsi="Arial" w:cs="Arial"/>
                <w:color w:val="000000"/>
                <w:sz w:val="22"/>
                <w:szCs w:val="22"/>
              </w:rPr>
              <w:tab/>
              <w:t>Health and Social Care Access and Service Gaps</w:t>
            </w:r>
            <w:r>
              <w:rPr>
                <w:rFonts w:ascii="Arial" w:eastAsia="Arial" w:hAnsi="Arial" w:cs="Arial"/>
                <w:color w:val="000000"/>
                <w:sz w:val="22"/>
                <w:szCs w:val="22"/>
              </w:rPr>
              <w:tab/>
              <w:t>14</w:t>
            </w:r>
          </w:hyperlink>
        </w:p>
        <w:p w14:paraId="51C39DEE"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q4gyy67ml75k">
            <w:r>
              <w:rPr>
                <w:rFonts w:ascii="Arial" w:eastAsia="Arial" w:hAnsi="Arial" w:cs="Arial"/>
                <w:color w:val="000000"/>
                <w:sz w:val="22"/>
                <w:szCs w:val="22"/>
              </w:rPr>
              <w:t>1.2.6.</w:t>
            </w:r>
            <w:r>
              <w:rPr>
                <w:rFonts w:ascii="Arial" w:eastAsia="Arial" w:hAnsi="Arial" w:cs="Arial"/>
                <w:color w:val="000000"/>
                <w:sz w:val="22"/>
                <w:szCs w:val="22"/>
              </w:rPr>
              <w:tab/>
              <w:t>Why Qualitative Evidence Matters</w:t>
            </w:r>
            <w:r>
              <w:rPr>
                <w:rFonts w:ascii="Arial" w:eastAsia="Arial" w:hAnsi="Arial" w:cs="Arial"/>
                <w:color w:val="000000"/>
                <w:sz w:val="22"/>
                <w:szCs w:val="22"/>
              </w:rPr>
              <w:tab/>
              <w:t>14</w:t>
            </w:r>
          </w:hyperlink>
        </w:p>
        <w:p w14:paraId="51C39DEF"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fknruh7myq2a">
            <w:r>
              <w:rPr>
                <w:rFonts w:ascii="Arial" w:eastAsia="Arial" w:hAnsi="Arial" w:cs="Arial"/>
                <w:color w:val="000000"/>
                <w:sz w:val="22"/>
                <w:szCs w:val="22"/>
              </w:rPr>
              <w:t>1.3.</w:t>
            </w:r>
            <w:r>
              <w:rPr>
                <w:rFonts w:ascii="Arial" w:eastAsia="Arial" w:hAnsi="Arial" w:cs="Arial"/>
                <w:color w:val="000000"/>
                <w:sz w:val="22"/>
                <w:szCs w:val="22"/>
              </w:rPr>
              <w:tab/>
              <w:t>Rationale for Research</w:t>
            </w:r>
            <w:r>
              <w:rPr>
                <w:rFonts w:ascii="Arial" w:eastAsia="Arial" w:hAnsi="Arial" w:cs="Arial"/>
                <w:color w:val="000000"/>
                <w:sz w:val="22"/>
                <w:szCs w:val="22"/>
              </w:rPr>
              <w:tab/>
              <w:t>14</w:t>
            </w:r>
          </w:hyperlink>
        </w:p>
        <w:p w14:paraId="51C39DF0"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g3d4oohatxdm">
            <w:r>
              <w:rPr>
                <w:rFonts w:ascii="Arial" w:eastAsia="Arial" w:hAnsi="Arial" w:cs="Arial"/>
                <w:color w:val="000000"/>
                <w:sz w:val="22"/>
                <w:szCs w:val="22"/>
              </w:rPr>
              <w:t>1.4.</w:t>
            </w:r>
            <w:r>
              <w:rPr>
                <w:rFonts w:ascii="Arial" w:eastAsia="Arial" w:hAnsi="Arial" w:cs="Arial"/>
                <w:color w:val="000000"/>
                <w:sz w:val="22"/>
                <w:szCs w:val="22"/>
              </w:rPr>
              <w:tab/>
              <w:t>Research Question</w:t>
            </w:r>
            <w:r>
              <w:rPr>
                <w:rFonts w:ascii="Arial" w:eastAsia="Arial" w:hAnsi="Arial" w:cs="Arial"/>
                <w:color w:val="000000"/>
                <w:sz w:val="22"/>
                <w:szCs w:val="22"/>
              </w:rPr>
              <w:tab/>
              <w:t>15</w:t>
            </w:r>
          </w:hyperlink>
        </w:p>
        <w:p w14:paraId="51C39DF1"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7h98rhrnvg89">
            <w:r>
              <w:rPr>
                <w:rFonts w:ascii="Arial" w:eastAsia="Arial" w:hAnsi="Arial" w:cs="Arial"/>
                <w:color w:val="000000"/>
                <w:sz w:val="22"/>
                <w:szCs w:val="22"/>
              </w:rPr>
              <w:t>1.5.</w:t>
            </w:r>
            <w:r>
              <w:rPr>
                <w:rFonts w:ascii="Arial" w:eastAsia="Arial" w:hAnsi="Arial" w:cs="Arial"/>
                <w:color w:val="000000"/>
                <w:sz w:val="22"/>
                <w:szCs w:val="22"/>
              </w:rPr>
              <w:tab/>
              <w:t>Research Aim</w:t>
            </w:r>
            <w:r>
              <w:rPr>
                <w:rFonts w:ascii="Arial" w:eastAsia="Arial" w:hAnsi="Arial" w:cs="Arial"/>
                <w:color w:val="000000"/>
                <w:sz w:val="22"/>
                <w:szCs w:val="22"/>
              </w:rPr>
              <w:tab/>
              <w:t>15</w:t>
            </w:r>
          </w:hyperlink>
        </w:p>
        <w:p w14:paraId="51C39DF2"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2us0m3bsswff">
            <w:r>
              <w:rPr>
                <w:rFonts w:ascii="Arial" w:eastAsia="Arial" w:hAnsi="Arial" w:cs="Arial"/>
                <w:color w:val="000000"/>
                <w:sz w:val="22"/>
                <w:szCs w:val="22"/>
              </w:rPr>
              <w:t>1.6.</w:t>
            </w:r>
            <w:r>
              <w:rPr>
                <w:rFonts w:ascii="Arial" w:eastAsia="Arial" w:hAnsi="Arial" w:cs="Arial"/>
                <w:color w:val="000000"/>
                <w:sz w:val="22"/>
                <w:szCs w:val="22"/>
              </w:rPr>
              <w:tab/>
              <w:t>Research Objectives</w:t>
            </w:r>
            <w:r>
              <w:rPr>
                <w:rFonts w:ascii="Arial" w:eastAsia="Arial" w:hAnsi="Arial" w:cs="Arial"/>
                <w:color w:val="000000"/>
                <w:sz w:val="22"/>
                <w:szCs w:val="22"/>
              </w:rPr>
              <w:tab/>
              <w:t>15</w:t>
            </w:r>
          </w:hyperlink>
        </w:p>
        <w:p w14:paraId="51C39DF3"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b/>
              <w:bCs/>
              <w:color w:val="000000"/>
              <w:sz w:val="22"/>
              <w:szCs w:val="22"/>
            </w:rPr>
          </w:pPr>
          <w:hyperlink w:anchor="_heading=h.jl9j3usrbyh2">
            <w:r>
              <w:rPr>
                <w:rFonts w:ascii="Arial" w:eastAsia="Arial" w:hAnsi="Arial" w:cs="Arial"/>
                <w:color w:val="000000"/>
                <w:sz w:val="22"/>
                <w:szCs w:val="22"/>
              </w:rPr>
              <w:t>1.7.</w:t>
            </w:r>
            <w:r>
              <w:rPr>
                <w:rFonts w:ascii="Arial" w:eastAsia="Arial" w:hAnsi="Arial" w:cs="Arial"/>
                <w:color w:val="000000"/>
                <w:sz w:val="22"/>
                <w:szCs w:val="22"/>
              </w:rPr>
              <w:tab/>
              <w:t>Chapter Summary</w:t>
            </w:r>
            <w:r>
              <w:rPr>
                <w:rFonts w:ascii="Arial" w:eastAsia="Arial" w:hAnsi="Arial" w:cs="Arial"/>
                <w:color w:val="000000"/>
                <w:sz w:val="22"/>
                <w:szCs w:val="22"/>
              </w:rPr>
              <w:tab/>
              <w:t>15</w:t>
            </w:r>
          </w:hyperlink>
        </w:p>
        <w:p w14:paraId="51C39DF4"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e0d9k8qv7vsh">
            <w:r>
              <w:rPr>
                <w:rFonts w:ascii="Arial" w:eastAsia="Arial" w:hAnsi="Arial" w:cs="Arial"/>
                <w:b/>
                <w:bCs/>
                <w:color w:val="000000"/>
                <w:sz w:val="22"/>
                <w:szCs w:val="22"/>
              </w:rPr>
              <w:t>2.</w:t>
            </w:r>
            <w:r>
              <w:rPr>
                <w:rFonts w:ascii="Arial" w:eastAsia="Arial" w:hAnsi="Arial" w:cs="Arial"/>
                <w:b/>
                <w:bCs/>
                <w:color w:val="000000"/>
                <w:sz w:val="22"/>
                <w:szCs w:val="22"/>
              </w:rPr>
              <w:tab/>
              <w:t>Chapter 2: Literature Review</w:t>
            </w:r>
            <w:r>
              <w:rPr>
                <w:rFonts w:ascii="Arial" w:eastAsia="Arial" w:hAnsi="Arial" w:cs="Arial"/>
                <w:b/>
                <w:bCs/>
                <w:color w:val="000000"/>
                <w:sz w:val="22"/>
                <w:szCs w:val="22"/>
              </w:rPr>
              <w:tab/>
              <w:t>16</w:t>
            </w:r>
          </w:hyperlink>
        </w:p>
        <w:p w14:paraId="51C39DF5"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ngsuamknoiev">
            <w:r>
              <w:rPr>
                <w:rFonts w:ascii="Arial" w:eastAsia="Arial" w:hAnsi="Arial" w:cs="Arial"/>
                <w:color w:val="000000"/>
                <w:sz w:val="22"/>
                <w:szCs w:val="22"/>
              </w:rPr>
              <w:t>2.1.</w:t>
            </w:r>
            <w:r>
              <w:rPr>
                <w:rFonts w:ascii="Arial" w:eastAsia="Arial" w:hAnsi="Arial" w:cs="Arial"/>
                <w:color w:val="000000"/>
                <w:sz w:val="22"/>
                <w:szCs w:val="22"/>
              </w:rPr>
              <w:tab/>
              <w:t>Introduction to Literature Review Chapter</w:t>
            </w:r>
            <w:r>
              <w:rPr>
                <w:rFonts w:ascii="Arial" w:eastAsia="Arial" w:hAnsi="Arial" w:cs="Arial"/>
                <w:color w:val="000000"/>
                <w:sz w:val="22"/>
                <w:szCs w:val="22"/>
              </w:rPr>
              <w:tab/>
              <w:t>16</w:t>
            </w:r>
          </w:hyperlink>
        </w:p>
        <w:p w14:paraId="51C39DF6"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2waa3amzmdwl">
            <w:r>
              <w:rPr>
                <w:rFonts w:ascii="Arial" w:eastAsia="Arial" w:hAnsi="Arial" w:cs="Arial"/>
                <w:color w:val="000000"/>
                <w:sz w:val="22"/>
                <w:szCs w:val="22"/>
              </w:rPr>
              <w:t>2.2.</w:t>
            </w:r>
            <w:r>
              <w:rPr>
                <w:rFonts w:ascii="Arial" w:eastAsia="Arial" w:hAnsi="Arial" w:cs="Arial"/>
                <w:color w:val="000000"/>
                <w:sz w:val="22"/>
                <w:szCs w:val="22"/>
              </w:rPr>
              <w:tab/>
              <w:t>Literature review</w:t>
            </w:r>
            <w:r>
              <w:rPr>
                <w:rFonts w:ascii="Arial" w:eastAsia="Arial" w:hAnsi="Arial" w:cs="Arial"/>
                <w:color w:val="000000"/>
                <w:sz w:val="22"/>
                <w:szCs w:val="22"/>
              </w:rPr>
              <w:tab/>
              <w:t>17</w:t>
            </w:r>
          </w:hyperlink>
        </w:p>
        <w:p w14:paraId="51C39DF7"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k6iewuo3lxfh">
            <w:r>
              <w:rPr>
                <w:rFonts w:ascii="Arial" w:eastAsia="Arial" w:hAnsi="Arial" w:cs="Arial"/>
                <w:color w:val="000000"/>
                <w:sz w:val="22"/>
                <w:szCs w:val="22"/>
              </w:rPr>
              <w:t>2.2.1.</w:t>
            </w:r>
            <w:r>
              <w:rPr>
                <w:rFonts w:ascii="Arial" w:eastAsia="Arial" w:hAnsi="Arial" w:cs="Arial"/>
                <w:color w:val="000000"/>
                <w:sz w:val="22"/>
                <w:szCs w:val="22"/>
              </w:rPr>
              <w:tab/>
              <w:t>HIV as a Long-Term Condition in the United Kingdom</w:t>
            </w:r>
            <w:r>
              <w:rPr>
                <w:rFonts w:ascii="Arial" w:eastAsia="Arial" w:hAnsi="Arial" w:cs="Arial"/>
                <w:color w:val="000000"/>
                <w:sz w:val="22"/>
                <w:szCs w:val="22"/>
              </w:rPr>
              <w:tab/>
              <w:t>17</w:t>
            </w:r>
          </w:hyperlink>
        </w:p>
        <w:p w14:paraId="51C39DF8"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fbuxmzu881xe">
            <w:r>
              <w:rPr>
                <w:rFonts w:ascii="Arial" w:eastAsia="Arial" w:hAnsi="Arial" w:cs="Arial"/>
                <w:color w:val="000000"/>
                <w:sz w:val="22"/>
                <w:szCs w:val="22"/>
              </w:rPr>
              <w:t>2.2.2.</w:t>
            </w:r>
            <w:r>
              <w:rPr>
                <w:rFonts w:ascii="Arial" w:eastAsia="Arial" w:hAnsi="Arial" w:cs="Arial"/>
                <w:color w:val="000000"/>
                <w:sz w:val="22"/>
                <w:szCs w:val="22"/>
              </w:rPr>
              <w:tab/>
              <w:t>Stigmatization and Psychosocial Effects of HIV</w:t>
            </w:r>
            <w:r>
              <w:rPr>
                <w:rFonts w:ascii="Arial" w:eastAsia="Arial" w:hAnsi="Arial" w:cs="Arial"/>
                <w:color w:val="000000"/>
                <w:sz w:val="22"/>
                <w:szCs w:val="22"/>
              </w:rPr>
              <w:tab/>
              <w:t>18</w:t>
            </w:r>
          </w:hyperlink>
        </w:p>
        <w:p w14:paraId="51C39DF9"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qveq3qqy5fdr">
            <w:r>
              <w:rPr>
                <w:rFonts w:ascii="Arial" w:eastAsia="Arial" w:hAnsi="Arial" w:cs="Arial"/>
                <w:color w:val="000000"/>
                <w:sz w:val="22"/>
                <w:szCs w:val="22"/>
              </w:rPr>
              <w:t>2.2.3.</w:t>
            </w:r>
            <w:r>
              <w:rPr>
                <w:rFonts w:ascii="Arial" w:eastAsia="Arial" w:hAnsi="Arial" w:cs="Arial"/>
                <w:color w:val="000000"/>
                <w:sz w:val="22"/>
                <w:szCs w:val="22"/>
              </w:rPr>
              <w:tab/>
              <w:t>Health and Social Care and Fragmentation of Services</w:t>
            </w:r>
            <w:r>
              <w:rPr>
                <w:rFonts w:ascii="Arial" w:eastAsia="Arial" w:hAnsi="Arial" w:cs="Arial"/>
                <w:color w:val="000000"/>
                <w:sz w:val="22"/>
                <w:szCs w:val="22"/>
              </w:rPr>
              <w:tab/>
              <w:t>18</w:t>
            </w:r>
          </w:hyperlink>
        </w:p>
        <w:p w14:paraId="51C39DFA"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be6mrl270kq">
            <w:r>
              <w:rPr>
                <w:rFonts w:ascii="Arial" w:eastAsia="Arial" w:hAnsi="Arial" w:cs="Arial"/>
                <w:color w:val="000000"/>
                <w:sz w:val="22"/>
                <w:szCs w:val="22"/>
              </w:rPr>
              <w:t>2.2.4.</w:t>
            </w:r>
            <w:r>
              <w:rPr>
                <w:rFonts w:ascii="Arial" w:eastAsia="Arial" w:hAnsi="Arial" w:cs="Arial"/>
                <w:color w:val="000000"/>
                <w:sz w:val="22"/>
                <w:szCs w:val="22"/>
              </w:rPr>
              <w:tab/>
              <w:t>Multimorbidity and Ageing with HIV</w:t>
            </w:r>
            <w:r>
              <w:rPr>
                <w:rFonts w:ascii="Arial" w:eastAsia="Arial" w:hAnsi="Arial" w:cs="Arial"/>
                <w:color w:val="000000"/>
                <w:sz w:val="22"/>
                <w:szCs w:val="22"/>
              </w:rPr>
              <w:tab/>
              <w:t>19</w:t>
            </w:r>
          </w:hyperlink>
        </w:p>
        <w:p w14:paraId="51C39DFB"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30ii3jsph792">
            <w:r>
              <w:rPr>
                <w:rFonts w:ascii="Arial" w:eastAsia="Arial" w:hAnsi="Arial" w:cs="Arial"/>
                <w:color w:val="000000"/>
                <w:sz w:val="22"/>
                <w:szCs w:val="22"/>
              </w:rPr>
              <w:t>2.2.5.</w:t>
            </w:r>
            <w:r>
              <w:rPr>
                <w:rFonts w:ascii="Arial" w:eastAsia="Arial" w:hAnsi="Arial" w:cs="Arial"/>
                <w:color w:val="000000"/>
                <w:sz w:val="22"/>
                <w:szCs w:val="22"/>
              </w:rPr>
              <w:tab/>
              <w:t>Cultural, Social and Structural Inequalities</w:t>
            </w:r>
            <w:r>
              <w:rPr>
                <w:rFonts w:ascii="Arial" w:eastAsia="Arial" w:hAnsi="Arial" w:cs="Arial"/>
                <w:color w:val="000000"/>
                <w:sz w:val="22"/>
                <w:szCs w:val="22"/>
              </w:rPr>
              <w:tab/>
              <w:t>20</w:t>
            </w:r>
          </w:hyperlink>
        </w:p>
        <w:p w14:paraId="51C39DFC"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q4bc2xr9uvg5">
            <w:r>
              <w:rPr>
                <w:rFonts w:ascii="Arial" w:eastAsia="Arial" w:hAnsi="Arial" w:cs="Arial"/>
                <w:color w:val="000000"/>
                <w:sz w:val="22"/>
                <w:szCs w:val="22"/>
              </w:rPr>
              <w:t>2.2.6.</w:t>
            </w:r>
            <w:r>
              <w:rPr>
                <w:rFonts w:ascii="Arial" w:eastAsia="Arial" w:hAnsi="Arial" w:cs="Arial"/>
                <w:color w:val="000000"/>
                <w:sz w:val="22"/>
                <w:szCs w:val="22"/>
              </w:rPr>
              <w:tab/>
              <w:t>Significance of Qualitative Evidence and Patient Experience Research</w:t>
            </w:r>
            <w:r>
              <w:rPr>
                <w:rFonts w:ascii="Arial" w:eastAsia="Arial" w:hAnsi="Arial" w:cs="Arial"/>
                <w:color w:val="000000"/>
                <w:sz w:val="22"/>
                <w:szCs w:val="22"/>
              </w:rPr>
              <w:tab/>
              <w:t>20</w:t>
            </w:r>
          </w:hyperlink>
        </w:p>
        <w:p w14:paraId="51C39DFD"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z0z1yqq562vy">
            <w:r>
              <w:rPr>
                <w:rFonts w:ascii="Arial" w:eastAsia="Arial" w:hAnsi="Arial" w:cs="Arial"/>
                <w:color w:val="000000"/>
                <w:sz w:val="22"/>
                <w:szCs w:val="22"/>
              </w:rPr>
              <w:t>2.3.</w:t>
            </w:r>
            <w:r>
              <w:rPr>
                <w:rFonts w:ascii="Arial" w:eastAsia="Arial" w:hAnsi="Arial" w:cs="Arial"/>
                <w:color w:val="000000"/>
                <w:sz w:val="22"/>
                <w:szCs w:val="22"/>
              </w:rPr>
              <w:tab/>
              <w:t>Research Gap</w:t>
            </w:r>
            <w:r>
              <w:rPr>
                <w:rFonts w:ascii="Arial" w:eastAsia="Arial" w:hAnsi="Arial" w:cs="Arial"/>
                <w:color w:val="000000"/>
                <w:sz w:val="22"/>
                <w:szCs w:val="22"/>
              </w:rPr>
              <w:tab/>
              <w:t>21</w:t>
            </w:r>
          </w:hyperlink>
        </w:p>
        <w:p w14:paraId="51C39DFE"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dfh76vvmkf9p">
            <w:r>
              <w:rPr>
                <w:rFonts w:ascii="Arial" w:eastAsia="Arial" w:hAnsi="Arial" w:cs="Arial"/>
                <w:color w:val="000000"/>
                <w:sz w:val="22"/>
                <w:szCs w:val="22"/>
              </w:rPr>
              <w:t>2.4.</w:t>
            </w:r>
            <w:r>
              <w:rPr>
                <w:rFonts w:ascii="Arial" w:eastAsia="Arial" w:hAnsi="Arial" w:cs="Arial"/>
                <w:color w:val="000000"/>
                <w:sz w:val="22"/>
                <w:szCs w:val="22"/>
              </w:rPr>
              <w:tab/>
              <w:t>Chapter Summary</w:t>
            </w:r>
            <w:r>
              <w:rPr>
                <w:rFonts w:ascii="Arial" w:eastAsia="Arial" w:hAnsi="Arial" w:cs="Arial"/>
                <w:color w:val="000000"/>
                <w:sz w:val="22"/>
                <w:szCs w:val="22"/>
              </w:rPr>
              <w:tab/>
              <w:t>21</w:t>
            </w:r>
          </w:hyperlink>
        </w:p>
        <w:p w14:paraId="51C39DFF"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ipgnarl3bql9">
            <w:r>
              <w:rPr>
                <w:rFonts w:ascii="Arial" w:eastAsia="Arial" w:hAnsi="Arial" w:cs="Arial"/>
                <w:b/>
                <w:bCs/>
                <w:color w:val="000000"/>
                <w:sz w:val="22"/>
                <w:szCs w:val="22"/>
              </w:rPr>
              <w:t>3.</w:t>
            </w:r>
            <w:r>
              <w:rPr>
                <w:rFonts w:ascii="Arial" w:eastAsia="Arial" w:hAnsi="Arial" w:cs="Arial"/>
                <w:b/>
                <w:bCs/>
                <w:color w:val="000000"/>
                <w:sz w:val="22"/>
                <w:szCs w:val="22"/>
              </w:rPr>
              <w:tab/>
              <w:t>Chapter 3: Methodology</w:t>
            </w:r>
            <w:r>
              <w:rPr>
                <w:rFonts w:ascii="Arial" w:eastAsia="Arial" w:hAnsi="Arial" w:cs="Arial"/>
                <w:b/>
                <w:bCs/>
                <w:color w:val="000000"/>
                <w:sz w:val="22"/>
                <w:szCs w:val="22"/>
              </w:rPr>
              <w:tab/>
              <w:t>22</w:t>
            </w:r>
          </w:hyperlink>
        </w:p>
        <w:p w14:paraId="51C39E00"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35pifob1hh7m">
            <w:r>
              <w:rPr>
                <w:rFonts w:ascii="Arial" w:eastAsia="Arial" w:hAnsi="Arial" w:cs="Arial"/>
                <w:color w:val="000000"/>
                <w:sz w:val="22"/>
                <w:szCs w:val="22"/>
              </w:rPr>
              <w:t>3.1.</w:t>
            </w:r>
            <w:r>
              <w:rPr>
                <w:rFonts w:ascii="Arial" w:eastAsia="Arial" w:hAnsi="Arial" w:cs="Arial"/>
                <w:color w:val="000000"/>
                <w:sz w:val="22"/>
                <w:szCs w:val="22"/>
              </w:rPr>
              <w:tab/>
              <w:t>Introduction to Chapter</w:t>
            </w:r>
            <w:r>
              <w:rPr>
                <w:rFonts w:ascii="Arial" w:eastAsia="Arial" w:hAnsi="Arial" w:cs="Arial"/>
                <w:color w:val="000000"/>
                <w:sz w:val="22"/>
                <w:szCs w:val="22"/>
              </w:rPr>
              <w:tab/>
              <w:t>22</w:t>
            </w:r>
          </w:hyperlink>
        </w:p>
        <w:p w14:paraId="51C39E01"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x0h3pe62uwgc">
            <w:r>
              <w:rPr>
                <w:rFonts w:ascii="Arial" w:eastAsia="Arial" w:hAnsi="Arial" w:cs="Arial"/>
                <w:color w:val="000000"/>
                <w:sz w:val="22"/>
                <w:szCs w:val="22"/>
              </w:rPr>
              <w:t>3.2.</w:t>
            </w:r>
            <w:r>
              <w:rPr>
                <w:rFonts w:ascii="Arial" w:eastAsia="Arial" w:hAnsi="Arial" w:cs="Arial"/>
                <w:color w:val="000000"/>
                <w:sz w:val="22"/>
                <w:szCs w:val="22"/>
              </w:rPr>
              <w:tab/>
              <w:t>Systematic Literature Review (SLR)</w:t>
            </w:r>
            <w:r>
              <w:rPr>
                <w:rFonts w:ascii="Arial" w:eastAsia="Arial" w:hAnsi="Arial" w:cs="Arial"/>
                <w:color w:val="000000"/>
                <w:sz w:val="22"/>
                <w:szCs w:val="22"/>
              </w:rPr>
              <w:tab/>
              <w:t>23</w:t>
            </w:r>
          </w:hyperlink>
        </w:p>
        <w:p w14:paraId="51C39E02"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la5lrur4pcgz">
            <w:r>
              <w:rPr>
                <w:rFonts w:ascii="Arial" w:eastAsia="Arial" w:hAnsi="Arial" w:cs="Arial"/>
                <w:color w:val="000000"/>
                <w:sz w:val="22"/>
                <w:szCs w:val="22"/>
              </w:rPr>
              <w:t>3.3.</w:t>
            </w:r>
            <w:r>
              <w:rPr>
                <w:rFonts w:ascii="Arial" w:eastAsia="Arial" w:hAnsi="Arial" w:cs="Arial"/>
                <w:color w:val="000000"/>
                <w:sz w:val="22"/>
                <w:szCs w:val="22"/>
              </w:rPr>
              <w:tab/>
              <w:t>Search Strategy</w:t>
            </w:r>
            <w:r>
              <w:rPr>
                <w:rFonts w:ascii="Arial" w:eastAsia="Arial" w:hAnsi="Arial" w:cs="Arial"/>
                <w:color w:val="000000"/>
                <w:sz w:val="22"/>
                <w:szCs w:val="22"/>
              </w:rPr>
              <w:tab/>
              <w:t>23</w:t>
            </w:r>
          </w:hyperlink>
        </w:p>
        <w:p w14:paraId="51C39E03"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n2z70kp8c9w1">
            <w:r>
              <w:rPr>
                <w:rFonts w:ascii="Arial" w:eastAsia="Arial" w:hAnsi="Arial" w:cs="Arial"/>
                <w:color w:val="000000"/>
                <w:sz w:val="22"/>
                <w:szCs w:val="22"/>
              </w:rPr>
              <w:t>3.4.</w:t>
            </w:r>
            <w:r>
              <w:rPr>
                <w:rFonts w:ascii="Arial" w:eastAsia="Arial" w:hAnsi="Arial" w:cs="Arial"/>
                <w:color w:val="000000"/>
                <w:sz w:val="22"/>
                <w:szCs w:val="22"/>
              </w:rPr>
              <w:tab/>
              <w:t>Search terms</w:t>
            </w:r>
            <w:r>
              <w:rPr>
                <w:rFonts w:ascii="Arial" w:eastAsia="Arial" w:hAnsi="Arial" w:cs="Arial"/>
                <w:color w:val="000000"/>
                <w:sz w:val="22"/>
                <w:szCs w:val="22"/>
              </w:rPr>
              <w:tab/>
              <w:t>24</w:t>
            </w:r>
          </w:hyperlink>
        </w:p>
        <w:p w14:paraId="51C39E04"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i5yeweyf8wbc">
            <w:r>
              <w:rPr>
                <w:rFonts w:ascii="Arial" w:eastAsia="Arial" w:hAnsi="Arial" w:cs="Arial"/>
                <w:color w:val="000000"/>
                <w:sz w:val="22"/>
                <w:szCs w:val="22"/>
              </w:rPr>
              <w:t>3.5.</w:t>
            </w:r>
            <w:r>
              <w:rPr>
                <w:rFonts w:ascii="Arial" w:eastAsia="Arial" w:hAnsi="Arial" w:cs="Arial"/>
                <w:color w:val="000000"/>
                <w:sz w:val="22"/>
                <w:szCs w:val="22"/>
              </w:rPr>
              <w:tab/>
              <w:t>Key Words</w:t>
            </w:r>
            <w:r>
              <w:rPr>
                <w:rFonts w:ascii="Arial" w:eastAsia="Arial" w:hAnsi="Arial" w:cs="Arial"/>
                <w:color w:val="000000"/>
                <w:sz w:val="22"/>
                <w:szCs w:val="22"/>
              </w:rPr>
              <w:tab/>
              <w:t>25</w:t>
            </w:r>
          </w:hyperlink>
        </w:p>
        <w:p w14:paraId="51C39E05"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mlfcqfakfz3c">
            <w:r>
              <w:rPr>
                <w:rFonts w:ascii="Arial" w:eastAsia="Arial" w:hAnsi="Arial" w:cs="Arial"/>
                <w:color w:val="000000"/>
                <w:sz w:val="22"/>
                <w:szCs w:val="22"/>
              </w:rPr>
              <w:t>3.6.</w:t>
            </w:r>
            <w:r>
              <w:rPr>
                <w:rFonts w:ascii="Arial" w:eastAsia="Arial" w:hAnsi="Arial" w:cs="Arial"/>
                <w:color w:val="000000"/>
                <w:sz w:val="22"/>
                <w:szCs w:val="22"/>
              </w:rPr>
              <w:tab/>
              <w:t>Databases</w:t>
            </w:r>
            <w:r>
              <w:rPr>
                <w:rFonts w:ascii="Arial" w:eastAsia="Arial" w:hAnsi="Arial" w:cs="Arial"/>
                <w:color w:val="000000"/>
                <w:sz w:val="22"/>
                <w:szCs w:val="22"/>
              </w:rPr>
              <w:tab/>
              <w:t>25</w:t>
            </w:r>
          </w:hyperlink>
        </w:p>
        <w:p w14:paraId="51C39E06"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2me33m5mvpnj">
            <w:r>
              <w:rPr>
                <w:rFonts w:ascii="Arial" w:eastAsia="Arial" w:hAnsi="Arial" w:cs="Arial"/>
                <w:color w:val="000000"/>
                <w:sz w:val="22"/>
                <w:szCs w:val="22"/>
              </w:rPr>
              <w:t>3.7.</w:t>
            </w:r>
            <w:r>
              <w:rPr>
                <w:rFonts w:ascii="Arial" w:eastAsia="Arial" w:hAnsi="Arial" w:cs="Arial"/>
                <w:color w:val="000000"/>
                <w:sz w:val="22"/>
                <w:szCs w:val="22"/>
              </w:rPr>
              <w:tab/>
              <w:t>Inclusion and Exclusion Criteria</w:t>
            </w:r>
            <w:r>
              <w:rPr>
                <w:rFonts w:ascii="Arial" w:eastAsia="Arial" w:hAnsi="Arial" w:cs="Arial"/>
                <w:color w:val="000000"/>
                <w:sz w:val="22"/>
                <w:szCs w:val="22"/>
              </w:rPr>
              <w:tab/>
              <w:t>26</w:t>
            </w:r>
          </w:hyperlink>
        </w:p>
        <w:p w14:paraId="51C39E07"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whusi996kt2i">
            <w:r>
              <w:rPr>
                <w:rFonts w:ascii="Arial" w:eastAsia="Arial" w:hAnsi="Arial" w:cs="Arial"/>
                <w:color w:val="000000"/>
                <w:sz w:val="22"/>
                <w:szCs w:val="22"/>
              </w:rPr>
              <w:t>3.8.</w:t>
            </w:r>
            <w:r>
              <w:rPr>
                <w:rFonts w:ascii="Arial" w:eastAsia="Arial" w:hAnsi="Arial" w:cs="Arial"/>
                <w:color w:val="000000"/>
                <w:sz w:val="22"/>
                <w:szCs w:val="22"/>
              </w:rPr>
              <w:tab/>
              <w:t>Search Results</w:t>
            </w:r>
            <w:r>
              <w:rPr>
                <w:rFonts w:ascii="Arial" w:eastAsia="Arial" w:hAnsi="Arial" w:cs="Arial"/>
                <w:color w:val="000000"/>
                <w:sz w:val="22"/>
                <w:szCs w:val="22"/>
              </w:rPr>
              <w:tab/>
              <w:t>26</w:t>
            </w:r>
          </w:hyperlink>
        </w:p>
        <w:p w14:paraId="51C39E08"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2m9ckwjuw7sj">
            <w:r>
              <w:rPr>
                <w:rFonts w:ascii="Arial" w:eastAsia="Arial" w:hAnsi="Arial" w:cs="Arial"/>
                <w:color w:val="000000"/>
                <w:sz w:val="22"/>
                <w:szCs w:val="22"/>
              </w:rPr>
              <w:t>3.9.</w:t>
            </w:r>
            <w:r>
              <w:rPr>
                <w:rFonts w:ascii="Arial" w:eastAsia="Arial" w:hAnsi="Arial" w:cs="Arial"/>
                <w:color w:val="000000"/>
                <w:sz w:val="22"/>
                <w:szCs w:val="22"/>
              </w:rPr>
              <w:tab/>
              <w:t>Ethical Considerations</w:t>
            </w:r>
            <w:r>
              <w:rPr>
                <w:rFonts w:ascii="Arial" w:eastAsia="Arial" w:hAnsi="Arial" w:cs="Arial"/>
                <w:color w:val="000000"/>
                <w:sz w:val="22"/>
                <w:szCs w:val="22"/>
              </w:rPr>
              <w:tab/>
              <w:t>28</w:t>
            </w:r>
          </w:hyperlink>
        </w:p>
        <w:p w14:paraId="51C39E09"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dm9bqtwtrbmh">
            <w:r>
              <w:rPr>
                <w:rFonts w:ascii="Arial" w:eastAsia="Arial" w:hAnsi="Arial" w:cs="Arial"/>
                <w:color w:val="000000"/>
                <w:sz w:val="22"/>
                <w:szCs w:val="22"/>
              </w:rPr>
              <w:t>3.10.</w:t>
            </w:r>
            <w:r>
              <w:rPr>
                <w:rFonts w:ascii="Arial" w:eastAsia="Arial" w:hAnsi="Arial" w:cs="Arial"/>
                <w:color w:val="000000"/>
                <w:sz w:val="22"/>
                <w:szCs w:val="22"/>
              </w:rPr>
              <w:tab/>
              <w:t>Chapter Summary</w:t>
            </w:r>
            <w:r>
              <w:rPr>
                <w:rFonts w:ascii="Arial" w:eastAsia="Arial" w:hAnsi="Arial" w:cs="Arial"/>
                <w:color w:val="000000"/>
                <w:sz w:val="22"/>
                <w:szCs w:val="22"/>
              </w:rPr>
              <w:tab/>
              <w:t>29</w:t>
            </w:r>
          </w:hyperlink>
        </w:p>
        <w:p w14:paraId="51C39E0A"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z8za4v7c9hce">
            <w:r>
              <w:rPr>
                <w:rFonts w:ascii="Arial" w:eastAsia="Arial" w:hAnsi="Arial" w:cs="Arial"/>
                <w:b/>
                <w:bCs/>
                <w:color w:val="000000"/>
                <w:sz w:val="22"/>
                <w:szCs w:val="22"/>
              </w:rPr>
              <w:t>4.</w:t>
            </w:r>
            <w:r>
              <w:rPr>
                <w:rFonts w:ascii="Arial" w:eastAsia="Arial" w:hAnsi="Arial" w:cs="Arial"/>
                <w:b/>
                <w:bCs/>
                <w:color w:val="000000"/>
                <w:sz w:val="22"/>
                <w:szCs w:val="22"/>
              </w:rPr>
              <w:tab/>
              <w:t>Chapter 4: Data Extraction and Evaluation</w:t>
            </w:r>
            <w:r>
              <w:rPr>
                <w:rFonts w:ascii="Arial" w:eastAsia="Arial" w:hAnsi="Arial" w:cs="Arial"/>
                <w:b/>
                <w:bCs/>
                <w:color w:val="000000"/>
                <w:sz w:val="22"/>
                <w:szCs w:val="22"/>
              </w:rPr>
              <w:tab/>
              <w:t>29</w:t>
            </w:r>
          </w:hyperlink>
        </w:p>
        <w:p w14:paraId="51C39E0B"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cnwhixbgobut">
            <w:r>
              <w:rPr>
                <w:rFonts w:ascii="Arial" w:eastAsia="Arial" w:hAnsi="Arial" w:cs="Arial"/>
                <w:color w:val="000000"/>
                <w:sz w:val="22"/>
                <w:szCs w:val="22"/>
              </w:rPr>
              <w:t>4.1.</w:t>
            </w:r>
            <w:r>
              <w:rPr>
                <w:rFonts w:ascii="Arial" w:eastAsia="Arial" w:hAnsi="Arial" w:cs="Arial"/>
                <w:color w:val="000000"/>
                <w:sz w:val="22"/>
                <w:szCs w:val="22"/>
              </w:rPr>
              <w:tab/>
              <w:t>Introduction to Chapter</w:t>
            </w:r>
            <w:r>
              <w:rPr>
                <w:rFonts w:ascii="Arial" w:eastAsia="Arial" w:hAnsi="Arial" w:cs="Arial"/>
                <w:color w:val="000000"/>
                <w:sz w:val="22"/>
                <w:szCs w:val="22"/>
              </w:rPr>
              <w:tab/>
              <w:t>29</w:t>
            </w:r>
          </w:hyperlink>
        </w:p>
        <w:p w14:paraId="51C39E0C"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6b0bq0oegt4u">
            <w:r>
              <w:rPr>
                <w:rFonts w:ascii="Arial" w:eastAsia="Arial" w:hAnsi="Arial" w:cs="Arial"/>
                <w:color w:val="000000"/>
                <w:sz w:val="22"/>
                <w:szCs w:val="22"/>
              </w:rPr>
              <w:t>4.2.</w:t>
            </w:r>
            <w:r>
              <w:rPr>
                <w:rFonts w:ascii="Arial" w:eastAsia="Arial" w:hAnsi="Arial" w:cs="Arial"/>
                <w:color w:val="000000"/>
                <w:sz w:val="22"/>
                <w:szCs w:val="22"/>
              </w:rPr>
              <w:tab/>
              <w:t>Data Extraction</w:t>
            </w:r>
            <w:r>
              <w:rPr>
                <w:rFonts w:ascii="Arial" w:eastAsia="Arial" w:hAnsi="Arial" w:cs="Arial"/>
                <w:color w:val="000000"/>
                <w:sz w:val="22"/>
                <w:szCs w:val="22"/>
              </w:rPr>
              <w:tab/>
              <w:t>30</w:t>
            </w:r>
          </w:hyperlink>
        </w:p>
        <w:p w14:paraId="51C39E0D"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2dy584661atc">
            <w:r>
              <w:rPr>
                <w:rFonts w:ascii="Arial" w:eastAsia="Arial" w:hAnsi="Arial" w:cs="Arial"/>
                <w:color w:val="000000"/>
                <w:sz w:val="22"/>
                <w:szCs w:val="22"/>
              </w:rPr>
              <w:t>4.3.</w:t>
            </w:r>
            <w:r>
              <w:rPr>
                <w:rFonts w:ascii="Arial" w:eastAsia="Arial" w:hAnsi="Arial" w:cs="Arial"/>
                <w:color w:val="000000"/>
                <w:sz w:val="22"/>
                <w:szCs w:val="22"/>
              </w:rPr>
              <w:tab/>
              <w:t>Introduction to Critical Appraisal</w:t>
            </w:r>
            <w:r>
              <w:rPr>
                <w:rFonts w:ascii="Arial" w:eastAsia="Arial" w:hAnsi="Arial" w:cs="Arial"/>
                <w:color w:val="000000"/>
                <w:sz w:val="22"/>
                <w:szCs w:val="22"/>
              </w:rPr>
              <w:tab/>
              <w:t>30</w:t>
            </w:r>
          </w:hyperlink>
        </w:p>
        <w:p w14:paraId="51C39E0E"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jqumr1jkll1j">
            <w:r>
              <w:rPr>
                <w:rFonts w:ascii="Arial" w:eastAsia="Arial" w:hAnsi="Arial" w:cs="Arial"/>
                <w:color w:val="000000"/>
                <w:sz w:val="22"/>
                <w:szCs w:val="22"/>
              </w:rPr>
              <w:t>4.4.</w:t>
            </w:r>
            <w:r>
              <w:rPr>
                <w:rFonts w:ascii="Arial" w:eastAsia="Arial" w:hAnsi="Arial" w:cs="Arial"/>
                <w:color w:val="000000"/>
                <w:sz w:val="22"/>
                <w:szCs w:val="22"/>
              </w:rPr>
              <w:tab/>
              <w:t>Critical Appraisal Tools</w:t>
            </w:r>
            <w:r>
              <w:rPr>
                <w:rFonts w:ascii="Arial" w:eastAsia="Arial" w:hAnsi="Arial" w:cs="Arial"/>
                <w:color w:val="000000"/>
                <w:sz w:val="22"/>
                <w:szCs w:val="22"/>
              </w:rPr>
              <w:tab/>
              <w:t>30</w:t>
            </w:r>
          </w:hyperlink>
        </w:p>
        <w:p w14:paraId="51C39E0F"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3anslwa9yi8p">
            <w:r>
              <w:rPr>
                <w:rFonts w:ascii="Arial" w:eastAsia="Arial" w:hAnsi="Arial" w:cs="Arial"/>
                <w:color w:val="000000"/>
                <w:sz w:val="22"/>
                <w:szCs w:val="22"/>
              </w:rPr>
              <w:t>4.5.</w:t>
            </w:r>
            <w:r>
              <w:rPr>
                <w:rFonts w:ascii="Arial" w:eastAsia="Arial" w:hAnsi="Arial" w:cs="Arial"/>
                <w:color w:val="000000"/>
                <w:sz w:val="22"/>
                <w:szCs w:val="22"/>
              </w:rPr>
              <w:tab/>
              <w:t>Evaluation of Qualitative Studies- 500 words</w:t>
            </w:r>
            <w:r>
              <w:rPr>
                <w:rFonts w:ascii="Arial" w:eastAsia="Arial" w:hAnsi="Arial" w:cs="Arial"/>
                <w:color w:val="000000"/>
                <w:sz w:val="22"/>
                <w:szCs w:val="22"/>
              </w:rPr>
              <w:tab/>
              <w:t>31</w:t>
            </w:r>
          </w:hyperlink>
        </w:p>
        <w:p w14:paraId="51C39E10"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ub61qqu9f9j4">
            <w:r>
              <w:rPr>
                <w:rFonts w:ascii="Arial" w:eastAsia="Arial" w:hAnsi="Arial" w:cs="Arial"/>
                <w:color w:val="000000"/>
                <w:sz w:val="22"/>
                <w:szCs w:val="22"/>
              </w:rPr>
              <w:t>4.6.</w:t>
            </w:r>
            <w:r>
              <w:rPr>
                <w:rFonts w:ascii="Arial" w:eastAsia="Arial" w:hAnsi="Arial" w:cs="Arial"/>
                <w:color w:val="000000"/>
                <w:sz w:val="22"/>
                <w:szCs w:val="22"/>
              </w:rPr>
              <w:tab/>
              <w:t>Evaluation of Quantitative Studies– 1400 words approx.</w:t>
            </w:r>
            <w:r>
              <w:rPr>
                <w:rFonts w:ascii="Arial" w:eastAsia="Arial" w:hAnsi="Arial" w:cs="Arial"/>
                <w:color w:val="000000"/>
                <w:sz w:val="22"/>
                <w:szCs w:val="22"/>
              </w:rPr>
              <w:tab/>
              <w:t>32</w:t>
            </w:r>
          </w:hyperlink>
        </w:p>
        <w:p w14:paraId="51C39E11"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mdzsua6k0ni0">
            <w:r>
              <w:rPr>
                <w:rFonts w:ascii="Arial" w:eastAsia="Arial" w:hAnsi="Arial" w:cs="Arial"/>
                <w:color w:val="000000"/>
                <w:sz w:val="22"/>
                <w:szCs w:val="22"/>
              </w:rPr>
              <w:t>4.6.1.</w:t>
            </w:r>
            <w:r>
              <w:rPr>
                <w:rFonts w:ascii="Arial" w:eastAsia="Arial" w:hAnsi="Arial" w:cs="Arial"/>
                <w:color w:val="000000"/>
                <w:sz w:val="22"/>
                <w:szCs w:val="22"/>
              </w:rPr>
              <w:tab/>
              <w:t>Introduction to Quantitative Appraisal</w:t>
            </w:r>
            <w:r>
              <w:rPr>
                <w:rFonts w:ascii="Arial" w:eastAsia="Arial" w:hAnsi="Arial" w:cs="Arial"/>
                <w:color w:val="000000"/>
                <w:sz w:val="22"/>
                <w:szCs w:val="22"/>
              </w:rPr>
              <w:tab/>
              <w:t>32</w:t>
            </w:r>
          </w:hyperlink>
        </w:p>
        <w:p w14:paraId="51C39E12"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pfcca1pvx86m">
            <w:r>
              <w:rPr>
                <w:rFonts w:ascii="Arial" w:eastAsia="Arial" w:hAnsi="Arial" w:cs="Arial"/>
                <w:color w:val="000000"/>
                <w:sz w:val="22"/>
                <w:szCs w:val="22"/>
              </w:rPr>
              <w:t>4.6.2.</w:t>
            </w:r>
            <w:r>
              <w:rPr>
                <w:rFonts w:ascii="Arial" w:eastAsia="Arial" w:hAnsi="Arial" w:cs="Arial"/>
                <w:color w:val="000000"/>
                <w:sz w:val="22"/>
                <w:szCs w:val="22"/>
              </w:rPr>
              <w:tab/>
              <w:t>Critical Appraisal Tool Used</w:t>
            </w:r>
            <w:r>
              <w:rPr>
                <w:rFonts w:ascii="Arial" w:eastAsia="Arial" w:hAnsi="Arial" w:cs="Arial"/>
                <w:color w:val="000000"/>
                <w:sz w:val="22"/>
                <w:szCs w:val="22"/>
              </w:rPr>
              <w:tab/>
              <w:t>33</w:t>
            </w:r>
          </w:hyperlink>
        </w:p>
        <w:p w14:paraId="51C39E13"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5tv6h6l7uunf">
            <w:r>
              <w:rPr>
                <w:rFonts w:ascii="Arial" w:eastAsia="Arial" w:hAnsi="Arial" w:cs="Arial"/>
                <w:color w:val="000000"/>
                <w:sz w:val="22"/>
                <w:szCs w:val="22"/>
              </w:rPr>
              <w:t>4.6.3.</w:t>
            </w:r>
            <w:r>
              <w:rPr>
                <w:rFonts w:ascii="Arial" w:eastAsia="Arial" w:hAnsi="Arial" w:cs="Arial"/>
                <w:color w:val="000000"/>
                <w:sz w:val="22"/>
                <w:szCs w:val="22"/>
              </w:rPr>
              <w:tab/>
              <w:t>Overview of Quantitative Study Designs</w:t>
            </w:r>
            <w:r>
              <w:rPr>
                <w:rFonts w:ascii="Arial" w:eastAsia="Arial" w:hAnsi="Arial" w:cs="Arial"/>
                <w:color w:val="000000"/>
                <w:sz w:val="22"/>
                <w:szCs w:val="22"/>
              </w:rPr>
              <w:tab/>
              <w:t>33</w:t>
            </w:r>
          </w:hyperlink>
        </w:p>
        <w:p w14:paraId="51C39E14"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afdqvcm235x5">
            <w:r>
              <w:rPr>
                <w:rFonts w:ascii="Arial" w:eastAsia="Arial" w:hAnsi="Arial" w:cs="Arial"/>
                <w:color w:val="000000"/>
                <w:sz w:val="22"/>
                <w:szCs w:val="22"/>
              </w:rPr>
              <w:t>4.6.4.</w:t>
            </w:r>
            <w:r>
              <w:rPr>
                <w:rFonts w:ascii="Arial" w:eastAsia="Arial" w:hAnsi="Arial" w:cs="Arial"/>
                <w:color w:val="000000"/>
                <w:sz w:val="22"/>
                <w:szCs w:val="22"/>
              </w:rPr>
              <w:tab/>
              <w:t>Aims and Role of Quantitative Evidence</w:t>
            </w:r>
            <w:r>
              <w:rPr>
                <w:rFonts w:ascii="Arial" w:eastAsia="Arial" w:hAnsi="Arial" w:cs="Arial"/>
                <w:color w:val="000000"/>
                <w:sz w:val="22"/>
                <w:szCs w:val="22"/>
              </w:rPr>
              <w:tab/>
              <w:t>34</w:t>
            </w:r>
          </w:hyperlink>
        </w:p>
        <w:p w14:paraId="51C39E15"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y1jesocy8kmj">
            <w:r>
              <w:rPr>
                <w:rFonts w:ascii="Arial" w:eastAsia="Arial" w:hAnsi="Arial" w:cs="Arial"/>
                <w:color w:val="000000"/>
                <w:sz w:val="22"/>
                <w:szCs w:val="22"/>
              </w:rPr>
              <w:t>4.6.5.</w:t>
            </w:r>
            <w:r>
              <w:rPr>
                <w:rFonts w:ascii="Arial" w:eastAsia="Arial" w:hAnsi="Arial" w:cs="Arial"/>
                <w:color w:val="000000"/>
                <w:sz w:val="22"/>
                <w:szCs w:val="22"/>
              </w:rPr>
              <w:tab/>
              <w:t>Critical Appraisal Findings: Internal Validity</w:t>
            </w:r>
            <w:r>
              <w:rPr>
                <w:rFonts w:ascii="Arial" w:eastAsia="Arial" w:hAnsi="Arial" w:cs="Arial"/>
                <w:color w:val="000000"/>
                <w:sz w:val="22"/>
                <w:szCs w:val="22"/>
              </w:rPr>
              <w:tab/>
              <w:t>34</w:t>
            </w:r>
          </w:hyperlink>
        </w:p>
        <w:p w14:paraId="51C39E16"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e7xm41iwxqk">
            <w:r>
              <w:rPr>
                <w:rFonts w:ascii="Arial" w:eastAsia="Arial" w:hAnsi="Arial" w:cs="Arial"/>
                <w:color w:val="000000"/>
                <w:sz w:val="22"/>
                <w:szCs w:val="22"/>
              </w:rPr>
              <w:t>4.6.6.</w:t>
            </w:r>
            <w:r>
              <w:rPr>
                <w:rFonts w:ascii="Arial" w:eastAsia="Arial" w:hAnsi="Arial" w:cs="Arial"/>
                <w:color w:val="000000"/>
                <w:sz w:val="22"/>
                <w:szCs w:val="22"/>
              </w:rPr>
              <w:tab/>
              <w:t>Critical Appraisal Findings: Statistical and Analytical Rigor</w:t>
            </w:r>
            <w:r>
              <w:rPr>
                <w:rFonts w:ascii="Arial" w:eastAsia="Arial" w:hAnsi="Arial" w:cs="Arial"/>
                <w:color w:val="000000"/>
                <w:sz w:val="22"/>
                <w:szCs w:val="22"/>
              </w:rPr>
              <w:tab/>
              <w:t>35</w:t>
            </w:r>
          </w:hyperlink>
        </w:p>
        <w:p w14:paraId="51C39E17"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bjgkyjsyg8l8">
            <w:r>
              <w:rPr>
                <w:rFonts w:ascii="Arial" w:eastAsia="Arial" w:hAnsi="Arial" w:cs="Arial"/>
                <w:color w:val="000000"/>
                <w:sz w:val="22"/>
                <w:szCs w:val="22"/>
              </w:rPr>
              <w:t>4.6.7.</w:t>
            </w:r>
            <w:r>
              <w:rPr>
                <w:rFonts w:ascii="Arial" w:eastAsia="Arial" w:hAnsi="Arial" w:cs="Arial"/>
                <w:color w:val="000000"/>
                <w:sz w:val="22"/>
                <w:szCs w:val="22"/>
              </w:rPr>
              <w:tab/>
              <w:t>External Validity and Generalisability</w:t>
            </w:r>
            <w:r>
              <w:rPr>
                <w:rFonts w:ascii="Arial" w:eastAsia="Arial" w:hAnsi="Arial" w:cs="Arial"/>
                <w:color w:val="000000"/>
                <w:sz w:val="22"/>
                <w:szCs w:val="22"/>
              </w:rPr>
              <w:tab/>
              <w:t>35</w:t>
            </w:r>
          </w:hyperlink>
        </w:p>
        <w:p w14:paraId="51C39E18"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7lz4pociqrdc">
            <w:r>
              <w:rPr>
                <w:rFonts w:ascii="Arial" w:eastAsia="Arial" w:hAnsi="Arial" w:cs="Arial"/>
                <w:color w:val="000000"/>
                <w:sz w:val="22"/>
                <w:szCs w:val="22"/>
              </w:rPr>
              <w:t>4.6.8.</w:t>
            </w:r>
            <w:r>
              <w:rPr>
                <w:rFonts w:ascii="Arial" w:eastAsia="Arial" w:hAnsi="Arial" w:cs="Arial"/>
                <w:color w:val="000000"/>
                <w:sz w:val="22"/>
                <w:szCs w:val="22"/>
              </w:rPr>
              <w:tab/>
              <w:t>Overall Quality Assessment of Quantitative Evidence</w:t>
            </w:r>
            <w:r>
              <w:rPr>
                <w:rFonts w:ascii="Arial" w:eastAsia="Arial" w:hAnsi="Arial" w:cs="Arial"/>
                <w:color w:val="000000"/>
                <w:sz w:val="22"/>
                <w:szCs w:val="22"/>
              </w:rPr>
              <w:tab/>
              <w:t>36</w:t>
            </w:r>
          </w:hyperlink>
        </w:p>
        <w:p w14:paraId="51C39E19"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5vr1712o7cum">
            <w:r>
              <w:rPr>
                <w:rFonts w:ascii="Arial" w:eastAsia="Arial" w:hAnsi="Arial" w:cs="Arial"/>
                <w:color w:val="000000"/>
                <w:sz w:val="22"/>
                <w:szCs w:val="22"/>
              </w:rPr>
              <w:t>4.7.</w:t>
            </w:r>
            <w:r>
              <w:rPr>
                <w:rFonts w:ascii="Arial" w:eastAsia="Arial" w:hAnsi="Arial" w:cs="Arial"/>
                <w:color w:val="000000"/>
                <w:sz w:val="22"/>
                <w:szCs w:val="22"/>
              </w:rPr>
              <w:tab/>
              <w:t>Evaluation of Mixed Methods Studies</w:t>
            </w:r>
            <w:r>
              <w:rPr>
                <w:rFonts w:ascii="Arial" w:eastAsia="Arial" w:hAnsi="Arial" w:cs="Arial"/>
                <w:color w:val="000000"/>
                <w:sz w:val="22"/>
                <w:szCs w:val="22"/>
              </w:rPr>
              <w:tab/>
              <w:t>36</w:t>
            </w:r>
          </w:hyperlink>
        </w:p>
        <w:p w14:paraId="51C39E1A"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1mfg6gw81fft">
            <w:r>
              <w:rPr>
                <w:rFonts w:ascii="Arial" w:eastAsia="Arial" w:hAnsi="Arial" w:cs="Arial"/>
                <w:color w:val="000000"/>
                <w:sz w:val="22"/>
                <w:szCs w:val="22"/>
              </w:rPr>
              <w:t>4.8.</w:t>
            </w:r>
            <w:r>
              <w:rPr>
                <w:rFonts w:ascii="Arial" w:eastAsia="Arial" w:hAnsi="Arial" w:cs="Arial"/>
                <w:color w:val="000000"/>
                <w:sz w:val="22"/>
                <w:szCs w:val="22"/>
              </w:rPr>
              <w:tab/>
              <w:t>Chapter Summary</w:t>
            </w:r>
            <w:r>
              <w:rPr>
                <w:rFonts w:ascii="Arial" w:eastAsia="Arial" w:hAnsi="Arial" w:cs="Arial"/>
                <w:color w:val="000000"/>
                <w:sz w:val="22"/>
                <w:szCs w:val="22"/>
              </w:rPr>
              <w:tab/>
              <w:t>37</w:t>
            </w:r>
          </w:hyperlink>
        </w:p>
        <w:p w14:paraId="51C39E1B"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bm77mmuq3ogz">
            <w:r>
              <w:rPr>
                <w:rFonts w:ascii="Arial" w:eastAsia="Arial" w:hAnsi="Arial" w:cs="Arial"/>
                <w:b/>
                <w:bCs/>
                <w:color w:val="000000"/>
                <w:sz w:val="22"/>
                <w:szCs w:val="22"/>
              </w:rPr>
              <w:t>5.</w:t>
            </w:r>
            <w:r>
              <w:rPr>
                <w:rFonts w:ascii="Arial" w:eastAsia="Arial" w:hAnsi="Arial" w:cs="Arial"/>
                <w:b/>
                <w:bCs/>
                <w:color w:val="000000"/>
                <w:sz w:val="22"/>
                <w:szCs w:val="22"/>
              </w:rPr>
              <w:tab/>
              <w:t>Chapter 5: Data Analysis and Synthesis</w:t>
            </w:r>
            <w:r>
              <w:rPr>
                <w:rFonts w:ascii="Arial" w:eastAsia="Arial" w:hAnsi="Arial" w:cs="Arial"/>
                <w:b/>
                <w:bCs/>
                <w:color w:val="000000"/>
                <w:sz w:val="22"/>
                <w:szCs w:val="22"/>
              </w:rPr>
              <w:tab/>
              <w:t>38</w:t>
            </w:r>
          </w:hyperlink>
        </w:p>
        <w:p w14:paraId="51C39E1C"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2ih95fjj3dcx">
            <w:r>
              <w:rPr>
                <w:rFonts w:ascii="Arial" w:eastAsia="Arial" w:hAnsi="Arial" w:cs="Arial"/>
                <w:color w:val="000000"/>
                <w:sz w:val="22"/>
                <w:szCs w:val="22"/>
              </w:rPr>
              <w:t>5.1.</w:t>
            </w:r>
            <w:r>
              <w:rPr>
                <w:rFonts w:ascii="Arial" w:eastAsia="Arial" w:hAnsi="Arial" w:cs="Arial"/>
                <w:color w:val="000000"/>
                <w:sz w:val="22"/>
                <w:szCs w:val="22"/>
              </w:rPr>
              <w:tab/>
              <w:t>Introduction to Chapter</w:t>
            </w:r>
            <w:r>
              <w:rPr>
                <w:rFonts w:ascii="Arial" w:eastAsia="Arial" w:hAnsi="Arial" w:cs="Arial"/>
                <w:color w:val="000000"/>
                <w:sz w:val="22"/>
                <w:szCs w:val="22"/>
              </w:rPr>
              <w:tab/>
              <w:t>38</w:t>
            </w:r>
          </w:hyperlink>
        </w:p>
        <w:p w14:paraId="51C39E1D"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el6f4s1ff827">
            <w:r>
              <w:rPr>
                <w:rFonts w:ascii="Arial" w:eastAsia="Arial" w:hAnsi="Arial" w:cs="Arial"/>
                <w:color w:val="000000"/>
                <w:sz w:val="22"/>
                <w:szCs w:val="22"/>
              </w:rPr>
              <w:t>5.2.</w:t>
            </w:r>
            <w:r>
              <w:rPr>
                <w:rFonts w:ascii="Arial" w:eastAsia="Arial" w:hAnsi="Arial" w:cs="Arial"/>
                <w:color w:val="000000"/>
                <w:sz w:val="22"/>
                <w:szCs w:val="22"/>
              </w:rPr>
              <w:tab/>
              <w:t>Thematic Analysis</w:t>
            </w:r>
            <w:r>
              <w:rPr>
                <w:rFonts w:ascii="Arial" w:eastAsia="Arial" w:hAnsi="Arial" w:cs="Arial"/>
                <w:color w:val="000000"/>
                <w:sz w:val="22"/>
                <w:szCs w:val="22"/>
              </w:rPr>
              <w:tab/>
              <w:t>39</w:t>
            </w:r>
          </w:hyperlink>
        </w:p>
        <w:p w14:paraId="51C39E1E"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wyqnuv6dd56o">
            <w:r>
              <w:rPr>
                <w:rFonts w:ascii="Arial" w:eastAsia="Arial" w:hAnsi="Arial" w:cs="Arial"/>
                <w:color w:val="000000"/>
                <w:sz w:val="22"/>
                <w:szCs w:val="22"/>
              </w:rPr>
              <w:t>5.3.</w:t>
            </w:r>
            <w:r>
              <w:rPr>
                <w:rFonts w:ascii="Arial" w:eastAsia="Arial" w:hAnsi="Arial" w:cs="Arial"/>
                <w:color w:val="000000"/>
                <w:sz w:val="22"/>
                <w:szCs w:val="22"/>
              </w:rPr>
              <w:tab/>
              <w:t>Data analysis tool</w:t>
            </w:r>
            <w:r>
              <w:rPr>
                <w:rFonts w:ascii="Arial" w:eastAsia="Arial" w:hAnsi="Arial" w:cs="Arial"/>
                <w:color w:val="000000"/>
                <w:sz w:val="22"/>
                <w:szCs w:val="22"/>
              </w:rPr>
              <w:tab/>
              <w:t>39</w:t>
            </w:r>
          </w:hyperlink>
        </w:p>
        <w:p w14:paraId="51C39E1F"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5e476gw7zat6">
            <w:r>
              <w:rPr>
                <w:rFonts w:ascii="Arial" w:eastAsia="Arial" w:hAnsi="Arial" w:cs="Arial"/>
                <w:color w:val="000000"/>
                <w:sz w:val="22"/>
                <w:szCs w:val="22"/>
              </w:rPr>
              <w:t>5.4.</w:t>
            </w:r>
            <w:r>
              <w:rPr>
                <w:rFonts w:ascii="Arial" w:eastAsia="Arial" w:hAnsi="Arial" w:cs="Arial"/>
                <w:color w:val="000000"/>
                <w:sz w:val="22"/>
                <w:szCs w:val="22"/>
              </w:rPr>
              <w:tab/>
              <w:t>Characteristics of the identified studies</w:t>
            </w:r>
            <w:r>
              <w:rPr>
                <w:rFonts w:ascii="Arial" w:eastAsia="Arial" w:hAnsi="Arial" w:cs="Arial"/>
                <w:color w:val="000000"/>
                <w:sz w:val="22"/>
                <w:szCs w:val="22"/>
              </w:rPr>
              <w:tab/>
              <w:t>39</w:t>
            </w:r>
          </w:hyperlink>
        </w:p>
        <w:p w14:paraId="51C39E20"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c871nm5l66bn">
            <w:r>
              <w:rPr>
                <w:rFonts w:ascii="Arial" w:eastAsia="Arial" w:hAnsi="Arial" w:cs="Arial"/>
                <w:color w:val="000000"/>
                <w:sz w:val="22"/>
                <w:szCs w:val="22"/>
              </w:rPr>
              <w:t>5.5.</w:t>
            </w:r>
            <w:r>
              <w:rPr>
                <w:rFonts w:ascii="Arial" w:eastAsia="Arial" w:hAnsi="Arial" w:cs="Arial"/>
                <w:color w:val="000000"/>
                <w:sz w:val="22"/>
                <w:szCs w:val="22"/>
              </w:rPr>
              <w:tab/>
              <w:t>Emerging Themes from included studies</w:t>
            </w:r>
            <w:r>
              <w:rPr>
                <w:rFonts w:ascii="Arial" w:eastAsia="Arial" w:hAnsi="Arial" w:cs="Arial"/>
                <w:color w:val="000000"/>
                <w:sz w:val="22"/>
                <w:szCs w:val="22"/>
              </w:rPr>
              <w:tab/>
              <w:t>40</w:t>
            </w:r>
          </w:hyperlink>
        </w:p>
        <w:p w14:paraId="51C39E21"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sso2vfr2soqx">
            <w:r>
              <w:rPr>
                <w:rFonts w:ascii="Arial" w:eastAsia="Arial" w:hAnsi="Arial" w:cs="Arial"/>
                <w:color w:val="000000"/>
                <w:sz w:val="22"/>
                <w:szCs w:val="22"/>
              </w:rPr>
              <w:t>5.5.1.</w:t>
            </w:r>
            <w:r>
              <w:rPr>
                <w:rFonts w:ascii="Arial" w:eastAsia="Arial" w:hAnsi="Arial" w:cs="Arial"/>
                <w:color w:val="000000"/>
                <w:sz w:val="22"/>
                <w:szCs w:val="22"/>
              </w:rPr>
              <w:tab/>
              <w:t>Theme One: Persistent and Evolving HIV-Related Stigma</w:t>
            </w:r>
            <w:r>
              <w:rPr>
                <w:rFonts w:ascii="Arial" w:eastAsia="Arial" w:hAnsi="Arial" w:cs="Arial"/>
                <w:color w:val="000000"/>
                <w:sz w:val="22"/>
                <w:szCs w:val="22"/>
              </w:rPr>
              <w:tab/>
              <w:t>40</w:t>
            </w:r>
          </w:hyperlink>
        </w:p>
        <w:p w14:paraId="51C39E22"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cumic84bypik">
            <w:r>
              <w:rPr>
                <w:rFonts w:ascii="Arial" w:eastAsia="Arial" w:hAnsi="Arial" w:cs="Arial"/>
                <w:color w:val="000000"/>
                <w:sz w:val="22"/>
                <w:szCs w:val="22"/>
              </w:rPr>
              <w:t>5.5.2.</w:t>
            </w:r>
            <w:r>
              <w:rPr>
                <w:rFonts w:ascii="Arial" w:eastAsia="Arial" w:hAnsi="Arial" w:cs="Arial"/>
                <w:color w:val="000000"/>
                <w:sz w:val="22"/>
                <w:szCs w:val="22"/>
              </w:rPr>
              <w:tab/>
              <w:t>Theme Two: Inadequate Health Care Services</w:t>
            </w:r>
            <w:r>
              <w:rPr>
                <w:rFonts w:ascii="Arial" w:eastAsia="Arial" w:hAnsi="Arial" w:cs="Arial"/>
                <w:color w:val="000000"/>
                <w:sz w:val="22"/>
                <w:szCs w:val="22"/>
              </w:rPr>
              <w:tab/>
              <w:t>41</w:t>
            </w:r>
          </w:hyperlink>
        </w:p>
        <w:p w14:paraId="51C39E23"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r19r6nxhsxk1">
            <w:r>
              <w:rPr>
                <w:rFonts w:ascii="Arial" w:eastAsia="Arial" w:hAnsi="Arial" w:cs="Arial"/>
                <w:color w:val="000000"/>
                <w:sz w:val="22"/>
                <w:szCs w:val="22"/>
              </w:rPr>
              <w:t>5.5.3.</w:t>
            </w:r>
            <w:r>
              <w:rPr>
                <w:rFonts w:ascii="Arial" w:eastAsia="Arial" w:hAnsi="Arial" w:cs="Arial"/>
                <w:color w:val="000000"/>
                <w:sz w:val="22"/>
                <w:szCs w:val="22"/>
              </w:rPr>
              <w:tab/>
              <w:t>Theme Three: Ageing with HIV and Multimorbidity</w:t>
            </w:r>
            <w:r>
              <w:rPr>
                <w:rFonts w:ascii="Arial" w:eastAsia="Arial" w:hAnsi="Arial" w:cs="Arial"/>
                <w:color w:val="000000"/>
                <w:sz w:val="22"/>
                <w:szCs w:val="22"/>
              </w:rPr>
              <w:tab/>
              <w:t>43</w:t>
            </w:r>
          </w:hyperlink>
        </w:p>
        <w:p w14:paraId="51C39E24"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2bs6q4wswjr7">
            <w:r>
              <w:rPr>
                <w:rFonts w:ascii="Arial" w:eastAsia="Arial" w:hAnsi="Arial" w:cs="Arial"/>
                <w:color w:val="000000"/>
                <w:sz w:val="22"/>
                <w:szCs w:val="22"/>
              </w:rPr>
              <w:t>5.5.4.</w:t>
            </w:r>
            <w:r>
              <w:rPr>
                <w:rFonts w:ascii="Arial" w:eastAsia="Arial" w:hAnsi="Arial" w:cs="Arial"/>
                <w:color w:val="000000"/>
                <w:sz w:val="22"/>
                <w:szCs w:val="22"/>
              </w:rPr>
              <w:tab/>
              <w:t>Theme Four: Cultural and Community Contexts of HIV Care</w:t>
            </w:r>
            <w:r>
              <w:rPr>
                <w:rFonts w:ascii="Arial" w:eastAsia="Arial" w:hAnsi="Arial" w:cs="Arial"/>
                <w:color w:val="000000"/>
                <w:sz w:val="22"/>
                <w:szCs w:val="22"/>
              </w:rPr>
              <w:tab/>
              <w:t>45</w:t>
            </w:r>
          </w:hyperlink>
        </w:p>
        <w:p w14:paraId="51C39E25"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le3s4gp2f26o">
            <w:r>
              <w:rPr>
                <w:rFonts w:ascii="Arial" w:eastAsia="Arial" w:hAnsi="Arial" w:cs="Arial"/>
                <w:color w:val="000000"/>
                <w:sz w:val="22"/>
                <w:szCs w:val="22"/>
              </w:rPr>
              <w:t>5.6.</w:t>
            </w:r>
            <w:r>
              <w:rPr>
                <w:rFonts w:ascii="Arial" w:eastAsia="Arial" w:hAnsi="Arial" w:cs="Arial"/>
                <w:color w:val="000000"/>
                <w:sz w:val="22"/>
                <w:szCs w:val="22"/>
              </w:rPr>
              <w:tab/>
              <w:t>Cross-Theme Synthesis</w:t>
            </w:r>
            <w:r>
              <w:rPr>
                <w:rFonts w:ascii="Arial" w:eastAsia="Arial" w:hAnsi="Arial" w:cs="Arial"/>
                <w:color w:val="000000"/>
                <w:sz w:val="22"/>
                <w:szCs w:val="22"/>
              </w:rPr>
              <w:tab/>
              <w:t>47</w:t>
            </w:r>
          </w:hyperlink>
        </w:p>
        <w:p w14:paraId="51C39E26"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wpfbydb0jlys">
            <w:r>
              <w:rPr>
                <w:rFonts w:ascii="Arial" w:eastAsia="Arial" w:hAnsi="Arial" w:cs="Arial"/>
                <w:color w:val="000000"/>
                <w:sz w:val="22"/>
                <w:szCs w:val="22"/>
              </w:rPr>
              <w:t>5.7.</w:t>
            </w:r>
            <w:r>
              <w:rPr>
                <w:rFonts w:ascii="Arial" w:eastAsia="Arial" w:hAnsi="Arial" w:cs="Arial"/>
                <w:color w:val="000000"/>
                <w:sz w:val="22"/>
                <w:szCs w:val="22"/>
              </w:rPr>
              <w:tab/>
              <w:t>Chapter Summary</w:t>
            </w:r>
            <w:r>
              <w:rPr>
                <w:rFonts w:ascii="Arial" w:eastAsia="Arial" w:hAnsi="Arial" w:cs="Arial"/>
                <w:color w:val="000000"/>
                <w:sz w:val="22"/>
                <w:szCs w:val="22"/>
              </w:rPr>
              <w:tab/>
              <w:t>47</w:t>
            </w:r>
          </w:hyperlink>
        </w:p>
        <w:p w14:paraId="51C39E27"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o2kauy848udt">
            <w:r>
              <w:rPr>
                <w:rFonts w:ascii="Arial" w:eastAsia="Arial" w:hAnsi="Arial" w:cs="Arial"/>
                <w:b/>
                <w:bCs/>
                <w:color w:val="000000"/>
                <w:sz w:val="22"/>
                <w:szCs w:val="22"/>
              </w:rPr>
              <w:t>6.</w:t>
            </w:r>
            <w:r>
              <w:rPr>
                <w:rFonts w:ascii="Arial" w:eastAsia="Arial" w:hAnsi="Arial" w:cs="Arial"/>
                <w:b/>
                <w:bCs/>
                <w:color w:val="000000"/>
                <w:sz w:val="22"/>
                <w:szCs w:val="22"/>
              </w:rPr>
              <w:tab/>
              <w:t>Chapter 6: Discussion</w:t>
            </w:r>
            <w:r>
              <w:rPr>
                <w:rFonts w:ascii="Arial" w:eastAsia="Arial" w:hAnsi="Arial" w:cs="Arial"/>
                <w:b/>
                <w:bCs/>
                <w:color w:val="000000"/>
                <w:sz w:val="22"/>
                <w:szCs w:val="22"/>
              </w:rPr>
              <w:tab/>
              <w:t>48</w:t>
            </w:r>
          </w:hyperlink>
        </w:p>
        <w:p w14:paraId="51C39E28"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yjzzn4rs2sjc">
            <w:r>
              <w:rPr>
                <w:rFonts w:ascii="Arial" w:eastAsia="Arial" w:hAnsi="Arial" w:cs="Arial"/>
                <w:color w:val="000000"/>
                <w:sz w:val="22"/>
                <w:szCs w:val="22"/>
              </w:rPr>
              <w:t>6.1.</w:t>
            </w:r>
            <w:r>
              <w:rPr>
                <w:rFonts w:ascii="Arial" w:eastAsia="Arial" w:hAnsi="Arial" w:cs="Arial"/>
                <w:color w:val="000000"/>
                <w:sz w:val="22"/>
                <w:szCs w:val="22"/>
              </w:rPr>
              <w:tab/>
              <w:t>Introduction to Chapter</w:t>
            </w:r>
            <w:r>
              <w:rPr>
                <w:rFonts w:ascii="Arial" w:eastAsia="Arial" w:hAnsi="Arial" w:cs="Arial"/>
                <w:color w:val="000000"/>
                <w:sz w:val="22"/>
                <w:szCs w:val="22"/>
              </w:rPr>
              <w:tab/>
              <w:t>48</w:t>
            </w:r>
          </w:hyperlink>
        </w:p>
        <w:p w14:paraId="51C39E29"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tsn8g9lnj3i1">
            <w:r>
              <w:rPr>
                <w:rFonts w:ascii="Arial" w:eastAsia="Arial" w:hAnsi="Arial" w:cs="Arial"/>
                <w:color w:val="000000"/>
                <w:sz w:val="22"/>
                <w:szCs w:val="22"/>
              </w:rPr>
              <w:t>6.2.</w:t>
            </w:r>
            <w:r>
              <w:rPr>
                <w:rFonts w:ascii="Arial" w:eastAsia="Arial" w:hAnsi="Arial" w:cs="Arial"/>
                <w:color w:val="000000"/>
                <w:sz w:val="22"/>
                <w:szCs w:val="22"/>
              </w:rPr>
              <w:tab/>
              <w:t>Discussion of Key findings</w:t>
            </w:r>
            <w:r>
              <w:rPr>
                <w:rFonts w:ascii="Arial" w:eastAsia="Arial" w:hAnsi="Arial" w:cs="Arial"/>
                <w:color w:val="000000"/>
                <w:sz w:val="22"/>
                <w:szCs w:val="22"/>
              </w:rPr>
              <w:tab/>
              <w:t>49</w:t>
            </w:r>
          </w:hyperlink>
        </w:p>
        <w:p w14:paraId="51C39E2A"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6nkgldatlfub">
            <w:r>
              <w:rPr>
                <w:rFonts w:ascii="Arial" w:eastAsia="Arial" w:hAnsi="Arial" w:cs="Arial"/>
                <w:color w:val="000000"/>
                <w:sz w:val="22"/>
                <w:szCs w:val="22"/>
              </w:rPr>
              <w:t>6.2.1.</w:t>
            </w:r>
            <w:r>
              <w:rPr>
                <w:rFonts w:ascii="Arial" w:eastAsia="Arial" w:hAnsi="Arial" w:cs="Arial"/>
                <w:color w:val="000000"/>
                <w:sz w:val="22"/>
                <w:szCs w:val="22"/>
              </w:rPr>
              <w:tab/>
              <w:t>Stigma as a Persistent Structural Barrier</w:t>
            </w:r>
            <w:r>
              <w:rPr>
                <w:rFonts w:ascii="Arial" w:eastAsia="Arial" w:hAnsi="Arial" w:cs="Arial"/>
                <w:color w:val="000000"/>
                <w:sz w:val="22"/>
                <w:szCs w:val="22"/>
              </w:rPr>
              <w:tab/>
              <w:t>49</w:t>
            </w:r>
          </w:hyperlink>
        </w:p>
        <w:p w14:paraId="51C39E2B"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nar3whigbhc5">
            <w:r>
              <w:rPr>
                <w:rFonts w:ascii="Arial" w:eastAsia="Arial" w:hAnsi="Arial" w:cs="Arial"/>
                <w:color w:val="000000"/>
                <w:sz w:val="22"/>
                <w:szCs w:val="22"/>
              </w:rPr>
              <w:t>6.2.2.</w:t>
            </w:r>
            <w:r>
              <w:rPr>
                <w:rFonts w:ascii="Arial" w:eastAsia="Arial" w:hAnsi="Arial" w:cs="Arial"/>
                <w:color w:val="000000"/>
                <w:sz w:val="22"/>
                <w:szCs w:val="22"/>
              </w:rPr>
              <w:tab/>
              <w:t>Fragmentation of Care and Chronic Disease Management</w:t>
            </w:r>
            <w:r>
              <w:rPr>
                <w:rFonts w:ascii="Arial" w:eastAsia="Arial" w:hAnsi="Arial" w:cs="Arial"/>
                <w:color w:val="000000"/>
                <w:sz w:val="22"/>
                <w:szCs w:val="22"/>
              </w:rPr>
              <w:tab/>
              <w:t>50</w:t>
            </w:r>
          </w:hyperlink>
        </w:p>
        <w:p w14:paraId="51C39E2C"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5n7olq7ky12i">
            <w:r>
              <w:rPr>
                <w:rFonts w:ascii="Arial" w:eastAsia="Arial" w:hAnsi="Arial" w:cs="Arial"/>
                <w:color w:val="000000"/>
                <w:sz w:val="22"/>
                <w:szCs w:val="22"/>
              </w:rPr>
              <w:t>6.2.3.</w:t>
            </w:r>
            <w:r>
              <w:rPr>
                <w:rFonts w:ascii="Arial" w:eastAsia="Arial" w:hAnsi="Arial" w:cs="Arial"/>
                <w:color w:val="000000"/>
                <w:sz w:val="22"/>
                <w:szCs w:val="22"/>
              </w:rPr>
              <w:tab/>
              <w:t>Ageing with HIV: A System Lag</w:t>
            </w:r>
            <w:r>
              <w:rPr>
                <w:rFonts w:ascii="Arial" w:eastAsia="Arial" w:hAnsi="Arial" w:cs="Arial"/>
                <w:color w:val="000000"/>
                <w:sz w:val="22"/>
                <w:szCs w:val="22"/>
              </w:rPr>
              <w:tab/>
              <w:t>50</w:t>
            </w:r>
          </w:hyperlink>
        </w:p>
        <w:p w14:paraId="51C39E2D"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1s2ojl4yivxb">
            <w:r>
              <w:rPr>
                <w:rFonts w:ascii="Arial" w:eastAsia="Arial" w:hAnsi="Arial" w:cs="Arial"/>
                <w:color w:val="000000"/>
                <w:sz w:val="22"/>
                <w:szCs w:val="22"/>
              </w:rPr>
              <w:t>6.2.4.</w:t>
            </w:r>
            <w:r>
              <w:rPr>
                <w:rFonts w:ascii="Arial" w:eastAsia="Arial" w:hAnsi="Arial" w:cs="Arial"/>
                <w:color w:val="000000"/>
                <w:sz w:val="22"/>
                <w:szCs w:val="22"/>
              </w:rPr>
              <w:tab/>
              <w:t>Cultural and Intersectional Dimensions</w:t>
            </w:r>
            <w:r>
              <w:rPr>
                <w:rFonts w:ascii="Arial" w:eastAsia="Arial" w:hAnsi="Arial" w:cs="Arial"/>
                <w:color w:val="000000"/>
                <w:sz w:val="22"/>
                <w:szCs w:val="22"/>
              </w:rPr>
              <w:tab/>
              <w:t>51</w:t>
            </w:r>
          </w:hyperlink>
        </w:p>
        <w:p w14:paraId="51C39E2E" w14:textId="77777777" w:rsidR="006921ED" w:rsidRDefault="006921ED">
          <w:pPr>
            <w:pBdr>
              <w:top w:val="nil"/>
              <w:left w:val="nil"/>
              <w:bottom w:val="nil"/>
              <w:right w:val="nil"/>
              <w:between w:val="nil"/>
            </w:pBdr>
            <w:tabs>
              <w:tab w:val="left" w:pos="1440"/>
              <w:tab w:val="right" w:leader="dot" w:pos="9016"/>
            </w:tabs>
            <w:spacing w:before="240" w:after="100" w:line="360" w:lineRule="auto"/>
            <w:ind w:left="440"/>
            <w:jc w:val="both"/>
            <w:rPr>
              <w:rFonts w:ascii="Arial" w:eastAsia="Arial" w:hAnsi="Arial" w:cs="Arial"/>
              <w:color w:val="000000"/>
              <w:sz w:val="22"/>
              <w:szCs w:val="22"/>
            </w:rPr>
          </w:pPr>
          <w:hyperlink w:anchor="_heading=h.9a60xwuizf5f">
            <w:r>
              <w:rPr>
                <w:rFonts w:ascii="Arial" w:eastAsia="Arial" w:hAnsi="Arial" w:cs="Arial"/>
                <w:color w:val="000000"/>
                <w:sz w:val="22"/>
                <w:szCs w:val="22"/>
              </w:rPr>
              <w:t>6.2.5.</w:t>
            </w:r>
            <w:r>
              <w:rPr>
                <w:rFonts w:ascii="Arial" w:eastAsia="Arial" w:hAnsi="Arial" w:cs="Arial"/>
                <w:color w:val="000000"/>
                <w:sz w:val="22"/>
                <w:szCs w:val="22"/>
              </w:rPr>
              <w:tab/>
              <w:t>Implications for Policy and Practice</w:t>
            </w:r>
            <w:r>
              <w:rPr>
                <w:rFonts w:ascii="Arial" w:eastAsia="Arial" w:hAnsi="Arial" w:cs="Arial"/>
                <w:color w:val="000000"/>
                <w:sz w:val="22"/>
                <w:szCs w:val="22"/>
              </w:rPr>
              <w:tab/>
              <w:t>52</w:t>
            </w:r>
          </w:hyperlink>
        </w:p>
        <w:p w14:paraId="51C39E2F"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hnpc7hu5m0zl">
            <w:r>
              <w:rPr>
                <w:rFonts w:ascii="Arial" w:eastAsia="Arial" w:hAnsi="Arial" w:cs="Arial"/>
                <w:color w:val="000000"/>
                <w:sz w:val="22"/>
                <w:szCs w:val="22"/>
              </w:rPr>
              <w:t>6.3.</w:t>
            </w:r>
            <w:r>
              <w:rPr>
                <w:rFonts w:ascii="Arial" w:eastAsia="Arial" w:hAnsi="Arial" w:cs="Arial"/>
                <w:color w:val="000000"/>
                <w:sz w:val="22"/>
                <w:szCs w:val="22"/>
              </w:rPr>
              <w:tab/>
              <w:t>Strengths and Limitation</w:t>
            </w:r>
            <w:r>
              <w:rPr>
                <w:rFonts w:ascii="Arial" w:eastAsia="Arial" w:hAnsi="Arial" w:cs="Arial"/>
                <w:color w:val="000000"/>
                <w:sz w:val="22"/>
                <w:szCs w:val="22"/>
              </w:rPr>
              <w:tab/>
              <w:t>52</w:t>
            </w:r>
          </w:hyperlink>
        </w:p>
        <w:p w14:paraId="51C39E30"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2czz5wmutcrz">
            <w:r>
              <w:rPr>
                <w:rFonts w:ascii="Arial" w:eastAsia="Arial" w:hAnsi="Arial" w:cs="Arial"/>
                <w:color w:val="000000"/>
                <w:sz w:val="22"/>
                <w:szCs w:val="22"/>
              </w:rPr>
              <w:t>6.4.</w:t>
            </w:r>
            <w:r>
              <w:rPr>
                <w:rFonts w:ascii="Arial" w:eastAsia="Arial" w:hAnsi="Arial" w:cs="Arial"/>
                <w:color w:val="000000"/>
                <w:sz w:val="22"/>
                <w:szCs w:val="22"/>
              </w:rPr>
              <w:tab/>
              <w:t>Chapter Summary</w:t>
            </w:r>
            <w:r>
              <w:rPr>
                <w:rFonts w:ascii="Arial" w:eastAsia="Arial" w:hAnsi="Arial" w:cs="Arial"/>
                <w:color w:val="000000"/>
                <w:sz w:val="22"/>
                <w:szCs w:val="22"/>
              </w:rPr>
              <w:tab/>
              <w:t>53</w:t>
            </w:r>
          </w:hyperlink>
        </w:p>
        <w:p w14:paraId="51C39E31"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j26pwrds9oed">
            <w:r>
              <w:rPr>
                <w:rFonts w:ascii="Arial" w:eastAsia="Arial" w:hAnsi="Arial" w:cs="Arial"/>
                <w:b/>
                <w:bCs/>
                <w:color w:val="000000"/>
                <w:sz w:val="22"/>
                <w:szCs w:val="22"/>
              </w:rPr>
              <w:t>7.</w:t>
            </w:r>
            <w:r>
              <w:rPr>
                <w:rFonts w:ascii="Arial" w:eastAsia="Arial" w:hAnsi="Arial" w:cs="Arial"/>
                <w:b/>
                <w:bCs/>
                <w:color w:val="000000"/>
                <w:sz w:val="22"/>
                <w:szCs w:val="22"/>
              </w:rPr>
              <w:tab/>
              <w:t>Chapter 7: Recommendations And Conclusion</w:t>
            </w:r>
            <w:r>
              <w:rPr>
                <w:rFonts w:ascii="Arial" w:eastAsia="Arial" w:hAnsi="Arial" w:cs="Arial"/>
                <w:b/>
                <w:bCs/>
                <w:color w:val="000000"/>
                <w:sz w:val="22"/>
                <w:szCs w:val="22"/>
              </w:rPr>
              <w:tab/>
              <w:t>53</w:t>
            </w:r>
          </w:hyperlink>
        </w:p>
        <w:p w14:paraId="51C39E32"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ikgbnjjtpsh7">
            <w:r>
              <w:rPr>
                <w:rFonts w:ascii="Arial" w:eastAsia="Arial" w:hAnsi="Arial" w:cs="Arial"/>
                <w:color w:val="000000"/>
                <w:sz w:val="22"/>
                <w:szCs w:val="22"/>
              </w:rPr>
              <w:t>7.1.</w:t>
            </w:r>
            <w:r>
              <w:rPr>
                <w:rFonts w:ascii="Arial" w:eastAsia="Arial" w:hAnsi="Arial" w:cs="Arial"/>
                <w:color w:val="000000"/>
                <w:sz w:val="22"/>
                <w:szCs w:val="22"/>
              </w:rPr>
              <w:tab/>
              <w:t>Introduction to Chapter</w:t>
            </w:r>
            <w:r>
              <w:rPr>
                <w:rFonts w:ascii="Arial" w:eastAsia="Arial" w:hAnsi="Arial" w:cs="Arial"/>
                <w:color w:val="000000"/>
                <w:sz w:val="22"/>
                <w:szCs w:val="22"/>
              </w:rPr>
              <w:tab/>
              <w:t>53</w:t>
            </w:r>
          </w:hyperlink>
        </w:p>
        <w:p w14:paraId="51C39E33"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ax47mhnakqpa">
            <w:r>
              <w:rPr>
                <w:rFonts w:ascii="Arial" w:eastAsia="Arial" w:hAnsi="Arial" w:cs="Arial"/>
                <w:color w:val="000000"/>
                <w:sz w:val="22"/>
                <w:szCs w:val="22"/>
              </w:rPr>
              <w:t>7.2.</w:t>
            </w:r>
            <w:r>
              <w:rPr>
                <w:rFonts w:ascii="Arial" w:eastAsia="Arial" w:hAnsi="Arial" w:cs="Arial"/>
                <w:color w:val="000000"/>
                <w:sz w:val="22"/>
                <w:szCs w:val="22"/>
              </w:rPr>
              <w:tab/>
              <w:t>Implications of Findings</w:t>
            </w:r>
            <w:r>
              <w:rPr>
                <w:rFonts w:ascii="Arial" w:eastAsia="Arial" w:hAnsi="Arial" w:cs="Arial"/>
                <w:color w:val="000000"/>
                <w:sz w:val="22"/>
                <w:szCs w:val="22"/>
              </w:rPr>
              <w:tab/>
              <w:t>54</w:t>
            </w:r>
          </w:hyperlink>
        </w:p>
        <w:p w14:paraId="51C39E34"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xr72qxfgeah">
            <w:r>
              <w:rPr>
                <w:rFonts w:ascii="Arial" w:eastAsia="Arial" w:hAnsi="Arial" w:cs="Arial"/>
                <w:color w:val="000000"/>
                <w:sz w:val="22"/>
                <w:szCs w:val="22"/>
              </w:rPr>
              <w:t>7.3.</w:t>
            </w:r>
            <w:r>
              <w:rPr>
                <w:rFonts w:ascii="Arial" w:eastAsia="Arial" w:hAnsi="Arial" w:cs="Arial"/>
                <w:color w:val="000000"/>
                <w:sz w:val="22"/>
                <w:szCs w:val="22"/>
              </w:rPr>
              <w:tab/>
              <w:t>Recommendations for Practice</w:t>
            </w:r>
            <w:r>
              <w:rPr>
                <w:rFonts w:ascii="Arial" w:eastAsia="Arial" w:hAnsi="Arial" w:cs="Arial"/>
                <w:color w:val="000000"/>
                <w:sz w:val="22"/>
                <w:szCs w:val="22"/>
              </w:rPr>
              <w:tab/>
              <w:t>54</w:t>
            </w:r>
          </w:hyperlink>
        </w:p>
        <w:p w14:paraId="51C39E35" w14:textId="77777777" w:rsidR="006921ED" w:rsidRDefault="006921ED">
          <w:pPr>
            <w:pBdr>
              <w:top w:val="nil"/>
              <w:left w:val="nil"/>
              <w:bottom w:val="nil"/>
              <w:right w:val="nil"/>
              <w:between w:val="nil"/>
            </w:pBdr>
            <w:tabs>
              <w:tab w:val="left" w:pos="960"/>
              <w:tab w:val="right" w:leader="dot" w:pos="9016"/>
            </w:tabs>
            <w:spacing w:before="240" w:after="100" w:line="360" w:lineRule="auto"/>
            <w:ind w:left="220"/>
            <w:jc w:val="both"/>
            <w:rPr>
              <w:rFonts w:ascii="Arial" w:eastAsia="Arial" w:hAnsi="Arial" w:cs="Arial"/>
              <w:color w:val="000000"/>
              <w:sz w:val="22"/>
              <w:szCs w:val="22"/>
            </w:rPr>
          </w:pPr>
          <w:hyperlink w:anchor="_heading=h.85eiszim5ay0">
            <w:r>
              <w:rPr>
                <w:rFonts w:ascii="Arial" w:eastAsia="Arial" w:hAnsi="Arial" w:cs="Arial"/>
                <w:color w:val="000000"/>
                <w:sz w:val="22"/>
                <w:szCs w:val="22"/>
              </w:rPr>
              <w:t>7.4.</w:t>
            </w:r>
            <w:r>
              <w:rPr>
                <w:rFonts w:ascii="Arial" w:eastAsia="Arial" w:hAnsi="Arial" w:cs="Arial"/>
                <w:color w:val="000000"/>
                <w:sz w:val="22"/>
                <w:szCs w:val="22"/>
              </w:rPr>
              <w:tab/>
              <w:t>Recommendations for Future Research</w:t>
            </w:r>
            <w:r>
              <w:rPr>
                <w:rFonts w:ascii="Arial" w:eastAsia="Arial" w:hAnsi="Arial" w:cs="Arial"/>
                <w:color w:val="000000"/>
                <w:sz w:val="22"/>
                <w:szCs w:val="22"/>
              </w:rPr>
              <w:tab/>
              <w:t>55</w:t>
            </w:r>
          </w:hyperlink>
        </w:p>
        <w:p w14:paraId="51C39E36" w14:textId="77777777" w:rsidR="006921ED" w:rsidRDefault="00D73B41">
          <w:pPr>
            <w:pBdr>
              <w:top w:val="nil"/>
              <w:left w:val="nil"/>
              <w:bottom w:val="nil"/>
              <w:right w:val="nil"/>
              <w:between w:val="nil"/>
            </w:pBdr>
            <w:tabs>
              <w:tab w:val="right" w:leader="dot" w:pos="9016"/>
            </w:tabs>
            <w:spacing w:before="240" w:after="100" w:line="360" w:lineRule="auto"/>
            <w:ind w:left="220"/>
            <w:jc w:val="both"/>
            <w:rPr>
              <w:rFonts w:ascii="Arial" w:eastAsia="Arial" w:hAnsi="Arial" w:cs="Arial"/>
              <w:color w:val="000000"/>
              <w:sz w:val="22"/>
              <w:szCs w:val="22"/>
            </w:rPr>
          </w:pPr>
          <w:r>
            <w:rPr>
              <w:rFonts w:ascii="Arial" w:eastAsia="Arial" w:hAnsi="Arial" w:cs="Arial"/>
              <w:color w:val="000000"/>
              <w:sz w:val="22"/>
              <w:szCs w:val="22"/>
            </w:rPr>
            <w:t xml:space="preserve">7.5.       </w:t>
          </w:r>
          <w:hyperlink w:anchor="_heading=h.dlf1ofghxztr">
            <w:r w:rsidR="006921ED">
              <w:rPr>
                <w:rFonts w:ascii="Arial" w:eastAsia="Arial" w:hAnsi="Arial" w:cs="Arial"/>
                <w:color w:val="000000"/>
                <w:sz w:val="22"/>
                <w:szCs w:val="22"/>
              </w:rPr>
              <w:t>Conclusion</w:t>
            </w:r>
            <w:r w:rsidR="006921ED">
              <w:rPr>
                <w:rFonts w:ascii="Arial" w:eastAsia="Arial" w:hAnsi="Arial" w:cs="Arial"/>
                <w:color w:val="000000"/>
                <w:sz w:val="22"/>
                <w:szCs w:val="22"/>
              </w:rPr>
              <w:tab/>
              <w:t>55</w:t>
            </w:r>
          </w:hyperlink>
        </w:p>
        <w:p w14:paraId="51C39E37"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qnlhhjc2zxj6">
            <w:r>
              <w:rPr>
                <w:rFonts w:ascii="Arial" w:eastAsia="Arial" w:hAnsi="Arial" w:cs="Arial"/>
                <w:b/>
                <w:bCs/>
                <w:color w:val="000000"/>
                <w:sz w:val="22"/>
                <w:szCs w:val="22"/>
              </w:rPr>
              <w:t>8.</w:t>
            </w:r>
            <w:r>
              <w:rPr>
                <w:rFonts w:ascii="Arial" w:eastAsia="Arial" w:hAnsi="Arial" w:cs="Arial"/>
                <w:b/>
                <w:bCs/>
                <w:color w:val="000000"/>
                <w:sz w:val="22"/>
                <w:szCs w:val="22"/>
              </w:rPr>
              <w:tab/>
              <w:t>Reference List</w:t>
            </w:r>
            <w:r>
              <w:rPr>
                <w:rFonts w:ascii="Arial" w:eastAsia="Arial" w:hAnsi="Arial" w:cs="Arial"/>
                <w:b/>
                <w:bCs/>
                <w:color w:val="000000"/>
                <w:sz w:val="22"/>
                <w:szCs w:val="22"/>
              </w:rPr>
              <w:tab/>
              <w:t>56</w:t>
            </w:r>
          </w:hyperlink>
        </w:p>
        <w:p w14:paraId="51C39E38" w14:textId="77777777" w:rsidR="006921ED" w:rsidRDefault="006921ED">
          <w:pPr>
            <w:pBdr>
              <w:top w:val="nil"/>
              <w:left w:val="nil"/>
              <w:bottom w:val="nil"/>
              <w:right w:val="nil"/>
              <w:between w:val="nil"/>
            </w:pBdr>
            <w:tabs>
              <w:tab w:val="left" w:pos="440"/>
              <w:tab w:val="right" w:leader="dot" w:pos="9016"/>
            </w:tabs>
            <w:spacing w:before="240" w:after="100" w:line="360" w:lineRule="auto"/>
            <w:jc w:val="both"/>
            <w:rPr>
              <w:rFonts w:ascii="Arial" w:eastAsia="Arial" w:hAnsi="Arial" w:cs="Arial"/>
              <w:b/>
              <w:bCs/>
              <w:color w:val="000000"/>
              <w:sz w:val="22"/>
              <w:szCs w:val="22"/>
            </w:rPr>
          </w:pPr>
          <w:hyperlink w:anchor="_heading=h.5w8x38dt5enf">
            <w:r>
              <w:rPr>
                <w:rFonts w:ascii="Arial" w:eastAsia="Arial" w:hAnsi="Arial" w:cs="Arial"/>
                <w:b/>
                <w:bCs/>
                <w:color w:val="000000"/>
                <w:sz w:val="22"/>
                <w:szCs w:val="22"/>
              </w:rPr>
              <w:t>9.</w:t>
            </w:r>
            <w:r>
              <w:rPr>
                <w:rFonts w:ascii="Arial" w:eastAsia="Arial" w:hAnsi="Arial" w:cs="Arial"/>
                <w:b/>
                <w:bCs/>
                <w:color w:val="000000"/>
                <w:sz w:val="22"/>
                <w:szCs w:val="22"/>
              </w:rPr>
              <w:tab/>
              <w:t>Appendix</w:t>
            </w:r>
            <w:r>
              <w:rPr>
                <w:rFonts w:ascii="Arial" w:eastAsia="Arial" w:hAnsi="Arial" w:cs="Arial"/>
                <w:b/>
                <w:bCs/>
                <w:color w:val="000000"/>
                <w:sz w:val="22"/>
                <w:szCs w:val="22"/>
              </w:rPr>
              <w:tab/>
              <w:t>70</w:t>
            </w:r>
          </w:hyperlink>
        </w:p>
        <w:p w14:paraId="51C39E39" w14:textId="77777777" w:rsidR="006921ED" w:rsidRDefault="00D73B41">
          <w:pPr>
            <w:spacing w:before="240" w:after="100" w:line="360" w:lineRule="auto"/>
            <w:jc w:val="center"/>
            <w:rPr>
              <w:rFonts w:ascii="Arial" w:eastAsia="Arial" w:hAnsi="Arial" w:cs="Arial"/>
              <w:b/>
              <w:bCs/>
              <w:sz w:val="22"/>
              <w:szCs w:val="22"/>
            </w:rPr>
          </w:pPr>
          <w:r>
            <w:fldChar w:fldCharType="end"/>
          </w:r>
        </w:p>
      </w:sdtContent>
    </w:sdt>
    <w:p w14:paraId="51C39E3A" w14:textId="77777777" w:rsidR="006921ED" w:rsidRDefault="006921ED">
      <w:pPr>
        <w:spacing w:before="240" w:after="100" w:line="360" w:lineRule="auto"/>
        <w:jc w:val="center"/>
        <w:rPr>
          <w:rFonts w:ascii="Arial" w:eastAsia="Arial" w:hAnsi="Arial" w:cs="Arial"/>
          <w:b/>
          <w:bCs/>
          <w:sz w:val="22"/>
          <w:szCs w:val="22"/>
        </w:rPr>
      </w:pPr>
    </w:p>
    <w:p w14:paraId="51C39E3B" w14:textId="77777777" w:rsidR="006921ED" w:rsidRDefault="006921ED">
      <w:pPr>
        <w:spacing w:before="240" w:after="100" w:line="360" w:lineRule="auto"/>
        <w:jc w:val="center"/>
        <w:rPr>
          <w:rFonts w:ascii="Arial" w:eastAsia="Arial" w:hAnsi="Arial" w:cs="Arial"/>
          <w:b/>
          <w:bCs/>
          <w:sz w:val="22"/>
          <w:szCs w:val="22"/>
        </w:rPr>
      </w:pPr>
    </w:p>
    <w:p w14:paraId="51C39E3C" w14:textId="77777777" w:rsidR="006921ED" w:rsidRDefault="006921ED">
      <w:pPr>
        <w:spacing w:before="240" w:after="100" w:line="360" w:lineRule="auto"/>
        <w:jc w:val="center"/>
        <w:rPr>
          <w:rFonts w:ascii="Arial" w:eastAsia="Arial" w:hAnsi="Arial" w:cs="Arial"/>
          <w:b/>
          <w:bCs/>
          <w:sz w:val="22"/>
          <w:szCs w:val="22"/>
        </w:rPr>
      </w:pPr>
    </w:p>
    <w:p w14:paraId="51C39E3D" w14:textId="77777777" w:rsidR="006921ED" w:rsidRDefault="006921ED">
      <w:pPr>
        <w:spacing w:before="240" w:after="100" w:line="360" w:lineRule="auto"/>
        <w:jc w:val="center"/>
        <w:rPr>
          <w:rFonts w:ascii="Arial" w:eastAsia="Arial" w:hAnsi="Arial" w:cs="Arial"/>
          <w:b/>
          <w:bCs/>
          <w:sz w:val="22"/>
          <w:szCs w:val="22"/>
        </w:rPr>
      </w:pPr>
    </w:p>
    <w:p w14:paraId="51C39E3E" w14:textId="77777777" w:rsidR="006921ED" w:rsidRDefault="006921ED">
      <w:pPr>
        <w:spacing w:before="240" w:after="100" w:line="360" w:lineRule="auto"/>
        <w:jc w:val="center"/>
        <w:rPr>
          <w:rFonts w:ascii="Arial" w:eastAsia="Arial" w:hAnsi="Arial" w:cs="Arial"/>
          <w:b/>
          <w:bCs/>
          <w:sz w:val="22"/>
          <w:szCs w:val="22"/>
        </w:rPr>
      </w:pPr>
    </w:p>
    <w:p w14:paraId="51C39E3F" w14:textId="41C555A7" w:rsidR="00535528" w:rsidRDefault="00535528">
      <w:pPr>
        <w:rPr>
          <w:rFonts w:ascii="Arial" w:eastAsia="Arial" w:hAnsi="Arial" w:cs="Arial"/>
          <w:b/>
          <w:bCs/>
          <w:sz w:val="22"/>
          <w:szCs w:val="22"/>
        </w:rPr>
      </w:pPr>
      <w:r>
        <w:rPr>
          <w:rFonts w:ascii="Arial" w:eastAsia="Arial" w:hAnsi="Arial" w:cs="Arial"/>
          <w:b/>
          <w:bCs/>
          <w:sz w:val="22"/>
          <w:szCs w:val="22"/>
        </w:rPr>
        <w:br w:type="page"/>
      </w:r>
    </w:p>
    <w:p w14:paraId="51C39E41" w14:textId="77777777" w:rsidR="006921ED" w:rsidRDefault="00D73B41">
      <w:pPr>
        <w:spacing w:before="240" w:after="100" w:line="360" w:lineRule="auto"/>
        <w:jc w:val="center"/>
        <w:rPr>
          <w:rFonts w:ascii="Arial" w:eastAsia="Arial" w:hAnsi="Arial" w:cs="Arial"/>
          <w:b/>
          <w:bCs/>
          <w:sz w:val="22"/>
          <w:szCs w:val="22"/>
        </w:rPr>
      </w:pPr>
      <w:r>
        <w:rPr>
          <w:rFonts w:ascii="Arial" w:eastAsia="Arial" w:hAnsi="Arial" w:cs="Arial"/>
          <w:b/>
          <w:bCs/>
          <w:sz w:val="22"/>
          <w:szCs w:val="22"/>
        </w:rPr>
        <w:lastRenderedPageBreak/>
        <w:t>Table of Figures</w:t>
      </w:r>
    </w:p>
    <w:sdt>
      <w:sdtPr>
        <w:id w:val="795552415"/>
        <w:docPartObj>
          <w:docPartGallery w:val="Table of Contents"/>
          <w:docPartUnique/>
        </w:docPartObj>
      </w:sdtPr>
      <w:sdtEndPr/>
      <w:sdtContent>
        <w:p w14:paraId="51C39E42" w14:textId="77777777" w:rsidR="006921ED" w:rsidRDefault="00D73B41">
          <w:pPr>
            <w:pBdr>
              <w:top w:val="nil"/>
              <w:left w:val="nil"/>
              <w:bottom w:val="nil"/>
              <w:right w:val="nil"/>
              <w:between w:val="nil"/>
            </w:pBdr>
            <w:tabs>
              <w:tab w:val="right" w:pos="9016"/>
            </w:tabs>
            <w:spacing w:before="240" w:after="240" w:line="360" w:lineRule="auto"/>
            <w:jc w:val="both"/>
            <w:rPr>
              <w:rFonts w:ascii="Arial" w:eastAsia="Arial" w:hAnsi="Arial" w:cs="Arial"/>
              <w:color w:val="000000"/>
              <w:sz w:val="22"/>
              <w:szCs w:val="22"/>
            </w:rPr>
          </w:pPr>
          <w:r>
            <w:fldChar w:fldCharType="begin"/>
          </w:r>
          <w:r>
            <w:instrText xml:space="preserve"> TOC \h \u \z \t "Heading 1,1,Heading 2,2,Heading 3,3,Heading 4,4,Heading 5,5,Heading 6,6,"</w:instrText>
          </w:r>
          <w:r>
            <w:fldChar w:fldCharType="separate"/>
          </w:r>
          <w:hyperlink w:anchor="_heading=h.gaqr7ndxqz77">
            <w:r w:rsidR="006921ED">
              <w:rPr>
                <w:rFonts w:ascii="Arial" w:eastAsia="Arial" w:hAnsi="Arial" w:cs="Arial"/>
                <w:color w:val="000000"/>
                <w:sz w:val="22"/>
                <w:szCs w:val="22"/>
              </w:rPr>
              <w:t>Figure 1 PRISMA Framework</w:t>
            </w:r>
            <w:r w:rsidR="006921ED">
              <w:rPr>
                <w:rFonts w:ascii="Arial" w:eastAsia="Arial" w:hAnsi="Arial" w:cs="Arial"/>
                <w:color w:val="000000"/>
                <w:sz w:val="22"/>
                <w:szCs w:val="22"/>
              </w:rPr>
              <w:tab/>
              <w:t>26</w:t>
            </w:r>
          </w:hyperlink>
        </w:p>
        <w:p w14:paraId="51C39E43" w14:textId="77777777" w:rsidR="006921ED" w:rsidRDefault="00D73B41">
          <w:pPr>
            <w:spacing w:before="240" w:after="100" w:line="360" w:lineRule="auto"/>
            <w:jc w:val="center"/>
            <w:rPr>
              <w:rFonts w:ascii="Arial" w:eastAsia="Arial" w:hAnsi="Arial" w:cs="Arial"/>
              <w:b/>
              <w:bCs/>
              <w:sz w:val="22"/>
              <w:szCs w:val="22"/>
            </w:rPr>
          </w:pPr>
          <w:r>
            <w:fldChar w:fldCharType="end"/>
          </w:r>
        </w:p>
      </w:sdtContent>
    </w:sdt>
    <w:p w14:paraId="51C39E44" w14:textId="77777777" w:rsidR="006921ED" w:rsidRDefault="006921ED">
      <w:pPr>
        <w:spacing w:before="240" w:after="100" w:line="360" w:lineRule="auto"/>
        <w:jc w:val="center"/>
        <w:rPr>
          <w:rFonts w:ascii="Arial" w:eastAsia="Arial" w:hAnsi="Arial" w:cs="Arial"/>
          <w:b/>
          <w:bCs/>
          <w:sz w:val="22"/>
          <w:szCs w:val="22"/>
        </w:rPr>
      </w:pPr>
    </w:p>
    <w:p w14:paraId="51C39E45" w14:textId="77777777" w:rsidR="006921ED" w:rsidRDefault="006921ED">
      <w:pPr>
        <w:spacing w:before="240" w:after="100" w:line="360" w:lineRule="auto"/>
        <w:jc w:val="center"/>
        <w:rPr>
          <w:rFonts w:ascii="Arial" w:eastAsia="Arial" w:hAnsi="Arial" w:cs="Arial"/>
          <w:b/>
          <w:bCs/>
          <w:sz w:val="22"/>
          <w:szCs w:val="22"/>
        </w:rPr>
      </w:pPr>
    </w:p>
    <w:p w14:paraId="51C39E46" w14:textId="77777777" w:rsidR="006921ED" w:rsidRDefault="006921ED">
      <w:pPr>
        <w:spacing w:before="240" w:after="100" w:line="360" w:lineRule="auto"/>
        <w:jc w:val="center"/>
        <w:rPr>
          <w:rFonts w:ascii="Arial" w:eastAsia="Arial" w:hAnsi="Arial" w:cs="Arial"/>
          <w:b/>
          <w:bCs/>
          <w:sz w:val="22"/>
          <w:szCs w:val="22"/>
        </w:rPr>
      </w:pPr>
    </w:p>
    <w:p w14:paraId="51C39E47" w14:textId="77777777" w:rsidR="006921ED" w:rsidRDefault="006921ED">
      <w:pPr>
        <w:spacing w:before="240" w:after="100" w:line="360" w:lineRule="auto"/>
        <w:jc w:val="center"/>
        <w:rPr>
          <w:rFonts w:ascii="Arial" w:eastAsia="Arial" w:hAnsi="Arial" w:cs="Arial"/>
          <w:b/>
          <w:bCs/>
          <w:sz w:val="22"/>
          <w:szCs w:val="22"/>
        </w:rPr>
      </w:pPr>
    </w:p>
    <w:p w14:paraId="51C39E48" w14:textId="77777777" w:rsidR="006921ED" w:rsidRDefault="006921ED">
      <w:pPr>
        <w:spacing w:before="240" w:after="100" w:line="360" w:lineRule="auto"/>
        <w:jc w:val="center"/>
        <w:rPr>
          <w:rFonts w:ascii="Arial" w:eastAsia="Arial" w:hAnsi="Arial" w:cs="Arial"/>
          <w:b/>
          <w:bCs/>
          <w:sz w:val="22"/>
          <w:szCs w:val="22"/>
        </w:rPr>
      </w:pPr>
    </w:p>
    <w:p w14:paraId="51C39E49" w14:textId="77777777" w:rsidR="006921ED" w:rsidRDefault="006921ED">
      <w:pPr>
        <w:spacing w:before="240" w:after="100" w:line="360" w:lineRule="auto"/>
        <w:jc w:val="center"/>
        <w:rPr>
          <w:rFonts w:ascii="Arial" w:eastAsia="Arial" w:hAnsi="Arial" w:cs="Arial"/>
          <w:b/>
          <w:bCs/>
          <w:sz w:val="22"/>
          <w:szCs w:val="22"/>
        </w:rPr>
      </w:pPr>
    </w:p>
    <w:p w14:paraId="51C39E4A" w14:textId="77777777" w:rsidR="006921ED" w:rsidRDefault="006921ED">
      <w:pPr>
        <w:spacing w:before="240" w:after="100" w:line="360" w:lineRule="auto"/>
        <w:jc w:val="center"/>
        <w:rPr>
          <w:rFonts w:ascii="Arial" w:eastAsia="Arial" w:hAnsi="Arial" w:cs="Arial"/>
          <w:b/>
          <w:bCs/>
          <w:sz w:val="22"/>
          <w:szCs w:val="22"/>
        </w:rPr>
      </w:pPr>
    </w:p>
    <w:p w14:paraId="51C39E4B" w14:textId="77777777" w:rsidR="006921ED" w:rsidRDefault="006921ED">
      <w:pPr>
        <w:spacing w:before="240" w:after="100" w:line="360" w:lineRule="auto"/>
        <w:jc w:val="center"/>
        <w:rPr>
          <w:rFonts w:ascii="Arial" w:eastAsia="Arial" w:hAnsi="Arial" w:cs="Arial"/>
          <w:b/>
          <w:bCs/>
          <w:sz w:val="22"/>
          <w:szCs w:val="22"/>
        </w:rPr>
      </w:pPr>
    </w:p>
    <w:p w14:paraId="51C39E4C" w14:textId="77777777" w:rsidR="006921ED" w:rsidRDefault="006921ED">
      <w:pPr>
        <w:spacing w:before="240" w:after="100" w:line="360" w:lineRule="auto"/>
        <w:jc w:val="center"/>
        <w:rPr>
          <w:rFonts w:ascii="Arial" w:eastAsia="Arial" w:hAnsi="Arial" w:cs="Arial"/>
          <w:b/>
          <w:bCs/>
          <w:sz w:val="22"/>
          <w:szCs w:val="22"/>
        </w:rPr>
      </w:pPr>
    </w:p>
    <w:p w14:paraId="51C39E4D" w14:textId="77777777" w:rsidR="006921ED" w:rsidRDefault="006921ED">
      <w:pPr>
        <w:spacing w:before="240" w:after="100" w:line="360" w:lineRule="auto"/>
        <w:jc w:val="center"/>
        <w:rPr>
          <w:rFonts w:ascii="Arial" w:eastAsia="Arial" w:hAnsi="Arial" w:cs="Arial"/>
          <w:b/>
          <w:bCs/>
          <w:sz w:val="22"/>
          <w:szCs w:val="22"/>
        </w:rPr>
      </w:pPr>
    </w:p>
    <w:p w14:paraId="51C39E4E" w14:textId="77777777" w:rsidR="006921ED" w:rsidRDefault="006921ED">
      <w:pPr>
        <w:spacing w:before="240" w:after="100" w:line="360" w:lineRule="auto"/>
        <w:jc w:val="center"/>
        <w:rPr>
          <w:rFonts w:ascii="Arial" w:eastAsia="Arial" w:hAnsi="Arial" w:cs="Arial"/>
          <w:b/>
          <w:bCs/>
          <w:sz w:val="22"/>
          <w:szCs w:val="22"/>
        </w:rPr>
      </w:pPr>
    </w:p>
    <w:p w14:paraId="51C39E4F" w14:textId="77777777" w:rsidR="006921ED" w:rsidRDefault="006921ED">
      <w:pPr>
        <w:spacing w:before="240" w:after="100" w:line="360" w:lineRule="auto"/>
        <w:jc w:val="center"/>
        <w:rPr>
          <w:rFonts w:ascii="Arial" w:eastAsia="Arial" w:hAnsi="Arial" w:cs="Arial"/>
          <w:b/>
          <w:bCs/>
          <w:sz w:val="22"/>
          <w:szCs w:val="22"/>
        </w:rPr>
      </w:pPr>
    </w:p>
    <w:p w14:paraId="51C39E50" w14:textId="77777777" w:rsidR="006921ED" w:rsidRDefault="006921ED">
      <w:pPr>
        <w:spacing w:before="240" w:after="100" w:line="360" w:lineRule="auto"/>
        <w:jc w:val="center"/>
        <w:rPr>
          <w:rFonts w:ascii="Arial" w:eastAsia="Arial" w:hAnsi="Arial" w:cs="Arial"/>
          <w:b/>
          <w:bCs/>
          <w:sz w:val="22"/>
          <w:szCs w:val="22"/>
        </w:rPr>
      </w:pPr>
    </w:p>
    <w:p w14:paraId="51C39E51" w14:textId="77777777" w:rsidR="006921ED" w:rsidRDefault="006921ED">
      <w:pPr>
        <w:spacing w:before="240" w:after="100" w:line="360" w:lineRule="auto"/>
        <w:jc w:val="center"/>
        <w:rPr>
          <w:rFonts w:ascii="Arial" w:eastAsia="Arial" w:hAnsi="Arial" w:cs="Arial"/>
          <w:b/>
          <w:bCs/>
          <w:sz w:val="22"/>
          <w:szCs w:val="22"/>
        </w:rPr>
      </w:pPr>
    </w:p>
    <w:p w14:paraId="51C39E52" w14:textId="77777777" w:rsidR="006921ED" w:rsidRDefault="006921ED">
      <w:pPr>
        <w:spacing w:before="240" w:after="100" w:line="360" w:lineRule="auto"/>
        <w:jc w:val="center"/>
        <w:rPr>
          <w:rFonts w:ascii="Arial" w:eastAsia="Arial" w:hAnsi="Arial" w:cs="Arial"/>
          <w:b/>
          <w:bCs/>
          <w:sz w:val="22"/>
          <w:szCs w:val="22"/>
        </w:rPr>
      </w:pPr>
    </w:p>
    <w:p w14:paraId="51C39E53" w14:textId="77777777" w:rsidR="006921ED" w:rsidRDefault="006921ED">
      <w:pPr>
        <w:spacing w:before="240" w:after="100" w:line="360" w:lineRule="auto"/>
        <w:jc w:val="center"/>
        <w:rPr>
          <w:rFonts w:ascii="Arial" w:eastAsia="Arial" w:hAnsi="Arial" w:cs="Arial"/>
          <w:b/>
          <w:bCs/>
          <w:sz w:val="22"/>
          <w:szCs w:val="22"/>
        </w:rPr>
      </w:pPr>
    </w:p>
    <w:p w14:paraId="51C39E54" w14:textId="77777777" w:rsidR="006921ED" w:rsidRDefault="006921ED">
      <w:pPr>
        <w:spacing w:before="240" w:after="100" w:line="360" w:lineRule="auto"/>
        <w:jc w:val="center"/>
        <w:rPr>
          <w:rFonts w:ascii="Arial" w:eastAsia="Arial" w:hAnsi="Arial" w:cs="Arial"/>
          <w:b/>
          <w:bCs/>
          <w:sz w:val="22"/>
          <w:szCs w:val="22"/>
        </w:rPr>
      </w:pPr>
    </w:p>
    <w:p w14:paraId="51C39E55" w14:textId="77777777" w:rsidR="006921ED" w:rsidRDefault="006921ED">
      <w:pPr>
        <w:spacing w:before="240" w:after="100" w:line="360" w:lineRule="auto"/>
        <w:jc w:val="center"/>
        <w:rPr>
          <w:rFonts w:ascii="Arial" w:eastAsia="Arial" w:hAnsi="Arial" w:cs="Arial"/>
          <w:b/>
          <w:bCs/>
          <w:sz w:val="22"/>
          <w:szCs w:val="22"/>
        </w:rPr>
      </w:pPr>
    </w:p>
    <w:p w14:paraId="51C39E56" w14:textId="77777777" w:rsidR="006921ED" w:rsidRDefault="006921ED">
      <w:pPr>
        <w:spacing w:before="240" w:after="100" w:line="360" w:lineRule="auto"/>
        <w:jc w:val="center"/>
        <w:rPr>
          <w:rFonts w:ascii="Arial" w:eastAsia="Arial" w:hAnsi="Arial" w:cs="Arial"/>
          <w:b/>
          <w:bCs/>
          <w:sz w:val="22"/>
          <w:szCs w:val="22"/>
        </w:rPr>
      </w:pPr>
    </w:p>
    <w:p w14:paraId="51C39E57" w14:textId="75DABB65" w:rsidR="00535528" w:rsidRDefault="00535528">
      <w:pPr>
        <w:rPr>
          <w:rFonts w:ascii="Arial" w:eastAsia="Arial" w:hAnsi="Arial" w:cs="Arial"/>
          <w:b/>
          <w:bCs/>
          <w:sz w:val="22"/>
          <w:szCs w:val="22"/>
        </w:rPr>
      </w:pPr>
      <w:r>
        <w:rPr>
          <w:rFonts w:ascii="Arial" w:eastAsia="Arial" w:hAnsi="Arial" w:cs="Arial"/>
          <w:b/>
          <w:bCs/>
          <w:sz w:val="22"/>
          <w:szCs w:val="22"/>
        </w:rPr>
        <w:br w:type="page"/>
      </w:r>
    </w:p>
    <w:p w14:paraId="51C39E58" w14:textId="613641DB" w:rsidR="006921ED" w:rsidRDefault="00D73B41">
      <w:pPr>
        <w:spacing w:before="240" w:after="100" w:line="360" w:lineRule="auto"/>
        <w:jc w:val="center"/>
        <w:rPr>
          <w:rFonts w:ascii="Arial" w:eastAsia="Arial" w:hAnsi="Arial" w:cs="Arial"/>
          <w:b/>
          <w:bCs/>
          <w:sz w:val="22"/>
          <w:szCs w:val="22"/>
        </w:rPr>
      </w:pPr>
      <w:r>
        <w:rPr>
          <w:rFonts w:ascii="Arial" w:eastAsia="Arial" w:hAnsi="Arial" w:cs="Arial"/>
          <w:b/>
          <w:bCs/>
          <w:sz w:val="22"/>
          <w:szCs w:val="22"/>
        </w:rPr>
        <w:lastRenderedPageBreak/>
        <w:t>List of Table</w:t>
      </w:r>
      <w:r w:rsidR="00EA036F">
        <w:rPr>
          <w:rFonts w:ascii="Arial" w:eastAsia="Arial" w:hAnsi="Arial" w:cs="Arial"/>
          <w:b/>
          <w:bCs/>
          <w:sz w:val="22"/>
          <w:szCs w:val="22"/>
        </w:rPr>
        <w:t>s</w:t>
      </w:r>
      <w:r>
        <w:rPr>
          <w:rFonts w:ascii="Arial" w:eastAsia="Arial" w:hAnsi="Arial" w:cs="Arial"/>
          <w:b/>
          <w:bCs/>
          <w:sz w:val="22"/>
          <w:szCs w:val="22"/>
        </w:rPr>
        <w:t xml:space="preserve"> </w:t>
      </w:r>
    </w:p>
    <w:p w14:paraId="51C39E62" w14:textId="77777777" w:rsidR="006921ED" w:rsidRDefault="006921ED">
      <w:pPr>
        <w:spacing w:line="360" w:lineRule="auto"/>
        <w:rPr>
          <w:rFonts w:ascii="Arial" w:eastAsia="Arial" w:hAnsi="Arial" w:cs="Arial"/>
          <w:b/>
          <w:bCs/>
          <w:sz w:val="22"/>
          <w:szCs w:val="22"/>
        </w:rPr>
      </w:pPr>
    </w:p>
    <w:p w14:paraId="16AA797A" w14:textId="6DC88EDD" w:rsidR="00456819" w:rsidRPr="00456819" w:rsidRDefault="00456819" w:rsidP="00456819">
      <w:pPr>
        <w:spacing w:line="360" w:lineRule="auto"/>
        <w:rPr>
          <w:rFonts w:ascii="Arial" w:eastAsia="Arial" w:hAnsi="Arial" w:cs="Arial"/>
          <w:sz w:val="22"/>
          <w:szCs w:val="22"/>
        </w:rPr>
      </w:pPr>
      <w:r w:rsidRPr="00456819">
        <w:rPr>
          <w:rFonts w:ascii="Arial" w:eastAsia="Arial" w:hAnsi="Arial" w:cs="Arial"/>
          <w:sz w:val="22"/>
          <w:szCs w:val="22"/>
        </w:rPr>
        <w:t>Table 1 PEO Framework</w:t>
      </w:r>
      <w:r w:rsidRPr="00456819">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Pr="00456819">
        <w:rPr>
          <w:rFonts w:ascii="Arial" w:eastAsia="Arial" w:hAnsi="Arial" w:cs="Arial"/>
          <w:sz w:val="22"/>
          <w:szCs w:val="22"/>
        </w:rPr>
        <w:t>21</w:t>
      </w:r>
    </w:p>
    <w:p w14:paraId="2502FB23" w14:textId="421DB816" w:rsidR="00456819" w:rsidRPr="00456819" w:rsidRDefault="00456819" w:rsidP="00456819">
      <w:pPr>
        <w:spacing w:line="360" w:lineRule="auto"/>
        <w:rPr>
          <w:rFonts w:ascii="Arial" w:eastAsia="Arial" w:hAnsi="Arial" w:cs="Arial"/>
          <w:sz w:val="22"/>
          <w:szCs w:val="22"/>
        </w:rPr>
      </w:pPr>
      <w:r w:rsidRPr="00456819">
        <w:rPr>
          <w:rFonts w:ascii="Arial" w:eastAsia="Arial" w:hAnsi="Arial" w:cs="Arial"/>
          <w:sz w:val="22"/>
          <w:szCs w:val="22"/>
        </w:rPr>
        <w:t>Table 2 Inclusion and Exclusion Criteria for the Systematic Literature Review</w:t>
      </w:r>
      <w:r w:rsidRPr="00456819">
        <w:rPr>
          <w:rFonts w:ascii="Arial" w:eastAsia="Arial" w:hAnsi="Arial" w:cs="Arial"/>
          <w:sz w:val="22"/>
          <w:szCs w:val="22"/>
        </w:rPr>
        <w:tab/>
      </w:r>
      <w:r w:rsidR="00EA036F">
        <w:rPr>
          <w:rFonts w:ascii="Arial" w:eastAsia="Arial" w:hAnsi="Arial" w:cs="Arial"/>
          <w:sz w:val="22"/>
          <w:szCs w:val="22"/>
        </w:rPr>
        <w:tab/>
      </w:r>
      <w:r w:rsidRPr="00456819">
        <w:rPr>
          <w:rFonts w:ascii="Arial" w:eastAsia="Arial" w:hAnsi="Arial" w:cs="Arial"/>
          <w:sz w:val="22"/>
          <w:szCs w:val="22"/>
        </w:rPr>
        <w:t>25</w:t>
      </w:r>
    </w:p>
    <w:p w14:paraId="27134DF6" w14:textId="7834A6E5" w:rsidR="00456819" w:rsidRPr="00456819" w:rsidRDefault="00456819" w:rsidP="00456819">
      <w:pPr>
        <w:spacing w:line="360" w:lineRule="auto"/>
        <w:rPr>
          <w:rFonts w:ascii="Arial" w:eastAsia="Arial" w:hAnsi="Arial" w:cs="Arial"/>
          <w:sz w:val="22"/>
          <w:szCs w:val="22"/>
        </w:rPr>
      </w:pPr>
      <w:r w:rsidRPr="00456819">
        <w:rPr>
          <w:rFonts w:ascii="Arial" w:eastAsia="Arial" w:hAnsi="Arial" w:cs="Arial"/>
          <w:sz w:val="22"/>
          <w:szCs w:val="22"/>
        </w:rPr>
        <w:t>Table 3 Overview of Identified Themes</w:t>
      </w:r>
      <w:r w:rsidRPr="00456819">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Pr="00456819">
        <w:rPr>
          <w:rFonts w:ascii="Arial" w:eastAsia="Arial" w:hAnsi="Arial" w:cs="Arial"/>
          <w:sz w:val="22"/>
          <w:szCs w:val="22"/>
        </w:rPr>
        <w:t>6</w:t>
      </w:r>
      <w:r w:rsidR="009D3EE8">
        <w:rPr>
          <w:rFonts w:ascii="Arial" w:eastAsia="Arial" w:hAnsi="Arial" w:cs="Arial"/>
          <w:sz w:val="22"/>
          <w:szCs w:val="22"/>
        </w:rPr>
        <w:t>9</w:t>
      </w:r>
    </w:p>
    <w:p w14:paraId="2AA28BA5" w14:textId="1A312322" w:rsidR="00456819" w:rsidRDefault="00456819" w:rsidP="00456819">
      <w:pPr>
        <w:spacing w:line="360" w:lineRule="auto"/>
        <w:rPr>
          <w:rFonts w:ascii="Arial" w:eastAsia="Arial" w:hAnsi="Arial" w:cs="Arial"/>
          <w:sz w:val="22"/>
          <w:szCs w:val="22"/>
        </w:rPr>
      </w:pPr>
      <w:r w:rsidRPr="00456819">
        <w:rPr>
          <w:rFonts w:ascii="Arial" w:eastAsia="Arial" w:hAnsi="Arial" w:cs="Arial"/>
          <w:sz w:val="22"/>
          <w:szCs w:val="22"/>
        </w:rPr>
        <w:t>Table 4 Summary for Selected Studies</w:t>
      </w:r>
      <w:r w:rsidRPr="00456819">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00EA036F">
        <w:rPr>
          <w:rFonts w:ascii="Arial" w:eastAsia="Arial" w:hAnsi="Arial" w:cs="Arial"/>
          <w:sz w:val="22"/>
          <w:szCs w:val="22"/>
        </w:rPr>
        <w:tab/>
      </w:r>
      <w:r w:rsidRPr="00456819">
        <w:rPr>
          <w:rFonts w:ascii="Arial" w:eastAsia="Arial" w:hAnsi="Arial" w:cs="Arial"/>
          <w:sz w:val="22"/>
          <w:szCs w:val="22"/>
        </w:rPr>
        <w:t>6</w:t>
      </w:r>
      <w:r w:rsidR="009D3EE8">
        <w:rPr>
          <w:rFonts w:ascii="Arial" w:eastAsia="Arial" w:hAnsi="Arial" w:cs="Arial"/>
          <w:sz w:val="22"/>
          <w:szCs w:val="22"/>
        </w:rPr>
        <w:t>9</w:t>
      </w:r>
    </w:p>
    <w:p w14:paraId="5231C52D" w14:textId="6E93E6B3" w:rsidR="00EA036F" w:rsidRPr="00456819" w:rsidRDefault="00EA036F" w:rsidP="00456819">
      <w:pPr>
        <w:spacing w:line="360" w:lineRule="auto"/>
        <w:rPr>
          <w:rFonts w:ascii="Arial" w:eastAsia="Arial" w:hAnsi="Arial" w:cs="Arial"/>
          <w:sz w:val="22"/>
          <w:szCs w:val="22"/>
        </w:rPr>
      </w:pPr>
      <w:r w:rsidRPr="00EA036F">
        <w:rPr>
          <w:rFonts w:ascii="Arial" w:eastAsia="Arial" w:hAnsi="Arial" w:cs="Arial"/>
          <w:sz w:val="22"/>
          <w:szCs w:val="22"/>
        </w:rPr>
        <w:t>T</w:t>
      </w:r>
      <w:r>
        <w:rPr>
          <w:rFonts w:ascii="Arial" w:eastAsia="Arial" w:hAnsi="Arial" w:cs="Arial"/>
          <w:sz w:val="22"/>
          <w:szCs w:val="22"/>
        </w:rPr>
        <w:t>able</w:t>
      </w:r>
      <w:r w:rsidRPr="00EA036F">
        <w:rPr>
          <w:rFonts w:ascii="Arial" w:eastAsia="Arial" w:hAnsi="Arial" w:cs="Arial"/>
          <w:sz w:val="22"/>
          <w:szCs w:val="22"/>
        </w:rPr>
        <w:t xml:space="preserve"> 5 C</w:t>
      </w:r>
      <w:r>
        <w:rPr>
          <w:rFonts w:ascii="Arial" w:eastAsia="Arial" w:hAnsi="Arial" w:cs="Arial"/>
          <w:sz w:val="22"/>
          <w:szCs w:val="22"/>
        </w:rPr>
        <w:t>haracteristics of Included Studies</w:t>
      </w:r>
      <w:r w:rsidR="009D3EE8">
        <w:rPr>
          <w:rFonts w:ascii="Arial" w:eastAsia="Arial" w:hAnsi="Arial" w:cs="Arial"/>
          <w:sz w:val="22"/>
          <w:szCs w:val="22"/>
        </w:rPr>
        <w:tab/>
      </w:r>
      <w:r w:rsidR="009D3EE8">
        <w:rPr>
          <w:rFonts w:ascii="Arial" w:eastAsia="Arial" w:hAnsi="Arial" w:cs="Arial"/>
          <w:sz w:val="22"/>
          <w:szCs w:val="22"/>
        </w:rPr>
        <w:tab/>
      </w:r>
      <w:r w:rsidR="009D3EE8">
        <w:rPr>
          <w:rFonts w:ascii="Arial" w:eastAsia="Arial" w:hAnsi="Arial" w:cs="Arial"/>
          <w:sz w:val="22"/>
          <w:szCs w:val="22"/>
        </w:rPr>
        <w:tab/>
      </w:r>
      <w:r w:rsidR="009D3EE8">
        <w:rPr>
          <w:rFonts w:ascii="Arial" w:eastAsia="Arial" w:hAnsi="Arial" w:cs="Arial"/>
          <w:sz w:val="22"/>
          <w:szCs w:val="22"/>
        </w:rPr>
        <w:tab/>
      </w:r>
      <w:r w:rsidR="009D3EE8">
        <w:rPr>
          <w:rFonts w:ascii="Arial" w:eastAsia="Arial" w:hAnsi="Arial" w:cs="Arial"/>
          <w:sz w:val="22"/>
          <w:szCs w:val="22"/>
        </w:rPr>
        <w:tab/>
      </w:r>
      <w:r w:rsidR="009D3EE8">
        <w:rPr>
          <w:rFonts w:ascii="Arial" w:eastAsia="Arial" w:hAnsi="Arial" w:cs="Arial"/>
          <w:sz w:val="22"/>
          <w:szCs w:val="22"/>
        </w:rPr>
        <w:tab/>
      </w:r>
      <w:r w:rsidR="009D3EE8">
        <w:rPr>
          <w:rFonts w:ascii="Arial" w:eastAsia="Arial" w:hAnsi="Arial" w:cs="Arial"/>
          <w:sz w:val="22"/>
          <w:szCs w:val="22"/>
        </w:rPr>
        <w:tab/>
        <w:t>72</w:t>
      </w:r>
    </w:p>
    <w:p w14:paraId="51C39E63" w14:textId="77777777" w:rsidR="006921ED" w:rsidRDefault="006921ED">
      <w:pPr>
        <w:spacing w:line="360" w:lineRule="auto"/>
        <w:rPr>
          <w:rFonts w:ascii="Arial" w:eastAsia="Arial" w:hAnsi="Arial" w:cs="Arial"/>
          <w:b/>
          <w:bCs/>
          <w:sz w:val="22"/>
          <w:szCs w:val="22"/>
        </w:rPr>
      </w:pPr>
    </w:p>
    <w:p w14:paraId="51C39E64" w14:textId="77777777" w:rsidR="006921ED" w:rsidRDefault="006921ED">
      <w:pPr>
        <w:spacing w:line="360" w:lineRule="auto"/>
        <w:rPr>
          <w:rFonts w:ascii="Arial" w:eastAsia="Arial" w:hAnsi="Arial" w:cs="Arial"/>
          <w:b/>
          <w:bCs/>
          <w:sz w:val="22"/>
          <w:szCs w:val="22"/>
        </w:rPr>
      </w:pPr>
    </w:p>
    <w:p w14:paraId="51C39E65" w14:textId="77777777" w:rsidR="006921ED" w:rsidRDefault="006921ED">
      <w:pPr>
        <w:spacing w:line="360" w:lineRule="auto"/>
        <w:rPr>
          <w:rFonts w:ascii="Arial" w:eastAsia="Arial" w:hAnsi="Arial" w:cs="Arial"/>
          <w:b/>
          <w:bCs/>
          <w:sz w:val="22"/>
          <w:szCs w:val="22"/>
        </w:rPr>
      </w:pPr>
    </w:p>
    <w:p w14:paraId="51C39E66" w14:textId="77777777" w:rsidR="006921ED" w:rsidRDefault="006921ED">
      <w:pPr>
        <w:spacing w:line="360" w:lineRule="auto"/>
        <w:rPr>
          <w:rFonts w:ascii="Arial" w:eastAsia="Arial" w:hAnsi="Arial" w:cs="Arial"/>
          <w:b/>
          <w:bCs/>
          <w:sz w:val="22"/>
          <w:szCs w:val="22"/>
        </w:rPr>
      </w:pPr>
    </w:p>
    <w:p w14:paraId="51C39E67" w14:textId="77777777" w:rsidR="006921ED" w:rsidRDefault="006921ED">
      <w:pPr>
        <w:spacing w:line="360" w:lineRule="auto"/>
        <w:rPr>
          <w:rFonts w:ascii="Arial" w:eastAsia="Arial" w:hAnsi="Arial" w:cs="Arial"/>
          <w:b/>
          <w:bCs/>
          <w:sz w:val="22"/>
          <w:szCs w:val="22"/>
        </w:rPr>
      </w:pPr>
    </w:p>
    <w:p w14:paraId="51C39E68" w14:textId="77777777" w:rsidR="006921ED" w:rsidRDefault="006921ED">
      <w:pPr>
        <w:spacing w:line="360" w:lineRule="auto"/>
        <w:rPr>
          <w:rFonts w:ascii="Arial" w:eastAsia="Arial" w:hAnsi="Arial" w:cs="Arial"/>
          <w:b/>
          <w:bCs/>
          <w:sz w:val="22"/>
          <w:szCs w:val="22"/>
        </w:rPr>
      </w:pPr>
    </w:p>
    <w:p w14:paraId="51C39E69" w14:textId="77777777" w:rsidR="006921ED" w:rsidRDefault="006921ED">
      <w:pPr>
        <w:spacing w:line="360" w:lineRule="auto"/>
        <w:rPr>
          <w:rFonts w:ascii="Arial" w:eastAsia="Arial" w:hAnsi="Arial" w:cs="Arial"/>
          <w:b/>
          <w:bCs/>
          <w:sz w:val="22"/>
          <w:szCs w:val="22"/>
        </w:rPr>
      </w:pPr>
    </w:p>
    <w:p w14:paraId="51C39E6A" w14:textId="77777777" w:rsidR="006921ED" w:rsidRDefault="006921ED">
      <w:pPr>
        <w:spacing w:line="360" w:lineRule="auto"/>
        <w:rPr>
          <w:rFonts w:ascii="Arial" w:eastAsia="Arial" w:hAnsi="Arial" w:cs="Arial"/>
          <w:b/>
          <w:bCs/>
          <w:sz w:val="22"/>
          <w:szCs w:val="22"/>
        </w:rPr>
      </w:pPr>
    </w:p>
    <w:p w14:paraId="51C39E6B" w14:textId="77777777" w:rsidR="006921ED" w:rsidRDefault="006921ED">
      <w:pPr>
        <w:spacing w:line="360" w:lineRule="auto"/>
        <w:rPr>
          <w:rFonts w:ascii="Arial" w:eastAsia="Arial" w:hAnsi="Arial" w:cs="Arial"/>
          <w:b/>
          <w:bCs/>
          <w:sz w:val="22"/>
          <w:szCs w:val="22"/>
        </w:rPr>
      </w:pPr>
    </w:p>
    <w:p w14:paraId="51C39E6C" w14:textId="77777777" w:rsidR="006921ED" w:rsidRDefault="006921ED">
      <w:pPr>
        <w:spacing w:line="360" w:lineRule="auto"/>
        <w:rPr>
          <w:rFonts w:ascii="Arial" w:eastAsia="Arial" w:hAnsi="Arial" w:cs="Arial"/>
          <w:b/>
          <w:bCs/>
          <w:sz w:val="22"/>
          <w:szCs w:val="22"/>
        </w:rPr>
      </w:pPr>
    </w:p>
    <w:p w14:paraId="51C39E6D" w14:textId="77777777" w:rsidR="006921ED" w:rsidRDefault="006921ED">
      <w:pPr>
        <w:spacing w:line="360" w:lineRule="auto"/>
        <w:rPr>
          <w:rFonts w:ascii="Arial" w:eastAsia="Arial" w:hAnsi="Arial" w:cs="Arial"/>
          <w:b/>
          <w:bCs/>
          <w:sz w:val="22"/>
          <w:szCs w:val="22"/>
        </w:rPr>
      </w:pPr>
    </w:p>
    <w:p w14:paraId="51C39E6E" w14:textId="77777777" w:rsidR="006921ED" w:rsidRDefault="006921ED">
      <w:pPr>
        <w:spacing w:line="360" w:lineRule="auto"/>
        <w:rPr>
          <w:rFonts w:ascii="Arial" w:eastAsia="Arial" w:hAnsi="Arial" w:cs="Arial"/>
          <w:b/>
          <w:bCs/>
          <w:sz w:val="22"/>
          <w:szCs w:val="22"/>
        </w:rPr>
      </w:pPr>
    </w:p>
    <w:p w14:paraId="51C39E6F" w14:textId="77777777" w:rsidR="006921ED" w:rsidRDefault="006921ED">
      <w:pPr>
        <w:spacing w:line="360" w:lineRule="auto"/>
        <w:rPr>
          <w:rFonts w:ascii="Arial" w:eastAsia="Arial" w:hAnsi="Arial" w:cs="Arial"/>
          <w:b/>
          <w:bCs/>
          <w:sz w:val="22"/>
          <w:szCs w:val="22"/>
        </w:rPr>
      </w:pPr>
    </w:p>
    <w:p w14:paraId="51C39E70" w14:textId="77777777" w:rsidR="006921ED" w:rsidRDefault="006921ED">
      <w:pPr>
        <w:spacing w:line="360" w:lineRule="auto"/>
        <w:rPr>
          <w:rFonts w:ascii="Arial" w:eastAsia="Arial" w:hAnsi="Arial" w:cs="Arial"/>
          <w:b/>
          <w:bCs/>
          <w:sz w:val="22"/>
          <w:szCs w:val="22"/>
        </w:rPr>
      </w:pPr>
    </w:p>
    <w:p w14:paraId="51C39E71" w14:textId="77777777" w:rsidR="006921ED" w:rsidRDefault="006921ED">
      <w:pPr>
        <w:spacing w:line="360" w:lineRule="auto"/>
        <w:rPr>
          <w:rFonts w:ascii="Arial" w:eastAsia="Arial" w:hAnsi="Arial" w:cs="Arial"/>
          <w:b/>
          <w:bCs/>
          <w:sz w:val="22"/>
          <w:szCs w:val="22"/>
        </w:rPr>
      </w:pPr>
    </w:p>
    <w:p w14:paraId="51C39E72" w14:textId="0E8494F5" w:rsidR="00102F91" w:rsidRDefault="00102F91">
      <w:pPr>
        <w:rPr>
          <w:rFonts w:ascii="Arial" w:eastAsia="Arial" w:hAnsi="Arial" w:cs="Arial"/>
          <w:b/>
          <w:bCs/>
          <w:sz w:val="22"/>
          <w:szCs w:val="22"/>
        </w:rPr>
      </w:pPr>
      <w:r>
        <w:rPr>
          <w:rFonts w:ascii="Arial" w:eastAsia="Arial" w:hAnsi="Arial" w:cs="Arial"/>
          <w:b/>
          <w:bCs/>
          <w:sz w:val="22"/>
          <w:szCs w:val="22"/>
        </w:rPr>
        <w:br w:type="page"/>
      </w:r>
    </w:p>
    <w:p w14:paraId="51C39E73" w14:textId="77777777" w:rsidR="006921ED" w:rsidRDefault="00D73B41">
      <w:pPr>
        <w:spacing w:line="360" w:lineRule="auto"/>
        <w:rPr>
          <w:rFonts w:ascii="Arial" w:eastAsia="Arial" w:hAnsi="Arial" w:cs="Arial"/>
          <w:b/>
          <w:bCs/>
          <w:sz w:val="22"/>
          <w:szCs w:val="22"/>
        </w:rPr>
      </w:pPr>
      <w:r>
        <w:rPr>
          <w:rFonts w:ascii="Arial" w:eastAsia="Arial" w:hAnsi="Arial" w:cs="Arial"/>
          <w:b/>
          <w:bCs/>
          <w:sz w:val="22"/>
          <w:szCs w:val="22"/>
        </w:rPr>
        <w:lastRenderedPageBreak/>
        <w:t>Abbreviations</w:t>
      </w:r>
    </w:p>
    <w:p w14:paraId="51C39E7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AIDS: Acquired Immunodeficiency Syndrome</w:t>
      </w:r>
    </w:p>
    <w:p w14:paraId="51C39E75"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ART: Antiretroviral Therapy</w:t>
      </w:r>
    </w:p>
    <w:p w14:paraId="51C39E7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BHIVA: British HIV Association</w:t>
      </w:r>
    </w:p>
    <w:p w14:paraId="51C39E77"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CASP: Critical Appraisal Skills Programme</w:t>
      </w:r>
    </w:p>
    <w:p w14:paraId="51C39E7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CINAHL: Cumulative Index to Nursing and Allied Health Literature</w:t>
      </w:r>
    </w:p>
    <w:p w14:paraId="51C39E79"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GP: General Practitioner</w:t>
      </w:r>
    </w:p>
    <w:p w14:paraId="51C39E7A"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HIV: Human Immunodeficiency Virus</w:t>
      </w:r>
    </w:p>
    <w:p w14:paraId="51C39E7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MMAT: Mixed Methods Appraisal Tool</w:t>
      </w:r>
    </w:p>
    <w:p w14:paraId="51C39E7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NHS: National Health Service</w:t>
      </w:r>
    </w:p>
    <w:p w14:paraId="51C39E7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PLWH: People Living with HIV</w:t>
      </w:r>
    </w:p>
    <w:p w14:paraId="51C39E7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PRISMA: Preferred Reporting Items for Systematic Reviews and Meta-Analyses</w:t>
      </w:r>
    </w:p>
    <w:p w14:paraId="51C39E7F"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SLR: Systematic Literature Review</w:t>
      </w:r>
    </w:p>
    <w:p w14:paraId="51C39E8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UK: United Kingdom</w:t>
      </w:r>
    </w:p>
    <w:p w14:paraId="51C39E81"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WHO: World Health Organization</w:t>
      </w:r>
    </w:p>
    <w:p w14:paraId="51C39E82" w14:textId="77777777" w:rsidR="006921ED" w:rsidRDefault="006921ED">
      <w:pPr>
        <w:spacing w:before="240" w:after="100" w:line="360" w:lineRule="auto"/>
        <w:jc w:val="center"/>
        <w:rPr>
          <w:rFonts w:ascii="Arial" w:eastAsia="Arial" w:hAnsi="Arial" w:cs="Arial"/>
          <w:b/>
          <w:bCs/>
          <w:sz w:val="22"/>
          <w:szCs w:val="22"/>
        </w:rPr>
      </w:pPr>
    </w:p>
    <w:p w14:paraId="51C39E83"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Arial" w:eastAsia="Arial" w:hAnsi="Arial" w:cs="Arial"/>
          <w:sz w:val="22"/>
          <w:szCs w:val="22"/>
        </w:rPr>
      </w:pPr>
    </w:p>
    <w:p w14:paraId="51C39E84"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2"/>
          <w:szCs w:val="22"/>
        </w:rPr>
      </w:pPr>
    </w:p>
    <w:p w14:paraId="51C39E85" w14:textId="77777777" w:rsidR="006921ED" w:rsidRDefault="006921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w:hAnsi="Arial" w:cs="Arial"/>
          <w:sz w:val="22"/>
          <w:szCs w:val="22"/>
        </w:rPr>
      </w:pPr>
    </w:p>
    <w:p w14:paraId="51C39E86" w14:textId="3A574C39" w:rsidR="00102F91" w:rsidRDefault="00102F91">
      <w:pPr>
        <w:rPr>
          <w:rFonts w:ascii="Arial" w:eastAsia="Arial" w:hAnsi="Arial" w:cs="Arial"/>
          <w:b/>
          <w:bCs/>
          <w:sz w:val="22"/>
          <w:szCs w:val="22"/>
        </w:rPr>
      </w:pPr>
      <w:r>
        <w:rPr>
          <w:rFonts w:ascii="Arial" w:eastAsia="Arial" w:hAnsi="Arial" w:cs="Arial"/>
          <w:b/>
          <w:bCs/>
          <w:sz w:val="22"/>
          <w:szCs w:val="22"/>
        </w:rPr>
        <w:br w:type="page"/>
      </w:r>
    </w:p>
    <w:p w14:paraId="51C39E87" w14:textId="77777777" w:rsidR="006921ED" w:rsidRDefault="00D73B41">
      <w:pPr>
        <w:pStyle w:val="Heading1"/>
        <w:spacing w:before="240" w:after="240" w:line="360" w:lineRule="auto"/>
        <w:jc w:val="center"/>
        <w:rPr>
          <w:rFonts w:ascii="Arial" w:eastAsia="Arial" w:hAnsi="Arial" w:cs="Arial"/>
          <w:b/>
          <w:bCs/>
          <w:color w:val="000000"/>
          <w:sz w:val="22"/>
          <w:szCs w:val="22"/>
        </w:rPr>
      </w:pPr>
      <w:bookmarkStart w:id="1" w:name="_heading=h.rqf8pckgrv84" w:colFirst="0" w:colLast="0"/>
      <w:bookmarkEnd w:id="1"/>
      <w:r>
        <w:rPr>
          <w:rFonts w:ascii="Arial" w:eastAsia="Arial" w:hAnsi="Arial" w:cs="Arial"/>
          <w:b/>
          <w:bCs/>
          <w:color w:val="000000"/>
          <w:sz w:val="22"/>
          <w:szCs w:val="22"/>
        </w:rPr>
        <w:lastRenderedPageBreak/>
        <w:t>Chapter 1: Introduction and Background</w:t>
      </w:r>
    </w:p>
    <w:p w14:paraId="51C39E88" w14:textId="77777777" w:rsidR="006921ED" w:rsidRDefault="00D73B41">
      <w:pPr>
        <w:pStyle w:val="Heading2"/>
        <w:numPr>
          <w:ilvl w:val="1"/>
          <w:numId w:val="4"/>
        </w:numPr>
        <w:spacing w:before="240" w:after="240" w:line="360" w:lineRule="auto"/>
        <w:jc w:val="both"/>
        <w:rPr>
          <w:rFonts w:ascii="Arial" w:eastAsia="Arial" w:hAnsi="Arial" w:cs="Arial"/>
          <w:sz w:val="22"/>
          <w:szCs w:val="22"/>
        </w:rPr>
      </w:pPr>
      <w:bookmarkStart w:id="2" w:name="_heading=h.5hy62lef3s8l" w:colFirst="0" w:colLast="0"/>
      <w:bookmarkEnd w:id="2"/>
      <w:r>
        <w:rPr>
          <w:rFonts w:ascii="Arial" w:eastAsia="Arial" w:hAnsi="Arial" w:cs="Arial"/>
          <w:b/>
          <w:bCs/>
          <w:sz w:val="22"/>
          <w:szCs w:val="22"/>
        </w:rPr>
        <w:t>Introduction</w:t>
      </w:r>
    </w:p>
    <w:p w14:paraId="51C39E89"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Human Immunodeficiency Virus (HIV) is a chronic disease, which invades the immune system and may eventually develop into acquired immunodeficiency syndrome (AIDS) (WHO, 2025). Owing to the development of the antiretroviral therapy, people living with HIV (PLWH) gained almost normal life expectancy, which turned HIV into a long-term disease and a burden on health and social services. The experiences of health and social care are defined as the way patients use, access, and experience the healthcare provision</w:t>
      </w:r>
      <w:r>
        <w:rPr>
          <w:rFonts w:ascii="Arial" w:eastAsia="Arial" w:hAnsi="Arial" w:cs="Arial"/>
          <w:sz w:val="22"/>
          <w:szCs w:val="22"/>
        </w:rPr>
        <w:t xml:space="preserve"> mechanisms, social support, and welfare systems throughout the duration of the condition (Drageset, 2021). Nevertheless, with clinical management, PLWH also have a substantial psychosocial burden, which comprises stigma, discrimination, anxiety, depression, and social isolation. HIV is one of the most pressing public health and social care concerns in the UK, and more than 100,000 people receive HIV care (National AIDS Trust, 2024). The population is getting older, which reveals the necessity of long-term </w:t>
      </w:r>
      <w:r>
        <w:rPr>
          <w:rFonts w:ascii="Arial" w:eastAsia="Arial" w:hAnsi="Arial" w:cs="Arial"/>
          <w:sz w:val="22"/>
          <w:szCs w:val="22"/>
        </w:rPr>
        <w:t>support and health disparities. Even with the positive results of biomedical measurements, it is reported that there are still gaps in integrated care, which refers to the coordinated services, meaning those that fulfil the needs of the body and mind as well as social aspects.</w:t>
      </w:r>
    </w:p>
    <w:p w14:paraId="51C39E8A" w14:textId="77777777" w:rsidR="006921ED" w:rsidRDefault="00D73B41">
      <w:pPr>
        <w:pStyle w:val="Heading2"/>
        <w:numPr>
          <w:ilvl w:val="1"/>
          <w:numId w:val="4"/>
        </w:numPr>
        <w:spacing w:before="240" w:after="240" w:line="360" w:lineRule="auto"/>
        <w:jc w:val="both"/>
        <w:rPr>
          <w:rFonts w:ascii="Arial" w:eastAsia="Arial" w:hAnsi="Arial" w:cs="Arial"/>
          <w:b/>
          <w:bCs/>
          <w:color w:val="000000"/>
          <w:sz w:val="22"/>
          <w:szCs w:val="22"/>
        </w:rPr>
      </w:pPr>
      <w:bookmarkStart w:id="3" w:name="_heading=h.8d75qibhmc5h" w:colFirst="0" w:colLast="0"/>
      <w:bookmarkEnd w:id="3"/>
      <w:r>
        <w:rPr>
          <w:rFonts w:ascii="Arial" w:eastAsia="Arial" w:hAnsi="Arial" w:cs="Arial"/>
          <w:b/>
          <w:bCs/>
          <w:color w:val="000000"/>
          <w:sz w:val="22"/>
          <w:szCs w:val="22"/>
        </w:rPr>
        <w:t>Background and Current Context</w:t>
      </w:r>
    </w:p>
    <w:p w14:paraId="51C39E8B" w14:textId="77777777" w:rsidR="006921ED" w:rsidRDefault="00D73B41">
      <w:pPr>
        <w:pStyle w:val="Heading3"/>
        <w:numPr>
          <w:ilvl w:val="2"/>
          <w:numId w:val="4"/>
        </w:numPr>
        <w:spacing w:before="240" w:after="240" w:line="360" w:lineRule="auto"/>
        <w:jc w:val="both"/>
        <w:rPr>
          <w:rFonts w:ascii="Arial" w:eastAsia="Arial" w:hAnsi="Arial" w:cs="Arial"/>
          <w:b/>
          <w:bCs/>
          <w:color w:val="000000"/>
          <w:sz w:val="22"/>
          <w:szCs w:val="22"/>
        </w:rPr>
      </w:pPr>
      <w:bookmarkStart w:id="4" w:name="_heading=h.qu8vm46k49d5" w:colFirst="0" w:colLast="0"/>
      <w:bookmarkEnd w:id="4"/>
      <w:r>
        <w:rPr>
          <w:rFonts w:ascii="Arial" w:eastAsia="Arial" w:hAnsi="Arial" w:cs="Arial"/>
          <w:b/>
          <w:bCs/>
          <w:color w:val="000000"/>
          <w:sz w:val="22"/>
          <w:szCs w:val="22"/>
        </w:rPr>
        <w:t>HIV In The UK</w:t>
      </w:r>
    </w:p>
    <w:p w14:paraId="51C39E8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HIV is a major health issue in the UK, and 107,949 individuals were under HIV treatment in 2023, showing that it has always been a persistent problem, despite effective prevention and treatment measures (GOV.UK, 2024). Elimination of HIV has been a central focus of national policy, and the HIV Action Plan of England aims to cut HIV transmission by 80 per cent between 2019 and 2025 (NHS, 2026). Although some advances have been made in reducing the number of new diagnoses, the demographic configuration of ind</w:t>
      </w:r>
      <w:r>
        <w:rPr>
          <w:rFonts w:ascii="Arial" w:eastAsia="Arial" w:hAnsi="Arial" w:cs="Arial"/>
          <w:sz w:val="22"/>
          <w:szCs w:val="22"/>
        </w:rPr>
        <w:t>ividuals living with HIV has also changed significantly. More than 51 per cent of people receiving HIV care are aged 50 years and above, and this signifies the rise of an ageing HIV population with multifaceted and chronic health and social care requirements (</w:t>
      </w:r>
      <w:proofErr w:type="spellStart"/>
      <w:r>
        <w:rPr>
          <w:rFonts w:ascii="Arial" w:eastAsia="Arial" w:hAnsi="Arial" w:cs="Arial"/>
          <w:sz w:val="22"/>
          <w:szCs w:val="22"/>
        </w:rPr>
        <w:t>Kokorelias</w:t>
      </w:r>
      <w:proofErr w:type="spellEnd"/>
      <w:r>
        <w:rPr>
          <w:rFonts w:ascii="Arial" w:eastAsia="Arial" w:hAnsi="Arial" w:cs="Arial"/>
          <w:sz w:val="22"/>
          <w:szCs w:val="22"/>
        </w:rPr>
        <w:t xml:space="preserve"> </w:t>
      </w:r>
      <w:r>
        <w:rPr>
          <w:rFonts w:ascii="Arial" w:eastAsia="Arial" w:hAnsi="Arial" w:cs="Arial"/>
          <w:i/>
          <w:iCs/>
          <w:sz w:val="22"/>
          <w:szCs w:val="22"/>
        </w:rPr>
        <w:t>et al.</w:t>
      </w:r>
      <w:r>
        <w:rPr>
          <w:rFonts w:ascii="Arial" w:eastAsia="Arial" w:hAnsi="Arial" w:cs="Arial"/>
          <w:sz w:val="22"/>
          <w:szCs w:val="22"/>
        </w:rPr>
        <w:t>, 2025). This demographic increases burden on the health and social care initiatives because older PLWH are now exposed to multimorbidity, social isolation, and reduced social support. HIV in the UK has become such a long-term issue, a</w:t>
      </w:r>
      <w:r>
        <w:rPr>
          <w:rFonts w:ascii="Arial" w:eastAsia="Arial" w:hAnsi="Arial" w:cs="Arial"/>
          <w:sz w:val="22"/>
          <w:szCs w:val="22"/>
        </w:rPr>
        <w:t>nd not a prevention or acute issue, thus requiring long-term integrated health and social care measures.</w:t>
      </w:r>
    </w:p>
    <w:p w14:paraId="51C39E8D" w14:textId="77777777" w:rsidR="006921ED" w:rsidRDefault="00D73B41">
      <w:pPr>
        <w:pStyle w:val="Heading3"/>
        <w:numPr>
          <w:ilvl w:val="2"/>
          <w:numId w:val="4"/>
        </w:numPr>
        <w:spacing w:before="240" w:after="240" w:line="360" w:lineRule="auto"/>
        <w:jc w:val="both"/>
        <w:rPr>
          <w:rFonts w:ascii="Arial" w:eastAsia="Arial" w:hAnsi="Arial" w:cs="Arial"/>
          <w:b/>
          <w:bCs/>
          <w:color w:val="000000"/>
          <w:sz w:val="22"/>
          <w:szCs w:val="22"/>
        </w:rPr>
      </w:pPr>
      <w:bookmarkStart w:id="5" w:name="_heading=h.rxeetxknvj3j" w:colFirst="0" w:colLast="0"/>
      <w:bookmarkEnd w:id="5"/>
      <w:r>
        <w:rPr>
          <w:rFonts w:ascii="Arial" w:eastAsia="Arial" w:hAnsi="Arial" w:cs="Arial"/>
          <w:b/>
          <w:bCs/>
          <w:color w:val="000000"/>
          <w:sz w:val="22"/>
          <w:szCs w:val="22"/>
        </w:rPr>
        <w:lastRenderedPageBreak/>
        <w:t>HIV as a Long-Term Condition</w:t>
      </w:r>
    </w:p>
    <w:p w14:paraId="51C39E8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advances in antiretroviral treatment (ART) have rendered HIV a chronic and manageable disease, providing a nearly normal life span in those with HIV (</w:t>
      </w:r>
      <w:proofErr w:type="spellStart"/>
      <w:r>
        <w:rPr>
          <w:rFonts w:ascii="Arial" w:eastAsia="Arial" w:hAnsi="Arial" w:cs="Arial"/>
          <w:sz w:val="22"/>
          <w:szCs w:val="22"/>
        </w:rPr>
        <w:t>Łupina</w:t>
      </w:r>
      <w:proofErr w:type="spellEnd"/>
      <w:r>
        <w:rPr>
          <w:rFonts w:ascii="Arial" w:eastAsia="Arial" w:hAnsi="Arial" w:cs="Arial"/>
          <w:sz w:val="22"/>
          <w:szCs w:val="22"/>
        </w:rPr>
        <w:t xml:space="preserve"> et al., 2025).  Viral suppression levels are high in the UK, and ART has lowered HIV morbidity and mortality rates to a considerable degree. Yet qualitative evidence points to the chronic disparity between clinical success and experience. Despite positive changes in biomedical outcomes, patients face HIV as a distinctly burdensome experience caused by stigmatisation, life-long treatment, and psychosocial stress (Coker </w:t>
      </w:r>
      <w:r>
        <w:rPr>
          <w:rFonts w:ascii="Arial" w:eastAsia="Arial" w:hAnsi="Arial" w:cs="Arial"/>
          <w:i/>
          <w:iCs/>
          <w:sz w:val="22"/>
          <w:szCs w:val="22"/>
        </w:rPr>
        <w:t>et al.</w:t>
      </w:r>
      <w:r>
        <w:rPr>
          <w:rFonts w:ascii="Arial" w:eastAsia="Arial" w:hAnsi="Arial" w:cs="Arial"/>
          <w:sz w:val="22"/>
          <w:szCs w:val="22"/>
        </w:rPr>
        <w:t>, 2025). UK HIV clinics claim that people usually state that they feel medica</w:t>
      </w:r>
      <w:r>
        <w:rPr>
          <w:rFonts w:ascii="Arial" w:eastAsia="Arial" w:hAnsi="Arial" w:cs="Arial"/>
          <w:sz w:val="22"/>
          <w:szCs w:val="22"/>
        </w:rPr>
        <w:t>lly fine but socially weak, and the idea of viral suppression and holistic wellbeing is different (BHIVA, 2024). This detachment indicates that clinical advances are not enough to consider the larger truths of living with HIV and supports the argument that a method should be developed to study the experiences beyond the biomedical indicators.</w:t>
      </w:r>
    </w:p>
    <w:p w14:paraId="51C39E8F" w14:textId="77777777" w:rsidR="006921ED" w:rsidRDefault="00D73B41">
      <w:pPr>
        <w:pStyle w:val="Heading3"/>
        <w:numPr>
          <w:ilvl w:val="2"/>
          <w:numId w:val="4"/>
        </w:numPr>
        <w:spacing w:before="240" w:after="240" w:line="360" w:lineRule="auto"/>
        <w:jc w:val="both"/>
        <w:rPr>
          <w:rFonts w:ascii="Arial" w:eastAsia="Arial" w:hAnsi="Arial" w:cs="Arial"/>
          <w:b/>
          <w:bCs/>
          <w:color w:val="000000"/>
          <w:sz w:val="22"/>
          <w:szCs w:val="22"/>
        </w:rPr>
      </w:pPr>
      <w:bookmarkStart w:id="6" w:name="_heading=h.1j2tifrejwuu" w:colFirst="0" w:colLast="0"/>
      <w:bookmarkEnd w:id="6"/>
      <w:r>
        <w:rPr>
          <w:rFonts w:ascii="Arial" w:eastAsia="Arial" w:hAnsi="Arial" w:cs="Arial"/>
          <w:b/>
          <w:bCs/>
          <w:color w:val="000000"/>
          <w:sz w:val="22"/>
          <w:szCs w:val="22"/>
        </w:rPr>
        <w:t>Stigma, Disclosure, and Social Inclusion</w:t>
      </w:r>
    </w:p>
    <w:p w14:paraId="51C39E9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Stigma is one of the most widespread issues that PLWH in the UK must encounter, and it still defines social inclusion and engagement with services. The results of the Positive Voices study showed that 45.1% of the participants felt ashamed of being diagnosed with HIV, and 32.1% said that having HIV had a detrimental impact on their self-esteem (UK Health Security Agency, 2024). Flint, </w:t>
      </w:r>
      <w:proofErr w:type="spellStart"/>
      <w:r>
        <w:rPr>
          <w:rFonts w:ascii="Arial" w:eastAsia="Arial" w:hAnsi="Arial" w:cs="Arial"/>
          <w:sz w:val="22"/>
          <w:szCs w:val="22"/>
        </w:rPr>
        <w:t>Günsche</w:t>
      </w:r>
      <w:proofErr w:type="spellEnd"/>
      <w:r>
        <w:rPr>
          <w:rFonts w:ascii="Arial" w:eastAsia="Arial" w:hAnsi="Arial" w:cs="Arial"/>
          <w:sz w:val="22"/>
          <w:szCs w:val="22"/>
        </w:rPr>
        <w:t xml:space="preserve"> and Burns (2022) provide qualitative descriptions of the accounts of people who have been actively hiding their status at workplaces and social environments, fearing that they will be treated differently (Flint, </w:t>
      </w:r>
      <w:proofErr w:type="spellStart"/>
      <w:r>
        <w:rPr>
          <w:rFonts w:ascii="Arial" w:eastAsia="Arial" w:hAnsi="Arial" w:cs="Arial"/>
          <w:sz w:val="22"/>
          <w:szCs w:val="22"/>
        </w:rPr>
        <w:t>Günsche</w:t>
      </w:r>
      <w:proofErr w:type="spellEnd"/>
      <w:r>
        <w:rPr>
          <w:rFonts w:ascii="Arial" w:eastAsia="Arial" w:hAnsi="Arial" w:cs="Arial"/>
          <w:sz w:val="22"/>
          <w:szCs w:val="22"/>
        </w:rPr>
        <w:t xml:space="preserve"> and Burns, 2022). These experiences demonstrate that stigma acts at the interpersonal scale as well as the structural level, affecting access to work, interpersonal and social life.</w:t>
      </w:r>
    </w:p>
    <w:p w14:paraId="51C39E91" w14:textId="77777777" w:rsidR="006921ED" w:rsidRDefault="00D73B41">
      <w:pPr>
        <w:pStyle w:val="Heading3"/>
        <w:numPr>
          <w:ilvl w:val="2"/>
          <w:numId w:val="4"/>
        </w:numPr>
        <w:spacing w:before="240" w:after="240" w:line="360" w:lineRule="auto"/>
        <w:jc w:val="both"/>
        <w:rPr>
          <w:rFonts w:ascii="Arial" w:eastAsia="Arial" w:hAnsi="Arial" w:cs="Arial"/>
          <w:b/>
          <w:bCs/>
          <w:color w:val="000000"/>
          <w:sz w:val="22"/>
          <w:szCs w:val="22"/>
        </w:rPr>
      </w:pPr>
      <w:bookmarkStart w:id="7" w:name="_heading=h.rm60227qab3n" w:colFirst="0" w:colLast="0"/>
      <w:bookmarkEnd w:id="7"/>
      <w:r>
        <w:rPr>
          <w:rFonts w:ascii="Arial" w:eastAsia="Arial" w:hAnsi="Arial" w:cs="Arial"/>
          <w:b/>
          <w:bCs/>
          <w:color w:val="000000"/>
          <w:sz w:val="22"/>
          <w:szCs w:val="22"/>
        </w:rPr>
        <w:t>Mental Health and Quality of Life</w:t>
      </w:r>
    </w:p>
    <w:p w14:paraId="51C39E92"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PLWH have mental health challenges disproportionately, and quality of life and care participation are greatly impacted. Individuals with HIV are two times as likely to encounter symptoms of depression as the rest of the population (EATG, 2024). Experiences of stigma, social isolation, and worries about ageing with HIV are often associated with feelings of anxiety, depression, and emotional distress. Lacking mental health is closely intertwined with diminished ART adherence, which results in inferior long-te</w:t>
      </w:r>
      <w:r>
        <w:rPr>
          <w:rFonts w:ascii="Arial" w:eastAsia="Arial" w:hAnsi="Arial" w:cs="Arial"/>
          <w:sz w:val="22"/>
          <w:szCs w:val="22"/>
        </w:rPr>
        <w:t xml:space="preserve">rm health practices available to individuals despite effective treatment. People tend to find mental health services as a secondary or an unavailable part of the HIV services, which leads to failures in addressing the psychosocial needs (Justiz, Gulick and Swinkels, 2024). Mental health, adherence to </w:t>
      </w:r>
      <w:r>
        <w:rPr>
          <w:rFonts w:ascii="Arial" w:eastAsia="Arial" w:hAnsi="Arial" w:cs="Arial"/>
          <w:sz w:val="22"/>
          <w:szCs w:val="22"/>
        </w:rPr>
        <w:lastRenderedPageBreak/>
        <w:t>treatment, and quality of life are interconnected issues that require more attention in the UK due to the importance of mental well-being as a critical aspect of HIV care.</w:t>
      </w:r>
    </w:p>
    <w:p w14:paraId="51C39E93" w14:textId="77777777" w:rsidR="006921ED" w:rsidRDefault="00D73B41">
      <w:pPr>
        <w:pStyle w:val="Heading3"/>
        <w:numPr>
          <w:ilvl w:val="2"/>
          <w:numId w:val="4"/>
        </w:numPr>
        <w:spacing w:before="240" w:after="240" w:line="360" w:lineRule="auto"/>
        <w:jc w:val="both"/>
        <w:rPr>
          <w:rFonts w:ascii="Arial" w:eastAsia="Arial" w:hAnsi="Arial" w:cs="Arial"/>
          <w:b/>
          <w:bCs/>
          <w:color w:val="000000"/>
          <w:sz w:val="22"/>
          <w:szCs w:val="22"/>
        </w:rPr>
      </w:pPr>
      <w:bookmarkStart w:id="8" w:name="_heading=h.rvkgt97sro94" w:colFirst="0" w:colLast="0"/>
      <w:bookmarkEnd w:id="8"/>
      <w:r>
        <w:rPr>
          <w:rFonts w:ascii="Arial" w:eastAsia="Arial" w:hAnsi="Arial" w:cs="Arial"/>
          <w:b/>
          <w:bCs/>
          <w:color w:val="000000"/>
          <w:sz w:val="22"/>
          <w:szCs w:val="22"/>
        </w:rPr>
        <w:t>Health and Social Care Access and Service Gaps</w:t>
      </w:r>
    </w:p>
    <w:p w14:paraId="51C39E9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Although the policy has guaranteed person-centred care, there has been an indication that HIV services in the UK continue to exhibit a biomedical orientation. ART management and viral load monitoring are also put in the focus of HIV clinics, so psychosocial problems are often transferred to external mental health practice or general practitioners, resulting in disjointed care trajectories (Okonji </w:t>
      </w:r>
      <w:r>
        <w:rPr>
          <w:rFonts w:ascii="Arial" w:eastAsia="Arial" w:hAnsi="Arial" w:cs="Arial"/>
          <w:i/>
          <w:iCs/>
          <w:sz w:val="22"/>
          <w:szCs w:val="22"/>
        </w:rPr>
        <w:t>et al.</w:t>
      </w:r>
      <w:r>
        <w:rPr>
          <w:rFonts w:ascii="Arial" w:eastAsia="Arial" w:hAnsi="Arial" w:cs="Arial"/>
          <w:sz w:val="22"/>
          <w:szCs w:val="22"/>
        </w:rPr>
        <w:t>, 2020). Similar reports by real-life experiences of PLWH relate to challenges of accessing different services, excessive waiting periods during mental health referrals, and varied assistance in some areas compared to others (Sikkema et al., 2015). This fragmentation specifically is a concern to older PLWH and those with a marginalised background, as they may experience compounded barriers due to their age, ethnicity, or socioeconomic status. Lack of integrated models of care that include physical, me</w:t>
      </w:r>
      <w:r>
        <w:rPr>
          <w:rFonts w:ascii="Arial" w:eastAsia="Arial" w:hAnsi="Arial" w:cs="Arial"/>
          <w:sz w:val="22"/>
          <w:szCs w:val="22"/>
        </w:rPr>
        <w:t>ntal, and social needs at the same time is one of the causes of the continuous disparities in health outcomes and service satisfaction.</w:t>
      </w:r>
    </w:p>
    <w:p w14:paraId="51C39E95" w14:textId="77777777" w:rsidR="006921ED" w:rsidRDefault="00D73B41">
      <w:pPr>
        <w:pStyle w:val="Heading3"/>
        <w:numPr>
          <w:ilvl w:val="2"/>
          <w:numId w:val="4"/>
        </w:numPr>
        <w:spacing w:before="240" w:after="240" w:line="360" w:lineRule="auto"/>
        <w:jc w:val="both"/>
        <w:rPr>
          <w:rFonts w:ascii="Arial" w:eastAsia="Arial" w:hAnsi="Arial" w:cs="Arial"/>
          <w:b/>
          <w:bCs/>
          <w:color w:val="000000"/>
          <w:sz w:val="22"/>
          <w:szCs w:val="22"/>
        </w:rPr>
      </w:pPr>
      <w:bookmarkStart w:id="9" w:name="_heading=h.q4gyy67ml75k" w:colFirst="0" w:colLast="0"/>
      <w:bookmarkEnd w:id="9"/>
      <w:r>
        <w:rPr>
          <w:rFonts w:ascii="Arial" w:eastAsia="Arial" w:hAnsi="Arial" w:cs="Arial"/>
          <w:b/>
          <w:bCs/>
          <w:color w:val="000000"/>
          <w:sz w:val="22"/>
          <w:szCs w:val="22"/>
        </w:rPr>
        <w:t>Why Qualitative Evidence Matters</w:t>
      </w:r>
    </w:p>
    <w:p w14:paraId="51C39E9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Although quantitative surveillance data are useful in terms of prevalence, treatment uptake, and clinical outcomes, they do not reveal much regarding the way people experience HIV care in their daily lives. Learning the meanings, emotions and social context of health behaviours and service engagement can only be learnt through qualitative evidence (</w:t>
      </w:r>
      <w:proofErr w:type="spellStart"/>
      <w:r>
        <w:rPr>
          <w:rFonts w:ascii="Arial" w:eastAsia="Arial" w:hAnsi="Arial" w:cs="Arial"/>
          <w:sz w:val="22"/>
          <w:szCs w:val="22"/>
        </w:rPr>
        <w:t>Bijkerk</w:t>
      </w:r>
      <w:proofErr w:type="spellEnd"/>
      <w:r>
        <w:rPr>
          <w:rFonts w:ascii="Arial" w:eastAsia="Arial" w:hAnsi="Arial" w:cs="Arial"/>
          <w:sz w:val="22"/>
          <w:szCs w:val="22"/>
        </w:rPr>
        <w:t xml:space="preserve"> </w:t>
      </w:r>
      <w:r>
        <w:rPr>
          <w:rFonts w:ascii="Arial" w:eastAsia="Arial" w:hAnsi="Arial" w:cs="Arial"/>
          <w:i/>
          <w:iCs/>
          <w:sz w:val="22"/>
          <w:szCs w:val="22"/>
        </w:rPr>
        <w:t>et al.</w:t>
      </w:r>
      <w:r>
        <w:rPr>
          <w:rFonts w:ascii="Arial" w:eastAsia="Arial" w:hAnsi="Arial" w:cs="Arial"/>
          <w:sz w:val="22"/>
          <w:szCs w:val="22"/>
        </w:rPr>
        <w:t>, 2024). The synthesis of lived experience studies, including those incorporated in qualitative systematic reviews, shows patterns of stigma, lack of psychosocial needs, and fragmentation of services that are not evident through clinical metrics only. Qualitative research by anticipating the voices of PLWH informs more attentive and inclusive service design, allowing policymakers and practitioners to improve the mismatch between policy purpose and reality-as-lived.</w:t>
      </w:r>
    </w:p>
    <w:p w14:paraId="51C39E97" w14:textId="77777777" w:rsidR="006921ED" w:rsidRDefault="00D73B41">
      <w:pPr>
        <w:pStyle w:val="Heading2"/>
        <w:numPr>
          <w:ilvl w:val="1"/>
          <w:numId w:val="4"/>
        </w:numPr>
        <w:spacing w:before="240" w:after="240" w:line="360" w:lineRule="auto"/>
        <w:jc w:val="both"/>
        <w:rPr>
          <w:rFonts w:ascii="Arial" w:eastAsia="Arial" w:hAnsi="Arial" w:cs="Arial"/>
          <w:b/>
          <w:bCs/>
          <w:color w:val="000000"/>
          <w:sz w:val="22"/>
          <w:szCs w:val="22"/>
        </w:rPr>
      </w:pPr>
      <w:bookmarkStart w:id="10" w:name="_heading=h.fknruh7myq2a" w:colFirst="0" w:colLast="0"/>
      <w:bookmarkEnd w:id="10"/>
      <w:r>
        <w:rPr>
          <w:rFonts w:ascii="Arial" w:eastAsia="Arial" w:hAnsi="Arial" w:cs="Arial"/>
          <w:b/>
          <w:bCs/>
          <w:color w:val="000000"/>
          <w:sz w:val="22"/>
          <w:szCs w:val="22"/>
        </w:rPr>
        <w:t>Rationale for Research</w:t>
      </w:r>
    </w:p>
    <w:p w14:paraId="51C39E9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Although there have been enormous biomedical improvements in the treatment of HIV, there are still barriers in the psychosocial and service domains of people living with HIV (PLHW) in the United Kingdom. Although most people have increased their life expectancy and clinical response because of antiretroviral therapy, it is still accompanied by stigma, social isolation and unmet mental health issues that are currently unmet in the existing care structures (Remien et al., 2019). This provision of psychosocial</w:t>
      </w:r>
      <w:r>
        <w:rPr>
          <w:rFonts w:ascii="Arial" w:eastAsia="Arial" w:hAnsi="Arial" w:cs="Arial"/>
          <w:sz w:val="22"/>
          <w:szCs w:val="22"/>
        </w:rPr>
        <w:t xml:space="preserve"> support has a more disruptive route, </w:t>
      </w:r>
      <w:r>
        <w:rPr>
          <w:rFonts w:ascii="Arial" w:eastAsia="Arial" w:hAnsi="Arial" w:cs="Arial"/>
          <w:sz w:val="22"/>
          <w:szCs w:val="22"/>
        </w:rPr>
        <w:lastRenderedPageBreak/>
        <w:t xml:space="preserve">unlike integrated services, and hinders continuity of care and health disparity, particularly between the elderly and marginalised groups. This study </w:t>
      </w:r>
      <w:proofErr w:type="gramStart"/>
      <w:r>
        <w:rPr>
          <w:rFonts w:ascii="Arial" w:eastAsia="Arial" w:hAnsi="Arial" w:cs="Arial"/>
          <w:sz w:val="22"/>
          <w:szCs w:val="22"/>
        </w:rPr>
        <w:t>looks into</w:t>
      </w:r>
      <w:proofErr w:type="gramEnd"/>
      <w:r>
        <w:rPr>
          <w:rFonts w:ascii="Arial" w:eastAsia="Arial" w:hAnsi="Arial" w:cs="Arial"/>
          <w:sz w:val="22"/>
          <w:szCs w:val="22"/>
        </w:rPr>
        <w:t xml:space="preserve"> the gap between the medical success and the lived health and social care outcomes of PLWH. The proposed study will be focused on the synthesis of the qualitative evidence in the setting of the UK-based research published after 2010-2025, which reflects the experience of stigma, access to services, mental well-be</w:t>
      </w:r>
      <w:r>
        <w:rPr>
          <w:rFonts w:ascii="Arial" w:eastAsia="Arial" w:hAnsi="Arial" w:cs="Arial"/>
          <w:sz w:val="22"/>
          <w:szCs w:val="22"/>
        </w:rPr>
        <w:t>ing, and social support. This study will contribute to making the person-centred approaches to HIV care more holistic by paying more attention to the experiential evidence rather than the biomedical outcomes.</w:t>
      </w:r>
    </w:p>
    <w:p w14:paraId="51C39E99" w14:textId="77777777" w:rsidR="006921ED" w:rsidRDefault="00D73B41">
      <w:pPr>
        <w:pStyle w:val="Heading2"/>
        <w:numPr>
          <w:ilvl w:val="1"/>
          <w:numId w:val="4"/>
        </w:numPr>
        <w:spacing w:before="240" w:after="240" w:line="360" w:lineRule="auto"/>
        <w:jc w:val="both"/>
        <w:rPr>
          <w:rFonts w:ascii="Arial" w:eastAsia="Arial" w:hAnsi="Arial" w:cs="Arial"/>
          <w:b/>
          <w:bCs/>
          <w:sz w:val="22"/>
          <w:szCs w:val="22"/>
        </w:rPr>
      </w:pPr>
      <w:bookmarkStart w:id="11" w:name="_heading=h.g3d4oohatxdm" w:colFirst="0" w:colLast="0"/>
      <w:bookmarkEnd w:id="11"/>
      <w:r>
        <w:rPr>
          <w:rFonts w:ascii="Arial" w:eastAsia="Arial" w:hAnsi="Arial" w:cs="Arial"/>
          <w:b/>
          <w:bCs/>
          <w:sz w:val="22"/>
          <w:szCs w:val="22"/>
        </w:rPr>
        <w:t>Research Question</w:t>
      </w:r>
    </w:p>
    <w:p w14:paraId="51C39E9A" w14:textId="77777777" w:rsidR="006921ED" w:rsidRDefault="00D73B41">
      <w:pPr>
        <w:spacing w:before="240" w:after="240" w:line="360" w:lineRule="auto"/>
        <w:jc w:val="both"/>
        <w:rPr>
          <w:rFonts w:ascii="Arial" w:eastAsia="Arial" w:hAnsi="Arial" w:cs="Arial"/>
          <w:b/>
          <w:bCs/>
          <w:i/>
          <w:iCs/>
          <w:sz w:val="22"/>
          <w:szCs w:val="22"/>
        </w:rPr>
      </w:pPr>
      <w:r>
        <w:rPr>
          <w:rFonts w:ascii="Arial" w:eastAsia="Arial" w:hAnsi="Arial" w:cs="Arial"/>
          <w:b/>
          <w:bCs/>
          <w:i/>
          <w:iCs/>
          <w:sz w:val="22"/>
          <w:szCs w:val="22"/>
        </w:rPr>
        <w:t>What are the health and social care experiences of those living with HIV in the UK?</w:t>
      </w:r>
    </w:p>
    <w:p w14:paraId="51C39E9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involves experience of accessing and navigating health and social care services, experience of stigma, discrimination, effects on mental wellbeing and access to and sufficiency of social and psychosocial support.</w:t>
      </w:r>
    </w:p>
    <w:p w14:paraId="51C39E9C" w14:textId="77777777" w:rsidR="006921ED" w:rsidRDefault="00D73B41">
      <w:pPr>
        <w:pStyle w:val="Heading2"/>
        <w:numPr>
          <w:ilvl w:val="1"/>
          <w:numId w:val="4"/>
        </w:numPr>
        <w:spacing w:before="240" w:after="240" w:line="360" w:lineRule="auto"/>
        <w:jc w:val="both"/>
        <w:rPr>
          <w:rFonts w:ascii="Arial" w:eastAsia="Arial" w:hAnsi="Arial" w:cs="Arial"/>
          <w:b/>
          <w:bCs/>
          <w:sz w:val="22"/>
          <w:szCs w:val="22"/>
        </w:rPr>
      </w:pPr>
      <w:bookmarkStart w:id="12" w:name="_heading=h.7h98rhrnvg89" w:colFirst="0" w:colLast="0"/>
      <w:bookmarkEnd w:id="12"/>
      <w:r>
        <w:rPr>
          <w:rFonts w:ascii="Arial" w:eastAsia="Arial" w:hAnsi="Arial" w:cs="Arial"/>
          <w:b/>
          <w:bCs/>
          <w:sz w:val="22"/>
          <w:szCs w:val="22"/>
        </w:rPr>
        <w:t>Research Aim</w:t>
      </w:r>
    </w:p>
    <w:p w14:paraId="51C39E9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To determine the effect of HIV on physical, emotional and social well-being and to determine the quality of health and social care services.</w:t>
      </w:r>
    </w:p>
    <w:p w14:paraId="51C39E9E" w14:textId="77777777" w:rsidR="006921ED" w:rsidRDefault="00D73B41">
      <w:pPr>
        <w:pStyle w:val="Heading2"/>
        <w:numPr>
          <w:ilvl w:val="1"/>
          <w:numId w:val="4"/>
        </w:numPr>
        <w:spacing w:before="240" w:after="240" w:line="360" w:lineRule="auto"/>
        <w:jc w:val="both"/>
        <w:rPr>
          <w:rFonts w:ascii="Arial" w:eastAsia="Arial" w:hAnsi="Arial" w:cs="Arial"/>
          <w:b/>
          <w:bCs/>
          <w:sz w:val="22"/>
          <w:szCs w:val="22"/>
        </w:rPr>
      </w:pPr>
      <w:bookmarkStart w:id="13" w:name="_heading=h.2us0m3bsswff" w:colFirst="0" w:colLast="0"/>
      <w:bookmarkEnd w:id="13"/>
      <w:r>
        <w:rPr>
          <w:rFonts w:ascii="Arial" w:eastAsia="Arial" w:hAnsi="Arial" w:cs="Arial"/>
          <w:b/>
          <w:bCs/>
          <w:sz w:val="22"/>
          <w:szCs w:val="22"/>
        </w:rPr>
        <w:t>Research Objectives</w:t>
      </w:r>
    </w:p>
    <w:p w14:paraId="51C39E9F" w14:textId="77777777" w:rsidR="006921ED" w:rsidRDefault="00D73B41">
      <w:pPr>
        <w:numPr>
          <w:ilvl w:val="0"/>
          <w:numId w:val="1"/>
        </w:numPr>
        <w:pBdr>
          <w:top w:val="nil"/>
          <w:left w:val="nil"/>
          <w:bottom w:val="nil"/>
          <w:right w:val="nil"/>
          <w:between w:val="nil"/>
        </w:pBdr>
        <w:spacing w:before="240" w:after="0" w:line="360" w:lineRule="auto"/>
        <w:jc w:val="both"/>
        <w:rPr>
          <w:rFonts w:ascii="Arial" w:eastAsia="Arial" w:hAnsi="Arial" w:cs="Arial"/>
          <w:color w:val="000000"/>
          <w:sz w:val="22"/>
          <w:szCs w:val="22"/>
        </w:rPr>
      </w:pPr>
      <w:r>
        <w:rPr>
          <w:rFonts w:ascii="Arial" w:eastAsia="Arial" w:hAnsi="Arial" w:cs="Arial"/>
          <w:color w:val="000000"/>
          <w:sz w:val="22"/>
          <w:szCs w:val="22"/>
        </w:rPr>
        <w:t>To investigate the prevalence and health outcomes of HIV in the UK.</w:t>
      </w:r>
    </w:p>
    <w:p w14:paraId="51C39EA0" w14:textId="77777777" w:rsidR="006921ED" w:rsidRDefault="00D73B41">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To investigate the experience of accessing and using health and social care services.</w:t>
      </w:r>
    </w:p>
    <w:p w14:paraId="51C39EA1" w14:textId="77777777" w:rsidR="006921ED" w:rsidRDefault="00D73B41">
      <w:pPr>
        <w:numPr>
          <w:ilvl w:val="0"/>
          <w:numId w:val="1"/>
        </w:numPr>
        <w:pBdr>
          <w:top w:val="nil"/>
          <w:left w:val="nil"/>
          <w:bottom w:val="nil"/>
          <w:right w:val="nil"/>
          <w:between w:val="nil"/>
        </w:pBdr>
        <w:spacing w:after="0" w:line="360" w:lineRule="auto"/>
        <w:jc w:val="both"/>
        <w:rPr>
          <w:rFonts w:ascii="Arial" w:eastAsia="Arial" w:hAnsi="Arial" w:cs="Arial"/>
          <w:color w:val="000000"/>
          <w:sz w:val="22"/>
          <w:szCs w:val="22"/>
        </w:rPr>
      </w:pPr>
      <w:r>
        <w:rPr>
          <w:rFonts w:ascii="Arial" w:eastAsia="Arial" w:hAnsi="Arial" w:cs="Arial"/>
          <w:color w:val="000000"/>
          <w:sz w:val="22"/>
          <w:szCs w:val="22"/>
        </w:rPr>
        <w:t>To determine how the existing services can be improved and what they lack.</w:t>
      </w:r>
    </w:p>
    <w:p w14:paraId="51C39EA2" w14:textId="77777777" w:rsidR="006921ED" w:rsidRDefault="00D73B41">
      <w:pPr>
        <w:numPr>
          <w:ilvl w:val="0"/>
          <w:numId w:val="1"/>
        </w:numPr>
        <w:pBdr>
          <w:top w:val="nil"/>
          <w:left w:val="nil"/>
          <w:bottom w:val="nil"/>
          <w:right w:val="nil"/>
          <w:between w:val="nil"/>
        </w:pBdr>
        <w:spacing w:after="240" w:line="360" w:lineRule="auto"/>
        <w:jc w:val="both"/>
        <w:rPr>
          <w:rFonts w:ascii="Arial" w:eastAsia="Arial" w:hAnsi="Arial" w:cs="Arial"/>
          <w:color w:val="000000"/>
          <w:sz w:val="22"/>
          <w:szCs w:val="22"/>
        </w:rPr>
      </w:pPr>
      <w:r>
        <w:rPr>
          <w:rFonts w:ascii="Arial" w:eastAsia="Arial" w:hAnsi="Arial" w:cs="Arial"/>
          <w:color w:val="000000"/>
          <w:sz w:val="22"/>
          <w:szCs w:val="22"/>
        </w:rPr>
        <w:t>To generate evidence to reduce stigma and support more inclusive, patient-centred HIV care.</w:t>
      </w:r>
    </w:p>
    <w:p w14:paraId="51C39EA3" w14:textId="77777777" w:rsidR="006921ED" w:rsidRDefault="00D73B41">
      <w:pPr>
        <w:pStyle w:val="Heading2"/>
        <w:numPr>
          <w:ilvl w:val="1"/>
          <w:numId w:val="4"/>
        </w:numPr>
        <w:spacing w:before="240" w:after="240" w:line="360" w:lineRule="auto"/>
        <w:jc w:val="both"/>
        <w:rPr>
          <w:rFonts w:ascii="Arial" w:eastAsia="Arial" w:hAnsi="Arial" w:cs="Arial"/>
          <w:b/>
          <w:bCs/>
          <w:sz w:val="22"/>
          <w:szCs w:val="22"/>
        </w:rPr>
      </w:pPr>
      <w:bookmarkStart w:id="14" w:name="_heading=h.jl9j3usrbyh2" w:colFirst="0" w:colLast="0"/>
      <w:bookmarkEnd w:id="14"/>
      <w:r>
        <w:rPr>
          <w:rFonts w:ascii="Arial" w:eastAsia="Arial" w:hAnsi="Arial" w:cs="Arial"/>
          <w:b/>
          <w:bCs/>
          <w:sz w:val="22"/>
          <w:szCs w:val="22"/>
        </w:rPr>
        <w:t>Chapter Summary</w:t>
      </w:r>
    </w:p>
    <w:p w14:paraId="51C39EA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In the UK, the current stigmatisation and psychological health issues and the absence of integrated care regarding biomedical knowledge development, despite advances in biomedical knowledge, have defined HIV as a perennial social care and health challenge in the UK. It has presented the justification and research objectives. Chapter 2 examines the literature sources regarding HIV-related stigma, mental well-being, health and social care access, integrated care and qualitative evidence of lived experiences.</w:t>
      </w:r>
    </w:p>
    <w:p w14:paraId="51C39EA5" w14:textId="2C80FC58" w:rsidR="00102F91" w:rsidRDefault="00102F91">
      <w:pPr>
        <w:rPr>
          <w:rFonts w:ascii="Arial" w:eastAsia="Arial" w:hAnsi="Arial" w:cs="Arial"/>
          <w:sz w:val="22"/>
          <w:szCs w:val="22"/>
        </w:rPr>
      </w:pPr>
      <w:r>
        <w:rPr>
          <w:rFonts w:ascii="Arial" w:eastAsia="Arial" w:hAnsi="Arial" w:cs="Arial"/>
          <w:sz w:val="22"/>
          <w:szCs w:val="22"/>
        </w:rPr>
        <w:br w:type="page"/>
      </w:r>
    </w:p>
    <w:p w14:paraId="51C39EA6" w14:textId="77777777" w:rsidR="006921ED" w:rsidRDefault="00D73B41">
      <w:pPr>
        <w:pStyle w:val="Heading1"/>
        <w:numPr>
          <w:ilvl w:val="0"/>
          <w:numId w:val="5"/>
        </w:numPr>
        <w:spacing w:before="240" w:after="240" w:line="360" w:lineRule="auto"/>
        <w:jc w:val="center"/>
        <w:rPr>
          <w:rFonts w:ascii="Arial" w:eastAsia="Arial" w:hAnsi="Arial" w:cs="Arial"/>
          <w:b/>
          <w:bCs/>
          <w:color w:val="000000"/>
          <w:sz w:val="22"/>
          <w:szCs w:val="22"/>
        </w:rPr>
      </w:pPr>
      <w:bookmarkStart w:id="15" w:name="_heading=h.e0d9k8qv7vsh" w:colFirst="0" w:colLast="0"/>
      <w:bookmarkEnd w:id="15"/>
      <w:r>
        <w:rPr>
          <w:rFonts w:ascii="Arial" w:eastAsia="Arial" w:hAnsi="Arial" w:cs="Arial"/>
          <w:b/>
          <w:bCs/>
          <w:color w:val="000000"/>
          <w:sz w:val="22"/>
          <w:szCs w:val="22"/>
        </w:rPr>
        <w:lastRenderedPageBreak/>
        <w:t>Chapter 2: Literature Review</w:t>
      </w:r>
    </w:p>
    <w:p w14:paraId="51C39EA7" w14:textId="77777777" w:rsidR="006921ED" w:rsidRDefault="00D73B41">
      <w:pPr>
        <w:pStyle w:val="Heading2"/>
        <w:numPr>
          <w:ilvl w:val="1"/>
          <w:numId w:val="5"/>
        </w:numPr>
        <w:spacing w:before="240" w:after="240" w:line="360" w:lineRule="auto"/>
        <w:jc w:val="both"/>
        <w:rPr>
          <w:rFonts w:ascii="Arial" w:eastAsia="Arial" w:hAnsi="Arial" w:cs="Arial"/>
          <w:b/>
          <w:bCs/>
          <w:color w:val="000000"/>
          <w:sz w:val="22"/>
          <w:szCs w:val="22"/>
        </w:rPr>
      </w:pPr>
      <w:bookmarkStart w:id="16" w:name="_heading=h.ngsuamknoiev" w:colFirst="0" w:colLast="0"/>
      <w:bookmarkEnd w:id="16"/>
      <w:r>
        <w:rPr>
          <w:rFonts w:ascii="Arial" w:eastAsia="Arial" w:hAnsi="Arial" w:cs="Arial"/>
          <w:b/>
          <w:bCs/>
          <w:color w:val="000000"/>
          <w:sz w:val="22"/>
          <w:szCs w:val="22"/>
        </w:rPr>
        <w:t>Introduction to Literature Review Chapter</w:t>
      </w:r>
    </w:p>
    <w:p w14:paraId="51C39EA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chapter reviews existing academic and scholarly literature related to the health and social care experiences of people living with HIV in the United Kingdom. The review examines research on HIV as a long-term condition, the impact of stigma, access to health and social care services, ageing with HIV, and the influence of cultural and social factors on care experiences. The chapter also evaluates the strengths and limitations of previous studies and identifies gaps in current knowledge, providing the ra</w:t>
      </w:r>
      <w:r>
        <w:rPr>
          <w:rFonts w:ascii="Arial" w:eastAsia="Arial" w:hAnsi="Arial" w:cs="Arial"/>
          <w:sz w:val="22"/>
          <w:szCs w:val="22"/>
        </w:rPr>
        <w:t xml:space="preserve">tionale for the methodological approach adopted in the following chapter. </w:t>
      </w:r>
    </w:p>
    <w:p w14:paraId="51C39EA9" w14:textId="77777777" w:rsidR="006921ED" w:rsidRDefault="00D73B41">
      <w:pPr>
        <w:pStyle w:val="Heading2"/>
        <w:numPr>
          <w:ilvl w:val="1"/>
          <w:numId w:val="5"/>
        </w:numPr>
        <w:spacing w:before="240" w:after="240" w:line="360" w:lineRule="auto"/>
        <w:jc w:val="both"/>
        <w:rPr>
          <w:rFonts w:ascii="Arial" w:eastAsia="Arial" w:hAnsi="Arial" w:cs="Arial"/>
          <w:b/>
          <w:bCs/>
          <w:color w:val="000000"/>
          <w:sz w:val="22"/>
          <w:szCs w:val="22"/>
        </w:rPr>
      </w:pPr>
      <w:bookmarkStart w:id="17" w:name="_heading=h.2waa3amzmdwl" w:colFirst="0" w:colLast="0"/>
      <w:bookmarkEnd w:id="17"/>
      <w:r>
        <w:rPr>
          <w:rFonts w:ascii="Arial" w:eastAsia="Arial" w:hAnsi="Arial" w:cs="Arial"/>
          <w:b/>
          <w:bCs/>
          <w:color w:val="000000"/>
          <w:sz w:val="22"/>
          <w:szCs w:val="22"/>
        </w:rPr>
        <w:t>Literature review</w:t>
      </w:r>
    </w:p>
    <w:p w14:paraId="51C39EAA" w14:textId="77777777" w:rsidR="006921ED" w:rsidRDefault="00D73B41">
      <w:pPr>
        <w:pStyle w:val="Heading3"/>
        <w:numPr>
          <w:ilvl w:val="2"/>
          <w:numId w:val="5"/>
        </w:numPr>
        <w:spacing w:before="240" w:after="240" w:line="360" w:lineRule="auto"/>
        <w:jc w:val="both"/>
        <w:rPr>
          <w:rFonts w:ascii="Arial" w:eastAsia="Arial" w:hAnsi="Arial" w:cs="Arial"/>
          <w:b/>
          <w:bCs/>
          <w:color w:val="000000"/>
          <w:sz w:val="22"/>
          <w:szCs w:val="22"/>
        </w:rPr>
      </w:pPr>
      <w:bookmarkStart w:id="18" w:name="_heading=h.k6iewuo3lxfh" w:colFirst="0" w:colLast="0"/>
      <w:bookmarkEnd w:id="18"/>
      <w:r>
        <w:rPr>
          <w:rFonts w:ascii="Arial" w:eastAsia="Arial" w:hAnsi="Arial" w:cs="Arial"/>
          <w:b/>
          <w:bCs/>
          <w:color w:val="000000"/>
          <w:sz w:val="22"/>
          <w:szCs w:val="22"/>
        </w:rPr>
        <w:t>HIV as a Long-Term Condition in the United Kingdom</w:t>
      </w:r>
    </w:p>
    <w:p w14:paraId="51C39EA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development of antiretroviral therapy (ART) has turned HIV into a life-long condition and a significant issue in health and social care requirements of people living with HIV (PLWH). The higher life expectancy in the United Kingdom has led to the emergence of a larger number of people who need long-term follow-ups and psychological assistance as well as coordinated care instead of short-term clinical care (McKee et al., 2021). This has altered the outcome of studies toward quality of life, psychosocial </w:t>
      </w:r>
      <w:r>
        <w:rPr>
          <w:rFonts w:ascii="Arial" w:eastAsia="Arial" w:hAnsi="Arial" w:cs="Arial"/>
          <w:sz w:val="22"/>
          <w:szCs w:val="22"/>
        </w:rPr>
        <w:t>wellbeing, and the experience of patients in the health and social care systems instead of survival and effectiveness of treatment (Remien et al., 2019).</w:t>
      </w:r>
    </w:p>
    <w:p w14:paraId="51C39EA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Qualitative studies in the UK are going to prove that people tend to explain HIV as a life-long condition, presupposing constant interaction with health care facilities and coping with social difficulties. Results of the research provided on many individuals living with HIV, they remain uncertain, fear having disclosure, and worry about a social evaluation despite good treatment (Flint, </w:t>
      </w:r>
      <w:proofErr w:type="spellStart"/>
      <w:r>
        <w:rPr>
          <w:rFonts w:ascii="Arial" w:eastAsia="Arial" w:hAnsi="Arial" w:cs="Arial"/>
          <w:sz w:val="22"/>
          <w:szCs w:val="22"/>
        </w:rPr>
        <w:t>Günsche</w:t>
      </w:r>
      <w:proofErr w:type="spellEnd"/>
      <w:r>
        <w:rPr>
          <w:rFonts w:ascii="Arial" w:eastAsia="Arial" w:hAnsi="Arial" w:cs="Arial"/>
          <w:sz w:val="22"/>
          <w:szCs w:val="22"/>
        </w:rPr>
        <w:t xml:space="preserve"> and Burns, 2022). These results indicate that long-term social and psychological support cannot be eliminated by biomedical success.</w:t>
      </w:r>
    </w:p>
    <w:p w14:paraId="51C39EA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Nonetheless, the services provided in healthcare were initially intended to address the HIV as an epidemic crisis and not a chronic condition. Consequently, service models usually stick to the specialist clinical instead of the combined long-term care. The chronic disease management reviews suggest that long-term conditions should be managed by the combination of primary care, specialists, and social support, but such integration is not always done in the case of HIV care (</w:t>
      </w:r>
      <w:proofErr w:type="spellStart"/>
      <w:r>
        <w:rPr>
          <w:rFonts w:ascii="Arial" w:eastAsia="Arial" w:hAnsi="Arial" w:cs="Arial"/>
          <w:sz w:val="22"/>
          <w:szCs w:val="22"/>
        </w:rPr>
        <w:t>Mkumba</w:t>
      </w:r>
      <w:proofErr w:type="spellEnd"/>
      <w:r>
        <w:rPr>
          <w:rFonts w:ascii="Arial" w:eastAsia="Arial" w:hAnsi="Arial" w:cs="Arial"/>
          <w:sz w:val="22"/>
          <w:szCs w:val="22"/>
        </w:rPr>
        <w:t xml:space="preserve"> et al., 2021). The given gap between clinical success </w:t>
      </w:r>
      <w:r>
        <w:rPr>
          <w:rFonts w:ascii="Arial" w:eastAsia="Arial" w:hAnsi="Arial" w:cs="Arial"/>
          <w:sz w:val="22"/>
          <w:szCs w:val="22"/>
        </w:rPr>
        <w:lastRenderedPageBreak/>
        <w:t>and lived experience indicates the necessity of additional research that would focus on the health and social care experiences.</w:t>
      </w:r>
    </w:p>
    <w:p w14:paraId="51C39EAE" w14:textId="77777777" w:rsidR="006921ED" w:rsidRDefault="00D73B41">
      <w:pPr>
        <w:pStyle w:val="Heading3"/>
        <w:numPr>
          <w:ilvl w:val="2"/>
          <w:numId w:val="5"/>
        </w:numPr>
        <w:spacing w:before="240" w:after="240" w:line="360" w:lineRule="auto"/>
        <w:jc w:val="both"/>
        <w:rPr>
          <w:rFonts w:ascii="Arial" w:eastAsia="Arial" w:hAnsi="Arial" w:cs="Arial"/>
          <w:b/>
          <w:bCs/>
          <w:color w:val="000000"/>
          <w:sz w:val="22"/>
          <w:szCs w:val="22"/>
        </w:rPr>
      </w:pPr>
      <w:bookmarkStart w:id="19" w:name="_heading=h.fbuxmzu881xe" w:colFirst="0" w:colLast="0"/>
      <w:bookmarkEnd w:id="19"/>
      <w:r>
        <w:rPr>
          <w:rFonts w:ascii="Arial" w:eastAsia="Arial" w:hAnsi="Arial" w:cs="Arial"/>
          <w:b/>
          <w:bCs/>
          <w:color w:val="000000"/>
          <w:sz w:val="22"/>
          <w:szCs w:val="22"/>
        </w:rPr>
        <w:t>Stigmatization and Psychosocial Effects of HIV</w:t>
      </w:r>
    </w:p>
    <w:p w14:paraId="51C39EAF"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Stigma has been one of the most popular topics of study on HIV literature and still impacts the health and wellbeing of individuals who are living with it. Stigma of HIV may take place on the internal, interpersonal, and institutional levels, which are affecting mental health, interpersonal relationships, and interactions with healthcare services (Turan et al., 2016). It has been found that stigma is closely linked with depression, anxiety, and poor quality of life among PLWH (Zhang et al., 2023).</w:t>
      </w:r>
    </w:p>
    <w:p w14:paraId="51C39EB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Research studies carried out in the UK show that stigma has evolved over time and has not vanished. In a study by Hedge et al. (2021), the authors discovered that even though the levels of overt discrimination have gotten lower since the introduction of ART, the levels of stigma and fear of disclosure still exist, especially among men who have sex with men and minor ethnicities (Hedge et al., 2021).</w:t>
      </w:r>
    </w:p>
    <w:p w14:paraId="51C39EB1"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It is especially necessary to focus on healthcare-related stigma since it can influence service access. According to Wiginton et al. (2021), victims of discrimination in healthcare were more likely to be unmet by mental health and social support needs (Wiginton et al., 2021). Furthermore, Rai et al. (2019) discovered that not all patients were comfortable discussing HIV-related problems with the general practitioners because they either felt ignorant or were afraid of being judged, which can decrease the tr</w:t>
      </w:r>
      <w:r>
        <w:rPr>
          <w:rFonts w:ascii="Arial" w:eastAsia="Arial" w:hAnsi="Arial" w:cs="Arial"/>
          <w:sz w:val="22"/>
          <w:szCs w:val="22"/>
        </w:rPr>
        <w:t>ust in primary care services (Rai et al., 2019).</w:t>
      </w:r>
    </w:p>
    <w:p w14:paraId="51C39EB2"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As much as these studies give sufficient evidence on the ongoing effects of stigma, there are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limitations. Most of them are based on self-reported information and are frequently performed in specialist clinics in major cities especially London. This reduces the </w:t>
      </w:r>
      <w:proofErr w:type="spellStart"/>
      <w:r>
        <w:rPr>
          <w:rFonts w:ascii="Arial" w:eastAsia="Arial" w:hAnsi="Arial" w:cs="Arial"/>
          <w:sz w:val="22"/>
          <w:szCs w:val="22"/>
        </w:rPr>
        <w:t>extrapolability</w:t>
      </w:r>
      <w:proofErr w:type="spellEnd"/>
      <w:r>
        <w:rPr>
          <w:rFonts w:ascii="Arial" w:eastAsia="Arial" w:hAnsi="Arial" w:cs="Arial"/>
          <w:sz w:val="22"/>
          <w:szCs w:val="22"/>
        </w:rPr>
        <w:t xml:space="preserve"> of the results to other regions in the UK. Moreover, although the stigma is extensively characterized, not many studies investigate how the healthcare systems can be successful in minimizing stigma.</w:t>
      </w:r>
    </w:p>
    <w:p w14:paraId="51C39EB3" w14:textId="77777777" w:rsidR="006921ED" w:rsidRDefault="00D73B41">
      <w:pPr>
        <w:pStyle w:val="Heading3"/>
        <w:numPr>
          <w:ilvl w:val="2"/>
          <w:numId w:val="5"/>
        </w:numPr>
        <w:spacing w:before="240" w:after="240" w:line="360" w:lineRule="auto"/>
        <w:jc w:val="both"/>
        <w:rPr>
          <w:rFonts w:ascii="Arial" w:eastAsia="Arial" w:hAnsi="Arial" w:cs="Arial"/>
          <w:b/>
          <w:bCs/>
          <w:color w:val="000000"/>
          <w:sz w:val="22"/>
          <w:szCs w:val="22"/>
        </w:rPr>
      </w:pPr>
      <w:bookmarkStart w:id="20" w:name="_heading=h.qveq3qqy5fdr" w:colFirst="0" w:colLast="0"/>
      <w:bookmarkEnd w:id="20"/>
      <w:r>
        <w:rPr>
          <w:rFonts w:ascii="Arial" w:eastAsia="Arial" w:hAnsi="Arial" w:cs="Arial"/>
          <w:b/>
          <w:bCs/>
          <w:color w:val="000000"/>
          <w:sz w:val="22"/>
          <w:szCs w:val="22"/>
        </w:rPr>
        <w:t>Health and Social Care and Fragmentation of Services</w:t>
      </w:r>
    </w:p>
    <w:p w14:paraId="51C39EB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Since HIV has become a chronic illness, the people are usually in need of the assistance of various services, such as the specialist clinics, general practitioners, mental health services, and social caregivers (WHO, 2025). Good management is hence based on the coordination of various aspects of the healthcare system, but studies indicate that service fragmentation is still an issue in most cases.</w:t>
      </w:r>
    </w:p>
    <w:p w14:paraId="51C39EB5"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Most of the patients have positive experiences in specialist HIV clinics but lose confidence when using general practice. Rai et al. (2019) stated that despite </w:t>
      </w:r>
      <w:proofErr w:type="gramStart"/>
      <w:r>
        <w:rPr>
          <w:rFonts w:ascii="Arial" w:eastAsia="Arial" w:hAnsi="Arial" w:cs="Arial"/>
          <w:sz w:val="22"/>
          <w:szCs w:val="22"/>
        </w:rPr>
        <w:t>the majority of</w:t>
      </w:r>
      <w:proofErr w:type="gramEnd"/>
      <w:r>
        <w:rPr>
          <w:rFonts w:ascii="Arial" w:eastAsia="Arial" w:hAnsi="Arial" w:cs="Arial"/>
          <w:sz w:val="22"/>
          <w:szCs w:val="22"/>
        </w:rPr>
        <w:t xml:space="preserve"> the participants being registered with a GP, a smaller number stated that they feel comfortable to discuss HIV-related issues because of fear of stigma or because of the primary care staff not being knowledgeable enough. Likewise, Keogh, Weatherburn and Reid (2016) established that disclosure was constrained by some patients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avoid negative responses, which may decrease continuity of care (Keogh, Weatherburn and Reid, 2016).</w:t>
      </w:r>
    </w:p>
    <w:p w14:paraId="51C39EB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It is also proposed that patients </w:t>
      </w:r>
      <w:proofErr w:type="gramStart"/>
      <w:r>
        <w:rPr>
          <w:rFonts w:ascii="Arial" w:eastAsia="Arial" w:hAnsi="Arial" w:cs="Arial"/>
          <w:sz w:val="22"/>
          <w:szCs w:val="22"/>
        </w:rPr>
        <w:t>have a tendency to</w:t>
      </w:r>
      <w:proofErr w:type="gramEnd"/>
      <w:r>
        <w:rPr>
          <w:rFonts w:ascii="Arial" w:eastAsia="Arial" w:hAnsi="Arial" w:cs="Arial"/>
          <w:sz w:val="22"/>
          <w:szCs w:val="22"/>
        </w:rPr>
        <w:t xml:space="preserve"> stay in expert HIV services since they find these places more educated and helpful (Pollard et al., 2017). This choice can restrain the performance of shared-care models that are promoted by NHS policy and focus on the treatment of long-term conditions in primary care (Healey et al., 2015).</w:t>
      </w:r>
    </w:p>
    <w:p w14:paraId="51C39EB7"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Though literature is clear that fragmentation is one of the issues, there is scanty literature that assesses the effectiveness of integrated care models in practice. </w:t>
      </w:r>
      <w:proofErr w:type="gramStart"/>
      <w:r>
        <w:rPr>
          <w:rFonts w:ascii="Arial" w:eastAsia="Arial" w:hAnsi="Arial" w:cs="Arial"/>
          <w:sz w:val="22"/>
          <w:szCs w:val="22"/>
        </w:rPr>
        <w:t>The majority of</w:t>
      </w:r>
      <w:proofErr w:type="gramEnd"/>
      <w:r>
        <w:rPr>
          <w:rFonts w:ascii="Arial" w:eastAsia="Arial" w:hAnsi="Arial" w:cs="Arial"/>
          <w:sz w:val="22"/>
          <w:szCs w:val="22"/>
        </w:rPr>
        <w:t xml:space="preserve"> the studies outline patient experiences as opposed to looking at the results of service delivery meaning that there is a gap that needs to be filled with research on how the health and social care systems work in tandem.</w:t>
      </w:r>
    </w:p>
    <w:p w14:paraId="51C39EB8" w14:textId="77777777" w:rsidR="006921ED" w:rsidRDefault="00D73B41">
      <w:pPr>
        <w:pStyle w:val="Heading3"/>
        <w:numPr>
          <w:ilvl w:val="2"/>
          <w:numId w:val="5"/>
        </w:numPr>
        <w:spacing w:before="240" w:after="240" w:line="360" w:lineRule="auto"/>
        <w:jc w:val="both"/>
        <w:rPr>
          <w:rFonts w:ascii="Arial" w:eastAsia="Arial" w:hAnsi="Arial" w:cs="Arial"/>
          <w:b/>
          <w:bCs/>
          <w:color w:val="000000"/>
          <w:sz w:val="22"/>
          <w:szCs w:val="22"/>
        </w:rPr>
      </w:pPr>
      <w:bookmarkStart w:id="21" w:name="_heading=h.be6mrl270kq" w:colFirst="0" w:colLast="0"/>
      <w:bookmarkEnd w:id="21"/>
      <w:r>
        <w:rPr>
          <w:rFonts w:ascii="Arial" w:eastAsia="Arial" w:hAnsi="Arial" w:cs="Arial"/>
          <w:b/>
          <w:bCs/>
          <w:color w:val="000000"/>
          <w:sz w:val="22"/>
          <w:szCs w:val="22"/>
        </w:rPr>
        <w:t>Multimorbidity and Ageing with HIV</w:t>
      </w:r>
    </w:p>
    <w:p w14:paraId="51C39EB9"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With the emergence of new health and social care challenges, most people are living longer due to the improved treatment, putting pressure on health and social care systems. The elderly people with HIV are at risk of acquiring other chronic issues, such as cardiovascular disease, mental health issues, and medication-related issues, necessitating the interdisciplinary approach of having multiple services (</w:t>
      </w:r>
      <w:proofErr w:type="spellStart"/>
      <w:r>
        <w:rPr>
          <w:rFonts w:ascii="Arial" w:eastAsia="Arial" w:hAnsi="Arial" w:cs="Arial"/>
          <w:sz w:val="22"/>
          <w:szCs w:val="22"/>
        </w:rPr>
        <w:t>Kokorelias</w:t>
      </w:r>
      <w:proofErr w:type="spellEnd"/>
      <w:r>
        <w:rPr>
          <w:rFonts w:ascii="Arial" w:eastAsia="Arial" w:hAnsi="Arial" w:cs="Arial"/>
          <w:sz w:val="22"/>
          <w:szCs w:val="22"/>
        </w:rPr>
        <w:t xml:space="preserve"> et al., 2025).</w:t>
      </w:r>
    </w:p>
    <w:p w14:paraId="51C39EBA"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Elderly people might also encounter special psychosocial problems. Yousef et al. (2018) discovered that the older adults were less prone to the perception of risk of HIV that can result in later diagnosis and worse health outcomes (Youssef et al., 2018).  Pollard et al. (2018) also found that </w:t>
      </w:r>
      <w:proofErr w:type="gramStart"/>
      <w:r>
        <w:rPr>
          <w:rFonts w:ascii="Arial" w:eastAsia="Arial" w:hAnsi="Arial" w:cs="Arial"/>
          <w:sz w:val="22"/>
          <w:szCs w:val="22"/>
        </w:rPr>
        <w:t>a large number of</w:t>
      </w:r>
      <w:proofErr w:type="gramEnd"/>
      <w:r>
        <w:rPr>
          <w:rFonts w:ascii="Arial" w:eastAsia="Arial" w:hAnsi="Arial" w:cs="Arial"/>
          <w:sz w:val="22"/>
          <w:szCs w:val="22"/>
        </w:rPr>
        <w:t xml:space="preserve"> older patients do not want to leave the specialist HIV clinics due to their fears of confidentiality and their ignorance of general practice. This implies that the existing service models can be not entirely ready to address the needs of an ageing population.</w:t>
      </w:r>
    </w:p>
    <w:p w14:paraId="51C39EB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Still, there are numerous studies based on clinical outcomes and few studies are aimed at the lived experience and prevalence of ageing with HIV in the UK. This underscores the importance of possible qualitative research studies that investigate the experiences of older adults regarding the health and social care services.</w:t>
      </w:r>
    </w:p>
    <w:p w14:paraId="51C39EBC" w14:textId="77777777" w:rsidR="006921ED" w:rsidRDefault="00D73B41">
      <w:pPr>
        <w:pStyle w:val="Heading3"/>
        <w:numPr>
          <w:ilvl w:val="2"/>
          <w:numId w:val="5"/>
        </w:numPr>
        <w:spacing w:before="240" w:after="240" w:line="360" w:lineRule="auto"/>
        <w:jc w:val="both"/>
        <w:rPr>
          <w:rFonts w:ascii="Arial" w:eastAsia="Arial" w:hAnsi="Arial" w:cs="Arial"/>
          <w:b/>
          <w:bCs/>
          <w:color w:val="000000"/>
          <w:sz w:val="22"/>
          <w:szCs w:val="22"/>
        </w:rPr>
      </w:pPr>
      <w:bookmarkStart w:id="22" w:name="_heading=h.30ii3jsph792" w:colFirst="0" w:colLast="0"/>
      <w:bookmarkEnd w:id="22"/>
      <w:r>
        <w:rPr>
          <w:rFonts w:ascii="Arial" w:eastAsia="Arial" w:hAnsi="Arial" w:cs="Arial"/>
          <w:b/>
          <w:bCs/>
          <w:color w:val="000000"/>
          <w:sz w:val="22"/>
          <w:szCs w:val="22"/>
        </w:rPr>
        <w:lastRenderedPageBreak/>
        <w:t>Cultural, Social and Structural Inequalities</w:t>
      </w:r>
    </w:p>
    <w:p w14:paraId="51C39EBD" w14:textId="4ECC0E7F"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Social and cultural factors that affect experiences of HIV care include ethnicity, gender, sexuality, and status of migration. According to intersectionality theory</w:t>
      </w:r>
      <w:r w:rsidR="00273DDA">
        <w:rPr>
          <w:rFonts w:ascii="Arial" w:eastAsia="Arial" w:hAnsi="Arial" w:cs="Arial"/>
          <w:sz w:val="22"/>
          <w:szCs w:val="22"/>
        </w:rPr>
        <w:t xml:space="preserve"> (Crenshaw, 1989)</w:t>
      </w:r>
      <w:r>
        <w:rPr>
          <w:rFonts w:ascii="Arial" w:eastAsia="Arial" w:hAnsi="Arial" w:cs="Arial"/>
          <w:sz w:val="22"/>
          <w:szCs w:val="22"/>
        </w:rPr>
        <w:t>, people can be exposed to more than one type of disadvantage simultaneously, which can have an impact on the access to healthcare and overall wellness</w:t>
      </w:r>
      <w:r>
        <w:rPr>
          <w:rFonts w:ascii="Arial" w:eastAsia="Arial" w:hAnsi="Arial" w:cs="Arial"/>
          <w:sz w:val="22"/>
          <w:szCs w:val="22"/>
        </w:rPr>
        <w:t>.</w:t>
      </w:r>
    </w:p>
    <w:p w14:paraId="51C39EB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Research carried out with the African and Caribbean people in the UK demonstrates that cultural beliefs and fear of social disassociation could contribute to stigma. Cultural and religious perception towards HIV influenced HIV treatment and disclosure among Black Africans and the Caribbean participants (Ngcobo and </w:t>
      </w:r>
      <w:proofErr w:type="spellStart"/>
      <w:r>
        <w:rPr>
          <w:rFonts w:ascii="Arial" w:eastAsia="Arial" w:hAnsi="Arial" w:cs="Arial"/>
          <w:sz w:val="22"/>
          <w:szCs w:val="22"/>
        </w:rPr>
        <w:t>Zhandire</w:t>
      </w:r>
      <w:proofErr w:type="spellEnd"/>
      <w:r>
        <w:rPr>
          <w:rFonts w:ascii="Arial" w:eastAsia="Arial" w:hAnsi="Arial" w:cs="Arial"/>
          <w:sz w:val="22"/>
          <w:szCs w:val="22"/>
        </w:rPr>
        <w:t>, 2025). African and Caribbean females mentioned the fear of being judged by the community and the distrust towards healthcare services.</w:t>
      </w:r>
    </w:p>
    <w:p w14:paraId="51C39EBF"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studies on migrant women are no exception because it has been found that legal status, social isolation, and cultural expectations can impact the service utilization. Ndirangu and Evans (2008) discovered that positive relationships with health practitioners contributed to managing the stigma in the individuals, yet the culture and migration barriers were still critical (Ndirangu and Evans, 2008).</w:t>
      </w:r>
    </w:p>
    <w:p w14:paraId="51C39EC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Even though more studies are conducted about </w:t>
      </w:r>
      <w:proofErr w:type="gramStart"/>
      <w:r>
        <w:rPr>
          <w:rFonts w:ascii="Arial" w:eastAsia="Arial" w:hAnsi="Arial" w:cs="Arial"/>
          <w:sz w:val="22"/>
          <w:szCs w:val="22"/>
        </w:rPr>
        <w:t>particular populations</w:t>
      </w:r>
      <w:proofErr w:type="gramEnd"/>
      <w:r>
        <w:rPr>
          <w:rFonts w:ascii="Arial" w:eastAsia="Arial" w:hAnsi="Arial" w:cs="Arial"/>
          <w:sz w:val="22"/>
          <w:szCs w:val="22"/>
        </w:rPr>
        <w:t>, most of them focus on individual populations but not on the comparison of the experiences of different groups. This renders the concept of social inequalities and interaction with healthcare systems hard to comprehend, meaning the necessity of the research that will generalise evidence among various groups.</w:t>
      </w:r>
    </w:p>
    <w:p w14:paraId="51C39EC1" w14:textId="77777777" w:rsidR="006921ED" w:rsidRDefault="00D73B41">
      <w:pPr>
        <w:pStyle w:val="Heading3"/>
        <w:numPr>
          <w:ilvl w:val="2"/>
          <w:numId w:val="5"/>
        </w:numPr>
        <w:spacing w:before="240" w:after="240" w:line="360" w:lineRule="auto"/>
        <w:jc w:val="both"/>
        <w:rPr>
          <w:rFonts w:ascii="Arial" w:eastAsia="Arial" w:hAnsi="Arial" w:cs="Arial"/>
          <w:b/>
          <w:bCs/>
          <w:color w:val="000000"/>
          <w:sz w:val="22"/>
          <w:szCs w:val="22"/>
        </w:rPr>
      </w:pPr>
      <w:bookmarkStart w:id="23" w:name="_heading=h.q4bc2xr9uvg5" w:colFirst="0" w:colLast="0"/>
      <w:bookmarkEnd w:id="23"/>
      <w:r>
        <w:rPr>
          <w:rFonts w:ascii="Arial" w:eastAsia="Arial" w:hAnsi="Arial" w:cs="Arial"/>
          <w:b/>
          <w:bCs/>
          <w:color w:val="000000"/>
          <w:sz w:val="22"/>
          <w:szCs w:val="22"/>
        </w:rPr>
        <w:t>Significance of Qualitative Evidence and Patient Experience Research</w:t>
      </w:r>
    </w:p>
    <w:p w14:paraId="51C39EC2"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Quantitative studies have volunteered helpful information regarding prevalence, treatment results and utilisation of services, yet it does not enlighten fully on how individuals live with HIV. Qualitative study enables the examination of feelings, interpersonal relations, and daily difficulties, which are necessary to comprehend the health and social care requirements (Pyo et al., 2023).</w:t>
      </w:r>
    </w:p>
    <w:p w14:paraId="51C39EC3"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Long-term conditions are especially vulnerable to patient experience studies as they can show a problem that might not be apparent in clinical data, like fear of stigma, dissatisfaction with services, or problems navigating the healthcare systems (Zhu et al., 2022). Such a review of qualitative research highlights that the analysis of lived experience can inform the creation of more person-oriented services.</w:t>
      </w:r>
    </w:p>
    <w:p w14:paraId="51C39EC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 xml:space="preserve">Although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qualitative studies have been increasing, these are not synthesized in terms of the UK context, or in terms of health and social care experiences and not prevention or treatment outcomes. This lapse is the reason why the current study will be relevant, as the purpose is to synthesise the current body of qualitative and mixed-method research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gain a better insight into how individuals with HIV perceive health and social care in the United Kingdom.</w:t>
      </w:r>
    </w:p>
    <w:p w14:paraId="51C39EC5" w14:textId="77777777" w:rsidR="006921ED" w:rsidRDefault="00D73B41">
      <w:pPr>
        <w:pStyle w:val="Heading2"/>
        <w:numPr>
          <w:ilvl w:val="1"/>
          <w:numId w:val="5"/>
        </w:numPr>
        <w:spacing w:before="240" w:after="240" w:line="360" w:lineRule="auto"/>
        <w:jc w:val="both"/>
        <w:rPr>
          <w:rFonts w:ascii="Arial" w:eastAsia="Arial" w:hAnsi="Arial" w:cs="Arial"/>
          <w:b/>
          <w:bCs/>
          <w:color w:val="000000"/>
          <w:sz w:val="22"/>
          <w:szCs w:val="22"/>
        </w:rPr>
      </w:pPr>
      <w:bookmarkStart w:id="24" w:name="_heading=h.z0z1yqq562vy" w:colFirst="0" w:colLast="0"/>
      <w:bookmarkEnd w:id="24"/>
      <w:r>
        <w:rPr>
          <w:rFonts w:ascii="Arial" w:eastAsia="Arial" w:hAnsi="Arial" w:cs="Arial"/>
          <w:b/>
          <w:bCs/>
          <w:color w:val="000000"/>
          <w:sz w:val="22"/>
          <w:szCs w:val="22"/>
        </w:rPr>
        <w:t>Research Gap</w:t>
      </w:r>
    </w:p>
    <w:p w14:paraId="51C39EC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Despite an extensive literature that has been conducted to understand stigma, access to healthcare, ageing with HIV and the effects of culture on the lives of people living with HIV in the United Kingdom, the literature has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gaps that have been left. Numerous investigations have been conducted on </w:t>
      </w:r>
      <w:proofErr w:type="gramStart"/>
      <w:r>
        <w:rPr>
          <w:rFonts w:ascii="Arial" w:eastAsia="Arial" w:hAnsi="Arial" w:cs="Arial"/>
          <w:sz w:val="22"/>
          <w:szCs w:val="22"/>
        </w:rPr>
        <w:t>particular matters</w:t>
      </w:r>
      <w:proofErr w:type="gramEnd"/>
      <w:r>
        <w:rPr>
          <w:rFonts w:ascii="Arial" w:eastAsia="Arial" w:hAnsi="Arial" w:cs="Arial"/>
          <w:sz w:val="22"/>
          <w:szCs w:val="22"/>
        </w:rPr>
        <w:t xml:space="preserve"> including stigma, primary care experience, ageing with HIV, or cultural barriers among minority communities, but few studies have detailed these issues in the same framework of health and social care experiences. Moreover, it is possible that a large part of the existing literature utilises small qualitative samples or is done in specialised clinics in London, which further restricts the external validity</w:t>
      </w:r>
      <w:r>
        <w:rPr>
          <w:rFonts w:ascii="Arial" w:eastAsia="Arial" w:hAnsi="Arial" w:cs="Arial"/>
          <w:sz w:val="22"/>
          <w:szCs w:val="22"/>
        </w:rPr>
        <w:t xml:space="preserve"> of the results to the general UK population. The positive voices study presented quantitative surveys that are wider, but they fail to elaborate on lived experiences. Besides, limited research has integrated qualitative and mixed-method evidence to comprehend the interplay between stigma, fragmentation in the service, ageing, and social inequalities to impact the experience of patients throughout the health and social care system. Thus, the systematic review that will bring together the available literatur</w:t>
      </w:r>
      <w:r>
        <w:rPr>
          <w:rFonts w:ascii="Arial" w:eastAsia="Arial" w:hAnsi="Arial" w:cs="Arial"/>
          <w:sz w:val="22"/>
          <w:szCs w:val="22"/>
        </w:rPr>
        <w:t>e to gain a deeper insight into the health and social care experiences of HIV-affected individuals in the UK is required, and it is against this that the current study is based.</w:t>
      </w:r>
    </w:p>
    <w:p w14:paraId="51C39EC7" w14:textId="77777777" w:rsidR="006921ED" w:rsidRDefault="00D73B41">
      <w:pPr>
        <w:pStyle w:val="Heading2"/>
        <w:numPr>
          <w:ilvl w:val="1"/>
          <w:numId w:val="5"/>
        </w:numPr>
        <w:spacing w:before="240" w:after="240" w:line="360" w:lineRule="auto"/>
        <w:jc w:val="both"/>
        <w:rPr>
          <w:rFonts w:ascii="Arial" w:eastAsia="Arial" w:hAnsi="Arial" w:cs="Arial"/>
          <w:b/>
          <w:bCs/>
          <w:color w:val="000000"/>
          <w:sz w:val="22"/>
          <w:szCs w:val="22"/>
        </w:rPr>
      </w:pPr>
      <w:bookmarkStart w:id="25" w:name="_heading=h.dfh76vvmkf9p" w:colFirst="0" w:colLast="0"/>
      <w:bookmarkEnd w:id="25"/>
      <w:r>
        <w:rPr>
          <w:rFonts w:ascii="Arial" w:eastAsia="Arial" w:hAnsi="Arial" w:cs="Arial"/>
          <w:b/>
          <w:bCs/>
          <w:color w:val="000000"/>
          <w:sz w:val="22"/>
          <w:szCs w:val="22"/>
        </w:rPr>
        <w:t>Chapter Summary</w:t>
      </w:r>
    </w:p>
    <w:p w14:paraId="51C39EC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chapter has examined the current literature on health and social care experiences of people living with HIV in United Kingdom based on HIV as a long-term condition, the effects of stigma, access to healthcare services, ageing with HIV, and the role of social and cultural factors. The review has indicated that even with the positive outcomes brought about by biomedical treatment and issues of stigma, disjointed care and inequalities still exist. It is based on the gaps found in existing research that the</w:t>
      </w:r>
      <w:r>
        <w:rPr>
          <w:rFonts w:ascii="Arial" w:eastAsia="Arial" w:hAnsi="Arial" w:cs="Arial"/>
          <w:sz w:val="22"/>
          <w:szCs w:val="22"/>
        </w:rPr>
        <w:t xml:space="preserve"> rationale behind this study is contained. The next chapter contains the description of the methodology applied to perform the systematic review.</w:t>
      </w:r>
    </w:p>
    <w:p w14:paraId="51C39EC9" w14:textId="08CF6584" w:rsidR="00102F91" w:rsidRDefault="00102F91">
      <w:pPr>
        <w:rPr>
          <w:rFonts w:ascii="Arial" w:eastAsia="Arial" w:hAnsi="Arial" w:cs="Arial"/>
          <w:sz w:val="22"/>
          <w:szCs w:val="22"/>
        </w:rPr>
      </w:pPr>
      <w:r>
        <w:rPr>
          <w:rFonts w:ascii="Arial" w:eastAsia="Arial" w:hAnsi="Arial" w:cs="Arial"/>
          <w:sz w:val="22"/>
          <w:szCs w:val="22"/>
        </w:rPr>
        <w:br w:type="page"/>
      </w:r>
    </w:p>
    <w:p w14:paraId="51C39ECA" w14:textId="77777777" w:rsidR="006921ED" w:rsidRDefault="00D73B41">
      <w:pPr>
        <w:pStyle w:val="Heading1"/>
        <w:numPr>
          <w:ilvl w:val="0"/>
          <w:numId w:val="6"/>
        </w:numPr>
        <w:spacing w:before="240" w:after="240" w:line="360" w:lineRule="auto"/>
        <w:jc w:val="center"/>
        <w:rPr>
          <w:rFonts w:ascii="Arial" w:eastAsia="Arial" w:hAnsi="Arial" w:cs="Arial"/>
          <w:b/>
          <w:bCs/>
          <w:color w:val="000000"/>
          <w:sz w:val="22"/>
          <w:szCs w:val="22"/>
        </w:rPr>
      </w:pPr>
      <w:bookmarkStart w:id="26" w:name="_heading=h.ipgnarl3bql9" w:colFirst="0" w:colLast="0"/>
      <w:bookmarkEnd w:id="26"/>
      <w:r>
        <w:rPr>
          <w:rFonts w:ascii="Arial" w:eastAsia="Arial" w:hAnsi="Arial" w:cs="Arial"/>
          <w:b/>
          <w:bCs/>
          <w:color w:val="000000"/>
          <w:sz w:val="22"/>
          <w:szCs w:val="22"/>
        </w:rPr>
        <w:lastRenderedPageBreak/>
        <w:t>Chapter 3: Methodology</w:t>
      </w:r>
    </w:p>
    <w:p w14:paraId="51C39ECB" w14:textId="77777777" w:rsidR="006921ED" w:rsidRDefault="00D73B41">
      <w:pPr>
        <w:pStyle w:val="Heading2"/>
        <w:numPr>
          <w:ilvl w:val="1"/>
          <w:numId w:val="6"/>
        </w:numPr>
        <w:spacing w:before="240" w:after="240" w:line="360" w:lineRule="auto"/>
        <w:jc w:val="both"/>
        <w:rPr>
          <w:rFonts w:ascii="Arial" w:eastAsia="Arial" w:hAnsi="Arial" w:cs="Arial"/>
          <w:b/>
          <w:bCs/>
          <w:color w:val="000000"/>
          <w:sz w:val="22"/>
          <w:szCs w:val="22"/>
        </w:rPr>
      </w:pPr>
      <w:bookmarkStart w:id="27" w:name="_heading=h.35pifob1hh7m" w:colFirst="0" w:colLast="0"/>
      <w:bookmarkEnd w:id="27"/>
      <w:r>
        <w:rPr>
          <w:rFonts w:ascii="Arial" w:eastAsia="Arial" w:hAnsi="Arial" w:cs="Arial"/>
          <w:b/>
          <w:bCs/>
          <w:color w:val="000000"/>
          <w:sz w:val="22"/>
          <w:szCs w:val="22"/>
        </w:rPr>
        <w:t>Introduction to Chapter</w:t>
      </w:r>
    </w:p>
    <w:p w14:paraId="51C39EC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A systematic literature review (SLR) was selected to justify a rigorous and transparent synthesis of qualitative evidence in responding to the research question (</w:t>
      </w:r>
      <w:proofErr w:type="spellStart"/>
      <w:r>
        <w:rPr>
          <w:rFonts w:ascii="Arial" w:eastAsia="Arial" w:hAnsi="Arial" w:cs="Arial"/>
          <w:sz w:val="22"/>
          <w:szCs w:val="22"/>
        </w:rPr>
        <w:t>Gusenbauer</w:t>
      </w:r>
      <w:proofErr w:type="spellEnd"/>
      <w:r>
        <w:rPr>
          <w:rFonts w:ascii="Arial" w:eastAsia="Arial" w:hAnsi="Arial" w:cs="Arial"/>
          <w:sz w:val="22"/>
          <w:szCs w:val="22"/>
        </w:rPr>
        <w:t xml:space="preserve"> and </w:t>
      </w:r>
      <w:proofErr w:type="spellStart"/>
      <w:r>
        <w:rPr>
          <w:rFonts w:ascii="Arial" w:eastAsia="Arial" w:hAnsi="Arial" w:cs="Arial"/>
          <w:sz w:val="22"/>
          <w:szCs w:val="22"/>
        </w:rPr>
        <w:t>Gauster</w:t>
      </w:r>
      <w:proofErr w:type="spellEnd"/>
      <w:r>
        <w:rPr>
          <w:rFonts w:ascii="Arial" w:eastAsia="Arial" w:hAnsi="Arial" w:cs="Arial"/>
          <w:sz w:val="22"/>
          <w:szCs w:val="22"/>
        </w:rPr>
        <w:t xml:space="preserve">, 2024). The search strategy on the premises of the PEO framework, search terms and key aspects of the search design, selection and exclusion criteria of databases, and design of the search are described in the chapter. It also provides a description of the selection process of the research according to the PRISMA guideline and ethical concerns of the secondary research. </w:t>
      </w:r>
    </w:p>
    <w:p w14:paraId="51C39ECD" w14:textId="77777777" w:rsidR="006921ED" w:rsidRDefault="00D73B41">
      <w:pPr>
        <w:pStyle w:val="Heading2"/>
        <w:numPr>
          <w:ilvl w:val="1"/>
          <w:numId w:val="6"/>
        </w:numPr>
        <w:spacing w:before="240" w:after="240" w:line="360" w:lineRule="auto"/>
        <w:jc w:val="both"/>
        <w:rPr>
          <w:rFonts w:ascii="Arial" w:eastAsia="Arial" w:hAnsi="Arial" w:cs="Arial"/>
          <w:b/>
          <w:bCs/>
          <w:color w:val="000000"/>
          <w:sz w:val="22"/>
          <w:szCs w:val="22"/>
        </w:rPr>
      </w:pPr>
      <w:bookmarkStart w:id="28" w:name="_heading=h.x0h3pe62uwgc" w:colFirst="0" w:colLast="0"/>
      <w:bookmarkEnd w:id="28"/>
      <w:r>
        <w:rPr>
          <w:rFonts w:ascii="Arial" w:eastAsia="Arial" w:hAnsi="Arial" w:cs="Arial"/>
          <w:b/>
          <w:bCs/>
          <w:color w:val="000000"/>
          <w:sz w:val="22"/>
          <w:szCs w:val="22"/>
        </w:rPr>
        <w:t>Systematic Literature Review (SLR)</w:t>
      </w:r>
    </w:p>
    <w:p w14:paraId="51C39EC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research has embraced a systematic literature review (SLR) to find, evaluate, and integrate qualitative evidence concerning the health and social care experience of people with HIV in the UK. A well-defined research question and a clearly defined, well-transmitted protocol was applied to prevent bias and, consequently, improve the reproducibility of the review. The SLR in the present research included a systematic search of several academic databases, including PubMed, CINAHL, Scopus, Web of Science, J</w:t>
      </w:r>
      <w:r>
        <w:rPr>
          <w:rFonts w:ascii="Arial" w:eastAsia="Arial" w:hAnsi="Arial" w:cs="Arial"/>
          <w:sz w:val="22"/>
          <w:szCs w:val="22"/>
        </w:rPr>
        <w:t>STOR, and Google Scholar, using structured search strings based on the PEO framework below.</w:t>
      </w:r>
    </w:p>
    <w:tbl>
      <w:tblPr>
        <w:tblStyle w:val="a"/>
        <w:tblpPr w:leftFromText="180" w:rightFromText="180" w:vertAnchor="text" w:tblpY="111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7"/>
        <w:gridCol w:w="6579"/>
      </w:tblGrid>
      <w:tr w:rsidR="006921ED" w14:paraId="51C39ED5" w14:textId="77777777">
        <w:tc>
          <w:tcPr>
            <w:tcW w:w="2437" w:type="dxa"/>
            <w:vAlign w:val="center"/>
          </w:tcPr>
          <w:p w14:paraId="51C39ED3" w14:textId="77777777" w:rsidR="006921ED" w:rsidRDefault="00D73B41">
            <w:pPr>
              <w:spacing w:line="360" w:lineRule="auto"/>
              <w:rPr>
                <w:rFonts w:ascii="Arial" w:eastAsia="Arial" w:hAnsi="Arial" w:cs="Arial"/>
                <w:sz w:val="22"/>
                <w:szCs w:val="22"/>
              </w:rPr>
            </w:pPr>
            <w:r>
              <w:rPr>
                <w:rFonts w:ascii="Arial" w:eastAsia="Arial" w:hAnsi="Arial" w:cs="Arial"/>
                <w:b/>
                <w:bCs/>
                <w:sz w:val="22"/>
                <w:szCs w:val="22"/>
              </w:rPr>
              <w:t>PEO Component</w:t>
            </w:r>
          </w:p>
        </w:tc>
        <w:tc>
          <w:tcPr>
            <w:tcW w:w="6579" w:type="dxa"/>
            <w:vAlign w:val="center"/>
          </w:tcPr>
          <w:p w14:paraId="51C39ED4" w14:textId="77777777" w:rsidR="006921ED" w:rsidRDefault="00D73B41">
            <w:pPr>
              <w:spacing w:line="360" w:lineRule="auto"/>
              <w:rPr>
                <w:rFonts w:ascii="Arial" w:eastAsia="Arial" w:hAnsi="Arial" w:cs="Arial"/>
                <w:sz w:val="22"/>
                <w:szCs w:val="22"/>
              </w:rPr>
            </w:pPr>
            <w:r>
              <w:rPr>
                <w:rFonts w:ascii="Arial" w:eastAsia="Arial" w:hAnsi="Arial" w:cs="Arial"/>
                <w:b/>
                <w:bCs/>
                <w:sz w:val="22"/>
                <w:szCs w:val="22"/>
              </w:rPr>
              <w:t>Description</w:t>
            </w:r>
          </w:p>
        </w:tc>
      </w:tr>
      <w:tr w:rsidR="006921ED" w14:paraId="51C39ED8" w14:textId="77777777">
        <w:tc>
          <w:tcPr>
            <w:tcW w:w="2437" w:type="dxa"/>
            <w:vAlign w:val="center"/>
          </w:tcPr>
          <w:p w14:paraId="51C39ED6" w14:textId="77777777" w:rsidR="006921ED" w:rsidRDefault="00D73B41">
            <w:pPr>
              <w:spacing w:line="360" w:lineRule="auto"/>
              <w:rPr>
                <w:rFonts w:ascii="Arial" w:eastAsia="Arial" w:hAnsi="Arial" w:cs="Arial"/>
                <w:sz w:val="22"/>
                <w:szCs w:val="22"/>
              </w:rPr>
            </w:pPr>
            <w:r>
              <w:rPr>
                <w:rFonts w:ascii="Arial" w:eastAsia="Arial" w:hAnsi="Arial" w:cs="Arial"/>
                <w:b/>
                <w:bCs/>
                <w:sz w:val="22"/>
                <w:szCs w:val="22"/>
              </w:rPr>
              <w:t>Population (P)</w:t>
            </w:r>
          </w:p>
        </w:tc>
        <w:tc>
          <w:tcPr>
            <w:tcW w:w="6579" w:type="dxa"/>
            <w:vAlign w:val="center"/>
          </w:tcPr>
          <w:p w14:paraId="51C39ED7"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People living with HIV (PLWH) in the United Kingdom</w:t>
            </w:r>
          </w:p>
        </w:tc>
      </w:tr>
      <w:tr w:rsidR="006921ED" w14:paraId="51C39EDB" w14:textId="77777777">
        <w:tc>
          <w:tcPr>
            <w:tcW w:w="2437" w:type="dxa"/>
            <w:vAlign w:val="center"/>
          </w:tcPr>
          <w:p w14:paraId="51C39ED9" w14:textId="77777777" w:rsidR="006921ED" w:rsidRDefault="00D73B41">
            <w:pPr>
              <w:spacing w:line="360" w:lineRule="auto"/>
              <w:rPr>
                <w:rFonts w:ascii="Arial" w:eastAsia="Arial" w:hAnsi="Arial" w:cs="Arial"/>
                <w:sz w:val="22"/>
                <w:szCs w:val="22"/>
              </w:rPr>
            </w:pPr>
            <w:r>
              <w:rPr>
                <w:rFonts w:ascii="Arial" w:eastAsia="Arial" w:hAnsi="Arial" w:cs="Arial"/>
                <w:b/>
                <w:bCs/>
                <w:sz w:val="22"/>
                <w:szCs w:val="22"/>
              </w:rPr>
              <w:t>Exposure (E)</w:t>
            </w:r>
          </w:p>
        </w:tc>
        <w:tc>
          <w:tcPr>
            <w:tcW w:w="6579" w:type="dxa"/>
            <w:vAlign w:val="center"/>
          </w:tcPr>
          <w:p w14:paraId="51C39EDA"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Experiences of health and social care services, including access to care, stigma, discrimination, and service provision</w:t>
            </w:r>
          </w:p>
        </w:tc>
      </w:tr>
      <w:tr w:rsidR="006921ED" w14:paraId="51C39EDE" w14:textId="77777777">
        <w:trPr>
          <w:trHeight w:val="660"/>
        </w:trPr>
        <w:tc>
          <w:tcPr>
            <w:tcW w:w="2437" w:type="dxa"/>
            <w:vAlign w:val="center"/>
          </w:tcPr>
          <w:p w14:paraId="51C39EDC" w14:textId="77777777" w:rsidR="006921ED" w:rsidRDefault="00D73B41">
            <w:pPr>
              <w:spacing w:line="360" w:lineRule="auto"/>
              <w:rPr>
                <w:rFonts w:ascii="Arial" w:eastAsia="Arial" w:hAnsi="Arial" w:cs="Arial"/>
                <w:sz w:val="22"/>
                <w:szCs w:val="22"/>
              </w:rPr>
            </w:pPr>
            <w:r>
              <w:rPr>
                <w:rFonts w:ascii="Arial" w:eastAsia="Arial" w:hAnsi="Arial" w:cs="Arial"/>
                <w:b/>
                <w:bCs/>
                <w:sz w:val="22"/>
                <w:szCs w:val="22"/>
              </w:rPr>
              <w:t>Outcome (O)</w:t>
            </w:r>
          </w:p>
        </w:tc>
        <w:tc>
          <w:tcPr>
            <w:tcW w:w="6579" w:type="dxa"/>
            <w:vAlign w:val="center"/>
          </w:tcPr>
          <w:p w14:paraId="51C39EDD"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Mental wellbeing, social support, quality of life, and perceived adequacy of health and social care</w:t>
            </w:r>
          </w:p>
        </w:tc>
      </w:tr>
    </w:tbl>
    <w:p w14:paraId="51C39EE0" w14:textId="77777777" w:rsidR="006921ED" w:rsidRDefault="00D73B41">
      <w:pPr>
        <w:pBdr>
          <w:top w:val="nil"/>
          <w:left w:val="nil"/>
          <w:bottom w:val="nil"/>
          <w:right w:val="nil"/>
          <w:between w:val="nil"/>
        </w:pBdr>
        <w:spacing w:before="240" w:line="360" w:lineRule="auto"/>
        <w:jc w:val="center"/>
        <w:rPr>
          <w:rFonts w:ascii="Arial" w:eastAsia="Arial" w:hAnsi="Arial" w:cs="Arial"/>
          <w:b/>
          <w:bCs/>
          <w:smallCaps/>
          <w:color w:val="595959"/>
          <w:sz w:val="22"/>
          <w:szCs w:val="22"/>
        </w:rPr>
      </w:pPr>
      <w:bookmarkStart w:id="29" w:name="_heading=h.wf2j7qim3vdj" w:colFirst="0" w:colLast="0"/>
      <w:bookmarkEnd w:id="29"/>
      <w:r>
        <w:rPr>
          <w:b/>
          <w:bCs/>
          <w:smallCaps/>
          <w:color w:val="595959"/>
        </w:rPr>
        <w:t>Table 1 PEO Framework</w:t>
      </w:r>
    </w:p>
    <w:p w14:paraId="51C39EE1" w14:textId="77777777" w:rsidR="006921ED" w:rsidRDefault="006921ED">
      <w:pPr>
        <w:spacing w:before="240" w:after="240" w:line="360" w:lineRule="auto"/>
        <w:jc w:val="both"/>
        <w:rPr>
          <w:rFonts w:ascii="Arial" w:eastAsia="Arial" w:hAnsi="Arial" w:cs="Arial"/>
          <w:sz w:val="22"/>
          <w:szCs w:val="22"/>
        </w:rPr>
      </w:pPr>
    </w:p>
    <w:p w14:paraId="33EA56D4" w14:textId="77777777" w:rsidR="00947BB2" w:rsidRDefault="00947BB2">
      <w:pPr>
        <w:spacing w:before="240" w:after="240" w:line="360" w:lineRule="auto"/>
        <w:jc w:val="both"/>
        <w:rPr>
          <w:rFonts w:ascii="Arial" w:eastAsia="Arial" w:hAnsi="Arial" w:cs="Arial"/>
          <w:sz w:val="22"/>
          <w:szCs w:val="22"/>
        </w:rPr>
      </w:pPr>
    </w:p>
    <w:p w14:paraId="51C39EE2" w14:textId="69491653"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searches were restricted to studies published in English since 2010 and to populations within the UK. The student researcher reviewed the retrieved records twice, first with title and abstract screening, then with full-text screening against established inclusion and exclusion criteria. Relevant, high-quality methodological eligibility criteria were critically appraised, and </w:t>
      </w:r>
      <w:r>
        <w:rPr>
          <w:rFonts w:ascii="Arial" w:eastAsia="Arial" w:hAnsi="Arial" w:cs="Arial"/>
          <w:sz w:val="22"/>
          <w:szCs w:val="22"/>
        </w:rPr>
        <w:lastRenderedPageBreak/>
        <w:t>the synthesis of findings was done using thematic analysis. This strategy enabled a stringent, thorough qualitative study to address the research purpose and inform policy, practice, and subsequent research decisions (Alessandro et al., 2025).</w:t>
      </w:r>
    </w:p>
    <w:p w14:paraId="51C39EE3" w14:textId="77777777" w:rsidR="006921ED" w:rsidRDefault="00D73B41">
      <w:pPr>
        <w:pStyle w:val="Heading2"/>
        <w:numPr>
          <w:ilvl w:val="1"/>
          <w:numId w:val="6"/>
        </w:numPr>
        <w:spacing w:before="240" w:after="240" w:line="360" w:lineRule="auto"/>
        <w:jc w:val="both"/>
        <w:rPr>
          <w:rFonts w:ascii="Arial" w:eastAsia="Arial" w:hAnsi="Arial" w:cs="Arial"/>
          <w:b/>
          <w:bCs/>
          <w:sz w:val="22"/>
          <w:szCs w:val="22"/>
        </w:rPr>
      </w:pPr>
      <w:bookmarkStart w:id="30" w:name="_heading=h.la5lrur4pcgz" w:colFirst="0" w:colLast="0"/>
      <w:bookmarkEnd w:id="30"/>
      <w:r>
        <w:rPr>
          <w:rFonts w:ascii="Arial" w:eastAsia="Arial" w:hAnsi="Arial" w:cs="Arial"/>
          <w:b/>
          <w:bCs/>
          <w:sz w:val="22"/>
          <w:szCs w:val="22"/>
        </w:rPr>
        <w:t>Search Strategy</w:t>
      </w:r>
    </w:p>
    <w:p w14:paraId="51C39EE4" w14:textId="77777777" w:rsidR="006921ED" w:rsidRDefault="00D73B41">
      <w:pPr>
        <w:spacing w:before="240" w:after="240" w:line="360" w:lineRule="auto"/>
        <w:jc w:val="both"/>
        <w:rPr>
          <w:rFonts w:ascii="Arial" w:eastAsia="Arial" w:hAnsi="Arial" w:cs="Arial"/>
          <w:sz w:val="22"/>
          <w:szCs w:val="22"/>
          <w:highlight w:val="white"/>
        </w:rPr>
      </w:pPr>
      <w:r>
        <w:rPr>
          <w:rFonts w:ascii="Arial" w:eastAsia="Arial" w:hAnsi="Arial" w:cs="Arial"/>
          <w:sz w:val="22"/>
          <w:szCs w:val="22"/>
          <w:highlight w:val="white"/>
        </w:rPr>
        <w:t xml:space="preserve">Brammer et al. (2018) define a search strategy as a methodical and repeatable procedure to find useful literature. As part of this work, the search strategy was developed to identify evidence concerning the health and social care experience of individuals living with HIV in the UK, especially in terms of HIV as a long-term condition with antiretroviral therapy (ART) as the most widespread approach to managing HIV that has increased life expectancy and shifted research priorities towards the quality of life </w:t>
      </w:r>
      <w:r>
        <w:rPr>
          <w:rFonts w:ascii="Arial" w:eastAsia="Arial" w:hAnsi="Arial" w:cs="Arial"/>
          <w:sz w:val="22"/>
          <w:szCs w:val="22"/>
          <w:highlight w:val="white"/>
        </w:rPr>
        <w:t>and long-term care requirement (Remien et al., 2019; World Health Organization, The search was organized using the PEO (Population, Exposure, Outcome) framework, which is most appropriate to qualitative studies that examine lived experiences (Capili, 2020). The population was made up of individuals who are living with HIV in the UK, the exposure was on health and social care service experiences including stigma, access, support and the outcomes included mental wellbeing, social experiences and quality of li</w:t>
      </w:r>
      <w:r>
        <w:rPr>
          <w:rFonts w:ascii="Arial" w:eastAsia="Arial" w:hAnsi="Arial" w:cs="Arial"/>
          <w:sz w:val="22"/>
          <w:szCs w:val="22"/>
          <w:highlight w:val="white"/>
        </w:rPr>
        <w:t>fe. A meticulous search took place in databases like PubMed, CINAHL, Scopus, Web of science and Google scholar, as well as grey literature databases such as NHS and UK Health security agency reports. Only the studies published in English in 2010-2025 were considered to correspond to the current HIV care practices and policies.</w:t>
      </w:r>
    </w:p>
    <w:p w14:paraId="51C39EE5" w14:textId="77777777" w:rsidR="006921ED" w:rsidRDefault="00D73B41">
      <w:pPr>
        <w:numPr>
          <w:ilvl w:val="1"/>
          <w:numId w:val="6"/>
        </w:numPr>
        <w:pBdr>
          <w:top w:val="nil"/>
          <w:left w:val="nil"/>
          <w:bottom w:val="nil"/>
          <w:right w:val="nil"/>
          <w:between w:val="nil"/>
        </w:pBdr>
        <w:spacing w:before="240" w:after="240" w:line="360" w:lineRule="auto"/>
        <w:jc w:val="both"/>
        <w:rPr>
          <w:rFonts w:ascii="Arial" w:eastAsia="Arial" w:hAnsi="Arial" w:cs="Arial"/>
          <w:b/>
          <w:bCs/>
          <w:color w:val="000000"/>
          <w:sz w:val="22"/>
          <w:szCs w:val="22"/>
        </w:rPr>
      </w:pPr>
      <w:bookmarkStart w:id="31" w:name="_heading=h.n2z70kp8c9w1" w:colFirst="0" w:colLast="0"/>
      <w:bookmarkEnd w:id="31"/>
      <w:r>
        <w:rPr>
          <w:rFonts w:ascii="Arial" w:eastAsia="Arial" w:hAnsi="Arial" w:cs="Arial"/>
          <w:b/>
          <w:bCs/>
          <w:color w:val="404040"/>
          <w:sz w:val="22"/>
          <w:szCs w:val="22"/>
        </w:rPr>
        <w:t>Search terms</w:t>
      </w:r>
    </w:p>
    <w:p w14:paraId="51C39EE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Search terms refer to specific words and phrases that are employed to locate the pertinent literature in the academic databases in a reproducible and methodical way (University of Leeds, 2022). When conducting research, search terms should be selected carefully so that all the studies which are of interest are searched and less irrelevant materials are retrieved. Well-defined search terms are also used to enhance the sensitivity and specificity of the search and maximise the comprehensiveness and validity o</w:t>
      </w:r>
      <w:r>
        <w:rPr>
          <w:rFonts w:ascii="Arial" w:eastAsia="Arial" w:hAnsi="Arial" w:cs="Arial"/>
          <w:sz w:val="22"/>
          <w:szCs w:val="22"/>
        </w:rPr>
        <w:t>f the systematic literature review (</w:t>
      </w:r>
      <w:proofErr w:type="spellStart"/>
      <w:r>
        <w:rPr>
          <w:rFonts w:ascii="Arial" w:eastAsia="Arial" w:hAnsi="Arial" w:cs="Arial"/>
          <w:sz w:val="22"/>
          <w:szCs w:val="22"/>
        </w:rPr>
        <w:t>Ciemer</w:t>
      </w:r>
      <w:proofErr w:type="spellEnd"/>
      <w:r>
        <w:rPr>
          <w:rFonts w:ascii="Arial" w:eastAsia="Arial" w:hAnsi="Arial" w:cs="Arial"/>
          <w:sz w:val="22"/>
          <w:szCs w:val="22"/>
        </w:rPr>
        <w:t xml:space="preserve"> et al., 2025).</w:t>
      </w:r>
    </w:p>
    <w:p w14:paraId="51C39EE7"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Systematic reviews are especially sensitive in terms of the use of synonyms and other related terms since different authors might employ various terminology to mean the same thing (Martinez et al., 2025). As an example, individuals with HIV can also be addressed as PLWH, HIV-positive people, or persons with HIV, whereas health and social care services can be addressed with references to such words as service access, care utilisation, or patient experiences. The use of synonyms, spelling differences, and oth</w:t>
      </w:r>
      <w:r>
        <w:rPr>
          <w:rFonts w:ascii="Arial" w:eastAsia="Arial" w:hAnsi="Arial" w:cs="Arial"/>
          <w:sz w:val="22"/>
          <w:szCs w:val="22"/>
        </w:rPr>
        <w:t xml:space="preserve">er related expressions would </w:t>
      </w:r>
      <w:r>
        <w:rPr>
          <w:rFonts w:ascii="Arial" w:eastAsia="Arial" w:hAnsi="Arial" w:cs="Arial"/>
          <w:sz w:val="22"/>
          <w:szCs w:val="22"/>
        </w:rPr>
        <w:lastRenderedPageBreak/>
        <w:t>make sure that one does not filter away the appropriate studies because there was a variation in the use of language across different disciplines and databases (Henriksson et al., 2014).</w:t>
      </w:r>
    </w:p>
    <w:p w14:paraId="51C39EE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following search question was used to conduct the review: What are the health and social care experiences of people with HIV in the UK? The search of the database was done systematically in the form of breaking down the PEO components into individual search blocks.</w:t>
      </w:r>
    </w:p>
    <w:p w14:paraId="51C39EE9"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Search 1 (Population) was searching for individuals with HIV using the following syntax:</w:t>
      </w:r>
      <w:r>
        <w:rPr>
          <w:rFonts w:ascii="Arial" w:eastAsia="Arial" w:hAnsi="Arial" w:cs="Arial"/>
          <w:sz w:val="22"/>
          <w:szCs w:val="22"/>
        </w:rPr>
        <w:br/>
        <w:t>AND (HIV OR human immunodeficiency virus or HIV-positive or people living with HIV).</w:t>
      </w:r>
    </w:p>
    <w:p w14:paraId="51C39EEA"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Search 2 (Exposure) covered the experience of health and social care and had the syntax:</w:t>
      </w:r>
      <w:r>
        <w:rPr>
          <w:rFonts w:ascii="Arial" w:eastAsia="Arial" w:hAnsi="Arial" w:cs="Arial"/>
          <w:sz w:val="22"/>
          <w:szCs w:val="22"/>
        </w:rPr>
        <w:br/>
        <w:t>(“health care” OR “social care” OR “service access”) OR “stigma” OR “discrimination” OR “patient experience”).</w:t>
      </w:r>
    </w:p>
    <w:p w14:paraId="51C39EE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Search 3 (Outcome): The psychosocial outcomes were captured with the following syntax:</w:t>
      </w:r>
      <w:r>
        <w:rPr>
          <w:rFonts w:ascii="Arial" w:eastAsia="Arial" w:hAnsi="Arial" w:cs="Arial"/>
          <w:sz w:val="22"/>
          <w:szCs w:val="22"/>
        </w:rPr>
        <w:br/>
        <w:t>(“mental health” OR “wellbeing” OR “quality of life” OR “social support”)</w:t>
      </w:r>
    </w:p>
    <w:p w14:paraId="51C39EE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Using the Boolean operator AND, the last database searches were a combination of all three search blocks as shown below: </w:t>
      </w:r>
    </w:p>
    <w:p w14:paraId="51C39EE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And (HIV OR human immunodeficiency virus OR HIV-positive OR people living with HIV) AND (health care or social care or service access or stigma or discrimination or patient experience) AND (mental health or wellbeing or quality of life or social support).</w:t>
      </w:r>
    </w:p>
    <w:p w14:paraId="51C39EEE" w14:textId="77777777" w:rsidR="006921ED" w:rsidRDefault="00D73B41">
      <w:pPr>
        <w:pStyle w:val="Heading2"/>
        <w:numPr>
          <w:ilvl w:val="1"/>
          <w:numId w:val="6"/>
        </w:numPr>
        <w:spacing w:before="240" w:after="240" w:line="360" w:lineRule="auto"/>
        <w:jc w:val="both"/>
        <w:rPr>
          <w:rFonts w:ascii="Arial" w:eastAsia="Arial" w:hAnsi="Arial" w:cs="Arial"/>
          <w:b/>
          <w:bCs/>
          <w:sz w:val="22"/>
          <w:szCs w:val="22"/>
        </w:rPr>
      </w:pPr>
      <w:bookmarkStart w:id="32" w:name="_heading=h.i5yeweyf8wbc" w:colFirst="0" w:colLast="0"/>
      <w:bookmarkEnd w:id="32"/>
      <w:r>
        <w:rPr>
          <w:rFonts w:ascii="Arial" w:eastAsia="Arial" w:hAnsi="Arial" w:cs="Arial"/>
          <w:b/>
          <w:bCs/>
          <w:sz w:val="22"/>
          <w:szCs w:val="22"/>
        </w:rPr>
        <w:t>Key Words</w:t>
      </w:r>
    </w:p>
    <w:p w14:paraId="51C39EEF"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sz w:val="22"/>
          <w:szCs w:val="22"/>
        </w:rPr>
        <w:t xml:space="preserve">Keywords are the short words that describe the essence of a research topic and allow for the retrieval of relevant literature in academic databases (Corrin et al., 2022). They assist in efficient searching, increase the precision of the search, and improve the transparency and reproducibility of systematic reviews. The key words taken into consideration in this research were </w:t>
      </w:r>
      <w:r>
        <w:rPr>
          <w:rFonts w:ascii="Arial" w:eastAsia="Arial" w:hAnsi="Arial" w:cs="Arial"/>
          <w:b/>
          <w:bCs/>
          <w:i/>
          <w:iCs/>
          <w:sz w:val="22"/>
          <w:szCs w:val="22"/>
        </w:rPr>
        <w:t xml:space="preserve">HIV, People Living With HIV, Health Care Access, Social Care, Stigma, Mental Well-Being, Quality </w:t>
      </w:r>
      <w:proofErr w:type="gramStart"/>
      <w:r>
        <w:rPr>
          <w:rFonts w:ascii="Arial" w:eastAsia="Arial" w:hAnsi="Arial" w:cs="Arial"/>
          <w:b/>
          <w:bCs/>
          <w:i/>
          <w:iCs/>
          <w:sz w:val="22"/>
          <w:szCs w:val="22"/>
        </w:rPr>
        <w:t>Of</w:t>
      </w:r>
      <w:proofErr w:type="gramEnd"/>
      <w:r>
        <w:rPr>
          <w:rFonts w:ascii="Arial" w:eastAsia="Arial" w:hAnsi="Arial" w:cs="Arial"/>
          <w:b/>
          <w:bCs/>
          <w:i/>
          <w:iCs/>
          <w:sz w:val="22"/>
          <w:szCs w:val="22"/>
        </w:rPr>
        <w:t xml:space="preserve"> Life, Patient Experiences, The United Kingdom.</w:t>
      </w:r>
    </w:p>
    <w:p w14:paraId="51C39EF0" w14:textId="77777777" w:rsidR="006921ED" w:rsidRDefault="00D73B41">
      <w:pPr>
        <w:pStyle w:val="Heading2"/>
        <w:numPr>
          <w:ilvl w:val="1"/>
          <w:numId w:val="6"/>
        </w:numPr>
        <w:spacing w:before="240" w:after="240" w:line="360" w:lineRule="auto"/>
        <w:jc w:val="both"/>
        <w:rPr>
          <w:rFonts w:ascii="Arial" w:eastAsia="Arial" w:hAnsi="Arial" w:cs="Arial"/>
          <w:b/>
          <w:bCs/>
          <w:sz w:val="22"/>
          <w:szCs w:val="22"/>
        </w:rPr>
      </w:pPr>
      <w:bookmarkStart w:id="33" w:name="_heading=h.mlfcqfakfz3c" w:colFirst="0" w:colLast="0"/>
      <w:bookmarkEnd w:id="33"/>
      <w:r>
        <w:rPr>
          <w:rFonts w:ascii="Arial" w:eastAsia="Arial" w:hAnsi="Arial" w:cs="Arial"/>
          <w:b/>
          <w:bCs/>
          <w:sz w:val="22"/>
          <w:szCs w:val="22"/>
        </w:rPr>
        <w:t>Databases</w:t>
      </w:r>
    </w:p>
    <w:p w14:paraId="51C39EF1"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Data to be used in this study were obtained by performing systematic searches of various academic and grey literature databases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have all evidence covered. Academic databases are crucial in research because they not only provide peer-reviewed, high-quality source material but also limit the chances of bias in a source when sources are searched singly (Ewald et al., 2022). It has been indicated that the use of a single database may lead to missing </w:t>
      </w:r>
      <w:r>
        <w:rPr>
          <w:rFonts w:ascii="Arial" w:eastAsia="Arial" w:hAnsi="Arial" w:cs="Arial"/>
          <w:sz w:val="22"/>
          <w:szCs w:val="22"/>
        </w:rPr>
        <w:lastRenderedPageBreak/>
        <w:t>out on any pertinent research, as the journal is indexed differently in different fields, especially in interdisciplinary subjects, such as in the case of public health and socia</w:t>
      </w:r>
      <w:r>
        <w:rPr>
          <w:rFonts w:ascii="Arial" w:eastAsia="Arial" w:hAnsi="Arial" w:cs="Arial"/>
          <w:sz w:val="22"/>
          <w:szCs w:val="22"/>
        </w:rPr>
        <w:t xml:space="preserve">l care. This is why the systematic reviews increase in sensitivity and completeness when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databases are searched (Lam and McDiarmid, 2016). In this research, the databases were chosen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identify medical and nursing literature, psychological and social science literature on HIV care experiences. PubMed, CINAHL, Scopus, Web of Science, and JSTOR databases were searched. Relevant grey literature was also identified by using Google Scholar, whereas NHS Digital reports and UK Health Security</w:t>
      </w:r>
      <w:r>
        <w:rPr>
          <w:rFonts w:ascii="Arial" w:eastAsia="Arial" w:hAnsi="Arial" w:cs="Arial"/>
          <w:sz w:val="22"/>
          <w:szCs w:val="22"/>
        </w:rPr>
        <w:t xml:space="preserve"> Agency reports were also accessed to put findings in perspective with UK policy and practice.</w:t>
      </w:r>
    </w:p>
    <w:p w14:paraId="51C39EF2" w14:textId="77777777" w:rsidR="006921ED" w:rsidRDefault="00D73B41">
      <w:pPr>
        <w:pStyle w:val="Heading2"/>
        <w:numPr>
          <w:ilvl w:val="1"/>
          <w:numId w:val="6"/>
        </w:numPr>
        <w:spacing w:before="240" w:after="240" w:line="360" w:lineRule="auto"/>
        <w:jc w:val="both"/>
        <w:rPr>
          <w:rFonts w:ascii="Arial" w:eastAsia="Arial" w:hAnsi="Arial" w:cs="Arial"/>
          <w:b/>
          <w:bCs/>
          <w:sz w:val="22"/>
          <w:szCs w:val="22"/>
        </w:rPr>
      </w:pPr>
      <w:bookmarkStart w:id="34" w:name="_heading=h.2me33m5mvpnj" w:colFirst="0" w:colLast="0"/>
      <w:bookmarkEnd w:id="34"/>
      <w:r>
        <w:rPr>
          <w:rFonts w:ascii="Arial" w:eastAsia="Arial" w:hAnsi="Arial" w:cs="Arial"/>
          <w:b/>
          <w:bCs/>
          <w:sz w:val="22"/>
          <w:szCs w:val="22"/>
        </w:rPr>
        <w:t>Inclusion and Exclusion Criteria</w:t>
      </w:r>
    </w:p>
    <w:p w14:paraId="51C39EF3"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Inclusion and exclusion criteria are fixed parameters applied to check what studies can be included in a systematic literature review (Patino and Ferreira, 2018). They aim at foundational zing transparency, consistency, and methodological rigour through defining the extent of the review clearly and minimising the selection bias. The use of explicit criteria boosts the validity and reliability of the obtained results because only the studies that are directly related to the research question are taken into c</w:t>
      </w:r>
      <w:r>
        <w:rPr>
          <w:rFonts w:ascii="Arial" w:eastAsia="Arial" w:hAnsi="Arial" w:cs="Arial"/>
          <w:sz w:val="22"/>
          <w:szCs w:val="22"/>
        </w:rPr>
        <w:t>onsideration (Mohajan, 2017). This research used the research aim and the PEO framework to inform the criteria for identifying high-quality qualitative evidence that can capture the lived experiences of health and social care of people living with HIV in the UK.</w:t>
      </w:r>
    </w:p>
    <w:p w14:paraId="51C39EF4" w14:textId="77777777" w:rsidR="006921ED" w:rsidRDefault="00D73B41">
      <w:pPr>
        <w:spacing w:before="240" w:after="240" w:line="360" w:lineRule="auto"/>
        <w:jc w:val="both"/>
        <w:rPr>
          <w:rFonts w:ascii="Arial" w:eastAsia="Arial" w:hAnsi="Arial" w:cs="Arial"/>
          <w:b/>
          <w:bCs/>
          <w:i/>
          <w:iCs/>
          <w:sz w:val="22"/>
          <w:szCs w:val="22"/>
        </w:rPr>
      </w:pPr>
      <w:r>
        <w:rPr>
          <w:rFonts w:ascii="Arial" w:eastAsia="Arial" w:hAnsi="Arial" w:cs="Arial"/>
          <w:b/>
          <w:bCs/>
          <w:i/>
          <w:iCs/>
          <w:sz w:val="22"/>
          <w:szCs w:val="22"/>
        </w:rPr>
        <w:t>Inclusion Criteria</w:t>
      </w:r>
    </w:p>
    <w:p w14:paraId="51C39EF5" w14:textId="77777777" w:rsidR="006921ED" w:rsidRDefault="00D73B41">
      <w:pPr>
        <w:spacing w:before="240" w:after="240" w:line="360" w:lineRule="auto"/>
        <w:jc w:val="both"/>
        <w:rPr>
          <w:rFonts w:ascii="Arial" w:eastAsia="Arial" w:hAnsi="Arial" w:cs="Arial"/>
          <w:sz w:val="22"/>
          <w:szCs w:val="22"/>
        </w:rPr>
      </w:pPr>
      <w:bookmarkStart w:id="35" w:name="_heading=h.bbixme7w10gq" w:colFirst="0" w:colLast="0"/>
      <w:bookmarkEnd w:id="35"/>
      <w:r>
        <w:rPr>
          <w:rFonts w:ascii="Arial" w:eastAsia="Arial" w:hAnsi="Arial" w:cs="Arial"/>
          <w:sz w:val="22"/>
          <w:szCs w:val="22"/>
        </w:rPr>
        <w:t>The inclusion criteria comprised studies that dealt with individuals who lived with HIV in the UK set-up and examined health and social care experiences. Qualified studies were those that are qualitative or mixed that contain a definite experience aspect and are published in peer-reviewed journals or credible reports during 2010-2025. Studies that have been published only in English were incorporated because of the need to have a correct interpretation and uniformity in the same.</w:t>
      </w:r>
    </w:p>
    <w:p w14:paraId="51C39EF6" w14:textId="77777777" w:rsidR="006921ED" w:rsidRDefault="00D73B41">
      <w:pPr>
        <w:spacing w:before="240" w:after="240" w:line="360" w:lineRule="auto"/>
        <w:jc w:val="both"/>
        <w:rPr>
          <w:rFonts w:ascii="Arial" w:eastAsia="Arial" w:hAnsi="Arial" w:cs="Arial"/>
          <w:b/>
          <w:bCs/>
          <w:i/>
          <w:iCs/>
          <w:sz w:val="22"/>
          <w:szCs w:val="22"/>
        </w:rPr>
      </w:pPr>
      <w:r>
        <w:rPr>
          <w:rFonts w:ascii="Arial" w:eastAsia="Arial" w:hAnsi="Arial" w:cs="Arial"/>
          <w:b/>
          <w:bCs/>
          <w:i/>
          <w:iCs/>
          <w:sz w:val="22"/>
          <w:szCs w:val="22"/>
        </w:rPr>
        <w:t>Exclusion Criteria</w:t>
      </w:r>
    </w:p>
    <w:p w14:paraId="51C39EF7"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studies were screened out according to the following criteria as these had to be carried out in the United Kingdom, the year they were published was not earlier than 2010 and did not concentrate on biomedical or clinical outcomes without mentioning any lived experiences. Only quantitative studies that do not include experiential data were excluded, non-peer reviewed materials, opinion articles, and editorials have been removed.</w:t>
      </w:r>
    </w:p>
    <w:p w14:paraId="51C39EF8" w14:textId="77777777" w:rsidR="006921ED" w:rsidRDefault="00D73B41">
      <w:pPr>
        <w:spacing w:before="240" w:after="240" w:line="360" w:lineRule="auto"/>
        <w:rPr>
          <w:rFonts w:ascii="Arial" w:eastAsia="Arial" w:hAnsi="Arial" w:cs="Arial"/>
          <w:b/>
          <w:bCs/>
          <w:sz w:val="22"/>
          <w:szCs w:val="22"/>
        </w:rPr>
      </w:pPr>
      <w:bookmarkStart w:id="36" w:name="_heading=h.7eeert7fktxi" w:colFirst="0" w:colLast="0"/>
      <w:bookmarkEnd w:id="36"/>
      <w:r>
        <w:rPr>
          <w:rFonts w:ascii="Arial" w:eastAsia="Arial" w:hAnsi="Arial" w:cs="Arial"/>
          <w:b/>
          <w:bCs/>
          <w:sz w:val="22"/>
          <w:szCs w:val="22"/>
        </w:rPr>
        <w:lastRenderedPageBreak/>
        <w:t>Table 2 Inclusion and Exclusion Criteria for the Systematic Literature Review</w:t>
      </w:r>
    </w:p>
    <w:tbl>
      <w:tblPr>
        <w:tblStyle w:val="a0"/>
        <w:tblW w:w="9072" w:type="dxa"/>
        <w:jc w:val="center"/>
        <w:tblInd w:w="0" w:type="dxa"/>
        <w:tblBorders>
          <w:top w:val="single" w:sz="4" w:space="0" w:color="7F7F7F"/>
          <w:bottom w:val="single" w:sz="4" w:space="0" w:color="7F7F7F"/>
        </w:tblBorders>
        <w:tblLayout w:type="fixed"/>
        <w:tblLook w:val="04A0" w:firstRow="1" w:lastRow="0" w:firstColumn="1" w:lastColumn="0" w:noHBand="0" w:noVBand="1"/>
      </w:tblPr>
      <w:tblGrid>
        <w:gridCol w:w="4816"/>
        <w:gridCol w:w="4256"/>
      </w:tblGrid>
      <w:tr w:rsidR="006921ED" w14:paraId="51C39EFB" w14:textId="77777777" w:rsidTr="006921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51C39EF9"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Inclusion Criteria</w:t>
            </w:r>
          </w:p>
        </w:tc>
        <w:tc>
          <w:tcPr>
            <w:tcW w:w="4256" w:type="dxa"/>
          </w:tcPr>
          <w:p w14:paraId="51C39EFA" w14:textId="77777777" w:rsidR="006921ED" w:rsidRDefault="00D73B41">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Exclusion Criteria</w:t>
            </w:r>
          </w:p>
        </w:tc>
      </w:tr>
      <w:tr w:rsidR="006921ED" w14:paraId="51C39EFE"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51C39EFC"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UK-based studies on people living with HIV</w:t>
            </w:r>
          </w:p>
        </w:tc>
        <w:tc>
          <w:tcPr>
            <w:tcW w:w="4256" w:type="dxa"/>
          </w:tcPr>
          <w:p w14:paraId="51C39EFD"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Studies conducted outside the UK</w:t>
            </w:r>
          </w:p>
        </w:tc>
      </w:tr>
      <w:tr w:rsidR="006921ED" w14:paraId="51C39F01"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51C39EFF"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Qualitative or mixed-method studies on lived experiences</w:t>
            </w:r>
          </w:p>
        </w:tc>
        <w:tc>
          <w:tcPr>
            <w:tcW w:w="4256" w:type="dxa"/>
          </w:tcPr>
          <w:p w14:paraId="51C39F00"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Quantitative-only or biomedical studies</w:t>
            </w:r>
          </w:p>
        </w:tc>
      </w:tr>
      <w:tr w:rsidR="006921ED" w14:paraId="51C39F04"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51C39F02"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Studies addressing stigma, mental wellbeing, or care access</w:t>
            </w:r>
          </w:p>
        </w:tc>
        <w:tc>
          <w:tcPr>
            <w:tcW w:w="4256" w:type="dxa"/>
          </w:tcPr>
          <w:p w14:paraId="51C39F03"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Studies not focused on health or social care experiences</w:t>
            </w:r>
          </w:p>
        </w:tc>
      </w:tr>
      <w:tr w:rsidR="006921ED" w14:paraId="51C39F07"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4816" w:type="dxa"/>
          </w:tcPr>
          <w:p w14:paraId="51C39F05"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Peer-reviewed and credible sources (2010–2025)</w:t>
            </w:r>
          </w:p>
        </w:tc>
        <w:tc>
          <w:tcPr>
            <w:tcW w:w="4256" w:type="dxa"/>
          </w:tcPr>
          <w:p w14:paraId="51C39F06"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Non-peer-reviewed or pre-2010 studies</w:t>
            </w:r>
          </w:p>
        </w:tc>
      </w:tr>
      <w:tr w:rsidR="006921ED" w14:paraId="51C39F0A"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14:paraId="51C39F08"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English-language publications</w:t>
            </w:r>
          </w:p>
        </w:tc>
        <w:tc>
          <w:tcPr>
            <w:tcW w:w="4256" w:type="dxa"/>
          </w:tcPr>
          <w:p w14:paraId="51C39F09"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Non-English publications</w:t>
            </w:r>
          </w:p>
        </w:tc>
      </w:tr>
    </w:tbl>
    <w:p w14:paraId="51C39F0B" w14:textId="77777777" w:rsidR="006921ED" w:rsidRDefault="00D73B41">
      <w:pPr>
        <w:pStyle w:val="Heading2"/>
        <w:numPr>
          <w:ilvl w:val="1"/>
          <w:numId w:val="6"/>
        </w:numPr>
        <w:spacing w:before="240" w:after="240" w:line="360" w:lineRule="auto"/>
        <w:jc w:val="both"/>
        <w:rPr>
          <w:rFonts w:ascii="Arial" w:eastAsia="Arial" w:hAnsi="Arial" w:cs="Arial"/>
          <w:b/>
          <w:bCs/>
          <w:sz w:val="22"/>
          <w:szCs w:val="22"/>
        </w:rPr>
      </w:pPr>
      <w:bookmarkStart w:id="37" w:name="_heading=h.whusi996kt2i" w:colFirst="0" w:colLast="0"/>
      <w:bookmarkEnd w:id="37"/>
      <w:r>
        <w:rPr>
          <w:rFonts w:ascii="Arial" w:eastAsia="Arial" w:hAnsi="Arial" w:cs="Arial"/>
          <w:b/>
          <w:bCs/>
          <w:sz w:val="22"/>
          <w:szCs w:val="22"/>
        </w:rPr>
        <w:t>Search Results</w:t>
      </w:r>
    </w:p>
    <w:p w14:paraId="51C39F0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database searches were systematised to produce a high number of records about the health and social care experiences of people with HIV in the UK. After completing the search strategy in all the databases that were chosen, records were first identified. When the duplicated records were removed, the screened materials consisted of unique articles. Title and abstract screening followed according to the specific inclusion and exclusion criteria to determine their relevance towards the research question. At</w:t>
      </w:r>
      <w:r>
        <w:rPr>
          <w:rFonts w:ascii="Arial" w:eastAsia="Arial" w:hAnsi="Arial" w:cs="Arial"/>
          <w:sz w:val="22"/>
          <w:szCs w:val="22"/>
        </w:rPr>
        <w:t xml:space="preserve"> this point, researchers who did not concentrate on the UK situation, were not concentrated on the lived experiences, or were purely biomedical in scope, were filtered out. The retention of articles in this first screening was to have a complete-text evaluation.</w:t>
      </w:r>
    </w:p>
    <w:p w14:paraId="51C39F0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Screening was done in full text to establish the eligibility of the rest of the studies. In this step, papers have been filtered based on a series of criteria, including inadequacy of, and experience in the health or social care, incompetence to fulfil the publication date limit between 2010 and 2025, or absence of qualitative or experiential data. The studies that have been conducted regarding HIV as purely clinical or epidemiological without references to psychosocial or service-related experiences were a</w:t>
      </w:r>
      <w:r>
        <w:rPr>
          <w:rFonts w:ascii="Arial" w:eastAsia="Arial" w:hAnsi="Arial" w:cs="Arial"/>
          <w:sz w:val="22"/>
          <w:szCs w:val="22"/>
        </w:rPr>
        <w:t>lso left out. After such a high-quality evaluation, the studies were selected as eligible to be included in the final review, ensuring that only good-quality evidence directly relevant to the synthesis had been included (Carmona, Baxter and Carroll, 2021).</w:t>
      </w:r>
    </w:p>
    <w:p w14:paraId="51C39F0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PRISMA flow diagram is used to display the study selection process and offers a clear and systematic methodology </w:t>
      </w:r>
      <w:proofErr w:type="gramStart"/>
      <w:r>
        <w:rPr>
          <w:rFonts w:ascii="Arial" w:eastAsia="Arial" w:hAnsi="Arial" w:cs="Arial"/>
          <w:sz w:val="22"/>
          <w:szCs w:val="22"/>
        </w:rPr>
        <w:t>with regard to</w:t>
      </w:r>
      <w:proofErr w:type="gramEnd"/>
      <w:r>
        <w:rPr>
          <w:rFonts w:ascii="Arial" w:eastAsia="Arial" w:hAnsi="Arial" w:cs="Arial"/>
          <w:sz w:val="22"/>
          <w:szCs w:val="22"/>
        </w:rPr>
        <w:t xml:space="preserve"> how the studies were identified, screened, </w:t>
      </w:r>
      <w:r>
        <w:rPr>
          <w:rFonts w:ascii="Arial" w:eastAsia="Arial" w:hAnsi="Arial" w:cs="Arial"/>
          <w:sz w:val="22"/>
          <w:szCs w:val="22"/>
        </w:rPr>
        <w:lastRenderedPageBreak/>
        <w:t>evaluated based on the eligibility criterion, and their inclusion in the review (McKenzie et al., 2021). The search was initiated by entering the main keywords for the topic (HIV, health and social care, stigma, wellbeing, and UK) into the chosen databases, yielding 742 records in total. The Boolean search string and the study limits were then used to narrow down the search to include the full Boolean search string and UK focus, English language, and</w:t>
      </w:r>
      <w:r>
        <w:rPr>
          <w:rFonts w:ascii="Arial" w:eastAsia="Arial" w:hAnsi="Arial" w:cs="Arial"/>
          <w:sz w:val="22"/>
          <w:szCs w:val="22"/>
        </w:rPr>
        <w:t xml:space="preserve"> publication years 2010-2025. When these limits were applied, 162 duplicate records were eliminated, and 580 records passed through the screen. Then titles and abstracts were filtered, and 420 were excluded because they were not based in the UK, were almost all clinical outcomes, or lacked qualitative or lived-experience information. The remaining 160 reports were pursued for full-text access as 12 were not accessible, leaving 148 full-text articles for eligibility evaluation. In full-text screening, 136 st</w:t>
      </w:r>
      <w:r>
        <w:rPr>
          <w:rFonts w:ascii="Arial" w:eastAsia="Arial" w:hAnsi="Arial" w:cs="Arial"/>
          <w:sz w:val="22"/>
          <w:szCs w:val="22"/>
        </w:rPr>
        <w:t>udies were excluded as 52 were quantitative-only, 48 were not on health or social care experiences, and 28 were published before 2010 and did not meet the review criteria. Consequently, 12 studies were selected for inclusion and incorporated into the final systematic review, which served as the evidence base for the thematic synthesis.</w:t>
      </w:r>
    </w:p>
    <w:p w14:paraId="51C39F11" w14:textId="46B81F17" w:rsidR="00610916" w:rsidRDefault="00610916">
      <w:pPr>
        <w:rPr>
          <w:rFonts w:ascii="Arial" w:eastAsia="Arial" w:hAnsi="Arial" w:cs="Arial"/>
          <w:sz w:val="22"/>
          <w:szCs w:val="22"/>
        </w:rPr>
      </w:pPr>
      <w:r>
        <w:rPr>
          <w:rFonts w:ascii="Arial" w:eastAsia="Arial" w:hAnsi="Arial" w:cs="Arial"/>
          <w:sz w:val="22"/>
          <w:szCs w:val="22"/>
        </w:rPr>
        <w:br w:type="page"/>
      </w:r>
    </w:p>
    <w:p w14:paraId="51C39F12" w14:textId="205EC4DA" w:rsidR="006921ED" w:rsidRDefault="00D73B41">
      <w:pPr>
        <w:spacing w:line="360" w:lineRule="auto"/>
        <w:rPr>
          <w:rFonts w:ascii="Arial" w:eastAsia="Arial" w:hAnsi="Arial" w:cs="Arial"/>
          <w:sz w:val="22"/>
          <w:szCs w:val="22"/>
        </w:rPr>
      </w:pPr>
      <w:r>
        <w:rPr>
          <w:noProof/>
        </w:rPr>
        <w:lastRenderedPageBreak/>
        <mc:AlternateContent>
          <mc:Choice Requires="wps">
            <w:drawing>
              <wp:anchor distT="0" distB="0" distL="114300" distR="114300" simplePos="0" relativeHeight="251659264" behindDoc="0" locked="0" layoutInCell="1" hidden="0" allowOverlap="1" wp14:anchorId="51C3A150" wp14:editId="2F820583">
                <wp:simplePos x="0" y="0"/>
                <wp:positionH relativeFrom="column">
                  <wp:posOffset>554228</wp:posOffset>
                </wp:positionH>
                <wp:positionV relativeFrom="paragraph">
                  <wp:posOffset>61545</wp:posOffset>
                </wp:positionV>
                <wp:extent cx="4370629" cy="288366"/>
                <wp:effectExtent l="0" t="0" r="0" b="0"/>
                <wp:wrapNone/>
                <wp:docPr id="5" name="Alternative Process 5"/>
                <wp:cNvGraphicFramePr/>
                <a:graphic xmlns:a="http://schemas.openxmlformats.org/drawingml/2006/main">
                  <a:graphicData uri="http://schemas.microsoft.com/office/word/2010/wordprocessingShape">
                    <wps:wsp>
                      <wps:cNvSpPr/>
                      <wps:spPr>
                        <a:xfrm>
                          <a:off x="3173386" y="3648517"/>
                          <a:ext cx="4345229" cy="262966"/>
                        </a:xfrm>
                        <a:prstGeom prst="flowChartAlternateProcess">
                          <a:avLst/>
                        </a:prstGeom>
                        <a:solidFill>
                          <a:schemeClr val="accent4"/>
                        </a:solidFill>
                        <a:ln w="25400" cap="flat" cmpd="sng">
                          <a:solidFill>
                            <a:srgbClr val="5D4876"/>
                          </a:solidFill>
                          <a:prstDash val="solid"/>
                          <a:round/>
                          <a:headEnd type="none" w="sm" len="sm"/>
                          <a:tailEnd type="none" w="sm" len="sm"/>
                        </a:ln>
                      </wps:spPr>
                      <wps:txbx>
                        <w:txbxContent>
                          <w:p w14:paraId="51C3A17C" w14:textId="77777777" w:rsidR="006921ED" w:rsidRDefault="00D73B41">
                            <w:pPr>
                              <w:jc w:val="center"/>
                              <w:textDirection w:val="btLr"/>
                            </w:pPr>
                            <w:r>
                              <w:rPr>
                                <w:rFonts w:ascii="Arial" w:eastAsia="Arial" w:hAnsi="Arial" w:cs="Arial"/>
                                <w:b/>
                                <w:color w:val="000000"/>
                                <w:sz w:val="18"/>
                              </w:rPr>
                              <w:t>Identification of studies via databases and registers</w:t>
                            </w:r>
                          </w:p>
                        </w:txbxContent>
                      </wps:txbx>
                      <wps:bodyPr spcFirstLastPara="1" wrap="square" lIns="91425" tIns="45700" rIns="91425" bIns="45700" anchor="ctr" anchorCtr="0">
                        <a:noAutofit/>
                      </wps:bodyPr>
                    </wps:wsp>
                  </a:graphicData>
                </a:graphic>
              </wp:anchor>
            </w:drawing>
          </mc:Choice>
          <mc:Fallback>
            <w:pict>
              <v:shapetype w14:anchorId="51C3A15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ive Process 5" o:spid="_x0000_s1026" type="#_x0000_t176" style="position:absolute;margin-left:43.65pt;margin-top:4.85pt;width:344.15pt;height:22.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" fillcolor="#8064a2 [3207]" strokecolor="#5d4876" strokeweight="2pt">
                <v:stroke startarrowwidth="narrow" startarrowlength="short" endarrowwidth="narrow" endarrowlength="short" joinstyle="round"/>
                <v:textbox inset="2.53958mm,1.2694mm,2.53958mm,1.2694mm">
                  <w:txbxContent>
                    <w:p w14:paraId="51C3A17C" w14:textId="77777777" w:rsidR="006921ED" w:rsidRDefault="00000000">
                      <w:pPr>
                        <w:jc w:val="center"/>
                        <w:textDirection w:val="btLr"/>
                      </w:pPr>
                      <w:r>
                        <w:rPr>
                          <w:rFonts w:ascii="Arial" w:eastAsia="Arial" w:hAnsi="Arial" w:cs="Arial"/>
                          <w:b/>
                          <w:color w:val="000000"/>
                          <w:sz w:val="18"/>
                        </w:rPr>
                        <w:t>Identification of studies via databases and registers</w:t>
                      </w:r>
                    </w:p>
                  </w:txbxContent>
                </v:textbox>
              </v:shape>
            </w:pict>
          </mc:Fallback>
        </mc:AlternateContent>
      </w:r>
    </w:p>
    <w:p w14:paraId="51C39F13" w14:textId="6EB2AC25" w:rsidR="006921ED" w:rsidRDefault="00610916">
      <w:pPr>
        <w:spacing w:line="360" w:lineRule="auto"/>
        <w:rPr>
          <w:rFonts w:ascii="Arial" w:eastAsia="Arial" w:hAnsi="Arial" w:cs="Arial"/>
          <w:sz w:val="22"/>
          <w:szCs w:val="22"/>
        </w:rPr>
      </w:pPr>
      <w:r>
        <w:rPr>
          <w:noProof/>
        </w:rPr>
        <mc:AlternateContent>
          <mc:Choice Requires="wps">
            <w:drawing>
              <wp:anchor distT="0" distB="0" distL="114300" distR="114300" simplePos="0" relativeHeight="251662336" behindDoc="0" locked="0" layoutInCell="1" hidden="0" allowOverlap="1" wp14:anchorId="51C3A156" wp14:editId="1589F8B5">
                <wp:simplePos x="0" y="0"/>
                <wp:positionH relativeFrom="column">
                  <wp:posOffset>95038</wp:posOffset>
                </wp:positionH>
                <wp:positionV relativeFrom="paragraph">
                  <wp:posOffset>180339</wp:posOffset>
                </wp:positionV>
                <wp:extent cx="288290" cy="1840653"/>
                <wp:effectExtent l="12700" t="12700" r="16510" b="13970"/>
                <wp:wrapNone/>
                <wp:docPr id="11" name="Alternative Process 11"/>
                <wp:cNvGraphicFramePr/>
                <a:graphic xmlns:a="http://schemas.openxmlformats.org/drawingml/2006/main">
                  <a:graphicData uri="http://schemas.microsoft.com/office/word/2010/wordprocessingShape">
                    <wps:wsp>
                      <wps:cNvSpPr/>
                      <wps:spPr>
                        <a:xfrm>
                          <a:off x="0" y="0"/>
                          <a:ext cx="288290" cy="1840653"/>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51C3A183" w14:textId="77777777" w:rsidR="006921ED" w:rsidRDefault="00D73B41">
                            <w:pPr>
                              <w:jc w:val="center"/>
                              <w:textDirection w:val="btLr"/>
                            </w:pPr>
                            <w:r w:rsidRPr="00610916">
                              <w:rPr>
                                <w:rFonts w:ascii="Arial" w:eastAsia="Arial" w:hAnsi="Arial" w:cs="Arial"/>
                                <w:b/>
                                <w:color w:val="000000"/>
                                <w:sz w:val="15"/>
                                <w:szCs w:val="15"/>
                              </w:rPr>
                              <w:t>Identification</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C3A156" id="Alternative Process 11" o:spid="_x0000_s1027" type="#_x0000_t176" style="position:absolute;margin-left:7.5pt;margin-top:14.2pt;width:22.7pt;height:14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" fillcolor="#92ccdc" strokecolor="black [3200]" strokeweight="2pt">
                <v:stroke startarrowwidth="narrow" startarrowlength="short" endarrowwidth="narrow" endarrowlength="short" joinstyle="round"/>
                <v:textbox inset="2.53958mm,1.2694mm,2.53958mm,1.2694mm">
                  <w:txbxContent>
                    <w:p w14:paraId="51C3A183" w14:textId="77777777" w:rsidR="006921ED" w:rsidRDefault="00000000">
                      <w:pPr>
                        <w:jc w:val="center"/>
                        <w:textDirection w:val="btLr"/>
                      </w:pPr>
                      <w:r w:rsidRPr="00610916">
                        <w:rPr>
                          <w:rFonts w:ascii="Arial" w:eastAsia="Arial" w:hAnsi="Arial" w:cs="Arial"/>
                          <w:b/>
                          <w:color w:val="000000"/>
                          <w:sz w:val="15"/>
                          <w:szCs w:val="15"/>
                        </w:rPr>
                        <w:t>Identification</w:t>
                      </w:r>
                    </w:p>
                  </w:txbxContent>
                </v:textbox>
              </v:shape>
            </w:pict>
          </mc:Fallback>
        </mc:AlternateContent>
      </w:r>
    </w:p>
    <w:p w14:paraId="51C39F14" w14:textId="6A561AE6" w:rsidR="006921ED" w:rsidRDefault="00610916">
      <w:pPr>
        <w:spacing w:line="360" w:lineRule="auto"/>
        <w:rPr>
          <w:rFonts w:ascii="Arial" w:eastAsia="Arial" w:hAnsi="Arial" w:cs="Arial"/>
          <w:sz w:val="22"/>
          <w:szCs w:val="22"/>
        </w:rPr>
      </w:pPr>
      <w:r>
        <w:rPr>
          <w:noProof/>
        </w:rPr>
        <mc:AlternateContent>
          <mc:Choice Requires="wps">
            <w:drawing>
              <wp:anchor distT="0" distB="0" distL="114300" distR="114300" simplePos="0" relativeHeight="251661312" behindDoc="0" locked="0" layoutInCell="1" hidden="0" allowOverlap="1" wp14:anchorId="51C3A154" wp14:editId="5EA10551">
                <wp:simplePos x="0" y="0"/>
                <wp:positionH relativeFrom="column">
                  <wp:posOffset>3028737</wp:posOffset>
                </wp:positionH>
                <wp:positionV relativeFrom="paragraph">
                  <wp:posOffset>66040</wp:posOffset>
                </wp:positionV>
                <wp:extent cx="2891155" cy="1242695"/>
                <wp:effectExtent l="12700" t="12700" r="17145" b="14605"/>
                <wp:wrapNone/>
                <wp:docPr id="21" name="Rectangle 21"/>
                <wp:cNvGraphicFramePr/>
                <a:graphic xmlns:a="http://schemas.openxmlformats.org/drawingml/2006/main">
                  <a:graphicData uri="http://schemas.microsoft.com/office/word/2010/wordprocessingShape">
                    <wps:wsp>
                      <wps:cNvSpPr/>
                      <wps:spPr>
                        <a:xfrm>
                          <a:off x="0" y="0"/>
                          <a:ext cx="2891155" cy="1242695"/>
                        </a:xfrm>
                        <a:prstGeom prst="rect">
                          <a:avLst/>
                        </a:prstGeom>
                        <a:noFill/>
                        <a:ln w="25400" cap="flat" cmpd="sng">
                          <a:solidFill>
                            <a:schemeClr val="dk1"/>
                          </a:solidFill>
                          <a:prstDash val="solid"/>
                          <a:round/>
                          <a:headEnd type="none" w="sm" len="sm"/>
                          <a:tailEnd type="none" w="sm" len="sm"/>
                        </a:ln>
                      </wps:spPr>
                      <wps:txbx>
                        <w:txbxContent>
                          <w:p w14:paraId="51C3A180" w14:textId="77777777" w:rsidR="006921ED" w:rsidRDefault="00D73B41">
                            <w:pPr>
                              <w:textDirection w:val="btLr"/>
                            </w:pPr>
                            <w:r>
                              <w:rPr>
                                <w:rFonts w:ascii="Arial" w:eastAsia="Arial" w:hAnsi="Arial" w:cs="Arial"/>
                                <w:color w:val="000000"/>
                                <w:sz w:val="18"/>
                              </w:rPr>
                              <w:t xml:space="preserve">Records removed </w:t>
                            </w:r>
                            <w:r>
                              <w:rPr>
                                <w:rFonts w:ascii="Arial" w:eastAsia="Arial" w:hAnsi="Arial" w:cs="Arial"/>
                                <w:i/>
                                <w:color w:val="000000"/>
                                <w:sz w:val="18"/>
                              </w:rPr>
                              <w:t>before screening</w:t>
                            </w:r>
                            <w:r>
                              <w:rPr>
                                <w:rFonts w:ascii="Arial" w:eastAsia="Arial" w:hAnsi="Arial" w:cs="Arial"/>
                                <w:color w:val="000000"/>
                                <w:sz w:val="18"/>
                              </w:rPr>
                              <w:t>:</w:t>
                            </w:r>
                          </w:p>
                          <w:p w14:paraId="51C3A181" w14:textId="77777777" w:rsidR="006921ED" w:rsidRDefault="00D73B41">
                            <w:pPr>
                              <w:ind w:left="283" w:firstLine="283"/>
                              <w:textDirection w:val="btLr"/>
                            </w:pPr>
                            <w:r>
                              <w:rPr>
                                <w:rFonts w:ascii="Arial" w:eastAsia="Arial" w:hAnsi="Arial" w:cs="Arial"/>
                                <w:color w:val="000000"/>
                                <w:sz w:val="18"/>
                              </w:rPr>
                              <w:t xml:space="preserve">Duplicate records removed (n = </w:t>
                            </w:r>
                            <w:r>
                              <w:rPr>
                                <w:rFonts w:ascii="Arial" w:eastAsia="Arial" w:hAnsi="Arial" w:cs="Arial"/>
                                <w:color w:val="000000"/>
                                <w:sz w:val="18"/>
                              </w:rPr>
                              <w:t>162 )</w:t>
                            </w:r>
                          </w:p>
                          <w:p w14:paraId="51C3A182" w14:textId="77777777" w:rsidR="006921ED" w:rsidRDefault="006921ED">
                            <w:pPr>
                              <w:ind w:left="283" w:firstLine="283"/>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51C3A154" id="Rectangle 21" o:spid="_x0000_s1028" style="position:absolute;margin-left:238.5pt;margin-top:5.2pt;width:227.65pt;height:9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" filled="f" strokecolor="black [3200]" strokeweight="2pt">
                <v:stroke startarrowwidth="narrow" startarrowlength="short" endarrowwidth="narrow" endarrowlength="short" joinstyle="round"/>
                <v:textbox inset="2.53958mm,1.2694mm,2.53958mm,1.2694mm">
                  <w:txbxContent>
                    <w:p w14:paraId="51C3A180" w14:textId="77777777" w:rsidR="006921ED" w:rsidRDefault="00000000">
                      <w:pPr>
                        <w:textDirection w:val="btLr"/>
                      </w:pPr>
                      <w:r>
                        <w:rPr>
                          <w:rFonts w:ascii="Arial" w:eastAsia="Arial" w:hAnsi="Arial" w:cs="Arial"/>
                          <w:color w:val="000000"/>
                          <w:sz w:val="18"/>
                        </w:rPr>
                        <w:t xml:space="preserve">Records removed </w:t>
                      </w:r>
                      <w:r>
                        <w:rPr>
                          <w:rFonts w:ascii="Arial" w:eastAsia="Arial" w:hAnsi="Arial" w:cs="Arial"/>
                          <w:i/>
                          <w:color w:val="000000"/>
                          <w:sz w:val="18"/>
                        </w:rPr>
                        <w:t>before screening</w:t>
                      </w:r>
                      <w:r>
                        <w:rPr>
                          <w:rFonts w:ascii="Arial" w:eastAsia="Arial" w:hAnsi="Arial" w:cs="Arial"/>
                          <w:color w:val="000000"/>
                          <w:sz w:val="18"/>
                        </w:rPr>
                        <w:t>:</w:t>
                      </w:r>
                    </w:p>
                    <w:p w14:paraId="51C3A181" w14:textId="77777777" w:rsidR="006921ED" w:rsidRDefault="00000000">
                      <w:pPr>
                        <w:ind w:left="283" w:firstLine="283"/>
                        <w:textDirection w:val="btLr"/>
                      </w:pPr>
                      <w:r>
                        <w:rPr>
                          <w:rFonts w:ascii="Arial" w:eastAsia="Arial" w:hAnsi="Arial" w:cs="Arial"/>
                          <w:color w:val="000000"/>
                          <w:sz w:val="18"/>
                        </w:rPr>
                        <w:t xml:space="preserve">Duplicate records removed (n = </w:t>
                      </w:r>
                      <w:proofErr w:type="gramStart"/>
                      <w:r>
                        <w:rPr>
                          <w:rFonts w:ascii="Arial" w:eastAsia="Arial" w:hAnsi="Arial" w:cs="Arial"/>
                          <w:color w:val="000000"/>
                          <w:sz w:val="18"/>
                        </w:rPr>
                        <w:t>162 )</w:t>
                      </w:r>
                      <w:proofErr w:type="gramEnd"/>
                    </w:p>
                    <w:p w14:paraId="51C3A182" w14:textId="77777777" w:rsidR="006921ED" w:rsidRDefault="006921ED">
                      <w:pPr>
                        <w:ind w:left="283" w:firstLine="283"/>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51C3A152" wp14:editId="05550A01">
                <wp:simplePos x="0" y="0"/>
                <wp:positionH relativeFrom="column">
                  <wp:posOffset>546913</wp:posOffset>
                </wp:positionH>
                <wp:positionV relativeFrom="paragraph">
                  <wp:posOffset>64364</wp:posOffset>
                </wp:positionV>
                <wp:extent cx="1912620" cy="1268984"/>
                <wp:effectExtent l="0" t="0" r="0" b="0"/>
                <wp:wrapNone/>
                <wp:docPr id="7" name="Rectangle 7"/>
                <wp:cNvGraphicFramePr/>
                <a:graphic xmlns:a="http://schemas.openxmlformats.org/drawingml/2006/main">
                  <a:graphicData uri="http://schemas.microsoft.com/office/word/2010/wordprocessingShape">
                    <wps:wsp>
                      <wps:cNvSpPr/>
                      <wps:spPr>
                        <a:xfrm>
                          <a:off x="4402390" y="3158208"/>
                          <a:ext cx="1887220" cy="1243584"/>
                        </a:xfrm>
                        <a:prstGeom prst="rect">
                          <a:avLst/>
                        </a:prstGeom>
                        <a:noFill/>
                        <a:ln w="25400" cap="flat" cmpd="sng">
                          <a:solidFill>
                            <a:schemeClr val="dk1"/>
                          </a:solidFill>
                          <a:prstDash val="solid"/>
                          <a:round/>
                          <a:headEnd type="none" w="sm" len="sm"/>
                          <a:tailEnd type="none" w="sm" len="sm"/>
                        </a:ln>
                      </wps:spPr>
                      <wps:txbx>
                        <w:txbxContent>
                          <w:p w14:paraId="51C3A17D" w14:textId="77777777" w:rsidR="006921ED" w:rsidRDefault="00D73B41">
                            <w:pPr>
                              <w:textDirection w:val="btLr"/>
                            </w:pPr>
                            <w:r>
                              <w:rPr>
                                <w:rFonts w:ascii="Arial" w:eastAsia="Arial" w:hAnsi="Arial" w:cs="Arial"/>
                                <w:color w:val="000000"/>
                                <w:sz w:val="18"/>
                              </w:rPr>
                              <w:t>Records identified from*:</w:t>
                            </w:r>
                          </w:p>
                          <w:p w14:paraId="51C3A17E" w14:textId="77777777" w:rsidR="006921ED" w:rsidRDefault="00D73B41">
                            <w:pPr>
                              <w:ind w:left="283" w:firstLine="283"/>
                              <w:textDirection w:val="btLr"/>
                            </w:pPr>
                            <w:r>
                              <w:rPr>
                                <w:rFonts w:ascii="Arial" w:eastAsia="Arial" w:hAnsi="Arial" w:cs="Arial"/>
                                <w:color w:val="000000"/>
                                <w:sz w:val="18"/>
                              </w:rPr>
                              <w:t>Databases (n = 5)</w:t>
                            </w:r>
                          </w:p>
                          <w:p w14:paraId="51C3A17F" w14:textId="77777777" w:rsidR="006921ED" w:rsidRDefault="00D73B41">
                            <w:pPr>
                              <w:ind w:left="283" w:firstLine="283"/>
                              <w:textDirection w:val="btLr"/>
                            </w:pPr>
                            <w:r>
                              <w:rPr>
                                <w:rFonts w:ascii="Arial" w:eastAsia="Arial" w:hAnsi="Arial" w:cs="Arial"/>
                                <w:color w:val="000000"/>
                                <w:sz w:val="18"/>
                              </w:rPr>
                              <w:t>Registers (n = 742)</w:t>
                            </w:r>
                          </w:p>
                        </w:txbxContent>
                      </wps:txbx>
                      <wps:bodyPr spcFirstLastPara="1" wrap="square" lIns="91425" tIns="45700" rIns="91425" bIns="45700" anchor="ctr" anchorCtr="0">
                        <a:noAutofit/>
                      </wps:bodyPr>
                    </wps:wsp>
                  </a:graphicData>
                </a:graphic>
              </wp:anchor>
            </w:drawing>
          </mc:Choice>
          <mc:Fallback>
            <w:pict>
              <v:rect w14:anchorId="51C3A152" id="Rectangle 7" o:spid="_x0000_s1029" style="position:absolute;margin-left:43.05pt;margin-top:5.05pt;width:150.6pt;height:99.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" filled="f" strokecolor="black [3200]" strokeweight="2pt">
                <v:stroke startarrowwidth="narrow" startarrowlength="short" endarrowwidth="narrow" endarrowlength="short" joinstyle="round"/>
                <v:textbox inset="2.53958mm,1.2694mm,2.53958mm,1.2694mm">
                  <w:txbxContent>
                    <w:p w14:paraId="51C3A17D" w14:textId="77777777" w:rsidR="006921ED" w:rsidRDefault="00000000">
                      <w:pPr>
                        <w:textDirection w:val="btLr"/>
                      </w:pPr>
                      <w:r>
                        <w:rPr>
                          <w:rFonts w:ascii="Arial" w:eastAsia="Arial" w:hAnsi="Arial" w:cs="Arial"/>
                          <w:color w:val="000000"/>
                          <w:sz w:val="18"/>
                        </w:rPr>
                        <w:t>Records identified from*:</w:t>
                      </w:r>
                    </w:p>
                    <w:p w14:paraId="51C3A17E" w14:textId="77777777" w:rsidR="006921ED" w:rsidRDefault="00000000">
                      <w:pPr>
                        <w:ind w:left="283" w:firstLine="283"/>
                        <w:textDirection w:val="btLr"/>
                      </w:pPr>
                      <w:r>
                        <w:rPr>
                          <w:rFonts w:ascii="Arial" w:eastAsia="Arial" w:hAnsi="Arial" w:cs="Arial"/>
                          <w:color w:val="000000"/>
                          <w:sz w:val="18"/>
                        </w:rPr>
                        <w:t>Databases (n = 5)</w:t>
                      </w:r>
                    </w:p>
                    <w:p w14:paraId="51C3A17F" w14:textId="77777777" w:rsidR="006921ED" w:rsidRDefault="00000000">
                      <w:pPr>
                        <w:ind w:left="283" w:firstLine="283"/>
                        <w:textDirection w:val="btLr"/>
                      </w:pPr>
                      <w:r>
                        <w:rPr>
                          <w:rFonts w:ascii="Arial" w:eastAsia="Arial" w:hAnsi="Arial" w:cs="Arial"/>
                          <w:color w:val="000000"/>
                          <w:sz w:val="18"/>
                        </w:rPr>
                        <w:t>Registers (n = 742)</w:t>
                      </w:r>
                    </w:p>
                  </w:txbxContent>
                </v:textbox>
              </v:rect>
            </w:pict>
          </mc:Fallback>
        </mc:AlternateContent>
      </w:r>
    </w:p>
    <w:p w14:paraId="51C39F15" w14:textId="02B7683C" w:rsidR="006921ED" w:rsidRDefault="006921ED">
      <w:pPr>
        <w:spacing w:line="360" w:lineRule="auto"/>
        <w:rPr>
          <w:rFonts w:ascii="Arial" w:eastAsia="Arial" w:hAnsi="Arial" w:cs="Arial"/>
          <w:sz w:val="22"/>
          <w:szCs w:val="22"/>
        </w:rPr>
      </w:pPr>
    </w:p>
    <w:p w14:paraId="51C39F16" w14:textId="4D2A5650" w:rsidR="006921ED" w:rsidRDefault="00A93FD7">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87936" behindDoc="0" locked="0" layoutInCell="1" allowOverlap="1" wp14:anchorId="6C3E0BD5" wp14:editId="73EDADE2">
                <wp:simplePos x="0" y="0"/>
                <wp:positionH relativeFrom="column">
                  <wp:posOffset>2596938</wp:posOffset>
                </wp:positionH>
                <wp:positionV relativeFrom="paragraph">
                  <wp:posOffset>7408</wp:posOffset>
                </wp:positionV>
                <wp:extent cx="385445" cy="0"/>
                <wp:effectExtent l="0" t="63500" r="8255" b="101600"/>
                <wp:wrapNone/>
                <wp:docPr id="1057392807" name="Straight Arrow Connector 23"/>
                <wp:cNvGraphicFramePr/>
                <a:graphic xmlns:a="http://schemas.openxmlformats.org/drawingml/2006/main">
                  <a:graphicData uri="http://schemas.microsoft.com/office/word/2010/wordprocessingShape">
                    <wps:wsp>
                      <wps:cNvCnPr/>
                      <wps:spPr>
                        <a:xfrm>
                          <a:off x="0" y="0"/>
                          <a:ext cx="38544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0B4D3A24" id="_x0000_t32" coordsize="21600,21600" o:spt="32" o:oned="t" path="m,l21600,21600e" filled="f">
                <v:path arrowok="t" fillok="f" o:connecttype="none"/>
                <o:lock v:ext="edit" shapetype="t"/>
              </v:shapetype>
              <v:shape id="Straight Arrow Connector 23" o:spid="_x0000_s1026" type="#_x0000_t32" style="position:absolute;margin-left:204.5pt;margin-top:.6pt;width:30.35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" strokecolor="black [3200]" strokeweight="2pt">
                <v:stroke endarrow="block"/>
                <v:shadow on="t" color="black" opacity="24903f" origin=",.5" offset="0,.55556mm"/>
              </v:shape>
            </w:pict>
          </mc:Fallback>
        </mc:AlternateContent>
      </w:r>
    </w:p>
    <w:p w14:paraId="51C39F17" w14:textId="3B701414" w:rsidR="006921ED" w:rsidRDefault="006921ED">
      <w:pPr>
        <w:spacing w:line="360" w:lineRule="auto"/>
        <w:rPr>
          <w:rFonts w:ascii="Arial" w:eastAsia="Arial" w:hAnsi="Arial" w:cs="Arial"/>
          <w:sz w:val="22"/>
          <w:szCs w:val="22"/>
        </w:rPr>
      </w:pPr>
    </w:p>
    <w:p w14:paraId="51C39F18" w14:textId="7878BAE5" w:rsidR="006921ED" w:rsidRDefault="00610916">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80768" behindDoc="0" locked="0" layoutInCell="1" allowOverlap="1" wp14:anchorId="4AA6CD84" wp14:editId="522BF5E9">
                <wp:simplePos x="0" y="0"/>
                <wp:positionH relativeFrom="column">
                  <wp:posOffset>1398905</wp:posOffset>
                </wp:positionH>
                <wp:positionV relativeFrom="paragraph">
                  <wp:posOffset>134620</wp:posOffset>
                </wp:positionV>
                <wp:extent cx="0" cy="359199"/>
                <wp:effectExtent l="76200" t="25400" r="63500" b="73025"/>
                <wp:wrapNone/>
                <wp:docPr id="662430196" name="Straight Arrow Connector 22"/>
                <wp:cNvGraphicFramePr/>
                <a:graphic xmlns:a="http://schemas.openxmlformats.org/drawingml/2006/main">
                  <a:graphicData uri="http://schemas.microsoft.com/office/word/2010/wordprocessingShape">
                    <wps:wsp>
                      <wps:cNvCnPr/>
                      <wps:spPr>
                        <a:xfrm>
                          <a:off x="0" y="0"/>
                          <a:ext cx="0" cy="359199"/>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5C10CBD" id="Straight Arrow Connector 22" o:spid="_x0000_s1026" type="#_x0000_t32" style="position:absolute;margin-left:110.15pt;margin-top:10.6pt;width:0;height:28.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" strokecolor="black [3200]" strokeweight="1pt">
                <v:stroke endarrow="block"/>
                <v:shadow on="t" color="black" opacity="24903f" origin=",.5" offset="0,.55556mm"/>
              </v:shape>
            </w:pict>
          </mc:Fallback>
        </mc:AlternateContent>
      </w:r>
    </w:p>
    <w:p w14:paraId="51C39F19" w14:textId="3978196C" w:rsidR="006921ED" w:rsidRDefault="00610916">
      <w:pPr>
        <w:spacing w:line="360" w:lineRule="auto"/>
        <w:rPr>
          <w:rFonts w:ascii="Arial" w:eastAsia="Arial" w:hAnsi="Arial" w:cs="Arial"/>
          <w:sz w:val="22"/>
          <w:szCs w:val="22"/>
        </w:rPr>
      </w:pPr>
      <w:r>
        <w:rPr>
          <w:noProof/>
        </w:rPr>
        <mc:AlternateContent>
          <mc:Choice Requires="wps">
            <w:drawing>
              <wp:anchor distT="0" distB="0" distL="114300" distR="114300" simplePos="0" relativeHeight="251672576" behindDoc="0" locked="0" layoutInCell="1" hidden="0" allowOverlap="1" wp14:anchorId="51C3A16A" wp14:editId="047EF9C9">
                <wp:simplePos x="0" y="0"/>
                <wp:positionH relativeFrom="column">
                  <wp:posOffset>95038</wp:posOffset>
                </wp:positionH>
                <wp:positionV relativeFrom="paragraph">
                  <wp:posOffset>262678</wp:posOffset>
                </wp:positionV>
                <wp:extent cx="288290" cy="3032549"/>
                <wp:effectExtent l="12700" t="12700" r="16510" b="15875"/>
                <wp:wrapNone/>
                <wp:docPr id="2" name="Alternative Process 2"/>
                <wp:cNvGraphicFramePr/>
                <a:graphic xmlns:a="http://schemas.openxmlformats.org/drawingml/2006/main">
                  <a:graphicData uri="http://schemas.microsoft.com/office/word/2010/wordprocessingShape">
                    <wps:wsp>
                      <wps:cNvSpPr/>
                      <wps:spPr>
                        <a:xfrm>
                          <a:off x="0" y="0"/>
                          <a:ext cx="288290" cy="3032549"/>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51C3A18F" w14:textId="77777777" w:rsidR="006921ED" w:rsidRDefault="00D73B41">
                            <w:pPr>
                              <w:jc w:val="center"/>
                              <w:textDirection w:val="btLr"/>
                            </w:pPr>
                            <w:r>
                              <w:rPr>
                                <w:rFonts w:ascii="Arial" w:eastAsia="Arial" w:hAnsi="Arial" w:cs="Arial"/>
                                <w:b/>
                                <w:color w:val="000000"/>
                                <w:sz w:val="18"/>
                              </w:rPr>
                              <w:t>Screening</w:t>
                            </w:r>
                          </w:p>
                          <w:p w14:paraId="51C3A190" w14:textId="77777777" w:rsidR="006921ED" w:rsidRDefault="006921ED">
                            <w:pPr>
                              <w:textDirection w:val="btLr"/>
                            </w:pPr>
                          </w:p>
                        </w:txbxContent>
                      </wps:txbx>
                      <wps:bodyPr spcFirstLastPara="1" wrap="square" lIns="91425" tIns="45700" rIns="91425" bIns="45700" anchor="ctr" anchorCtr="0">
                        <a:noAutofit/>
                      </wps:bodyPr>
                    </wps:wsp>
                  </a:graphicData>
                </a:graphic>
                <wp14:sizeRelV relativeFrom="margin">
                  <wp14:pctHeight>0</wp14:pctHeight>
                </wp14:sizeRelV>
              </wp:anchor>
            </w:drawing>
          </mc:Choice>
          <mc:Fallback>
            <w:pict>
              <v:shape w14:anchorId="51C3A16A" id="Alternative Process 2" o:spid="_x0000_s1030" type="#_x0000_t176" style="position:absolute;margin-left:7.5pt;margin-top:20.7pt;width:22.7pt;height:238.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" fillcolor="#92ccdc" strokecolor="black [3200]" strokeweight="2pt">
                <v:stroke startarrowwidth="narrow" startarrowlength="short" endarrowwidth="narrow" endarrowlength="short" joinstyle="round"/>
                <v:textbox inset="2.53958mm,1.2694mm,2.53958mm,1.2694mm">
                  <w:txbxContent>
                    <w:p w14:paraId="51C3A18F" w14:textId="77777777" w:rsidR="006921ED" w:rsidRDefault="00000000">
                      <w:pPr>
                        <w:jc w:val="center"/>
                        <w:textDirection w:val="btLr"/>
                      </w:pPr>
                      <w:r>
                        <w:rPr>
                          <w:rFonts w:ascii="Arial" w:eastAsia="Arial" w:hAnsi="Arial" w:cs="Arial"/>
                          <w:b/>
                          <w:color w:val="000000"/>
                          <w:sz w:val="18"/>
                        </w:rPr>
                        <w:t>Screening</w:t>
                      </w:r>
                    </w:p>
                    <w:p w14:paraId="51C3A190" w14:textId="77777777" w:rsidR="006921ED" w:rsidRDefault="006921ED">
                      <w:pPr>
                        <w:textDirection w:val="btLr"/>
                      </w:pPr>
                    </w:p>
                  </w:txbxContent>
                </v:textbox>
              </v:shape>
            </w:pict>
          </mc:Fallback>
        </mc:AlternateContent>
      </w:r>
      <w:r>
        <w:rPr>
          <w:noProof/>
        </w:rPr>
        <mc:AlternateContent>
          <mc:Choice Requires="wps">
            <w:drawing>
              <wp:anchor distT="0" distB="0" distL="114300" distR="114300" simplePos="0" relativeHeight="251666432" behindDoc="0" locked="0" layoutInCell="1" hidden="0" allowOverlap="1" wp14:anchorId="51C3A15E" wp14:editId="358D663F">
                <wp:simplePos x="0" y="0"/>
                <wp:positionH relativeFrom="column">
                  <wp:posOffset>505460</wp:posOffset>
                </wp:positionH>
                <wp:positionV relativeFrom="paragraph">
                  <wp:posOffset>264160</wp:posOffset>
                </wp:positionV>
                <wp:extent cx="1912620" cy="551815"/>
                <wp:effectExtent l="12700" t="12700" r="17780" b="6985"/>
                <wp:wrapNone/>
                <wp:docPr id="14" name="Rectangle 14"/>
                <wp:cNvGraphicFramePr/>
                <a:graphic xmlns:a="http://schemas.openxmlformats.org/drawingml/2006/main">
                  <a:graphicData uri="http://schemas.microsoft.com/office/word/2010/wordprocessingShape">
                    <wps:wsp>
                      <wps:cNvSpPr/>
                      <wps:spPr>
                        <a:xfrm>
                          <a:off x="0" y="0"/>
                          <a:ext cx="1912620" cy="551815"/>
                        </a:xfrm>
                        <a:prstGeom prst="rect">
                          <a:avLst/>
                        </a:prstGeom>
                        <a:noFill/>
                        <a:ln w="25400" cap="flat" cmpd="sng">
                          <a:solidFill>
                            <a:schemeClr val="dk1"/>
                          </a:solidFill>
                          <a:prstDash val="solid"/>
                          <a:round/>
                          <a:headEnd type="none" w="sm" len="sm"/>
                          <a:tailEnd type="none" w="sm" len="sm"/>
                        </a:ln>
                      </wps:spPr>
                      <wps:txbx>
                        <w:txbxContent>
                          <w:p w14:paraId="51C3A188" w14:textId="77777777" w:rsidR="006921ED" w:rsidRDefault="00D73B41">
                            <w:pPr>
                              <w:textDirection w:val="btLr"/>
                            </w:pPr>
                            <w:r>
                              <w:rPr>
                                <w:rFonts w:ascii="Arial" w:eastAsia="Arial" w:hAnsi="Arial" w:cs="Arial"/>
                                <w:color w:val="000000"/>
                                <w:sz w:val="18"/>
                              </w:rPr>
                              <w:t>Records screened</w:t>
                            </w:r>
                          </w:p>
                          <w:p w14:paraId="51C3A189" w14:textId="77777777" w:rsidR="006921ED" w:rsidRDefault="00D73B41">
                            <w:pPr>
                              <w:textDirection w:val="btLr"/>
                            </w:pPr>
                            <w:r>
                              <w:rPr>
                                <w:rFonts w:ascii="Arial" w:eastAsia="Arial" w:hAnsi="Arial" w:cs="Arial"/>
                                <w:color w:val="000000"/>
                                <w:sz w:val="18"/>
                              </w:rPr>
                              <w:t>(n = 580)</w:t>
                            </w:r>
                          </w:p>
                        </w:txbxContent>
                      </wps:txbx>
                      <wps:bodyPr spcFirstLastPara="1" wrap="square" lIns="91425" tIns="45700" rIns="91425" bIns="45700" anchor="ctr" anchorCtr="0">
                        <a:noAutofit/>
                      </wps:bodyPr>
                    </wps:wsp>
                  </a:graphicData>
                </a:graphic>
              </wp:anchor>
            </w:drawing>
          </mc:Choice>
          <mc:Fallback>
            <w:pict>
              <v:rect w14:anchorId="51C3A15E" id="Rectangle 14" o:spid="_x0000_s1031" style="position:absolute;margin-left:39.8pt;margin-top:20.8pt;width:150.6pt;height:43.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" filled="f" strokecolor="black [3200]" strokeweight="2pt">
                <v:stroke startarrowwidth="narrow" startarrowlength="short" endarrowwidth="narrow" endarrowlength="short" joinstyle="round"/>
                <v:textbox inset="2.53958mm,1.2694mm,2.53958mm,1.2694mm">
                  <w:txbxContent>
                    <w:p w14:paraId="51C3A188" w14:textId="77777777" w:rsidR="006921ED" w:rsidRDefault="00000000">
                      <w:pPr>
                        <w:textDirection w:val="btLr"/>
                      </w:pPr>
                      <w:r>
                        <w:rPr>
                          <w:rFonts w:ascii="Arial" w:eastAsia="Arial" w:hAnsi="Arial" w:cs="Arial"/>
                          <w:color w:val="000000"/>
                          <w:sz w:val="18"/>
                        </w:rPr>
                        <w:t>Records screened</w:t>
                      </w:r>
                    </w:p>
                    <w:p w14:paraId="51C3A189" w14:textId="77777777" w:rsidR="006921ED" w:rsidRDefault="00000000">
                      <w:pPr>
                        <w:textDirection w:val="btLr"/>
                      </w:pPr>
                      <w:r>
                        <w:rPr>
                          <w:rFonts w:ascii="Arial" w:eastAsia="Arial" w:hAnsi="Arial" w:cs="Arial"/>
                          <w:color w:val="000000"/>
                          <w:sz w:val="18"/>
                        </w:rPr>
                        <w:t>(n = 580)</w:t>
                      </w: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51C3A158" wp14:editId="2A96DC1F">
                <wp:simplePos x="0" y="0"/>
                <wp:positionH relativeFrom="column">
                  <wp:posOffset>3041015</wp:posOffset>
                </wp:positionH>
                <wp:positionV relativeFrom="paragraph">
                  <wp:posOffset>92710</wp:posOffset>
                </wp:positionV>
                <wp:extent cx="2878455" cy="911225"/>
                <wp:effectExtent l="12700" t="12700" r="17145" b="15875"/>
                <wp:wrapNone/>
                <wp:docPr id="17" name="Rectangle 17"/>
                <wp:cNvGraphicFramePr/>
                <a:graphic xmlns:a="http://schemas.openxmlformats.org/drawingml/2006/main">
                  <a:graphicData uri="http://schemas.microsoft.com/office/word/2010/wordprocessingShape">
                    <wps:wsp>
                      <wps:cNvSpPr/>
                      <wps:spPr>
                        <a:xfrm>
                          <a:off x="0" y="0"/>
                          <a:ext cx="2878455" cy="911225"/>
                        </a:xfrm>
                        <a:prstGeom prst="rect">
                          <a:avLst/>
                        </a:prstGeom>
                        <a:noFill/>
                        <a:ln w="25400" cap="flat" cmpd="sng">
                          <a:solidFill>
                            <a:schemeClr val="dk1"/>
                          </a:solidFill>
                          <a:prstDash val="solid"/>
                          <a:round/>
                          <a:headEnd type="none" w="sm" len="sm"/>
                          <a:tailEnd type="none" w="sm" len="sm"/>
                        </a:ln>
                      </wps:spPr>
                      <wps:txbx>
                        <w:txbxContent>
                          <w:p w14:paraId="51C3A184" w14:textId="77777777" w:rsidR="006921ED" w:rsidRDefault="00D73B41">
                            <w:pPr>
                              <w:textDirection w:val="btLr"/>
                            </w:pPr>
                            <w:r>
                              <w:rPr>
                                <w:rFonts w:ascii="Arial" w:eastAsia="Arial" w:hAnsi="Arial" w:cs="Arial"/>
                                <w:color w:val="000000"/>
                                <w:sz w:val="18"/>
                              </w:rPr>
                              <w:t>Records excluded</w:t>
                            </w:r>
                          </w:p>
                          <w:p w14:paraId="51C3A185" w14:textId="77777777" w:rsidR="006921ED" w:rsidRDefault="00D73B41">
                            <w:pPr>
                              <w:textDirection w:val="btLr"/>
                            </w:pPr>
                            <w:r>
                              <w:rPr>
                                <w:rFonts w:ascii="Arial" w:eastAsia="Arial" w:hAnsi="Arial" w:cs="Arial"/>
                                <w:color w:val="000000"/>
                                <w:sz w:val="18"/>
                              </w:rPr>
                              <w:t>(n = 420)</w:t>
                            </w:r>
                          </w:p>
                          <w:p w14:paraId="51C3A186" w14:textId="77777777" w:rsidR="006921ED" w:rsidRDefault="00D73B41">
                            <w:pPr>
                              <w:ind w:left="720" w:firstLine="360"/>
                              <w:textDirection w:val="btLr"/>
                            </w:pPr>
                            <w:r>
                              <w:rPr>
                                <w:rFonts w:ascii="Arial" w:eastAsia="Arial" w:hAnsi="Arial" w:cs="Arial"/>
                                <w:i/>
                                <w:color w:val="000000"/>
                                <w:sz w:val="18"/>
                              </w:rPr>
                              <w:t>(Non-UK studies, biomedical focus, no experiential data)</w:t>
                            </w:r>
                          </w:p>
                          <w:p w14:paraId="51C3A187" w14:textId="77777777" w:rsidR="006921ED" w:rsidRDefault="006921ED">
                            <w:pPr>
                              <w:textDirection w:val="btLr"/>
                            </w:pPr>
                          </w:p>
                        </w:txbxContent>
                      </wps:txbx>
                      <wps:bodyPr spcFirstLastPara="1" wrap="square" lIns="91425" tIns="45700" rIns="91425" bIns="45700" anchor="ctr" anchorCtr="0">
                        <a:noAutofit/>
                      </wps:bodyPr>
                    </wps:wsp>
                  </a:graphicData>
                </a:graphic>
              </wp:anchor>
            </w:drawing>
          </mc:Choice>
          <mc:Fallback>
            <w:pict>
              <v:rect w14:anchorId="51C3A158" id="Rectangle 17" o:spid="_x0000_s1032" style="position:absolute;margin-left:239.45pt;margin-top:7.3pt;width:226.65pt;height:7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" filled="f" strokecolor="black [3200]" strokeweight="2pt">
                <v:stroke startarrowwidth="narrow" startarrowlength="short" endarrowwidth="narrow" endarrowlength="short" joinstyle="round"/>
                <v:textbox inset="2.53958mm,1.2694mm,2.53958mm,1.2694mm">
                  <w:txbxContent>
                    <w:p w14:paraId="51C3A184" w14:textId="77777777" w:rsidR="006921ED" w:rsidRDefault="00000000">
                      <w:pPr>
                        <w:textDirection w:val="btLr"/>
                      </w:pPr>
                      <w:r>
                        <w:rPr>
                          <w:rFonts w:ascii="Arial" w:eastAsia="Arial" w:hAnsi="Arial" w:cs="Arial"/>
                          <w:color w:val="000000"/>
                          <w:sz w:val="18"/>
                        </w:rPr>
                        <w:t>Records excluded</w:t>
                      </w:r>
                    </w:p>
                    <w:p w14:paraId="51C3A185" w14:textId="77777777" w:rsidR="006921ED" w:rsidRDefault="00000000">
                      <w:pPr>
                        <w:textDirection w:val="btLr"/>
                      </w:pPr>
                      <w:r>
                        <w:rPr>
                          <w:rFonts w:ascii="Arial" w:eastAsia="Arial" w:hAnsi="Arial" w:cs="Arial"/>
                          <w:color w:val="000000"/>
                          <w:sz w:val="18"/>
                        </w:rPr>
                        <w:t>(n = 420)</w:t>
                      </w:r>
                    </w:p>
                    <w:p w14:paraId="51C3A186" w14:textId="77777777" w:rsidR="006921ED" w:rsidRDefault="00000000">
                      <w:pPr>
                        <w:ind w:left="720" w:firstLine="360"/>
                        <w:textDirection w:val="btLr"/>
                      </w:pPr>
                      <w:r>
                        <w:rPr>
                          <w:rFonts w:ascii="Arial" w:eastAsia="Arial" w:hAnsi="Arial" w:cs="Arial"/>
                          <w:i/>
                          <w:color w:val="000000"/>
                          <w:sz w:val="18"/>
                        </w:rPr>
                        <w:t>(Non-UK studies, biomedical focus, no experiential data)</w:t>
                      </w:r>
                    </w:p>
                    <w:p w14:paraId="51C3A187" w14:textId="77777777" w:rsidR="006921ED" w:rsidRDefault="006921ED">
                      <w:pPr>
                        <w:textDirection w:val="btLr"/>
                      </w:pPr>
                    </w:p>
                  </w:txbxContent>
                </v:textbox>
              </v:rect>
            </w:pict>
          </mc:Fallback>
        </mc:AlternateContent>
      </w:r>
      <w:r>
        <w:rPr>
          <w:noProof/>
        </w:rPr>
        <mc:AlternateContent>
          <mc:Choice Requires="wps">
            <w:drawing>
              <wp:anchor distT="0" distB="0" distL="114300" distR="114300" simplePos="0" relativeHeight="251675648" behindDoc="0" locked="0" layoutInCell="1" hidden="0" allowOverlap="1" wp14:anchorId="51C3A170" wp14:editId="76804C74">
                <wp:simplePos x="0" y="0"/>
                <wp:positionH relativeFrom="column">
                  <wp:posOffset>467360</wp:posOffset>
                </wp:positionH>
                <wp:positionV relativeFrom="paragraph">
                  <wp:posOffset>2253615</wp:posOffset>
                </wp:positionV>
                <wp:extent cx="1912620" cy="551815"/>
                <wp:effectExtent l="12700" t="12700" r="17780" b="6985"/>
                <wp:wrapNone/>
                <wp:docPr id="19" name="Rectangle 19"/>
                <wp:cNvGraphicFramePr/>
                <a:graphic xmlns:a="http://schemas.openxmlformats.org/drawingml/2006/main">
                  <a:graphicData uri="http://schemas.microsoft.com/office/word/2010/wordprocessingShape">
                    <wps:wsp>
                      <wps:cNvSpPr/>
                      <wps:spPr>
                        <a:xfrm>
                          <a:off x="0" y="0"/>
                          <a:ext cx="1912620" cy="551815"/>
                        </a:xfrm>
                        <a:prstGeom prst="rect">
                          <a:avLst/>
                        </a:prstGeom>
                        <a:noFill/>
                        <a:ln w="25400" cap="flat" cmpd="sng">
                          <a:solidFill>
                            <a:schemeClr val="dk1"/>
                          </a:solidFill>
                          <a:prstDash val="solid"/>
                          <a:round/>
                          <a:headEnd type="none" w="sm" len="sm"/>
                          <a:tailEnd type="none" w="sm" len="sm"/>
                        </a:ln>
                      </wps:spPr>
                      <wps:txbx>
                        <w:txbxContent>
                          <w:p w14:paraId="51C3A198" w14:textId="77777777" w:rsidR="006921ED" w:rsidRDefault="00D73B41">
                            <w:pPr>
                              <w:textDirection w:val="btLr"/>
                            </w:pPr>
                            <w:r>
                              <w:rPr>
                                <w:rFonts w:ascii="Arial" w:eastAsia="Arial" w:hAnsi="Arial" w:cs="Arial"/>
                                <w:color w:val="000000"/>
                                <w:sz w:val="18"/>
                              </w:rPr>
                              <w:t>Reports assessed for eligibility</w:t>
                            </w:r>
                          </w:p>
                          <w:p w14:paraId="51C3A199" w14:textId="77777777" w:rsidR="006921ED" w:rsidRDefault="00D73B41">
                            <w:pPr>
                              <w:textDirection w:val="btLr"/>
                            </w:pPr>
                            <w:r>
                              <w:rPr>
                                <w:rFonts w:ascii="Arial" w:eastAsia="Arial" w:hAnsi="Arial" w:cs="Arial"/>
                                <w:color w:val="000000"/>
                                <w:sz w:val="18"/>
                              </w:rPr>
                              <w:t>(n = 148)</w:t>
                            </w:r>
                          </w:p>
                        </w:txbxContent>
                      </wps:txbx>
                      <wps:bodyPr spcFirstLastPara="1" wrap="square" lIns="91425" tIns="45700" rIns="91425" bIns="45700" anchor="ctr" anchorCtr="0">
                        <a:noAutofit/>
                      </wps:bodyPr>
                    </wps:wsp>
                  </a:graphicData>
                </a:graphic>
              </wp:anchor>
            </w:drawing>
          </mc:Choice>
          <mc:Fallback>
            <w:pict>
              <v:rect w14:anchorId="51C3A170" id="Rectangle 19" o:spid="_x0000_s1033" style="position:absolute;margin-left:36.8pt;margin-top:177.45pt;width:150.6pt;height:43.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" filled="f" strokecolor="black [3200]" strokeweight="2pt">
                <v:stroke startarrowwidth="narrow" startarrowlength="short" endarrowwidth="narrow" endarrowlength="short" joinstyle="round"/>
                <v:textbox inset="2.53958mm,1.2694mm,2.53958mm,1.2694mm">
                  <w:txbxContent>
                    <w:p w14:paraId="51C3A198" w14:textId="77777777" w:rsidR="006921ED" w:rsidRDefault="00000000">
                      <w:pPr>
                        <w:textDirection w:val="btLr"/>
                      </w:pPr>
                      <w:r>
                        <w:rPr>
                          <w:rFonts w:ascii="Arial" w:eastAsia="Arial" w:hAnsi="Arial" w:cs="Arial"/>
                          <w:color w:val="000000"/>
                          <w:sz w:val="18"/>
                        </w:rPr>
                        <w:t>Reports assessed for eligibility</w:t>
                      </w:r>
                    </w:p>
                    <w:p w14:paraId="51C3A199" w14:textId="77777777" w:rsidR="006921ED" w:rsidRDefault="00000000">
                      <w:pPr>
                        <w:textDirection w:val="btLr"/>
                      </w:pPr>
                      <w:r>
                        <w:rPr>
                          <w:rFonts w:ascii="Arial" w:eastAsia="Arial" w:hAnsi="Arial" w:cs="Arial"/>
                          <w:color w:val="000000"/>
                          <w:sz w:val="18"/>
                        </w:rPr>
                        <w:t>(n = 148)</w:t>
                      </w:r>
                    </w:p>
                  </w:txbxContent>
                </v:textbox>
              </v:rect>
            </w:pict>
          </mc:Fallback>
        </mc:AlternateContent>
      </w:r>
    </w:p>
    <w:p w14:paraId="51C39F1A" w14:textId="4F7417B4" w:rsidR="006921ED" w:rsidRDefault="00A93FD7">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89984" behindDoc="0" locked="0" layoutInCell="1" allowOverlap="1" wp14:anchorId="78ED84D2" wp14:editId="760E7F22">
                <wp:simplePos x="0" y="0"/>
                <wp:positionH relativeFrom="column">
                  <wp:posOffset>2582121</wp:posOffset>
                </wp:positionH>
                <wp:positionV relativeFrom="paragraph">
                  <wp:posOffset>211667</wp:posOffset>
                </wp:positionV>
                <wp:extent cx="385445" cy="0"/>
                <wp:effectExtent l="0" t="63500" r="8255" b="101600"/>
                <wp:wrapNone/>
                <wp:docPr id="1602523801" name="Straight Arrow Connector 23"/>
                <wp:cNvGraphicFramePr/>
                <a:graphic xmlns:a="http://schemas.openxmlformats.org/drawingml/2006/main">
                  <a:graphicData uri="http://schemas.microsoft.com/office/word/2010/wordprocessingShape">
                    <wps:wsp>
                      <wps:cNvCnPr/>
                      <wps:spPr>
                        <a:xfrm>
                          <a:off x="0" y="0"/>
                          <a:ext cx="38544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F52D22E" id="Straight Arrow Connector 23" o:spid="_x0000_s1026" type="#_x0000_t32" style="position:absolute;margin-left:203.3pt;margin-top:16.65pt;width:30.35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" strokecolor="black [3200]" strokeweight="2pt">
                <v:stroke endarrow="block"/>
                <v:shadow on="t" color="black" opacity="24903f" origin=",.5" offset="0,.55556mm"/>
              </v:shape>
            </w:pict>
          </mc:Fallback>
        </mc:AlternateContent>
      </w:r>
    </w:p>
    <w:p w14:paraId="51C39F1B" w14:textId="1368D952" w:rsidR="006921ED" w:rsidRDefault="00610916">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82816" behindDoc="0" locked="0" layoutInCell="1" allowOverlap="1" wp14:anchorId="4954A281" wp14:editId="21A1D23B">
                <wp:simplePos x="0" y="0"/>
                <wp:positionH relativeFrom="column">
                  <wp:posOffset>1405255</wp:posOffset>
                </wp:positionH>
                <wp:positionV relativeFrom="paragraph">
                  <wp:posOffset>223943</wp:posOffset>
                </wp:positionV>
                <wp:extent cx="0" cy="359199"/>
                <wp:effectExtent l="76200" t="25400" r="63500" b="73025"/>
                <wp:wrapNone/>
                <wp:docPr id="1394380156" name="Straight Arrow Connector 22"/>
                <wp:cNvGraphicFramePr/>
                <a:graphic xmlns:a="http://schemas.openxmlformats.org/drawingml/2006/main">
                  <a:graphicData uri="http://schemas.microsoft.com/office/word/2010/wordprocessingShape">
                    <wps:wsp>
                      <wps:cNvCnPr/>
                      <wps:spPr>
                        <a:xfrm>
                          <a:off x="0" y="0"/>
                          <a:ext cx="0" cy="359199"/>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8E05CBD" id="Straight Arrow Connector 22" o:spid="_x0000_s1026" type="#_x0000_t32" style="position:absolute;margin-left:110.65pt;margin-top:17.65pt;width:0;height:28.3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" strokecolor="black [3200]" strokeweight="1pt">
                <v:stroke endarrow="block"/>
                <v:shadow on="t" color="black" opacity="24903f" origin=",.5" offset="0,.55556mm"/>
              </v:shape>
            </w:pict>
          </mc:Fallback>
        </mc:AlternateContent>
      </w:r>
    </w:p>
    <w:p w14:paraId="51C39F1C" w14:textId="676CEBA0" w:rsidR="006921ED" w:rsidRDefault="00610916">
      <w:pPr>
        <w:spacing w:line="360" w:lineRule="auto"/>
        <w:rPr>
          <w:rFonts w:ascii="Arial" w:eastAsia="Arial" w:hAnsi="Arial" w:cs="Arial"/>
          <w:sz w:val="22"/>
          <w:szCs w:val="22"/>
        </w:rPr>
      </w:pPr>
      <w:r>
        <w:rPr>
          <w:noProof/>
        </w:rPr>
        <mc:AlternateContent>
          <mc:Choice Requires="wps">
            <w:drawing>
              <wp:anchor distT="0" distB="0" distL="114300" distR="114300" simplePos="0" relativeHeight="251670528" behindDoc="0" locked="0" layoutInCell="1" hidden="0" allowOverlap="1" wp14:anchorId="51C3A166" wp14:editId="621E9CF2">
                <wp:simplePos x="0" y="0"/>
                <wp:positionH relativeFrom="column">
                  <wp:posOffset>3041437</wp:posOffset>
                </wp:positionH>
                <wp:positionV relativeFrom="paragraph">
                  <wp:posOffset>208280</wp:posOffset>
                </wp:positionV>
                <wp:extent cx="2878455" cy="551815"/>
                <wp:effectExtent l="12700" t="12700" r="17145" b="6985"/>
                <wp:wrapNone/>
                <wp:docPr id="9" name="Rectangle 9"/>
                <wp:cNvGraphicFramePr/>
                <a:graphic xmlns:a="http://schemas.openxmlformats.org/drawingml/2006/main">
                  <a:graphicData uri="http://schemas.microsoft.com/office/word/2010/wordprocessingShape">
                    <wps:wsp>
                      <wps:cNvSpPr/>
                      <wps:spPr>
                        <a:xfrm>
                          <a:off x="0" y="0"/>
                          <a:ext cx="2878455" cy="551815"/>
                        </a:xfrm>
                        <a:prstGeom prst="rect">
                          <a:avLst/>
                        </a:prstGeom>
                        <a:noFill/>
                        <a:ln w="25400" cap="flat" cmpd="sng">
                          <a:solidFill>
                            <a:schemeClr val="dk1"/>
                          </a:solidFill>
                          <a:prstDash val="solid"/>
                          <a:round/>
                          <a:headEnd type="none" w="sm" len="sm"/>
                          <a:tailEnd type="none" w="sm" len="sm"/>
                        </a:ln>
                      </wps:spPr>
                      <wps:txbx>
                        <w:txbxContent>
                          <w:p w14:paraId="51C3A18C" w14:textId="77777777" w:rsidR="006921ED" w:rsidRDefault="00D73B41">
                            <w:pPr>
                              <w:textDirection w:val="btLr"/>
                            </w:pPr>
                            <w:r>
                              <w:rPr>
                                <w:rFonts w:ascii="Arial" w:eastAsia="Arial" w:hAnsi="Arial" w:cs="Arial"/>
                                <w:color w:val="000000"/>
                                <w:sz w:val="18"/>
                              </w:rPr>
                              <w:t>Reports not retrieved</w:t>
                            </w:r>
                          </w:p>
                          <w:p w14:paraId="51C3A18D" w14:textId="77777777" w:rsidR="006921ED" w:rsidRDefault="00D73B41">
                            <w:pPr>
                              <w:textDirection w:val="btLr"/>
                            </w:pPr>
                            <w:r>
                              <w:rPr>
                                <w:rFonts w:ascii="Arial" w:eastAsia="Arial" w:hAnsi="Arial" w:cs="Arial"/>
                                <w:color w:val="000000"/>
                                <w:sz w:val="18"/>
                              </w:rPr>
                              <w:t>(n = 12)</w:t>
                            </w:r>
                          </w:p>
                          <w:p w14:paraId="51C3A18E" w14:textId="77777777" w:rsidR="006921ED" w:rsidRDefault="00D73B41">
                            <w:pPr>
                              <w:textDirection w:val="btLr"/>
                            </w:pPr>
                            <w:r>
                              <w:rPr>
                                <w:rFonts w:ascii="Arial" w:eastAsia="Arial" w:hAnsi="Arial" w:cs="Arial"/>
                                <w:color w:val="000000"/>
                                <w:sz w:val="18"/>
                              </w:rPr>
                              <w:t>(Full text unavailable or inaccessible)</w:t>
                            </w:r>
                          </w:p>
                        </w:txbxContent>
                      </wps:txbx>
                      <wps:bodyPr spcFirstLastPara="1" wrap="square" lIns="91425" tIns="45700" rIns="91425" bIns="45700" anchor="ctr" anchorCtr="0">
                        <a:noAutofit/>
                      </wps:bodyPr>
                    </wps:wsp>
                  </a:graphicData>
                </a:graphic>
                <wp14:sizeRelH relativeFrom="margin">
                  <wp14:pctWidth>0</wp14:pctWidth>
                </wp14:sizeRelH>
              </wp:anchor>
            </w:drawing>
          </mc:Choice>
          <mc:Fallback>
            <w:pict>
              <v:rect w14:anchorId="51C3A166" id="Rectangle 9" o:spid="_x0000_s1034" style="position:absolute;margin-left:239.5pt;margin-top:16.4pt;width:226.65pt;height:43.4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" filled="f" strokecolor="black [3200]" strokeweight="2pt">
                <v:stroke startarrowwidth="narrow" startarrowlength="short" endarrowwidth="narrow" endarrowlength="short" joinstyle="round"/>
                <v:textbox inset="2.53958mm,1.2694mm,2.53958mm,1.2694mm">
                  <w:txbxContent>
                    <w:p w14:paraId="51C3A18C" w14:textId="77777777" w:rsidR="006921ED" w:rsidRDefault="00000000">
                      <w:pPr>
                        <w:textDirection w:val="btLr"/>
                      </w:pPr>
                      <w:r>
                        <w:rPr>
                          <w:rFonts w:ascii="Arial" w:eastAsia="Arial" w:hAnsi="Arial" w:cs="Arial"/>
                          <w:color w:val="000000"/>
                          <w:sz w:val="18"/>
                        </w:rPr>
                        <w:t>Reports not retrieved</w:t>
                      </w:r>
                    </w:p>
                    <w:p w14:paraId="51C3A18D" w14:textId="77777777" w:rsidR="006921ED" w:rsidRDefault="00000000">
                      <w:pPr>
                        <w:textDirection w:val="btLr"/>
                      </w:pPr>
                      <w:r>
                        <w:rPr>
                          <w:rFonts w:ascii="Arial" w:eastAsia="Arial" w:hAnsi="Arial" w:cs="Arial"/>
                          <w:color w:val="000000"/>
                          <w:sz w:val="18"/>
                        </w:rPr>
                        <w:t>(n = 12)</w:t>
                      </w:r>
                    </w:p>
                    <w:p w14:paraId="51C3A18E" w14:textId="77777777" w:rsidR="006921ED" w:rsidRDefault="00000000">
                      <w:pPr>
                        <w:textDirection w:val="btLr"/>
                      </w:pPr>
                      <w:r>
                        <w:rPr>
                          <w:rFonts w:ascii="Arial" w:eastAsia="Arial" w:hAnsi="Arial" w:cs="Arial"/>
                          <w:color w:val="000000"/>
                          <w:sz w:val="18"/>
                        </w:rPr>
                        <w:t>(Full text unavailable or inaccessible)</w:t>
                      </w: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51C3A164" wp14:editId="044F4BE8">
                <wp:simplePos x="0" y="0"/>
                <wp:positionH relativeFrom="column">
                  <wp:posOffset>495300</wp:posOffset>
                </wp:positionH>
                <wp:positionV relativeFrom="paragraph">
                  <wp:posOffset>296757</wp:posOffset>
                </wp:positionV>
                <wp:extent cx="1912620" cy="551815"/>
                <wp:effectExtent l="12700" t="12700" r="17780" b="6985"/>
                <wp:wrapNone/>
                <wp:docPr id="12" name="Rectangle 12"/>
                <wp:cNvGraphicFramePr/>
                <a:graphic xmlns:a="http://schemas.openxmlformats.org/drawingml/2006/main">
                  <a:graphicData uri="http://schemas.microsoft.com/office/word/2010/wordprocessingShape">
                    <wps:wsp>
                      <wps:cNvSpPr/>
                      <wps:spPr>
                        <a:xfrm>
                          <a:off x="0" y="0"/>
                          <a:ext cx="1912620" cy="551815"/>
                        </a:xfrm>
                        <a:prstGeom prst="rect">
                          <a:avLst/>
                        </a:prstGeom>
                        <a:noFill/>
                        <a:ln w="25400" cap="flat" cmpd="sng">
                          <a:solidFill>
                            <a:schemeClr val="dk1"/>
                          </a:solidFill>
                          <a:prstDash val="solid"/>
                          <a:round/>
                          <a:headEnd type="none" w="sm" len="sm"/>
                          <a:tailEnd type="none" w="sm" len="sm"/>
                        </a:ln>
                      </wps:spPr>
                      <wps:txbx>
                        <w:txbxContent>
                          <w:p w14:paraId="51C3A18A" w14:textId="77777777" w:rsidR="006921ED" w:rsidRDefault="00D73B41">
                            <w:pPr>
                              <w:textDirection w:val="btLr"/>
                            </w:pPr>
                            <w:r>
                              <w:rPr>
                                <w:rFonts w:ascii="Arial" w:eastAsia="Arial" w:hAnsi="Arial" w:cs="Arial"/>
                                <w:color w:val="000000"/>
                                <w:sz w:val="18"/>
                              </w:rPr>
                              <w:t>Reports sought for retrieval</w:t>
                            </w:r>
                          </w:p>
                          <w:p w14:paraId="51C3A18B" w14:textId="77777777" w:rsidR="006921ED" w:rsidRDefault="00D73B41">
                            <w:pPr>
                              <w:textDirection w:val="btLr"/>
                            </w:pPr>
                            <w:r>
                              <w:rPr>
                                <w:rFonts w:ascii="Arial" w:eastAsia="Arial" w:hAnsi="Arial" w:cs="Arial"/>
                                <w:color w:val="000000"/>
                                <w:sz w:val="18"/>
                              </w:rPr>
                              <w:t xml:space="preserve">(n = </w:t>
                            </w:r>
                            <w:r>
                              <w:rPr>
                                <w:rFonts w:ascii="Arial" w:eastAsia="Arial" w:hAnsi="Arial" w:cs="Arial"/>
                                <w:color w:val="000000"/>
                                <w:sz w:val="18"/>
                              </w:rPr>
                              <w:t>160 )</w:t>
                            </w:r>
                          </w:p>
                        </w:txbxContent>
                      </wps:txbx>
                      <wps:bodyPr spcFirstLastPara="1" wrap="square" lIns="91425" tIns="45700" rIns="91425" bIns="45700" anchor="ctr" anchorCtr="0">
                        <a:noAutofit/>
                      </wps:bodyPr>
                    </wps:wsp>
                  </a:graphicData>
                </a:graphic>
              </wp:anchor>
            </w:drawing>
          </mc:Choice>
          <mc:Fallback>
            <w:pict>
              <v:rect w14:anchorId="51C3A164" id="Rectangle 12" o:spid="_x0000_s1035" style="position:absolute;margin-left:39pt;margin-top:23.35pt;width:150.6pt;height:43.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" filled="f" strokecolor="black [3200]" strokeweight="2pt">
                <v:stroke startarrowwidth="narrow" startarrowlength="short" endarrowwidth="narrow" endarrowlength="short" joinstyle="round"/>
                <v:textbox inset="2.53958mm,1.2694mm,2.53958mm,1.2694mm">
                  <w:txbxContent>
                    <w:p w14:paraId="51C3A18A" w14:textId="77777777" w:rsidR="006921ED" w:rsidRDefault="00000000">
                      <w:pPr>
                        <w:textDirection w:val="btLr"/>
                      </w:pPr>
                      <w:r>
                        <w:rPr>
                          <w:rFonts w:ascii="Arial" w:eastAsia="Arial" w:hAnsi="Arial" w:cs="Arial"/>
                          <w:color w:val="000000"/>
                          <w:sz w:val="18"/>
                        </w:rPr>
                        <w:t>Reports sought for retrieval</w:t>
                      </w:r>
                    </w:p>
                    <w:p w14:paraId="51C3A18B" w14:textId="77777777" w:rsidR="006921ED" w:rsidRDefault="00000000">
                      <w:pPr>
                        <w:textDirection w:val="btLr"/>
                      </w:pPr>
                      <w:r>
                        <w:rPr>
                          <w:rFonts w:ascii="Arial" w:eastAsia="Arial" w:hAnsi="Arial" w:cs="Arial"/>
                          <w:color w:val="000000"/>
                          <w:sz w:val="18"/>
                        </w:rPr>
                        <w:t xml:space="preserve">(n = </w:t>
                      </w:r>
                      <w:proofErr w:type="gramStart"/>
                      <w:r>
                        <w:rPr>
                          <w:rFonts w:ascii="Arial" w:eastAsia="Arial" w:hAnsi="Arial" w:cs="Arial"/>
                          <w:color w:val="000000"/>
                          <w:sz w:val="18"/>
                        </w:rPr>
                        <w:t>160 )</w:t>
                      </w:r>
                      <w:proofErr w:type="gramEnd"/>
                    </w:p>
                  </w:txbxContent>
                </v:textbox>
              </v:rect>
            </w:pict>
          </mc:Fallback>
        </mc:AlternateContent>
      </w:r>
    </w:p>
    <w:p w14:paraId="51C39F1D" w14:textId="3865C813" w:rsidR="006921ED" w:rsidRDefault="00A93FD7">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92032" behindDoc="0" locked="0" layoutInCell="1" allowOverlap="1" wp14:anchorId="24000816" wp14:editId="72D35681">
                <wp:simplePos x="0" y="0"/>
                <wp:positionH relativeFrom="column">
                  <wp:posOffset>2582121</wp:posOffset>
                </wp:positionH>
                <wp:positionV relativeFrom="paragraph">
                  <wp:posOffset>208068</wp:posOffset>
                </wp:positionV>
                <wp:extent cx="385445" cy="0"/>
                <wp:effectExtent l="0" t="63500" r="8255" b="101600"/>
                <wp:wrapNone/>
                <wp:docPr id="1774133475" name="Straight Arrow Connector 23"/>
                <wp:cNvGraphicFramePr/>
                <a:graphic xmlns:a="http://schemas.openxmlformats.org/drawingml/2006/main">
                  <a:graphicData uri="http://schemas.microsoft.com/office/word/2010/wordprocessingShape">
                    <wps:wsp>
                      <wps:cNvCnPr/>
                      <wps:spPr>
                        <a:xfrm>
                          <a:off x="0" y="0"/>
                          <a:ext cx="38544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F3BCF2E" id="Straight Arrow Connector 23" o:spid="_x0000_s1026" type="#_x0000_t32" style="position:absolute;margin-left:203.3pt;margin-top:16.4pt;width:30.35pt;height:0;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" strokecolor="black [3200]" strokeweight="2pt">
                <v:stroke endarrow="block"/>
                <v:shadow on="t" color="black" opacity="24903f" origin=",.5" offset="0,.55556mm"/>
              </v:shape>
            </w:pict>
          </mc:Fallback>
        </mc:AlternateContent>
      </w:r>
    </w:p>
    <w:p w14:paraId="51C39F1E" w14:textId="7C9C3A40" w:rsidR="006921ED" w:rsidRDefault="00610916">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84864" behindDoc="0" locked="0" layoutInCell="1" allowOverlap="1" wp14:anchorId="482D758E" wp14:editId="62CE59CA">
                <wp:simplePos x="0" y="0"/>
                <wp:positionH relativeFrom="column">
                  <wp:posOffset>1396365</wp:posOffset>
                </wp:positionH>
                <wp:positionV relativeFrom="paragraph">
                  <wp:posOffset>274108</wp:posOffset>
                </wp:positionV>
                <wp:extent cx="0" cy="359199"/>
                <wp:effectExtent l="76200" t="25400" r="63500" b="73025"/>
                <wp:wrapNone/>
                <wp:docPr id="1081611287" name="Straight Arrow Connector 22"/>
                <wp:cNvGraphicFramePr/>
                <a:graphic xmlns:a="http://schemas.openxmlformats.org/drawingml/2006/main">
                  <a:graphicData uri="http://schemas.microsoft.com/office/word/2010/wordprocessingShape">
                    <wps:wsp>
                      <wps:cNvCnPr/>
                      <wps:spPr>
                        <a:xfrm>
                          <a:off x="0" y="0"/>
                          <a:ext cx="0" cy="359199"/>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2289434" id="Straight Arrow Connector 22" o:spid="_x0000_s1026" type="#_x0000_t32" style="position:absolute;margin-left:109.95pt;margin-top:21.6pt;width:0;height:28.3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" strokecolor="black [3200]" strokeweight="1pt">
                <v:stroke endarrow="block"/>
                <v:shadow on="t" color="black" opacity="24903f" origin=",.5" offset="0,.55556mm"/>
              </v:shape>
            </w:pict>
          </mc:Fallback>
        </mc:AlternateContent>
      </w:r>
    </w:p>
    <w:p w14:paraId="51C39F1F" w14:textId="09229D6C" w:rsidR="006921ED" w:rsidRDefault="00610916">
      <w:pPr>
        <w:spacing w:line="360" w:lineRule="auto"/>
        <w:rPr>
          <w:rFonts w:ascii="Arial" w:eastAsia="Arial" w:hAnsi="Arial" w:cs="Arial"/>
          <w:sz w:val="22"/>
          <w:szCs w:val="22"/>
        </w:rPr>
      </w:pPr>
      <w:r>
        <w:rPr>
          <w:noProof/>
        </w:rPr>
        <mc:AlternateContent>
          <mc:Choice Requires="wps">
            <w:drawing>
              <wp:anchor distT="0" distB="0" distL="114300" distR="114300" simplePos="0" relativeHeight="251673600" behindDoc="0" locked="0" layoutInCell="1" hidden="0" allowOverlap="1" wp14:anchorId="51C3A16C" wp14:editId="2DB96E51">
                <wp:simplePos x="0" y="0"/>
                <wp:positionH relativeFrom="column">
                  <wp:posOffset>3041438</wp:posOffset>
                </wp:positionH>
                <wp:positionV relativeFrom="paragraph">
                  <wp:posOffset>69850</wp:posOffset>
                </wp:positionV>
                <wp:extent cx="2878455" cy="1731433"/>
                <wp:effectExtent l="12700" t="12700" r="17145" b="8890"/>
                <wp:wrapNone/>
                <wp:docPr id="13" name="Rectangle 13"/>
                <wp:cNvGraphicFramePr/>
                <a:graphic xmlns:a="http://schemas.openxmlformats.org/drawingml/2006/main">
                  <a:graphicData uri="http://schemas.microsoft.com/office/word/2010/wordprocessingShape">
                    <wps:wsp>
                      <wps:cNvSpPr/>
                      <wps:spPr>
                        <a:xfrm>
                          <a:off x="0" y="0"/>
                          <a:ext cx="2878455" cy="1731433"/>
                        </a:xfrm>
                        <a:prstGeom prst="rect">
                          <a:avLst/>
                        </a:prstGeom>
                        <a:noFill/>
                        <a:ln w="25400" cap="flat" cmpd="sng">
                          <a:solidFill>
                            <a:schemeClr val="dk1"/>
                          </a:solidFill>
                          <a:prstDash val="solid"/>
                          <a:round/>
                          <a:headEnd type="none" w="sm" len="sm"/>
                          <a:tailEnd type="none" w="sm" len="sm"/>
                        </a:ln>
                      </wps:spPr>
                      <wps:txbx>
                        <w:txbxContent>
                          <w:p w14:paraId="51C3A191" w14:textId="77777777" w:rsidR="006921ED" w:rsidRDefault="00D73B41">
                            <w:pPr>
                              <w:textDirection w:val="btLr"/>
                            </w:pPr>
                            <w:r>
                              <w:rPr>
                                <w:rFonts w:ascii="Arial" w:eastAsia="Arial" w:hAnsi="Arial" w:cs="Arial"/>
                                <w:color w:val="000000"/>
                                <w:sz w:val="18"/>
                              </w:rPr>
                              <w:t>Reports excluded:</w:t>
                            </w:r>
                          </w:p>
                          <w:p w14:paraId="51C3A192" w14:textId="77777777" w:rsidR="006921ED" w:rsidRDefault="00D73B41">
                            <w:pPr>
                              <w:ind w:left="720" w:firstLine="360"/>
                              <w:textDirection w:val="btLr"/>
                            </w:pPr>
                            <w:r>
                              <w:rPr>
                                <w:rFonts w:ascii="Arial" w:eastAsia="Arial" w:hAnsi="Arial" w:cs="Arial"/>
                                <w:color w:val="000000"/>
                                <w:sz w:val="18"/>
                              </w:rPr>
                              <w:t xml:space="preserve">Reason 1: Quantitative-only studies (n = </w:t>
                            </w:r>
                            <w:r>
                              <w:rPr>
                                <w:rFonts w:ascii="Arial" w:eastAsia="Arial" w:hAnsi="Arial" w:cs="Arial"/>
                                <w:b/>
                                <w:color w:val="000000"/>
                                <w:sz w:val="18"/>
                              </w:rPr>
                              <w:t>52</w:t>
                            </w:r>
                            <w:r>
                              <w:rPr>
                                <w:rFonts w:ascii="Arial" w:eastAsia="Arial" w:hAnsi="Arial" w:cs="Arial"/>
                                <w:color w:val="000000"/>
                                <w:sz w:val="18"/>
                              </w:rPr>
                              <w:t>)</w:t>
                            </w:r>
                          </w:p>
                          <w:p w14:paraId="51C3A193" w14:textId="77777777" w:rsidR="006921ED" w:rsidRDefault="00D73B41">
                            <w:pPr>
                              <w:ind w:left="720" w:firstLine="360"/>
                              <w:textDirection w:val="btLr"/>
                            </w:pPr>
                            <w:r>
                              <w:rPr>
                                <w:rFonts w:ascii="Arial" w:eastAsia="Arial" w:hAnsi="Arial" w:cs="Arial"/>
                                <w:color w:val="000000"/>
                                <w:sz w:val="18"/>
                              </w:rPr>
                              <w:t xml:space="preserve">Reason 2: No focus on health or social care experiences (n = </w:t>
                            </w:r>
                            <w:r>
                              <w:rPr>
                                <w:rFonts w:ascii="Arial" w:eastAsia="Arial" w:hAnsi="Arial" w:cs="Arial"/>
                                <w:b/>
                                <w:color w:val="000000"/>
                                <w:sz w:val="18"/>
                              </w:rPr>
                              <w:t>46</w:t>
                            </w:r>
                            <w:r>
                              <w:rPr>
                                <w:rFonts w:ascii="Arial" w:eastAsia="Arial" w:hAnsi="Arial" w:cs="Arial"/>
                                <w:color w:val="000000"/>
                                <w:sz w:val="18"/>
                              </w:rPr>
                              <w:t>)</w:t>
                            </w:r>
                          </w:p>
                          <w:p w14:paraId="51C3A194" w14:textId="77777777" w:rsidR="006921ED" w:rsidRDefault="00D73B41">
                            <w:pPr>
                              <w:ind w:left="720" w:firstLine="360"/>
                              <w:textDirection w:val="btLr"/>
                            </w:pPr>
                            <w:r>
                              <w:rPr>
                                <w:rFonts w:ascii="Arial" w:eastAsia="Arial" w:hAnsi="Arial" w:cs="Arial"/>
                                <w:color w:val="000000"/>
                                <w:sz w:val="18"/>
                              </w:rPr>
                              <w:t xml:space="preserve">Reason 3: Outside publication date range (pre-2010) (n = </w:t>
                            </w:r>
                            <w:r>
                              <w:rPr>
                                <w:rFonts w:ascii="Arial" w:eastAsia="Arial" w:hAnsi="Arial" w:cs="Arial"/>
                                <w:b/>
                                <w:color w:val="000000"/>
                                <w:sz w:val="18"/>
                              </w:rPr>
                              <w:t>28</w:t>
                            </w:r>
                            <w:r>
                              <w:rPr>
                                <w:rFonts w:ascii="Arial" w:eastAsia="Arial" w:hAnsi="Arial" w:cs="Arial"/>
                                <w:color w:val="000000"/>
                                <w:sz w:val="18"/>
                              </w:rPr>
                              <w:t>)</w:t>
                            </w:r>
                          </w:p>
                          <w:p w14:paraId="51C3A195" w14:textId="77777777" w:rsidR="006921ED" w:rsidRDefault="00D73B41">
                            <w:pPr>
                              <w:ind w:left="720" w:firstLine="360"/>
                              <w:textDirection w:val="btLr"/>
                            </w:pPr>
                            <w:r>
                              <w:rPr>
                                <w:rFonts w:ascii="Arial" w:eastAsia="Arial" w:hAnsi="Arial" w:cs="Arial"/>
                                <w:color w:val="000000"/>
                                <w:sz w:val="18"/>
                              </w:rPr>
                              <w:t xml:space="preserve">Reason 4: Insufficient methodological detail (n = </w:t>
                            </w:r>
                            <w:r>
                              <w:rPr>
                                <w:rFonts w:ascii="Arial" w:eastAsia="Arial" w:hAnsi="Arial" w:cs="Arial"/>
                                <w:b/>
                                <w:color w:val="000000"/>
                                <w:sz w:val="18"/>
                              </w:rPr>
                              <w:t>10</w:t>
                            </w:r>
                            <w:r>
                              <w:rPr>
                                <w:rFonts w:ascii="Arial" w:eastAsia="Arial" w:hAnsi="Arial" w:cs="Arial"/>
                                <w:color w:val="000000"/>
                                <w:sz w:val="18"/>
                              </w:rPr>
                              <w:t>)</w:t>
                            </w:r>
                          </w:p>
                          <w:p w14:paraId="51C3A196" w14:textId="77777777" w:rsidR="006921ED" w:rsidRDefault="00D73B41">
                            <w:pPr>
                              <w:ind w:left="283" w:firstLine="283"/>
                              <w:textDirection w:val="btLr"/>
                            </w:pPr>
                            <w:r>
                              <w:rPr>
                                <w:rFonts w:ascii="Arial" w:eastAsia="Arial" w:hAnsi="Arial" w:cs="Arial"/>
                                <w:b/>
                                <w:color w:val="000000"/>
                                <w:sz w:val="18"/>
                              </w:rPr>
                              <w:t>Total reports excluded at full-text stage = 136</w:t>
                            </w:r>
                          </w:p>
                          <w:p w14:paraId="51C3A197" w14:textId="77777777" w:rsidR="006921ED" w:rsidRDefault="006921ED">
                            <w:pPr>
                              <w:ind w:left="283" w:firstLine="283"/>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51C3A16C" id="Rectangle 13" o:spid="_x0000_s1036" style="position:absolute;margin-left:239.5pt;margin-top:5.5pt;width:226.65pt;height:136.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" filled="f" strokecolor="black [3200]" strokeweight="2pt">
                <v:stroke startarrowwidth="narrow" startarrowlength="short" endarrowwidth="narrow" endarrowlength="short" joinstyle="round"/>
                <v:textbox inset="2.53958mm,1.2694mm,2.53958mm,1.2694mm">
                  <w:txbxContent>
                    <w:p w14:paraId="51C3A191" w14:textId="77777777" w:rsidR="006921ED" w:rsidRDefault="00000000">
                      <w:pPr>
                        <w:textDirection w:val="btLr"/>
                      </w:pPr>
                      <w:r>
                        <w:rPr>
                          <w:rFonts w:ascii="Arial" w:eastAsia="Arial" w:hAnsi="Arial" w:cs="Arial"/>
                          <w:color w:val="000000"/>
                          <w:sz w:val="18"/>
                        </w:rPr>
                        <w:t>Reports excluded:</w:t>
                      </w:r>
                    </w:p>
                    <w:p w14:paraId="51C3A192" w14:textId="77777777" w:rsidR="006921ED" w:rsidRDefault="00000000">
                      <w:pPr>
                        <w:ind w:left="720" w:firstLine="360"/>
                        <w:textDirection w:val="btLr"/>
                      </w:pPr>
                      <w:r>
                        <w:rPr>
                          <w:rFonts w:ascii="Arial" w:eastAsia="Arial" w:hAnsi="Arial" w:cs="Arial"/>
                          <w:color w:val="000000"/>
                          <w:sz w:val="18"/>
                        </w:rPr>
                        <w:t xml:space="preserve">Reason 1: Quantitative-only studies (n = </w:t>
                      </w:r>
                      <w:r>
                        <w:rPr>
                          <w:rFonts w:ascii="Arial" w:eastAsia="Arial" w:hAnsi="Arial" w:cs="Arial"/>
                          <w:b/>
                          <w:color w:val="000000"/>
                          <w:sz w:val="18"/>
                        </w:rPr>
                        <w:t>52</w:t>
                      </w:r>
                      <w:r>
                        <w:rPr>
                          <w:rFonts w:ascii="Arial" w:eastAsia="Arial" w:hAnsi="Arial" w:cs="Arial"/>
                          <w:color w:val="000000"/>
                          <w:sz w:val="18"/>
                        </w:rPr>
                        <w:t>)</w:t>
                      </w:r>
                    </w:p>
                    <w:p w14:paraId="51C3A193" w14:textId="77777777" w:rsidR="006921ED" w:rsidRDefault="00000000">
                      <w:pPr>
                        <w:ind w:left="720" w:firstLine="360"/>
                        <w:textDirection w:val="btLr"/>
                      </w:pPr>
                      <w:r>
                        <w:rPr>
                          <w:rFonts w:ascii="Arial" w:eastAsia="Arial" w:hAnsi="Arial" w:cs="Arial"/>
                          <w:color w:val="000000"/>
                          <w:sz w:val="18"/>
                        </w:rPr>
                        <w:t xml:space="preserve">Reason 2: No focus on health or social care experiences (n = </w:t>
                      </w:r>
                      <w:r>
                        <w:rPr>
                          <w:rFonts w:ascii="Arial" w:eastAsia="Arial" w:hAnsi="Arial" w:cs="Arial"/>
                          <w:b/>
                          <w:color w:val="000000"/>
                          <w:sz w:val="18"/>
                        </w:rPr>
                        <w:t>46</w:t>
                      </w:r>
                      <w:r>
                        <w:rPr>
                          <w:rFonts w:ascii="Arial" w:eastAsia="Arial" w:hAnsi="Arial" w:cs="Arial"/>
                          <w:color w:val="000000"/>
                          <w:sz w:val="18"/>
                        </w:rPr>
                        <w:t>)</w:t>
                      </w:r>
                    </w:p>
                    <w:p w14:paraId="51C3A194" w14:textId="77777777" w:rsidR="006921ED" w:rsidRDefault="00000000">
                      <w:pPr>
                        <w:ind w:left="720" w:firstLine="360"/>
                        <w:textDirection w:val="btLr"/>
                      </w:pPr>
                      <w:r>
                        <w:rPr>
                          <w:rFonts w:ascii="Arial" w:eastAsia="Arial" w:hAnsi="Arial" w:cs="Arial"/>
                          <w:color w:val="000000"/>
                          <w:sz w:val="18"/>
                        </w:rPr>
                        <w:t xml:space="preserve">Reason 3: Outside publication date range (pre-2010) (n = </w:t>
                      </w:r>
                      <w:r>
                        <w:rPr>
                          <w:rFonts w:ascii="Arial" w:eastAsia="Arial" w:hAnsi="Arial" w:cs="Arial"/>
                          <w:b/>
                          <w:color w:val="000000"/>
                          <w:sz w:val="18"/>
                        </w:rPr>
                        <w:t>28</w:t>
                      </w:r>
                      <w:r>
                        <w:rPr>
                          <w:rFonts w:ascii="Arial" w:eastAsia="Arial" w:hAnsi="Arial" w:cs="Arial"/>
                          <w:color w:val="000000"/>
                          <w:sz w:val="18"/>
                        </w:rPr>
                        <w:t>)</w:t>
                      </w:r>
                    </w:p>
                    <w:p w14:paraId="51C3A195" w14:textId="77777777" w:rsidR="006921ED" w:rsidRDefault="00000000">
                      <w:pPr>
                        <w:ind w:left="720" w:firstLine="360"/>
                        <w:textDirection w:val="btLr"/>
                      </w:pPr>
                      <w:r>
                        <w:rPr>
                          <w:rFonts w:ascii="Arial" w:eastAsia="Arial" w:hAnsi="Arial" w:cs="Arial"/>
                          <w:color w:val="000000"/>
                          <w:sz w:val="18"/>
                        </w:rPr>
                        <w:t xml:space="preserve">Reason 4: Insufficient methodological detail (n = </w:t>
                      </w:r>
                      <w:r>
                        <w:rPr>
                          <w:rFonts w:ascii="Arial" w:eastAsia="Arial" w:hAnsi="Arial" w:cs="Arial"/>
                          <w:b/>
                          <w:color w:val="000000"/>
                          <w:sz w:val="18"/>
                        </w:rPr>
                        <w:t>10</w:t>
                      </w:r>
                      <w:r>
                        <w:rPr>
                          <w:rFonts w:ascii="Arial" w:eastAsia="Arial" w:hAnsi="Arial" w:cs="Arial"/>
                          <w:color w:val="000000"/>
                          <w:sz w:val="18"/>
                        </w:rPr>
                        <w:t>)</w:t>
                      </w:r>
                    </w:p>
                    <w:p w14:paraId="51C3A196" w14:textId="77777777" w:rsidR="006921ED" w:rsidRDefault="00000000">
                      <w:pPr>
                        <w:ind w:left="283" w:firstLine="283"/>
                        <w:textDirection w:val="btLr"/>
                      </w:pPr>
                      <w:r>
                        <w:rPr>
                          <w:rFonts w:ascii="Arial" w:eastAsia="Arial" w:hAnsi="Arial" w:cs="Arial"/>
                          <w:b/>
                          <w:color w:val="000000"/>
                          <w:sz w:val="18"/>
                        </w:rPr>
                        <w:t>Total reports excluded at full-text stage = 136</w:t>
                      </w:r>
                    </w:p>
                    <w:p w14:paraId="51C3A197" w14:textId="77777777" w:rsidR="006921ED" w:rsidRDefault="006921ED">
                      <w:pPr>
                        <w:ind w:left="283" w:firstLine="283"/>
                        <w:textDirection w:val="btLr"/>
                      </w:pPr>
                    </w:p>
                  </w:txbxContent>
                </v:textbox>
              </v:rect>
            </w:pict>
          </mc:Fallback>
        </mc:AlternateContent>
      </w:r>
    </w:p>
    <w:p w14:paraId="51C39F20" w14:textId="33B95DF7" w:rsidR="006921ED" w:rsidRDefault="00A93FD7">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94080" behindDoc="0" locked="0" layoutInCell="1" allowOverlap="1" wp14:anchorId="69569722" wp14:editId="74717AFE">
                <wp:simplePos x="0" y="0"/>
                <wp:positionH relativeFrom="column">
                  <wp:posOffset>2563707</wp:posOffset>
                </wp:positionH>
                <wp:positionV relativeFrom="paragraph">
                  <wp:posOffset>282575</wp:posOffset>
                </wp:positionV>
                <wp:extent cx="385445" cy="0"/>
                <wp:effectExtent l="0" t="63500" r="8255" b="101600"/>
                <wp:wrapNone/>
                <wp:docPr id="468104541" name="Straight Arrow Connector 23"/>
                <wp:cNvGraphicFramePr/>
                <a:graphic xmlns:a="http://schemas.openxmlformats.org/drawingml/2006/main">
                  <a:graphicData uri="http://schemas.microsoft.com/office/word/2010/wordprocessingShape">
                    <wps:wsp>
                      <wps:cNvCnPr/>
                      <wps:spPr>
                        <a:xfrm>
                          <a:off x="0" y="0"/>
                          <a:ext cx="38544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5BA5B7E" id="Straight Arrow Connector 23" o:spid="_x0000_s1026" type="#_x0000_t32" style="position:absolute;margin-left:201.85pt;margin-top:22.25pt;width:30.35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" strokecolor="black [3200]" strokeweight="2pt">
                <v:stroke endarrow="block"/>
                <v:shadow on="t" color="black" opacity="24903f" origin=",.5" offset="0,.55556mm"/>
              </v:shape>
            </w:pict>
          </mc:Fallback>
        </mc:AlternateContent>
      </w:r>
    </w:p>
    <w:p w14:paraId="51C39F21" w14:textId="78FB83FB" w:rsidR="006921ED" w:rsidRDefault="006921ED">
      <w:pPr>
        <w:spacing w:line="360" w:lineRule="auto"/>
        <w:rPr>
          <w:rFonts w:ascii="Arial" w:eastAsia="Arial" w:hAnsi="Arial" w:cs="Arial"/>
          <w:sz w:val="22"/>
          <w:szCs w:val="22"/>
        </w:rPr>
      </w:pPr>
    </w:p>
    <w:p w14:paraId="51C39F22" w14:textId="01540055" w:rsidR="006921ED" w:rsidRDefault="00610916">
      <w:pPr>
        <w:spacing w:line="360" w:lineRule="auto"/>
        <w:rPr>
          <w:rFonts w:ascii="Arial" w:eastAsia="Arial" w:hAnsi="Arial" w:cs="Arial"/>
          <w:sz w:val="22"/>
          <w:szCs w:val="22"/>
        </w:rPr>
      </w:pPr>
      <w:r>
        <w:rPr>
          <w:rFonts w:ascii="Arial" w:eastAsia="Arial" w:hAnsi="Arial" w:cs="Arial"/>
          <w:noProof/>
          <w:sz w:val="22"/>
          <w:szCs w:val="22"/>
        </w:rPr>
        <mc:AlternateContent>
          <mc:Choice Requires="wps">
            <w:drawing>
              <wp:anchor distT="0" distB="0" distL="114300" distR="114300" simplePos="0" relativeHeight="251686912" behindDoc="0" locked="0" layoutInCell="1" allowOverlap="1" wp14:anchorId="0E9D78E6" wp14:editId="0948BD80">
                <wp:simplePos x="0" y="0"/>
                <wp:positionH relativeFrom="column">
                  <wp:posOffset>1397000</wp:posOffset>
                </wp:positionH>
                <wp:positionV relativeFrom="paragraph">
                  <wp:posOffset>127000</wp:posOffset>
                </wp:positionV>
                <wp:extent cx="0" cy="359199"/>
                <wp:effectExtent l="76200" t="25400" r="63500" b="73025"/>
                <wp:wrapNone/>
                <wp:docPr id="1434549401" name="Straight Arrow Connector 22"/>
                <wp:cNvGraphicFramePr/>
                <a:graphic xmlns:a="http://schemas.openxmlformats.org/drawingml/2006/main">
                  <a:graphicData uri="http://schemas.microsoft.com/office/word/2010/wordprocessingShape">
                    <wps:wsp>
                      <wps:cNvCnPr/>
                      <wps:spPr>
                        <a:xfrm>
                          <a:off x="0" y="0"/>
                          <a:ext cx="0" cy="359199"/>
                        </a:xfrm>
                        <a:prstGeom prst="straightConnector1">
                          <a:avLst/>
                        </a:prstGeom>
                        <a:ln w="1270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D6F1EA" id="Straight Arrow Connector 22" o:spid="_x0000_s1026" type="#_x0000_t32" style="position:absolute;margin-left:110pt;margin-top:10pt;width:0;height:2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" strokecolor="black [3200]" strokeweight="1pt">
                <v:stroke endarrow="block"/>
                <v:shadow on="t" color="black" opacity="24903f" origin=",.5" offset="0,.55556mm"/>
              </v:shape>
            </w:pict>
          </mc:Fallback>
        </mc:AlternateContent>
      </w:r>
    </w:p>
    <w:p w14:paraId="51C39F23" w14:textId="77777777" w:rsidR="006921ED" w:rsidRDefault="006921ED">
      <w:pPr>
        <w:spacing w:line="360" w:lineRule="auto"/>
        <w:rPr>
          <w:rFonts w:ascii="Arial" w:eastAsia="Arial" w:hAnsi="Arial" w:cs="Arial"/>
          <w:sz w:val="22"/>
          <w:szCs w:val="22"/>
        </w:rPr>
      </w:pPr>
    </w:p>
    <w:p w14:paraId="51C39F24" w14:textId="3CF275BB" w:rsidR="006921ED" w:rsidRDefault="00BD76E3">
      <w:pPr>
        <w:spacing w:line="360" w:lineRule="auto"/>
        <w:rPr>
          <w:rFonts w:ascii="Arial" w:eastAsia="Arial" w:hAnsi="Arial" w:cs="Arial"/>
          <w:sz w:val="22"/>
          <w:szCs w:val="22"/>
        </w:rPr>
      </w:pPr>
      <w:r>
        <w:rPr>
          <w:noProof/>
        </w:rPr>
        <mc:AlternateContent>
          <mc:Choice Requires="wps">
            <w:drawing>
              <wp:anchor distT="0" distB="0" distL="114300" distR="114300" simplePos="0" relativeHeight="251679744" behindDoc="0" locked="0" layoutInCell="1" hidden="0" allowOverlap="1" wp14:anchorId="51C3A178" wp14:editId="5D353370">
                <wp:simplePos x="0" y="0"/>
                <wp:positionH relativeFrom="column">
                  <wp:posOffset>77681</wp:posOffset>
                </wp:positionH>
                <wp:positionV relativeFrom="paragraph">
                  <wp:posOffset>27728</wp:posOffset>
                </wp:positionV>
                <wp:extent cx="325966" cy="1392766"/>
                <wp:effectExtent l="12700" t="12700" r="17145" b="17145"/>
                <wp:wrapNone/>
                <wp:docPr id="4" name="Alternative Process 4"/>
                <wp:cNvGraphicFramePr/>
                <a:graphic xmlns:a="http://schemas.openxmlformats.org/drawingml/2006/main">
                  <a:graphicData uri="http://schemas.microsoft.com/office/word/2010/wordprocessingShape">
                    <wps:wsp>
                      <wps:cNvSpPr/>
                      <wps:spPr>
                        <a:xfrm>
                          <a:off x="0" y="0"/>
                          <a:ext cx="325966" cy="1392766"/>
                        </a:xfrm>
                        <a:prstGeom prst="flowChartAlternateProcess">
                          <a:avLst/>
                        </a:prstGeom>
                        <a:solidFill>
                          <a:srgbClr val="92CCDC"/>
                        </a:solidFill>
                        <a:ln w="25400" cap="flat" cmpd="sng">
                          <a:solidFill>
                            <a:schemeClr val="dk1"/>
                          </a:solidFill>
                          <a:prstDash val="solid"/>
                          <a:round/>
                          <a:headEnd type="none" w="sm" len="sm"/>
                          <a:tailEnd type="none" w="sm" len="sm"/>
                        </a:ln>
                      </wps:spPr>
                      <wps:txbx>
                        <w:txbxContent>
                          <w:p w14:paraId="51C3A19D" w14:textId="77777777" w:rsidR="006921ED" w:rsidRDefault="00D73B41">
                            <w:pPr>
                              <w:jc w:val="center"/>
                              <w:textDirection w:val="btLr"/>
                            </w:pPr>
                            <w:r>
                              <w:rPr>
                                <w:rFonts w:ascii="Arial" w:eastAsia="Arial" w:hAnsi="Arial" w:cs="Arial"/>
                                <w:b/>
                                <w:color w:val="000000"/>
                                <w:sz w:val="18"/>
                              </w:rPr>
                              <w:t>Included</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C3A178" id="Alternative Process 4" o:spid="_x0000_s1037" type="#_x0000_t176" style="position:absolute;margin-left:6.1pt;margin-top:2.2pt;width:25.65pt;height:10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" fillcolor="#92ccdc" strokecolor="black [3200]" strokeweight="2pt">
                <v:stroke startarrowwidth="narrow" startarrowlength="short" endarrowwidth="narrow" endarrowlength="short" joinstyle="round"/>
                <v:textbox inset="2.53958mm,1.2694mm,2.53958mm,1.2694mm">
                  <w:txbxContent>
                    <w:p w14:paraId="51C3A19D" w14:textId="77777777" w:rsidR="006921ED" w:rsidRDefault="00000000">
                      <w:pPr>
                        <w:jc w:val="center"/>
                        <w:textDirection w:val="btLr"/>
                      </w:pPr>
                      <w:r>
                        <w:rPr>
                          <w:rFonts w:ascii="Arial" w:eastAsia="Arial" w:hAnsi="Arial" w:cs="Arial"/>
                          <w:b/>
                          <w:color w:val="000000"/>
                          <w:sz w:val="18"/>
                        </w:rPr>
                        <w:t>Included</w:t>
                      </w:r>
                    </w:p>
                  </w:txbxContent>
                </v:textbox>
              </v:shape>
            </w:pict>
          </mc:Fallback>
        </mc:AlternateContent>
      </w:r>
      <w:r>
        <w:rPr>
          <w:noProof/>
        </w:rPr>
        <mc:AlternateContent>
          <mc:Choice Requires="wps">
            <w:drawing>
              <wp:anchor distT="0" distB="0" distL="114300" distR="114300" simplePos="0" relativeHeight="251678720" behindDoc="0" locked="0" layoutInCell="1" hidden="0" allowOverlap="1" wp14:anchorId="51C3A176" wp14:editId="51C3A177">
                <wp:simplePos x="0" y="0"/>
                <wp:positionH relativeFrom="column">
                  <wp:posOffset>465992</wp:posOffset>
                </wp:positionH>
                <wp:positionV relativeFrom="paragraph">
                  <wp:posOffset>217780</wp:posOffset>
                </wp:positionV>
                <wp:extent cx="1912620" cy="758287"/>
                <wp:effectExtent l="0" t="0" r="0" b="0"/>
                <wp:wrapNone/>
                <wp:docPr id="1" name="Rectangle 1"/>
                <wp:cNvGraphicFramePr/>
                <a:graphic xmlns:a="http://schemas.openxmlformats.org/drawingml/2006/main">
                  <a:graphicData uri="http://schemas.microsoft.com/office/word/2010/wordprocessingShape">
                    <wps:wsp>
                      <wps:cNvSpPr/>
                      <wps:spPr>
                        <a:xfrm>
                          <a:off x="4402390" y="3413557"/>
                          <a:ext cx="1887220" cy="732887"/>
                        </a:xfrm>
                        <a:prstGeom prst="rect">
                          <a:avLst/>
                        </a:prstGeom>
                        <a:noFill/>
                        <a:ln w="25400" cap="flat" cmpd="sng">
                          <a:solidFill>
                            <a:schemeClr val="dk1"/>
                          </a:solidFill>
                          <a:prstDash val="solid"/>
                          <a:round/>
                          <a:headEnd type="none" w="sm" len="sm"/>
                          <a:tailEnd type="none" w="sm" len="sm"/>
                        </a:ln>
                      </wps:spPr>
                      <wps:txbx>
                        <w:txbxContent>
                          <w:p w14:paraId="51C3A19A" w14:textId="77777777" w:rsidR="006921ED" w:rsidRDefault="00D73B41">
                            <w:pPr>
                              <w:textDirection w:val="btLr"/>
                            </w:pPr>
                            <w:r>
                              <w:rPr>
                                <w:rFonts w:ascii="Arial" w:eastAsia="Arial" w:hAnsi="Arial" w:cs="Arial"/>
                                <w:color w:val="000000"/>
                                <w:sz w:val="18"/>
                              </w:rPr>
                              <w:t>Studies included in review</w:t>
                            </w:r>
                          </w:p>
                          <w:p w14:paraId="51C3A19B" w14:textId="77777777" w:rsidR="006921ED" w:rsidRDefault="00D73B41">
                            <w:pPr>
                              <w:textDirection w:val="btLr"/>
                            </w:pPr>
                            <w:r>
                              <w:rPr>
                                <w:rFonts w:ascii="Arial" w:eastAsia="Arial" w:hAnsi="Arial" w:cs="Arial"/>
                                <w:color w:val="000000"/>
                                <w:sz w:val="18"/>
                              </w:rPr>
                              <w:t>(n = 12)</w:t>
                            </w:r>
                          </w:p>
                          <w:p w14:paraId="51C3A19C" w14:textId="77777777" w:rsidR="006921ED" w:rsidRDefault="006921ED">
                            <w:pPr>
                              <w:textDirection w:val="btLr"/>
                            </w:pPr>
                          </w:p>
                        </w:txbxContent>
                      </wps:txbx>
                      <wps:bodyPr spcFirstLastPara="1" wrap="square" lIns="91425" tIns="45700" rIns="91425" bIns="45700" anchor="ctr" anchorCtr="0">
                        <a:noAutofit/>
                      </wps:bodyPr>
                    </wps:wsp>
                  </a:graphicData>
                </a:graphic>
              </wp:anchor>
            </w:drawing>
          </mc:Choice>
          <mc:Fallback>
            <w:pict>
              <v:rect w14:anchorId="51C3A176" id="Rectangle 1" o:spid="_x0000_s1038" style="position:absolute;margin-left:36.7pt;margin-top:17.15pt;width:150.6pt;height:59.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" filled="f" strokecolor="black [3200]" strokeweight="2pt">
                <v:stroke startarrowwidth="narrow" startarrowlength="short" endarrowwidth="narrow" endarrowlength="short" joinstyle="round"/>
                <v:textbox inset="2.53958mm,1.2694mm,2.53958mm,1.2694mm">
                  <w:txbxContent>
                    <w:p w14:paraId="51C3A19A" w14:textId="77777777" w:rsidR="006921ED" w:rsidRDefault="00000000">
                      <w:pPr>
                        <w:textDirection w:val="btLr"/>
                      </w:pPr>
                      <w:r>
                        <w:rPr>
                          <w:rFonts w:ascii="Arial" w:eastAsia="Arial" w:hAnsi="Arial" w:cs="Arial"/>
                          <w:color w:val="000000"/>
                          <w:sz w:val="18"/>
                        </w:rPr>
                        <w:t>Studies included in review</w:t>
                      </w:r>
                    </w:p>
                    <w:p w14:paraId="51C3A19B" w14:textId="77777777" w:rsidR="006921ED" w:rsidRDefault="00000000">
                      <w:pPr>
                        <w:textDirection w:val="btLr"/>
                      </w:pPr>
                      <w:r>
                        <w:rPr>
                          <w:rFonts w:ascii="Arial" w:eastAsia="Arial" w:hAnsi="Arial" w:cs="Arial"/>
                          <w:color w:val="000000"/>
                          <w:sz w:val="18"/>
                        </w:rPr>
                        <w:t>(n = 12)</w:t>
                      </w:r>
                    </w:p>
                    <w:p w14:paraId="51C3A19C" w14:textId="77777777" w:rsidR="006921ED" w:rsidRDefault="006921ED">
                      <w:pPr>
                        <w:textDirection w:val="btLr"/>
                      </w:pPr>
                    </w:p>
                  </w:txbxContent>
                </v:textbox>
              </v:rect>
            </w:pict>
          </mc:Fallback>
        </mc:AlternateContent>
      </w:r>
    </w:p>
    <w:p w14:paraId="51C39F25" w14:textId="3249313B" w:rsidR="006921ED" w:rsidRDefault="006921ED">
      <w:pPr>
        <w:spacing w:line="360" w:lineRule="auto"/>
        <w:rPr>
          <w:rFonts w:ascii="Arial" w:eastAsia="Arial" w:hAnsi="Arial" w:cs="Arial"/>
          <w:sz w:val="22"/>
          <w:szCs w:val="22"/>
        </w:rPr>
      </w:pPr>
    </w:p>
    <w:p w14:paraId="51C39F26" w14:textId="77777777" w:rsidR="006921ED" w:rsidRDefault="006921ED">
      <w:pPr>
        <w:spacing w:line="360" w:lineRule="auto"/>
        <w:rPr>
          <w:rFonts w:ascii="Arial" w:eastAsia="Arial" w:hAnsi="Arial" w:cs="Arial"/>
          <w:sz w:val="22"/>
          <w:szCs w:val="22"/>
        </w:rPr>
      </w:pPr>
    </w:p>
    <w:p w14:paraId="51C39F27" w14:textId="77777777" w:rsidR="006921ED" w:rsidRDefault="006921ED">
      <w:pPr>
        <w:spacing w:line="360" w:lineRule="auto"/>
        <w:rPr>
          <w:rFonts w:ascii="Arial" w:eastAsia="Arial" w:hAnsi="Arial" w:cs="Arial"/>
          <w:sz w:val="22"/>
          <w:szCs w:val="22"/>
        </w:rPr>
      </w:pPr>
    </w:p>
    <w:p w14:paraId="51C39F28" w14:textId="77777777" w:rsidR="006921ED" w:rsidRDefault="006921ED">
      <w:pPr>
        <w:spacing w:line="360" w:lineRule="auto"/>
        <w:rPr>
          <w:rFonts w:ascii="Arial" w:eastAsia="Arial" w:hAnsi="Arial" w:cs="Arial"/>
          <w:sz w:val="22"/>
          <w:szCs w:val="22"/>
        </w:rPr>
      </w:pPr>
    </w:p>
    <w:p w14:paraId="51C39F29" w14:textId="77777777" w:rsidR="006921ED" w:rsidRDefault="006921ED">
      <w:pPr>
        <w:spacing w:line="360" w:lineRule="auto"/>
        <w:rPr>
          <w:rFonts w:ascii="Arial" w:eastAsia="Arial" w:hAnsi="Arial" w:cs="Arial"/>
          <w:sz w:val="22"/>
          <w:szCs w:val="22"/>
        </w:rPr>
      </w:pPr>
    </w:p>
    <w:p w14:paraId="51C39F2A" w14:textId="77777777" w:rsidR="006921ED" w:rsidRDefault="00D73B41">
      <w:pPr>
        <w:pBdr>
          <w:top w:val="nil"/>
          <w:left w:val="nil"/>
          <w:bottom w:val="nil"/>
          <w:right w:val="nil"/>
          <w:between w:val="nil"/>
        </w:pBdr>
        <w:spacing w:before="240" w:line="360" w:lineRule="auto"/>
        <w:jc w:val="center"/>
        <w:rPr>
          <w:rFonts w:ascii="Arial" w:eastAsia="Arial" w:hAnsi="Arial" w:cs="Arial"/>
          <w:i/>
          <w:iCs/>
          <w:smallCaps/>
          <w:color w:val="000000"/>
          <w:sz w:val="22"/>
          <w:szCs w:val="22"/>
        </w:rPr>
      </w:pPr>
      <w:bookmarkStart w:id="38" w:name="_heading=h.gaqr7ndxqz77" w:colFirst="0" w:colLast="0"/>
      <w:bookmarkEnd w:id="38"/>
      <w:r>
        <w:rPr>
          <w:rFonts w:ascii="Arial" w:eastAsia="Arial" w:hAnsi="Arial" w:cs="Arial"/>
          <w:b/>
          <w:bCs/>
          <w:smallCaps/>
          <w:color w:val="000000"/>
          <w:sz w:val="22"/>
          <w:szCs w:val="22"/>
        </w:rPr>
        <w:t>Figure 1 PRISMA Framework</w:t>
      </w:r>
    </w:p>
    <w:p w14:paraId="51C39F2B" w14:textId="77777777" w:rsidR="006921ED" w:rsidRDefault="00D73B41">
      <w:pPr>
        <w:pStyle w:val="Heading2"/>
        <w:numPr>
          <w:ilvl w:val="1"/>
          <w:numId w:val="6"/>
        </w:numPr>
        <w:spacing w:before="240" w:after="240" w:line="360" w:lineRule="auto"/>
        <w:jc w:val="both"/>
        <w:rPr>
          <w:rFonts w:ascii="Arial" w:eastAsia="Arial" w:hAnsi="Arial" w:cs="Arial"/>
          <w:b/>
          <w:bCs/>
          <w:sz w:val="22"/>
          <w:szCs w:val="22"/>
        </w:rPr>
      </w:pPr>
      <w:bookmarkStart w:id="39" w:name="_heading=h.2m9ckwjuw7sj" w:colFirst="0" w:colLast="0"/>
      <w:bookmarkEnd w:id="39"/>
      <w:r>
        <w:rPr>
          <w:rFonts w:ascii="Arial" w:eastAsia="Arial" w:hAnsi="Arial" w:cs="Arial"/>
          <w:b/>
          <w:bCs/>
          <w:sz w:val="22"/>
          <w:szCs w:val="22"/>
        </w:rPr>
        <w:lastRenderedPageBreak/>
        <w:t>Ethical Considerations</w:t>
      </w:r>
    </w:p>
    <w:p w14:paraId="51C39F2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Ethics in research means those principles which include integrity, respect and responsibility in the research work and communication of research. Though secondary data were used in this research, ethical issues became a part of the study design and literature selection. The entire body of research used was peer-reviewed or reliable organisational reports, in that the research on which the results were compiled had obtained the necessary ethical approval and informed consent of the subjects. Special attentio</w:t>
      </w:r>
      <w:r>
        <w:rPr>
          <w:rFonts w:ascii="Arial" w:eastAsia="Arial" w:hAnsi="Arial" w:cs="Arial"/>
          <w:sz w:val="22"/>
          <w:szCs w:val="22"/>
        </w:rPr>
        <w:t>n was paid to reflecting on findings that were accurate, non-selective, and non-stigmatising, especially since the experiences associated with HIV are sensitive. The given approach will guarantee the transparency, respect, and academic honesty of the review as per ethical standards.</w:t>
      </w:r>
    </w:p>
    <w:p w14:paraId="51C39F2D" w14:textId="77777777" w:rsidR="006921ED" w:rsidRDefault="00D73B41">
      <w:pPr>
        <w:pStyle w:val="Heading2"/>
        <w:numPr>
          <w:ilvl w:val="1"/>
          <w:numId w:val="6"/>
        </w:numPr>
        <w:spacing w:before="240" w:after="240" w:line="360" w:lineRule="auto"/>
        <w:jc w:val="both"/>
        <w:rPr>
          <w:rFonts w:ascii="Arial" w:eastAsia="Arial" w:hAnsi="Arial" w:cs="Arial"/>
          <w:b/>
          <w:bCs/>
          <w:sz w:val="22"/>
          <w:szCs w:val="22"/>
        </w:rPr>
      </w:pPr>
      <w:bookmarkStart w:id="40" w:name="_heading=h.dm9bqtwtrbmh" w:colFirst="0" w:colLast="0"/>
      <w:bookmarkEnd w:id="40"/>
      <w:r>
        <w:rPr>
          <w:rFonts w:ascii="Arial" w:eastAsia="Arial" w:hAnsi="Arial" w:cs="Arial"/>
          <w:b/>
          <w:bCs/>
          <w:sz w:val="22"/>
          <w:szCs w:val="22"/>
        </w:rPr>
        <w:t>Chapter Summary</w:t>
      </w:r>
    </w:p>
    <w:p w14:paraId="51C39F2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chapter outlined a systematic literature review approach, which involves a search strategy, the PEW framework, the selection of the studies and ethical implications. It instituted the rigour and transparency of the methodology. Chapter 4 provides the results of the review in the form of a thematic analysis of the involved studies.</w:t>
      </w:r>
    </w:p>
    <w:p w14:paraId="51C39F2F" w14:textId="40884DA5" w:rsidR="00A93FD7" w:rsidRDefault="00A93FD7">
      <w:pPr>
        <w:rPr>
          <w:rFonts w:ascii="Arial" w:eastAsia="Arial" w:hAnsi="Arial" w:cs="Arial"/>
          <w:color w:val="000000"/>
          <w:sz w:val="22"/>
          <w:szCs w:val="22"/>
        </w:rPr>
      </w:pPr>
      <w:r>
        <w:rPr>
          <w:rFonts w:ascii="Arial" w:eastAsia="Arial" w:hAnsi="Arial" w:cs="Arial"/>
          <w:color w:val="000000"/>
          <w:sz w:val="22"/>
          <w:szCs w:val="22"/>
        </w:rPr>
        <w:br w:type="page"/>
      </w:r>
    </w:p>
    <w:p w14:paraId="51C39F38" w14:textId="77777777" w:rsidR="006921ED" w:rsidRDefault="00D73B41">
      <w:pPr>
        <w:pStyle w:val="Heading1"/>
        <w:spacing w:before="240" w:after="240" w:line="360" w:lineRule="auto"/>
        <w:jc w:val="center"/>
        <w:rPr>
          <w:rFonts w:ascii="Arial" w:eastAsia="Arial" w:hAnsi="Arial" w:cs="Arial"/>
          <w:b/>
          <w:bCs/>
          <w:color w:val="000000"/>
          <w:sz w:val="22"/>
          <w:szCs w:val="22"/>
        </w:rPr>
      </w:pPr>
      <w:bookmarkStart w:id="41" w:name="_heading=h.z8za4v7c9hce" w:colFirst="0" w:colLast="0"/>
      <w:bookmarkEnd w:id="41"/>
      <w:r>
        <w:rPr>
          <w:rFonts w:ascii="Arial" w:eastAsia="Arial" w:hAnsi="Arial" w:cs="Arial"/>
          <w:b/>
          <w:bCs/>
          <w:color w:val="000000"/>
          <w:sz w:val="22"/>
          <w:szCs w:val="22"/>
        </w:rPr>
        <w:lastRenderedPageBreak/>
        <w:t>Chapter 4: Data Extraction and Evaluation</w:t>
      </w:r>
    </w:p>
    <w:p w14:paraId="51C39F39" w14:textId="77777777" w:rsidR="006921ED" w:rsidRDefault="00D73B41">
      <w:pPr>
        <w:pStyle w:val="Heading2"/>
        <w:numPr>
          <w:ilvl w:val="1"/>
          <w:numId w:val="2"/>
        </w:numPr>
        <w:spacing w:before="240" w:after="240" w:line="360" w:lineRule="auto"/>
        <w:jc w:val="both"/>
        <w:rPr>
          <w:rFonts w:ascii="Arial" w:eastAsia="Arial" w:hAnsi="Arial" w:cs="Arial"/>
          <w:b/>
          <w:bCs/>
          <w:color w:val="000000"/>
          <w:sz w:val="22"/>
          <w:szCs w:val="22"/>
        </w:rPr>
      </w:pPr>
      <w:bookmarkStart w:id="42" w:name="_heading=h.cnwhixbgobut" w:colFirst="0" w:colLast="0"/>
      <w:bookmarkEnd w:id="42"/>
      <w:r>
        <w:rPr>
          <w:rFonts w:ascii="Arial" w:eastAsia="Arial" w:hAnsi="Arial" w:cs="Arial"/>
          <w:b/>
          <w:bCs/>
          <w:color w:val="000000"/>
          <w:sz w:val="22"/>
          <w:szCs w:val="22"/>
        </w:rPr>
        <w:t xml:space="preserve">Introduction to Chapter </w:t>
      </w:r>
    </w:p>
    <w:p w14:paraId="51C39F3A" w14:textId="77777777" w:rsidR="006921ED" w:rsidRDefault="00D73B41">
      <w:pPr>
        <w:pBdr>
          <w:top w:val="nil"/>
          <w:left w:val="nil"/>
          <w:bottom w:val="nil"/>
          <w:right w:val="nil"/>
          <w:between w:val="nil"/>
        </w:pBdr>
        <w:spacing w:before="240" w:after="240" w:line="360" w:lineRule="auto"/>
        <w:jc w:val="both"/>
        <w:rPr>
          <w:rFonts w:ascii="Arial" w:eastAsia="Arial" w:hAnsi="Arial" w:cs="Arial"/>
          <w:color w:val="000000"/>
          <w:sz w:val="22"/>
          <w:szCs w:val="22"/>
        </w:rPr>
      </w:pPr>
      <w:bookmarkStart w:id="43" w:name="_heading=h.vjsxr3aagyfe" w:colFirst="0" w:colLast="0"/>
      <w:bookmarkEnd w:id="43"/>
      <w:r>
        <w:rPr>
          <w:rFonts w:ascii="Arial" w:eastAsia="Arial" w:hAnsi="Arial" w:cs="Arial"/>
          <w:color w:val="000000"/>
          <w:sz w:val="22"/>
          <w:szCs w:val="22"/>
        </w:rPr>
        <w:t>This chapter provides the methodological derivation and critical analysis of the twelve studies that were incorporated in this review. It describes data extraction procedure with the help of a pre-designed extraction form and the summary of the main features of the chosen papers. It is followed by the critical appraisal of the methodological quality of the incorporated qualitative, quantitative, and mixed-methods studies with the help of the relevant appraisal tools such as CASP checklist and MMAT. The cred</w:t>
      </w:r>
      <w:r>
        <w:rPr>
          <w:rFonts w:ascii="Arial" w:eastAsia="Arial" w:hAnsi="Arial" w:cs="Arial"/>
          <w:color w:val="000000"/>
          <w:sz w:val="22"/>
          <w:szCs w:val="22"/>
        </w:rPr>
        <w:t xml:space="preserve">ibility, rigour, and limitations </w:t>
      </w:r>
      <w:r>
        <w:rPr>
          <w:rFonts w:ascii="Arial" w:eastAsia="Arial" w:hAnsi="Arial" w:cs="Arial"/>
          <w:sz w:val="22"/>
          <w:szCs w:val="22"/>
        </w:rPr>
        <w:t>of the evidence</w:t>
      </w:r>
      <w:r>
        <w:rPr>
          <w:rFonts w:ascii="Arial" w:eastAsia="Arial" w:hAnsi="Arial" w:cs="Arial"/>
          <w:color w:val="000000"/>
          <w:sz w:val="22"/>
          <w:szCs w:val="22"/>
        </w:rPr>
        <w:t xml:space="preserve"> base are determined so that the following thematic synthesis is based on a methodologically sound and reliable research. </w:t>
      </w:r>
    </w:p>
    <w:p w14:paraId="51C39F3B" w14:textId="77777777" w:rsidR="006921ED" w:rsidRDefault="00D73B41">
      <w:pPr>
        <w:pStyle w:val="Heading2"/>
        <w:numPr>
          <w:ilvl w:val="1"/>
          <w:numId w:val="2"/>
        </w:numPr>
        <w:spacing w:before="240" w:after="240" w:line="360" w:lineRule="auto"/>
        <w:jc w:val="both"/>
        <w:rPr>
          <w:rFonts w:ascii="Arial" w:eastAsia="Arial" w:hAnsi="Arial" w:cs="Arial"/>
          <w:b/>
          <w:bCs/>
          <w:color w:val="000000"/>
          <w:sz w:val="22"/>
          <w:szCs w:val="22"/>
        </w:rPr>
      </w:pPr>
      <w:bookmarkStart w:id="44" w:name="_heading=h.6b0bq0oegt4u" w:colFirst="0" w:colLast="0"/>
      <w:bookmarkEnd w:id="44"/>
      <w:r>
        <w:rPr>
          <w:rFonts w:ascii="Arial" w:eastAsia="Arial" w:hAnsi="Arial" w:cs="Arial"/>
          <w:b/>
          <w:bCs/>
          <w:color w:val="000000"/>
          <w:sz w:val="22"/>
          <w:szCs w:val="22"/>
        </w:rPr>
        <w:t>Data Extraction</w:t>
      </w:r>
    </w:p>
    <w:p w14:paraId="51C39F3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process of identifying, recording and organising major information of included studies in a structured way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achieve transparency, consistency, and accuracy in evidence synthesis is called data extraction (Schmidt et al., 2023). A pre-developed data extraction form was applied in this review to create a characteristic table, which summarised the important information of each of the twelve studies considered. The information that was extracted were the author(s), year, study site, research objectives, research design, sample size, characteristics of the participants, methods used in data collection, met</w:t>
      </w:r>
      <w:r>
        <w:rPr>
          <w:rFonts w:ascii="Arial" w:eastAsia="Arial" w:hAnsi="Arial" w:cs="Arial"/>
          <w:sz w:val="22"/>
          <w:szCs w:val="22"/>
        </w:rPr>
        <w:t>hod of analysis, main findings which have some implications to health and social care experiences and limitations. This systematic methodology brought the studies under comparability and provided a solid basis on which future critical appraisal and thematic synthesis was to be carried out.</w:t>
      </w:r>
    </w:p>
    <w:p w14:paraId="51C39F3D" w14:textId="77777777" w:rsidR="006921ED" w:rsidRDefault="00D73B41">
      <w:pPr>
        <w:pStyle w:val="Heading2"/>
        <w:numPr>
          <w:ilvl w:val="1"/>
          <w:numId w:val="2"/>
        </w:numPr>
        <w:spacing w:before="240" w:after="240" w:line="360" w:lineRule="auto"/>
        <w:jc w:val="both"/>
        <w:rPr>
          <w:rFonts w:ascii="Arial" w:eastAsia="Arial" w:hAnsi="Arial" w:cs="Arial"/>
          <w:b/>
          <w:bCs/>
          <w:color w:val="000000"/>
          <w:sz w:val="22"/>
          <w:szCs w:val="22"/>
        </w:rPr>
      </w:pPr>
      <w:bookmarkStart w:id="45" w:name="_heading=h.2dy584661atc" w:colFirst="0" w:colLast="0"/>
      <w:bookmarkEnd w:id="45"/>
      <w:r>
        <w:rPr>
          <w:rFonts w:ascii="Arial" w:eastAsia="Arial" w:hAnsi="Arial" w:cs="Arial"/>
          <w:b/>
          <w:bCs/>
          <w:color w:val="000000"/>
          <w:sz w:val="22"/>
          <w:szCs w:val="22"/>
        </w:rPr>
        <w:t>Introduction to Critical Appraisal</w:t>
      </w:r>
    </w:p>
    <w:p w14:paraId="51C39F3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Critical appraisal refers to the scientific method of evaluating research studies with the purpose of determining their quality methodology, credibility, relevance, and possible risk of bias prior to synthesising their findings (CASP, 2025). Critical appraisal was imperative in the context of this review to establish whether the twelve studies that were used in this paper were trustworthy and rigorous evidence on the health and social care experiences of individuals living with HIV. Since papers included in</w:t>
      </w:r>
      <w:r>
        <w:rPr>
          <w:rFonts w:ascii="Arial" w:eastAsia="Arial" w:hAnsi="Arial" w:cs="Arial"/>
          <w:sz w:val="22"/>
          <w:szCs w:val="22"/>
        </w:rPr>
        <w:t xml:space="preserve"> the research were mostly qualitative interview and focus group research, mixed-method studies, and survey-based research, there was a need to evaluate such aspects as sampling strategy, research design suitability, data analysis transparency, ethical aspects, and find clarity. The evaluation of research papers also makes sure that the conclusions made in the following chapters are based on high-quality evidence </w:t>
      </w:r>
      <w:r>
        <w:rPr>
          <w:rFonts w:ascii="Arial" w:eastAsia="Arial" w:hAnsi="Arial" w:cs="Arial"/>
          <w:sz w:val="22"/>
          <w:szCs w:val="22"/>
        </w:rPr>
        <w:lastRenderedPageBreak/>
        <w:t>and not on methodology flaws, which contributes to the increased reliability, validity, and acad</w:t>
      </w:r>
      <w:r>
        <w:rPr>
          <w:rFonts w:ascii="Arial" w:eastAsia="Arial" w:hAnsi="Arial" w:cs="Arial"/>
          <w:sz w:val="22"/>
          <w:szCs w:val="22"/>
        </w:rPr>
        <w:t>emic integrity of the entire systematic review (Shaheen et al., 2023).</w:t>
      </w:r>
    </w:p>
    <w:p w14:paraId="51C39F3F" w14:textId="77777777" w:rsidR="006921ED" w:rsidRDefault="00D73B41">
      <w:pPr>
        <w:pStyle w:val="Heading2"/>
        <w:numPr>
          <w:ilvl w:val="1"/>
          <w:numId w:val="2"/>
        </w:numPr>
        <w:spacing w:before="240" w:after="240" w:line="360" w:lineRule="auto"/>
        <w:jc w:val="both"/>
        <w:rPr>
          <w:rFonts w:ascii="Arial" w:eastAsia="Arial" w:hAnsi="Arial" w:cs="Arial"/>
          <w:b/>
          <w:bCs/>
          <w:color w:val="000000"/>
          <w:sz w:val="22"/>
          <w:szCs w:val="22"/>
        </w:rPr>
      </w:pPr>
      <w:bookmarkStart w:id="46" w:name="_heading=h.jqumr1jkll1j" w:colFirst="0" w:colLast="0"/>
      <w:bookmarkEnd w:id="46"/>
      <w:r>
        <w:rPr>
          <w:rFonts w:ascii="Arial" w:eastAsia="Arial" w:hAnsi="Arial" w:cs="Arial"/>
          <w:b/>
          <w:bCs/>
          <w:color w:val="000000"/>
          <w:sz w:val="22"/>
          <w:szCs w:val="22"/>
        </w:rPr>
        <w:t>Critical Appraisal Tools</w:t>
      </w:r>
    </w:p>
    <w:p w14:paraId="51C39F4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Critical appraisal tool refers to a systematic checklist or evaluation guide that helps to evaluate the methodological rigour, credibility and relevance of research studies in respect to the </w:t>
      </w:r>
      <w:proofErr w:type="gramStart"/>
      <w:r>
        <w:rPr>
          <w:rFonts w:ascii="Arial" w:eastAsia="Arial" w:hAnsi="Arial" w:cs="Arial"/>
          <w:sz w:val="22"/>
          <w:szCs w:val="22"/>
        </w:rPr>
        <w:t>design in particular</w:t>
      </w:r>
      <w:proofErr w:type="gramEnd"/>
      <w:r>
        <w:rPr>
          <w:rFonts w:ascii="Arial" w:eastAsia="Arial" w:hAnsi="Arial" w:cs="Arial"/>
          <w:sz w:val="22"/>
          <w:szCs w:val="22"/>
        </w:rPr>
        <w:t xml:space="preserve"> (Almutairi et al., 2024). The choice of the right tool is crucial as qualitative and mixed-method research utilise various assumptions of methodology, sample composition, and analytical methods and, hence, demand different appraisal standards (Pilcher and Cortazzi, 2023). The CASP Qualitative Checklist was used in this review on the qualitative research predominantly based on interviews and focus groups about stigmatization, primary care experiences, ART uptake, ageing with HIV, and cul</w:t>
      </w:r>
      <w:r>
        <w:rPr>
          <w:rFonts w:ascii="Arial" w:eastAsia="Arial" w:hAnsi="Arial" w:cs="Arial"/>
          <w:sz w:val="22"/>
          <w:szCs w:val="22"/>
        </w:rPr>
        <w:t>turally specific barriers among African and Caribbean populations. The Positive Voices analysis and primary care mixed-method research studies involving a survey with qualitative elements used the Mixed Methods Appraisal Tool (MMAT) (Bishop and Holmes, 2013). These tools assessed the clarity of research objectives, suitability of the qualitative design, recruitment plan, suitability of data collection tools, suitability of thematic analysis, reflexivity, ethical permission, and consistency of data and concl</w:t>
      </w:r>
      <w:r>
        <w:rPr>
          <w:rFonts w:ascii="Arial" w:eastAsia="Arial" w:hAnsi="Arial" w:cs="Arial"/>
          <w:sz w:val="22"/>
          <w:szCs w:val="22"/>
        </w:rPr>
        <w:t>usion. The design-specific appraisal tools used to evaluate the twelve studies that were included in the study made sure that every study that was UK-oriented has been appraised in a consistent and adequate manner that reinforced the methodological appropriateness of the entire systematic review.</w:t>
      </w:r>
    </w:p>
    <w:p w14:paraId="51C39F41" w14:textId="77777777" w:rsidR="006921ED" w:rsidRDefault="00D73B41">
      <w:pPr>
        <w:pStyle w:val="Heading2"/>
        <w:numPr>
          <w:ilvl w:val="1"/>
          <w:numId w:val="2"/>
        </w:numPr>
        <w:spacing w:before="240" w:after="240" w:line="360" w:lineRule="auto"/>
        <w:jc w:val="both"/>
        <w:rPr>
          <w:rFonts w:ascii="Arial" w:eastAsia="Arial" w:hAnsi="Arial" w:cs="Arial"/>
          <w:b/>
          <w:bCs/>
          <w:color w:val="000000"/>
          <w:sz w:val="22"/>
          <w:szCs w:val="22"/>
        </w:rPr>
      </w:pPr>
      <w:bookmarkStart w:id="47" w:name="_heading=h.3anslwa9yi8p" w:colFirst="0" w:colLast="0"/>
      <w:bookmarkEnd w:id="47"/>
      <w:r>
        <w:rPr>
          <w:rFonts w:ascii="Arial" w:eastAsia="Arial" w:hAnsi="Arial" w:cs="Arial"/>
          <w:b/>
          <w:bCs/>
          <w:color w:val="000000"/>
          <w:sz w:val="22"/>
          <w:szCs w:val="22"/>
        </w:rPr>
        <w:t>Evaluation of Qualitative Studies</w:t>
      </w:r>
    </w:p>
    <w:p w14:paraId="51C39F42"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Critical Appraisal Skills Programme (CASP) Qualitative Checklist was identified to review the qualitative studies in this review </w:t>
      </w:r>
      <w:proofErr w:type="gramStart"/>
      <w:r>
        <w:rPr>
          <w:rFonts w:ascii="Arial" w:eastAsia="Arial" w:hAnsi="Arial" w:cs="Arial"/>
          <w:sz w:val="22"/>
          <w:szCs w:val="22"/>
        </w:rPr>
        <w:t>due to the fact that</w:t>
      </w:r>
      <w:proofErr w:type="gramEnd"/>
      <w:r>
        <w:rPr>
          <w:rFonts w:ascii="Arial" w:eastAsia="Arial" w:hAnsi="Arial" w:cs="Arial"/>
          <w:sz w:val="22"/>
          <w:szCs w:val="22"/>
        </w:rPr>
        <w:t xml:space="preserve"> the checklist is specifically made to assess the rigour, credibility and relevance of qualitative research as applied to the context of health and social care (CASP, 2024). The twelve studies incorporated in the study as described in the methodology chapter adopted qualitative designs, which are mostly semi-structured interviews and focus groups to investigate lived experiences of HIV care, stigma, mental wellbeing, service access, and ageing with HIV. CASP was hence suitable because it</w:t>
      </w:r>
      <w:r>
        <w:rPr>
          <w:rFonts w:ascii="Arial" w:eastAsia="Arial" w:hAnsi="Arial" w:cs="Arial"/>
          <w:sz w:val="22"/>
          <w:szCs w:val="22"/>
        </w:rPr>
        <w:t xml:space="preserve"> looks at whether the research objectives are articulated, whether qualitative methodology is warranted, whether recruitment procedures are adequate, and whether data gathering and examination is stringent and clear. CASP gives a more explicit emphasis on the methodological coherence and reflexivity as compared to other tools to assess methodological consistency like the Joanna Briggs Institute (JBI) checklist, which is especially important in studies of sensitive issues, like HIV-related stigma and disclos</w:t>
      </w:r>
      <w:r>
        <w:rPr>
          <w:rFonts w:ascii="Arial" w:eastAsia="Arial" w:hAnsi="Arial" w:cs="Arial"/>
          <w:sz w:val="22"/>
          <w:szCs w:val="22"/>
        </w:rPr>
        <w:t xml:space="preserve">ure (Hilton, 2024). One drawback of CASP however </w:t>
      </w:r>
      <w:r>
        <w:rPr>
          <w:rFonts w:ascii="Arial" w:eastAsia="Arial" w:hAnsi="Arial" w:cs="Arial"/>
          <w:sz w:val="22"/>
          <w:szCs w:val="22"/>
        </w:rPr>
        <w:lastRenderedPageBreak/>
        <w:t>is that it lacks a numerical rating and is based on interpretive judgement. However, its systematic format fits into the experiential and psychosocial concepts of this review.</w:t>
      </w:r>
    </w:p>
    <w:p w14:paraId="51C39F43"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use of the CASP checklist showed that the methodological quality of the qualitative studies was moderate or high in most cases. All the studies had well-spoken research objectives, which are related to the investigation of health and social care experiences of populations living with HIV in the UK, as well as stigma in healthcare settings, obstacles to HIV testing among individuals aged 50 years and older, attitudes towards ART usage among Black African and Caribbean groups, infant-feeding choices, and </w:t>
      </w:r>
      <w:r>
        <w:rPr>
          <w:rFonts w:ascii="Arial" w:eastAsia="Arial" w:hAnsi="Arial" w:cs="Arial"/>
          <w:sz w:val="22"/>
          <w:szCs w:val="22"/>
        </w:rPr>
        <w:t xml:space="preserve">GP experiences. Most of them used purposive sampling to select those with first-hand experience of HIV services as it is recommended in qualitative studies. The studies in this review predominantly used semi-structured interviews and focus groups to explore sensitive topics such as internalised stigma, discrimination, fear of disclosure, and care navigation difficulties. Their application of thematic analysis was mentioned in most of the studies, which was </w:t>
      </w:r>
      <w:proofErr w:type="gramStart"/>
      <w:r>
        <w:rPr>
          <w:rFonts w:ascii="Arial" w:eastAsia="Arial" w:hAnsi="Arial" w:cs="Arial"/>
          <w:sz w:val="22"/>
          <w:szCs w:val="22"/>
        </w:rPr>
        <w:t>fairly transparent</w:t>
      </w:r>
      <w:proofErr w:type="gramEnd"/>
      <w:r>
        <w:rPr>
          <w:rFonts w:ascii="Arial" w:eastAsia="Arial" w:hAnsi="Arial" w:cs="Arial"/>
          <w:sz w:val="22"/>
          <w:szCs w:val="22"/>
        </w:rPr>
        <w:t xml:space="preserve"> in terms of coding and theme bui</w:t>
      </w:r>
      <w:r>
        <w:rPr>
          <w:rFonts w:ascii="Arial" w:eastAsia="Arial" w:hAnsi="Arial" w:cs="Arial"/>
          <w:sz w:val="22"/>
          <w:szCs w:val="22"/>
        </w:rPr>
        <w:t>lding (Ahmed et al., 2025). The ethical approval and confidentiality process was usually recorded as there was awareness of sensitivity of HIV related research.</w:t>
      </w:r>
    </w:p>
    <w:p w14:paraId="51C39F44" w14:textId="77777777" w:rsidR="006921ED" w:rsidRDefault="00D73B41">
      <w:pPr>
        <w:spacing w:before="240" w:after="240" w:line="360" w:lineRule="auto"/>
        <w:jc w:val="both"/>
        <w:rPr>
          <w:rFonts w:ascii="Arial" w:eastAsia="Arial" w:hAnsi="Arial" w:cs="Arial"/>
          <w:b/>
          <w:bCs/>
          <w:sz w:val="22"/>
          <w:szCs w:val="22"/>
          <w:highlight w:val="white"/>
        </w:rPr>
      </w:pPr>
      <w:r>
        <w:rPr>
          <w:rFonts w:ascii="Arial" w:eastAsia="Arial" w:hAnsi="Arial" w:cs="Arial"/>
          <w:b/>
          <w:bCs/>
          <w:sz w:val="22"/>
          <w:szCs w:val="22"/>
          <w:highlight w:val="white"/>
        </w:rPr>
        <w:t>A summary table of characteristics of the twelve selected studies examined using CASP can be found in Appendix.</w:t>
      </w:r>
    </w:p>
    <w:p w14:paraId="51C39F45" w14:textId="77777777" w:rsidR="006921ED" w:rsidRDefault="00D73B41">
      <w:pPr>
        <w:spacing w:before="240" w:after="240" w:line="360" w:lineRule="auto"/>
        <w:jc w:val="both"/>
        <w:rPr>
          <w:rFonts w:ascii="Arial" w:eastAsia="Arial" w:hAnsi="Arial" w:cs="Arial"/>
          <w:sz w:val="22"/>
          <w:szCs w:val="22"/>
        </w:rPr>
      </w:pPr>
      <w:sdt>
        <w:sdtPr>
          <w:tag w:val="goog_rdk_0"/>
          <w:id w:val="1700549264"/>
        </w:sdtPr>
        <w:sdtEndPr/>
        <w:sdtContent>
          <w:r>
            <w:rPr>
              <w:rFonts w:ascii="Arial Unicode MS" w:eastAsia="Arial Unicode MS" w:hAnsi="Arial Unicode MS" w:cs="Arial Unicode MS"/>
              <w:sz w:val="22"/>
              <w:szCs w:val="22"/>
            </w:rPr>
            <w:t>Although methodological strength was found in general, certain limitations were realized. The issue of reflexivity was not always addressed, and limited information was provided on the positionality or the impact of the researchers on data interpretation. Specifically, studies like "HIV-related stigma in the UK then and now" (Hedge et al. 2021), "Factors associated with HIV testing in people aged ≥50 years" (Youssef et al., 2018), and "Perceptual barriers to ART uptake in Black African and Caribbean Communi</w:t>
          </w:r>
          <w:r>
            <w:rPr>
              <w:rFonts w:ascii="Arial Unicode MS" w:eastAsia="Arial Unicode MS" w:hAnsi="Arial Unicode MS" w:cs="Arial Unicode MS"/>
              <w:sz w:val="22"/>
              <w:szCs w:val="22"/>
            </w:rPr>
            <w:t xml:space="preserve">ties" (Glendinning et al., 2019) did not adequately discuss the researchers' roles in shaping the findings. The information about data saturation was insufficiently discussed in some of the papers or insufficient justification of sample size, and were based and geographically focused </w:t>
          </w:r>
          <w:proofErr w:type="gramStart"/>
          <w:r>
            <w:rPr>
              <w:rFonts w:ascii="Arial Unicode MS" w:eastAsia="Arial Unicode MS" w:hAnsi="Arial Unicode MS" w:cs="Arial Unicode MS"/>
              <w:sz w:val="22"/>
              <w:szCs w:val="22"/>
            </w:rPr>
            <w:t>in</w:t>
          </w:r>
          <w:proofErr w:type="gramEnd"/>
          <w:r>
            <w:rPr>
              <w:rFonts w:ascii="Arial Unicode MS" w:eastAsia="Arial Unicode MS" w:hAnsi="Arial Unicode MS" w:cs="Arial Unicode MS"/>
              <w:sz w:val="22"/>
              <w:szCs w:val="22"/>
            </w:rPr>
            <w:t xml:space="preserve"> London or even in certain areas of England itself, which might not be representative of the </w:t>
          </w:r>
          <w:proofErr w:type="gramStart"/>
          <w:r>
            <w:rPr>
              <w:rFonts w:ascii="Arial Unicode MS" w:eastAsia="Arial Unicode MS" w:hAnsi="Arial Unicode MS" w:cs="Arial Unicode MS"/>
              <w:sz w:val="22"/>
              <w:szCs w:val="22"/>
            </w:rPr>
            <w:t>UK as a whole</w:t>
          </w:r>
          <w:proofErr w:type="gramEnd"/>
          <w:r>
            <w:rPr>
              <w:rFonts w:ascii="Arial Unicode MS" w:eastAsia="Arial Unicode MS" w:hAnsi="Arial Unicode MS" w:cs="Arial Unicode MS"/>
              <w:sz w:val="22"/>
              <w:szCs w:val="22"/>
            </w:rPr>
            <w:t xml:space="preserve">. However, the qualitative evidence base was suitable in the methodological sense in answering the research </w:t>
          </w:r>
          <w:r>
            <w:rPr>
              <w:rFonts w:ascii="Arial Unicode MS" w:eastAsia="Arial Unicode MS" w:hAnsi="Arial Unicode MS" w:cs="Arial Unicode MS"/>
              <w:sz w:val="22"/>
              <w:szCs w:val="22"/>
            </w:rPr>
            <w:lastRenderedPageBreak/>
            <w:t>question ab</w:t>
          </w:r>
          <w:r>
            <w:rPr>
              <w:rFonts w:ascii="Arial Unicode MS" w:eastAsia="Arial Unicode MS" w:hAnsi="Arial Unicode MS" w:cs="Arial Unicode MS"/>
              <w:sz w:val="22"/>
              <w:szCs w:val="22"/>
            </w:rPr>
            <w:t>out the experience of health and social care among people living with HIV in the UK.</w:t>
          </w:r>
        </w:sdtContent>
      </w:sdt>
    </w:p>
    <w:p w14:paraId="51C39F46" w14:textId="77777777" w:rsidR="006921ED" w:rsidRDefault="00D73B41">
      <w:pPr>
        <w:pStyle w:val="Heading2"/>
        <w:numPr>
          <w:ilvl w:val="1"/>
          <w:numId w:val="2"/>
        </w:numPr>
        <w:spacing w:before="240" w:after="240" w:line="360" w:lineRule="auto"/>
        <w:jc w:val="both"/>
        <w:rPr>
          <w:rFonts w:ascii="Arial" w:eastAsia="Arial" w:hAnsi="Arial" w:cs="Arial"/>
          <w:b/>
          <w:bCs/>
          <w:sz w:val="22"/>
          <w:szCs w:val="22"/>
        </w:rPr>
      </w:pPr>
      <w:r>
        <w:rPr>
          <w:rFonts w:ascii="Arial" w:eastAsia="Arial" w:hAnsi="Arial" w:cs="Arial"/>
          <w:b/>
          <w:bCs/>
          <w:sz w:val="22"/>
          <w:szCs w:val="22"/>
        </w:rPr>
        <w:t>Evaluation of Quantitative Components within Mixed-Methods Studies</w:t>
      </w:r>
    </w:p>
    <w:p w14:paraId="51C39F47"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48" w:name="_heading=h.mdzsua6k0ni0" w:colFirst="0" w:colLast="0"/>
      <w:bookmarkEnd w:id="48"/>
      <w:r>
        <w:rPr>
          <w:rFonts w:ascii="Arial" w:eastAsia="Arial" w:hAnsi="Arial" w:cs="Arial"/>
          <w:b/>
          <w:bCs/>
          <w:color w:val="000000"/>
          <w:sz w:val="22"/>
          <w:szCs w:val="22"/>
        </w:rPr>
        <w:t>Introduction to Quantitative Appraisal</w:t>
      </w:r>
    </w:p>
    <w:p w14:paraId="51C39F4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Two of the included studies adopted a mixed-methods design and contained quantitative components in the form of cross-sectional survey data, which were used to complement qualitative findings rather than function as independent quantitative studies. They included a national survey with a large cross-sectional sample and focuses on the healthcare stigma and unmet needs of HIV in England and Wales, and one mixed-methods research with quantitative survey and qualitative interviews on primary care experiences o</w:t>
      </w:r>
      <w:r>
        <w:rPr>
          <w:rFonts w:ascii="Arial" w:eastAsia="Arial" w:hAnsi="Arial" w:cs="Arial"/>
          <w:sz w:val="22"/>
          <w:szCs w:val="22"/>
        </w:rPr>
        <w:t xml:space="preserve">f people living with HIV in the UK. </w:t>
      </w:r>
    </w:p>
    <w:p w14:paraId="51C39F49"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quantitative components within these mixed-method studies were used to measure the prevalence and distribution of key issues such as stigma, unmet needs, and service experiences among people living with HIV.</w:t>
      </w:r>
    </w:p>
    <w:p w14:paraId="51C39F4A"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They are mainly used in this dissertation to measure the magnitude of the problems like stigma, mental health burden, barriers to testing, and unmet service needs. Critical appraisal of these studies was done to establish methodological strength, validity, and risk of bias before they were synthesized with the qualitative data (Ma et al., 2020).</w:t>
      </w:r>
    </w:p>
    <w:p w14:paraId="51C39F4B"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49" w:name="_heading=h.pfcca1pvx86m" w:colFirst="0" w:colLast="0"/>
      <w:bookmarkEnd w:id="49"/>
      <w:r>
        <w:rPr>
          <w:rFonts w:ascii="Arial" w:eastAsia="Arial" w:hAnsi="Arial" w:cs="Arial"/>
          <w:b/>
          <w:bCs/>
          <w:color w:val="000000"/>
          <w:sz w:val="22"/>
          <w:szCs w:val="22"/>
        </w:rPr>
        <w:t>Critical Appraisal Tool Used</w:t>
      </w:r>
    </w:p>
    <w:p w14:paraId="51C39F4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Joana Briggs Institute (JBI) Analytical Cross-Sectional Checklist has been identified to evaluate the quantitative aspects of the studies included since both identified quantitative articles used cross-sectional survey studies (Joanna Briggs Institute, 2017). The choice of an appraisal tool should not be made randomly based on the design of the study since methodological criteria should be considered according to the selected appraisal tool. Cohort and experimental are the basic types of research, and t</w:t>
      </w:r>
      <w:r>
        <w:rPr>
          <w:rFonts w:ascii="Arial" w:eastAsia="Arial" w:hAnsi="Arial" w:cs="Arial"/>
          <w:sz w:val="22"/>
          <w:szCs w:val="22"/>
        </w:rPr>
        <w:t>hey should be measured using design-specific techniques. The JBI checklist is used to assess several areas such as clarity of the inclusion criteria, suitability of sampling method, reliability and validity of the measurement instruments, definition of exposures and outcomes, identification and control of confounding variables, and the suitability of the statistical analysis. The tool was especially applicable considering Positive Voices survey utilized mass self-reported data on stigma and unmet healthcare</w:t>
      </w:r>
      <w:r>
        <w:rPr>
          <w:rFonts w:ascii="Arial" w:eastAsia="Arial" w:hAnsi="Arial" w:cs="Arial"/>
          <w:sz w:val="22"/>
          <w:szCs w:val="22"/>
        </w:rPr>
        <w:t xml:space="preserve"> needs, and such aspects like measurement validity, sampling representativeness, </w:t>
      </w:r>
      <w:r>
        <w:rPr>
          <w:rFonts w:ascii="Arial" w:eastAsia="Arial" w:hAnsi="Arial" w:cs="Arial"/>
          <w:sz w:val="22"/>
          <w:szCs w:val="22"/>
        </w:rPr>
        <w:lastRenderedPageBreak/>
        <w:t>and confounder adjustment are of paramount importance (Sewell et al., 2024). The quality of the quantitative evidence methodology was appraised in a systematic and uniform way by employing a cross-sectional-specific tool.</w:t>
      </w:r>
    </w:p>
    <w:p w14:paraId="51C39F4D"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50" w:name="_heading=h.5tv6h6l7uunf" w:colFirst="0" w:colLast="0"/>
      <w:bookmarkEnd w:id="50"/>
      <w:r>
        <w:rPr>
          <w:rFonts w:ascii="Arial" w:eastAsia="Arial" w:hAnsi="Arial" w:cs="Arial"/>
          <w:b/>
          <w:bCs/>
          <w:color w:val="000000"/>
          <w:sz w:val="22"/>
          <w:szCs w:val="22"/>
        </w:rPr>
        <w:t>Overview of Quantitative Study Designs</w:t>
      </w:r>
    </w:p>
    <w:p w14:paraId="51C39F4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quantitative research designs used in both articles in the review were cross-sectional designs. The primary care mixed-method study involved the use of a quantitative component in the survey as well as qualitative interviews, but this quantitative component was also cross-sectional in nature. No cohort studies, longitudinal follow up studies or randomised controlled trials were found within the inclusion criteria of the present review because it was </w:t>
      </w:r>
      <w:proofErr w:type="gramStart"/>
      <w:r>
        <w:rPr>
          <w:rFonts w:ascii="Arial" w:eastAsia="Arial" w:hAnsi="Arial" w:cs="Arial"/>
          <w:sz w:val="22"/>
          <w:szCs w:val="22"/>
        </w:rPr>
        <w:t>a research</w:t>
      </w:r>
      <w:proofErr w:type="gramEnd"/>
      <w:r>
        <w:rPr>
          <w:rFonts w:ascii="Arial" w:eastAsia="Arial" w:hAnsi="Arial" w:cs="Arial"/>
          <w:sz w:val="22"/>
          <w:szCs w:val="22"/>
        </w:rPr>
        <w:t xml:space="preserve"> that centred on experiential and </w:t>
      </w:r>
      <w:proofErr w:type="gramStart"/>
      <w:r>
        <w:rPr>
          <w:rFonts w:ascii="Arial" w:eastAsia="Arial" w:hAnsi="Arial" w:cs="Arial"/>
          <w:sz w:val="22"/>
          <w:szCs w:val="22"/>
        </w:rPr>
        <w:t>service based</w:t>
      </w:r>
      <w:proofErr w:type="gramEnd"/>
      <w:r>
        <w:rPr>
          <w:rFonts w:ascii="Arial" w:eastAsia="Arial" w:hAnsi="Arial" w:cs="Arial"/>
          <w:sz w:val="22"/>
          <w:szCs w:val="22"/>
        </w:rPr>
        <w:t xml:space="preserve"> outcomes and not biomedical intervention efficacy (Nickolls et al., 2024). The cross-sectional design is prevalent in the literature of HIV stigma research </w:t>
      </w:r>
      <w:proofErr w:type="gramStart"/>
      <w:r>
        <w:rPr>
          <w:rFonts w:ascii="Arial" w:eastAsia="Arial" w:hAnsi="Arial" w:cs="Arial"/>
          <w:sz w:val="22"/>
          <w:szCs w:val="22"/>
        </w:rPr>
        <w:t>due to the fact that</w:t>
      </w:r>
      <w:proofErr w:type="gramEnd"/>
      <w:r>
        <w:rPr>
          <w:rFonts w:ascii="Arial" w:eastAsia="Arial" w:hAnsi="Arial" w:cs="Arial"/>
          <w:sz w:val="22"/>
          <w:szCs w:val="22"/>
        </w:rPr>
        <w:t xml:space="preserve"> it enables the researcher to quantify prevalence of psychosocial variables and to determine statistical relationships between stigma, mental health, and access to services among large populations. However, these designs are incapable of establishing cause and effect relationsh</w:t>
      </w:r>
      <w:r>
        <w:rPr>
          <w:rFonts w:ascii="Arial" w:eastAsia="Arial" w:hAnsi="Arial" w:cs="Arial"/>
          <w:sz w:val="22"/>
          <w:szCs w:val="22"/>
        </w:rPr>
        <w:t xml:space="preserve">ips; they do not show time sequence. Therefore, although there </w:t>
      </w:r>
      <w:proofErr w:type="gramStart"/>
      <w:r>
        <w:rPr>
          <w:rFonts w:ascii="Arial" w:eastAsia="Arial" w:hAnsi="Arial" w:cs="Arial"/>
          <w:sz w:val="22"/>
          <w:szCs w:val="22"/>
        </w:rPr>
        <w:t>is</w:t>
      </w:r>
      <w:proofErr w:type="gramEnd"/>
      <w:r>
        <w:rPr>
          <w:rFonts w:ascii="Arial" w:eastAsia="Arial" w:hAnsi="Arial" w:cs="Arial"/>
          <w:sz w:val="22"/>
          <w:szCs w:val="22"/>
        </w:rPr>
        <w:t xml:space="preserve"> breadth and generalisability in cross-sectional designs, the designs are weak in causation inference.</w:t>
      </w:r>
    </w:p>
    <w:p w14:paraId="51C39F4F"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51" w:name="_heading=h.afdqvcm235x5" w:colFirst="0" w:colLast="0"/>
      <w:bookmarkEnd w:id="51"/>
      <w:r>
        <w:rPr>
          <w:rFonts w:ascii="Arial" w:eastAsia="Arial" w:hAnsi="Arial" w:cs="Arial"/>
          <w:b/>
          <w:bCs/>
          <w:color w:val="000000"/>
          <w:sz w:val="22"/>
          <w:szCs w:val="22"/>
        </w:rPr>
        <w:t>Aims and Role of Quantitative Evidence</w:t>
      </w:r>
    </w:p>
    <w:p w14:paraId="51C39F5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quantitative research in this review was </w:t>
      </w:r>
      <w:proofErr w:type="gramStart"/>
      <w:r>
        <w:rPr>
          <w:rFonts w:ascii="Arial" w:eastAsia="Arial" w:hAnsi="Arial" w:cs="Arial"/>
          <w:sz w:val="22"/>
          <w:szCs w:val="22"/>
        </w:rPr>
        <w:t>utilized to a great extent</w:t>
      </w:r>
      <w:proofErr w:type="gramEnd"/>
      <w:r>
        <w:rPr>
          <w:rFonts w:ascii="Arial" w:eastAsia="Arial" w:hAnsi="Arial" w:cs="Arial"/>
          <w:sz w:val="22"/>
          <w:szCs w:val="22"/>
        </w:rPr>
        <w:t xml:space="preserve"> to estimate the extent and dispersion of stigma, mental health burden, and unmet service needs among the HIV individuals living in the UK. The Positive Voices survey measured the percentage of individuals who reported experiencing discrimination in healthcare and showed statistical relationships between stigma experiences and unmet mental health, social support, and chronic care needs (GOV.UK, 2022). Quantitative elements in the primary care research presented systematized informa</w:t>
      </w:r>
      <w:r>
        <w:rPr>
          <w:rFonts w:ascii="Arial" w:eastAsia="Arial" w:hAnsi="Arial" w:cs="Arial"/>
          <w:sz w:val="22"/>
          <w:szCs w:val="22"/>
        </w:rPr>
        <w:t>tion on patient satisfaction and disclosure comfort in GP practices. The results are used to supplement qualitative evidence with population-level information that themes like anticipatory stigma, fragmented care and distrust in primary healthcare have. The generalisability and policy relevance are enhanced by quantitative evidence which proves that these problems are not individual experiences but quantifiable trends influencing large segments of PLWH. Nonetheless, the use of self-reported survey data crea</w:t>
      </w:r>
      <w:r>
        <w:rPr>
          <w:rFonts w:ascii="Arial" w:eastAsia="Arial" w:hAnsi="Arial" w:cs="Arial"/>
          <w:sz w:val="22"/>
          <w:szCs w:val="22"/>
        </w:rPr>
        <w:t>tes the risk of bias in responses, and cross-sectional research methods restrict the use of causal inferences. Thus, although quantitative data supplements depth and contributes to the arguments that health policy, it should be carefully incorporated with the qualitative data to provide a full-fledged picture of health and social care experiences.</w:t>
      </w:r>
    </w:p>
    <w:p w14:paraId="51C39F51"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52" w:name="_heading=h.y1jesocy8kmj" w:colFirst="0" w:colLast="0"/>
      <w:bookmarkEnd w:id="52"/>
      <w:r>
        <w:rPr>
          <w:rFonts w:ascii="Arial" w:eastAsia="Arial" w:hAnsi="Arial" w:cs="Arial"/>
          <w:b/>
          <w:bCs/>
          <w:color w:val="000000"/>
          <w:sz w:val="22"/>
          <w:szCs w:val="22"/>
        </w:rPr>
        <w:lastRenderedPageBreak/>
        <w:t>Critical Appraisal Findings: Internal Validity</w:t>
      </w:r>
    </w:p>
    <w:p w14:paraId="51C39F52"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evaluation of internal validity was directed to the representativity of the sample, reliability of measurement, and the possibility to have biasing factors in the cross-sectional studies. However, the responses were based on voluntary survey filling using HIV clinics, which might bring about selection bias since people who were uninvolved with the services or those who were heavily stigmatized might have been underrepresented. The mixed-method primary care study utilized the existing clinic population w</w:t>
      </w:r>
      <w:r>
        <w:rPr>
          <w:rFonts w:ascii="Arial" w:eastAsia="Arial" w:hAnsi="Arial" w:cs="Arial"/>
          <w:sz w:val="22"/>
          <w:szCs w:val="22"/>
        </w:rPr>
        <w:t>hen recruiting its participants, a fact that could also rule out individuals who are not actively involved in care. The bias in recruitment can thus not be eliminated. Healthcare stigma measurement and unmet needs measurement relied on self-report instruments in a structured form, thus increasing the standardisation of the measurement (Malone et al., 2025). However, the use of subjective reports increases the risk of response bias and social desirability bias, especially when sensitive issues, like discrimi</w:t>
      </w:r>
      <w:r>
        <w:rPr>
          <w:rFonts w:ascii="Arial" w:eastAsia="Arial" w:hAnsi="Arial" w:cs="Arial"/>
          <w:sz w:val="22"/>
          <w:szCs w:val="22"/>
        </w:rPr>
        <w:t>nation or mental illness, are examined. Mental health reduction was self-reported not clinically determined, which can compromise measurement accuracy (Menezes-Júnior et al., 2026). The national study utilized validated survey frameworks, but the cross-sectional design does not allow one to establish whether the reported stigma came before the unmet care needs.</w:t>
      </w:r>
    </w:p>
    <w:p w14:paraId="51C39F53"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53" w:name="_heading=h.e7xm41iwxqk" w:colFirst="0" w:colLast="0"/>
      <w:bookmarkEnd w:id="53"/>
      <w:r>
        <w:rPr>
          <w:rFonts w:ascii="Arial" w:eastAsia="Arial" w:hAnsi="Arial" w:cs="Arial"/>
          <w:b/>
          <w:bCs/>
          <w:color w:val="000000"/>
          <w:sz w:val="22"/>
          <w:szCs w:val="22"/>
        </w:rPr>
        <w:t>Critical Appraisal Findings: Statistical and Analytical Rigor</w:t>
      </w:r>
    </w:p>
    <w:p w14:paraId="51C39F5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quantitative studies were mostly suitable in terms of statistical analysis in cross-sectional survey design. Positive Voices study used regression modelling to investigate the relationship between the reported healthcare stigma and unmet need allowing the control of significant demographic variables, which enhances the analytical strength. Both confidence intervals and statistical significance levels were reported, which made it possible to interpret the precision and the effect size. Mixed-method resea</w:t>
      </w:r>
      <w:r>
        <w:rPr>
          <w:rFonts w:ascii="Arial" w:eastAsia="Arial" w:hAnsi="Arial" w:cs="Arial"/>
          <w:sz w:val="22"/>
          <w:szCs w:val="22"/>
        </w:rPr>
        <w:t xml:space="preserve">rch design involved primary care that relied on descriptive statistics and inferences to put qualitative data in perspective. Nevertheless, cross-sectional analysis could not classify time or cause-effect, although statistical techniques were appropriate to determine the relationship. Despite the higher rates of unmet mental health needs that were linked to discrimination, it is not possible to decipher the contribution of stigma towards low service involvement or underlying vulnerabilities as the cause of </w:t>
      </w:r>
      <w:r>
        <w:rPr>
          <w:rFonts w:ascii="Arial" w:eastAsia="Arial" w:hAnsi="Arial" w:cs="Arial"/>
          <w:sz w:val="22"/>
          <w:szCs w:val="22"/>
        </w:rPr>
        <w:t xml:space="preserve">the results (Mantovani, </w:t>
      </w:r>
      <w:proofErr w:type="spellStart"/>
      <w:r>
        <w:rPr>
          <w:rFonts w:ascii="Arial" w:eastAsia="Arial" w:hAnsi="Arial" w:cs="Arial"/>
          <w:sz w:val="22"/>
          <w:szCs w:val="22"/>
        </w:rPr>
        <w:t>Pizzolati</w:t>
      </w:r>
      <w:proofErr w:type="spellEnd"/>
      <w:r>
        <w:rPr>
          <w:rFonts w:ascii="Arial" w:eastAsia="Arial" w:hAnsi="Arial" w:cs="Arial"/>
          <w:sz w:val="22"/>
          <w:szCs w:val="22"/>
        </w:rPr>
        <w:t xml:space="preserve"> and Edge, 2016). Those concerned with self-report measurement, as well as possible missing confounders were admitted in the original research, which demonstrates analytic transparency.</w:t>
      </w:r>
    </w:p>
    <w:p w14:paraId="51C39F55"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54" w:name="_heading=h.bjgkyjsyg8l8" w:colFirst="0" w:colLast="0"/>
      <w:bookmarkEnd w:id="54"/>
      <w:r>
        <w:rPr>
          <w:rFonts w:ascii="Arial" w:eastAsia="Arial" w:hAnsi="Arial" w:cs="Arial"/>
          <w:b/>
          <w:bCs/>
          <w:color w:val="000000"/>
          <w:sz w:val="22"/>
          <w:szCs w:val="22"/>
        </w:rPr>
        <w:lastRenderedPageBreak/>
        <w:t>External Validity and Generalisability</w:t>
      </w:r>
    </w:p>
    <w:p w14:paraId="51C39F5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External validity was different in the studies. The comprehensive national survey has high external generalisability in England and Wales since it is extensive in sample size and scope of clinics (Burt et al., 2017). Conversely, quantitative elements inherent to primary care research in London could affect its external validity because of geographic concentration and service-related circumstances. It is also possible that individuals already involved in specialist HIV services are overrepresented and misrep</w:t>
      </w:r>
      <w:r>
        <w:rPr>
          <w:rFonts w:ascii="Arial" w:eastAsia="Arial" w:hAnsi="Arial" w:cs="Arial"/>
          <w:sz w:val="22"/>
          <w:szCs w:val="22"/>
        </w:rPr>
        <w:t>resent the experiences of those marginalised or not accessing care (Arrington-Sanders et al., 2020). National level results can be generalized, but there should be some contextual constraints.</w:t>
      </w:r>
    </w:p>
    <w:p w14:paraId="51C39F57" w14:textId="77777777" w:rsidR="006921ED" w:rsidRDefault="00D73B41">
      <w:pPr>
        <w:pStyle w:val="Heading3"/>
        <w:numPr>
          <w:ilvl w:val="2"/>
          <w:numId w:val="2"/>
        </w:numPr>
        <w:spacing w:before="240" w:after="240" w:line="360" w:lineRule="auto"/>
        <w:jc w:val="both"/>
        <w:rPr>
          <w:rFonts w:ascii="Arial" w:eastAsia="Arial" w:hAnsi="Arial" w:cs="Arial"/>
          <w:b/>
          <w:bCs/>
          <w:color w:val="000000"/>
          <w:sz w:val="22"/>
          <w:szCs w:val="22"/>
        </w:rPr>
      </w:pPr>
      <w:bookmarkStart w:id="55" w:name="_heading=h.7lz4pociqrdc" w:colFirst="0" w:colLast="0"/>
      <w:bookmarkEnd w:id="55"/>
      <w:r>
        <w:rPr>
          <w:rFonts w:ascii="Arial" w:eastAsia="Arial" w:hAnsi="Arial" w:cs="Arial"/>
          <w:b/>
          <w:bCs/>
          <w:color w:val="000000"/>
          <w:sz w:val="22"/>
          <w:szCs w:val="22"/>
        </w:rPr>
        <w:t>Overall Quality Assessment of Quantitative Evidence</w:t>
      </w:r>
    </w:p>
    <w:p w14:paraId="51C39F58" w14:textId="5D195B72"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In general, the quantitative data indicated moderate to high methodological quality, especially because the statistical power and the design of the national survey are structured. Internal validity was supported with sampling structures and regression analyses and transparency was improved through reporting of statistical indicators. However, the use of cross-sectional and self-reported information restricts the ability to make causal inference and creates possibilities of bias. Quantitative results are use</w:t>
      </w:r>
      <w:r>
        <w:rPr>
          <w:rFonts w:ascii="Arial" w:eastAsia="Arial" w:hAnsi="Arial" w:cs="Arial"/>
          <w:sz w:val="22"/>
          <w:szCs w:val="22"/>
        </w:rPr>
        <w:t xml:space="preserve">ful in terms of breadth and policy </w:t>
      </w:r>
      <w:r w:rsidR="006F567A">
        <w:rPr>
          <w:rFonts w:ascii="Arial" w:eastAsia="Arial" w:hAnsi="Arial" w:cs="Arial"/>
          <w:sz w:val="22"/>
          <w:szCs w:val="22"/>
        </w:rPr>
        <w:t>relevance,</w:t>
      </w:r>
      <w:r>
        <w:rPr>
          <w:rFonts w:ascii="Arial" w:eastAsia="Arial" w:hAnsi="Arial" w:cs="Arial"/>
          <w:sz w:val="22"/>
          <w:szCs w:val="22"/>
        </w:rPr>
        <w:t xml:space="preserve"> but they do not give the whole story of lived experiences of people living with HIV. Hence, there is a need to integrate with qualitative evidence, which is discussed in the next section on mixed-method studies.</w:t>
      </w:r>
    </w:p>
    <w:p w14:paraId="51C39F59" w14:textId="77777777" w:rsidR="006921ED" w:rsidRDefault="00D73B41">
      <w:pPr>
        <w:pStyle w:val="Heading2"/>
        <w:numPr>
          <w:ilvl w:val="1"/>
          <w:numId w:val="2"/>
        </w:numPr>
        <w:spacing w:before="240" w:after="240" w:line="360" w:lineRule="auto"/>
        <w:jc w:val="both"/>
        <w:rPr>
          <w:rFonts w:ascii="Arial" w:eastAsia="Arial" w:hAnsi="Arial" w:cs="Arial"/>
          <w:b/>
          <w:bCs/>
          <w:sz w:val="22"/>
          <w:szCs w:val="22"/>
        </w:rPr>
      </w:pPr>
      <w:bookmarkStart w:id="56" w:name="_heading=h.5vr1712o7cum" w:colFirst="0" w:colLast="0"/>
      <w:bookmarkEnd w:id="56"/>
      <w:r>
        <w:rPr>
          <w:rFonts w:ascii="Arial" w:eastAsia="Arial" w:hAnsi="Arial" w:cs="Arial"/>
          <w:b/>
          <w:bCs/>
          <w:sz w:val="22"/>
          <w:szCs w:val="22"/>
        </w:rPr>
        <w:t>Evaluation of Mixed Methods Studies</w:t>
      </w:r>
    </w:p>
    <w:p w14:paraId="51C39F5A" w14:textId="204AC9F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methodological quality of the mixed-methods studies that were included in this review was assessed with Mixed Methods Appraisal Tool (MMAT). The MMAT is specifically created to evaluate the studies involving qualitative and quantitative elements as a part of a cohesive research design, which makes sure that </w:t>
      </w:r>
      <w:r w:rsidR="006F567A">
        <w:rPr>
          <w:rFonts w:ascii="Arial" w:eastAsia="Arial" w:hAnsi="Arial" w:cs="Arial"/>
          <w:sz w:val="22"/>
          <w:szCs w:val="22"/>
        </w:rPr>
        <w:t>both strands</w:t>
      </w:r>
      <w:r>
        <w:rPr>
          <w:rFonts w:ascii="Arial" w:eastAsia="Arial" w:hAnsi="Arial" w:cs="Arial"/>
          <w:sz w:val="22"/>
          <w:szCs w:val="22"/>
        </w:rPr>
        <w:t xml:space="preserve"> are evaluated both separately and together (Younas and </w:t>
      </w:r>
      <w:proofErr w:type="spellStart"/>
      <w:r>
        <w:rPr>
          <w:rFonts w:ascii="Arial" w:eastAsia="Arial" w:hAnsi="Arial" w:cs="Arial"/>
          <w:sz w:val="22"/>
          <w:szCs w:val="22"/>
        </w:rPr>
        <w:t>Fàbregues</w:t>
      </w:r>
      <w:proofErr w:type="spellEnd"/>
      <w:r>
        <w:rPr>
          <w:rFonts w:ascii="Arial" w:eastAsia="Arial" w:hAnsi="Arial" w:cs="Arial"/>
          <w:sz w:val="22"/>
          <w:szCs w:val="22"/>
        </w:rPr>
        <w:t>, 2026). This instrument was especially suitable since two of the studies that were included in the review identified those that merge large-scale survey with qualitative interviews in examining experiences of healthcare stigma and primary care engagement in the UK among individuals living with HIV. The significance of the mixed-method-specific appraisal tool as a methodology consists in the fact that it not only evaluates the rigour of each o</w:t>
      </w:r>
      <w:r>
        <w:rPr>
          <w:rFonts w:ascii="Arial" w:eastAsia="Arial" w:hAnsi="Arial" w:cs="Arial"/>
          <w:sz w:val="22"/>
          <w:szCs w:val="22"/>
        </w:rPr>
        <w:t>f the methodological elements but also the quality of their integration. The MMAT tests the clarity of research questions, how well mixed-method design suits both parts, sufficiency of data collection in both parts, compatibility of data integration, and validity of conclusion from findings of combined research (Quan et al., 2025).</w:t>
      </w:r>
    </w:p>
    <w:p w14:paraId="51C39F5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The use of MMAT showed that the mixed-methods studies were methodologically sound. The researched questions had been clearly stated in both studies, and the authors were correct in their application of the mixed-method design since they aimed to provide both the breadth and depth that can be achieved through statistics and experiences respectively. The quantitative part used cross-sectional survey techniques to identify prevalence of stigma, unmet needs or satisfaction with GP services, with the qualitative</w:t>
      </w:r>
      <w:r>
        <w:rPr>
          <w:rFonts w:ascii="Arial" w:eastAsia="Arial" w:hAnsi="Arial" w:cs="Arial"/>
          <w:sz w:val="22"/>
          <w:szCs w:val="22"/>
        </w:rPr>
        <w:t xml:space="preserve"> interpretation of patterns relied upon interviews. The sampling methods suited the corresponding elements, and the analysis procedures were presented with an adequate level of transparency. The two studies indicated the use of meaningful </w:t>
      </w:r>
      <w:proofErr w:type="gramStart"/>
      <w:r>
        <w:rPr>
          <w:rFonts w:ascii="Arial" w:eastAsia="Arial" w:hAnsi="Arial" w:cs="Arial"/>
          <w:sz w:val="22"/>
          <w:szCs w:val="22"/>
        </w:rPr>
        <w:t>integration</w:t>
      </w:r>
      <w:proofErr w:type="gramEnd"/>
      <w:r>
        <w:rPr>
          <w:rFonts w:ascii="Arial" w:eastAsia="Arial" w:hAnsi="Arial" w:cs="Arial"/>
          <w:sz w:val="22"/>
          <w:szCs w:val="22"/>
        </w:rPr>
        <w:t xml:space="preserve"> and the qualitative data was applied to interpret and elaborate on the quantitative relationships, as opposed to running concurrent analysis without synthesis. This reinforced the ability of the findings to explain and improve applicability in relation to healt</w:t>
      </w:r>
      <w:r>
        <w:rPr>
          <w:rFonts w:ascii="Arial" w:eastAsia="Arial" w:hAnsi="Arial" w:cs="Arial"/>
          <w:sz w:val="22"/>
          <w:szCs w:val="22"/>
        </w:rPr>
        <w:t>h and social care policy.</w:t>
      </w:r>
    </w:p>
    <w:p w14:paraId="51C39F5C" w14:textId="456EDD74"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Nonetheless, some restrictions were determined. Despite the existence of integration, qualitative and quantitative elements were not always articulately </w:t>
      </w:r>
      <w:r w:rsidR="006F567A">
        <w:rPr>
          <w:rFonts w:ascii="Arial" w:eastAsia="Arial" w:hAnsi="Arial" w:cs="Arial"/>
          <w:sz w:val="22"/>
          <w:szCs w:val="22"/>
        </w:rPr>
        <w:t>debated,</w:t>
      </w:r>
      <w:r>
        <w:rPr>
          <w:rFonts w:ascii="Arial" w:eastAsia="Arial" w:hAnsi="Arial" w:cs="Arial"/>
          <w:sz w:val="22"/>
          <w:szCs w:val="22"/>
        </w:rPr>
        <w:t xml:space="preserve"> and it was not clear whether one of the strands was more important as compared to the other (</w:t>
      </w:r>
      <w:proofErr w:type="spellStart"/>
      <w:r>
        <w:rPr>
          <w:rFonts w:ascii="Arial" w:eastAsia="Arial" w:hAnsi="Arial" w:cs="Arial"/>
          <w:sz w:val="22"/>
          <w:szCs w:val="22"/>
        </w:rPr>
        <w:t>Skamagki</w:t>
      </w:r>
      <w:proofErr w:type="spellEnd"/>
      <w:r>
        <w:rPr>
          <w:rFonts w:ascii="Arial" w:eastAsia="Arial" w:hAnsi="Arial" w:cs="Arial"/>
          <w:sz w:val="22"/>
          <w:szCs w:val="22"/>
        </w:rPr>
        <w:t xml:space="preserve"> et al., 2022). </w:t>
      </w:r>
      <w:proofErr w:type="gramStart"/>
      <w:r>
        <w:rPr>
          <w:rFonts w:ascii="Arial" w:eastAsia="Arial" w:hAnsi="Arial" w:cs="Arial"/>
          <w:sz w:val="22"/>
          <w:szCs w:val="22"/>
        </w:rPr>
        <w:t>Similar to</w:t>
      </w:r>
      <w:proofErr w:type="gramEnd"/>
      <w:r>
        <w:rPr>
          <w:rFonts w:ascii="Arial" w:eastAsia="Arial" w:hAnsi="Arial" w:cs="Arial"/>
          <w:sz w:val="22"/>
          <w:szCs w:val="22"/>
        </w:rPr>
        <w:t xml:space="preserve"> the quantitative studies, the cross-sectional survey factors restrain causation. Participants were mostly recruited using the services of specialists working with HIV and this will limit the generalisability to persons not engaged in care. Nevertheless, the mixed-method studies portrayed average to high methodology standards and added useful complementary evidence that completes t</w:t>
      </w:r>
      <w:r>
        <w:rPr>
          <w:rFonts w:ascii="Arial" w:eastAsia="Arial" w:hAnsi="Arial" w:cs="Arial"/>
          <w:sz w:val="22"/>
          <w:szCs w:val="22"/>
        </w:rPr>
        <w:t>he statistical patterns with the lived experiences.</w:t>
      </w:r>
    </w:p>
    <w:p w14:paraId="51C39F5D" w14:textId="77777777" w:rsidR="006921ED" w:rsidRDefault="00D73B41">
      <w:pPr>
        <w:pStyle w:val="Heading2"/>
        <w:numPr>
          <w:ilvl w:val="1"/>
          <w:numId w:val="2"/>
        </w:numPr>
        <w:spacing w:before="240" w:after="240" w:line="360" w:lineRule="auto"/>
        <w:jc w:val="both"/>
        <w:rPr>
          <w:rFonts w:ascii="Arial" w:eastAsia="Arial" w:hAnsi="Arial" w:cs="Arial"/>
          <w:b/>
          <w:bCs/>
          <w:color w:val="000000"/>
          <w:sz w:val="22"/>
          <w:szCs w:val="22"/>
        </w:rPr>
      </w:pPr>
      <w:bookmarkStart w:id="57" w:name="_heading=h.1mfg6gw81fft" w:colFirst="0" w:colLast="0"/>
      <w:bookmarkEnd w:id="57"/>
      <w:r>
        <w:rPr>
          <w:rFonts w:ascii="Arial" w:eastAsia="Arial" w:hAnsi="Arial" w:cs="Arial"/>
          <w:b/>
          <w:bCs/>
          <w:color w:val="000000"/>
          <w:sz w:val="22"/>
          <w:szCs w:val="22"/>
        </w:rPr>
        <w:t>Chapter Summary</w:t>
      </w:r>
    </w:p>
    <w:p w14:paraId="51C39F5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methodological quality of the twelve studies incorporated in this review was methodologically taken out and critically assessed. A systematic data extraction procedure was used to find and compare key characteristics of the study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guarantee transparency and consistency. The qualitative studies were placed through the application of the CASP Qualitative Checklist, the quantitative research through the application of the JBI Analytical Cross-Sectional Checklist, and the mixed qualitative and quantitative studies </w:t>
      </w:r>
      <w:proofErr w:type="gramStart"/>
      <w:r>
        <w:rPr>
          <w:rFonts w:ascii="Arial" w:eastAsia="Arial" w:hAnsi="Arial" w:cs="Arial"/>
          <w:sz w:val="22"/>
          <w:szCs w:val="22"/>
        </w:rPr>
        <w:t>through the use of</w:t>
      </w:r>
      <w:proofErr w:type="gramEnd"/>
      <w:r>
        <w:rPr>
          <w:rFonts w:ascii="Arial" w:eastAsia="Arial" w:hAnsi="Arial" w:cs="Arial"/>
          <w:sz w:val="22"/>
          <w:szCs w:val="22"/>
        </w:rPr>
        <w:t xml:space="preserve"> the Mixed Methods Appraisal Tool (MMAT). The evidence base was found to be of moderate to high quality of methodology with certain limitations due to cross sectional limitation and sampling concen</w:t>
      </w:r>
      <w:r>
        <w:rPr>
          <w:rFonts w:ascii="Arial" w:eastAsia="Arial" w:hAnsi="Arial" w:cs="Arial"/>
          <w:sz w:val="22"/>
          <w:szCs w:val="22"/>
        </w:rPr>
        <w:t xml:space="preserve">tration. </w:t>
      </w:r>
    </w:p>
    <w:p w14:paraId="51C39F5F" w14:textId="31808A3A"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Despite minor inadequacies observed in some studies, </w:t>
      </w:r>
      <w:proofErr w:type="gramStart"/>
      <w:r w:rsidR="006F567A">
        <w:rPr>
          <w:rFonts w:ascii="Arial" w:eastAsia="Arial" w:hAnsi="Arial" w:cs="Arial"/>
          <w:sz w:val="22"/>
          <w:szCs w:val="22"/>
        </w:rPr>
        <w:t>overall</w:t>
      </w:r>
      <w:proofErr w:type="gramEnd"/>
      <w:r>
        <w:rPr>
          <w:rFonts w:ascii="Arial" w:eastAsia="Arial" w:hAnsi="Arial" w:cs="Arial"/>
          <w:sz w:val="22"/>
          <w:szCs w:val="22"/>
        </w:rPr>
        <w:t xml:space="preserve"> the twelve selected studies were considered possessing the academic vigour as required. Table 4.1 below presents a summary of qualities of these studies. With the credibility and rigour of the research works </w:t>
      </w:r>
      <w:r>
        <w:rPr>
          <w:rFonts w:ascii="Arial" w:eastAsia="Arial" w:hAnsi="Arial" w:cs="Arial"/>
          <w:sz w:val="22"/>
          <w:szCs w:val="22"/>
        </w:rPr>
        <w:lastRenderedPageBreak/>
        <w:t xml:space="preserve">included established, the next chapter describes the thematic synthesis of the findings </w:t>
      </w:r>
      <w:proofErr w:type="gramStart"/>
      <w:r>
        <w:rPr>
          <w:rFonts w:ascii="Arial" w:eastAsia="Arial" w:hAnsi="Arial" w:cs="Arial"/>
          <w:sz w:val="22"/>
          <w:szCs w:val="22"/>
        </w:rPr>
        <w:t>in the area of</w:t>
      </w:r>
      <w:proofErr w:type="gramEnd"/>
      <w:r>
        <w:rPr>
          <w:rFonts w:ascii="Arial" w:eastAsia="Arial" w:hAnsi="Arial" w:cs="Arial"/>
          <w:sz w:val="22"/>
          <w:szCs w:val="22"/>
        </w:rPr>
        <w:t xml:space="preserve"> health and social care of individuals living with HIV in the UK.</w:t>
      </w:r>
    </w:p>
    <w:p w14:paraId="51C39F72" w14:textId="237C5A8E" w:rsidR="00A93FD7" w:rsidRDefault="00A93FD7">
      <w:pPr>
        <w:rPr>
          <w:rFonts w:ascii="Arial" w:eastAsia="Arial" w:hAnsi="Arial" w:cs="Arial"/>
          <w:sz w:val="22"/>
          <w:szCs w:val="22"/>
        </w:rPr>
      </w:pPr>
      <w:r>
        <w:rPr>
          <w:rFonts w:ascii="Arial" w:eastAsia="Arial" w:hAnsi="Arial" w:cs="Arial"/>
          <w:sz w:val="22"/>
          <w:szCs w:val="22"/>
        </w:rPr>
        <w:br w:type="page"/>
      </w:r>
    </w:p>
    <w:p w14:paraId="51C39F73" w14:textId="77777777" w:rsidR="006921ED" w:rsidRDefault="00D73B41">
      <w:pPr>
        <w:pStyle w:val="Heading1"/>
        <w:spacing w:before="240" w:after="240" w:line="360" w:lineRule="auto"/>
        <w:ind w:left="580"/>
        <w:jc w:val="center"/>
        <w:rPr>
          <w:rFonts w:ascii="Arial" w:eastAsia="Arial" w:hAnsi="Arial" w:cs="Arial"/>
          <w:b/>
          <w:bCs/>
          <w:color w:val="000000"/>
          <w:sz w:val="22"/>
          <w:szCs w:val="22"/>
        </w:rPr>
      </w:pPr>
      <w:bookmarkStart w:id="58" w:name="_heading=h.bm77mmuq3ogz" w:colFirst="0" w:colLast="0"/>
      <w:bookmarkEnd w:id="58"/>
      <w:r>
        <w:rPr>
          <w:rFonts w:ascii="Arial" w:eastAsia="Arial" w:hAnsi="Arial" w:cs="Arial"/>
          <w:b/>
          <w:bCs/>
          <w:color w:val="000000"/>
          <w:sz w:val="22"/>
          <w:szCs w:val="22"/>
        </w:rPr>
        <w:lastRenderedPageBreak/>
        <w:t>Chapter 5: Data Analysis and Synthesis</w:t>
      </w:r>
    </w:p>
    <w:p w14:paraId="51C39F74" w14:textId="77777777" w:rsidR="006921ED" w:rsidRDefault="00D73B41">
      <w:pPr>
        <w:pStyle w:val="Heading2"/>
        <w:numPr>
          <w:ilvl w:val="1"/>
          <w:numId w:val="3"/>
        </w:numPr>
        <w:spacing w:before="240" w:after="240" w:line="360" w:lineRule="auto"/>
        <w:jc w:val="both"/>
        <w:rPr>
          <w:rFonts w:ascii="Arial" w:eastAsia="Arial" w:hAnsi="Arial" w:cs="Arial"/>
          <w:b/>
          <w:bCs/>
          <w:sz w:val="22"/>
          <w:szCs w:val="22"/>
        </w:rPr>
      </w:pPr>
      <w:bookmarkStart w:id="59" w:name="_heading=h.2ih95fjj3dcx" w:colFirst="0" w:colLast="0"/>
      <w:bookmarkEnd w:id="59"/>
      <w:r>
        <w:rPr>
          <w:rFonts w:ascii="Arial" w:eastAsia="Arial" w:hAnsi="Arial" w:cs="Arial"/>
          <w:b/>
          <w:bCs/>
          <w:sz w:val="22"/>
          <w:szCs w:val="22"/>
        </w:rPr>
        <w:t>Introduction to Chapter</w:t>
      </w:r>
    </w:p>
    <w:p w14:paraId="51C39F75"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This chapter brings out the thematic synthesis of the twelve studies that were selected for systematic review and discusses how the experience of people living with HIV in the UK was in terms of health and social care. Combining qualitative analysis results of the experiences and quantitative analysis results of the </w:t>
      </w:r>
      <w:proofErr w:type="gramStart"/>
      <w:r>
        <w:rPr>
          <w:rFonts w:ascii="Arial" w:eastAsia="Arial" w:hAnsi="Arial" w:cs="Arial"/>
          <w:sz w:val="22"/>
          <w:szCs w:val="22"/>
        </w:rPr>
        <w:t>population as a whole, this</w:t>
      </w:r>
      <w:proofErr w:type="gramEnd"/>
      <w:r>
        <w:rPr>
          <w:rFonts w:ascii="Arial" w:eastAsia="Arial" w:hAnsi="Arial" w:cs="Arial"/>
          <w:sz w:val="22"/>
          <w:szCs w:val="22"/>
        </w:rPr>
        <w:t xml:space="preserve"> chapter will give a detailed analysis of the main themes and subsequently present the synthesis of the results.</w:t>
      </w:r>
    </w:p>
    <w:p w14:paraId="51C39F76" w14:textId="77777777" w:rsidR="006921ED" w:rsidRDefault="00D73B41">
      <w:pPr>
        <w:pStyle w:val="Heading2"/>
        <w:numPr>
          <w:ilvl w:val="1"/>
          <w:numId w:val="3"/>
        </w:numPr>
        <w:spacing w:before="240" w:after="240" w:line="360" w:lineRule="auto"/>
        <w:jc w:val="both"/>
        <w:rPr>
          <w:rFonts w:ascii="Arial" w:eastAsia="Arial" w:hAnsi="Arial" w:cs="Arial"/>
          <w:b/>
          <w:bCs/>
          <w:sz w:val="22"/>
          <w:szCs w:val="22"/>
        </w:rPr>
      </w:pPr>
      <w:bookmarkStart w:id="60" w:name="_heading=h.el6f4s1ff827" w:colFirst="0" w:colLast="0"/>
      <w:bookmarkEnd w:id="60"/>
      <w:r>
        <w:rPr>
          <w:rFonts w:ascii="Arial" w:eastAsia="Arial" w:hAnsi="Arial" w:cs="Arial"/>
          <w:b/>
          <w:bCs/>
          <w:sz w:val="22"/>
          <w:szCs w:val="22"/>
        </w:rPr>
        <w:t>Thematic Analysis</w:t>
      </w:r>
    </w:p>
    <w:p w14:paraId="51C39F77"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Thematic analysis is a qualitative analysis tool that is applied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identify, analyse and interpret patterns or themes in data (Ahmed et al., 2025). It is usually applied to the interview and focus group data to investigate meanings, experience and social processes. When applied </w:t>
      </w:r>
    </w:p>
    <w:p w14:paraId="51C39F7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in a systematic literature review to generalise the results of multiple </w:t>
      </w:r>
      <w:proofErr w:type="gramStart"/>
      <w:r>
        <w:rPr>
          <w:rFonts w:ascii="Arial" w:eastAsia="Arial" w:hAnsi="Arial" w:cs="Arial"/>
          <w:sz w:val="22"/>
          <w:szCs w:val="22"/>
        </w:rPr>
        <w:t>researches</w:t>
      </w:r>
      <w:proofErr w:type="gramEnd"/>
      <w:r>
        <w:rPr>
          <w:rFonts w:ascii="Arial" w:eastAsia="Arial" w:hAnsi="Arial" w:cs="Arial"/>
          <w:sz w:val="22"/>
          <w:szCs w:val="22"/>
        </w:rPr>
        <w:t>, it is commonly called a thematic synthesis. Being traditionally qualitative, thematic analysis may be used on quantitative findings as well, as recurring patterns, trends, and relationships can be identified among the results of statistical analysis (Dawadi, 2020).</w:t>
      </w:r>
    </w:p>
    <w:p w14:paraId="51C39F79" w14:textId="77777777" w:rsidR="006921ED" w:rsidRDefault="00D73B41">
      <w:pPr>
        <w:pStyle w:val="Heading2"/>
        <w:numPr>
          <w:ilvl w:val="1"/>
          <w:numId w:val="3"/>
        </w:numPr>
        <w:spacing w:before="240" w:after="240" w:line="360" w:lineRule="auto"/>
        <w:jc w:val="both"/>
        <w:rPr>
          <w:rFonts w:ascii="Arial" w:eastAsia="Arial" w:hAnsi="Arial" w:cs="Arial"/>
          <w:b/>
          <w:bCs/>
          <w:sz w:val="22"/>
          <w:szCs w:val="22"/>
        </w:rPr>
      </w:pPr>
      <w:bookmarkStart w:id="61" w:name="_heading=h.wyqnuv6dd56o" w:colFirst="0" w:colLast="0"/>
      <w:bookmarkEnd w:id="61"/>
      <w:r>
        <w:rPr>
          <w:rFonts w:ascii="Arial" w:eastAsia="Arial" w:hAnsi="Arial" w:cs="Arial"/>
          <w:b/>
          <w:bCs/>
          <w:sz w:val="22"/>
          <w:szCs w:val="22"/>
        </w:rPr>
        <w:t>Data analysis tool</w:t>
      </w:r>
    </w:p>
    <w:p w14:paraId="51C39F7A" w14:textId="5EF110F1"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Thematic analysis patterns using the six-step model suggested by Braun and Clarke were determined and discussed using qualitative, quantitative, and mixed-method evidence (Braun and Clarke, 2006; Naeem et al., 2023). The data were inductively coded into themes and thus the repeated concepts and relationships came into the limelight naturally as opposed to predetermined ideas. The scheme includes the familiarisation with the information, creating the first codes, finding the themes, examining the themes, nam</w:t>
      </w:r>
      <w:r>
        <w:rPr>
          <w:rFonts w:ascii="Arial" w:eastAsia="Arial" w:hAnsi="Arial" w:cs="Arial"/>
          <w:sz w:val="22"/>
          <w:szCs w:val="22"/>
        </w:rPr>
        <w:t xml:space="preserve">ing the themes, and creating the report. This methodology provides rigour and transparency in the process of the identification of patterns across the studies (Johnson, Adkins and Chauvin, 2020). Its use of the HIV related health and social care experiences allows systematic interpretation of multifaceted psychosocial and </w:t>
      </w:r>
      <w:r w:rsidR="006F567A">
        <w:rPr>
          <w:rFonts w:ascii="Arial" w:eastAsia="Arial" w:hAnsi="Arial" w:cs="Arial"/>
          <w:sz w:val="22"/>
          <w:szCs w:val="22"/>
        </w:rPr>
        <w:t>service-related</w:t>
      </w:r>
      <w:r>
        <w:rPr>
          <w:rFonts w:ascii="Arial" w:eastAsia="Arial" w:hAnsi="Arial" w:cs="Arial"/>
          <w:sz w:val="22"/>
          <w:szCs w:val="22"/>
        </w:rPr>
        <w:t xml:space="preserve"> evidence.</w:t>
      </w:r>
    </w:p>
    <w:p w14:paraId="51C39F7B" w14:textId="77777777" w:rsidR="006921ED" w:rsidRDefault="00D73B41">
      <w:pPr>
        <w:pStyle w:val="Heading2"/>
        <w:numPr>
          <w:ilvl w:val="1"/>
          <w:numId w:val="3"/>
        </w:numPr>
        <w:spacing w:before="240" w:after="240" w:line="360" w:lineRule="auto"/>
        <w:jc w:val="both"/>
        <w:rPr>
          <w:rFonts w:ascii="Arial" w:eastAsia="Arial" w:hAnsi="Arial" w:cs="Arial"/>
          <w:b/>
          <w:bCs/>
          <w:sz w:val="22"/>
          <w:szCs w:val="22"/>
        </w:rPr>
      </w:pPr>
      <w:bookmarkStart w:id="62" w:name="_heading=h.5e476gw7zat6" w:colFirst="0" w:colLast="0"/>
      <w:bookmarkEnd w:id="62"/>
      <w:r>
        <w:rPr>
          <w:rFonts w:ascii="Arial" w:eastAsia="Arial" w:hAnsi="Arial" w:cs="Arial"/>
          <w:b/>
          <w:bCs/>
          <w:sz w:val="22"/>
          <w:szCs w:val="22"/>
        </w:rPr>
        <w:t>Characteristics of the identified studies</w:t>
      </w:r>
    </w:p>
    <w:p w14:paraId="51C39F7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Among the twelve studies making this review, ten were in the United Kingdom and made in England and some in London and South-East England. A qualitative study was held in Ireland (Vaughan et al., 2020), and one previous study based in the UK investigated the lives of African immigrant women in Nottingham (Ndirangu and Evans, 2008). Most of the studies used </w:t>
      </w:r>
      <w:r>
        <w:rPr>
          <w:rFonts w:ascii="Arial" w:eastAsia="Arial" w:hAnsi="Arial" w:cs="Arial"/>
          <w:sz w:val="22"/>
          <w:szCs w:val="22"/>
        </w:rPr>
        <w:lastRenderedPageBreak/>
        <w:t>qualitative designs based on semi-structured interviews or focus groups, with two incorporating a major quantitative element based on cross-sectional surveys (Wiginton et al.,2021 and Rai et al., 2020). Older adults, women with HIV, African and Caribbean communities, and people involved in primary care and specialist care services were considered as groups of participants.</w:t>
      </w:r>
    </w:p>
    <w:p w14:paraId="51C39F7D" w14:textId="77777777" w:rsidR="006921ED" w:rsidRDefault="00D73B41">
      <w:pPr>
        <w:pStyle w:val="Heading2"/>
        <w:numPr>
          <w:ilvl w:val="1"/>
          <w:numId w:val="3"/>
        </w:numPr>
        <w:spacing w:before="240" w:after="240" w:line="360" w:lineRule="auto"/>
        <w:jc w:val="both"/>
        <w:rPr>
          <w:rFonts w:ascii="Arial" w:eastAsia="Arial" w:hAnsi="Arial" w:cs="Arial"/>
          <w:b/>
          <w:bCs/>
          <w:sz w:val="22"/>
          <w:szCs w:val="22"/>
        </w:rPr>
      </w:pPr>
      <w:bookmarkStart w:id="63" w:name="_heading=h.c871nm5l66bn" w:colFirst="0" w:colLast="0"/>
      <w:bookmarkEnd w:id="63"/>
      <w:r>
        <w:rPr>
          <w:rFonts w:ascii="Arial" w:eastAsia="Arial" w:hAnsi="Arial" w:cs="Arial"/>
          <w:b/>
          <w:bCs/>
          <w:sz w:val="22"/>
          <w:szCs w:val="22"/>
        </w:rPr>
        <w:t>Emerging Themes from included studies</w:t>
      </w:r>
    </w:p>
    <w:p w14:paraId="51C39F7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thematic analysis of the twelve articles involved found that there were four broad themes and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subthemes that were interrelated and encompassed the health and social care experiences of the people who lived with HIV in the UK. These themes were inductive and not pre-determined, as they appeared through systematic coding and comparison of studies. Qualitative interviews, focus groups and quantitative survey results were found to have consistent patterns that showed convergence between the lived experience narratives and population-wide evidence (</w:t>
      </w:r>
      <w:proofErr w:type="spellStart"/>
      <w:r>
        <w:rPr>
          <w:rFonts w:ascii="Arial" w:eastAsia="Arial" w:hAnsi="Arial" w:cs="Arial"/>
          <w:sz w:val="22"/>
          <w:szCs w:val="22"/>
        </w:rPr>
        <w:t>Hennink</w:t>
      </w:r>
      <w:proofErr w:type="spellEnd"/>
      <w:r>
        <w:rPr>
          <w:rFonts w:ascii="Arial" w:eastAsia="Arial" w:hAnsi="Arial" w:cs="Arial"/>
          <w:sz w:val="22"/>
          <w:szCs w:val="22"/>
        </w:rPr>
        <w:t xml:space="preserve"> and Kaiser, 2022). Notably, the them</w:t>
      </w:r>
      <w:r>
        <w:rPr>
          <w:rFonts w:ascii="Arial" w:eastAsia="Arial" w:hAnsi="Arial" w:cs="Arial"/>
          <w:sz w:val="22"/>
          <w:szCs w:val="22"/>
        </w:rPr>
        <w:t>es were not confined to single themes, but rather they overlapped often, whereby stigma affected the fragmentation of services, ageing, care needs, and cultural backgrounds impacted the engagement. These intertwined themes in combination give a holistic synthesis of the evidence base.</w:t>
      </w:r>
    </w:p>
    <w:p w14:paraId="51C39F7F" w14:textId="77777777" w:rsidR="006921ED" w:rsidRDefault="00D73B41">
      <w:pPr>
        <w:pStyle w:val="Heading3"/>
        <w:numPr>
          <w:ilvl w:val="2"/>
          <w:numId w:val="3"/>
        </w:numPr>
        <w:spacing w:before="240" w:after="240" w:line="360" w:lineRule="auto"/>
        <w:jc w:val="both"/>
        <w:rPr>
          <w:rFonts w:ascii="Arial" w:eastAsia="Arial" w:hAnsi="Arial" w:cs="Arial"/>
          <w:b/>
          <w:bCs/>
          <w:color w:val="000000"/>
          <w:sz w:val="22"/>
          <w:szCs w:val="22"/>
        </w:rPr>
      </w:pPr>
      <w:bookmarkStart w:id="64" w:name="_heading=h.sso2vfr2soqx" w:colFirst="0" w:colLast="0"/>
      <w:bookmarkEnd w:id="64"/>
      <w:r>
        <w:rPr>
          <w:rFonts w:ascii="Arial" w:eastAsia="Arial" w:hAnsi="Arial" w:cs="Arial"/>
          <w:b/>
          <w:bCs/>
          <w:color w:val="000000"/>
          <w:sz w:val="22"/>
          <w:szCs w:val="22"/>
        </w:rPr>
        <w:t>Theme One: Persistent and Evolving HIV-Related Stigma</w:t>
      </w:r>
    </w:p>
    <w:p w14:paraId="51C39F80"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Stigma within Healthcare Settings</w:t>
      </w:r>
    </w:p>
    <w:p w14:paraId="51C39F81"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Stigmatization that was enacted in the healthcare setting was regularly reported and is discussed in four of the twelve selected studies. Vaughan et al. (2020) outlined the unnecessary infection-control measures observed by the participants, including being over-gloved or visibly distanced, which reinforced the emotions of contamination. Wiginton et al. (2021) studied the data on more than 3,400 participants, in which the participants who reported having experienced healthcare discrimination were much more </w:t>
      </w:r>
      <w:r>
        <w:rPr>
          <w:rFonts w:ascii="Arial" w:eastAsia="Arial" w:hAnsi="Arial" w:cs="Arial"/>
          <w:sz w:val="22"/>
          <w:szCs w:val="22"/>
        </w:rPr>
        <w:t>likely to report having unmet needs related to mental health and social support. In line with this, Hedge et al. (2021) observed that despite the reduction of overt discrimination, subtle types of stigmas are still evident especially among men who have sex with men, African and Caribbean communities. Rai et al. (2019) also observed that the perceived knowledge gaps among GP have been associated with the difference in care experiences and unwillingness to address HIV-related challenges. Conversely, supportiv</w:t>
      </w:r>
      <w:r>
        <w:rPr>
          <w:rFonts w:ascii="Arial" w:eastAsia="Arial" w:hAnsi="Arial" w:cs="Arial"/>
          <w:sz w:val="22"/>
          <w:szCs w:val="22"/>
        </w:rPr>
        <w:t>e clinical experiences were reported by some of the participants, which implies variation in provider sensitivity.</w:t>
      </w:r>
    </w:p>
    <w:p w14:paraId="51C39F82" w14:textId="77777777" w:rsidR="006921ED" w:rsidRDefault="006921ED">
      <w:pPr>
        <w:spacing w:before="240" w:after="240" w:line="360" w:lineRule="auto"/>
        <w:jc w:val="both"/>
        <w:rPr>
          <w:rFonts w:ascii="Arial" w:eastAsia="Arial" w:hAnsi="Arial" w:cs="Arial"/>
          <w:sz w:val="22"/>
          <w:szCs w:val="22"/>
        </w:rPr>
      </w:pPr>
    </w:p>
    <w:p w14:paraId="399E7FB6" w14:textId="77777777" w:rsidR="006F567A" w:rsidRDefault="006F567A">
      <w:pPr>
        <w:spacing w:before="240" w:after="240" w:line="360" w:lineRule="auto"/>
        <w:jc w:val="both"/>
        <w:rPr>
          <w:rFonts w:ascii="Arial" w:eastAsia="Arial" w:hAnsi="Arial" w:cs="Arial"/>
          <w:sz w:val="22"/>
          <w:szCs w:val="22"/>
        </w:rPr>
      </w:pPr>
    </w:p>
    <w:p w14:paraId="51C39F83"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lastRenderedPageBreak/>
        <w:t>Anticipated Stigma and Disclosure Concerns</w:t>
      </w:r>
    </w:p>
    <w:p w14:paraId="51C39F84" w14:textId="6C210A60"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stigma that was expected became as powerful. Hedge et al. revealed that a lot of participants were afraid of being judged despite the absence of discriminatory events. In a similar case, Rai et al. found that patients did not seek HIV-related consultation with their GP because they were afraid that they would not be understood. Keogh et al. (2016) noted that patients often handled disclosure highly, restricting them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avoid possible bias. Bruton et al.  (2018) indicated that diagnosis </w:t>
      </w:r>
      <w:r w:rsidR="006F567A">
        <w:rPr>
          <w:rFonts w:ascii="Arial" w:eastAsia="Arial" w:hAnsi="Arial" w:cs="Arial"/>
          <w:sz w:val="22"/>
          <w:szCs w:val="22"/>
        </w:rPr>
        <w:t>was always a life-changing experience</w:t>
      </w:r>
      <w:r>
        <w:rPr>
          <w:rFonts w:ascii="Arial" w:eastAsia="Arial" w:hAnsi="Arial" w:cs="Arial"/>
          <w:sz w:val="22"/>
          <w:szCs w:val="22"/>
        </w:rPr>
        <w:t xml:space="preserve"> and eras, which was marked by a persistent fear of a rejection. On the national level, 10.4% of the respondents of Positive Voices indicated that they only disclose their status to healthcare providers, indicating limited social disclosure (Fuente-Soro et al., 2023). These trends show that stigma does not act as an overt discrimination; expectation of negative treatment influences behaviour and diminishes complete participation in services.</w:t>
      </w:r>
    </w:p>
    <w:p w14:paraId="51C39F85"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Intersectional and Structural Dimensions of Stigma</w:t>
      </w:r>
    </w:p>
    <w:p w14:paraId="51C39F8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Intersecting social identities contributed to making stigma worse. Glendinning et al. (2019) identified that Black African and Caribbean participants presented cultural and religious discourses that viewed HIV as shameful, which influenced ART-taking and disclosure. Jones et al. (2025) found that women belonging to African and Caribbean ancestries were too scared of the community gossiping, as well as social ostracism. The status of migration and faith were identified as complications of stigma by Ndirangu </w:t>
      </w:r>
      <w:r>
        <w:rPr>
          <w:rFonts w:ascii="Arial" w:eastAsia="Arial" w:hAnsi="Arial" w:cs="Arial"/>
          <w:sz w:val="22"/>
          <w:szCs w:val="22"/>
        </w:rPr>
        <w:t>and Evans (2008), which led to a higher degree of isolation. Moreover, in their study, the elderly participants of Youssef et al. (2018) also viewed HIV as a disease of the youth and did not encourage testing. These results illustrate that race, sexual activity, migration and age augment HIV stigma that generates differentiated vulnerabilities and strengthens structural disparities in care responses.</w:t>
      </w:r>
    </w:p>
    <w:p w14:paraId="51C39F87" w14:textId="77777777" w:rsidR="006921ED" w:rsidRDefault="00D73B41">
      <w:pPr>
        <w:pStyle w:val="Heading3"/>
        <w:numPr>
          <w:ilvl w:val="2"/>
          <w:numId w:val="3"/>
        </w:numPr>
        <w:spacing w:before="240" w:after="240" w:line="360" w:lineRule="auto"/>
        <w:jc w:val="both"/>
        <w:rPr>
          <w:rFonts w:ascii="Arial" w:eastAsia="Arial" w:hAnsi="Arial" w:cs="Arial"/>
          <w:b/>
          <w:bCs/>
          <w:color w:val="000000"/>
          <w:sz w:val="22"/>
          <w:szCs w:val="22"/>
        </w:rPr>
      </w:pPr>
      <w:bookmarkStart w:id="65" w:name="_heading=h.cumic84bypik" w:colFirst="0" w:colLast="0"/>
      <w:bookmarkEnd w:id="65"/>
      <w:r>
        <w:rPr>
          <w:rFonts w:ascii="Arial" w:eastAsia="Arial" w:hAnsi="Arial" w:cs="Arial"/>
          <w:b/>
          <w:bCs/>
          <w:color w:val="000000"/>
          <w:sz w:val="22"/>
          <w:szCs w:val="22"/>
        </w:rPr>
        <w:t>Theme Two: Inadequate Health Care Services</w:t>
      </w:r>
    </w:p>
    <w:p w14:paraId="51C39F8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theme was identified in seven of the twelve studies included in the review. Across these studies, participants described a range of issues related to inadequate healthcare provision, including practitioners’ lack of HIV knowledge, trust concerns, lack of emotional support, and fragmentation between specialist and primary care services.</w:t>
      </w:r>
    </w:p>
    <w:p w14:paraId="51C39F89"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Limited HIV Knowledge and Trust in Primary Care</w:t>
      </w:r>
    </w:p>
    <w:p w14:paraId="51C39F8A"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One of the similarities in research was the gap between specialist HIV clinics and general practitioner (GP) services. According to Rai et al. (2020), many of the participants shared the idea that GP care was satisfactory in general, but a significant percentage believed that it was </w:t>
      </w:r>
      <w:r>
        <w:rPr>
          <w:rFonts w:ascii="Arial" w:eastAsia="Arial" w:hAnsi="Arial" w:cs="Arial"/>
          <w:sz w:val="22"/>
          <w:szCs w:val="22"/>
        </w:rPr>
        <w:lastRenderedPageBreak/>
        <w:t>not comfortable to talk about HIV-related matters because there was a perceived lack of knowledge. Other respondents talked about scenarios where GPs referred questions about HIV-related issues to specialist clinics, which strengthened the notion of poor primary care competence. Equally, in the study by Keogh et al., some of the participants did not reveal their HIV conditions in GPs, where they are not necessary, due to fear of misconception or lack of confidentiality.</w:t>
      </w:r>
    </w:p>
    <w:p w14:paraId="51C39F8B"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Preference for Specialist Care and Confidentiality Concerns</w:t>
      </w:r>
    </w:p>
    <w:p w14:paraId="51C39F8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Based on the ageing population, Pollard et al. found that a significant number of older adults (under non-HIV conditions) opted to stay under specialist care due to the aspect of trust, familiarity, and perceived expertise (Pollard et al., 2018). One of the participants said that she felt safer in the HIV clinic since staff members knew the entire picture, and GP visits also involved having to repeat explanations of the medication interactions. In line with this, confidentiality issues in documented GP reco</w:t>
      </w:r>
      <w:r>
        <w:rPr>
          <w:rFonts w:ascii="Arial" w:eastAsia="Arial" w:hAnsi="Arial" w:cs="Arial"/>
          <w:sz w:val="22"/>
          <w:szCs w:val="22"/>
        </w:rPr>
        <w:t>rds were often discussed. Conversely, few of the participants indicated a good GP relationship that was marked by coordinated communication and comprehensive consideration of the physical and psychosocial needs.</w:t>
      </w:r>
    </w:p>
    <w:p w14:paraId="51C39F8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These results indicate that the level of trust towards specialist services is high whereas the level of confidence towards primary care is mixed. This gap fosters the continuation of specialty clinics and the erosion of the primary care system aiming to promote the incorporation of chronic disease management into community-based systems.</w:t>
      </w:r>
    </w:p>
    <w:p w14:paraId="51C39F8E"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Limited Access to Psychosocial and Mental Health Support</w:t>
      </w:r>
    </w:p>
    <w:p w14:paraId="51C39F8F"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Fragmentation was eminent especially on referral pathways and access to psychosocial services. According to the Positive Voices 2022 survey, the participants who were affected by healthcare-related stigma were much more likely to state that they had unmet needs in mental health support and chronic condition care (Sewell et al., 2024). In national data, close to 25% of the respondents expressed depression or anxiety symptoms, but most of them reported challenges in accessing timely psychological services (Hu</w:t>
      </w:r>
      <w:r>
        <w:rPr>
          <w:rFonts w:ascii="Arial" w:eastAsia="Arial" w:hAnsi="Arial" w:cs="Arial"/>
          <w:sz w:val="22"/>
          <w:szCs w:val="22"/>
        </w:rPr>
        <w:t>ssain et al., 2013).</w:t>
      </w:r>
    </w:p>
    <w:p w14:paraId="51C39F9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Bruton et al. (2018) explained that respondents who identified themselves as clinically stable but lacking emotional support were identified, with a focus on specialist services that tended to focus much on viral load surveillance rather than holistic wellbeing. Others said they were referred to other mental health services that had long waiting lines and they were not assisted or did not get assistance. Pollard et al. (2018) also found that the ageing population with HIV often received a wide variety of se</w:t>
      </w:r>
      <w:r>
        <w:rPr>
          <w:rFonts w:ascii="Arial" w:eastAsia="Arial" w:hAnsi="Arial" w:cs="Arial"/>
          <w:sz w:val="22"/>
          <w:szCs w:val="22"/>
        </w:rPr>
        <w:t xml:space="preserve">rvices in the comorbidities of cardiovascular disease or diabetes with limited coordination of services among providers. In one of the case scenarios, </w:t>
      </w:r>
      <w:r>
        <w:rPr>
          <w:rFonts w:ascii="Arial" w:eastAsia="Arial" w:hAnsi="Arial" w:cs="Arial"/>
          <w:sz w:val="22"/>
          <w:szCs w:val="22"/>
        </w:rPr>
        <w:lastRenderedPageBreak/>
        <w:t>there was a repetition of appointments in various clinics without inter-service communication between them, which resulted in more confusion and emotional exhaustion. These results suggest that fragmentation is not simply administrative but has real impacts on patient wellbeing especially when the psychosocial needs are regarded as second to biomedical marker</w:t>
      </w:r>
      <w:r>
        <w:rPr>
          <w:rFonts w:ascii="Arial" w:eastAsia="Arial" w:hAnsi="Arial" w:cs="Arial"/>
          <w:sz w:val="22"/>
          <w:szCs w:val="22"/>
        </w:rPr>
        <w:t>s.</w:t>
      </w:r>
    </w:p>
    <w:p w14:paraId="51C39F91"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Patient Burden and Self-Coordination of Care</w:t>
      </w:r>
    </w:p>
    <w:p w14:paraId="51C39F92"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Another result of service fragmentation was that it shifted the responsibility of coordination to the patients themselves. According to Rai et al, there were those who felt the need to inform their GP about HIV medications or possible drug interactions as a means of mediation between specialized and primary care. Likewise, Keogh et al. discovered that the participants tended to track their referrals and follow-ups to ensure that no time was wasted or misunderstanding to avoid. One of the participants report</w:t>
      </w:r>
      <w:r>
        <w:rPr>
          <w:rFonts w:ascii="Arial" w:eastAsia="Arial" w:hAnsi="Arial" w:cs="Arial"/>
          <w:sz w:val="22"/>
          <w:szCs w:val="22"/>
        </w:rPr>
        <w:t>ed making notes in advance of GP visits to make sure that HIV would not be neglected.</w:t>
      </w:r>
    </w:p>
    <w:p w14:paraId="51C39F93"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affective and organisational labour is not just an extension of usual self-management of chronic illness, indicating institutional failures in training and communication (Morgan and Davies, 2025). Instead of indicating patient empowerment per se, the aspect of self-advocacy necessity highlights the lack of structures in the institution, which will demand structural responses. Fragmentation therefore does not only disrupt care continuity but also increases psychosocial strain due to the extra responsibi</w:t>
      </w:r>
      <w:r>
        <w:rPr>
          <w:rFonts w:ascii="Arial" w:eastAsia="Arial" w:hAnsi="Arial" w:cs="Arial"/>
          <w:sz w:val="22"/>
          <w:szCs w:val="22"/>
        </w:rPr>
        <w:t>lity of co-ordination that is imposed on them with a lifelong condition.</w:t>
      </w:r>
    </w:p>
    <w:p w14:paraId="51C39F94" w14:textId="77777777" w:rsidR="006921ED" w:rsidRDefault="00D73B41">
      <w:pPr>
        <w:pStyle w:val="Heading3"/>
        <w:numPr>
          <w:ilvl w:val="2"/>
          <w:numId w:val="3"/>
        </w:numPr>
        <w:spacing w:before="240" w:after="240" w:line="360" w:lineRule="auto"/>
        <w:jc w:val="both"/>
        <w:rPr>
          <w:rFonts w:ascii="Arial" w:eastAsia="Arial" w:hAnsi="Arial" w:cs="Arial"/>
          <w:b/>
          <w:bCs/>
          <w:color w:val="000000"/>
          <w:sz w:val="22"/>
          <w:szCs w:val="22"/>
        </w:rPr>
      </w:pPr>
      <w:bookmarkStart w:id="66" w:name="_heading=h.r19r6nxhsxk1" w:colFirst="0" w:colLast="0"/>
      <w:bookmarkEnd w:id="66"/>
      <w:r>
        <w:rPr>
          <w:rFonts w:ascii="Arial" w:eastAsia="Arial" w:hAnsi="Arial" w:cs="Arial"/>
          <w:b/>
          <w:bCs/>
          <w:color w:val="000000"/>
          <w:sz w:val="22"/>
          <w:szCs w:val="22"/>
        </w:rPr>
        <w:t>Theme Three: Ageing with HIV and Multimorbidity</w:t>
      </w:r>
    </w:p>
    <w:p w14:paraId="51C39F95"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theme was identified in five of the twelve studies included in the review. Across these studies, ageing with HIV was associated with risk misperception, delayed diagnosis, increasing multimorbidity, and growing pressures on healthcare systems to manage complex long-term conditions.</w:t>
      </w:r>
    </w:p>
    <w:p w14:paraId="51C39F96"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Risk Misperception and Age-Related Stigma in HIV Testing</w:t>
      </w:r>
    </w:p>
    <w:p w14:paraId="51C39F97"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risk misperception and stigma of age were highly associated with testing barriers among elderly people. According to Youssef et al. (2018), most of the respondents who were 50 years old and older did not regard themselves as being at risk of having HIV as they tended to think that the virus was limited to the younger generation or those with more active sexual lives. This was further supported by shamefulness when attending sexual health clinics that were viewed </w:t>
      </w:r>
      <w:r>
        <w:rPr>
          <w:rFonts w:ascii="Arial" w:eastAsia="Arial" w:hAnsi="Arial" w:cs="Arial"/>
          <w:sz w:val="22"/>
          <w:szCs w:val="22"/>
        </w:rPr>
        <w:lastRenderedPageBreak/>
        <w:t>as young, dominated areas. The proportion of older adults among the late diagnoses is enormous and leads to the increased morbidity and mortality.</w:t>
      </w:r>
    </w:p>
    <w:p w14:paraId="51C39F98"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Delayed Diagnosis and Age-Related Diagnostic Bias</w:t>
      </w:r>
    </w:p>
    <w:p w14:paraId="51C39F99"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On the same note, Bruton et al. (2018) have indicated that those diagnosed later in life often claimed to be shocked by the diagnosis. One of them, who was diagnosed in his late 50s, reported numerous visits to GPs with complaints of fatigue and unexplainable weight loss after which HIV testing was involved. This lag indicates a risk misperception at the patient level and possible bias on the part of the providers. Older respondents tended to position HIV as something that was not in line with their age ide</w:t>
      </w:r>
      <w:r>
        <w:rPr>
          <w:rFonts w:ascii="Arial" w:eastAsia="Arial" w:hAnsi="Arial" w:cs="Arial"/>
          <w:sz w:val="22"/>
          <w:szCs w:val="22"/>
        </w:rPr>
        <w:t>ntity which led to late help-seeking. Such results indicate that the age stigma exists at an individual and institutional level, causing diagnostic delays and resulting in poor health outcomes and complexity of care at presentation.</w:t>
      </w:r>
    </w:p>
    <w:p w14:paraId="51C39F9A"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Multimorbidity and Complexity of Long-Term HIV Care</w:t>
      </w:r>
    </w:p>
    <w:p w14:paraId="51C39F9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Due to the increasing survival rates multimorbidity has been on the rise among the ageing HIV population. According to Pollard et al., two or more other chronic conditions were more common among older participants who had HIV, cardiovascular disease, hypertension, diabetes, and osteoporosis. The Positive Voices survey also showed that those with comorbidities had a higher likelihood of reporting unmet healthcare needs especially </w:t>
      </w:r>
      <w:proofErr w:type="gramStart"/>
      <w:r>
        <w:rPr>
          <w:rFonts w:ascii="Arial" w:eastAsia="Arial" w:hAnsi="Arial" w:cs="Arial"/>
          <w:sz w:val="22"/>
          <w:szCs w:val="22"/>
        </w:rPr>
        <w:t>in the area of</w:t>
      </w:r>
      <w:proofErr w:type="gramEnd"/>
      <w:r>
        <w:rPr>
          <w:rFonts w:ascii="Arial" w:eastAsia="Arial" w:hAnsi="Arial" w:cs="Arial"/>
          <w:sz w:val="22"/>
          <w:szCs w:val="22"/>
        </w:rPr>
        <w:t xml:space="preserve"> mental health and chronic condition management (Chawla et al., 2024).</w:t>
      </w:r>
    </w:p>
    <w:p w14:paraId="51C39F9C"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Bruton et al. (2018) characterised the clinically stable participants by the presence of persistent fatigue and anxiety concerning ageing and long-term medication intake. Individuals with several prescriptions given by various providers featured in case accounts, and there was a low level of communication between the services. A respondent also reported actively cross-checking the drug interactions between ART and other newly prescribed cardiovascular medication because of the potential contraindications. T</w:t>
      </w:r>
      <w:r>
        <w:rPr>
          <w:rFonts w:ascii="Arial" w:eastAsia="Arial" w:hAnsi="Arial" w:cs="Arial"/>
          <w:sz w:val="22"/>
          <w:szCs w:val="22"/>
        </w:rPr>
        <w:t>hese illustrations underscore the difficulty of dealing with ageing with HIV in fractured systems. Though medically treated, the comorbidity management of HIV presents new levels of paradigms, patient burden, and the risk of clinical oversight.</w:t>
      </w:r>
    </w:p>
    <w:p w14:paraId="51C39F9D"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Preference for Specialist HIV Care in Older Adults</w:t>
      </w:r>
    </w:p>
    <w:p w14:paraId="51C39F9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Confidence in specialist HIV clinics was quite stable among the ageing population. Pollard et al. discovered that a significant proportion of older people wanted to continue HIV care among specialist services instead of shifting the component to primary care due to perceived expertise and perceived confidentiality. Other respondents said that they did not want to engage GPs in </w:t>
      </w:r>
      <w:r>
        <w:rPr>
          <w:rFonts w:ascii="Arial" w:eastAsia="Arial" w:hAnsi="Arial" w:cs="Arial"/>
          <w:sz w:val="22"/>
          <w:szCs w:val="22"/>
        </w:rPr>
        <w:lastRenderedPageBreak/>
        <w:t>HIV-related conversations because of stigma or not knowing enough. On the same note, Rai et al. found that patients tended to feel better comprehended in specialized environments, where psychosocial aspects of HIV were considered alongside clinical monitoring.</w:t>
      </w:r>
    </w:p>
    <w:p w14:paraId="51C39F9F"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Sustainability Challenges and the Need for Integrated Care</w:t>
      </w:r>
    </w:p>
    <w:p w14:paraId="51C39FA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Nonetheless, the continuity of specializations has been preferred at the expense of long-term sustainability. Having more than 50 percent of individuals living with HIV above 50 years old, the specialist-only models can be a strain on services (Davis et al., 2023). The participants in the study of Pollard et al. publicly requested the use of integrated care pathways whereby HIV expertise can be combined with other age-related comorbidities in coordinated systems. The specialist preference is also indicative</w:t>
      </w:r>
      <w:r>
        <w:rPr>
          <w:rFonts w:ascii="Arial" w:eastAsia="Arial" w:hAnsi="Arial" w:cs="Arial"/>
          <w:sz w:val="22"/>
          <w:szCs w:val="22"/>
        </w:rPr>
        <w:t xml:space="preserve"> that mainstream healthcare systems have yet to adjust themselves to the demographic reality of long-term HIV survival. As a result, biomedical outcomes are seen to be </w:t>
      </w:r>
      <w:proofErr w:type="gramStart"/>
      <w:r>
        <w:rPr>
          <w:rFonts w:ascii="Arial" w:eastAsia="Arial" w:hAnsi="Arial" w:cs="Arial"/>
          <w:sz w:val="22"/>
          <w:szCs w:val="22"/>
        </w:rPr>
        <w:t>successful</w:t>
      </w:r>
      <w:proofErr w:type="gramEnd"/>
      <w:r>
        <w:rPr>
          <w:rFonts w:ascii="Arial" w:eastAsia="Arial" w:hAnsi="Arial" w:cs="Arial"/>
          <w:sz w:val="22"/>
          <w:szCs w:val="22"/>
        </w:rPr>
        <w:t xml:space="preserve"> but healthcare delivery models seem to fall short of the emerging demands of an ageing HIV population.</w:t>
      </w:r>
    </w:p>
    <w:p w14:paraId="51C39FA1" w14:textId="77777777" w:rsidR="006921ED" w:rsidRDefault="00D73B41">
      <w:pPr>
        <w:pStyle w:val="Heading3"/>
        <w:numPr>
          <w:ilvl w:val="2"/>
          <w:numId w:val="3"/>
        </w:numPr>
        <w:spacing w:before="240" w:after="240" w:line="360" w:lineRule="auto"/>
        <w:jc w:val="both"/>
        <w:rPr>
          <w:rFonts w:ascii="Arial" w:eastAsia="Arial" w:hAnsi="Arial" w:cs="Arial"/>
          <w:b/>
          <w:bCs/>
          <w:color w:val="000000"/>
          <w:sz w:val="22"/>
          <w:szCs w:val="22"/>
        </w:rPr>
      </w:pPr>
      <w:bookmarkStart w:id="67" w:name="_heading=h.2bs6q4wswjr7" w:colFirst="0" w:colLast="0"/>
      <w:bookmarkEnd w:id="67"/>
      <w:r>
        <w:rPr>
          <w:rFonts w:ascii="Arial" w:eastAsia="Arial" w:hAnsi="Arial" w:cs="Arial"/>
          <w:b/>
          <w:bCs/>
          <w:color w:val="000000"/>
          <w:sz w:val="22"/>
          <w:szCs w:val="22"/>
        </w:rPr>
        <w:t>Theme Four: Cultural and Community Contexts of HIV Care</w:t>
      </w:r>
    </w:p>
    <w:p w14:paraId="51C39FA2"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Cultural and community contexts have also played a key role in influencing the way people living with HIV would interact with health and social care services (Safa et al., 2022). This theme was identified in six of the twelve studies included in the review including religious beliefs, migration histories, gender expectations, and community narratives had an impact on experiences of stigma, treatment uptake, and disclosure. These social-cultural forces acted in tandem with the biomedical realities and it pro</w:t>
      </w:r>
      <w:r>
        <w:rPr>
          <w:rFonts w:ascii="Arial" w:eastAsia="Arial" w:hAnsi="Arial" w:cs="Arial"/>
          <w:sz w:val="22"/>
          <w:szCs w:val="22"/>
        </w:rPr>
        <w:t>ved that HIV care engagement could not be perceived in the terms of clinical indicators only but had to be interpreted in the frames of broader social and cultural context.</w:t>
      </w:r>
    </w:p>
    <w:p w14:paraId="51C39FA3"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Cultural and Religious Beliefs Shaping HIV Treatment Decisions</w:t>
      </w:r>
    </w:p>
    <w:p w14:paraId="51C39FA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It was discovered that cultural and religious beliefs had impacts on the perception of HIV and the choice to take antiretroviral therapy (ART). In their qualitative research of 52 Black African and Caribbean participants in the UK, Glendinning et al. found that others thought that it made no sense to start ART immediately when they were asymptomatic the prompt often being the onset of visible illness as the tipping point to start treatment (Glendinning et al., 2019). There were also concerns about the side </w:t>
      </w:r>
      <w:r>
        <w:rPr>
          <w:rFonts w:ascii="Arial" w:eastAsia="Arial" w:hAnsi="Arial" w:cs="Arial"/>
          <w:sz w:val="22"/>
          <w:szCs w:val="22"/>
        </w:rPr>
        <w:t xml:space="preserve">effects in the long-term, infertility as well as the healing of the spirit. A single respondent explained how they put off ART due to feeling healthy and the fear of being perceived as a judgemental individual </w:t>
      </w:r>
      <w:proofErr w:type="gramStart"/>
      <w:r>
        <w:rPr>
          <w:rFonts w:ascii="Arial" w:eastAsia="Arial" w:hAnsi="Arial" w:cs="Arial"/>
          <w:sz w:val="22"/>
          <w:szCs w:val="22"/>
        </w:rPr>
        <w:t>in the event that</w:t>
      </w:r>
      <w:proofErr w:type="gramEnd"/>
      <w:r>
        <w:rPr>
          <w:rFonts w:ascii="Arial" w:eastAsia="Arial" w:hAnsi="Arial" w:cs="Arial"/>
          <w:sz w:val="22"/>
          <w:szCs w:val="22"/>
        </w:rPr>
        <w:t xml:space="preserve"> relatives would find out about the medication.</w:t>
      </w:r>
    </w:p>
    <w:p w14:paraId="51C39FA5"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lastRenderedPageBreak/>
        <w:t>Community Stigma and Social Narratives Around HIV</w:t>
      </w:r>
    </w:p>
    <w:p w14:paraId="51C39FA6"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On the same note, Jones et al. (2025) discovered that African and Caribbean women in England linked HIV to moral judgement in small communities, decreasing their use of testing and preventive services. The respondents said that they feared gossip and social ostracism, which affected health care-seeking behaviour. This has been of considerable importance since African and Caribbean communities are disproportionately infected by HIV in the UK. Statistics on the country reveal that Black Africans still constit</w:t>
      </w:r>
      <w:r>
        <w:rPr>
          <w:rFonts w:ascii="Arial" w:eastAsia="Arial" w:hAnsi="Arial" w:cs="Arial"/>
          <w:sz w:val="22"/>
          <w:szCs w:val="22"/>
        </w:rPr>
        <w:t>ute a significant share of heterosexual HIV infections (</w:t>
      </w:r>
      <w:proofErr w:type="spellStart"/>
      <w:r>
        <w:rPr>
          <w:rFonts w:ascii="Arial" w:eastAsia="Arial" w:hAnsi="Arial" w:cs="Arial"/>
          <w:sz w:val="22"/>
          <w:szCs w:val="22"/>
        </w:rPr>
        <w:t>Aidsmap</w:t>
      </w:r>
      <w:proofErr w:type="spellEnd"/>
      <w:r>
        <w:rPr>
          <w:rFonts w:ascii="Arial" w:eastAsia="Arial" w:hAnsi="Arial" w:cs="Arial"/>
          <w:sz w:val="22"/>
          <w:szCs w:val="22"/>
        </w:rPr>
        <w:t>, 2019). Cultural stories thus come face to face with the area of public health interaction, as it affects the initiation of treatment and its continuation.</w:t>
      </w:r>
    </w:p>
    <w:p w14:paraId="51C39FA7"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Gender, Migration Status and Intersectional Stigma</w:t>
      </w:r>
    </w:p>
    <w:p w14:paraId="51C39FA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HIV care was also influenced by gender and migration status. In their qualitative research on African immigrant women in the UK, Ndirangu and Evans (2008) discovered that the participants were subjected to compounded stigma, based on gender role, religion and insecurity about immigration. Women reported the fear of being rejected by the community and the worry over the residential status, which increased secrecy and emotional distress.</w:t>
      </w:r>
    </w:p>
    <w:p w14:paraId="51C39FA9"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In their study of 36 pregnant or postpartum women with HIV in the UK, </w:t>
      </w:r>
      <w:proofErr w:type="spellStart"/>
      <w:r>
        <w:rPr>
          <w:rFonts w:ascii="Arial" w:eastAsia="Arial" w:hAnsi="Arial" w:cs="Arial"/>
          <w:sz w:val="22"/>
          <w:szCs w:val="22"/>
        </w:rPr>
        <w:t>Kasadha</w:t>
      </w:r>
      <w:proofErr w:type="spellEnd"/>
      <w:r>
        <w:rPr>
          <w:rFonts w:ascii="Arial" w:eastAsia="Arial" w:hAnsi="Arial" w:cs="Arial"/>
          <w:sz w:val="22"/>
          <w:szCs w:val="22"/>
        </w:rPr>
        <w:t xml:space="preserve"> et al. (2024) pointed out the tensions where the issue of infant-feeding choices is concerned. Although clinical advice was focused on lowering the risk, the participants spoke of a balance between the medical recommendations and the cultural norms of breastfeeding, which is a sign of maternal competence. Certain women said that they would find emotional support within non-clinical environments since they believed that they were not getting culturally sensitive communication. HIV care participation </w:t>
      </w:r>
      <w:r>
        <w:rPr>
          <w:rFonts w:ascii="Arial" w:eastAsia="Arial" w:hAnsi="Arial" w:cs="Arial"/>
          <w:sz w:val="22"/>
          <w:szCs w:val="22"/>
        </w:rPr>
        <w:t>amongst migrant and women population is internalized in gendered and socio-legal conditions that enta</w:t>
      </w:r>
      <w:r>
        <w:rPr>
          <w:sz w:val="22"/>
          <w:szCs w:val="22"/>
        </w:rPr>
        <w:t xml:space="preserve">il the provision of culturally sensitive support </w:t>
      </w:r>
      <w:r>
        <w:rPr>
          <w:rFonts w:ascii="Arial" w:eastAsia="Arial" w:hAnsi="Arial" w:cs="Arial"/>
          <w:sz w:val="22"/>
          <w:szCs w:val="22"/>
        </w:rPr>
        <w:t>frameworks (Cruz et al., 2022).</w:t>
      </w:r>
    </w:p>
    <w:p w14:paraId="51C39FAA"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b/>
          <w:bCs/>
          <w:sz w:val="22"/>
          <w:szCs w:val="22"/>
        </w:rPr>
        <w:t>Community-Level Stigma and Its Impact on Disclosure and Service Use</w:t>
      </w:r>
    </w:p>
    <w:p w14:paraId="51C39FA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attitude of the community was found to be a strong factor of service use. Jones et al. were able to single out the fear of social exclusion among ethnic communities as the hindrance to HIV testing and open disclosure. On the same note, Hedge et al. have indicated that </w:t>
      </w:r>
      <w:proofErr w:type="gramStart"/>
      <w:r>
        <w:rPr>
          <w:rFonts w:ascii="Arial" w:eastAsia="Arial" w:hAnsi="Arial" w:cs="Arial"/>
          <w:sz w:val="22"/>
          <w:szCs w:val="22"/>
        </w:rPr>
        <w:t>in spite of the fact that</w:t>
      </w:r>
      <w:proofErr w:type="gramEnd"/>
      <w:r>
        <w:rPr>
          <w:rFonts w:ascii="Arial" w:eastAsia="Arial" w:hAnsi="Arial" w:cs="Arial"/>
          <w:sz w:val="22"/>
          <w:szCs w:val="22"/>
        </w:rPr>
        <w:t xml:space="preserve"> the overt discrimination has declined in the country, internalised and anticipatory stigma </w:t>
      </w:r>
      <w:proofErr w:type="gramStart"/>
      <w:r>
        <w:rPr>
          <w:rFonts w:ascii="Arial" w:eastAsia="Arial" w:hAnsi="Arial" w:cs="Arial"/>
          <w:sz w:val="22"/>
          <w:szCs w:val="22"/>
        </w:rPr>
        <w:t>still persists</w:t>
      </w:r>
      <w:proofErr w:type="gramEnd"/>
      <w:r>
        <w:rPr>
          <w:rFonts w:ascii="Arial" w:eastAsia="Arial" w:hAnsi="Arial" w:cs="Arial"/>
          <w:sz w:val="22"/>
          <w:szCs w:val="22"/>
        </w:rPr>
        <w:t xml:space="preserve"> especially among the socially marginalised groups. The issue of community-level stigma is still a determinant of disclosure and healthcare utilisation. Thus, to advance the outcomes of HIV, clinical excellence must be accompanied by the community-based intervention to deal with the ongoing social discourses of the HIV narratives.</w:t>
      </w:r>
    </w:p>
    <w:p w14:paraId="51C39FAC" w14:textId="77777777" w:rsidR="006921ED" w:rsidRDefault="00D73B41">
      <w:pPr>
        <w:pStyle w:val="Heading2"/>
        <w:numPr>
          <w:ilvl w:val="1"/>
          <w:numId w:val="3"/>
        </w:numPr>
        <w:spacing w:before="240" w:after="240" w:line="360" w:lineRule="auto"/>
        <w:jc w:val="both"/>
        <w:rPr>
          <w:rFonts w:ascii="Arial" w:eastAsia="Arial" w:hAnsi="Arial" w:cs="Arial"/>
          <w:b/>
          <w:bCs/>
          <w:sz w:val="22"/>
          <w:szCs w:val="22"/>
        </w:rPr>
      </w:pPr>
      <w:bookmarkStart w:id="68" w:name="_heading=h.le3s4gp2f26o" w:colFirst="0" w:colLast="0"/>
      <w:bookmarkEnd w:id="68"/>
      <w:r>
        <w:rPr>
          <w:rFonts w:ascii="Arial" w:eastAsia="Arial" w:hAnsi="Arial" w:cs="Arial"/>
          <w:b/>
          <w:bCs/>
          <w:sz w:val="22"/>
          <w:szCs w:val="22"/>
        </w:rPr>
        <w:lastRenderedPageBreak/>
        <w:t>Cross-Theme Synthesis</w:t>
      </w:r>
    </w:p>
    <w:p w14:paraId="51C39FA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In the four themes, one trend is evident as biomedical success has failed to remove the social, structural, and psychological complications of affected lives with HIV in the UK. Fragmentation of care is supported by stigma, and it affects disclosure practices as well as interacts with ageing, race, gender, and migration status to generate differentiated vulnerabilities. Although specialist service has high clinical performance, it is not well integrated with primary care, mental health, and community system</w:t>
      </w:r>
      <w:r>
        <w:rPr>
          <w:rFonts w:ascii="Arial" w:eastAsia="Arial" w:hAnsi="Arial" w:cs="Arial"/>
          <w:sz w:val="22"/>
          <w:szCs w:val="22"/>
        </w:rPr>
        <w:t>s. Multimorbid ageing populations also present more points of coordination gaps, and cultural discourse is still a significant determining factor in terms of treatment engagement and testing behaviour. Combined, these interrelated results demonstrate that not only medical care but also the overall socio-cultural/institutional circumstances influence the experience of HIV care.</w:t>
      </w:r>
    </w:p>
    <w:p w14:paraId="51C39FAE" w14:textId="77777777" w:rsidR="006921ED" w:rsidRDefault="00D73B41">
      <w:pPr>
        <w:pStyle w:val="Heading2"/>
        <w:numPr>
          <w:ilvl w:val="1"/>
          <w:numId w:val="3"/>
        </w:numPr>
        <w:spacing w:before="240" w:after="240" w:line="360" w:lineRule="auto"/>
        <w:jc w:val="both"/>
        <w:rPr>
          <w:rFonts w:ascii="Arial" w:eastAsia="Arial" w:hAnsi="Arial" w:cs="Arial"/>
          <w:b/>
          <w:bCs/>
          <w:sz w:val="22"/>
          <w:szCs w:val="22"/>
        </w:rPr>
      </w:pPr>
      <w:bookmarkStart w:id="69" w:name="_heading=h.wpfbydb0jlys" w:colFirst="0" w:colLast="0"/>
      <w:bookmarkEnd w:id="69"/>
      <w:r>
        <w:rPr>
          <w:rFonts w:ascii="Arial" w:eastAsia="Arial" w:hAnsi="Arial" w:cs="Arial"/>
          <w:b/>
          <w:bCs/>
          <w:sz w:val="22"/>
          <w:szCs w:val="22"/>
        </w:rPr>
        <w:t>Chapter Summary</w:t>
      </w:r>
    </w:p>
    <w:p w14:paraId="51C39FAF"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This was the chapter that proposed the thematic synthesis of the twelve studies incorporated in the chapter, in which four themes intersect as a phenomenon of shaping the health and social care experiences of people living with HIV in the UK. Patterns associated with stigma, service fragmentation, ageing, and multimorbidity, and cultural contexts were therefore systematically analysed and understood </w:t>
      </w:r>
      <w:proofErr w:type="gramStart"/>
      <w:r>
        <w:rPr>
          <w:rFonts w:ascii="Arial" w:eastAsia="Arial" w:hAnsi="Arial" w:cs="Arial"/>
          <w:sz w:val="22"/>
          <w:szCs w:val="22"/>
        </w:rPr>
        <w:t>through the use of</w:t>
      </w:r>
      <w:proofErr w:type="gramEnd"/>
      <w:r>
        <w:rPr>
          <w:rFonts w:ascii="Arial" w:eastAsia="Arial" w:hAnsi="Arial" w:cs="Arial"/>
          <w:sz w:val="22"/>
          <w:szCs w:val="22"/>
        </w:rPr>
        <w:t xml:space="preserve"> the thematic analysis framework by Braun and Clarke. The results show that even with good biomedical results, there are still considerable psychosocial and structural issues. The chapter thus gives a thorough evidence-based basis of the critical discussion that will follow.</w:t>
      </w:r>
    </w:p>
    <w:p w14:paraId="51C39FB0" w14:textId="77777777" w:rsidR="006921ED" w:rsidRDefault="006921ED">
      <w:pPr>
        <w:spacing w:before="240" w:after="240" w:line="360" w:lineRule="auto"/>
        <w:jc w:val="both"/>
        <w:rPr>
          <w:rFonts w:ascii="Arial" w:eastAsia="Arial" w:hAnsi="Arial" w:cs="Arial"/>
          <w:sz w:val="22"/>
          <w:szCs w:val="22"/>
        </w:rPr>
      </w:pPr>
    </w:p>
    <w:p w14:paraId="51C39FB1" w14:textId="77777777" w:rsidR="006921ED" w:rsidRDefault="006921ED">
      <w:pPr>
        <w:spacing w:before="240" w:after="240" w:line="360" w:lineRule="auto"/>
        <w:jc w:val="both"/>
        <w:rPr>
          <w:rFonts w:ascii="Arial" w:eastAsia="Arial" w:hAnsi="Arial" w:cs="Arial"/>
          <w:sz w:val="22"/>
          <w:szCs w:val="22"/>
        </w:rPr>
      </w:pPr>
    </w:p>
    <w:p w14:paraId="51C39FB2" w14:textId="77777777" w:rsidR="006921ED" w:rsidRDefault="006921ED">
      <w:pPr>
        <w:spacing w:before="240" w:after="240" w:line="360" w:lineRule="auto"/>
        <w:jc w:val="both"/>
        <w:rPr>
          <w:rFonts w:ascii="Arial" w:eastAsia="Arial" w:hAnsi="Arial" w:cs="Arial"/>
          <w:sz w:val="22"/>
          <w:szCs w:val="22"/>
        </w:rPr>
      </w:pPr>
    </w:p>
    <w:p w14:paraId="51C39FB3" w14:textId="77777777" w:rsidR="006921ED" w:rsidRDefault="006921ED">
      <w:pPr>
        <w:spacing w:before="240" w:after="240" w:line="360" w:lineRule="auto"/>
        <w:jc w:val="both"/>
        <w:rPr>
          <w:rFonts w:ascii="Arial" w:eastAsia="Arial" w:hAnsi="Arial" w:cs="Arial"/>
          <w:sz w:val="22"/>
          <w:szCs w:val="22"/>
        </w:rPr>
      </w:pPr>
    </w:p>
    <w:p w14:paraId="51C39FB4" w14:textId="154C38F6" w:rsidR="00A93FD7" w:rsidRDefault="00A93FD7">
      <w:pPr>
        <w:rPr>
          <w:rFonts w:ascii="Arial" w:eastAsia="Arial" w:hAnsi="Arial" w:cs="Arial"/>
          <w:sz w:val="22"/>
          <w:szCs w:val="22"/>
        </w:rPr>
      </w:pPr>
      <w:r>
        <w:rPr>
          <w:rFonts w:ascii="Arial" w:eastAsia="Arial" w:hAnsi="Arial" w:cs="Arial"/>
          <w:sz w:val="22"/>
          <w:szCs w:val="22"/>
        </w:rPr>
        <w:br w:type="page"/>
      </w:r>
    </w:p>
    <w:p w14:paraId="51C39FB5" w14:textId="77777777" w:rsidR="006921ED" w:rsidRDefault="00D73B41">
      <w:pPr>
        <w:pStyle w:val="Heading1"/>
        <w:numPr>
          <w:ilvl w:val="0"/>
          <w:numId w:val="7"/>
        </w:numPr>
        <w:spacing w:before="240" w:after="240" w:line="360" w:lineRule="auto"/>
        <w:jc w:val="center"/>
        <w:rPr>
          <w:rFonts w:ascii="Arial" w:eastAsia="Arial" w:hAnsi="Arial" w:cs="Arial"/>
          <w:b/>
          <w:bCs/>
          <w:color w:val="000000"/>
          <w:sz w:val="22"/>
          <w:szCs w:val="22"/>
        </w:rPr>
      </w:pPr>
      <w:bookmarkStart w:id="70" w:name="_heading=h.o2kauy848udt" w:colFirst="0" w:colLast="0"/>
      <w:bookmarkEnd w:id="70"/>
      <w:r>
        <w:rPr>
          <w:rFonts w:ascii="Arial" w:eastAsia="Arial" w:hAnsi="Arial" w:cs="Arial"/>
          <w:b/>
          <w:bCs/>
          <w:color w:val="000000"/>
          <w:sz w:val="22"/>
          <w:szCs w:val="22"/>
        </w:rPr>
        <w:lastRenderedPageBreak/>
        <w:t>Chapter 6: Discussion</w:t>
      </w:r>
    </w:p>
    <w:p w14:paraId="51C39FB6" w14:textId="77777777" w:rsidR="006921ED" w:rsidRDefault="00D73B41">
      <w:pPr>
        <w:pStyle w:val="Heading2"/>
        <w:numPr>
          <w:ilvl w:val="1"/>
          <w:numId w:val="7"/>
        </w:numPr>
        <w:spacing w:before="240" w:after="240" w:line="360" w:lineRule="auto"/>
        <w:jc w:val="both"/>
        <w:rPr>
          <w:rFonts w:ascii="Arial" w:eastAsia="Arial" w:hAnsi="Arial" w:cs="Arial"/>
          <w:b/>
          <w:bCs/>
          <w:sz w:val="22"/>
          <w:szCs w:val="22"/>
        </w:rPr>
      </w:pPr>
      <w:bookmarkStart w:id="71" w:name="_heading=h.yjzzn4rs2sjc" w:colFirst="0" w:colLast="0"/>
      <w:bookmarkEnd w:id="71"/>
      <w:r>
        <w:rPr>
          <w:rFonts w:ascii="Arial" w:eastAsia="Arial" w:hAnsi="Arial" w:cs="Arial"/>
          <w:b/>
          <w:bCs/>
          <w:sz w:val="22"/>
          <w:szCs w:val="22"/>
        </w:rPr>
        <w:t>Introduction to Chapter</w:t>
      </w:r>
    </w:p>
    <w:p w14:paraId="51C39FB7"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chapter elaborates on the major findings of the review and the research question and objectives, how the identified themes indicate the health and social care experiences of individuals living with HIV in the UK. The four broad themes are compared and critically analysed in terms of the available literature, theoretical aspects, and solid practices in HIV care. The discussion examines similarities, new findings and policy and service delivery implications. The strengths and limitations of the systematic</w:t>
      </w:r>
      <w:r>
        <w:rPr>
          <w:rFonts w:ascii="Arial" w:eastAsia="Arial" w:hAnsi="Arial" w:cs="Arial"/>
          <w:sz w:val="22"/>
          <w:szCs w:val="22"/>
        </w:rPr>
        <w:t xml:space="preserve"> review method are also reflected and a concluding summary given in the chapter.</w:t>
      </w:r>
    </w:p>
    <w:p w14:paraId="51C39FB8" w14:textId="77777777" w:rsidR="006921ED" w:rsidRDefault="00D73B41">
      <w:pPr>
        <w:pStyle w:val="Heading2"/>
        <w:numPr>
          <w:ilvl w:val="1"/>
          <w:numId w:val="7"/>
        </w:numPr>
        <w:spacing w:before="240" w:after="240" w:line="360" w:lineRule="auto"/>
        <w:jc w:val="both"/>
        <w:rPr>
          <w:rFonts w:ascii="Arial" w:eastAsia="Arial" w:hAnsi="Arial" w:cs="Arial"/>
          <w:b/>
          <w:bCs/>
          <w:color w:val="000000"/>
          <w:sz w:val="22"/>
          <w:szCs w:val="22"/>
        </w:rPr>
      </w:pPr>
      <w:bookmarkStart w:id="72" w:name="_heading=h.tsn8g9lnj3i1" w:colFirst="0" w:colLast="0"/>
      <w:bookmarkEnd w:id="72"/>
      <w:r>
        <w:rPr>
          <w:rFonts w:ascii="Arial" w:eastAsia="Arial" w:hAnsi="Arial" w:cs="Arial"/>
          <w:b/>
          <w:bCs/>
          <w:color w:val="000000"/>
          <w:sz w:val="22"/>
          <w:szCs w:val="22"/>
        </w:rPr>
        <w:t>Discussion of Key findings</w:t>
      </w:r>
    </w:p>
    <w:p w14:paraId="51C39FB9" w14:textId="77777777" w:rsidR="006921ED" w:rsidRDefault="00D73B41">
      <w:pPr>
        <w:pStyle w:val="Heading3"/>
        <w:numPr>
          <w:ilvl w:val="2"/>
          <w:numId w:val="7"/>
        </w:numPr>
        <w:spacing w:before="240" w:after="240" w:line="360" w:lineRule="auto"/>
        <w:jc w:val="both"/>
        <w:rPr>
          <w:rFonts w:ascii="Arial" w:eastAsia="Arial" w:hAnsi="Arial" w:cs="Arial"/>
          <w:b/>
          <w:bCs/>
          <w:color w:val="000000"/>
          <w:sz w:val="22"/>
          <w:szCs w:val="22"/>
        </w:rPr>
      </w:pPr>
      <w:bookmarkStart w:id="73" w:name="_heading=h.6nkgldatlfub" w:colFirst="0" w:colLast="0"/>
      <w:bookmarkEnd w:id="73"/>
      <w:r>
        <w:rPr>
          <w:rFonts w:ascii="Arial" w:eastAsia="Arial" w:hAnsi="Arial" w:cs="Arial"/>
          <w:b/>
          <w:bCs/>
          <w:color w:val="000000"/>
          <w:sz w:val="22"/>
          <w:szCs w:val="22"/>
        </w:rPr>
        <w:t>Stigma as a Persistent Structural Barrier</w:t>
      </w:r>
    </w:p>
    <w:p w14:paraId="51C39FBA" w14:textId="52E5D33C"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The results of this review are highly consistent with the literature on HIV stigma, which proves that stigma continues to be a key structural factor in unfair access to health and social care. The conceptualisation of stigma as a spoiled identity introduced by Goffman in 1963 has not lost its relevance because respondents in the literature of various studies identified HIV as a discrediting social attribute that redefined </w:t>
      </w:r>
      <w:r w:rsidR="006F567A">
        <w:rPr>
          <w:rFonts w:ascii="Arial" w:eastAsia="Arial" w:hAnsi="Arial" w:cs="Arial"/>
          <w:sz w:val="22"/>
          <w:szCs w:val="22"/>
        </w:rPr>
        <w:t>self-perceptions</w:t>
      </w:r>
      <w:r>
        <w:rPr>
          <w:rFonts w:ascii="Arial" w:eastAsia="Arial" w:hAnsi="Arial" w:cs="Arial"/>
          <w:sz w:val="22"/>
          <w:szCs w:val="22"/>
        </w:rPr>
        <w:t xml:space="preserve"> and social relationship (</w:t>
      </w:r>
      <w:proofErr w:type="spellStart"/>
      <w:r>
        <w:rPr>
          <w:rFonts w:ascii="Arial" w:eastAsia="Arial" w:hAnsi="Arial" w:cs="Arial"/>
          <w:sz w:val="22"/>
          <w:szCs w:val="22"/>
        </w:rPr>
        <w:t>Judgeo</w:t>
      </w:r>
      <w:proofErr w:type="spellEnd"/>
      <w:r>
        <w:rPr>
          <w:rFonts w:ascii="Arial" w:eastAsia="Arial" w:hAnsi="Arial" w:cs="Arial"/>
          <w:sz w:val="22"/>
          <w:szCs w:val="22"/>
        </w:rPr>
        <w:t xml:space="preserve"> and </w:t>
      </w:r>
      <w:proofErr w:type="spellStart"/>
      <w:r>
        <w:rPr>
          <w:rFonts w:ascii="Arial" w:eastAsia="Arial" w:hAnsi="Arial" w:cs="Arial"/>
          <w:sz w:val="22"/>
          <w:szCs w:val="22"/>
        </w:rPr>
        <w:t>Moalusi</w:t>
      </w:r>
      <w:proofErr w:type="spellEnd"/>
      <w:r>
        <w:rPr>
          <w:rFonts w:ascii="Arial" w:eastAsia="Arial" w:hAnsi="Arial" w:cs="Arial"/>
          <w:sz w:val="22"/>
          <w:szCs w:val="22"/>
        </w:rPr>
        <w:t xml:space="preserve">, 2014). The Positive Voices 2022 survey published nationally stated that 45.1% of individuals living with HIV were ashamed of their diagnosis and 32.1% had low self-esteem with more than 10 percent of them revealing their status with only medical professionals (EATG, 2022). These statistics support the review conclusion that stigma exists at both internal and interpersonal levels even though more than 107,000 people are already under HIV </w:t>
      </w:r>
      <w:r w:rsidR="006F567A">
        <w:rPr>
          <w:rFonts w:ascii="Arial" w:eastAsia="Arial" w:hAnsi="Arial" w:cs="Arial"/>
          <w:sz w:val="22"/>
          <w:szCs w:val="22"/>
        </w:rPr>
        <w:t>care,</w:t>
      </w:r>
      <w:r>
        <w:rPr>
          <w:rFonts w:ascii="Arial" w:eastAsia="Arial" w:hAnsi="Arial" w:cs="Arial"/>
          <w:sz w:val="22"/>
          <w:szCs w:val="22"/>
        </w:rPr>
        <w:t xml:space="preserve"> and ART has become a widespread phenomenon (Dessie and </w:t>
      </w:r>
      <w:proofErr w:type="spellStart"/>
      <w:r>
        <w:rPr>
          <w:rFonts w:ascii="Arial" w:eastAsia="Arial" w:hAnsi="Arial" w:cs="Arial"/>
          <w:sz w:val="22"/>
          <w:szCs w:val="22"/>
        </w:rPr>
        <w:t>Zewotir</w:t>
      </w:r>
      <w:proofErr w:type="spellEnd"/>
      <w:r>
        <w:rPr>
          <w:rFonts w:ascii="Arial" w:eastAsia="Arial" w:hAnsi="Arial" w:cs="Arial"/>
          <w:sz w:val="22"/>
          <w:szCs w:val="22"/>
        </w:rPr>
        <w:t>, 2024). The minority stress theory also reveals the relevance of continuous exposure to the expectation of discrimination as the source of psychological stress. These results directly relate to the research problem of studying psychosocial experiences of HIV care and indicate that stigma remains relevant to engagement in even biomedical outcomes areas.</w:t>
      </w:r>
    </w:p>
    <w:p w14:paraId="51C39FBB"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Most importantly, the evidence indicates that the stigma has not been eliminated, it has transformed. </w:t>
      </w:r>
      <w:proofErr w:type="gramStart"/>
      <w:r>
        <w:rPr>
          <w:rFonts w:ascii="Arial" w:eastAsia="Arial" w:hAnsi="Arial" w:cs="Arial"/>
          <w:sz w:val="22"/>
          <w:szCs w:val="22"/>
        </w:rPr>
        <w:t>It is clear that overt</w:t>
      </w:r>
      <w:proofErr w:type="gramEnd"/>
      <w:r>
        <w:rPr>
          <w:rFonts w:ascii="Arial" w:eastAsia="Arial" w:hAnsi="Arial" w:cs="Arial"/>
          <w:sz w:val="22"/>
          <w:szCs w:val="22"/>
        </w:rPr>
        <w:t xml:space="preserve"> discrimination happens less frequently than in the previous stages of the epidemic, but the subtle types of structural and anticipatory stigma remain present in healthcare relationships. This is in line with European literature which shows that the stigma has not been manifested in the concept of visible rejection but more subtle forms of social distancing and self-control (Tan et al., 2020). The internalised stigma can now be a more complicated issue than the enacted stigma since it </w:t>
      </w:r>
      <w:r>
        <w:rPr>
          <w:rFonts w:ascii="Arial" w:eastAsia="Arial" w:hAnsi="Arial" w:cs="Arial"/>
          <w:sz w:val="22"/>
          <w:szCs w:val="22"/>
        </w:rPr>
        <w:t xml:space="preserve">does not involve clear discriminatory </w:t>
      </w:r>
      <w:r>
        <w:rPr>
          <w:rFonts w:ascii="Arial" w:eastAsia="Arial" w:hAnsi="Arial" w:cs="Arial"/>
          <w:sz w:val="22"/>
          <w:szCs w:val="22"/>
        </w:rPr>
        <w:lastRenderedPageBreak/>
        <w:t>incidents. Biomedical advancements have not thus been equal to an entirely normalised society. There are also anti-stigma policies in the UK HIV strategies and even though the shame remains and disclosure anxiety persists, it is possible that policy interventions are inadequately integrated at the community and institutional levels (</w:t>
      </w:r>
      <w:proofErr w:type="spellStart"/>
      <w:r>
        <w:rPr>
          <w:rFonts w:ascii="Arial" w:eastAsia="Arial" w:hAnsi="Arial" w:cs="Arial"/>
          <w:sz w:val="22"/>
          <w:szCs w:val="22"/>
        </w:rPr>
        <w:t>Mulubale</w:t>
      </w:r>
      <w:proofErr w:type="spellEnd"/>
      <w:r>
        <w:rPr>
          <w:rFonts w:ascii="Arial" w:eastAsia="Arial" w:hAnsi="Arial" w:cs="Arial"/>
          <w:sz w:val="22"/>
          <w:szCs w:val="22"/>
        </w:rPr>
        <w:t xml:space="preserve"> et al., 2022). The research question needed to know about the health and social care experiences, indicating that the idea of stig</w:t>
      </w:r>
      <w:r>
        <w:rPr>
          <w:rFonts w:ascii="Arial" w:eastAsia="Arial" w:hAnsi="Arial" w:cs="Arial"/>
          <w:sz w:val="22"/>
          <w:szCs w:val="22"/>
        </w:rPr>
        <w:t>ma is indispensable to the experiences, there is a gap between the policy aspiration and the lived reality.</w:t>
      </w:r>
    </w:p>
    <w:p w14:paraId="51C39FBC" w14:textId="77777777" w:rsidR="006921ED" w:rsidRDefault="00D73B41">
      <w:pPr>
        <w:pStyle w:val="Heading3"/>
        <w:numPr>
          <w:ilvl w:val="2"/>
          <w:numId w:val="7"/>
        </w:numPr>
        <w:spacing w:before="240" w:after="240" w:line="360" w:lineRule="auto"/>
        <w:jc w:val="both"/>
        <w:rPr>
          <w:rFonts w:ascii="Arial" w:eastAsia="Arial" w:hAnsi="Arial" w:cs="Arial"/>
          <w:b/>
          <w:bCs/>
          <w:color w:val="000000"/>
          <w:sz w:val="22"/>
          <w:szCs w:val="22"/>
        </w:rPr>
      </w:pPr>
      <w:bookmarkStart w:id="74" w:name="_heading=h.nar3whigbhc5" w:colFirst="0" w:colLast="0"/>
      <w:bookmarkEnd w:id="74"/>
      <w:r>
        <w:rPr>
          <w:rFonts w:ascii="Arial" w:eastAsia="Arial" w:hAnsi="Arial" w:cs="Arial"/>
          <w:b/>
          <w:bCs/>
          <w:color w:val="000000"/>
          <w:sz w:val="22"/>
          <w:szCs w:val="22"/>
        </w:rPr>
        <w:t>Fragmentation of Care and Chronic Disease Management</w:t>
      </w:r>
    </w:p>
    <w:p w14:paraId="51C39FBD"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results of the review in terms of fragmented service delivery can be related to the literature on chronic disease integration. The WHO Chronic Care Model focuses on integrated, patient-centred networks between primary, specialist and community services (WHO, 2025). Nonetheless, respondents involved in various studies also said that they used specialist HIV clinics as they felt that GPs did not know enough and they lacked confidentiality. Multimorbidity is becoming common with more than half of individua</w:t>
      </w:r>
      <w:r>
        <w:rPr>
          <w:rFonts w:ascii="Arial" w:eastAsia="Arial" w:hAnsi="Arial" w:cs="Arial"/>
          <w:sz w:val="22"/>
          <w:szCs w:val="22"/>
        </w:rPr>
        <w:t>ls living with HIV in UK aged 50 years and above, however there is still a lack of coordination between the HIV clinics and general practice (Sukumaran and Sabin, 2023). Other chronic diseases like diabetes and cardiovascular disease have also been reported to have similar challenges in which hospitalisation is reduced and better outcomes achieved through integrated pathways (Valentijn et al., 2024). The continued specialist preference of ageing populations with HIV is an indication that HIV might not be ad</w:t>
      </w:r>
      <w:r>
        <w:rPr>
          <w:rFonts w:ascii="Arial" w:eastAsia="Arial" w:hAnsi="Arial" w:cs="Arial"/>
          <w:sz w:val="22"/>
          <w:szCs w:val="22"/>
        </w:rPr>
        <w:t>equately incorporated into chronic disease models because it is still perceived as an exceptional state.</w:t>
      </w:r>
    </w:p>
    <w:p w14:paraId="51C39FB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Importantly, the dependence of specialists can be counterproductive to fragmentation. As much as specialist clinics are high in clinical performance, overreliance of such services may restrict mainstream healthcare capacity-building. According to participants, training GPs on ART interactions was described as an effective way of bridging gaps in training. This is a sign of structural failure and not patient resilience. The research purpose was to find gaps in the services; the result is a clear depiction of</w:t>
      </w:r>
      <w:r>
        <w:rPr>
          <w:rFonts w:ascii="Arial" w:eastAsia="Arial" w:hAnsi="Arial" w:cs="Arial"/>
          <w:sz w:val="22"/>
          <w:szCs w:val="22"/>
        </w:rPr>
        <w:t xml:space="preserve"> the weakness in the referral pathways especially in accessing mental health. People who reported a case of healthcare discrimination were found to be much more likely to report having unmet mental health needs than those who did not (</w:t>
      </w:r>
      <w:proofErr w:type="spellStart"/>
      <w:r>
        <w:rPr>
          <w:rFonts w:ascii="Arial" w:eastAsia="Arial" w:hAnsi="Arial" w:cs="Arial"/>
          <w:sz w:val="22"/>
          <w:szCs w:val="22"/>
        </w:rPr>
        <w:t>Obeegadoo</w:t>
      </w:r>
      <w:proofErr w:type="spellEnd"/>
      <w:r>
        <w:rPr>
          <w:rFonts w:ascii="Arial" w:eastAsia="Arial" w:hAnsi="Arial" w:cs="Arial"/>
          <w:sz w:val="22"/>
          <w:szCs w:val="22"/>
        </w:rPr>
        <w:t xml:space="preserve"> et al., 2025). NHS planning can thus be reactive as opposed to anticipatory in the sense that it is a response to complications and not a proactive measure to incorporate HIV literacy into primary care. Introducing policy measures aimed at integration seems to be inc</w:t>
      </w:r>
      <w:r>
        <w:rPr>
          <w:rFonts w:ascii="Arial" w:eastAsia="Arial" w:hAnsi="Arial" w:cs="Arial"/>
          <w:sz w:val="22"/>
          <w:szCs w:val="22"/>
        </w:rPr>
        <w:t>omplete, which makes it questionable whether it will be sustainable going forward as the population will be older.</w:t>
      </w:r>
    </w:p>
    <w:p w14:paraId="51C39FBF" w14:textId="77777777" w:rsidR="006921ED" w:rsidRDefault="00D73B41">
      <w:pPr>
        <w:pStyle w:val="Heading3"/>
        <w:numPr>
          <w:ilvl w:val="2"/>
          <w:numId w:val="7"/>
        </w:numPr>
        <w:spacing w:before="240" w:after="240" w:line="360" w:lineRule="auto"/>
        <w:jc w:val="both"/>
        <w:rPr>
          <w:rFonts w:ascii="Arial" w:eastAsia="Arial" w:hAnsi="Arial" w:cs="Arial"/>
          <w:b/>
          <w:bCs/>
          <w:color w:val="000000"/>
          <w:sz w:val="22"/>
          <w:szCs w:val="22"/>
        </w:rPr>
      </w:pPr>
      <w:bookmarkStart w:id="75" w:name="_heading=h.5n7olq7ky12i" w:colFirst="0" w:colLast="0"/>
      <w:bookmarkEnd w:id="75"/>
      <w:r>
        <w:rPr>
          <w:rFonts w:ascii="Arial" w:eastAsia="Arial" w:hAnsi="Arial" w:cs="Arial"/>
          <w:b/>
          <w:bCs/>
          <w:color w:val="000000"/>
          <w:sz w:val="22"/>
          <w:szCs w:val="22"/>
        </w:rPr>
        <w:lastRenderedPageBreak/>
        <w:t>Ageing with HIV: A System Lag</w:t>
      </w:r>
    </w:p>
    <w:p w14:paraId="51C39FC0"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Demographic transition towards an aging HIV population is the sign of successful treatment but creates complicated care needs. In 2023, 51% of persons in HIV care were 50 or above, but among the late diagnoses, older persons are disproportionately represented (National AIDS Trust, 2024). Ageing population literature places a lot of focus on the increasing burden of multimorbidity, polypharmacy, and social isolation (Pan et al., 2024). The patients in the studies incorporated reported to live with HIV and ca</w:t>
      </w:r>
      <w:r>
        <w:rPr>
          <w:rFonts w:ascii="Arial" w:eastAsia="Arial" w:hAnsi="Arial" w:cs="Arial"/>
          <w:sz w:val="22"/>
          <w:szCs w:val="22"/>
        </w:rPr>
        <w:t>rdiovascular disease, diabetes, osteoporosis and they frequently used to switch between various appointments with poor inter-provider communication. Such trends are consistent with the multimorbidity literature that suggests that fragmentation systems have an unfair disadvantage on older individuals with complex care needs (Prior et al., 2023). This is directly connected to the purpose of the research, which is the determination of adequacy of health services since ageing populations reveal the structural c</w:t>
      </w:r>
      <w:r>
        <w:rPr>
          <w:rFonts w:ascii="Arial" w:eastAsia="Arial" w:hAnsi="Arial" w:cs="Arial"/>
          <w:sz w:val="22"/>
          <w:szCs w:val="22"/>
        </w:rPr>
        <w:t>onstraints within the integrated care models.</w:t>
      </w:r>
    </w:p>
    <w:p w14:paraId="51C39FC1"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There is an indication that health systems have been originally meant to survive rather than last long. Early responses to HIV focused on viral suppression and management of acute crises; yet chronic disease integration and psychosocial sustainability of long-term survivorship is necessary (Rendina et al., 2019). The fact that older adults were diagnosed late, which is usually associated with the misperception of the risks associated with age, further complicates the outcomes (Li et al., 2025). Institutiona</w:t>
      </w:r>
      <w:r>
        <w:rPr>
          <w:rFonts w:ascii="Arial" w:eastAsia="Arial" w:hAnsi="Arial" w:cs="Arial"/>
          <w:sz w:val="22"/>
          <w:szCs w:val="22"/>
        </w:rPr>
        <w:t>l blind spots were reflected in one qualitative case which described repeated GP visits were made prior to HIV testing. The results lead to the question of whether NHS planning has adequately been able to foresee demographic changes. The system seems to be evolving slowly and not strategically, which brings out a gap between epidemiological reality and service redesign.</w:t>
      </w:r>
    </w:p>
    <w:p w14:paraId="51C39FC2" w14:textId="77777777" w:rsidR="006921ED" w:rsidRDefault="00D73B41">
      <w:pPr>
        <w:pStyle w:val="Heading3"/>
        <w:numPr>
          <w:ilvl w:val="2"/>
          <w:numId w:val="7"/>
        </w:numPr>
        <w:spacing w:before="240" w:after="240" w:line="360" w:lineRule="auto"/>
        <w:jc w:val="both"/>
        <w:rPr>
          <w:rFonts w:ascii="Arial" w:eastAsia="Arial" w:hAnsi="Arial" w:cs="Arial"/>
          <w:b/>
          <w:bCs/>
          <w:color w:val="000000"/>
          <w:sz w:val="22"/>
          <w:szCs w:val="22"/>
        </w:rPr>
      </w:pPr>
      <w:bookmarkStart w:id="76" w:name="_heading=h.1s2ojl4yivxb" w:colFirst="0" w:colLast="0"/>
      <w:bookmarkEnd w:id="76"/>
      <w:r>
        <w:rPr>
          <w:rFonts w:ascii="Arial" w:eastAsia="Arial" w:hAnsi="Arial" w:cs="Arial"/>
          <w:b/>
          <w:bCs/>
          <w:color w:val="000000"/>
          <w:sz w:val="22"/>
          <w:szCs w:val="22"/>
        </w:rPr>
        <w:t>Cultural and Intersectional Dimensions</w:t>
      </w:r>
    </w:p>
    <w:p w14:paraId="51C39FC3"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results about cultural and community contexts can be explained by the intersectionality theory, according to which the combination of social identities results in the compounded disadvantage (Bauer et al., 2021). Black African and Caribbean populations are still overrepresented in terms of HIV in the UK, and qualitative data showed that religious orientation, migration condition, and gender roles influenced care-seeking (</w:t>
      </w:r>
      <w:proofErr w:type="spellStart"/>
      <w:r>
        <w:rPr>
          <w:rFonts w:ascii="Arial" w:eastAsia="Arial" w:hAnsi="Arial" w:cs="Arial"/>
          <w:sz w:val="22"/>
          <w:szCs w:val="22"/>
        </w:rPr>
        <w:t>Fakoya</w:t>
      </w:r>
      <w:proofErr w:type="spellEnd"/>
      <w:r>
        <w:rPr>
          <w:rFonts w:ascii="Arial" w:eastAsia="Arial" w:hAnsi="Arial" w:cs="Arial"/>
          <w:sz w:val="22"/>
          <w:szCs w:val="22"/>
        </w:rPr>
        <w:t xml:space="preserve"> et al., 2008). Legal insecurity and cultural stigma are also cited by the literature in migration-health as obstacles to accessing healthcare. The fears of being gossiped and judged in the community as having effects on ART uptake and disclosure choices (</w:t>
      </w:r>
      <w:proofErr w:type="spellStart"/>
      <w:r>
        <w:rPr>
          <w:rFonts w:ascii="Arial" w:eastAsia="Arial" w:hAnsi="Arial" w:cs="Arial"/>
          <w:sz w:val="22"/>
          <w:szCs w:val="22"/>
        </w:rPr>
        <w:t>Busza</w:t>
      </w:r>
      <w:proofErr w:type="spellEnd"/>
      <w:r>
        <w:rPr>
          <w:rFonts w:ascii="Arial" w:eastAsia="Arial" w:hAnsi="Arial" w:cs="Arial"/>
          <w:sz w:val="22"/>
          <w:szCs w:val="22"/>
        </w:rPr>
        <w:t xml:space="preserve"> et al., 2018). These trends indicate that stigma is not merely based on disease, but that it is also manifested in greater systems of structural injustice.</w:t>
      </w:r>
    </w:p>
    <w:p w14:paraId="51C39FC4"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Importantly, the results pose the question of the cultural competence in the service provision. Even though the UK HIV services are clinically robust, the necessity of the culturally sensitive communication is obvious. Women who were pregnant and interviewed on the issue of infant-feeding choices stated that there was tension between clinical risks advice and cultural demands. Prevention campaigns need thus to be more community specific. The structural inequality becomes a closer source of motivation, and i</w:t>
      </w:r>
      <w:r>
        <w:rPr>
          <w:rFonts w:ascii="Arial" w:eastAsia="Arial" w:hAnsi="Arial" w:cs="Arial"/>
          <w:sz w:val="22"/>
          <w:szCs w:val="22"/>
        </w:rPr>
        <w:t>t is possible to propose that poorer outcomes of tackling the issues of the HIV-related stigma are the results of less limited and wider social and economic responses other than healthcare (</w:t>
      </w:r>
      <w:proofErr w:type="spellStart"/>
      <w:r>
        <w:rPr>
          <w:rFonts w:ascii="Arial" w:eastAsia="Arial" w:hAnsi="Arial" w:cs="Arial"/>
          <w:sz w:val="22"/>
          <w:szCs w:val="22"/>
        </w:rPr>
        <w:t>Logie</w:t>
      </w:r>
      <w:proofErr w:type="spellEnd"/>
      <w:r>
        <w:rPr>
          <w:rFonts w:ascii="Arial" w:eastAsia="Arial" w:hAnsi="Arial" w:cs="Arial"/>
          <w:sz w:val="22"/>
          <w:szCs w:val="22"/>
        </w:rPr>
        <w:t xml:space="preserve"> et al., 2013). This observation supports the study aim of determining the areas to enhance inclusive and patient-centred care.</w:t>
      </w:r>
    </w:p>
    <w:p w14:paraId="51C39FC5" w14:textId="77777777" w:rsidR="006921ED" w:rsidRDefault="00D73B41">
      <w:pPr>
        <w:pStyle w:val="Heading3"/>
        <w:numPr>
          <w:ilvl w:val="2"/>
          <w:numId w:val="7"/>
        </w:numPr>
        <w:spacing w:before="240" w:after="240" w:line="360" w:lineRule="auto"/>
        <w:jc w:val="both"/>
        <w:rPr>
          <w:rFonts w:ascii="Arial" w:eastAsia="Arial" w:hAnsi="Arial" w:cs="Arial"/>
          <w:b/>
          <w:bCs/>
          <w:color w:val="000000"/>
          <w:sz w:val="22"/>
          <w:szCs w:val="22"/>
        </w:rPr>
      </w:pPr>
      <w:bookmarkStart w:id="77" w:name="_heading=h.9a60xwuizf5f" w:colFirst="0" w:colLast="0"/>
      <w:bookmarkEnd w:id="77"/>
      <w:r>
        <w:rPr>
          <w:rFonts w:ascii="Arial" w:eastAsia="Arial" w:hAnsi="Arial" w:cs="Arial"/>
          <w:b/>
          <w:bCs/>
          <w:color w:val="000000"/>
          <w:sz w:val="22"/>
          <w:szCs w:val="22"/>
        </w:rPr>
        <w:t>Implications for Policy and Practice</w:t>
      </w:r>
    </w:p>
    <w:p w14:paraId="51C39FC6" w14:textId="5EE1F446"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Altogether, the results suggest that the only way to make HIV care equitable in the UK is to go beyond biomedical success and adopt the model of integrated, culturally competent, and stigma-sensitive services. Mental health must be incorporated into standard HIV </w:t>
      </w:r>
      <w:r w:rsidR="006F567A">
        <w:rPr>
          <w:rFonts w:ascii="Arial" w:eastAsia="Arial" w:hAnsi="Arial" w:cs="Arial"/>
          <w:sz w:val="22"/>
          <w:szCs w:val="22"/>
        </w:rPr>
        <w:t>care;</w:t>
      </w:r>
      <w:r>
        <w:rPr>
          <w:rFonts w:ascii="Arial" w:eastAsia="Arial" w:hAnsi="Arial" w:cs="Arial"/>
          <w:sz w:val="22"/>
          <w:szCs w:val="22"/>
        </w:rPr>
        <w:t xml:space="preserve"> GP training of HIV should be enhanced and coordinated multimorbidity pathways of the ageing populations must be developed as priorities in policy. Anti-stigma and culturally specific outreach programs and intervention involving African and Caribbean communities are needed at the community level. Structural stigma and service fragmentation are important areas of concern to address the research goal of enhancing holistic health and social care experiences among people living with HIV. </w:t>
      </w:r>
    </w:p>
    <w:p w14:paraId="51C39FC7" w14:textId="77777777" w:rsidR="006921ED" w:rsidRDefault="00D73B41">
      <w:pPr>
        <w:pStyle w:val="Heading2"/>
        <w:numPr>
          <w:ilvl w:val="1"/>
          <w:numId w:val="7"/>
        </w:numPr>
        <w:spacing w:before="240" w:after="240" w:line="360" w:lineRule="auto"/>
        <w:jc w:val="both"/>
        <w:rPr>
          <w:rFonts w:ascii="Arial" w:eastAsia="Arial" w:hAnsi="Arial" w:cs="Arial"/>
          <w:b/>
          <w:bCs/>
          <w:color w:val="000000"/>
          <w:sz w:val="22"/>
          <w:szCs w:val="22"/>
        </w:rPr>
      </w:pPr>
      <w:bookmarkStart w:id="78" w:name="_heading=h.hnpc7hu5m0zl" w:colFirst="0" w:colLast="0"/>
      <w:bookmarkEnd w:id="78"/>
      <w:r>
        <w:rPr>
          <w:rFonts w:ascii="Arial" w:eastAsia="Arial" w:hAnsi="Arial" w:cs="Arial"/>
          <w:b/>
          <w:bCs/>
          <w:color w:val="000000"/>
          <w:sz w:val="22"/>
          <w:szCs w:val="22"/>
        </w:rPr>
        <w:t>Strengths and Limitation</w:t>
      </w:r>
    </w:p>
    <w:p w14:paraId="51C39FC8"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This literature review is systematic, and it has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methodological strengths. The systematic methodology, based on PRISMA, made the study selection and reporting more transparent and reproducible. Design-specific appraisal tools, i.e. CASP in qualitative and JBI in cross-sectional, and MMAT in mixed-methods studies, enhanced methodological rigour with the right evaluation criteria of each research design. The incorporation of the qualitative and quantitative evidence helped to have a complete synthesis, as the lived experiences were combined with</w:t>
      </w:r>
      <w:r>
        <w:rPr>
          <w:rFonts w:ascii="Arial" w:eastAsia="Arial" w:hAnsi="Arial" w:cs="Arial"/>
          <w:sz w:val="22"/>
          <w:szCs w:val="22"/>
        </w:rPr>
        <w:t xml:space="preserve"> the nationally representative data including the Positive Voices survey, which contributed to the increased policy relevance. However, </w:t>
      </w:r>
      <w:proofErr w:type="gramStart"/>
      <w:r>
        <w:rPr>
          <w:rFonts w:ascii="Arial" w:eastAsia="Arial" w:hAnsi="Arial" w:cs="Arial"/>
          <w:sz w:val="22"/>
          <w:szCs w:val="22"/>
        </w:rPr>
        <w:t>the majority of</w:t>
      </w:r>
      <w:proofErr w:type="gramEnd"/>
      <w:r>
        <w:rPr>
          <w:rFonts w:ascii="Arial" w:eastAsia="Arial" w:hAnsi="Arial" w:cs="Arial"/>
          <w:sz w:val="22"/>
          <w:szCs w:val="22"/>
        </w:rPr>
        <w:t xml:space="preserve"> included studies were done in London or South-East England which limits geographic generalisation. Quantitative data was mainly based on cross-sectional and self-report survey data to construe causal inference with the possibility of response bias. Most of the literature used could have been biased and grey literature was not exhaustively covered. Moreover, </w:t>
      </w:r>
      <w:r>
        <w:rPr>
          <w:rFonts w:ascii="Arial" w:eastAsia="Arial" w:hAnsi="Arial" w:cs="Arial"/>
          <w:sz w:val="22"/>
          <w:szCs w:val="22"/>
        </w:rPr>
        <w:t xml:space="preserve">the lack of primary data </w:t>
      </w:r>
      <w:r>
        <w:rPr>
          <w:rFonts w:ascii="Arial" w:eastAsia="Arial" w:hAnsi="Arial" w:cs="Arial"/>
          <w:sz w:val="22"/>
          <w:szCs w:val="22"/>
        </w:rPr>
        <w:lastRenderedPageBreak/>
        <w:t>gathering limits the contextual richness and the fact that one study is based in Ireland introduces slight transferability concerns.</w:t>
      </w:r>
    </w:p>
    <w:p w14:paraId="51C39FC9" w14:textId="77777777" w:rsidR="006921ED" w:rsidRDefault="00D73B41">
      <w:pPr>
        <w:pStyle w:val="Heading2"/>
        <w:numPr>
          <w:ilvl w:val="1"/>
          <w:numId w:val="7"/>
        </w:numPr>
        <w:spacing w:before="240" w:after="240" w:line="360" w:lineRule="auto"/>
        <w:jc w:val="both"/>
        <w:rPr>
          <w:rFonts w:ascii="Arial" w:eastAsia="Arial" w:hAnsi="Arial" w:cs="Arial"/>
          <w:b/>
          <w:bCs/>
          <w:sz w:val="22"/>
          <w:szCs w:val="22"/>
        </w:rPr>
      </w:pPr>
      <w:bookmarkStart w:id="79" w:name="_heading=h.2czz5wmutcrz" w:colFirst="0" w:colLast="0"/>
      <w:bookmarkEnd w:id="79"/>
      <w:r>
        <w:rPr>
          <w:rFonts w:ascii="Arial" w:eastAsia="Arial" w:hAnsi="Arial" w:cs="Arial"/>
          <w:b/>
          <w:bCs/>
          <w:sz w:val="22"/>
          <w:szCs w:val="22"/>
        </w:rPr>
        <w:t>Chapter Summary</w:t>
      </w:r>
    </w:p>
    <w:p w14:paraId="51C39FCA"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The chapter has critically presented the major findings of the review with the research question and objectives and how stigmatization, service fragmentation, ageing and cultural contexts contribute to the health and social care experience of individuals living with HIV in the UK. Although the improvements in biomedical innovations have resulted in high rates of viral suppression and extended life expectancy, there is still an apparent gap between clinical success and lived experience. The chapter strengthe</w:t>
      </w:r>
      <w:r>
        <w:rPr>
          <w:rFonts w:ascii="Arial" w:eastAsia="Arial" w:hAnsi="Arial" w:cs="Arial"/>
          <w:sz w:val="22"/>
          <w:szCs w:val="22"/>
        </w:rPr>
        <w:t>ned the argument of integrated and culturally competent models of care that are sensitive to stigma.</w:t>
      </w:r>
    </w:p>
    <w:p w14:paraId="51C39FCB" w14:textId="77777777" w:rsidR="006921ED" w:rsidRDefault="006921ED">
      <w:pPr>
        <w:spacing w:before="240" w:after="240" w:line="360" w:lineRule="auto"/>
        <w:jc w:val="both"/>
        <w:rPr>
          <w:rFonts w:ascii="Arial" w:eastAsia="Arial" w:hAnsi="Arial" w:cs="Arial"/>
          <w:sz w:val="22"/>
          <w:szCs w:val="22"/>
        </w:rPr>
      </w:pPr>
    </w:p>
    <w:p w14:paraId="51C39FCC" w14:textId="77777777" w:rsidR="006921ED" w:rsidRDefault="006921ED">
      <w:pPr>
        <w:spacing w:before="240" w:after="240" w:line="360" w:lineRule="auto"/>
        <w:jc w:val="both"/>
        <w:rPr>
          <w:rFonts w:ascii="Arial" w:eastAsia="Arial" w:hAnsi="Arial" w:cs="Arial"/>
          <w:sz w:val="22"/>
          <w:szCs w:val="22"/>
        </w:rPr>
      </w:pPr>
    </w:p>
    <w:p w14:paraId="51C39FCD" w14:textId="77777777" w:rsidR="006921ED" w:rsidRDefault="006921ED">
      <w:pPr>
        <w:spacing w:before="240" w:after="240" w:line="360" w:lineRule="auto"/>
        <w:jc w:val="both"/>
        <w:rPr>
          <w:rFonts w:ascii="Arial" w:eastAsia="Arial" w:hAnsi="Arial" w:cs="Arial"/>
          <w:sz w:val="22"/>
          <w:szCs w:val="22"/>
        </w:rPr>
      </w:pPr>
    </w:p>
    <w:p w14:paraId="51C39FCE" w14:textId="77777777" w:rsidR="006921ED" w:rsidRDefault="006921ED">
      <w:pPr>
        <w:spacing w:before="240" w:after="240" w:line="360" w:lineRule="auto"/>
        <w:jc w:val="both"/>
        <w:rPr>
          <w:rFonts w:ascii="Arial" w:eastAsia="Arial" w:hAnsi="Arial" w:cs="Arial"/>
          <w:sz w:val="22"/>
          <w:szCs w:val="22"/>
        </w:rPr>
      </w:pPr>
    </w:p>
    <w:p w14:paraId="51C39FCF" w14:textId="77777777" w:rsidR="006921ED" w:rsidRDefault="006921ED">
      <w:pPr>
        <w:spacing w:before="240" w:after="240" w:line="360" w:lineRule="auto"/>
        <w:jc w:val="both"/>
        <w:rPr>
          <w:rFonts w:ascii="Arial" w:eastAsia="Arial" w:hAnsi="Arial" w:cs="Arial"/>
          <w:sz w:val="22"/>
          <w:szCs w:val="22"/>
        </w:rPr>
      </w:pPr>
    </w:p>
    <w:p w14:paraId="51C39FD0" w14:textId="77777777" w:rsidR="006921ED" w:rsidRDefault="006921ED">
      <w:pPr>
        <w:spacing w:before="240" w:after="240" w:line="360" w:lineRule="auto"/>
        <w:jc w:val="both"/>
        <w:rPr>
          <w:rFonts w:ascii="Arial" w:eastAsia="Arial" w:hAnsi="Arial" w:cs="Arial"/>
          <w:sz w:val="22"/>
          <w:szCs w:val="22"/>
        </w:rPr>
      </w:pPr>
    </w:p>
    <w:p w14:paraId="51C39FD1" w14:textId="77777777" w:rsidR="006921ED" w:rsidRDefault="006921ED">
      <w:pPr>
        <w:spacing w:before="240" w:after="240" w:line="360" w:lineRule="auto"/>
        <w:jc w:val="both"/>
        <w:rPr>
          <w:rFonts w:ascii="Arial" w:eastAsia="Arial" w:hAnsi="Arial" w:cs="Arial"/>
          <w:sz w:val="22"/>
          <w:szCs w:val="22"/>
        </w:rPr>
      </w:pPr>
    </w:p>
    <w:p w14:paraId="51C39FD2" w14:textId="77777777" w:rsidR="006921ED" w:rsidRDefault="006921ED">
      <w:pPr>
        <w:spacing w:before="240" w:after="240" w:line="360" w:lineRule="auto"/>
        <w:jc w:val="both"/>
        <w:rPr>
          <w:rFonts w:ascii="Arial" w:eastAsia="Arial" w:hAnsi="Arial" w:cs="Arial"/>
          <w:b/>
          <w:bCs/>
          <w:sz w:val="22"/>
          <w:szCs w:val="22"/>
        </w:rPr>
      </w:pPr>
    </w:p>
    <w:p w14:paraId="51C39FD3" w14:textId="77777777" w:rsidR="006921ED" w:rsidRDefault="006921ED">
      <w:pPr>
        <w:spacing w:before="240" w:after="240" w:line="360" w:lineRule="auto"/>
        <w:jc w:val="both"/>
        <w:rPr>
          <w:rFonts w:ascii="Arial" w:eastAsia="Arial" w:hAnsi="Arial" w:cs="Arial"/>
          <w:b/>
          <w:bCs/>
          <w:sz w:val="22"/>
          <w:szCs w:val="22"/>
        </w:rPr>
      </w:pPr>
    </w:p>
    <w:p w14:paraId="51C39FD4" w14:textId="77777777" w:rsidR="006921ED" w:rsidRDefault="006921ED">
      <w:pPr>
        <w:spacing w:before="240" w:after="240" w:line="360" w:lineRule="auto"/>
        <w:jc w:val="both"/>
        <w:rPr>
          <w:rFonts w:ascii="Arial" w:eastAsia="Arial" w:hAnsi="Arial" w:cs="Arial"/>
          <w:b/>
          <w:bCs/>
          <w:sz w:val="22"/>
          <w:szCs w:val="22"/>
        </w:rPr>
      </w:pPr>
    </w:p>
    <w:p w14:paraId="51C39FD5" w14:textId="77777777" w:rsidR="006921ED" w:rsidRDefault="006921ED">
      <w:pPr>
        <w:spacing w:before="240" w:after="240" w:line="360" w:lineRule="auto"/>
        <w:jc w:val="both"/>
        <w:rPr>
          <w:rFonts w:ascii="Arial" w:eastAsia="Arial" w:hAnsi="Arial" w:cs="Arial"/>
          <w:b/>
          <w:bCs/>
          <w:sz w:val="22"/>
          <w:szCs w:val="22"/>
        </w:rPr>
      </w:pPr>
    </w:p>
    <w:p w14:paraId="51C39FD6" w14:textId="77777777" w:rsidR="006921ED" w:rsidRDefault="006921ED">
      <w:pPr>
        <w:spacing w:before="240" w:after="240" w:line="360" w:lineRule="auto"/>
        <w:jc w:val="both"/>
        <w:rPr>
          <w:rFonts w:ascii="Arial" w:eastAsia="Arial" w:hAnsi="Arial" w:cs="Arial"/>
          <w:b/>
          <w:bCs/>
          <w:sz w:val="22"/>
          <w:szCs w:val="22"/>
        </w:rPr>
      </w:pPr>
    </w:p>
    <w:p w14:paraId="51C39FD7" w14:textId="5CF1C237" w:rsidR="00A93FD7" w:rsidRDefault="00A93FD7">
      <w:pPr>
        <w:rPr>
          <w:rFonts w:ascii="Arial" w:eastAsia="Arial" w:hAnsi="Arial" w:cs="Arial"/>
          <w:b/>
          <w:bCs/>
          <w:sz w:val="22"/>
          <w:szCs w:val="22"/>
        </w:rPr>
      </w:pPr>
      <w:r>
        <w:rPr>
          <w:rFonts w:ascii="Arial" w:eastAsia="Arial" w:hAnsi="Arial" w:cs="Arial"/>
          <w:b/>
          <w:bCs/>
          <w:sz w:val="22"/>
          <w:szCs w:val="22"/>
        </w:rPr>
        <w:br w:type="page"/>
      </w:r>
    </w:p>
    <w:p w14:paraId="51C39FD8" w14:textId="77777777" w:rsidR="006921ED" w:rsidRDefault="00D73B41">
      <w:pPr>
        <w:pStyle w:val="Heading1"/>
        <w:numPr>
          <w:ilvl w:val="0"/>
          <w:numId w:val="8"/>
        </w:numPr>
        <w:spacing w:before="240" w:after="240" w:line="360" w:lineRule="auto"/>
        <w:jc w:val="center"/>
        <w:rPr>
          <w:rFonts w:ascii="Arial" w:eastAsia="Arial" w:hAnsi="Arial" w:cs="Arial"/>
          <w:b/>
          <w:bCs/>
          <w:color w:val="000000"/>
          <w:sz w:val="22"/>
          <w:szCs w:val="22"/>
        </w:rPr>
      </w:pPr>
      <w:bookmarkStart w:id="80" w:name="_heading=h.j26pwrds9oed" w:colFirst="0" w:colLast="0"/>
      <w:bookmarkEnd w:id="80"/>
      <w:r>
        <w:rPr>
          <w:rFonts w:ascii="Arial" w:eastAsia="Arial" w:hAnsi="Arial" w:cs="Arial"/>
          <w:b/>
          <w:bCs/>
          <w:color w:val="000000"/>
          <w:sz w:val="22"/>
          <w:szCs w:val="22"/>
        </w:rPr>
        <w:lastRenderedPageBreak/>
        <w:t>Chapter 7: Recommendations And Conclusion</w:t>
      </w:r>
    </w:p>
    <w:p w14:paraId="51C39FD9" w14:textId="77777777" w:rsidR="006921ED" w:rsidRDefault="00D73B41">
      <w:pPr>
        <w:keepNext/>
        <w:keepLines/>
        <w:numPr>
          <w:ilvl w:val="1"/>
          <w:numId w:val="8"/>
        </w:numPr>
        <w:pBdr>
          <w:top w:val="nil"/>
          <w:left w:val="nil"/>
          <w:bottom w:val="nil"/>
          <w:right w:val="nil"/>
          <w:between w:val="nil"/>
        </w:pBdr>
        <w:spacing w:before="240" w:after="240" w:line="360" w:lineRule="auto"/>
        <w:jc w:val="both"/>
        <w:rPr>
          <w:rFonts w:ascii="Arial" w:eastAsia="Arial" w:hAnsi="Arial" w:cs="Arial"/>
          <w:b/>
          <w:bCs/>
          <w:color w:val="000000"/>
          <w:sz w:val="22"/>
          <w:szCs w:val="22"/>
        </w:rPr>
      </w:pPr>
      <w:bookmarkStart w:id="81" w:name="_heading=h.ikgbnjjtpsh7" w:colFirst="0" w:colLast="0"/>
      <w:bookmarkEnd w:id="81"/>
      <w:r>
        <w:rPr>
          <w:rFonts w:ascii="Arial" w:eastAsia="Arial" w:hAnsi="Arial" w:cs="Arial"/>
          <w:b/>
          <w:bCs/>
          <w:color w:val="000000"/>
          <w:sz w:val="22"/>
          <w:szCs w:val="22"/>
        </w:rPr>
        <w:t>Introduction</w:t>
      </w:r>
      <w:r>
        <w:rPr>
          <w:rFonts w:ascii="Arial" w:eastAsia="Arial" w:hAnsi="Arial" w:cs="Arial"/>
          <w:color w:val="000000"/>
          <w:sz w:val="22"/>
          <w:szCs w:val="22"/>
        </w:rPr>
        <w:t xml:space="preserve"> </w:t>
      </w:r>
      <w:r>
        <w:rPr>
          <w:rFonts w:ascii="Arial" w:eastAsia="Arial" w:hAnsi="Arial" w:cs="Arial"/>
          <w:b/>
          <w:bCs/>
          <w:color w:val="000000"/>
          <w:sz w:val="22"/>
          <w:szCs w:val="22"/>
        </w:rPr>
        <w:t>to Chapter</w:t>
      </w:r>
    </w:p>
    <w:p w14:paraId="51C39FDA" w14:textId="4A77C4A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This chapter will display the implications and recommendations and general conclusion of the systematic review of the health and social care experience of individuals with HIV in the United Kingdom. The chapter utilizes the thematic synthesis of twelve studies to discuss the relevance of findings to the existing healthcare practice, policy, and service delivery in the field of NHS, primary care, and social support services. The chapter ends with elaborate recommendations on the professional practice and fut</w:t>
      </w:r>
      <w:r>
        <w:rPr>
          <w:rFonts w:ascii="Arial" w:eastAsia="Arial" w:hAnsi="Arial" w:cs="Arial"/>
          <w:sz w:val="22"/>
          <w:szCs w:val="22"/>
        </w:rPr>
        <w:t xml:space="preserve">ure research to enhance person-centred and integrated HIV care culminating with a conclusion on the main findings and the contribution of the </w:t>
      </w:r>
      <w:r w:rsidR="006F567A">
        <w:rPr>
          <w:rFonts w:ascii="Arial" w:eastAsia="Arial" w:hAnsi="Arial" w:cs="Arial"/>
          <w:sz w:val="22"/>
          <w:szCs w:val="22"/>
        </w:rPr>
        <w:t>study</w:t>
      </w:r>
      <w:r>
        <w:rPr>
          <w:rFonts w:ascii="Arial" w:eastAsia="Arial" w:hAnsi="Arial" w:cs="Arial"/>
          <w:sz w:val="22"/>
          <w:szCs w:val="22"/>
        </w:rPr>
        <w:t>.</w:t>
      </w:r>
    </w:p>
    <w:p w14:paraId="51C39FDB" w14:textId="77777777" w:rsidR="006921ED" w:rsidRDefault="00D73B41">
      <w:pPr>
        <w:pStyle w:val="Heading2"/>
        <w:numPr>
          <w:ilvl w:val="1"/>
          <w:numId w:val="8"/>
        </w:numPr>
        <w:spacing w:before="240" w:after="240" w:line="360" w:lineRule="auto"/>
        <w:jc w:val="both"/>
        <w:rPr>
          <w:rFonts w:ascii="Arial" w:eastAsia="Arial" w:hAnsi="Arial" w:cs="Arial"/>
          <w:b/>
          <w:bCs/>
          <w:color w:val="000000"/>
          <w:sz w:val="22"/>
          <w:szCs w:val="22"/>
        </w:rPr>
      </w:pPr>
      <w:bookmarkStart w:id="82" w:name="_heading=h.ax47mhnakqpa" w:colFirst="0" w:colLast="0"/>
      <w:bookmarkEnd w:id="82"/>
      <w:r>
        <w:rPr>
          <w:rFonts w:ascii="Arial" w:eastAsia="Arial" w:hAnsi="Arial" w:cs="Arial"/>
          <w:b/>
          <w:bCs/>
          <w:color w:val="000000"/>
          <w:sz w:val="22"/>
          <w:szCs w:val="22"/>
        </w:rPr>
        <w:t>Implications of Findings</w:t>
      </w:r>
    </w:p>
    <w:p w14:paraId="51C39FDC"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sz w:val="22"/>
          <w:szCs w:val="22"/>
        </w:rPr>
        <w:t xml:space="preserve">This review has serious implications to health and social care delivery within the UK, especially to the UK NHS HIV clinics, general practice, and community-based support organisations. Despite the improvement of the biomedical outcomes </w:t>
      </w:r>
      <w:proofErr w:type="gramStart"/>
      <w:r>
        <w:rPr>
          <w:rFonts w:ascii="Arial" w:eastAsia="Arial" w:hAnsi="Arial" w:cs="Arial"/>
          <w:sz w:val="22"/>
          <w:szCs w:val="22"/>
        </w:rPr>
        <w:t>as a result of</w:t>
      </w:r>
      <w:proofErr w:type="gramEnd"/>
      <w:r>
        <w:rPr>
          <w:rFonts w:ascii="Arial" w:eastAsia="Arial" w:hAnsi="Arial" w:cs="Arial"/>
          <w:sz w:val="22"/>
          <w:szCs w:val="22"/>
        </w:rPr>
        <w:t xml:space="preserve"> the successful antiretroviral therapy, the evidence demonstrates that stigma, disjointed services, ageing related needs, and cultural barriers are still influencing patient wellbeing and participation in care. This is an indication that the existing care paradigms are highly clinical-based and fail to consider psychological, social, and long-term support requirements. To healthcare professionals, the findings demonstrate that there is a need to have more integrated, multidisciplinary, and cul</w:t>
      </w:r>
      <w:r>
        <w:rPr>
          <w:rFonts w:ascii="Arial" w:eastAsia="Arial" w:hAnsi="Arial" w:cs="Arial"/>
          <w:sz w:val="22"/>
          <w:szCs w:val="22"/>
        </w:rPr>
        <w:t>turally responsive interventions so that HIV care can be reflective of the realities of living with a chronic condition in the contemporary healthcare systems.</w:t>
      </w:r>
    </w:p>
    <w:p w14:paraId="51C39FDD" w14:textId="77777777" w:rsidR="006921ED" w:rsidRDefault="00D73B41">
      <w:pPr>
        <w:pStyle w:val="Heading2"/>
        <w:numPr>
          <w:ilvl w:val="1"/>
          <w:numId w:val="8"/>
        </w:numPr>
        <w:spacing w:before="240" w:after="240" w:line="360" w:lineRule="auto"/>
        <w:jc w:val="both"/>
        <w:rPr>
          <w:rFonts w:ascii="Arial" w:eastAsia="Arial" w:hAnsi="Arial" w:cs="Arial"/>
          <w:b/>
          <w:bCs/>
          <w:color w:val="000000"/>
          <w:sz w:val="22"/>
          <w:szCs w:val="22"/>
        </w:rPr>
      </w:pPr>
      <w:bookmarkStart w:id="83" w:name="_heading=h.xr72qxfgeah" w:colFirst="0" w:colLast="0"/>
      <w:bookmarkEnd w:id="83"/>
      <w:r>
        <w:rPr>
          <w:rFonts w:ascii="Arial" w:eastAsia="Arial" w:hAnsi="Arial" w:cs="Arial"/>
          <w:b/>
          <w:bCs/>
          <w:color w:val="000000"/>
          <w:sz w:val="22"/>
          <w:szCs w:val="22"/>
        </w:rPr>
        <w:t>Recommendations for Practice</w:t>
      </w:r>
    </w:p>
    <w:p w14:paraId="51C39FDE"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 xml:space="preserve">Policymakers and organisations involved in healthcare should enhance integrated care in HIV with respect to specialist clinics, general practice, mental health and social care, to enhance continuity of care coupled with reduced fragmentation (Conteh, Latona and Mahomed, 2023). The existing policy in the NHS working towards shared-care models, however, a lot of general practitioners still claim a lack of confidence in longer-term management of HIV as a condition. Consequently, more professional training and </w:t>
      </w:r>
      <w:r>
        <w:rPr>
          <w:rFonts w:ascii="Arial" w:eastAsia="Arial" w:hAnsi="Arial" w:cs="Arial"/>
          <w:sz w:val="22"/>
          <w:szCs w:val="22"/>
        </w:rPr>
        <w:t>continuing education programmes are needed to enhance awareness on HIV, ageing, and multimorbidity by use of NHS England and professional organizations. There should also be a focus on anti-stigmatization training in healthcare environments since the findings of the Positive Voices survey and the National AIDS Trust indicate that stigma in a healthcare context still plays a vital role in service utilization (Zarei et al., 2015). Services ought to design age-related and culturally capable care pathways, espe</w:t>
      </w:r>
      <w:r>
        <w:rPr>
          <w:rFonts w:ascii="Arial" w:eastAsia="Arial" w:hAnsi="Arial" w:cs="Arial"/>
          <w:sz w:val="22"/>
          <w:szCs w:val="22"/>
        </w:rPr>
        <w:t xml:space="preserve">cially among older adults, and African and Caribbean groups where there are other care </w:t>
      </w:r>
      <w:r>
        <w:rPr>
          <w:rFonts w:ascii="Arial" w:eastAsia="Arial" w:hAnsi="Arial" w:cs="Arial"/>
          <w:sz w:val="22"/>
          <w:szCs w:val="22"/>
        </w:rPr>
        <w:lastRenderedPageBreak/>
        <w:t>barriers. NHS services, local authorities and voluntary sector organisations could collaborate in more holistic and person-centred care by offering psychological support, community outreach and social inclusion programmes in addition to clinical care (NAT, 2025).</w:t>
      </w:r>
    </w:p>
    <w:p w14:paraId="51C39FDF" w14:textId="77777777" w:rsidR="006921ED" w:rsidRDefault="00D73B41">
      <w:pPr>
        <w:pStyle w:val="Heading2"/>
        <w:numPr>
          <w:ilvl w:val="1"/>
          <w:numId w:val="8"/>
        </w:numPr>
        <w:spacing w:before="240" w:after="240" w:line="360" w:lineRule="auto"/>
        <w:jc w:val="both"/>
        <w:rPr>
          <w:rFonts w:ascii="Arial" w:eastAsia="Arial" w:hAnsi="Arial" w:cs="Arial"/>
          <w:b/>
          <w:bCs/>
          <w:color w:val="000000"/>
          <w:sz w:val="22"/>
          <w:szCs w:val="22"/>
        </w:rPr>
      </w:pPr>
      <w:bookmarkStart w:id="84" w:name="_heading=h.85eiszim5ay0" w:colFirst="0" w:colLast="0"/>
      <w:bookmarkEnd w:id="84"/>
      <w:r>
        <w:rPr>
          <w:rFonts w:ascii="Arial" w:eastAsia="Arial" w:hAnsi="Arial" w:cs="Arial"/>
          <w:b/>
          <w:bCs/>
          <w:color w:val="000000"/>
          <w:sz w:val="22"/>
          <w:szCs w:val="22"/>
        </w:rPr>
        <w:t>Recommendations for Future Research</w:t>
      </w:r>
    </w:p>
    <w:p w14:paraId="51C39FE0" w14:textId="7E2A83DB"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t>Future studies ought to investigate the experience of individuals with HIV in terms of their long-term health and social care as most of the current studies are limited to London-based specialist clinics and may not be applicable to other cities or towns. The UK Health Security Agency and NHS England have identified the importance of gathering additional evidence on the topic of ageing with HIV, multimorbidity, and effects of service reorganisation on patient outcomes, as national organisations have done (A</w:t>
      </w:r>
      <w:r>
        <w:rPr>
          <w:rFonts w:ascii="Arial" w:eastAsia="Arial" w:hAnsi="Arial" w:cs="Arial"/>
          <w:sz w:val="22"/>
          <w:szCs w:val="22"/>
        </w:rPr>
        <w:t xml:space="preserve">hmed et al., 2023). A longitudinal and mixed-methods study would be of special interest to the research on the impact of shared-care models between specialty services and general practitioners on time-related continuity of care. The role of primary care also needs to be further explored since the NHS policy is moving towards the management of long-term conditions outside </w:t>
      </w:r>
      <w:r w:rsidR="006F567A">
        <w:rPr>
          <w:rFonts w:ascii="Arial" w:eastAsia="Arial" w:hAnsi="Arial" w:cs="Arial"/>
          <w:sz w:val="22"/>
          <w:szCs w:val="22"/>
        </w:rPr>
        <w:t>specialists’</w:t>
      </w:r>
      <w:r>
        <w:rPr>
          <w:rFonts w:ascii="Arial" w:eastAsia="Arial" w:hAnsi="Arial" w:cs="Arial"/>
          <w:sz w:val="22"/>
          <w:szCs w:val="22"/>
        </w:rPr>
        <w:t xml:space="preserve"> environments. More studies on women, migrants and minority ethnic populations should also be a priority to facilitate equality in the medical care delivery as pointed out in reports by the National AIDS Trust and the Terrence Higgins Trust which reported existing inequalities in access to testing, treatment and social support by these groups.</w:t>
      </w:r>
    </w:p>
    <w:p w14:paraId="51C39FE1" w14:textId="77777777" w:rsidR="006921ED" w:rsidRDefault="00D73B41">
      <w:pPr>
        <w:pStyle w:val="Heading2"/>
        <w:numPr>
          <w:ilvl w:val="1"/>
          <w:numId w:val="8"/>
        </w:numPr>
        <w:spacing w:before="240" w:after="240" w:line="360" w:lineRule="auto"/>
        <w:jc w:val="both"/>
        <w:rPr>
          <w:rFonts w:ascii="Arial" w:eastAsia="Arial" w:hAnsi="Arial" w:cs="Arial"/>
          <w:b/>
          <w:bCs/>
          <w:color w:val="000000"/>
          <w:sz w:val="22"/>
          <w:szCs w:val="22"/>
        </w:rPr>
      </w:pPr>
      <w:bookmarkStart w:id="85" w:name="_heading=h.dlf1ofghxztr" w:colFirst="0" w:colLast="0"/>
      <w:bookmarkEnd w:id="85"/>
      <w:r>
        <w:rPr>
          <w:rFonts w:ascii="Arial" w:eastAsia="Arial" w:hAnsi="Arial" w:cs="Arial"/>
          <w:b/>
          <w:bCs/>
          <w:color w:val="000000"/>
          <w:sz w:val="22"/>
          <w:szCs w:val="22"/>
        </w:rPr>
        <w:t>Conclusion</w:t>
      </w:r>
    </w:p>
    <w:p w14:paraId="51C39FE2" w14:textId="77777777" w:rsidR="006921ED" w:rsidRDefault="00D73B41">
      <w:pPr>
        <w:spacing w:before="240" w:after="240" w:line="360" w:lineRule="auto"/>
        <w:jc w:val="both"/>
        <w:rPr>
          <w:rFonts w:ascii="Arial" w:eastAsia="Arial" w:hAnsi="Arial" w:cs="Arial"/>
          <w:b/>
          <w:bCs/>
          <w:sz w:val="22"/>
          <w:szCs w:val="22"/>
        </w:rPr>
      </w:pPr>
      <w:r>
        <w:rPr>
          <w:rFonts w:ascii="Arial" w:eastAsia="Arial" w:hAnsi="Arial" w:cs="Arial"/>
          <w:sz w:val="22"/>
          <w:szCs w:val="22"/>
        </w:rPr>
        <w:t>It was a systematic review of twelve qualitative, quantitative, and mixed-method studies conducted in the United Kingdom to develop an analysis of the health and social care experiences of the people living with HIV. The study was to discuss the experiences of people with HIV in terms of stigmatization, availability of healthcare services, mental health, and social support in the UK health and social care system. The evidence revealed that despite with the development of the technology of antiretroviral the</w:t>
      </w:r>
      <w:r>
        <w:rPr>
          <w:rFonts w:ascii="Arial" w:eastAsia="Arial" w:hAnsi="Arial" w:cs="Arial"/>
          <w:sz w:val="22"/>
          <w:szCs w:val="22"/>
        </w:rPr>
        <w:t xml:space="preserve">rapy HIV has turned into a long-term condition with high degrees of the viral suppression rates, there are numerous people who </w:t>
      </w:r>
      <w:proofErr w:type="gramStart"/>
      <w:r>
        <w:rPr>
          <w:rFonts w:ascii="Arial" w:eastAsia="Arial" w:hAnsi="Arial" w:cs="Arial"/>
          <w:sz w:val="22"/>
          <w:szCs w:val="22"/>
        </w:rPr>
        <w:t>have to</w:t>
      </w:r>
      <w:proofErr w:type="gramEnd"/>
      <w:r>
        <w:rPr>
          <w:rFonts w:ascii="Arial" w:eastAsia="Arial" w:hAnsi="Arial" w:cs="Arial"/>
          <w:sz w:val="22"/>
          <w:szCs w:val="22"/>
        </w:rPr>
        <w:t xml:space="preserve"> face serious psychosocial and structural issues. The analysis revealed four central themes, namely, ongoing and changing stigma, disintegration of health and social care services, increasing effects of ageing with HIV, and the effects of cultural and social factors on care experiences. These findings demonstrate that advancements in the biomedical care have not </w:t>
      </w:r>
      <w:proofErr w:type="gramStart"/>
      <w:r>
        <w:rPr>
          <w:rFonts w:ascii="Arial" w:eastAsia="Arial" w:hAnsi="Arial" w:cs="Arial"/>
          <w:sz w:val="22"/>
          <w:szCs w:val="22"/>
        </w:rPr>
        <w:t>completely el</w:t>
      </w:r>
      <w:r>
        <w:rPr>
          <w:rFonts w:ascii="Arial" w:eastAsia="Arial" w:hAnsi="Arial" w:cs="Arial"/>
          <w:sz w:val="22"/>
          <w:szCs w:val="22"/>
        </w:rPr>
        <w:t>iminated</w:t>
      </w:r>
      <w:proofErr w:type="gramEnd"/>
      <w:r>
        <w:rPr>
          <w:rFonts w:ascii="Arial" w:eastAsia="Arial" w:hAnsi="Arial" w:cs="Arial"/>
          <w:sz w:val="22"/>
          <w:szCs w:val="22"/>
        </w:rPr>
        <w:t xml:space="preserve"> the social and emotional cost of having HIV and that lived experiences of care are still mediated by discrimination, ineffective service coordination, and unequal access to support.</w:t>
      </w:r>
    </w:p>
    <w:p w14:paraId="51C39FE3" w14:textId="77777777" w:rsidR="006921ED" w:rsidRDefault="00D73B41">
      <w:pPr>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The review emphasizes the necessity of a more integrated and systematic response of HIV care in the NHS and the social care system in general. With the growing age of the population of people with HIV and its increased heterogeneity, the healthcare services should go beyond a purely biomedical approach and consider the mental health, social inclusion, and quality of life over the long term. It will be necessary to strengthen collaboration between specialist HIV clinics, general practitioners, social care pr</w:t>
      </w:r>
      <w:r>
        <w:rPr>
          <w:rFonts w:ascii="Arial" w:eastAsia="Arial" w:hAnsi="Arial" w:cs="Arial"/>
          <w:sz w:val="22"/>
          <w:szCs w:val="22"/>
        </w:rPr>
        <w:t xml:space="preserve">oviders, and voluntary sector organisations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make sure that care will be person-focused and relevant concerning individual needs. The results also indicate the necessity to decrease stigma in healthcare settings and enhance cultural competence in the service provision. Comprehensively, this research demonstrates that, although the UK has achieved much in relation to medical management of HIV, more needs to be done to enhance the way the country integrates stigma-free and inclusive health and soci</w:t>
      </w:r>
      <w:r>
        <w:rPr>
          <w:rFonts w:ascii="Arial" w:eastAsia="Arial" w:hAnsi="Arial" w:cs="Arial"/>
          <w:sz w:val="22"/>
          <w:szCs w:val="22"/>
        </w:rPr>
        <w:t>al services to address the long-term wellbeing of people living with HIV and also to guarantee the sustainability of HIV care in future.</w:t>
      </w:r>
    </w:p>
    <w:p w14:paraId="51C39FE4" w14:textId="77777777" w:rsidR="006921ED" w:rsidRDefault="006921ED">
      <w:pPr>
        <w:spacing w:before="240" w:after="240" w:line="360" w:lineRule="auto"/>
        <w:jc w:val="both"/>
        <w:rPr>
          <w:rFonts w:ascii="Arial" w:eastAsia="Arial" w:hAnsi="Arial" w:cs="Arial"/>
          <w:sz w:val="22"/>
          <w:szCs w:val="22"/>
        </w:rPr>
      </w:pPr>
    </w:p>
    <w:p w14:paraId="51C39FE5" w14:textId="77777777" w:rsidR="006921ED" w:rsidRDefault="006921ED">
      <w:pPr>
        <w:spacing w:before="240" w:after="240" w:line="360" w:lineRule="auto"/>
        <w:jc w:val="both"/>
        <w:rPr>
          <w:rFonts w:ascii="Arial" w:eastAsia="Arial" w:hAnsi="Arial" w:cs="Arial"/>
          <w:sz w:val="22"/>
          <w:szCs w:val="22"/>
        </w:rPr>
      </w:pPr>
    </w:p>
    <w:p w14:paraId="51C39FE6" w14:textId="77777777" w:rsidR="006921ED" w:rsidRDefault="006921ED">
      <w:pPr>
        <w:spacing w:before="240" w:after="240" w:line="360" w:lineRule="auto"/>
        <w:jc w:val="both"/>
        <w:rPr>
          <w:rFonts w:ascii="Arial" w:eastAsia="Arial" w:hAnsi="Arial" w:cs="Arial"/>
          <w:sz w:val="22"/>
          <w:szCs w:val="22"/>
        </w:rPr>
      </w:pPr>
    </w:p>
    <w:p w14:paraId="51C39FE7" w14:textId="77777777" w:rsidR="006921ED" w:rsidRDefault="006921ED">
      <w:pPr>
        <w:spacing w:before="240" w:after="240" w:line="360" w:lineRule="auto"/>
        <w:jc w:val="both"/>
        <w:rPr>
          <w:rFonts w:ascii="Arial" w:eastAsia="Arial" w:hAnsi="Arial" w:cs="Arial"/>
          <w:sz w:val="22"/>
          <w:szCs w:val="22"/>
        </w:rPr>
      </w:pPr>
    </w:p>
    <w:p w14:paraId="51C39FE8" w14:textId="77777777" w:rsidR="006921ED" w:rsidRDefault="006921ED">
      <w:pPr>
        <w:spacing w:before="240" w:after="240" w:line="360" w:lineRule="auto"/>
        <w:jc w:val="both"/>
        <w:rPr>
          <w:rFonts w:ascii="Arial" w:eastAsia="Arial" w:hAnsi="Arial" w:cs="Arial"/>
          <w:sz w:val="22"/>
          <w:szCs w:val="22"/>
        </w:rPr>
      </w:pPr>
    </w:p>
    <w:p w14:paraId="51C39FE9" w14:textId="77777777" w:rsidR="006921ED" w:rsidRDefault="006921ED">
      <w:pPr>
        <w:spacing w:before="240" w:after="240" w:line="360" w:lineRule="auto"/>
        <w:jc w:val="both"/>
        <w:rPr>
          <w:rFonts w:ascii="Arial" w:eastAsia="Arial" w:hAnsi="Arial" w:cs="Arial"/>
          <w:sz w:val="22"/>
          <w:szCs w:val="22"/>
        </w:rPr>
      </w:pPr>
    </w:p>
    <w:p w14:paraId="51C39FEA" w14:textId="77777777" w:rsidR="006921ED" w:rsidRDefault="006921ED">
      <w:pPr>
        <w:spacing w:before="240" w:after="240" w:line="360" w:lineRule="auto"/>
        <w:jc w:val="both"/>
        <w:rPr>
          <w:rFonts w:ascii="Arial" w:eastAsia="Arial" w:hAnsi="Arial" w:cs="Arial"/>
          <w:sz w:val="22"/>
          <w:szCs w:val="22"/>
        </w:rPr>
      </w:pPr>
    </w:p>
    <w:p w14:paraId="51C39FEB" w14:textId="77777777" w:rsidR="006921ED" w:rsidRDefault="006921ED">
      <w:pPr>
        <w:spacing w:before="240" w:after="240" w:line="360" w:lineRule="auto"/>
        <w:jc w:val="both"/>
        <w:rPr>
          <w:rFonts w:ascii="Arial" w:eastAsia="Arial" w:hAnsi="Arial" w:cs="Arial"/>
          <w:sz w:val="22"/>
          <w:szCs w:val="22"/>
        </w:rPr>
      </w:pPr>
    </w:p>
    <w:p w14:paraId="51C39FEC" w14:textId="77777777" w:rsidR="006921ED" w:rsidRDefault="006921ED">
      <w:pPr>
        <w:spacing w:before="240" w:after="240" w:line="360" w:lineRule="auto"/>
        <w:jc w:val="both"/>
        <w:rPr>
          <w:rFonts w:ascii="Arial" w:eastAsia="Arial" w:hAnsi="Arial" w:cs="Arial"/>
          <w:sz w:val="22"/>
          <w:szCs w:val="22"/>
        </w:rPr>
      </w:pPr>
    </w:p>
    <w:p w14:paraId="51C39FED" w14:textId="77777777" w:rsidR="006921ED" w:rsidRDefault="006921ED">
      <w:pPr>
        <w:spacing w:before="240" w:after="240" w:line="360" w:lineRule="auto"/>
        <w:jc w:val="both"/>
        <w:rPr>
          <w:rFonts w:ascii="Arial" w:eastAsia="Arial" w:hAnsi="Arial" w:cs="Arial"/>
          <w:sz w:val="22"/>
          <w:szCs w:val="22"/>
        </w:rPr>
      </w:pPr>
    </w:p>
    <w:p w14:paraId="51C39FEE" w14:textId="77777777" w:rsidR="006921ED" w:rsidRDefault="006921ED">
      <w:pPr>
        <w:spacing w:before="240" w:after="240" w:line="360" w:lineRule="auto"/>
        <w:jc w:val="both"/>
        <w:rPr>
          <w:rFonts w:ascii="Arial" w:eastAsia="Arial" w:hAnsi="Arial" w:cs="Arial"/>
          <w:sz w:val="22"/>
          <w:szCs w:val="22"/>
        </w:rPr>
      </w:pPr>
    </w:p>
    <w:p w14:paraId="51C39FEF" w14:textId="028578FB" w:rsidR="00A93FD7" w:rsidRDefault="00A93FD7">
      <w:pPr>
        <w:rPr>
          <w:rFonts w:ascii="Arial" w:eastAsia="Arial" w:hAnsi="Arial" w:cs="Arial"/>
          <w:sz w:val="22"/>
          <w:szCs w:val="22"/>
        </w:rPr>
      </w:pPr>
      <w:r>
        <w:rPr>
          <w:rFonts w:ascii="Arial" w:eastAsia="Arial" w:hAnsi="Arial" w:cs="Arial"/>
          <w:sz w:val="22"/>
          <w:szCs w:val="22"/>
        </w:rPr>
        <w:br w:type="page"/>
      </w:r>
    </w:p>
    <w:p w14:paraId="51C39FF1" w14:textId="77777777" w:rsidR="006921ED" w:rsidRDefault="00D73B41">
      <w:pPr>
        <w:pStyle w:val="Heading1"/>
        <w:numPr>
          <w:ilvl w:val="0"/>
          <w:numId w:val="8"/>
        </w:numPr>
        <w:spacing w:before="240" w:after="240" w:line="360" w:lineRule="auto"/>
        <w:jc w:val="both"/>
        <w:rPr>
          <w:rFonts w:ascii="Arial" w:eastAsia="Arial" w:hAnsi="Arial" w:cs="Arial"/>
          <w:b/>
          <w:bCs/>
          <w:color w:val="000000"/>
          <w:sz w:val="22"/>
          <w:szCs w:val="22"/>
        </w:rPr>
      </w:pPr>
      <w:bookmarkStart w:id="86" w:name="_heading=h.qnlhhjc2zxj6" w:colFirst="0" w:colLast="0"/>
      <w:bookmarkEnd w:id="86"/>
      <w:r>
        <w:rPr>
          <w:rFonts w:ascii="Arial" w:eastAsia="Arial" w:hAnsi="Arial" w:cs="Arial"/>
          <w:b/>
          <w:bCs/>
          <w:color w:val="000000"/>
          <w:sz w:val="22"/>
          <w:szCs w:val="22"/>
        </w:rPr>
        <w:lastRenderedPageBreak/>
        <w:t>Reference List</w:t>
      </w:r>
    </w:p>
    <w:p w14:paraId="51C39FF2"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Ahmed, M., Ahmed, F., Abu-Bakr Abu-Median, </w:t>
      </w:r>
      <w:proofErr w:type="spellStart"/>
      <w:r>
        <w:rPr>
          <w:rFonts w:ascii="Arial" w:eastAsia="Arial" w:hAnsi="Arial" w:cs="Arial"/>
          <w:sz w:val="22"/>
          <w:szCs w:val="22"/>
        </w:rPr>
        <w:t>Panourgia</w:t>
      </w:r>
      <w:proofErr w:type="spellEnd"/>
      <w:r>
        <w:rPr>
          <w:rFonts w:ascii="Arial" w:eastAsia="Arial" w:hAnsi="Arial" w:cs="Arial"/>
          <w:sz w:val="22"/>
          <w:szCs w:val="22"/>
        </w:rPr>
        <w:t xml:space="preserve">, M., </w:t>
      </w:r>
      <w:proofErr w:type="spellStart"/>
      <w:r>
        <w:rPr>
          <w:rFonts w:ascii="Arial" w:eastAsia="Arial" w:hAnsi="Arial" w:cs="Arial"/>
          <w:sz w:val="22"/>
          <w:szCs w:val="22"/>
        </w:rPr>
        <w:t>Owles</w:t>
      </w:r>
      <w:proofErr w:type="spellEnd"/>
      <w:r>
        <w:rPr>
          <w:rFonts w:ascii="Arial" w:eastAsia="Arial" w:hAnsi="Arial" w:cs="Arial"/>
          <w:sz w:val="22"/>
          <w:szCs w:val="22"/>
        </w:rPr>
        <w:t xml:space="preserve">, H., Ochieng, B., Ahamed, H., Wale, J., Dietsch, B.J. and Mital, D. (2023). HIV and an Ageing Population—What Are the Medical, Psychosocial, and Palliative Care Challenges in Healthcare Provisions. </w:t>
      </w:r>
      <w:r>
        <w:rPr>
          <w:rFonts w:ascii="Arial" w:eastAsia="Arial" w:hAnsi="Arial" w:cs="Arial"/>
          <w:i/>
          <w:iCs/>
          <w:sz w:val="22"/>
          <w:szCs w:val="22"/>
        </w:rPr>
        <w:t>Microorganisms</w:t>
      </w:r>
      <w:r>
        <w:rPr>
          <w:rFonts w:ascii="Arial" w:eastAsia="Arial" w:hAnsi="Arial" w:cs="Arial"/>
          <w:sz w:val="22"/>
          <w:szCs w:val="22"/>
        </w:rPr>
        <w:t xml:space="preserve">, 11(10), pp.2426–2426.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://doi.org/10.3390/microorganisms11102426</w:t>
      </w:r>
      <w:proofErr w:type="gramEnd"/>
      <w:r>
        <w:rPr>
          <w:rFonts w:ascii="Arial" w:eastAsia="Arial" w:hAnsi="Arial" w:cs="Arial"/>
          <w:sz w:val="22"/>
          <w:szCs w:val="22"/>
        </w:rPr>
        <w:t>.</w:t>
      </w:r>
    </w:p>
    <w:p w14:paraId="51C39FF3"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Ahmed, S.K., Mohammed, R.A., Nashwan, A.J., Ibrahim, R.H., Abdalla, A.Q., Ameen, B.M.M. and </w:t>
      </w:r>
      <w:proofErr w:type="spellStart"/>
      <w:r>
        <w:rPr>
          <w:rFonts w:ascii="Arial" w:eastAsia="Arial" w:hAnsi="Arial" w:cs="Arial"/>
          <w:color w:val="000000"/>
          <w:sz w:val="22"/>
          <w:szCs w:val="22"/>
        </w:rPr>
        <w:t>Khidhir</w:t>
      </w:r>
      <w:proofErr w:type="spellEnd"/>
      <w:r>
        <w:rPr>
          <w:rFonts w:ascii="Arial" w:eastAsia="Arial" w:hAnsi="Arial" w:cs="Arial"/>
          <w:color w:val="000000"/>
          <w:sz w:val="22"/>
          <w:szCs w:val="22"/>
        </w:rPr>
        <w:t xml:space="preserve">, R.M. (2025). Using Thematic Analysis in Qualitative Research. </w:t>
      </w:r>
      <w:r>
        <w:rPr>
          <w:rFonts w:ascii="Arial" w:eastAsia="Arial" w:hAnsi="Arial" w:cs="Arial"/>
          <w:i/>
          <w:iCs/>
          <w:color w:val="000000"/>
          <w:sz w:val="22"/>
          <w:szCs w:val="22"/>
        </w:rPr>
        <w:t>Journal of Medicine, Surgery, and Public Health</w:t>
      </w:r>
      <w:r>
        <w:rPr>
          <w:rFonts w:ascii="Arial" w:eastAsia="Arial" w:hAnsi="Arial" w:cs="Arial"/>
          <w:color w:val="000000"/>
          <w:sz w:val="22"/>
          <w:szCs w:val="22"/>
        </w:rPr>
        <w:t xml:space="preserve">, [online] 6(6), p.100198.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://doi.org/10.1016/j.glmedi.2025.100198</w:t>
      </w:r>
      <w:proofErr w:type="gramEnd"/>
      <w:r>
        <w:rPr>
          <w:rFonts w:ascii="Arial" w:eastAsia="Arial" w:hAnsi="Arial" w:cs="Arial"/>
          <w:color w:val="000000"/>
          <w:sz w:val="22"/>
          <w:szCs w:val="22"/>
        </w:rPr>
        <w:t>.</w:t>
      </w:r>
    </w:p>
    <w:p w14:paraId="51C39FF4"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Aidsmap</w:t>
      </w:r>
      <w:proofErr w:type="spellEnd"/>
      <w:r>
        <w:rPr>
          <w:rFonts w:ascii="Arial" w:eastAsia="Arial" w:hAnsi="Arial" w:cs="Arial"/>
          <w:color w:val="000000"/>
          <w:sz w:val="22"/>
          <w:szCs w:val="22"/>
        </w:rPr>
        <w:t xml:space="preserve"> (2019). </w:t>
      </w:r>
      <w:r>
        <w:rPr>
          <w:rFonts w:ascii="Arial" w:eastAsia="Arial" w:hAnsi="Arial" w:cs="Arial"/>
          <w:i/>
          <w:iCs/>
          <w:color w:val="000000"/>
          <w:sz w:val="22"/>
          <w:szCs w:val="22"/>
        </w:rPr>
        <w:t>Rate of undiagnosed HIV remains high among black African heterosexuals in London</w:t>
      </w:r>
      <w:r>
        <w:rPr>
          <w:rFonts w:ascii="Arial" w:eastAsia="Arial" w:hAnsi="Arial" w:cs="Arial"/>
          <w:color w:val="000000"/>
          <w:sz w:val="22"/>
          <w:szCs w:val="22"/>
        </w:rPr>
        <w:t>. [online] aidsmap.com. Available at: https://www.aidsmap.com/news/may-2019/rate-undiagnosed-hiv-remains-high-among-black-african-heterosexuals-london.</w:t>
      </w:r>
    </w:p>
    <w:p w14:paraId="51C39FF5"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Alessandro, D.C., Dost, B., </w:t>
      </w:r>
      <w:proofErr w:type="spellStart"/>
      <w:r>
        <w:rPr>
          <w:rFonts w:ascii="Arial" w:eastAsia="Arial" w:hAnsi="Arial" w:cs="Arial"/>
          <w:sz w:val="22"/>
          <w:szCs w:val="22"/>
        </w:rPr>
        <w:t>Tulgar</w:t>
      </w:r>
      <w:proofErr w:type="spellEnd"/>
      <w:r>
        <w:rPr>
          <w:rFonts w:ascii="Arial" w:eastAsia="Arial" w:hAnsi="Arial" w:cs="Arial"/>
          <w:sz w:val="22"/>
          <w:szCs w:val="22"/>
        </w:rPr>
        <w:t xml:space="preserve">, S. and Boscolo, A. (2025). Methodological Standards for Conducting High-Quality Systematic Reviews. </w:t>
      </w:r>
      <w:r>
        <w:rPr>
          <w:rFonts w:ascii="Arial" w:eastAsia="Arial" w:hAnsi="Arial" w:cs="Arial"/>
          <w:i/>
          <w:iCs/>
          <w:sz w:val="22"/>
          <w:szCs w:val="22"/>
        </w:rPr>
        <w:t>Biology</w:t>
      </w:r>
      <w:r>
        <w:rPr>
          <w:rFonts w:ascii="Arial" w:eastAsia="Arial" w:hAnsi="Arial" w:cs="Arial"/>
          <w:sz w:val="22"/>
          <w:szCs w:val="22"/>
        </w:rPr>
        <w:t xml:space="preserve">, [online] 14(8), p.973.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://doi.org/10.3390/biology14080973</w:t>
      </w:r>
      <w:proofErr w:type="gramEnd"/>
      <w:r>
        <w:rPr>
          <w:rFonts w:ascii="Arial" w:eastAsia="Arial" w:hAnsi="Arial" w:cs="Arial"/>
          <w:sz w:val="22"/>
          <w:szCs w:val="22"/>
        </w:rPr>
        <w:t>.</w:t>
      </w:r>
    </w:p>
    <w:p w14:paraId="51C39FF6"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Almutairi, R., </w:t>
      </w:r>
      <w:proofErr w:type="spellStart"/>
      <w:r>
        <w:rPr>
          <w:rFonts w:ascii="Arial" w:eastAsia="Arial" w:hAnsi="Arial" w:cs="Arial"/>
          <w:color w:val="000000"/>
          <w:sz w:val="22"/>
          <w:szCs w:val="22"/>
        </w:rPr>
        <w:t>Alsarraf</w:t>
      </w:r>
      <w:proofErr w:type="spellEnd"/>
      <w:r>
        <w:rPr>
          <w:rFonts w:ascii="Arial" w:eastAsia="Arial" w:hAnsi="Arial" w:cs="Arial"/>
          <w:color w:val="000000"/>
          <w:sz w:val="22"/>
          <w:szCs w:val="22"/>
        </w:rPr>
        <w:t xml:space="preserve">, A., </w:t>
      </w:r>
      <w:proofErr w:type="spellStart"/>
      <w:r>
        <w:rPr>
          <w:rFonts w:ascii="Arial" w:eastAsia="Arial" w:hAnsi="Arial" w:cs="Arial"/>
          <w:color w:val="000000"/>
          <w:sz w:val="22"/>
          <w:szCs w:val="22"/>
        </w:rPr>
        <w:t>Alkandari</w:t>
      </w:r>
      <w:proofErr w:type="spellEnd"/>
      <w:r>
        <w:rPr>
          <w:rFonts w:ascii="Arial" w:eastAsia="Arial" w:hAnsi="Arial" w:cs="Arial"/>
          <w:color w:val="000000"/>
          <w:sz w:val="22"/>
          <w:szCs w:val="22"/>
        </w:rPr>
        <w:t xml:space="preserve">, D., Ashkanani, H. and </w:t>
      </w:r>
      <w:proofErr w:type="spellStart"/>
      <w:r>
        <w:rPr>
          <w:rFonts w:ascii="Arial" w:eastAsia="Arial" w:hAnsi="Arial" w:cs="Arial"/>
          <w:color w:val="000000"/>
          <w:sz w:val="22"/>
          <w:szCs w:val="22"/>
        </w:rPr>
        <w:t>Albazali</w:t>
      </w:r>
      <w:proofErr w:type="spellEnd"/>
      <w:r>
        <w:rPr>
          <w:rFonts w:ascii="Arial" w:eastAsia="Arial" w:hAnsi="Arial" w:cs="Arial"/>
          <w:color w:val="000000"/>
          <w:sz w:val="22"/>
          <w:szCs w:val="22"/>
        </w:rPr>
        <w:t xml:space="preserve">, A. (2024). Dissecting through the literature: A review of the critical appraisal process. </w:t>
      </w:r>
      <w:r>
        <w:rPr>
          <w:rFonts w:ascii="Arial" w:eastAsia="Arial" w:hAnsi="Arial" w:cs="Arial"/>
          <w:i/>
          <w:iCs/>
          <w:color w:val="000000"/>
          <w:sz w:val="22"/>
          <w:szCs w:val="22"/>
        </w:rPr>
        <w:t>Cureus</w:t>
      </w:r>
      <w:r>
        <w:rPr>
          <w:rFonts w:ascii="Arial" w:eastAsia="Arial" w:hAnsi="Arial" w:cs="Arial"/>
          <w:color w:val="000000"/>
          <w:sz w:val="22"/>
          <w:szCs w:val="22"/>
        </w:rPr>
        <w:t xml:space="preserve">, [online] 16(5).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://doi.org/10.7759/cureus.59658</w:t>
      </w:r>
      <w:proofErr w:type="gramEnd"/>
      <w:r>
        <w:rPr>
          <w:rFonts w:ascii="Arial" w:eastAsia="Arial" w:hAnsi="Arial" w:cs="Arial"/>
          <w:color w:val="000000"/>
          <w:sz w:val="22"/>
          <w:szCs w:val="22"/>
        </w:rPr>
        <w:t>.</w:t>
      </w:r>
    </w:p>
    <w:p w14:paraId="51C39FF7"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Arrington-Sanders, R., Hailey-Fair, K., Wirtz, A.L., Morgan, A., Brooks, D., Castillo, M., Trexler, C., Kwait, J., </w:t>
      </w:r>
      <w:proofErr w:type="spellStart"/>
      <w:r>
        <w:rPr>
          <w:rFonts w:ascii="Arial" w:eastAsia="Arial" w:hAnsi="Arial" w:cs="Arial"/>
          <w:color w:val="000000"/>
          <w:sz w:val="22"/>
          <w:szCs w:val="22"/>
        </w:rPr>
        <w:t>Dowshen</w:t>
      </w:r>
      <w:proofErr w:type="spellEnd"/>
      <w:r>
        <w:rPr>
          <w:rFonts w:ascii="Arial" w:eastAsia="Arial" w:hAnsi="Arial" w:cs="Arial"/>
          <w:color w:val="000000"/>
          <w:sz w:val="22"/>
          <w:szCs w:val="22"/>
        </w:rPr>
        <w:t xml:space="preserve">, N., Galai, N., Beyrer, C. and Celentano, D. (2020). Role of Structural Marginalization, HIV Stigma, and Mistrust on HIV Prevention and Treatment Among Young Black Latinx Men Who Have Sex with Men and Transgender Women: Perspectives from Youth Service Providers. </w:t>
      </w:r>
      <w:r>
        <w:rPr>
          <w:rFonts w:ascii="Arial" w:eastAsia="Arial" w:hAnsi="Arial" w:cs="Arial"/>
          <w:i/>
          <w:iCs/>
          <w:color w:val="000000"/>
          <w:sz w:val="22"/>
          <w:szCs w:val="22"/>
        </w:rPr>
        <w:t>AIDS Patient Care and STDs</w:t>
      </w:r>
      <w:r>
        <w:rPr>
          <w:rFonts w:ascii="Arial" w:eastAsia="Arial" w:hAnsi="Arial" w:cs="Arial"/>
          <w:color w:val="000000"/>
          <w:sz w:val="22"/>
          <w:szCs w:val="22"/>
        </w:rPr>
        <w:t xml:space="preserve">, 34(1), pp.7–15.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://doi.org/10.1089/apc.2019.0165</w:t>
      </w:r>
      <w:proofErr w:type="gramEnd"/>
      <w:r>
        <w:rPr>
          <w:rFonts w:ascii="Arial" w:eastAsia="Arial" w:hAnsi="Arial" w:cs="Arial"/>
          <w:color w:val="000000"/>
          <w:sz w:val="22"/>
          <w:szCs w:val="22"/>
        </w:rPr>
        <w:t>.</w:t>
      </w:r>
    </w:p>
    <w:p w14:paraId="51C39FF8"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Bauer, G.R., Churchill, S.M., Mahendran, M., Walwyn, C., Lizotte, D. and Villa-Rueda, A.A. (2021). Intersectionality in quantitative research: A systematic review of its emergence and applications of theory and methods. </w:t>
      </w:r>
      <w:r>
        <w:rPr>
          <w:rFonts w:ascii="Arial" w:eastAsia="Arial" w:hAnsi="Arial" w:cs="Arial"/>
          <w:i/>
          <w:iCs/>
          <w:color w:val="000000"/>
          <w:sz w:val="22"/>
          <w:szCs w:val="22"/>
        </w:rPr>
        <w:t>SSM - Population Health</w:t>
      </w:r>
      <w:r>
        <w:rPr>
          <w:rFonts w:ascii="Arial" w:eastAsia="Arial" w:hAnsi="Arial" w:cs="Arial"/>
          <w:color w:val="000000"/>
          <w:sz w:val="22"/>
          <w:szCs w:val="22"/>
        </w:rPr>
        <w:t xml:space="preserve">, [online] 14(1), pp.100–798.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://doi.org/10.1016/j.ssmph.2021.100798</w:t>
      </w:r>
      <w:proofErr w:type="gramEnd"/>
      <w:r>
        <w:rPr>
          <w:rFonts w:ascii="Arial" w:eastAsia="Arial" w:hAnsi="Arial" w:cs="Arial"/>
          <w:color w:val="000000"/>
          <w:sz w:val="22"/>
          <w:szCs w:val="22"/>
        </w:rPr>
        <w:t>.</w:t>
      </w:r>
    </w:p>
    <w:p w14:paraId="51C39FF9"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lastRenderedPageBreak/>
        <w:t xml:space="preserve">BHIVA (2024) </w:t>
      </w:r>
      <w:r>
        <w:rPr>
          <w:rFonts w:ascii="Arial" w:eastAsia="Arial" w:hAnsi="Arial" w:cs="Arial"/>
          <w:i/>
          <w:iCs/>
          <w:color w:val="000000"/>
          <w:sz w:val="22"/>
          <w:szCs w:val="22"/>
        </w:rPr>
        <w:t>Standards of Psychological Support for Adults Living with HIV Consultation draft</w:t>
      </w:r>
      <w:r>
        <w:rPr>
          <w:rFonts w:ascii="Arial" w:eastAsia="Arial" w:hAnsi="Arial" w:cs="Arial"/>
          <w:color w:val="000000"/>
          <w:sz w:val="22"/>
          <w:szCs w:val="22"/>
        </w:rPr>
        <w:t>. Available at: https://bhiva.org/wp-content/uploads/2024/10/Standards-of-Psychological-Care-Consultation.pdf.</w:t>
      </w:r>
    </w:p>
    <w:p w14:paraId="51C39FFA"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Bijkerk</w:t>
      </w:r>
      <w:proofErr w:type="spellEnd"/>
      <w:r>
        <w:rPr>
          <w:rFonts w:ascii="Arial" w:eastAsia="Arial" w:hAnsi="Arial" w:cs="Arial"/>
          <w:color w:val="000000"/>
          <w:sz w:val="22"/>
          <w:szCs w:val="22"/>
        </w:rPr>
        <w:t xml:space="preserve">, L.E. </w:t>
      </w:r>
      <w:r>
        <w:rPr>
          <w:rFonts w:ascii="Arial" w:eastAsia="Arial" w:hAnsi="Arial" w:cs="Arial"/>
          <w:i/>
          <w:iCs/>
          <w:color w:val="000000"/>
          <w:sz w:val="22"/>
          <w:szCs w:val="22"/>
        </w:rPr>
        <w:t>et al.</w:t>
      </w:r>
      <w:r>
        <w:rPr>
          <w:rFonts w:ascii="Arial" w:eastAsia="Arial" w:hAnsi="Arial" w:cs="Arial"/>
          <w:color w:val="000000"/>
          <w:sz w:val="22"/>
          <w:szCs w:val="22"/>
        </w:rPr>
        <w:t xml:space="preserve"> (2024) ‘Engagement with mental health and health </w:t>
      </w:r>
      <w:proofErr w:type="spellStart"/>
      <w:r>
        <w:rPr>
          <w:rFonts w:ascii="Arial" w:eastAsia="Arial" w:hAnsi="Arial" w:cs="Arial"/>
          <w:color w:val="000000"/>
          <w:sz w:val="22"/>
          <w:szCs w:val="22"/>
        </w:rPr>
        <w:t>behavior</w:t>
      </w:r>
      <w:proofErr w:type="spellEnd"/>
      <w:r>
        <w:rPr>
          <w:rFonts w:ascii="Arial" w:eastAsia="Arial" w:hAnsi="Arial" w:cs="Arial"/>
          <w:color w:val="000000"/>
          <w:sz w:val="22"/>
          <w:szCs w:val="22"/>
        </w:rPr>
        <w:t xml:space="preserve"> change interventions: An integrative review of key concepts’, </w:t>
      </w:r>
      <w:r>
        <w:rPr>
          <w:rFonts w:ascii="Arial" w:eastAsia="Arial" w:hAnsi="Arial" w:cs="Arial"/>
          <w:i/>
          <w:iCs/>
          <w:color w:val="000000"/>
          <w:sz w:val="22"/>
          <w:szCs w:val="22"/>
        </w:rPr>
        <w:t xml:space="preserve">Journal of contextual </w:t>
      </w:r>
      <w:proofErr w:type="spellStart"/>
      <w:r>
        <w:rPr>
          <w:rFonts w:ascii="Arial" w:eastAsia="Arial" w:hAnsi="Arial" w:cs="Arial"/>
          <w:i/>
          <w:iCs/>
          <w:color w:val="000000"/>
          <w:sz w:val="22"/>
          <w:szCs w:val="22"/>
        </w:rPr>
        <w:t>behavioral</w:t>
      </w:r>
      <w:proofErr w:type="spellEnd"/>
      <w:r>
        <w:rPr>
          <w:rFonts w:ascii="Arial" w:eastAsia="Arial" w:hAnsi="Arial" w:cs="Arial"/>
          <w:i/>
          <w:iCs/>
          <w:color w:val="000000"/>
          <w:sz w:val="22"/>
          <w:szCs w:val="22"/>
        </w:rPr>
        <w:t xml:space="preserve"> science</w:t>
      </w:r>
      <w:r>
        <w:rPr>
          <w:rFonts w:ascii="Arial" w:eastAsia="Arial" w:hAnsi="Arial" w:cs="Arial"/>
          <w:color w:val="000000"/>
          <w:sz w:val="22"/>
          <w:szCs w:val="22"/>
        </w:rPr>
        <w:t>, 32, pp. 100748–100748. Available at: https://doi.org/10.1016/j.jcbs.2024.100748.</w:t>
      </w:r>
    </w:p>
    <w:p w14:paraId="51C39FFB"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Bishop, F.L. and Holmes, M.M. (2013). Mixed Methods in CAM Research: A Systematic Review of Studies Published in 2012. </w:t>
      </w:r>
      <w:r>
        <w:rPr>
          <w:rFonts w:ascii="Arial" w:eastAsia="Arial" w:hAnsi="Arial" w:cs="Arial"/>
          <w:i/>
          <w:iCs/>
          <w:color w:val="000000"/>
          <w:sz w:val="22"/>
          <w:szCs w:val="22"/>
        </w:rPr>
        <w:t>Evidence-Based Complementary and Alternative Medicine</w:t>
      </w:r>
      <w:r>
        <w:rPr>
          <w:rFonts w:ascii="Arial" w:eastAsia="Arial" w:hAnsi="Arial" w:cs="Arial"/>
          <w:color w:val="000000"/>
          <w:sz w:val="22"/>
          <w:szCs w:val="22"/>
        </w:rPr>
        <w:t xml:space="preserve">, 2013, pp.1–12.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://doi.org/10.1155/2013/187365</w:t>
      </w:r>
      <w:proofErr w:type="gramEnd"/>
      <w:r>
        <w:rPr>
          <w:rFonts w:ascii="Arial" w:eastAsia="Arial" w:hAnsi="Arial" w:cs="Arial"/>
          <w:color w:val="000000"/>
          <w:sz w:val="22"/>
          <w:szCs w:val="22"/>
        </w:rPr>
        <w:t>.</w:t>
      </w:r>
    </w:p>
    <w:p w14:paraId="51C39FFC"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Bramer, W.M., De Jonge, G.B., </w:t>
      </w:r>
      <w:proofErr w:type="spellStart"/>
      <w:r>
        <w:rPr>
          <w:rFonts w:ascii="Arial" w:eastAsia="Arial" w:hAnsi="Arial" w:cs="Arial"/>
          <w:sz w:val="22"/>
          <w:szCs w:val="22"/>
        </w:rPr>
        <w:t>Rethlefsen</w:t>
      </w:r>
      <w:proofErr w:type="spellEnd"/>
      <w:r>
        <w:rPr>
          <w:rFonts w:ascii="Arial" w:eastAsia="Arial" w:hAnsi="Arial" w:cs="Arial"/>
          <w:sz w:val="22"/>
          <w:szCs w:val="22"/>
        </w:rPr>
        <w:t xml:space="preserve">, M.L., Mast, F. and Kleijnen, J. (2018). A Systematic Approach to Searching: </w:t>
      </w:r>
      <w:proofErr w:type="gramStart"/>
      <w:r>
        <w:rPr>
          <w:rFonts w:ascii="Arial" w:eastAsia="Arial" w:hAnsi="Arial" w:cs="Arial"/>
          <w:sz w:val="22"/>
          <w:szCs w:val="22"/>
        </w:rPr>
        <w:t>an</w:t>
      </w:r>
      <w:proofErr w:type="gramEnd"/>
      <w:r>
        <w:rPr>
          <w:rFonts w:ascii="Arial" w:eastAsia="Arial" w:hAnsi="Arial" w:cs="Arial"/>
          <w:sz w:val="22"/>
          <w:szCs w:val="22"/>
        </w:rPr>
        <w:t xml:space="preserve"> Efficient and Complete Method to Develop Literature Searches. </w:t>
      </w:r>
      <w:r>
        <w:rPr>
          <w:rFonts w:ascii="Arial" w:eastAsia="Arial" w:hAnsi="Arial" w:cs="Arial"/>
          <w:i/>
          <w:iCs/>
          <w:sz w:val="22"/>
          <w:szCs w:val="22"/>
        </w:rPr>
        <w:t>Journal of the Medical Library Association</w:t>
      </w:r>
      <w:r>
        <w:rPr>
          <w:rFonts w:ascii="Arial" w:eastAsia="Arial" w:hAnsi="Arial" w:cs="Arial"/>
          <w:sz w:val="22"/>
          <w:szCs w:val="22"/>
        </w:rPr>
        <w:t xml:space="preserve">, 106(4), pp.531–541.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://doi.org/10.5195/jmla.2018.283</w:t>
      </w:r>
      <w:proofErr w:type="gramEnd"/>
      <w:r>
        <w:rPr>
          <w:rFonts w:ascii="Arial" w:eastAsia="Arial" w:hAnsi="Arial" w:cs="Arial"/>
          <w:sz w:val="22"/>
          <w:szCs w:val="22"/>
        </w:rPr>
        <w:t>.</w:t>
      </w:r>
    </w:p>
    <w:p w14:paraId="51C39FFD"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Bruton, J., Rai, T., Day, S. and Ward, H. (2018). Patient perspectives on the HIV continuum of care in London: a qualitative study of people diagnosed between 1986 and 2014. </w:t>
      </w:r>
      <w:r>
        <w:rPr>
          <w:rFonts w:ascii="Arial" w:eastAsia="Arial" w:hAnsi="Arial" w:cs="Arial"/>
          <w:i/>
          <w:iCs/>
          <w:color w:val="000000"/>
          <w:sz w:val="22"/>
          <w:szCs w:val="22"/>
        </w:rPr>
        <w:t>BMJ Open</w:t>
      </w:r>
      <w:r>
        <w:rPr>
          <w:rFonts w:ascii="Arial" w:eastAsia="Arial" w:hAnsi="Arial" w:cs="Arial"/>
          <w:color w:val="000000"/>
          <w:sz w:val="22"/>
          <w:szCs w:val="22"/>
        </w:rPr>
        <w:t xml:space="preserve">, [online] 8(3), p.e020208.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://doi.org/10.1136/bmjopen-2017-020208</w:t>
      </w:r>
      <w:proofErr w:type="gramEnd"/>
      <w:r>
        <w:rPr>
          <w:rFonts w:ascii="Arial" w:eastAsia="Arial" w:hAnsi="Arial" w:cs="Arial"/>
          <w:color w:val="000000"/>
          <w:sz w:val="22"/>
          <w:szCs w:val="22"/>
        </w:rPr>
        <w:t>.</w:t>
      </w:r>
    </w:p>
    <w:p w14:paraId="51C39FFE"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Burt, J., Campbell, J., Abel, G., </w:t>
      </w:r>
      <w:proofErr w:type="spellStart"/>
      <w:r>
        <w:rPr>
          <w:rFonts w:ascii="Arial" w:eastAsia="Arial" w:hAnsi="Arial" w:cs="Arial"/>
          <w:color w:val="000000"/>
          <w:sz w:val="22"/>
          <w:szCs w:val="22"/>
        </w:rPr>
        <w:t>Aboulghate</w:t>
      </w:r>
      <w:proofErr w:type="spellEnd"/>
      <w:r>
        <w:rPr>
          <w:rFonts w:ascii="Arial" w:eastAsia="Arial" w:hAnsi="Arial" w:cs="Arial"/>
          <w:color w:val="000000"/>
          <w:sz w:val="22"/>
          <w:szCs w:val="22"/>
        </w:rPr>
        <w:t xml:space="preserve">, A., Ahmed, F., Asprey, A., Barry, H., Beckwith, J., Benson, J., Boiko, O., Bower, P., Calitri, R., Carter, M., Davey, A., Elliott, M.N., Elmore, N., Farrington, C., Haque, H.W., Henley, W. and Lattimer, V. (2017). </w:t>
      </w:r>
      <w:r>
        <w:rPr>
          <w:rFonts w:ascii="Arial" w:eastAsia="Arial" w:hAnsi="Arial" w:cs="Arial"/>
          <w:i/>
          <w:iCs/>
          <w:color w:val="000000"/>
          <w:sz w:val="22"/>
          <w:szCs w:val="22"/>
        </w:rPr>
        <w:t>The validity and use of patient experience survey data in out-of-hours care</w:t>
      </w:r>
      <w:r>
        <w:rPr>
          <w:rFonts w:ascii="Arial" w:eastAsia="Arial" w:hAnsi="Arial" w:cs="Arial"/>
          <w:color w:val="000000"/>
          <w:sz w:val="22"/>
          <w:szCs w:val="22"/>
        </w:rPr>
        <w:t>. [online] Nih.gov. Available at: https://www.ncbi.nlm.nih.gov/books/NBK436542/.</w:t>
      </w:r>
    </w:p>
    <w:p w14:paraId="51C39FFF"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Busza</w:t>
      </w:r>
      <w:proofErr w:type="spellEnd"/>
      <w:r>
        <w:rPr>
          <w:rFonts w:ascii="Arial" w:eastAsia="Arial" w:hAnsi="Arial" w:cs="Arial"/>
          <w:color w:val="000000"/>
          <w:sz w:val="22"/>
          <w:szCs w:val="22"/>
        </w:rPr>
        <w:t xml:space="preserve">, J., Simms, V., Dziva Chikwari, C., </w:t>
      </w:r>
      <w:proofErr w:type="spellStart"/>
      <w:r>
        <w:rPr>
          <w:rFonts w:ascii="Arial" w:eastAsia="Arial" w:hAnsi="Arial" w:cs="Arial"/>
          <w:color w:val="000000"/>
          <w:sz w:val="22"/>
          <w:szCs w:val="22"/>
        </w:rPr>
        <w:t>Dauya</w:t>
      </w:r>
      <w:proofErr w:type="spellEnd"/>
      <w:r>
        <w:rPr>
          <w:rFonts w:ascii="Arial" w:eastAsia="Arial" w:hAnsi="Arial" w:cs="Arial"/>
          <w:color w:val="000000"/>
          <w:sz w:val="22"/>
          <w:szCs w:val="22"/>
        </w:rPr>
        <w:t xml:space="preserve">, E., </w:t>
      </w:r>
      <w:proofErr w:type="spellStart"/>
      <w:r>
        <w:rPr>
          <w:rFonts w:ascii="Arial" w:eastAsia="Arial" w:hAnsi="Arial" w:cs="Arial"/>
          <w:color w:val="000000"/>
          <w:sz w:val="22"/>
          <w:szCs w:val="22"/>
        </w:rPr>
        <w:t>Bandason</w:t>
      </w:r>
      <w:proofErr w:type="spellEnd"/>
      <w:r>
        <w:rPr>
          <w:rFonts w:ascii="Arial" w:eastAsia="Arial" w:hAnsi="Arial" w:cs="Arial"/>
          <w:color w:val="000000"/>
          <w:sz w:val="22"/>
          <w:szCs w:val="22"/>
        </w:rPr>
        <w:t xml:space="preserve">, T., Makamba, M., McHugh, G. and Ferrand, R.A. (2018). ‘It is not possible to go inside and have a discussion’: how fear of stigma affects delivery of community-based support for children’s HIV care. </w:t>
      </w:r>
      <w:r>
        <w:rPr>
          <w:rFonts w:ascii="Arial" w:eastAsia="Arial" w:hAnsi="Arial" w:cs="Arial"/>
          <w:i/>
          <w:iCs/>
          <w:color w:val="000000"/>
          <w:sz w:val="22"/>
          <w:szCs w:val="22"/>
        </w:rPr>
        <w:t>AIDS Care</w:t>
      </w:r>
      <w:r>
        <w:rPr>
          <w:rFonts w:ascii="Arial" w:eastAsia="Arial" w:hAnsi="Arial" w:cs="Arial"/>
          <w:color w:val="000000"/>
          <w:sz w:val="22"/>
          <w:szCs w:val="22"/>
        </w:rPr>
        <w:t xml:space="preserve">, 30(7), pp.903–909.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://doi.org/10.1080/09540121.2018.1445826</w:t>
      </w:r>
      <w:proofErr w:type="gramEnd"/>
      <w:r>
        <w:rPr>
          <w:rFonts w:ascii="Arial" w:eastAsia="Arial" w:hAnsi="Arial" w:cs="Arial"/>
          <w:color w:val="000000"/>
          <w:sz w:val="22"/>
          <w:szCs w:val="22"/>
        </w:rPr>
        <w:t>.</w:t>
      </w:r>
    </w:p>
    <w:p w14:paraId="51C3A000"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Capili, B. (2020). How Does Research Start? </w:t>
      </w:r>
      <w:r>
        <w:rPr>
          <w:rFonts w:ascii="Arial" w:eastAsia="Arial" w:hAnsi="Arial" w:cs="Arial"/>
          <w:i/>
          <w:iCs/>
          <w:sz w:val="22"/>
          <w:szCs w:val="22"/>
        </w:rPr>
        <w:t>AJN, American Journal of Nursing</w:t>
      </w:r>
      <w:r>
        <w:rPr>
          <w:rFonts w:ascii="Arial" w:eastAsia="Arial" w:hAnsi="Arial" w:cs="Arial"/>
          <w:sz w:val="22"/>
          <w:szCs w:val="22"/>
        </w:rPr>
        <w:t xml:space="preserve">, [online] 120(10), pp.41–44.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://doi.org/10.1097/01.naj.0000718644.96765.b3</w:t>
      </w:r>
      <w:proofErr w:type="gramEnd"/>
      <w:r>
        <w:rPr>
          <w:rFonts w:ascii="Arial" w:eastAsia="Arial" w:hAnsi="Arial" w:cs="Arial"/>
          <w:sz w:val="22"/>
          <w:szCs w:val="22"/>
        </w:rPr>
        <w:t>.</w:t>
      </w:r>
    </w:p>
    <w:p w14:paraId="51C3A001"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Carmona, C., Baxter, S. and Carroll, C. (2021). Systematic review of the methodological literature for integrating qualitative evidence syntheses into health guideline development. </w:t>
      </w:r>
      <w:r>
        <w:rPr>
          <w:rFonts w:ascii="Arial" w:eastAsia="Arial" w:hAnsi="Arial" w:cs="Arial"/>
          <w:i/>
          <w:iCs/>
          <w:sz w:val="22"/>
          <w:szCs w:val="22"/>
        </w:rPr>
        <w:t>Research Synthesis Methods</w:t>
      </w:r>
      <w:r>
        <w:rPr>
          <w:rFonts w:ascii="Arial" w:eastAsia="Arial" w:hAnsi="Arial" w:cs="Arial"/>
          <w:sz w:val="22"/>
          <w:szCs w:val="22"/>
        </w:rPr>
        <w:t xml:space="preserve">, 12(4).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://doi.org/10.1002/jrsm.1483</w:t>
      </w:r>
      <w:proofErr w:type="gramEnd"/>
      <w:r>
        <w:rPr>
          <w:rFonts w:ascii="Arial" w:eastAsia="Arial" w:hAnsi="Arial" w:cs="Arial"/>
          <w:sz w:val="22"/>
          <w:szCs w:val="22"/>
        </w:rPr>
        <w:t>.</w:t>
      </w:r>
    </w:p>
    <w:p w14:paraId="51C3A002"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lastRenderedPageBreak/>
        <w:t xml:space="preserve">CASP (2024). </w:t>
      </w:r>
      <w:r>
        <w:rPr>
          <w:rFonts w:ascii="Arial" w:eastAsia="Arial" w:hAnsi="Arial" w:cs="Arial"/>
          <w:i/>
          <w:iCs/>
          <w:color w:val="000000"/>
          <w:sz w:val="22"/>
          <w:szCs w:val="22"/>
        </w:rPr>
        <w:t>CASP Checklist: For Qualitative Research</w:t>
      </w:r>
      <w:r>
        <w:rPr>
          <w:rFonts w:ascii="Arial" w:eastAsia="Arial" w:hAnsi="Arial" w:cs="Arial"/>
          <w:color w:val="000000"/>
          <w:sz w:val="22"/>
          <w:szCs w:val="22"/>
        </w:rPr>
        <w:t xml:space="preserve">. [online] </w:t>
      </w:r>
      <w:r>
        <w:rPr>
          <w:rFonts w:ascii="Arial" w:eastAsia="Arial" w:hAnsi="Arial" w:cs="Arial"/>
          <w:i/>
          <w:iCs/>
          <w:color w:val="000000"/>
          <w:sz w:val="22"/>
          <w:szCs w:val="22"/>
        </w:rPr>
        <w:t>Critical Appraisal Skills Programme</w:t>
      </w:r>
      <w:r>
        <w:rPr>
          <w:rFonts w:ascii="Arial" w:eastAsia="Arial" w:hAnsi="Arial" w:cs="Arial"/>
          <w:color w:val="000000"/>
          <w:sz w:val="22"/>
          <w:szCs w:val="22"/>
        </w:rPr>
        <w:t>. Available at: https://casp-uk.net/casp-checklists/CASP-checklist-qualitative-2024.pdf.</w:t>
      </w:r>
    </w:p>
    <w:p w14:paraId="51C3A003"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CASP (2025). </w:t>
      </w:r>
      <w:r>
        <w:rPr>
          <w:rFonts w:ascii="Arial" w:eastAsia="Arial" w:hAnsi="Arial" w:cs="Arial"/>
          <w:i/>
          <w:iCs/>
          <w:color w:val="000000"/>
          <w:sz w:val="22"/>
          <w:szCs w:val="22"/>
        </w:rPr>
        <w:t>What Is Critical appraisal?</w:t>
      </w:r>
      <w:r>
        <w:rPr>
          <w:rFonts w:ascii="Arial" w:eastAsia="Arial" w:hAnsi="Arial" w:cs="Arial"/>
          <w:color w:val="000000"/>
          <w:sz w:val="22"/>
          <w:szCs w:val="22"/>
        </w:rPr>
        <w:t xml:space="preserve"> [online] CASP - Critical Appraisal Skills Programme. Available at: https://casp-uk.net/what-is-critical-appraisal/.</w:t>
      </w:r>
    </w:p>
    <w:p w14:paraId="51C3A004"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Chawla, S., Kaida, A., Brouillette, M.-J., Kleiner, B., Dubuc, D., Skerritt, L., Burchell, A.N., Rouleau, D., </w:t>
      </w:r>
      <w:proofErr w:type="spellStart"/>
      <w:r>
        <w:rPr>
          <w:rFonts w:ascii="Arial" w:eastAsia="Arial" w:hAnsi="Arial" w:cs="Arial"/>
          <w:color w:val="000000"/>
          <w:sz w:val="22"/>
          <w:szCs w:val="22"/>
        </w:rPr>
        <w:t>Loutfy</w:t>
      </w:r>
      <w:proofErr w:type="spellEnd"/>
      <w:r>
        <w:rPr>
          <w:rFonts w:ascii="Arial" w:eastAsia="Arial" w:hAnsi="Arial" w:cs="Arial"/>
          <w:color w:val="000000"/>
          <w:sz w:val="22"/>
          <w:szCs w:val="22"/>
        </w:rPr>
        <w:t xml:space="preserve">, M. and </w:t>
      </w:r>
      <w:proofErr w:type="spellStart"/>
      <w:r>
        <w:rPr>
          <w:rFonts w:ascii="Arial" w:eastAsia="Arial" w:hAnsi="Arial" w:cs="Arial"/>
          <w:color w:val="000000"/>
          <w:sz w:val="22"/>
          <w:szCs w:val="22"/>
        </w:rPr>
        <w:t>Pokomandy</w:t>
      </w:r>
      <w:proofErr w:type="spellEnd"/>
      <w:r>
        <w:rPr>
          <w:rFonts w:ascii="Arial" w:eastAsia="Arial" w:hAnsi="Arial" w:cs="Arial"/>
          <w:color w:val="000000"/>
          <w:sz w:val="22"/>
          <w:szCs w:val="22"/>
        </w:rPr>
        <w:t xml:space="preserve">, A. de (2024). Mental health service use and shortages among a cohort of women living with HIV in Canada. </w:t>
      </w:r>
      <w:r>
        <w:rPr>
          <w:rFonts w:ascii="Arial" w:eastAsia="Arial" w:hAnsi="Arial" w:cs="Arial"/>
          <w:i/>
          <w:iCs/>
          <w:color w:val="000000"/>
          <w:sz w:val="22"/>
          <w:szCs w:val="22"/>
        </w:rPr>
        <w:t>BMC Health Services Research</w:t>
      </w:r>
      <w:r>
        <w:rPr>
          <w:rFonts w:ascii="Arial" w:eastAsia="Arial" w:hAnsi="Arial" w:cs="Arial"/>
          <w:color w:val="000000"/>
          <w:sz w:val="22"/>
          <w:szCs w:val="22"/>
        </w:rPr>
        <w:t xml:space="preserve">, 24(1).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://doi.org/10.1186/s12913-024-11396-z</w:t>
      </w:r>
      <w:proofErr w:type="gramEnd"/>
      <w:r>
        <w:rPr>
          <w:rFonts w:ascii="Arial" w:eastAsia="Arial" w:hAnsi="Arial" w:cs="Arial"/>
          <w:color w:val="000000"/>
          <w:sz w:val="22"/>
          <w:szCs w:val="22"/>
        </w:rPr>
        <w:t>.</w:t>
      </w:r>
    </w:p>
    <w:p w14:paraId="51C3A005" w14:textId="77777777" w:rsidR="006921ED" w:rsidRDefault="00D73B41">
      <w:pPr>
        <w:spacing w:before="240" w:after="240" w:line="360" w:lineRule="auto"/>
        <w:rPr>
          <w:rFonts w:ascii="Arial" w:eastAsia="Arial" w:hAnsi="Arial" w:cs="Arial"/>
          <w:sz w:val="22"/>
          <w:szCs w:val="22"/>
        </w:rPr>
      </w:pPr>
      <w:proofErr w:type="spellStart"/>
      <w:r>
        <w:rPr>
          <w:rFonts w:ascii="Arial" w:eastAsia="Arial" w:hAnsi="Arial" w:cs="Arial"/>
          <w:sz w:val="22"/>
          <w:szCs w:val="22"/>
        </w:rPr>
        <w:t>Ciemer</w:t>
      </w:r>
      <w:proofErr w:type="spellEnd"/>
      <w:r>
        <w:rPr>
          <w:rFonts w:ascii="Arial" w:eastAsia="Arial" w:hAnsi="Arial" w:cs="Arial"/>
          <w:sz w:val="22"/>
          <w:szCs w:val="22"/>
        </w:rPr>
        <w:t xml:space="preserve">, C., </w:t>
      </w:r>
      <w:proofErr w:type="spellStart"/>
      <w:r>
        <w:rPr>
          <w:rFonts w:ascii="Arial" w:eastAsia="Arial" w:hAnsi="Arial" w:cs="Arial"/>
          <w:sz w:val="22"/>
          <w:szCs w:val="22"/>
        </w:rPr>
        <w:t>Klotzbier</w:t>
      </w:r>
      <w:proofErr w:type="spellEnd"/>
      <w:r>
        <w:rPr>
          <w:rFonts w:ascii="Arial" w:eastAsia="Arial" w:hAnsi="Arial" w:cs="Arial"/>
          <w:sz w:val="22"/>
          <w:szCs w:val="22"/>
        </w:rPr>
        <w:t xml:space="preserve">, T.J., Sabiha </w:t>
      </w:r>
      <w:proofErr w:type="spellStart"/>
      <w:r>
        <w:rPr>
          <w:rFonts w:ascii="Arial" w:eastAsia="Arial" w:hAnsi="Arial" w:cs="Arial"/>
          <w:sz w:val="22"/>
          <w:szCs w:val="22"/>
        </w:rPr>
        <w:t>Ghellal</w:t>
      </w:r>
      <w:proofErr w:type="spellEnd"/>
      <w:r>
        <w:rPr>
          <w:rFonts w:ascii="Arial" w:eastAsia="Arial" w:hAnsi="Arial" w:cs="Arial"/>
          <w:sz w:val="22"/>
          <w:szCs w:val="22"/>
        </w:rPr>
        <w:t xml:space="preserve"> and Schott, N. (2025). Introducing CRIS—A unified framework for systematic literature searches across disciplines. </w:t>
      </w:r>
      <w:r>
        <w:rPr>
          <w:rFonts w:ascii="Arial" w:eastAsia="Arial" w:hAnsi="Arial" w:cs="Arial"/>
          <w:i/>
          <w:iCs/>
          <w:sz w:val="22"/>
          <w:szCs w:val="22"/>
        </w:rPr>
        <w:t>Frontiers in Public Health</w:t>
      </w:r>
      <w:r>
        <w:rPr>
          <w:rFonts w:ascii="Arial" w:eastAsia="Arial" w:hAnsi="Arial" w:cs="Arial"/>
          <w:sz w:val="22"/>
          <w:szCs w:val="22"/>
        </w:rPr>
        <w:t xml:space="preserve">, 13.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://doi.org/10.3389/fpubh.2025.1489161</w:t>
      </w:r>
      <w:proofErr w:type="gramEnd"/>
      <w:r>
        <w:rPr>
          <w:rFonts w:ascii="Arial" w:eastAsia="Arial" w:hAnsi="Arial" w:cs="Arial"/>
          <w:sz w:val="22"/>
          <w:szCs w:val="22"/>
        </w:rPr>
        <w:t>.</w:t>
      </w:r>
    </w:p>
    <w:p w14:paraId="51C3A006"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Coker, M.O. </w:t>
      </w:r>
      <w:r>
        <w:rPr>
          <w:rFonts w:ascii="Arial" w:eastAsia="Arial" w:hAnsi="Arial" w:cs="Arial"/>
          <w:i/>
          <w:iCs/>
          <w:color w:val="000000"/>
          <w:sz w:val="22"/>
          <w:szCs w:val="22"/>
        </w:rPr>
        <w:t>et al.</w:t>
      </w:r>
      <w:r>
        <w:rPr>
          <w:rFonts w:ascii="Arial" w:eastAsia="Arial" w:hAnsi="Arial" w:cs="Arial"/>
          <w:color w:val="000000"/>
          <w:sz w:val="22"/>
          <w:szCs w:val="22"/>
        </w:rPr>
        <w:t xml:space="preserve"> (2025) ‘The State of the Science on Chronic Comorbidities and Aging in Children and Adolescents with perinatally-acquired HIV’, </w:t>
      </w:r>
      <w:r>
        <w:rPr>
          <w:rFonts w:ascii="Arial" w:eastAsia="Arial" w:hAnsi="Arial" w:cs="Arial"/>
          <w:i/>
          <w:iCs/>
          <w:color w:val="000000"/>
          <w:sz w:val="22"/>
          <w:szCs w:val="22"/>
        </w:rPr>
        <w:t>Current HIV/AIDS Reports</w:t>
      </w:r>
      <w:r>
        <w:rPr>
          <w:rFonts w:ascii="Arial" w:eastAsia="Arial" w:hAnsi="Arial" w:cs="Arial"/>
          <w:color w:val="000000"/>
          <w:sz w:val="22"/>
          <w:szCs w:val="22"/>
        </w:rPr>
        <w:t>, 22(1). Available at: https://doi.org/10.1007/s11904-025-00761-0.</w:t>
      </w:r>
    </w:p>
    <w:p w14:paraId="51C3A007"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Conteh, N.K., Latona, A. and Mahomed, O. (2023). Mapping the effectiveness of integrating mental health in HIV programs: a scoping review. </w:t>
      </w:r>
      <w:r>
        <w:rPr>
          <w:rFonts w:ascii="Arial" w:eastAsia="Arial" w:hAnsi="Arial" w:cs="Arial"/>
          <w:i/>
          <w:iCs/>
          <w:sz w:val="22"/>
          <w:szCs w:val="22"/>
        </w:rPr>
        <w:t>BMC Health Services Research</w:t>
      </w:r>
      <w:r>
        <w:rPr>
          <w:rFonts w:ascii="Arial" w:eastAsia="Arial" w:hAnsi="Arial" w:cs="Arial"/>
          <w:sz w:val="22"/>
          <w:szCs w:val="22"/>
        </w:rPr>
        <w:t xml:space="preserve">, 23(1).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://doi.org/10.1186/s12913-023-09359-x</w:t>
      </w:r>
      <w:proofErr w:type="gramEnd"/>
      <w:r>
        <w:rPr>
          <w:rFonts w:ascii="Arial" w:eastAsia="Arial" w:hAnsi="Arial" w:cs="Arial"/>
          <w:sz w:val="22"/>
          <w:szCs w:val="22"/>
        </w:rPr>
        <w:t>.</w:t>
      </w:r>
    </w:p>
    <w:p w14:paraId="51C3A008"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Corrin, L., Thompson, K., Hwang, G.-J. and Lodge, J.M. (2022). The Importance of Choosing the Right Keywords for Educational Technology Publications. </w:t>
      </w:r>
      <w:r>
        <w:rPr>
          <w:rFonts w:ascii="Arial" w:eastAsia="Arial" w:hAnsi="Arial" w:cs="Arial"/>
          <w:i/>
          <w:iCs/>
          <w:sz w:val="22"/>
          <w:szCs w:val="22"/>
        </w:rPr>
        <w:t>Australasian Journal of Educational Technology</w:t>
      </w:r>
      <w:r>
        <w:rPr>
          <w:rFonts w:ascii="Arial" w:eastAsia="Arial" w:hAnsi="Arial" w:cs="Arial"/>
          <w:sz w:val="22"/>
          <w:szCs w:val="22"/>
        </w:rPr>
        <w:t>, 38(2), pp.1–8.</w:t>
      </w:r>
    </w:p>
    <w:p w14:paraId="51C3A009" w14:textId="77777777" w:rsidR="006921ED" w:rsidRDefault="00D73B41">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 xml:space="preserve">Crenshaw, K. (1989). Demarginalizing the Intersection of Race and sex: a Black Feminist Critique of Antidiscrimination doctrine, Feminist Theory and Antiracist Politics. </w:t>
      </w:r>
      <w:r>
        <w:rPr>
          <w:rFonts w:ascii="Arial" w:eastAsia="Arial" w:hAnsi="Arial" w:cs="Arial"/>
          <w:i/>
          <w:iCs/>
          <w:color w:val="000000"/>
          <w:sz w:val="22"/>
          <w:szCs w:val="22"/>
        </w:rPr>
        <w:t>University of Chicago Legal Forum</w:t>
      </w:r>
      <w:r>
        <w:rPr>
          <w:rFonts w:ascii="Arial" w:eastAsia="Arial" w:hAnsi="Arial" w:cs="Arial"/>
          <w:color w:val="000000"/>
          <w:sz w:val="22"/>
          <w:szCs w:val="22"/>
        </w:rPr>
        <w:t>, [online] 1989(1), pp.139–167. Available at: https://chicagounbound.uchicago.edu/cgi/viewcontent.cgi?article=1052&amp;context=uclf.</w:t>
      </w:r>
    </w:p>
    <w:p w14:paraId="51C3A00A"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Cruz, A. </w:t>
      </w:r>
      <w:proofErr w:type="gramStart"/>
      <w:r>
        <w:rPr>
          <w:rFonts w:ascii="Arial" w:eastAsia="Arial" w:hAnsi="Arial" w:cs="Arial"/>
          <w:color w:val="000000"/>
          <w:sz w:val="22"/>
          <w:szCs w:val="22"/>
        </w:rPr>
        <w:t>dela ,</w:t>
      </w:r>
      <w:proofErr w:type="gramEnd"/>
      <w:r>
        <w:rPr>
          <w:rFonts w:ascii="Arial" w:eastAsia="Arial" w:hAnsi="Arial" w:cs="Arial"/>
          <w:color w:val="000000"/>
          <w:sz w:val="22"/>
          <w:szCs w:val="22"/>
        </w:rPr>
        <w:t xml:space="preserve"> Maposa, S., Patten, S., Abdulmalik, I.O., Magagula, P., </w:t>
      </w:r>
      <w:proofErr w:type="spellStart"/>
      <w:r>
        <w:rPr>
          <w:rFonts w:ascii="Arial" w:eastAsia="Arial" w:hAnsi="Arial" w:cs="Arial"/>
          <w:color w:val="000000"/>
          <w:sz w:val="22"/>
          <w:szCs w:val="22"/>
        </w:rPr>
        <w:t>Sipiwe</w:t>
      </w:r>
      <w:proofErr w:type="spellEnd"/>
      <w:r>
        <w:rPr>
          <w:rFonts w:ascii="Arial" w:eastAsia="Arial" w:hAnsi="Arial" w:cs="Arial"/>
          <w:color w:val="000000"/>
          <w:sz w:val="22"/>
          <w:szCs w:val="22"/>
        </w:rPr>
        <w:t xml:space="preserve"> Mapfumo, Tsion Demeke Abate, Carter, A., Spies, P., Harrowing, J.N., Hall, M., Afzal, A.R. and Caine, V. (2022). ‘I die silently inside’. Qualitative findings from a study of people living with HIV who migrate to and settle in Canada. 5, pp.100088–100088.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://doi.org/10.1016/j.jmh.2022.100088</w:t>
      </w:r>
      <w:proofErr w:type="gramEnd"/>
      <w:r>
        <w:rPr>
          <w:rFonts w:ascii="Arial" w:eastAsia="Arial" w:hAnsi="Arial" w:cs="Arial"/>
          <w:color w:val="000000"/>
          <w:sz w:val="22"/>
          <w:szCs w:val="22"/>
        </w:rPr>
        <w:t>.</w:t>
      </w:r>
    </w:p>
    <w:p w14:paraId="51C3A00B"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lastRenderedPageBreak/>
        <w:t xml:space="preserve">Davis, A.J., Greene, M., Walker, J. and Erlandson, K.M. (2023). Perspectives of people living with HIV age 50 and over regarding barriers and resources for care. </w:t>
      </w:r>
      <w:r>
        <w:rPr>
          <w:rFonts w:ascii="Arial" w:eastAsia="Arial" w:hAnsi="Arial" w:cs="Arial"/>
          <w:i/>
          <w:iCs/>
          <w:color w:val="000000"/>
          <w:sz w:val="22"/>
          <w:szCs w:val="22"/>
        </w:rPr>
        <w:t>AIDS Care</w:t>
      </w:r>
      <w:r>
        <w:rPr>
          <w:rFonts w:ascii="Arial" w:eastAsia="Arial" w:hAnsi="Arial" w:cs="Arial"/>
          <w:color w:val="000000"/>
          <w:sz w:val="22"/>
          <w:szCs w:val="22"/>
        </w:rPr>
        <w:t xml:space="preserve">, 35(4), pp.581–590.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://doi.org/10.1080/09540121.2022.2162840</w:t>
      </w:r>
      <w:proofErr w:type="gramEnd"/>
      <w:r>
        <w:rPr>
          <w:rFonts w:ascii="Arial" w:eastAsia="Arial" w:hAnsi="Arial" w:cs="Arial"/>
          <w:color w:val="000000"/>
          <w:sz w:val="22"/>
          <w:szCs w:val="22"/>
        </w:rPr>
        <w:t>.</w:t>
      </w:r>
    </w:p>
    <w:p w14:paraId="51C3A00C"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Dawadi</w:t>
      </w:r>
      <w:proofErr w:type="spellEnd"/>
      <w:r>
        <w:rPr>
          <w:rFonts w:ascii="Arial" w:eastAsia="Arial" w:hAnsi="Arial" w:cs="Arial"/>
          <w:color w:val="000000"/>
          <w:sz w:val="22"/>
          <w:szCs w:val="22"/>
        </w:rPr>
        <w:t xml:space="preserve">, S. (2020). Thematic Analysis approach: a </w:t>
      </w:r>
      <w:proofErr w:type="gramStart"/>
      <w:r>
        <w:rPr>
          <w:rFonts w:ascii="Arial" w:eastAsia="Arial" w:hAnsi="Arial" w:cs="Arial"/>
          <w:color w:val="000000"/>
          <w:sz w:val="22"/>
          <w:szCs w:val="22"/>
        </w:rPr>
        <w:t>Step by Step</w:t>
      </w:r>
      <w:proofErr w:type="gramEnd"/>
      <w:r>
        <w:rPr>
          <w:rFonts w:ascii="Arial" w:eastAsia="Arial" w:hAnsi="Arial" w:cs="Arial"/>
          <w:color w:val="000000"/>
          <w:sz w:val="22"/>
          <w:szCs w:val="22"/>
        </w:rPr>
        <w:t xml:space="preserve"> Guide for ELT Research Practitioners. </w:t>
      </w:r>
      <w:r>
        <w:rPr>
          <w:rFonts w:ascii="Arial" w:eastAsia="Arial" w:hAnsi="Arial" w:cs="Arial"/>
          <w:i/>
          <w:iCs/>
          <w:color w:val="000000"/>
          <w:sz w:val="22"/>
          <w:szCs w:val="22"/>
        </w:rPr>
        <w:t>Journal of NELTA</w:t>
      </w:r>
      <w:r>
        <w:rPr>
          <w:rFonts w:ascii="Arial" w:eastAsia="Arial" w:hAnsi="Arial" w:cs="Arial"/>
          <w:color w:val="000000"/>
          <w:sz w:val="22"/>
          <w:szCs w:val="22"/>
        </w:rPr>
        <w:t>, 25(1-2), pp.62–71.</w:t>
      </w:r>
    </w:p>
    <w:p w14:paraId="51C3A00D"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Dessie, Z.G. and </w:t>
      </w:r>
      <w:proofErr w:type="spellStart"/>
      <w:r>
        <w:rPr>
          <w:rFonts w:ascii="Arial" w:eastAsia="Arial" w:hAnsi="Arial" w:cs="Arial"/>
          <w:color w:val="000000"/>
          <w:sz w:val="22"/>
          <w:szCs w:val="22"/>
        </w:rPr>
        <w:t>Zewotir</w:t>
      </w:r>
      <w:proofErr w:type="spellEnd"/>
      <w:r>
        <w:rPr>
          <w:rFonts w:ascii="Arial" w:eastAsia="Arial" w:hAnsi="Arial" w:cs="Arial"/>
          <w:color w:val="000000"/>
          <w:sz w:val="22"/>
          <w:szCs w:val="22"/>
        </w:rPr>
        <w:t xml:space="preserve">, T. (2024). HIV-related stigma and associated factors: a systematic review and meta-analysis. </w:t>
      </w:r>
      <w:r>
        <w:rPr>
          <w:rFonts w:ascii="Arial" w:eastAsia="Arial" w:hAnsi="Arial" w:cs="Arial"/>
          <w:i/>
          <w:iCs/>
          <w:color w:val="000000"/>
          <w:sz w:val="22"/>
          <w:szCs w:val="22"/>
        </w:rPr>
        <w:t>Frontiers in Public Health</w:t>
      </w:r>
      <w:r>
        <w:rPr>
          <w:rFonts w:ascii="Arial" w:eastAsia="Arial" w:hAnsi="Arial" w:cs="Arial"/>
          <w:color w:val="000000"/>
          <w:sz w:val="22"/>
          <w:szCs w:val="22"/>
        </w:rPr>
        <w:t xml:space="preserve">, 12.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://doi.org/10.3389/fpubh.2024.1356430</w:t>
      </w:r>
      <w:proofErr w:type="gramEnd"/>
      <w:r>
        <w:rPr>
          <w:rFonts w:ascii="Arial" w:eastAsia="Arial" w:hAnsi="Arial" w:cs="Arial"/>
          <w:color w:val="000000"/>
          <w:sz w:val="22"/>
          <w:szCs w:val="22"/>
        </w:rPr>
        <w:t>.</w:t>
      </w:r>
    </w:p>
    <w:p w14:paraId="51C3A00E"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Drageset, J. (2021) </w:t>
      </w:r>
      <w:r>
        <w:rPr>
          <w:rFonts w:ascii="Arial" w:eastAsia="Arial" w:hAnsi="Arial" w:cs="Arial"/>
          <w:i/>
          <w:iCs/>
          <w:color w:val="000000"/>
          <w:sz w:val="22"/>
          <w:szCs w:val="22"/>
        </w:rPr>
        <w:t>Social Support</w:t>
      </w:r>
      <w:r>
        <w:rPr>
          <w:rFonts w:ascii="Arial" w:eastAsia="Arial" w:hAnsi="Arial" w:cs="Arial"/>
          <w:color w:val="000000"/>
          <w:sz w:val="22"/>
          <w:szCs w:val="22"/>
        </w:rPr>
        <w:t xml:space="preserve">, </w:t>
      </w:r>
      <w:r>
        <w:rPr>
          <w:rFonts w:ascii="Arial" w:eastAsia="Arial" w:hAnsi="Arial" w:cs="Arial"/>
          <w:i/>
          <w:iCs/>
          <w:color w:val="000000"/>
          <w:sz w:val="22"/>
          <w:szCs w:val="22"/>
        </w:rPr>
        <w:t>PubMed</w:t>
      </w:r>
      <w:r>
        <w:rPr>
          <w:rFonts w:ascii="Arial" w:eastAsia="Arial" w:hAnsi="Arial" w:cs="Arial"/>
          <w:color w:val="000000"/>
          <w:sz w:val="22"/>
          <w:szCs w:val="22"/>
        </w:rPr>
        <w:t>. Edited by G. Haugan and M. Eriksson. Cham (CH): Springer. Available at: https://www.ncbi.nlm.nih.gov/books/NBK585650/.</w:t>
      </w:r>
    </w:p>
    <w:p w14:paraId="51C3A00F"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EATG (2022). </w:t>
      </w:r>
      <w:r>
        <w:rPr>
          <w:rFonts w:ascii="Arial" w:eastAsia="Arial" w:hAnsi="Arial" w:cs="Arial"/>
          <w:i/>
          <w:iCs/>
          <w:color w:val="000000"/>
          <w:sz w:val="22"/>
          <w:szCs w:val="22"/>
        </w:rPr>
        <w:t>UK’s largest survey of people living with HIV published | EATG</w:t>
      </w:r>
      <w:r>
        <w:rPr>
          <w:rFonts w:ascii="Arial" w:eastAsia="Arial" w:hAnsi="Arial" w:cs="Arial"/>
          <w:color w:val="000000"/>
          <w:sz w:val="22"/>
          <w:szCs w:val="22"/>
        </w:rPr>
        <w:t>. [online] EATG. Available at: https://www.eatg.org/hiv-news/uks-largest-survey-of-people-living-with-hiv-published/.</w:t>
      </w:r>
    </w:p>
    <w:p w14:paraId="51C3A010"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EATG (2024) </w:t>
      </w:r>
      <w:r>
        <w:rPr>
          <w:rFonts w:ascii="Arial" w:eastAsia="Arial" w:hAnsi="Arial" w:cs="Arial"/>
          <w:i/>
          <w:iCs/>
          <w:color w:val="000000"/>
          <w:sz w:val="22"/>
          <w:szCs w:val="22"/>
        </w:rPr>
        <w:t>23% of people with HIV in the UK have depression or anxiety, but rates are much higher in some groups</w:t>
      </w:r>
      <w:r>
        <w:rPr>
          <w:rFonts w:ascii="Arial" w:eastAsia="Arial" w:hAnsi="Arial" w:cs="Arial"/>
          <w:color w:val="000000"/>
          <w:sz w:val="22"/>
          <w:szCs w:val="22"/>
        </w:rPr>
        <w:t xml:space="preserve">, </w:t>
      </w:r>
      <w:r>
        <w:rPr>
          <w:rFonts w:ascii="Arial" w:eastAsia="Arial" w:hAnsi="Arial" w:cs="Arial"/>
          <w:i/>
          <w:iCs/>
          <w:color w:val="000000"/>
          <w:sz w:val="22"/>
          <w:szCs w:val="22"/>
        </w:rPr>
        <w:t>EATG</w:t>
      </w:r>
      <w:r>
        <w:rPr>
          <w:rFonts w:ascii="Arial" w:eastAsia="Arial" w:hAnsi="Arial" w:cs="Arial"/>
          <w:color w:val="000000"/>
          <w:sz w:val="22"/>
          <w:szCs w:val="22"/>
        </w:rPr>
        <w:t>. Available at: https://www.eatg.org/hiv-news/23-of-people-with-hiv-in-the-uk-have-depression-or-anxiety-but-rates-are-much-higher-in-some-groups/.</w:t>
      </w:r>
    </w:p>
    <w:p w14:paraId="51C3A011"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Ewald, H., </w:t>
      </w:r>
      <w:proofErr w:type="spellStart"/>
      <w:r>
        <w:rPr>
          <w:rFonts w:ascii="Arial" w:eastAsia="Arial" w:hAnsi="Arial" w:cs="Arial"/>
          <w:sz w:val="22"/>
          <w:szCs w:val="22"/>
        </w:rPr>
        <w:t>Klerings</w:t>
      </w:r>
      <w:proofErr w:type="spellEnd"/>
      <w:r>
        <w:rPr>
          <w:rFonts w:ascii="Arial" w:eastAsia="Arial" w:hAnsi="Arial" w:cs="Arial"/>
          <w:sz w:val="22"/>
          <w:szCs w:val="22"/>
        </w:rPr>
        <w:t xml:space="preserve">, I., Wagner, G., Heise, T.L., Stratil, J.M., </w:t>
      </w:r>
      <w:proofErr w:type="spellStart"/>
      <w:r>
        <w:rPr>
          <w:rFonts w:ascii="Arial" w:eastAsia="Arial" w:hAnsi="Arial" w:cs="Arial"/>
          <w:sz w:val="22"/>
          <w:szCs w:val="22"/>
        </w:rPr>
        <w:t>Lhachimi</w:t>
      </w:r>
      <w:proofErr w:type="spellEnd"/>
      <w:r>
        <w:rPr>
          <w:rFonts w:ascii="Arial" w:eastAsia="Arial" w:hAnsi="Arial" w:cs="Arial"/>
          <w:sz w:val="22"/>
          <w:szCs w:val="22"/>
        </w:rPr>
        <w:t xml:space="preserve">, S.K., LG, H., </w:t>
      </w:r>
      <w:proofErr w:type="spellStart"/>
      <w:r>
        <w:rPr>
          <w:rFonts w:ascii="Arial" w:eastAsia="Arial" w:hAnsi="Arial" w:cs="Arial"/>
          <w:sz w:val="22"/>
          <w:szCs w:val="22"/>
        </w:rPr>
        <w:t>Gartlehner</w:t>
      </w:r>
      <w:proofErr w:type="spellEnd"/>
      <w:r>
        <w:rPr>
          <w:rFonts w:ascii="Arial" w:eastAsia="Arial" w:hAnsi="Arial" w:cs="Arial"/>
          <w:sz w:val="22"/>
          <w:szCs w:val="22"/>
        </w:rPr>
        <w:t xml:space="preserve">, G., Armijo-Olivo, S. and Nussbaumer-Streit, B. (2022). Searching Two or More Databases Decreased the Risk of Missing Relevant studies: a </w:t>
      </w:r>
      <w:proofErr w:type="spellStart"/>
      <w:r>
        <w:rPr>
          <w:rFonts w:ascii="Arial" w:eastAsia="Arial" w:hAnsi="Arial" w:cs="Arial"/>
          <w:sz w:val="22"/>
          <w:szCs w:val="22"/>
        </w:rPr>
        <w:t>Metaresearch</w:t>
      </w:r>
      <w:proofErr w:type="spellEnd"/>
      <w:r>
        <w:rPr>
          <w:rFonts w:ascii="Arial" w:eastAsia="Arial" w:hAnsi="Arial" w:cs="Arial"/>
          <w:sz w:val="22"/>
          <w:szCs w:val="22"/>
        </w:rPr>
        <w:t xml:space="preserve"> Study. </w:t>
      </w:r>
      <w:r>
        <w:rPr>
          <w:rFonts w:ascii="Arial" w:eastAsia="Arial" w:hAnsi="Arial" w:cs="Arial"/>
          <w:i/>
          <w:iCs/>
          <w:sz w:val="22"/>
          <w:szCs w:val="22"/>
        </w:rPr>
        <w:t>Journal of Clinical Epidemiology</w:t>
      </w:r>
      <w:r>
        <w:rPr>
          <w:rFonts w:ascii="Arial" w:eastAsia="Arial" w:hAnsi="Arial" w:cs="Arial"/>
          <w:sz w:val="22"/>
          <w:szCs w:val="22"/>
        </w:rPr>
        <w:t>, 149(149), pp</w:t>
      </w:r>
      <w:r>
        <w:rPr>
          <w:sz w:val="22"/>
          <w:szCs w:val="22"/>
        </w:rPr>
        <w:t>.</w:t>
      </w:r>
      <w:r>
        <w:rPr>
          <w:rFonts w:ascii="Arial" w:eastAsia="Arial" w:hAnsi="Arial" w:cs="Arial"/>
          <w:sz w:val="22"/>
          <w:szCs w:val="22"/>
        </w:rPr>
        <w:t>154–164.</w:t>
      </w:r>
    </w:p>
    <w:p w14:paraId="51C3A012"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Fakoya, I., Reynolds, R., Caswell, G. and </w:t>
      </w:r>
      <w:proofErr w:type="spellStart"/>
      <w:r>
        <w:rPr>
          <w:rFonts w:ascii="Arial" w:eastAsia="Arial" w:hAnsi="Arial" w:cs="Arial"/>
          <w:color w:val="000000"/>
          <w:sz w:val="22"/>
          <w:szCs w:val="22"/>
        </w:rPr>
        <w:t>Shiripinda</w:t>
      </w:r>
      <w:proofErr w:type="spellEnd"/>
      <w:r>
        <w:rPr>
          <w:rFonts w:ascii="Arial" w:eastAsia="Arial" w:hAnsi="Arial" w:cs="Arial"/>
          <w:color w:val="000000"/>
          <w:sz w:val="22"/>
          <w:szCs w:val="22"/>
        </w:rPr>
        <w:t xml:space="preserve">, I. (2008). Barriers to HIV testing for migrant black Africans in Western Europe. </w:t>
      </w:r>
      <w:r>
        <w:rPr>
          <w:rFonts w:ascii="Arial" w:eastAsia="Arial" w:hAnsi="Arial" w:cs="Arial"/>
          <w:i/>
          <w:iCs/>
          <w:color w:val="000000"/>
          <w:sz w:val="22"/>
          <w:szCs w:val="22"/>
        </w:rPr>
        <w:t>HIV Medicine</w:t>
      </w:r>
      <w:r>
        <w:rPr>
          <w:rFonts w:ascii="Arial" w:eastAsia="Arial" w:hAnsi="Arial" w:cs="Arial"/>
          <w:color w:val="000000"/>
          <w:sz w:val="22"/>
          <w:szCs w:val="22"/>
        </w:rPr>
        <w:t xml:space="preserve">, 9(s2), pp.23–25.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://doi.org/10.1111/j.1468-1293.2008.00587.x</w:t>
      </w:r>
      <w:proofErr w:type="gramEnd"/>
      <w:r>
        <w:rPr>
          <w:rFonts w:ascii="Arial" w:eastAsia="Arial" w:hAnsi="Arial" w:cs="Arial"/>
          <w:color w:val="000000"/>
          <w:sz w:val="22"/>
          <w:szCs w:val="22"/>
        </w:rPr>
        <w:t>.</w:t>
      </w:r>
    </w:p>
    <w:p w14:paraId="51C3A013"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Flint, A., </w:t>
      </w:r>
      <w:proofErr w:type="spellStart"/>
      <w:r>
        <w:rPr>
          <w:rFonts w:ascii="Arial" w:eastAsia="Arial" w:hAnsi="Arial" w:cs="Arial"/>
          <w:color w:val="000000"/>
          <w:sz w:val="22"/>
          <w:szCs w:val="22"/>
        </w:rPr>
        <w:t>Günsche</w:t>
      </w:r>
      <w:proofErr w:type="spellEnd"/>
      <w:r>
        <w:rPr>
          <w:rFonts w:ascii="Arial" w:eastAsia="Arial" w:hAnsi="Arial" w:cs="Arial"/>
          <w:color w:val="000000"/>
          <w:sz w:val="22"/>
          <w:szCs w:val="22"/>
        </w:rPr>
        <w:t xml:space="preserve">, M. and Burns, M. (2022) ‘We Are Still Here: Living with HIV in the UK’, </w:t>
      </w:r>
      <w:r>
        <w:rPr>
          <w:rFonts w:ascii="Arial" w:eastAsia="Arial" w:hAnsi="Arial" w:cs="Arial"/>
          <w:i/>
          <w:iCs/>
          <w:color w:val="000000"/>
          <w:sz w:val="22"/>
          <w:szCs w:val="22"/>
        </w:rPr>
        <w:t>Medical Anthropology</w:t>
      </w:r>
      <w:r>
        <w:rPr>
          <w:rFonts w:ascii="Arial" w:eastAsia="Arial" w:hAnsi="Arial" w:cs="Arial"/>
          <w:color w:val="000000"/>
          <w:sz w:val="22"/>
          <w:szCs w:val="22"/>
        </w:rPr>
        <w:t>, 42(1), pp. 35–47. Available at: https://doi.org/10.1080/01459740.2022.2139182.</w:t>
      </w:r>
    </w:p>
    <w:p w14:paraId="51C3A014"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Fuente-Soro, L., Figueroa-Romero, A., Fernández-Luis, S., Augusto, O., López-Varela, E., Bernardo, E., Saura-Lázaro, A., Vaz, P., Wei, S.C., Kerndt, P.R., </w:t>
      </w:r>
      <w:proofErr w:type="spellStart"/>
      <w:r>
        <w:rPr>
          <w:rFonts w:ascii="Arial" w:eastAsia="Arial" w:hAnsi="Arial" w:cs="Arial"/>
          <w:color w:val="000000"/>
          <w:sz w:val="22"/>
          <w:szCs w:val="22"/>
        </w:rPr>
        <w:t>Tacilta</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Nhampossa</w:t>
      </w:r>
      <w:proofErr w:type="spellEnd"/>
      <w:r>
        <w:rPr>
          <w:rFonts w:ascii="Arial" w:eastAsia="Arial" w:hAnsi="Arial" w:cs="Arial"/>
          <w:color w:val="000000"/>
          <w:sz w:val="22"/>
          <w:szCs w:val="22"/>
        </w:rPr>
        <w:t xml:space="preserve"> and </w:t>
      </w:r>
      <w:proofErr w:type="spellStart"/>
      <w:r>
        <w:rPr>
          <w:rFonts w:ascii="Arial" w:eastAsia="Arial" w:hAnsi="Arial" w:cs="Arial"/>
          <w:color w:val="000000"/>
          <w:sz w:val="22"/>
          <w:szCs w:val="22"/>
        </w:rPr>
        <w:t>Naniche</w:t>
      </w:r>
      <w:proofErr w:type="spellEnd"/>
      <w:r>
        <w:rPr>
          <w:rFonts w:ascii="Arial" w:eastAsia="Arial" w:hAnsi="Arial" w:cs="Arial"/>
          <w:color w:val="000000"/>
          <w:sz w:val="22"/>
          <w:szCs w:val="22"/>
        </w:rPr>
        <w:t xml:space="preserve">, D. (2023). Reasons for non-disclosure of HIV-Positive status to healthcare </w:t>
      </w:r>
      <w:r>
        <w:rPr>
          <w:rFonts w:ascii="Arial" w:eastAsia="Arial" w:hAnsi="Arial" w:cs="Arial"/>
          <w:color w:val="000000"/>
          <w:sz w:val="22"/>
          <w:szCs w:val="22"/>
        </w:rPr>
        <w:lastRenderedPageBreak/>
        <w:t xml:space="preserve">providers: a mixed methods study in Mozambique. </w:t>
      </w:r>
      <w:r>
        <w:rPr>
          <w:rFonts w:ascii="Arial" w:eastAsia="Arial" w:hAnsi="Arial" w:cs="Arial"/>
          <w:i/>
          <w:iCs/>
          <w:color w:val="000000"/>
          <w:sz w:val="22"/>
          <w:szCs w:val="22"/>
        </w:rPr>
        <w:t>BMC Health Services Research</w:t>
      </w:r>
      <w:r>
        <w:rPr>
          <w:rFonts w:ascii="Arial" w:eastAsia="Arial" w:hAnsi="Arial" w:cs="Arial"/>
          <w:color w:val="000000"/>
          <w:sz w:val="22"/>
          <w:szCs w:val="22"/>
        </w:rPr>
        <w:t xml:space="preserve">, [online] 23(1).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://doi.org/10.1186/s12913-023-09865-y</w:t>
      </w:r>
      <w:proofErr w:type="gramEnd"/>
      <w:r>
        <w:rPr>
          <w:rFonts w:ascii="Arial" w:eastAsia="Arial" w:hAnsi="Arial" w:cs="Arial"/>
          <w:color w:val="000000"/>
          <w:sz w:val="22"/>
          <w:szCs w:val="22"/>
        </w:rPr>
        <w:t>.</w:t>
      </w:r>
    </w:p>
    <w:p w14:paraId="51C3A015"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Glendinning, E., Spiers, J., Smith, J.A., Anderson, J., Campbell, L.J., Cooper, V. and Horne, R. (2019). A Qualitative Study to Identify Perceptual Barriers to Antiretroviral Therapy (ART) Uptake and Adherence in HIV Positive People from UK Black African and Caribbean Communities. </w:t>
      </w:r>
      <w:r>
        <w:rPr>
          <w:rFonts w:ascii="Arial" w:eastAsia="Arial" w:hAnsi="Arial" w:cs="Arial"/>
          <w:i/>
          <w:iCs/>
          <w:color w:val="000000"/>
          <w:sz w:val="22"/>
          <w:szCs w:val="22"/>
        </w:rPr>
        <w:t xml:space="preserve">AIDS and </w:t>
      </w:r>
      <w:proofErr w:type="spellStart"/>
      <w:r>
        <w:rPr>
          <w:rFonts w:ascii="Arial" w:eastAsia="Arial" w:hAnsi="Arial" w:cs="Arial"/>
          <w:i/>
          <w:iCs/>
          <w:color w:val="000000"/>
          <w:sz w:val="22"/>
          <w:szCs w:val="22"/>
        </w:rPr>
        <w:t>Behavior</w:t>
      </w:r>
      <w:proofErr w:type="spellEnd"/>
      <w:r>
        <w:rPr>
          <w:rFonts w:ascii="Arial" w:eastAsia="Arial" w:hAnsi="Arial" w:cs="Arial"/>
          <w:color w:val="000000"/>
          <w:sz w:val="22"/>
          <w:szCs w:val="22"/>
        </w:rPr>
        <w:t xml:space="preserve">, [online] 23(9), pp.2514–2521.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://doi.org/10.1007/s10461-019-02670-x</w:t>
      </w:r>
      <w:proofErr w:type="gramEnd"/>
      <w:r>
        <w:rPr>
          <w:rFonts w:ascii="Arial" w:eastAsia="Arial" w:hAnsi="Arial" w:cs="Arial"/>
          <w:color w:val="000000"/>
          <w:sz w:val="22"/>
          <w:szCs w:val="22"/>
        </w:rPr>
        <w:t>.</w:t>
      </w:r>
    </w:p>
    <w:p w14:paraId="51C3A016"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GOV.UK (2022). </w:t>
      </w:r>
      <w:r>
        <w:rPr>
          <w:rFonts w:ascii="Arial" w:eastAsia="Arial" w:hAnsi="Arial" w:cs="Arial"/>
          <w:i/>
          <w:iCs/>
          <w:color w:val="000000"/>
          <w:sz w:val="22"/>
          <w:szCs w:val="22"/>
        </w:rPr>
        <w:t>Positive Voices 2022: survey report</w:t>
      </w:r>
      <w:r>
        <w:rPr>
          <w:rFonts w:ascii="Arial" w:eastAsia="Arial" w:hAnsi="Arial" w:cs="Arial"/>
          <w:color w:val="000000"/>
          <w:sz w:val="22"/>
          <w:szCs w:val="22"/>
        </w:rPr>
        <w:t>. [online] GOV.UK. Available at: https://www.gov.uk/government/publications/hiv-positive-voices-survey/positive-voices-2022-survey-report.</w:t>
      </w:r>
    </w:p>
    <w:p w14:paraId="51C3A017"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GOV.UK (2024) </w:t>
      </w:r>
      <w:r>
        <w:rPr>
          <w:rFonts w:ascii="Arial" w:eastAsia="Arial" w:hAnsi="Arial" w:cs="Arial"/>
          <w:i/>
          <w:iCs/>
          <w:color w:val="000000"/>
          <w:sz w:val="22"/>
          <w:szCs w:val="22"/>
        </w:rPr>
        <w:t>HIV Action Plan monitoring and evaluation framework 2024 report</w:t>
      </w:r>
      <w:r>
        <w:rPr>
          <w:rFonts w:ascii="Arial" w:eastAsia="Arial" w:hAnsi="Arial" w:cs="Arial"/>
          <w:color w:val="000000"/>
          <w:sz w:val="22"/>
          <w:szCs w:val="22"/>
        </w:rPr>
        <w:t xml:space="preserve">, </w:t>
      </w:r>
      <w:r>
        <w:rPr>
          <w:rFonts w:ascii="Arial" w:eastAsia="Arial" w:hAnsi="Arial" w:cs="Arial"/>
          <w:i/>
          <w:iCs/>
          <w:color w:val="000000"/>
          <w:sz w:val="22"/>
          <w:szCs w:val="22"/>
        </w:rPr>
        <w:t>GOV.UK</w:t>
      </w:r>
      <w:r>
        <w:rPr>
          <w:rFonts w:ascii="Arial" w:eastAsia="Arial" w:hAnsi="Arial" w:cs="Arial"/>
          <w:color w:val="000000"/>
          <w:sz w:val="22"/>
          <w:szCs w:val="22"/>
        </w:rPr>
        <w:t>. Available at: https://www.gov.uk/government/publications/hiv-monitoring-and-evaluation-framework/hiv-action-plan-monitoring-and-evaluation-framework-2024-report.</w:t>
      </w:r>
    </w:p>
    <w:p w14:paraId="51C3A018"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Gusenbauer, M. and </w:t>
      </w:r>
      <w:proofErr w:type="spellStart"/>
      <w:r>
        <w:rPr>
          <w:rFonts w:ascii="Arial" w:eastAsia="Arial" w:hAnsi="Arial" w:cs="Arial"/>
          <w:sz w:val="22"/>
          <w:szCs w:val="22"/>
        </w:rPr>
        <w:t>Gauster</w:t>
      </w:r>
      <w:proofErr w:type="spellEnd"/>
      <w:r>
        <w:rPr>
          <w:rFonts w:ascii="Arial" w:eastAsia="Arial" w:hAnsi="Arial" w:cs="Arial"/>
          <w:sz w:val="22"/>
          <w:szCs w:val="22"/>
        </w:rPr>
        <w:t xml:space="preserve">, S.P. (2024). How to Search for Literature in Systematic Reviews and meta-analyses: a Comprehensive step-by-step Guide. </w:t>
      </w:r>
      <w:r>
        <w:rPr>
          <w:rFonts w:ascii="Arial" w:eastAsia="Arial" w:hAnsi="Arial" w:cs="Arial"/>
          <w:i/>
          <w:iCs/>
          <w:sz w:val="22"/>
          <w:szCs w:val="22"/>
        </w:rPr>
        <w:t>Technological Forecasting and Social Change</w:t>
      </w:r>
      <w:r>
        <w:rPr>
          <w:rFonts w:ascii="Arial" w:eastAsia="Arial" w:hAnsi="Arial" w:cs="Arial"/>
          <w:sz w:val="22"/>
          <w:szCs w:val="22"/>
        </w:rPr>
        <w:t xml:space="preserve">, [online] 212, p.123833.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://doi.org/10.1016/j.techfore.2024.123833</w:t>
      </w:r>
      <w:proofErr w:type="gramEnd"/>
      <w:r>
        <w:rPr>
          <w:rFonts w:ascii="Arial" w:eastAsia="Arial" w:hAnsi="Arial" w:cs="Arial"/>
          <w:sz w:val="22"/>
          <w:szCs w:val="22"/>
        </w:rPr>
        <w:t>.</w:t>
      </w:r>
    </w:p>
    <w:p w14:paraId="51C3A019" w14:textId="77777777" w:rsidR="006921ED" w:rsidRDefault="00D73B41">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 xml:space="preserve">Healey, E.L., Jinks, C., Tan, V.A., Chew-Graham, C.A., Lawton, S.A., Nicholls, E., Finney, A.G., </w:t>
      </w:r>
      <w:proofErr w:type="spellStart"/>
      <w:r>
        <w:rPr>
          <w:rFonts w:ascii="Arial" w:eastAsia="Arial" w:hAnsi="Arial" w:cs="Arial"/>
          <w:color w:val="000000"/>
          <w:sz w:val="22"/>
          <w:szCs w:val="22"/>
        </w:rPr>
        <w:t>Porcheret</w:t>
      </w:r>
      <w:proofErr w:type="spellEnd"/>
      <w:r>
        <w:rPr>
          <w:rFonts w:ascii="Arial" w:eastAsia="Arial" w:hAnsi="Arial" w:cs="Arial"/>
          <w:color w:val="000000"/>
          <w:sz w:val="22"/>
          <w:szCs w:val="22"/>
        </w:rPr>
        <w:t xml:space="preserve">, M., Cooper, V., Lewis, M., Dziedzic, K.S., </w:t>
      </w:r>
      <w:proofErr w:type="spellStart"/>
      <w:r>
        <w:rPr>
          <w:rFonts w:ascii="Arial" w:eastAsia="Arial" w:hAnsi="Arial" w:cs="Arial"/>
          <w:color w:val="000000"/>
          <w:sz w:val="22"/>
          <w:szCs w:val="22"/>
        </w:rPr>
        <w:t>Wathall</w:t>
      </w:r>
      <w:proofErr w:type="spellEnd"/>
      <w:r>
        <w:rPr>
          <w:rFonts w:ascii="Arial" w:eastAsia="Arial" w:hAnsi="Arial" w:cs="Arial"/>
          <w:color w:val="000000"/>
          <w:sz w:val="22"/>
          <w:szCs w:val="22"/>
        </w:rPr>
        <w:t xml:space="preserve">, S. and Mallen, C.D. (2015). Improving the Care of People with Long-Term Conditions in Primary Care: Protocol for the Enhance Pilot Trial. </w:t>
      </w:r>
      <w:r>
        <w:rPr>
          <w:rFonts w:ascii="Arial" w:eastAsia="Arial" w:hAnsi="Arial" w:cs="Arial"/>
          <w:i/>
          <w:iCs/>
          <w:color w:val="000000"/>
          <w:sz w:val="22"/>
          <w:szCs w:val="22"/>
        </w:rPr>
        <w:t>Journal of Comorbidity</w:t>
      </w:r>
      <w:r>
        <w:rPr>
          <w:rFonts w:ascii="Arial" w:eastAsia="Arial" w:hAnsi="Arial" w:cs="Arial"/>
          <w:color w:val="000000"/>
          <w:sz w:val="22"/>
          <w:szCs w:val="22"/>
        </w:rPr>
        <w:t xml:space="preserve">, [online] 5(1), pp.135–149.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://doi.org/10.15256/joc.2015.5.60</w:t>
      </w:r>
      <w:proofErr w:type="gramEnd"/>
      <w:r>
        <w:rPr>
          <w:rFonts w:ascii="Arial" w:eastAsia="Arial" w:hAnsi="Arial" w:cs="Arial"/>
          <w:color w:val="000000"/>
          <w:sz w:val="22"/>
          <w:szCs w:val="22"/>
        </w:rPr>
        <w:t>.</w:t>
      </w:r>
    </w:p>
    <w:p w14:paraId="51C3A01A"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Hedge, B., Devan, K., Catalan, J., Cheshire, A. and Ridge, D. (2021). HIV-related Stigma in the UK Then and now: to What Extent Are We on Track to Eliminate stigma? a Qualitative Investigation. </w:t>
      </w:r>
      <w:r>
        <w:rPr>
          <w:rFonts w:ascii="Arial" w:eastAsia="Arial" w:hAnsi="Arial" w:cs="Arial"/>
          <w:i/>
          <w:iCs/>
          <w:sz w:val="22"/>
          <w:szCs w:val="22"/>
        </w:rPr>
        <w:t>BMC Public Health</w:t>
      </w:r>
      <w:r>
        <w:rPr>
          <w:rFonts w:ascii="Arial" w:eastAsia="Arial" w:hAnsi="Arial" w:cs="Arial"/>
          <w:sz w:val="22"/>
          <w:szCs w:val="22"/>
        </w:rPr>
        <w:t xml:space="preserve">, [online] 21(1).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://doi.org/10.1186/s12889-021-11000-7</w:t>
      </w:r>
      <w:proofErr w:type="gramEnd"/>
      <w:r>
        <w:rPr>
          <w:rFonts w:ascii="Arial" w:eastAsia="Arial" w:hAnsi="Arial" w:cs="Arial"/>
          <w:sz w:val="22"/>
          <w:szCs w:val="22"/>
        </w:rPr>
        <w:t>.</w:t>
      </w:r>
    </w:p>
    <w:p w14:paraId="51C3A01B"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Hennink</w:t>
      </w:r>
      <w:proofErr w:type="spellEnd"/>
      <w:r>
        <w:rPr>
          <w:rFonts w:ascii="Arial" w:eastAsia="Arial" w:hAnsi="Arial" w:cs="Arial"/>
          <w:color w:val="000000"/>
          <w:sz w:val="22"/>
          <w:szCs w:val="22"/>
        </w:rPr>
        <w:t xml:space="preserve">, M. and Kaiser, B.N. (2022). Sample Sizes for Saturation in Qualitative Research: </w:t>
      </w: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Systematic Review of Empirical Tests. </w:t>
      </w:r>
      <w:r>
        <w:rPr>
          <w:rFonts w:ascii="Arial" w:eastAsia="Arial" w:hAnsi="Arial" w:cs="Arial"/>
          <w:i/>
          <w:iCs/>
          <w:color w:val="000000"/>
          <w:sz w:val="22"/>
          <w:szCs w:val="22"/>
        </w:rPr>
        <w:t>Social Science &amp; Medicine</w:t>
      </w:r>
      <w:r>
        <w:rPr>
          <w:rFonts w:ascii="Arial" w:eastAsia="Arial" w:hAnsi="Arial" w:cs="Arial"/>
          <w:color w:val="000000"/>
          <w:sz w:val="22"/>
          <w:szCs w:val="22"/>
        </w:rPr>
        <w:t xml:space="preserve">, [online] 292(1), pp.1–10.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://doi.org/10.1016/j.socscimed.2021.114523</w:t>
      </w:r>
      <w:proofErr w:type="gramEnd"/>
      <w:r>
        <w:rPr>
          <w:rFonts w:ascii="Arial" w:eastAsia="Arial" w:hAnsi="Arial" w:cs="Arial"/>
          <w:color w:val="000000"/>
          <w:sz w:val="22"/>
          <w:szCs w:val="22"/>
        </w:rPr>
        <w:t>.</w:t>
      </w:r>
    </w:p>
    <w:p w14:paraId="51C3A01C"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lastRenderedPageBreak/>
        <w:t xml:space="preserve">Henriksson, A., Moen, H., </w:t>
      </w:r>
      <w:proofErr w:type="spellStart"/>
      <w:r>
        <w:rPr>
          <w:rFonts w:ascii="Arial" w:eastAsia="Arial" w:hAnsi="Arial" w:cs="Arial"/>
          <w:sz w:val="22"/>
          <w:szCs w:val="22"/>
        </w:rPr>
        <w:t>Skeppstedt</w:t>
      </w:r>
      <w:proofErr w:type="spellEnd"/>
      <w:r>
        <w:rPr>
          <w:rFonts w:ascii="Arial" w:eastAsia="Arial" w:hAnsi="Arial" w:cs="Arial"/>
          <w:sz w:val="22"/>
          <w:szCs w:val="22"/>
        </w:rPr>
        <w:t xml:space="preserve">, M., Daudaravičius, V. and </w:t>
      </w:r>
      <w:proofErr w:type="spellStart"/>
      <w:r>
        <w:rPr>
          <w:rFonts w:ascii="Arial" w:eastAsia="Arial" w:hAnsi="Arial" w:cs="Arial"/>
          <w:sz w:val="22"/>
          <w:szCs w:val="22"/>
        </w:rPr>
        <w:t>Duneld</w:t>
      </w:r>
      <w:proofErr w:type="spellEnd"/>
      <w:r>
        <w:rPr>
          <w:rFonts w:ascii="Arial" w:eastAsia="Arial" w:hAnsi="Arial" w:cs="Arial"/>
          <w:sz w:val="22"/>
          <w:szCs w:val="22"/>
        </w:rPr>
        <w:t xml:space="preserve">, M. (2014). Synonym extraction and abbreviation expansion with ensembles of semantic spaces. </w:t>
      </w:r>
      <w:r>
        <w:rPr>
          <w:rFonts w:ascii="Arial" w:eastAsia="Arial" w:hAnsi="Arial" w:cs="Arial"/>
          <w:i/>
          <w:iCs/>
          <w:sz w:val="22"/>
          <w:szCs w:val="22"/>
        </w:rPr>
        <w:t>Journal of Biomedical Semantics</w:t>
      </w:r>
      <w:r>
        <w:rPr>
          <w:rFonts w:ascii="Arial" w:eastAsia="Arial" w:hAnsi="Arial" w:cs="Arial"/>
          <w:sz w:val="22"/>
          <w:szCs w:val="22"/>
        </w:rPr>
        <w:t xml:space="preserve">, 5(1), p.6.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://doi.org/10.1186/2041-1480-5-6</w:t>
      </w:r>
      <w:proofErr w:type="gramEnd"/>
      <w:r>
        <w:rPr>
          <w:rFonts w:ascii="Arial" w:eastAsia="Arial" w:hAnsi="Arial" w:cs="Arial"/>
          <w:sz w:val="22"/>
          <w:szCs w:val="22"/>
        </w:rPr>
        <w:t>.</w:t>
      </w:r>
    </w:p>
    <w:p w14:paraId="51C3A01D"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Hilton, M. (2024). JBI critical appraisal checklist for systematic reviews and research syntheses (product review). </w:t>
      </w:r>
      <w:r>
        <w:rPr>
          <w:rFonts w:ascii="Arial" w:eastAsia="Arial" w:hAnsi="Arial" w:cs="Arial"/>
          <w:i/>
          <w:iCs/>
          <w:color w:val="000000"/>
          <w:sz w:val="22"/>
          <w:szCs w:val="22"/>
        </w:rPr>
        <w:t xml:space="preserve">Journal of the Canadian Health Libraries Association / Journal de l Association de </w:t>
      </w:r>
      <w:proofErr w:type="spellStart"/>
      <w:r>
        <w:rPr>
          <w:rFonts w:ascii="Arial" w:eastAsia="Arial" w:hAnsi="Arial" w:cs="Arial"/>
          <w:i/>
          <w:iCs/>
          <w:color w:val="000000"/>
          <w:sz w:val="22"/>
          <w:szCs w:val="22"/>
        </w:rPr>
        <w:t>bilbiothèques</w:t>
      </w:r>
      <w:proofErr w:type="spellEnd"/>
      <w:r>
        <w:rPr>
          <w:rFonts w:ascii="Arial" w:eastAsia="Arial" w:hAnsi="Arial" w:cs="Arial"/>
          <w:i/>
          <w:iCs/>
          <w:color w:val="000000"/>
          <w:sz w:val="22"/>
          <w:szCs w:val="22"/>
        </w:rPr>
        <w:t xml:space="preserve"> de la santé du Canada</w:t>
      </w:r>
      <w:r>
        <w:rPr>
          <w:rFonts w:ascii="Arial" w:eastAsia="Arial" w:hAnsi="Arial" w:cs="Arial"/>
          <w:color w:val="000000"/>
          <w:sz w:val="22"/>
          <w:szCs w:val="22"/>
        </w:rPr>
        <w:t xml:space="preserve">, [online] 45(3).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://doi.org/10.29173/jchla29801</w:t>
      </w:r>
      <w:proofErr w:type="gramEnd"/>
      <w:r>
        <w:rPr>
          <w:rFonts w:ascii="Arial" w:eastAsia="Arial" w:hAnsi="Arial" w:cs="Arial"/>
          <w:color w:val="000000"/>
          <w:sz w:val="22"/>
          <w:szCs w:val="22"/>
        </w:rPr>
        <w:t>.</w:t>
      </w:r>
    </w:p>
    <w:p w14:paraId="51C3A01E"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Hussain, R., Guppy, M., Robertson, S. and Temple, E. (2013). Physical and mental health perspectives of first year undergraduate rural university students. </w:t>
      </w:r>
      <w:r>
        <w:rPr>
          <w:rFonts w:ascii="Arial" w:eastAsia="Arial" w:hAnsi="Arial" w:cs="Arial"/>
          <w:i/>
          <w:iCs/>
          <w:color w:val="000000"/>
          <w:sz w:val="22"/>
          <w:szCs w:val="22"/>
        </w:rPr>
        <w:t>BMC Public Health</w:t>
      </w:r>
      <w:r>
        <w:rPr>
          <w:rFonts w:ascii="Arial" w:eastAsia="Arial" w:hAnsi="Arial" w:cs="Arial"/>
          <w:color w:val="000000"/>
          <w:sz w:val="22"/>
          <w:szCs w:val="22"/>
        </w:rPr>
        <w:t xml:space="preserve">, [online] 13(1).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://doi.org/10.1186/1471-2458-13-848</w:t>
      </w:r>
      <w:proofErr w:type="gramEnd"/>
      <w:r>
        <w:rPr>
          <w:rFonts w:ascii="Arial" w:eastAsia="Arial" w:hAnsi="Arial" w:cs="Arial"/>
          <w:color w:val="000000"/>
          <w:sz w:val="22"/>
          <w:szCs w:val="22"/>
        </w:rPr>
        <w:t>.</w:t>
      </w:r>
    </w:p>
    <w:p w14:paraId="51C3A01F"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Joanna Briggs Institute (2017). </w:t>
      </w:r>
      <w:r>
        <w:rPr>
          <w:rFonts w:ascii="Arial" w:eastAsia="Arial" w:hAnsi="Arial" w:cs="Arial"/>
          <w:i/>
          <w:iCs/>
          <w:color w:val="000000"/>
          <w:sz w:val="22"/>
          <w:szCs w:val="22"/>
        </w:rPr>
        <w:t>Checklist for Analytical Cross Sectional Studies Critical Appraisal Checklist for Analytical Cross Sectional Studies 2</w:t>
      </w:r>
      <w:r>
        <w:rPr>
          <w:rFonts w:ascii="Arial" w:eastAsia="Arial" w:hAnsi="Arial" w:cs="Arial"/>
          <w:color w:val="000000"/>
          <w:sz w:val="22"/>
          <w:szCs w:val="22"/>
        </w:rPr>
        <w:t>. [online] Available at: https://jbi.global/sites/default/files/2019-05/JBI_Critical_Appraisal-Checklist_for_Analytical_Cross_Sectional_Studies2017_0.pdf.</w:t>
      </w:r>
    </w:p>
    <w:p w14:paraId="51C3A020"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Johnson, J., Adkins, D. and Chauvin, S. (2020). A Review of the Quality Indicators of Rigor in Qualitative Research. </w:t>
      </w:r>
      <w:r>
        <w:rPr>
          <w:rFonts w:ascii="Arial" w:eastAsia="Arial" w:hAnsi="Arial" w:cs="Arial"/>
          <w:i/>
          <w:iCs/>
          <w:color w:val="000000"/>
          <w:sz w:val="22"/>
          <w:szCs w:val="22"/>
        </w:rPr>
        <w:t>American Journal of Pharmaceutical Education</w:t>
      </w:r>
      <w:r>
        <w:rPr>
          <w:rFonts w:ascii="Arial" w:eastAsia="Arial" w:hAnsi="Arial" w:cs="Arial"/>
          <w:color w:val="000000"/>
          <w:sz w:val="22"/>
          <w:szCs w:val="22"/>
        </w:rPr>
        <w:t xml:space="preserve">, [online] 84(1), pp.138–146.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://doi.org/10.5688/ajpe7120</w:t>
      </w:r>
      <w:proofErr w:type="gramEnd"/>
      <w:r>
        <w:rPr>
          <w:rFonts w:ascii="Arial" w:eastAsia="Arial" w:hAnsi="Arial" w:cs="Arial"/>
          <w:color w:val="000000"/>
          <w:sz w:val="22"/>
          <w:szCs w:val="22"/>
        </w:rPr>
        <w:t>.</w:t>
      </w:r>
    </w:p>
    <w:p w14:paraId="51C3A021"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Jones, N., Bekaert, S., </w:t>
      </w:r>
      <w:proofErr w:type="spellStart"/>
      <w:r>
        <w:rPr>
          <w:rFonts w:ascii="Arial" w:eastAsia="Arial" w:hAnsi="Arial" w:cs="Arial"/>
          <w:color w:val="000000"/>
          <w:sz w:val="22"/>
          <w:szCs w:val="22"/>
        </w:rPr>
        <w:t>Regisford</w:t>
      </w:r>
      <w:proofErr w:type="spellEnd"/>
      <w:r>
        <w:rPr>
          <w:rFonts w:ascii="Arial" w:eastAsia="Arial" w:hAnsi="Arial" w:cs="Arial"/>
          <w:color w:val="000000"/>
          <w:sz w:val="22"/>
          <w:szCs w:val="22"/>
        </w:rPr>
        <w:t xml:space="preserve">, D. and Shodunke, N.J. (2025). Breaking barriers: A qualitative study exploring the social and cultural factors that influence HIV awareness and uptake of HIV prevention among women of African and Caribbean heritage in England. </w:t>
      </w:r>
      <w:r>
        <w:rPr>
          <w:rFonts w:ascii="Arial" w:eastAsia="Arial" w:hAnsi="Arial" w:cs="Arial"/>
          <w:i/>
          <w:iCs/>
          <w:color w:val="000000"/>
          <w:sz w:val="22"/>
          <w:szCs w:val="22"/>
        </w:rPr>
        <w:t>Women’s Health</w:t>
      </w:r>
      <w:r>
        <w:rPr>
          <w:rFonts w:ascii="Arial" w:eastAsia="Arial" w:hAnsi="Arial" w:cs="Arial"/>
          <w:color w:val="000000"/>
          <w:sz w:val="22"/>
          <w:szCs w:val="22"/>
        </w:rPr>
        <w:t xml:space="preserve">, [online] 21.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://doi.org/10.1177/17455057251385798</w:t>
      </w:r>
      <w:proofErr w:type="gramEnd"/>
      <w:r>
        <w:rPr>
          <w:rFonts w:ascii="Arial" w:eastAsia="Arial" w:hAnsi="Arial" w:cs="Arial"/>
          <w:color w:val="000000"/>
          <w:sz w:val="22"/>
          <w:szCs w:val="22"/>
        </w:rPr>
        <w:t>.</w:t>
      </w:r>
    </w:p>
    <w:p w14:paraId="51C3A022"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Judgeo</w:t>
      </w:r>
      <w:proofErr w:type="spellEnd"/>
      <w:r>
        <w:rPr>
          <w:rFonts w:ascii="Arial" w:eastAsia="Arial" w:hAnsi="Arial" w:cs="Arial"/>
          <w:color w:val="000000"/>
          <w:sz w:val="22"/>
          <w:szCs w:val="22"/>
        </w:rPr>
        <w:t xml:space="preserve">, N. and </w:t>
      </w:r>
      <w:proofErr w:type="spellStart"/>
      <w:r>
        <w:rPr>
          <w:rFonts w:ascii="Arial" w:eastAsia="Arial" w:hAnsi="Arial" w:cs="Arial"/>
          <w:color w:val="000000"/>
          <w:sz w:val="22"/>
          <w:szCs w:val="22"/>
        </w:rPr>
        <w:t>Moalusi</w:t>
      </w:r>
      <w:proofErr w:type="spellEnd"/>
      <w:r>
        <w:rPr>
          <w:rFonts w:ascii="Arial" w:eastAsia="Arial" w:hAnsi="Arial" w:cs="Arial"/>
          <w:color w:val="000000"/>
          <w:sz w:val="22"/>
          <w:szCs w:val="22"/>
        </w:rPr>
        <w:t xml:space="preserve">, K.P. (2014). My secret: The social meaning of HIV/AIDS stigma. </w:t>
      </w:r>
      <w:r>
        <w:rPr>
          <w:rFonts w:ascii="Arial" w:eastAsia="Arial" w:hAnsi="Arial" w:cs="Arial"/>
          <w:i/>
          <w:iCs/>
          <w:color w:val="000000"/>
          <w:sz w:val="22"/>
          <w:szCs w:val="22"/>
        </w:rPr>
        <w:t>SAHARA-J: Journal of Social Aspects of HIV/AIDS</w:t>
      </w:r>
      <w:r>
        <w:rPr>
          <w:rFonts w:ascii="Arial" w:eastAsia="Arial" w:hAnsi="Arial" w:cs="Arial"/>
          <w:color w:val="000000"/>
          <w:sz w:val="22"/>
          <w:szCs w:val="22"/>
        </w:rPr>
        <w:t xml:space="preserve">, [online] 11(1), pp.76–83.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://doi.org/10.1080/17290376.2014.932302</w:t>
      </w:r>
      <w:proofErr w:type="gramEnd"/>
      <w:r>
        <w:rPr>
          <w:rFonts w:ascii="Arial" w:eastAsia="Arial" w:hAnsi="Arial" w:cs="Arial"/>
          <w:color w:val="000000"/>
          <w:sz w:val="22"/>
          <w:szCs w:val="22"/>
        </w:rPr>
        <w:t>.</w:t>
      </w:r>
    </w:p>
    <w:p w14:paraId="51C3A023"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Justiz, A.A., Gulick, P.G. and Swinkels, H.M. (2024) </w:t>
      </w:r>
      <w:r>
        <w:rPr>
          <w:rFonts w:ascii="Arial" w:eastAsia="Arial" w:hAnsi="Arial" w:cs="Arial"/>
          <w:i/>
          <w:iCs/>
          <w:color w:val="000000"/>
          <w:sz w:val="22"/>
          <w:szCs w:val="22"/>
        </w:rPr>
        <w:t>HIV and AIDS Syndrome</w:t>
      </w:r>
      <w:r>
        <w:rPr>
          <w:rFonts w:ascii="Arial" w:eastAsia="Arial" w:hAnsi="Arial" w:cs="Arial"/>
          <w:color w:val="000000"/>
          <w:sz w:val="22"/>
          <w:szCs w:val="22"/>
        </w:rPr>
        <w:t xml:space="preserve">, </w:t>
      </w:r>
      <w:r>
        <w:rPr>
          <w:rFonts w:ascii="Arial" w:eastAsia="Arial" w:hAnsi="Arial" w:cs="Arial"/>
          <w:i/>
          <w:iCs/>
          <w:color w:val="000000"/>
          <w:sz w:val="22"/>
          <w:szCs w:val="22"/>
        </w:rPr>
        <w:t>Nih.gov</w:t>
      </w:r>
      <w:r>
        <w:rPr>
          <w:rFonts w:ascii="Arial" w:eastAsia="Arial" w:hAnsi="Arial" w:cs="Arial"/>
          <w:color w:val="000000"/>
          <w:sz w:val="22"/>
          <w:szCs w:val="22"/>
        </w:rPr>
        <w:t xml:space="preserve">. </w:t>
      </w:r>
      <w:proofErr w:type="spellStart"/>
      <w:r>
        <w:rPr>
          <w:rFonts w:ascii="Arial" w:eastAsia="Arial" w:hAnsi="Arial" w:cs="Arial"/>
          <w:color w:val="000000"/>
          <w:sz w:val="22"/>
          <w:szCs w:val="22"/>
        </w:rPr>
        <w:t>StatPearls</w:t>
      </w:r>
      <w:proofErr w:type="spellEnd"/>
      <w:r>
        <w:rPr>
          <w:rFonts w:ascii="Arial" w:eastAsia="Arial" w:hAnsi="Arial" w:cs="Arial"/>
          <w:color w:val="000000"/>
          <w:sz w:val="22"/>
          <w:szCs w:val="22"/>
        </w:rPr>
        <w:t xml:space="preserve"> Publishing. Available at: https://www.ncbi.nlm.nih.gov/books/NBK534860/.</w:t>
      </w:r>
    </w:p>
    <w:p w14:paraId="51C3A024"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Kasadha</w:t>
      </w:r>
      <w:proofErr w:type="spellEnd"/>
      <w:r>
        <w:rPr>
          <w:rFonts w:ascii="Arial" w:eastAsia="Arial" w:hAnsi="Arial" w:cs="Arial"/>
          <w:color w:val="000000"/>
          <w:sz w:val="22"/>
          <w:szCs w:val="22"/>
        </w:rPr>
        <w:t xml:space="preserve">, B., Hinton, L., Tariq, S., Farai Nyatsanza, </w:t>
      </w:r>
      <w:proofErr w:type="spellStart"/>
      <w:r>
        <w:rPr>
          <w:rFonts w:ascii="Arial" w:eastAsia="Arial" w:hAnsi="Arial" w:cs="Arial"/>
          <w:color w:val="000000"/>
          <w:sz w:val="22"/>
          <w:szCs w:val="22"/>
        </w:rPr>
        <w:t>Namiba</w:t>
      </w:r>
      <w:proofErr w:type="spellEnd"/>
      <w:r>
        <w:rPr>
          <w:rFonts w:ascii="Arial" w:eastAsia="Arial" w:hAnsi="Arial" w:cs="Arial"/>
          <w:color w:val="000000"/>
          <w:sz w:val="22"/>
          <w:szCs w:val="22"/>
        </w:rPr>
        <w:t xml:space="preserve">, A., Freeman-Romilly, N. and Rai, T. (2024). How women living with HIV in the UK manage infant-feeding decisions and vertical transmission risk – a qualitative study. </w:t>
      </w:r>
      <w:r>
        <w:rPr>
          <w:rFonts w:ascii="Arial" w:eastAsia="Arial" w:hAnsi="Arial" w:cs="Arial"/>
          <w:i/>
          <w:iCs/>
          <w:color w:val="000000"/>
          <w:sz w:val="22"/>
          <w:szCs w:val="22"/>
        </w:rPr>
        <w:t>BMC Public Health</w:t>
      </w:r>
      <w:r>
        <w:rPr>
          <w:rFonts w:ascii="Arial" w:eastAsia="Arial" w:hAnsi="Arial" w:cs="Arial"/>
          <w:color w:val="000000"/>
          <w:sz w:val="22"/>
          <w:szCs w:val="22"/>
        </w:rPr>
        <w:t xml:space="preserve">, 24(1).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://doi.org/10.1186/s12889-024-19581-9</w:t>
      </w:r>
      <w:proofErr w:type="gramEnd"/>
      <w:r>
        <w:rPr>
          <w:rFonts w:ascii="Arial" w:eastAsia="Arial" w:hAnsi="Arial" w:cs="Arial"/>
          <w:color w:val="000000"/>
          <w:sz w:val="22"/>
          <w:szCs w:val="22"/>
        </w:rPr>
        <w:t>.</w:t>
      </w:r>
    </w:p>
    <w:p w14:paraId="51C3A025"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lastRenderedPageBreak/>
        <w:t xml:space="preserve">Keogh, P., Weatherburn, P. and Reid, D. (2016). Learning from the experiences of people with HIV using general practitioner services in London: a qualitative study. </w:t>
      </w:r>
      <w:r>
        <w:rPr>
          <w:rFonts w:ascii="Arial" w:eastAsia="Arial" w:hAnsi="Arial" w:cs="Arial"/>
          <w:i/>
          <w:iCs/>
          <w:sz w:val="22"/>
          <w:szCs w:val="22"/>
        </w:rPr>
        <w:t>Primary Health Care Research &amp; Development</w:t>
      </w:r>
      <w:r>
        <w:rPr>
          <w:rFonts w:ascii="Arial" w:eastAsia="Arial" w:hAnsi="Arial" w:cs="Arial"/>
          <w:sz w:val="22"/>
          <w:szCs w:val="22"/>
        </w:rPr>
        <w:t xml:space="preserve">, 17(04), pp.351–360.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://doi.org/10.1017/s1463423615000481</w:t>
      </w:r>
      <w:proofErr w:type="gramEnd"/>
      <w:r>
        <w:rPr>
          <w:rFonts w:ascii="Arial" w:eastAsia="Arial" w:hAnsi="Arial" w:cs="Arial"/>
          <w:sz w:val="22"/>
          <w:szCs w:val="22"/>
        </w:rPr>
        <w:t>.</w:t>
      </w:r>
    </w:p>
    <w:p w14:paraId="51C3A026"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Kokorelias</w:t>
      </w:r>
      <w:proofErr w:type="spellEnd"/>
      <w:r>
        <w:rPr>
          <w:rFonts w:ascii="Arial" w:eastAsia="Arial" w:hAnsi="Arial" w:cs="Arial"/>
          <w:color w:val="000000"/>
          <w:sz w:val="22"/>
          <w:szCs w:val="22"/>
        </w:rPr>
        <w:t xml:space="preserve">, K.M. </w:t>
      </w:r>
      <w:r>
        <w:rPr>
          <w:rFonts w:ascii="Arial" w:eastAsia="Arial" w:hAnsi="Arial" w:cs="Arial"/>
          <w:i/>
          <w:iCs/>
          <w:color w:val="000000"/>
          <w:sz w:val="22"/>
          <w:szCs w:val="22"/>
        </w:rPr>
        <w:t>et al.</w:t>
      </w:r>
      <w:r>
        <w:rPr>
          <w:rFonts w:ascii="Arial" w:eastAsia="Arial" w:hAnsi="Arial" w:cs="Arial"/>
          <w:color w:val="000000"/>
          <w:sz w:val="22"/>
          <w:szCs w:val="22"/>
        </w:rPr>
        <w:t xml:space="preserve"> (2025) ‘Exploring the state of evidence on aging with HIV in long-term care: A scoping review protocol’, </w:t>
      </w:r>
      <w:proofErr w:type="spellStart"/>
      <w:r>
        <w:rPr>
          <w:rFonts w:ascii="Arial" w:eastAsia="Arial" w:hAnsi="Arial" w:cs="Arial"/>
          <w:i/>
          <w:iCs/>
          <w:color w:val="000000"/>
          <w:sz w:val="22"/>
          <w:szCs w:val="22"/>
        </w:rPr>
        <w:t>PLoS</w:t>
      </w:r>
      <w:proofErr w:type="spellEnd"/>
      <w:r>
        <w:rPr>
          <w:rFonts w:ascii="Arial" w:eastAsia="Arial" w:hAnsi="Arial" w:cs="Arial"/>
          <w:i/>
          <w:iCs/>
          <w:color w:val="000000"/>
          <w:sz w:val="22"/>
          <w:szCs w:val="22"/>
        </w:rPr>
        <w:t xml:space="preserve"> ONE</w:t>
      </w:r>
      <w:r>
        <w:rPr>
          <w:rFonts w:ascii="Arial" w:eastAsia="Arial" w:hAnsi="Arial" w:cs="Arial"/>
          <w:color w:val="000000"/>
          <w:sz w:val="22"/>
          <w:szCs w:val="22"/>
        </w:rPr>
        <w:t>, 20(10), pp. e0335131–e0335131. Available at: https://doi.org/10.1371/journal.pone.0335131.</w:t>
      </w:r>
    </w:p>
    <w:p w14:paraId="51C3A027" w14:textId="77777777" w:rsidR="006921ED" w:rsidRDefault="00D73B41">
      <w:pPr>
        <w:spacing w:before="240" w:after="240" w:line="360" w:lineRule="auto"/>
        <w:rPr>
          <w:rFonts w:ascii="Arial" w:eastAsia="Arial" w:hAnsi="Arial" w:cs="Arial"/>
          <w:sz w:val="22"/>
          <w:szCs w:val="22"/>
        </w:rPr>
      </w:pPr>
      <w:proofErr w:type="spellStart"/>
      <w:r>
        <w:rPr>
          <w:rFonts w:ascii="Arial" w:eastAsia="Arial" w:hAnsi="Arial" w:cs="Arial"/>
          <w:sz w:val="22"/>
          <w:szCs w:val="22"/>
        </w:rPr>
        <w:t>Kokorelias</w:t>
      </w:r>
      <w:proofErr w:type="spellEnd"/>
      <w:r>
        <w:rPr>
          <w:rFonts w:ascii="Arial" w:eastAsia="Arial" w:hAnsi="Arial" w:cs="Arial"/>
          <w:sz w:val="22"/>
          <w:szCs w:val="22"/>
        </w:rPr>
        <w:t xml:space="preserve">, K.M., Carusone, S.C., Sheppard, C., Eaton, A.D., Chui, C., Valentine, D., Kirk, M. and Luxey </w:t>
      </w:r>
      <w:proofErr w:type="spellStart"/>
      <w:r>
        <w:rPr>
          <w:rFonts w:ascii="Arial" w:eastAsia="Arial" w:hAnsi="Arial" w:cs="Arial"/>
          <w:sz w:val="22"/>
          <w:szCs w:val="22"/>
        </w:rPr>
        <w:t>Sirisegaram</w:t>
      </w:r>
      <w:proofErr w:type="spellEnd"/>
      <w:r>
        <w:rPr>
          <w:rFonts w:ascii="Arial" w:eastAsia="Arial" w:hAnsi="Arial" w:cs="Arial"/>
          <w:sz w:val="22"/>
          <w:szCs w:val="22"/>
        </w:rPr>
        <w:t xml:space="preserve"> (2025). Exploring the state of evidence on aging with HIV in long-term care: A scoping review protocol. </w:t>
      </w:r>
      <w:proofErr w:type="spellStart"/>
      <w:r>
        <w:rPr>
          <w:rFonts w:ascii="Arial" w:eastAsia="Arial" w:hAnsi="Arial" w:cs="Arial"/>
          <w:i/>
          <w:iCs/>
          <w:sz w:val="22"/>
          <w:szCs w:val="22"/>
        </w:rPr>
        <w:t>PLoS</w:t>
      </w:r>
      <w:proofErr w:type="spellEnd"/>
      <w:r>
        <w:rPr>
          <w:rFonts w:ascii="Arial" w:eastAsia="Arial" w:hAnsi="Arial" w:cs="Arial"/>
          <w:i/>
          <w:iCs/>
          <w:sz w:val="22"/>
          <w:szCs w:val="22"/>
        </w:rPr>
        <w:t xml:space="preserve"> ONE</w:t>
      </w:r>
      <w:r>
        <w:rPr>
          <w:rFonts w:ascii="Arial" w:eastAsia="Arial" w:hAnsi="Arial" w:cs="Arial"/>
          <w:sz w:val="22"/>
          <w:szCs w:val="22"/>
        </w:rPr>
        <w:t xml:space="preserve">, 20(10), </w:t>
      </w:r>
      <w:proofErr w:type="gramStart"/>
      <w:r>
        <w:rPr>
          <w:rFonts w:ascii="Arial" w:eastAsia="Arial" w:hAnsi="Arial" w:cs="Arial"/>
          <w:sz w:val="22"/>
          <w:szCs w:val="22"/>
        </w:rPr>
        <w:t>pp.e</w:t>
      </w:r>
      <w:proofErr w:type="gramEnd"/>
      <w:r>
        <w:rPr>
          <w:rFonts w:ascii="Arial" w:eastAsia="Arial" w:hAnsi="Arial" w:cs="Arial"/>
          <w:sz w:val="22"/>
          <w:szCs w:val="22"/>
        </w:rPr>
        <w:t xml:space="preserve">0335131–e0335131.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://doi.org/10.1371/journal.pone.0335131</w:t>
      </w:r>
      <w:proofErr w:type="gramEnd"/>
      <w:r>
        <w:rPr>
          <w:rFonts w:ascii="Arial" w:eastAsia="Arial" w:hAnsi="Arial" w:cs="Arial"/>
          <w:sz w:val="22"/>
          <w:szCs w:val="22"/>
        </w:rPr>
        <w:t>.</w:t>
      </w:r>
    </w:p>
    <w:p w14:paraId="51C3A028"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Lam, M.T. and McDiarmid, M. (2016). Increasing number of databases searched in systematic reviews and meta-analyses between 1994 and 2014. </w:t>
      </w:r>
      <w:r>
        <w:rPr>
          <w:rFonts w:ascii="Arial" w:eastAsia="Arial" w:hAnsi="Arial" w:cs="Arial"/>
          <w:i/>
          <w:iCs/>
          <w:sz w:val="22"/>
          <w:szCs w:val="22"/>
        </w:rPr>
        <w:t xml:space="preserve">Journal of the Medical Library </w:t>
      </w:r>
      <w:proofErr w:type="gramStart"/>
      <w:r>
        <w:rPr>
          <w:rFonts w:ascii="Arial" w:eastAsia="Arial" w:hAnsi="Arial" w:cs="Arial"/>
          <w:i/>
          <w:iCs/>
          <w:sz w:val="22"/>
          <w:szCs w:val="22"/>
        </w:rPr>
        <w:t>Association :</w:t>
      </w:r>
      <w:proofErr w:type="gramEnd"/>
      <w:r>
        <w:rPr>
          <w:rFonts w:ascii="Arial" w:eastAsia="Arial" w:hAnsi="Arial" w:cs="Arial"/>
          <w:i/>
          <w:iCs/>
          <w:sz w:val="22"/>
          <w:szCs w:val="22"/>
        </w:rPr>
        <w:t xml:space="preserve"> JMLA</w:t>
      </w:r>
      <w:r>
        <w:rPr>
          <w:rFonts w:ascii="Arial" w:eastAsia="Arial" w:hAnsi="Arial" w:cs="Arial"/>
          <w:sz w:val="22"/>
          <w:szCs w:val="22"/>
        </w:rPr>
        <w:t xml:space="preserve">, 104(4), pp.284–289.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://doi.org/10.3163/1536-5050.104.4.006</w:t>
      </w:r>
      <w:proofErr w:type="gramEnd"/>
      <w:r>
        <w:rPr>
          <w:rFonts w:ascii="Arial" w:eastAsia="Arial" w:hAnsi="Arial" w:cs="Arial"/>
          <w:sz w:val="22"/>
          <w:szCs w:val="22"/>
        </w:rPr>
        <w:t>.</w:t>
      </w:r>
    </w:p>
    <w:p w14:paraId="51C3A029"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Li, L., </w:t>
      </w:r>
      <w:proofErr w:type="spellStart"/>
      <w:r>
        <w:rPr>
          <w:rFonts w:ascii="Arial" w:eastAsia="Arial" w:hAnsi="Arial" w:cs="Arial"/>
          <w:color w:val="000000"/>
          <w:sz w:val="22"/>
          <w:szCs w:val="22"/>
        </w:rPr>
        <w:t>Lv</w:t>
      </w:r>
      <w:proofErr w:type="spellEnd"/>
      <w:r>
        <w:rPr>
          <w:rFonts w:ascii="Arial" w:eastAsia="Arial" w:hAnsi="Arial" w:cs="Arial"/>
          <w:color w:val="000000"/>
          <w:sz w:val="22"/>
          <w:szCs w:val="22"/>
        </w:rPr>
        <w:t xml:space="preserve">, T., Zhao, J., Wang, X., Li, X., Zhang, M., Kou, T., Zheng, P. and Liu, S. (2025). Association between complication risk perception and medical coping strategies in older adults with type 2 diabetes: a cross-sectional study. </w:t>
      </w:r>
      <w:r>
        <w:rPr>
          <w:rFonts w:ascii="Arial" w:eastAsia="Arial" w:hAnsi="Arial" w:cs="Arial"/>
          <w:i/>
          <w:iCs/>
          <w:color w:val="000000"/>
          <w:sz w:val="22"/>
          <w:szCs w:val="22"/>
        </w:rPr>
        <w:t>BMC Geriatrics</w:t>
      </w:r>
      <w:r>
        <w:rPr>
          <w:rFonts w:ascii="Arial" w:eastAsia="Arial" w:hAnsi="Arial" w:cs="Arial"/>
          <w:color w:val="000000"/>
          <w:sz w:val="22"/>
          <w:szCs w:val="22"/>
        </w:rPr>
        <w:t xml:space="preserve">, 25(1).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://doi.org/10.1186/s12877-025-06553-w</w:t>
      </w:r>
      <w:proofErr w:type="gramEnd"/>
      <w:r>
        <w:rPr>
          <w:rFonts w:ascii="Arial" w:eastAsia="Arial" w:hAnsi="Arial" w:cs="Arial"/>
          <w:color w:val="000000"/>
          <w:sz w:val="22"/>
          <w:szCs w:val="22"/>
        </w:rPr>
        <w:t>.</w:t>
      </w:r>
    </w:p>
    <w:p w14:paraId="51C3A02A"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Logie</w:t>
      </w:r>
      <w:proofErr w:type="spellEnd"/>
      <w:r>
        <w:rPr>
          <w:rFonts w:ascii="Arial" w:eastAsia="Arial" w:hAnsi="Arial" w:cs="Arial"/>
          <w:color w:val="000000"/>
          <w:sz w:val="22"/>
          <w:szCs w:val="22"/>
        </w:rPr>
        <w:t xml:space="preserve">, C., James, Ll., </w:t>
      </w:r>
      <w:proofErr w:type="spellStart"/>
      <w:r>
        <w:rPr>
          <w:rFonts w:ascii="Arial" w:eastAsia="Arial" w:hAnsi="Arial" w:cs="Arial"/>
          <w:color w:val="000000"/>
          <w:sz w:val="22"/>
          <w:szCs w:val="22"/>
        </w:rPr>
        <w:t>Tharao</w:t>
      </w:r>
      <w:proofErr w:type="spellEnd"/>
      <w:r>
        <w:rPr>
          <w:rFonts w:ascii="Arial" w:eastAsia="Arial" w:hAnsi="Arial" w:cs="Arial"/>
          <w:color w:val="000000"/>
          <w:sz w:val="22"/>
          <w:szCs w:val="22"/>
        </w:rPr>
        <w:t xml:space="preserve">, W. and </w:t>
      </w:r>
      <w:proofErr w:type="spellStart"/>
      <w:r>
        <w:rPr>
          <w:rFonts w:ascii="Arial" w:eastAsia="Arial" w:hAnsi="Arial" w:cs="Arial"/>
          <w:color w:val="000000"/>
          <w:sz w:val="22"/>
          <w:szCs w:val="22"/>
        </w:rPr>
        <w:t>Loutfy</w:t>
      </w:r>
      <w:proofErr w:type="spellEnd"/>
      <w:r>
        <w:rPr>
          <w:rFonts w:ascii="Arial" w:eastAsia="Arial" w:hAnsi="Arial" w:cs="Arial"/>
          <w:color w:val="000000"/>
          <w:sz w:val="22"/>
          <w:szCs w:val="22"/>
        </w:rPr>
        <w:t xml:space="preserve">, M. (2013). Associations Between HIV-Related Stigma, Racial Discrimination, Gender Discrimination, and Depression Among HIV-Positive African, Caribbean, and Black Women in Ontario, Canada. </w:t>
      </w:r>
      <w:r>
        <w:rPr>
          <w:rFonts w:ascii="Arial" w:eastAsia="Arial" w:hAnsi="Arial" w:cs="Arial"/>
          <w:i/>
          <w:iCs/>
          <w:color w:val="000000"/>
          <w:sz w:val="22"/>
          <w:szCs w:val="22"/>
        </w:rPr>
        <w:t>AIDS Patient Care and STDs</w:t>
      </w:r>
      <w:r>
        <w:rPr>
          <w:rFonts w:ascii="Arial" w:eastAsia="Arial" w:hAnsi="Arial" w:cs="Arial"/>
          <w:color w:val="000000"/>
          <w:sz w:val="22"/>
          <w:szCs w:val="22"/>
        </w:rPr>
        <w:t xml:space="preserve">, 27(2), pp.114–122.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://doi.org/10.1089/apc.2012.0296</w:t>
      </w:r>
      <w:proofErr w:type="gramEnd"/>
      <w:r>
        <w:rPr>
          <w:rFonts w:ascii="Arial" w:eastAsia="Arial" w:hAnsi="Arial" w:cs="Arial"/>
          <w:color w:val="000000"/>
          <w:sz w:val="22"/>
          <w:szCs w:val="22"/>
        </w:rPr>
        <w:t>.</w:t>
      </w:r>
    </w:p>
    <w:p w14:paraId="51C3A02B" w14:textId="77777777" w:rsidR="006921ED" w:rsidRDefault="00D73B41">
      <w:pPr>
        <w:pBdr>
          <w:top w:val="nil"/>
          <w:left w:val="nil"/>
          <w:bottom w:val="nil"/>
          <w:right w:val="nil"/>
          <w:between w:val="nil"/>
        </w:pBdr>
        <w:spacing w:before="280" w:after="280" w:line="360" w:lineRule="auto"/>
        <w:rPr>
          <w:rFonts w:ascii="Arial" w:eastAsia="Arial" w:hAnsi="Arial" w:cs="Arial"/>
          <w:color w:val="000000"/>
          <w:sz w:val="22"/>
          <w:szCs w:val="22"/>
        </w:rPr>
      </w:pPr>
      <w:proofErr w:type="spellStart"/>
      <w:r>
        <w:rPr>
          <w:rFonts w:ascii="Arial" w:eastAsia="Arial" w:hAnsi="Arial" w:cs="Arial"/>
          <w:color w:val="000000"/>
          <w:sz w:val="22"/>
          <w:szCs w:val="22"/>
        </w:rPr>
        <w:t>Łupina</w:t>
      </w:r>
      <w:proofErr w:type="spellEnd"/>
      <w:r>
        <w:rPr>
          <w:rFonts w:ascii="Arial" w:eastAsia="Arial" w:hAnsi="Arial" w:cs="Arial"/>
          <w:color w:val="000000"/>
          <w:sz w:val="22"/>
          <w:szCs w:val="22"/>
        </w:rPr>
        <w:t xml:space="preserve">, K., Nowak, K., Lorek, D., Nowak, A., </w:t>
      </w:r>
      <w:proofErr w:type="spellStart"/>
      <w:r>
        <w:rPr>
          <w:rFonts w:ascii="Arial" w:eastAsia="Arial" w:hAnsi="Arial" w:cs="Arial"/>
          <w:color w:val="000000"/>
          <w:sz w:val="22"/>
          <w:szCs w:val="22"/>
        </w:rPr>
        <w:t>Romac</w:t>
      </w:r>
      <w:proofErr w:type="spellEnd"/>
      <w:r>
        <w:rPr>
          <w:rFonts w:ascii="Arial" w:eastAsia="Arial" w:hAnsi="Arial" w:cs="Arial"/>
          <w:color w:val="000000"/>
          <w:sz w:val="22"/>
          <w:szCs w:val="22"/>
        </w:rPr>
        <w:t xml:space="preserve">, A., Głowacka, E. and </w:t>
      </w:r>
      <w:proofErr w:type="spellStart"/>
      <w:r>
        <w:rPr>
          <w:rFonts w:ascii="Arial" w:eastAsia="Arial" w:hAnsi="Arial" w:cs="Arial"/>
          <w:color w:val="000000"/>
          <w:sz w:val="22"/>
          <w:szCs w:val="22"/>
        </w:rPr>
        <w:t>Janczura</w:t>
      </w:r>
      <w:proofErr w:type="spellEnd"/>
      <w:r>
        <w:rPr>
          <w:rFonts w:ascii="Arial" w:eastAsia="Arial" w:hAnsi="Arial" w:cs="Arial"/>
          <w:color w:val="000000"/>
          <w:sz w:val="22"/>
          <w:szCs w:val="22"/>
        </w:rPr>
        <w:t xml:space="preserve">, J. (2025). Pharmacological advances in HIV treatment: from ART to long-acting injectable therapies. </w:t>
      </w:r>
      <w:r>
        <w:rPr>
          <w:rFonts w:ascii="Arial" w:eastAsia="Arial" w:hAnsi="Arial" w:cs="Arial"/>
          <w:i/>
          <w:iCs/>
          <w:color w:val="000000"/>
          <w:sz w:val="22"/>
          <w:szCs w:val="22"/>
        </w:rPr>
        <w:t>Archives of Virology</w:t>
      </w:r>
      <w:r>
        <w:rPr>
          <w:rFonts w:ascii="Arial" w:eastAsia="Arial" w:hAnsi="Arial" w:cs="Arial"/>
          <w:color w:val="000000"/>
          <w:sz w:val="22"/>
          <w:szCs w:val="22"/>
        </w:rPr>
        <w:t xml:space="preserve">, 170(9).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://doi.org/10.1007/s00705-025-06381-8</w:t>
      </w:r>
      <w:proofErr w:type="gramEnd"/>
      <w:r>
        <w:rPr>
          <w:rFonts w:ascii="Arial" w:eastAsia="Arial" w:hAnsi="Arial" w:cs="Arial"/>
          <w:color w:val="000000"/>
          <w:sz w:val="22"/>
          <w:szCs w:val="22"/>
        </w:rPr>
        <w:t>.</w:t>
      </w:r>
    </w:p>
    <w:p w14:paraId="51C3A02C"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Ma, L.-L., Wang, Y.-Y., Yang, Z.-H., Huang, D., Weng, H. and Zeng, X.-T. (2020). Methodological Quality (Risk of Bias) Assessment Tools for Primary and Secondary Medical studies: What Are They and Which Is better? </w:t>
      </w:r>
      <w:r>
        <w:rPr>
          <w:rFonts w:ascii="Arial" w:eastAsia="Arial" w:hAnsi="Arial" w:cs="Arial"/>
          <w:i/>
          <w:iCs/>
          <w:color w:val="000000"/>
          <w:sz w:val="22"/>
          <w:szCs w:val="22"/>
        </w:rPr>
        <w:t>Military Medical Research</w:t>
      </w:r>
      <w:r>
        <w:rPr>
          <w:rFonts w:ascii="Arial" w:eastAsia="Arial" w:hAnsi="Arial" w:cs="Arial"/>
          <w:color w:val="000000"/>
          <w:sz w:val="22"/>
          <w:szCs w:val="22"/>
        </w:rPr>
        <w:t xml:space="preserve">, [online] 7(7).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://doi.org/10.1186/s40779-020-00238-8</w:t>
      </w:r>
      <w:proofErr w:type="gramEnd"/>
      <w:r>
        <w:rPr>
          <w:rFonts w:ascii="Arial" w:eastAsia="Arial" w:hAnsi="Arial" w:cs="Arial"/>
          <w:color w:val="000000"/>
          <w:sz w:val="22"/>
          <w:szCs w:val="22"/>
        </w:rPr>
        <w:t>.</w:t>
      </w:r>
    </w:p>
    <w:p w14:paraId="51C3A02D"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lastRenderedPageBreak/>
        <w:t xml:space="preserve">Malone, S., Counts, L., </w:t>
      </w:r>
      <w:proofErr w:type="spellStart"/>
      <w:r>
        <w:rPr>
          <w:rFonts w:ascii="Arial" w:eastAsia="Arial" w:hAnsi="Arial" w:cs="Arial"/>
          <w:color w:val="000000"/>
          <w:sz w:val="22"/>
          <w:szCs w:val="22"/>
        </w:rPr>
        <w:t>Zabotka</w:t>
      </w:r>
      <w:proofErr w:type="spellEnd"/>
      <w:r>
        <w:rPr>
          <w:rFonts w:ascii="Arial" w:eastAsia="Arial" w:hAnsi="Arial" w:cs="Arial"/>
          <w:color w:val="000000"/>
          <w:sz w:val="22"/>
          <w:szCs w:val="22"/>
        </w:rPr>
        <w:t xml:space="preserve">, L., Williams, A., Loecher, N., Wynja, K., Bryan, G., Tanner, R., Cáceres-Serrano, A., Ferrara, G., Fuentes, L., </w:t>
      </w:r>
      <w:proofErr w:type="spellStart"/>
      <w:r>
        <w:rPr>
          <w:rFonts w:ascii="Arial" w:eastAsia="Arial" w:hAnsi="Arial" w:cs="Arial"/>
          <w:color w:val="000000"/>
          <w:sz w:val="22"/>
          <w:szCs w:val="22"/>
        </w:rPr>
        <w:t>Bilbeisi</w:t>
      </w:r>
      <w:proofErr w:type="spellEnd"/>
      <w:r>
        <w:rPr>
          <w:rFonts w:ascii="Arial" w:eastAsia="Arial" w:hAnsi="Arial" w:cs="Arial"/>
          <w:color w:val="000000"/>
          <w:sz w:val="22"/>
          <w:szCs w:val="22"/>
        </w:rPr>
        <w:t xml:space="preserve">, T., Maheu, M., Oelkers, B.K., </w:t>
      </w:r>
      <w:proofErr w:type="spellStart"/>
      <w:r>
        <w:rPr>
          <w:rFonts w:ascii="Arial" w:eastAsia="Arial" w:hAnsi="Arial" w:cs="Arial"/>
          <w:color w:val="000000"/>
          <w:sz w:val="22"/>
          <w:szCs w:val="22"/>
        </w:rPr>
        <w:t>Ogwo</w:t>
      </w:r>
      <w:proofErr w:type="spellEnd"/>
      <w:r>
        <w:rPr>
          <w:rFonts w:ascii="Arial" w:eastAsia="Arial" w:hAnsi="Arial" w:cs="Arial"/>
          <w:color w:val="000000"/>
          <w:sz w:val="22"/>
          <w:szCs w:val="22"/>
        </w:rPr>
        <w:t xml:space="preserve">, M., Yaeger, L., </w:t>
      </w:r>
      <w:proofErr w:type="spellStart"/>
      <w:r>
        <w:rPr>
          <w:rFonts w:ascii="Arial" w:eastAsia="Arial" w:hAnsi="Arial" w:cs="Arial"/>
          <w:color w:val="000000"/>
          <w:sz w:val="22"/>
          <w:szCs w:val="22"/>
        </w:rPr>
        <w:t>Agulnik</w:t>
      </w:r>
      <w:proofErr w:type="spellEnd"/>
      <w:r>
        <w:rPr>
          <w:rFonts w:ascii="Arial" w:eastAsia="Arial" w:hAnsi="Arial" w:cs="Arial"/>
          <w:color w:val="000000"/>
          <w:sz w:val="22"/>
          <w:szCs w:val="22"/>
        </w:rPr>
        <w:t xml:space="preserve">, A. and Graetz, D. (2025). Stigma measurement in health: a systematic review. </w:t>
      </w:r>
      <w:proofErr w:type="spellStart"/>
      <w:r>
        <w:rPr>
          <w:rFonts w:ascii="Arial" w:eastAsia="Arial" w:hAnsi="Arial" w:cs="Arial"/>
          <w:i/>
          <w:iCs/>
          <w:color w:val="000000"/>
          <w:sz w:val="22"/>
          <w:szCs w:val="22"/>
        </w:rPr>
        <w:t>eClinicalMedicine</w:t>
      </w:r>
      <w:proofErr w:type="spellEnd"/>
      <w:r>
        <w:rPr>
          <w:rFonts w:ascii="Arial" w:eastAsia="Arial" w:hAnsi="Arial" w:cs="Arial"/>
          <w:color w:val="000000"/>
          <w:sz w:val="22"/>
          <w:szCs w:val="22"/>
        </w:rPr>
        <w:t xml:space="preserve">, [online] 86, p.103360.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://doi.org/10.1016/j.eclinm.2025.103360</w:t>
      </w:r>
      <w:proofErr w:type="gramEnd"/>
      <w:r>
        <w:rPr>
          <w:rFonts w:ascii="Arial" w:eastAsia="Arial" w:hAnsi="Arial" w:cs="Arial"/>
          <w:color w:val="000000"/>
          <w:sz w:val="22"/>
          <w:szCs w:val="22"/>
        </w:rPr>
        <w:t>.</w:t>
      </w:r>
    </w:p>
    <w:p w14:paraId="51C3A02E"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Mantovani, N., </w:t>
      </w:r>
      <w:proofErr w:type="spellStart"/>
      <w:r>
        <w:rPr>
          <w:rFonts w:ascii="Arial" w:eastAsia="Arial" w:hAnsi="Arial" w:cs="Arial"/>
          <w:sz w:val="22"/>
          <w:szCs w:val="22"/>
        </w:rPr>
        <w:t>Pizzolati</w:t>
      </w:r>
      <w:proofErr w:type="spellEnd"/>
      <w:r>
        <w:rPr>
          <w:rFonts w:ascii="Arial" w:eastAsia="Arial" w:hAnsi="Arial" w:cs="Arial"/>
          <w:sz w:val="22"/>
          <w:szCs w:val="22"/>
        </w:rPr>
        <w:t xml:space="preserve">, M. and Edge, D. (2016). Exploring the Relationship between Stigma and help-seeking for Mental Illness in African-descended Faith Communities in the UK. </w:t>
      </w:r>
      <w:r>
        <w:rPr>
          <w:rFonts w:ascii="Arial" w:eastAsia="Arial" w:hAnsi="Arial" w:cs="Arial"/>
          <w:i/>
          <w:iCs/>
          <w:sz w:val="22"/>
          <w:szCs w:val="22"/>
        </w:rPr>
        <w:t>Health Expectations</w:t>
      </w:r>
      <w:r>
        <w:rPr>
          <w:rFonts w:ascii="Arial" w:eastAsia="Arial" w:hAnsi="Arial" w:cs="Arial"/>
          <w:sz w:val="22"/>
          <w:szCs w:val="22"/>
        </w:rPr>
        <w:t>, 20(3), pp.373–384.</w:t>
      </w:r>
    </w:p>
    <w:p w14:paraId="51C3A02F"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Martinez, E.C., Ghattas, P.E., </w:t>
      </w:r>
      <w:proofErr w:type="spellStart"/>
      <w:r>
        <w:rPr>
          <w:rFonts w:ascii="Arial" w:eastAsia="Arial" w:hAnsi="Arial" w:cs="Arial"/>
          <w:sz w:val="22"/>
          <w:szCs w:val="22"/>
        </w:rPr>
        <w:t>Salolin</w:t>
      </w:r>
      <w:proofErr w:type="spellEnd"/>
      <w:r>
        <w:rPr>
          <w:rFonts w:ascii="Arial" w:eastAsia="Arial" w:hAnsi="Arial" w:cs="Arial"/>
          <w:sz w:val="22"/>
          <w:szCs w:val="22"/>
        </w:rPr>
        <w:t xml:space="preserve">, V.P., García-González, O.Y., Fermin, M.D., Rueda, D.E., Carmona, T.C., Cruz, C.S. and Hooper, C.T. (2025). A comprehensive guide to conduct a systematic review and meta-analysis in medical research. </w:t>
      </w:r>
      <w:r>
        <w:rPr>
          <w:rFonts w:ascii="Arial" w:eastAsia="Arial" w:hAnsi="Arial" w:cs="Arial"/>
          <w:i/>
          <w:iCs/>
          <w:sz w:val="22"/>
          <w:szCs w:val="22"/>
        </w:rPr>
        <w:t>Medicine</w:t>
      </w:r>
      <w:r>
        <w:rPr>
          <w:rFonts w:ascii="Arial" w:eastAsia="Arial" w:hAnsi="Arial" w:cs="Arial"/>
          <w:sz w:val="22"/>
          <w:szCs w:val="22"/>
        </w:rPr>
        <w:t xml:space="preserve">, [online] 104(33), </w:t>
      </w:r>
      <w:proofErr w:type="gramStart"/>
      <w:r>
        <w:rPr>
          <w:rFonts w:ascii="Arial" w:eastAsia="Arial" w:hAnsi="Arial" w:cs="Arial"/>
          <w:sz w:val="22"/>
          <w:szCs w:val="22"/>
        </w:rPr>
        <w:t>pp.e</w:t>
      </w:r>
      <w:proofErr w:type="gramEnd"/>
      <w:r>
        <w:rPr>
          <w:rFonts w:ascii="Arial" w:eastAsia="Arial" w:hAnsi="Arial" w:cs="Arial"/>
          <w:sz w:val="22"/>
          <w:szCs w:val="22"/>
        </w:rPr>
        <w:t xml:space="preserve">41868–e41868.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://doi.org/10.1097/md.0000000000041868</w:t>
      </w:r>
      <w:proofErr w:type="gramEnd"/>
      <w:r>
        <w:rPr>
          <w:rFonts w:ascii="Arial" w:eastAsia="Arial" w:hAnsi="Arial" w:cs="Arial"/>
          <w:sz w:val="22"/>
          <w:szCs w:val="22"/>
        </w:rPr>
        <w:t>.</w:t>
      </w:r>
    </w:p>
    <w:p w14:paraId="51C3A030"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McKee, M., Dunnell, K., Anderson, M., </w:t>
      </w:r>
      <w:proofErr w:type="spellStart"/>
      <w:r>
        <w:rPr>
          <w:rFonts w:ascii="Arial" w:eastAsia="Arial" w:hAnsi="Arial" w:cs="Arial"/>
          <w:sz w:val="22"/>
          <w:szCs w:val="22"/>
        </w:rPr>
        <w:t>Brayne</w:t>
      </w:r>
      <w:proofErr w:type="spellEnd"/>
      <w:r>
        <w:rPr>
          <w:rFonts w:ascii="Arial" w:eastAsia="Arial" w:hAnsi="Arial" w:cs="Arial"/>
          <w:sz w:val="22"/>
          <w:szCs w:val="22"/>
        </w:rPr>
        <w:t xml:space="preserve">, C., Charlesworth, A., Johnston-Webber, C., Knapp, M., McGuire, A., Newton, J.N., Taylor, D. and Watt, R.G. (2021). The changing health needs of the UK population. </w:t>
      </w:r>
      <w:r>
        <w:rPr>
          <w:rFonts w:ascii="Arial" w:eastAsia="Arial" w:hAnsi="Arial" w:cs="Arial"/>
          <w:i/>
          <w:iCs/>
          <w:sz w:val="22"/>
          <w:szCs w:val="22"/>
        </w:rPr>
        <w:t>The Lancet</w:t>
      </w:r>
      <w:r>
        <w:rPr>
          <w:rFonts w:ascii="Arial" w:eastAsia="Arial" w:hAnsi="Arial" w:cs="Arial"/>
          <w:sz w:val="22"/>
          <w:szCs w:val="22"/>
        </w:rPr>
        <w:t>, 397(10288), pp.1979–1991.</w:t>
      </w:r>
    </w:p>
    <w:p w14:paraId="51C3A031"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McKenzie, J.E., Bossuyt, P.M., </w:t>
      </w:r>
      <w:proofErr w:type="spellStart"/>
      <w:r>
        <w:rPr>
          <w:rFonts w:ascii="Arial" w:eastAsia="Arial" w:hAnsi="Arial" w:cs="Arial"/>
          <w:sz w:val="22"/>
          <w:szCs w:val="22"/>
        </w:rPr>
        <w:t>Boutron</w:t>
      </w:r>
      <w:proofErr w:type="spellEnd"/>
      <w:r>
        <w:rPr>
          <w:rFonts w:ascii="Arial" w:eastAsia="Arial" w:hAnsi="Arial" w:cs="Arial"/>
          <w:sz w:val="22"/>
          <w:szCs w:val="22"/>
        </w:rPr>
        <w:t xml:space="preserve">, I., Hoffmann, T.C., Mulrow, C.D., </w:t>
      </w:r>
      <w:proofErr w:type="spellStart"/>
      <w:r>
        <w:rPr>
          <w:rFonts w:ascii="Arial" w:eastAsia="Arial" w:hAnsi="Arial" w:cs="Arial"/>
          <w:sz w:val="22"/>
          <w:szCs w:val="22"/>
        </w:rPr>
        <w:t>Shamseer</w:t>
      </w:r>
      <w:proofErr w:type="spellEnd"/>
      <w:r>
        <w:rPr>
          <w:rFonts w:ascii="Arial" w:eastAsia="Arial" w:hAnsi="Arial" w:cs="Arial"/>
          <w:sz w:val="22"/>
          <w:szCs w:val="22"/>
        </w:rPr>
        <w:t xml:space="preserve">, L., Tetzlaff, J.M., Akl, E.A., Brennan, S.E., Chou, R., Glanville, J., Grimshaw, J.M., Hróbjartsson, A., Lalu, M.M., Li, T., Loder, E.W., Mayo-Wilson, E., McDonald, S., McGuinness, L.A. and Stewart, L.A. (2021). The PRISMA 2020 statement: an Updated Guideline for Reporting Systematic Reviews. </w:t>
      </w:r>
      <w:r>
        <w:rPr>
          <w:rFonts w:ascii="Arial" w:eastAsia="Arial" w:hAnsi="Arial" w:cs="Arial"/>
          <w:i/>
          <w:iCs/>
          <w:sz w:val="22"/>
          <w:szCs w:val="22"/>
        </w:rPr>
        <w:t>Systematic Reviews</w:t>
      </w:r>
      <w:r>
        <w:rPr>
          <w:rFonts w:ascii="Arial" w:eastAsia="Arial" w:hAnsi="Arial" w:cs="Arial"/>
          <w:sz w:val="22"/>
          <w:szCs w:val="22"/>
        </w:rPr>
        <w:t xml:space="preserve">, [online] 10(1).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://doi.org/10.1186/s13643-021-01626-4</w:t>
      </w:r>
      <w:proofErr w:type="gramEnd"/>
      <w:r>
        <w:rPr>
          <w:rFonts w:ascii="Arial" w:eastAsia="Arial" w:hAnsi="Arial" w:cs="Arial"/>
          <w:sz w:val="22"/>
          <w:szCs w:val="22"/>
        </w:rPr>
        <w:t>.</w:t>
      </w:r>
    </w:p>
    <w:p w14:paraId="51C3A032"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Menezes-Júnior, L., de Paula, W., Barbosa, B.C.R., Chagas, C.M. dos S., Silva Cardoso, C., Dias de Freitas, E., de Carvalho Vidigal, F., Nunes de Oliveira, H., Neri Nobre, L., Saraiva da Silva, L. and Meireles, A.L. (2026). Predictive accuracy of the 8- and 12-item versions of the DASS-21 in measuring depression, anxiety and stress in Brazilian university students. </w:t>
      </w:r>
      <w:r>
        <w:rPr>
          <w:rFonts w:ascii="Arial" w:eastAsia="Arial" w:hAnsi="Arial" w:cs="Arial"/>
          <w:i/>
          <w:iCs/>
          <w:color w:val="000000"/>
          <w:sz w:val="22"/>
          <w:szCs w:val="22"/>
        </w:rPr>
        <w:t>Public Health</w:t>
      </w:r>
      <w:r>
        <w:rPr>
          <w:rFonts w:ascii="Arial" w:eastAsia="Arial" w:hAnsi="Arial" w:cs="Arial"/>
          <w:color w:val="000000"/>
          <w:sz w:val="22"/>
          <w:szCs w:val="22"/>
        </w:rPr>
        <w:t xml:space="preserve">, [online] 252, p.106150.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://doi.org/10.1016/j.puhe.2026.106150</w:t>
      </w:r>
      <w:proofErr w:type="gramEnd"/>
      <w:r>
        <w:rPr>
          <w:rFonts w:ascii="Arial" w:eastAsia="Arial" w:hAnsi="Arial" w:cs="Arial"/>
          <w:color w:val="000000"/>
          <w:sz w:val="22"/>
          <w:szCs w:val="22"/>
        </w:rPr>
        <w:t>.</w:t>
      </w:r>
    </w:p>
    <w:p w14:paraId="51C3A033" w14:textId="77777777" w:rsidR="006921ED" w:rsidRDefault="00D73B41">
      <w:pPr>
        <w:spacing w:before="240" w:after="240" w:line="360" w:lineRule="auto"/>
        <w:rPr>
          <w:rFonts w:ascii="Arial" w:eastAsia="Arial" w:hAnsi="Arial" w:cs="Arial"/>
          <w:sz w:val="22"/>
          <w:szCs w:val="22"/>
        </w:rPr>
      </w:pPr>
      <w:proofErr w:type="spellStart"/>
      <w:r>
        <w:rPr>
          <w:rFonts w:ascii="Arial" w:eastAsia="Arial" w:hAnsi="Arial" w:cs="Arial"/>
          <w:sz w:val="22"/>
          <w:szCs w:val="22"/>
        </w:rPr>
        <w:t>Mkumba</w:t>
      </w:r>
      <w:proofErr w:type="spellEnd"/>
      <w:r>
        <w:rPr>
          <w:rFonts w:ascii="Arial" w:eastAsia="Arial" w:hAnsi="Arial" w:cs="Arial"/>
          <w:sz w:val="22"/>
          <w:szCs w:val="22"/>
        </w:rPr>
        <w:t xml:space="preserve">, L., Muiruri, C., Garg, K., Watt, M.H. and Okeke, N.L. (2021). Perspectives of Chronic Disease Management Among Persons with HIV: A Qualitative Study. </w:t>
      </w:r>
      <w:r>
        <w:rPr>
          <w:rFonts w:ascii="Arial" w:eastAsia="Arial" w:hAnsi="Arial" w:cs="Arial"/>
          <w:i/>
          <w:iCs/>
          <w:sz w:val="22"/>
          <w:szCs w:val="22"/>
        </w:rPr>
        <w:t>Patient Preference and Adherence</w:t>
      </w:r>
      <w:r>
        <w:rPr>
          <w:rFonts w:ascii="Arial" w:eastAsia="Arial" w:hAnsi="Arial" w:cs="Arial"/>
          <w:sz w:val="22"/>
          <w:szCs w:val="22"/>
        </w:rPr>
        <w:t xml:space="preserve">, Volume 15, pp.49–55.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://doi.org/10.2147/ppa.s287325</w:t>
      </w:r>
      <w:proofErr w:type="gramEnd"/>
      <w:r>
        <w:rPr>
          <w:rFonts w:ascii="Arial" w:eastAsia="Arial" w:hAnsi="Arial" w:cs="Arial"/>
          <w:sz w:val="22"/>
          <w:szCs w:val="22"/>
        </w:rPr>
        <w:t>.</w:t>
      </w:r>
    </w:p>
    <w:p w14:paraId="51C3A034" w14:textId="77777777" w:rsidR="006921ED" w:rsidRDefault="00D73B41">
      <w:pPr>
        <w:spacing w:before="240" w:after="240" w:line="360" w:lineRule="auto"/>
        <w:rPr>
          <w:rFonts w:ascii="Arial" w:eastAsia="Arial" w:hAnsi="Arial" w:cs="Arial"/>
          <w:sz w:val="22"/>
          <w:szCs w:val="22"/>
        </w:rPr>
      </w:pPr>
      <w:proofErr w:type="spellStart"/>
      <w:r>
        <w:rPr>
          <w:rFonts w:ascii="Arial" w:eastAsia="Arial" w:hAnsi="Arial" w:cs="Arial"/>
          <w:sz w:val="22"/>
          <w:szCs w:val="22"/>
        </w:rPr>
        <w:t>Mohajan</w:t>
      </w:r>
      <w:proofErr w:type="spellEnd"/>
      <w:r>
        <w:rPr>
          <w:rFonts w:ascii="Arial" w:eastAsia="Arial" w:hAnsi="Arial" w:cs="Arial"/>
          <w:sz w:val="22"/>
          <w:szCs w:val="22"/>
        </w:rPr>
        <w:t xml:space="preserve">, H. (2017). </w:t>
      </w:r>
      <w:r>
        <w:rPr>
          <w:rFonts w:ascii="Arial" w:eastAsia="Arial" w:hAnsi="Arial" w:cs="Arial"/>
          <w:i/>
          <w:iCs/>
          <w:sz w:val="22"/>
          <w:szCs w:val="22"/>
        </w:rPr>
        <w:t>Two Criteria for Good Measurements in Research: Validity and Reliability Two Criteria for Good Measurements in Research: Validity and Reliability</w:t>
      </w:r>
      <w:r>
        <w:rPr>
          <w:rFonts w:ascii="Arial" w:eastAsia="Arial" w:hAnsi="Arial" w:cs="Arial"/>
          <w:sz w:val="22"/>
          <w:szCs w:val="22"/>
        </w:rPr>
        <w:t xml:space="preserve">. [online] </w:t>
      </w:r>
      <w:r>
        <w:rPr>
          <w:rFonts w:ascii="Arial" w:eastAsia="Arial" w:hAnsi="Arial" w:cs="Arial"/>
          <w:i/>
          <w:iCs/>
          <w:sz w:val="22"/>
          <w:szCs w:val="22"/>
        </w:rPr>
        <w:lastRenderedPageBreak/>
        <w:t>Annals of Spiru Haret University</w:t>
      </w:r>
      <w:r>
        <w:rPr>
          <w:rFonts w:ascii="Arial" w:eastAsia="Arial" w:hAnsi="Arial" w:cs="Arial"/>
          <w:sz w:val="22"/>
          <w:szCs w:val="22"/>
        </w:rPr>
        <w:t>, pp.58–82. Available at: https://mpra.ub.uni-muenchen.de/83458/1/MPRA_paper_83458.pdf.</w:t>
      </w:r>
    </w:p>
    <w:p w14:paraId="51C3A035"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Morgan, S. and Davies, A. (2025). Supporting individuals with chronic health conditions in the workplace: a scoping review. </w:t>
      </w:r>
      <w:r>
        <w:rPr>
          <w:rFonts w:ascii="Arial" w:eastAsia="Arial" w:hAnsi="Arial" w:cs="Arial"/>
          <w:i/>
          <w:iCs/>
          <w:color w:val="000000"/>
          <w:sz w:val="22"/>
          <w:szCs w:val="22"/>
        </w:rPr>
        <w:t>Disability and Rehabilitation</w:t>
      </w:r>
      <w:r>
        <w:rPr>
          <w:rFonts w:ascii="Arial" w:eastAsia="Arial" w:hAnsi="Arial" w:cs="Arial"/>
          <w:color w:val="000000"/>
          <w:sz w:val="22"/>
          <w:szCs w:val="22"/>
        </w:rPr>
        <w:t xml:space="preserve">, pp.1–16.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://doi.org/10.1080/09638288.2025.2578992</w:t>
      </w:r>
      <w:proofErr w:type="gramEnd"/>
      <w:r>
        <w:rPr>
          <w:rFonts w:ascii="Arial" w:eastAsia="Arial" w:hAnsi="Arial" w:cs="Arial"/>
          <w:color w:val="000000"/>
          <w:sz w:val="22"/>
          <w:szCs w:val="22"/>
        </w:rPr>
        <w:t>.</w:t>
      </w:r>
    </w:p>
    <w:p w14:paraId="51C3A036"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Mulubale</w:t>
      </w:r>
      <w:proofErr w:type="spellEnd"/>
      <w:r>
        <w:rPr>
          <w:rFonts w:ascii="Arial" w:eastAsia="Arial" w:hAnsi="Arial" w:cs="Arial"/>
          <w:color w:val="000000"/>
          <w:sz w:val="22"/>
          <w:szCs w:val="22"/>
        </w:rPr>
        <w:t xml:space="preserve">, S., Clay, S., Squire, C., Bond, V., Kasoka, K., </w:t>
      </w:r>
      <w:proofErr w:type="spellStart"/>
      <w:r>
        <w:rPr>
          <w:rFonts w:ascii="Arial" w:eastAsia="Arial" w:hAnsi="Arial" w:cs="Arial"/>
          <w:color w:val="000000"/>
          <w:sz w:val="22"/>
          <w:szCs w:val="22"/>
        </w:rPr>
        <w:t>Stackpool</w:t>
      </w:r>
      <w:proofErr w:type="spellEnd"/>
      <w:r>
        <w:rPr>
          <w:rFonts w:ascii="Arial" w:eastAsia="Arial" w:hAnsi="Arial" w:cs="Arial"/>
          <w:color w:val="000000"/>
          <w:sz w:val="22"/>
          <w:szCs w:val="22"/>
        </w:rPr>
        <w:t xml:space="preserve">-Moore, L., </w:t>
      </w:r>
      <w:proofErr w:type="spellStart"/>
      <w:r>
        <w:rPr>
          <w:rFonts w:ascii="Arial" w:eastAsia="Arial" w:hAnsi="Arial" w:cs="Arial"/>
          <w:color w:val="000000"/>
          <w:sz w:val="22"/>
          <w:szCs w:val="22"/>
        </w:rPr>
        <w:t>Oraro</w:t>
      </w:r>
      <w:proofErr w:type="spellEnd"/>
      <w:r>
        <w:rPr>
          <w:rFonts w:ascii="Arial" w:eastAsia="Arial" w:hAnsi="Arial" w:cs="Arial"/>
          <w:color w:val="000000"/>
          <w:sz w:val="22"/>
          <w:szCs w:val="22"/>
        </w:rPr>
        <w:t xml:space="preserve">-Lawrence, T., Chonta, M. and </w:t>
      </w:r>
      <w:proofErr w:type="spellStart"/>
      <w:r>
        <w:rPr>
          <w:rFonts w:ascii="Arial" w:eastAsia="Arial" w:hAnsi="Arial" w:cs="Arial"/>
          <w:color w:val="000000"/>
          <w:sz w:val="22"/>
          <w:szCs w:val="22"/>
        </w:rPr>
        <w:t>Chiiya</w:t>
      </w:r>
      <w:proofErr w:type="spellEnd"/>
      <w:r>
        <w:rPr>
          <w:rFonts w:ascii="Arial" w:eastAsia="Arial" w:hAnsi="Arial" w:cs="Arial"/>
          <w:color w:val="000000"/>
          <w:sz w:val="22"/>
          <w:szCs w:val="22"/>
        </w:rPr>
        <w:t xml:space="preserve">, C. (2022). Situating HIV Stigma in Health Facility Settings: A Qualitative Study of Experiences and Perceptions of Stigma in ‘Clinics’ among Healthcare Workers and Service Users in Zambia. </w:t>
      </w:r>
      <w:r>
        <w:rPr>
          <w:rFonts w:ascii="Arial" w:eastAsia="Arial" w:hAnsi="Arial" w:cs="Arial"/>
          <w:i/>
          <w:iCs/>
          <w:color w:val="000000"/>
          <w:sz w:val="22"/>
          <w:szCs w:val="22"/>
        </w:rPr>
        <w:t>Journal of the International Association of Providers of AIDS Care (JIAPAC)</w:t>
      </w:r>
      <w:r>
        <w:rPr>
          <w:rFonts w:ascii="Arial" w:eastAsia="Arial" w:hAnsi="Arial" w:cs="Arial"/>
          <w:color w:val="000000"/>
          <w:sz w:val="22"/>
          <w:szCs w:val="22"/>
        </w:rPr>
        <w:t xml:space="preserve">, 21, p.232595822211004.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://doi.org/10.1177/23259582221100453</w:t>
      </w:r>
      <w:proofErr w:type="gramEnd"/>
      <w:r>
        <w:rPr>
          <w:rFonts w:ascii="Arial" w:eastAsia="Arial" w:hAnsi="Arial" w:cs="Arial"/>
          <w:color w:val="000000"/>
          <w:sz w:val="22"/>
          <w:szCs w:val="22"/>
        </w:rPr>
        <w:t>.</w:t>
      </w:r>
    </w:p>
    <w:p w14:paraId="51C3A037"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Naeem, M., </w:t>
      </w:r>
      <w:proofErr w:type="spellStart"/>
      <w:r>
        <w:rPr>
          <w:rFonts w:ascii="Arial" w:eastAsia="Arial" w:hAnsi="Arial" w:cs="Arial"/>
          <w:color w:val="000000"/>
          <w:sz w:val="22"/>
          <w:szCs w:val="22"/>
        </w:rPr>
        <w:t>Ozuem</w:t>
      </w:r>
      <w:proofErr w:type="spellEnd"/>
      <w:r>
        <w:rPr>
          <w:rFonts w:ascii="Arial" w:eastAsia="Arial" w:hAnsi="Arial" w:cs="Arial"/>
          <w:color w:val="000000"/>
          <w:sz w:val="22"/>
          <w:szCs w:val="22"/>
        </w:rPr>
        <w:t xml:space="preserve">, W., Howell, K. and Ranfagni, S. (2023). A step-by-step Process of Thematic Analysis to Develop a Conceptual Model in Qualitative Research. </w:t>
      </w:r>
      <w:r>
        <w:rPr>
          <w:rFonts w:ascii="Arial" w:eastAsia="Arial" w:hAnsi="Arial" w:cs="Arial"/>
          <w:i/>
          <w:iCs/>
          <w:color w:val="000000"/>
          <w:sz w:val="22"/>
          <w:szCs w:val="22"/>
        </w:rPr>
        <w:t>International Journal of Qualitative Methods</w:t>
      </w:r>
      <w:r>
        <w:rPr>
          <w:rFonts w:ascii="Arial" w:eastAsia="Arial" w:hAnsi="Arial" w:cs="Arial"/>
          <w:color w:val="000000"/>
          <w:sz w:val="22"/>
          <w:szCs w:val="22"/>
        </w:rPr>
        <w:t xml:space="preserve">, 22(1), pp.1–18.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://doi.org/10.1177/16094069231205789</w:t>
      </w:r>
      <w:proofErr w:type="gramEnd"/>
      <w:r>
        <w:rPr>
          <w:rFonts w:ascii="Arial" w:eastAsia="Arial" w:hAnsi="Arial" w:cs="Arial"/>
          <w:color w:val="000000"/>
          <w:sz w:val="22"/>
          <w:szCs w:val="22"/>
        </w:rPr>
        <w:t>.</w:t>
      </w:r>
    </w:p>
    <w:p w14:paraId="51C3A038"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NAT (2025). </w:t>
      </w:r>
      <w:r>
        <w:rPr>
          <w:rFonts w:ascii="Arial" w:eastAsia="Arial" w:hAnsi="Arial" w:cs="Arial"/>
          <w:i/>
          <w:iCs/>
          <w:sz w:val="22"/>
          <w:szCs w:val="22"/>
        </w:rPr>
        <w:t>Working together</w:t>
      </w:r>
      <w:r>
        <w:rPr>
          <w:rFonts w:ascii="Arial" w:eastAsia="Arial" w:hAnsi="Arial" w:cs="Arial"/>
          <w:sz w:val="22"/>
          <w:szCs w:val="22"/>
        </w:rPr>
        <w:t>. [online] Available at: https://nat.org.uk/wp-content/uploads/2025/05/HIV-Outcomes-HIV-services-at-the-crossroads.pdf.</w:t>
      </w:r>
    </w:p>
    <w:p w14:paraId="51C3A039"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National AIDS Trust (2024) </w:t>
      </w:r>
      <w:r>
        <w:rPr>
          <w:rFonts w:ascii="Arial" w:eastAsia="Arial" w:hAnsi="Arial" w:cs="Arial"/>
          <w:i/>
          <w:iCs/>
          <w:color w:val="000000"/>
          <w:sz w:val="22"/>
          <w:szCs w:val="22"/>
        </w:rPr>
        <w:t>UK HIV Statistics</w:t>
      </w:r>
      <w:r>
        <w:rPr>
          <w:rFonts w:ascii="Arial" w:eastAsia="Arial" w:hAnsi="Arial" w:cs="Arial"/>
          <w:color w:val="000000"/>
          <w:sz w:val="22"/>
          <w:szCs w:val="22"/>
        </w:rPr>
        <w:t xml:space="preserve">, </w:t>
      </w:r>
      <w:r>
        <w:rPr>
          <w:rFonts w:ascii="Arial" w:eastAsia="Arial" w:hAnsi="Arial" w:cs="Arial"/>
          <w:i/>
          <w:iCs/>
          <w:color w:val="000000"/>
          <w:sz w:val="22"/>
          <w:szCs w:val="22"/>
        </w:rPr>
        <w:t>National AIDS Trust</w:t>
      </w:r>
      <w:r>
        <w:rPr>
          <w:rFonts w:ascii="Arial" w:eastAsia="Arial" w:hAnsi="Arial" w:cs="Arial"/>
          <w:color w:val="000000"/>
          <w:sz w:val="22"/>
          <w:szCs w:val="22"/>
        </w:rPr>
        <w:t>. Available at: https://nat.org.uk/about-hiv/hiv-statistics/.</w:t>
      </w:r>
    </w:p>
    <w:p w14:paraId="51C3A03A"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Ndirangu, E.W. and Evans, C. (2008). Experiences of African Immigrant Women Living with HIV in the U.K.: Implications for Health Professionals. </w:t>
      </w:r>
      <w:r>
        <w:rPr>
          <w:rFonts w:ascii="Arial" w:eastAsia="Arial" w:hAnsi="Arial" w:cs="Arial"/>
          <w:i/>
          <w:iCs/>
          <w:sz w:val="22"/>
          <w:szCs w:val="22"/>
        </w:rPr>
        <w:t>Journal of Immigrant and Minority Health</w:t>
      </w:r>
      <w:r>
        <w:rPr>
          <w:rFonts w:ascii="Arial" w:eastAsia="Arial" w:hAnsi="Arial" w:cs="Arial"/>
          <w:sz w:val="22"/>
          <w:szCs w:val="22"/>
        </w:rPr>
        <w:t xml:space="preserve">, 11(2), pp.108–114.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://doi.org/10.1007/s10903-008-9116-8</w:t>
      </w:r>
      <w:proofErr w:type="gramEnd"/>
      <w:r>
        <w:rPr>
          <w:rFonts w:ascii="Arial" w:eastAsia="Arial" w:hAnsi="Arial" w:cs="Arial"/>
          <w:sz w:val="22"/>
          <w:szCs w:val="22"/>
        </w:rPr>
        <w:t>.</w:t>
      </w:r>
    </w:p>
    <w:p w14:paraId="51C3A03B"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Ngcobo, S.J. and </w:t>
      </w:r>
      <w:proofErr w:type="spellStart"/>
      <w:r>
        <w:rPr>
          <w:rFonts w:ascii="Arial" w:eastAsia="Arial" w:hAnsi="Arial" w:cs="Arial"/>
          <w:sz w:val="22"/>
          <w:szCs w:val="22"/>
        </w:rPr>
        <w:t>Zhandire</w:t>
      </w:r>
      <w:proofErr w:type="spellEnd"/>
      <w:r>
        <w:rPr>
          <w:rFonts w:ascii="Arial" w:eastAsia="Arial" w:hAnsi="Arial" w:cs="Arial"/>
          <w:sz w:val="22"/>
          <w:szCs w:val="22"/>
        </w:rPr>
        <w:t xml:space="preserve">, T. (2025). The Role of Traditional and Religious Beliefs in HIV Testing and Prevention in Africa: A Scoping Review Protocol. </w:t>
      </w:r>
      <w:r>
        <w:rPr>
          <w:rFonts w:ascii="Arial" w:eastAsia="Arial" w:hAnsi="Arial" w:cs="Arial"/>
          <w:i/>
          <w:iCs/>
          <w:sz w:val="22"/>
          <w:szCs w:val="22"/>
        </w:rPr>
        <w:t>International Journal of Environmental Research and Public Health</w:t>
      </w:r>
      <w:r>
        <w:rPr>
          <w:rFonts w:ascii="Arial" w:eastAsia="Arial" w:hAnsi="Arial" w:cs="Arial"/>
          <w:sz w:val="22"/>
          <w:szCs w:val="22"/>
        </w:rPr>
        <w:t xml:space="preserve">, [online] 22(5), pp.743–743.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://doi.org/10.3390/ijerph22050743</w:t>
      </w:r>
      <w:proofErr w:type="gramEnd"/>
      <w:r>
        <w:rPr>
          <w:rFonts w:ascii="Arial" w:eastAsia="Arial" w:hAnsi="Arial" w:cs="Arial"/>
          <w:sz w:val="22"/>
          <w:szCs w:val="22"/>
        </w:rPr>
        <w:t>.</w:t>
      </w:r>
    </w:p>
    <w:p w14:paraId="51C3A03C"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NHS (2026) </w:t>
      </w:r>
      <w:r>
        <w:rPr>
          <w:rFonts w:ascii="Arial" w:eastAsia="Arial" w:hAnsi="Arial" w:cs="Arial"/>
          <w:i/>
          <w:iCs/>
          <w:color w:val="000000"/>
          <w:sz w:val="22"/>
          <w:szCs w:val="22"/>
        </w:rPr>
        <w:t>NHS England» HIV Prevention</w:t>
      </w:r>
      <w:r>
        <w:rPr>
          <w:rFonts w:ascii="Arial" w:eastAsia="Arial" w:hAnsi="Arial" w:cs="Arial"/>
          <w:color w:val="000000"/>
          <w:sz w:val="22"/>
          <w:szCs w:val="22"/>
        </w:rPr>
        <w:t xml:space="preserve">, </w:t>
      </w:r>
      <w:r>
        <w:rPr>
          <w:rFonts w:ascii="Arial" w:eastAsia="Arial" w:hAnsi="Arial" w:cs="Arial"/>
          <w:i/>
          <w:iCs/>
          <w:color w:val="000000"/>
          <w:sz w:val="22"/>
          <w:szCs w:val="22"/>
        </w:rPr>
        <w:t>www.england.nhs.uk</w:t>
      </w:r>
      <w:r>
        <w:rPr>
          <w:rFonts w:ascii="Arial" w:eastAsia="Arial" w:hAnsi="Arial" w:cs="Arial"/>
          <w:color w:val="000000"/>
          <w:sz w:val="22"/>
          <w:szCs w:val="22"/>
        </w:rPr>
        <w:t>. Available at: https://www.england.nhs.uk/ourwork/prevention/hiv-prevention/.</w:t>
      </w:r>
    </w:p>
    <w:p w14:paraId="51C3A03D"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Nickolls, B.J., Relton, C., </w:t>
      </w:r>
      <w:proofErr w:type="spellStart"/>
      <w:r>
        <w:rPr>
          <w:rFonts w:ascii="Arial" w:eastAsia="Arial" w:hAnsi="Arial" w:cs="Arial"/>
          <w:color w:val="000000"/>
          <w:sz w:val="22"/>
          <w:szCs w:val="22"/>
        </w:rPr>
        <w:t>Hemkens</w:t>
      </w:r>
      <w:proofErr w:type="spellEnd"/>
      <w:r>
        <w:rPr>
          <w:rFonts w:ascii="Arial" w:eastAsia="Arial" w:hAnsi="Arial" w:cs="Arial"/>
          <w:color w:val="000000"/>
          <w:sz w:val="22"/>
          <w:szCs w:val="22"/>
        </w:rPr>
        <w:t xml:space="preserve">, L., </w:t>
      </w:r>
      <w:proofErr w:type="spellStart"/>
      <w:r>
        <w:rPr>
          <w:rFonts w:ascii="Arial" w:eastAsia="Arial" w:hAnsi="Arial" w:cs="Arial"/>
          <w:color w:val="000000"/>
          <w:sz w:val="22"/>
          <w:szCs w:val="22"/>
        </w:rPr>
        <w:t>Zwarenstein</w:t>
      </w:r>
      <w:proofErr w:type="spellEnd"/>
      <w:r>
        <w:rPr>
          <w:rFonts w:ascii="Arial" w:eastAsia="Arial" w:hAnsi="Arial" w:cs="Arial"/>
          <w:color w:val="000000"/>
          <w:sz w:val="22"/>
          <w:szCs w:val="22"/>
        </w:rPr>
        <w:t xml:space="preserve">, M., Eldridge, S., McCall, S.J., Griffin, X.L., </w:t>
      </w:r>
      <w:proofErr w:type="spellStart"/>
      <w:r>
        <w:rPr>
          <w:rFonts w:ascii="Arial" w:eastAsia="Arial" w:hAnsi="Arial" w:cs="Arial"/>
          <w:color w:val="000000"/>
          <w:sz w:val="22"/>
          <w:szCs w:val="22"/>
        </w:rPr>
        <w:t>Sohanpal</w:t>
      </w:r>
      <w:proofErr w:type="spellEnd"/>
      <w:r>
        <w:rPr>
          <w:rFonts w:ascii="Arial" w:eastAsia="Arial" w:hAnsi="Arial" w:cs="Arial"/>
          <w:color w:val="000000"/>
          <w:sz w:val="22"/>
          <w:szCs w:val="22"/>
        </w:rPr>
        <w:t xml:space="preserve">, R., </w:t>
      </w:r>
      <w:proofErr w:type="spellStart"/>
      <w:r>
        <w:rPr>
          <w:rFonts w:ascii="Arial" w:eastAsia="Arial" w:hAnsi="Arial" w:cs="Arial"/>
          <w:color w:val="000000"/>
          <w:sz w:val="22"/>
          <w:szCs w:val="22"/>
        </w:rPr>
        <w:t>Verkooijen</w:t>
      </w:r>
      <w:proofErr w:type="spellEnd"/>
      <w:r>
        <w:rPr>
          <w:rFonts w:ascii="Arial" w:eastAsia="Arial" w:hAnsi="Arial" w:cs="Arial"/>
          <w:color w:val="000000"/>
          <w:sz w:val="22"/>
          <w:szCs w:val="22"/>
        </w:rPr>
        <w:t xml:space="preserve">, H.M., Maguire, J.L. and McCord, K.A. (2024). Randomised </w:t>
      </w:r>
      <w:r>
        <w:rPr>
          <w:rFonts w:ascii="Arial" w:eastAsia="Arial" w:hAnsi="Arial" w:cs="Arial"/>
          <w:color w:val="000000"/>
          <w:sz w:val="22"/>
          <w:szCs w:val="22"/>
        </w:rPr>
        <w:lastRenderedPageBreak/>
        <w:t xml:space="preserve">trials conducted using cohorts: a scoping review. </w:t>
      </w:r>
      <w:r>
        <w:rPr>
          <w:rFonts w:ascii="Arial" w:eastAsia="Arial" w:hAnsi="Arial" w:cs="Arial"/>
          <w:i/>
          <w:iCs/>
          <w:color w:val="000000"/>
          <w:sz w:val="22"/>
          <w:szCs w:val="22"/>
        </w:rPr>
        <w:t>BMJ Open</w:t>
      </w:r>
      <w:r>
        <w:rPr>
          <w:rFonts w:ascii="Arial" w:eastAsia="Arial" w:hAnsi="Arial" w:cs="Arial"/>
          <w:color w:val="000000"/>
          <w:sz w:val="22"/>
          <w:szCs w:val="22"/>
        </w:rPr>
        <w:t xml:space="preserve">, [online] 14(3), p.e075601.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://doi.org/10.1136/bmjopen-2023-075601</w:t>
      </w:r>
      <w:proofErr w:type="gramEnd"/>
      <w:r>
        <w:rPr>
          <w:rFonts w:ascii="Arial" w:eastAsia="Arial" w:hAnsi="Arial" w:cs="Arial"/>
          <w:color w:val="000000"/>
          <w:sz w:val="22"/>
          <w:szCs w:val="22"/>
        </w:rPr>
        <w:t>.</w:t>
      </w:r>
    </w:p>
    <w:p w14:paraId="51C3A03E"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Obeegadoo</w:t>
      </w:r>
      <w:proofErr w:type="spellEnd"/>
      <w:r>
        <w:rPr>
          <w:rFonts w:ascii="Arial" w:eastAsia="Arial" w:hAnsi="Arial" w:cs="Arial"/>
          <w:color w:val="000000"/>
          <w:sz w:val="22"/>
          <w:szCs w:val="22"/>
        </w:rPr>
        <w:t xml:space="preserve">, I., </w:t>
      </w:r>
      <w:proofErr w:type="spellStart"/>
      <w:r>
        <w:rPr>
          <w:rFonts w:ascii="Arial" w:eastAsia="Arial" w:hAnsi="Arial" w:cs="Arial"/>
          <w:color w:val="000000"/>
          <w:sz w:val="22"/>
          <w:szCs w:val="22"/>
        </w:rPr>
        <w:t>Engoute</w:t>
      </w:r>
      <w:proofErr w:type="spellEnd"/>
      <w:r>
        <w:rPr>
          <w:rFonts w:ascii="Arial" w:eastAsia="Arial" w:hAnsi="Arial" w:cs="Arial"/>
          <w:color w:val="000000"/>
          <w:sz w:val="22"/>
          <w:szCs w:val="22"/>
        </w:rPr>
        <w:t xml:space="preserve">, O., Sodhi, P., Simpson, N., Roberts, S., Sabourin Jovel, M.C., Ferro, M.A., Afifi, T.O., Edwards, J., Anderson, K.K., Samji, H. and Colman, I. (2025). Perceived need for care and treatment-seeking behaviour among ethnic minority groups exhibiting signs of mental illness. </w:t>
      </w:r>
      <w:r>
        <w:rPr>
          <w:rFonts w:ascii="Arial" w:eastAsia="Arial" w:hAnsi="Arial" w:cs="Arial"/>
          <w:i/>
          <w:iCs/>
          <w:color w:val="000000"/>
          <w:sz w:val="22"/>
          <w:szCs w:val="22"/>
        </w:rPr>
        <w:t>Journal of Affective Disorders</w:t>
      </w:r>
      <w:r>
        <w:rPr>
          <w:rFonts w:ascii="Arial" w:eastAsia="Arial" w:hAnsi="Arial" w:cs="Arial"/>
          <w:color w:val="000000"/>
          <w:sz w:val="22"/>
          <w:szCs w:val="22"/>
        </w:rPr>
        <w:t xml:space="preserve">, [online] 397, p.120901.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://doi.org/10.1016/j.jad.2025.120901</w:t>
      </w:r>
      <w:proofErr w:type="gramEnd"/>
      <w:r>
        <w:rPr>
          <w:rFonts w:ascii="Arial" w:eastAsia="Arial" w:hAnsi="Arial" w:cs="Arial"/>
          <w:color w:val="000000"/>
          <w:sz w:val="22"/>
          <w:szCs w:val="22"/>
        </w:rPr>
        <w:t>.</w:t>
      </w:r>
    </w:p>
    <w:p w14:paraId="51C3A03F"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Okonji, E.F. </w:t>
      </w:r>
      <w:r>
        <w:rPr>
          <w:rFonts w:ascii="Arial" w:eastAsia="Arial" w:hAnsi="Arial" w:cs="Arial"/>
          <w:i/>
          <w:iCs/>
          <w:color w:val="000000"/>
          <w:sz w:val="22"/>
          <w:szCs w:val="22"/>
        </w:rPr>
        <w:t>et al.</w:t>
      </w:r>
      <w:r>
        <w:rPr>
          <w:rFonts w:ascii="Arial" w:eastAsia="Arial" w:hAnsi="Arial" w:cs="Arial"/>
          <w:color w:val="000000"/>
          <w:sz w:val="22"/>
          <w:szCs w:val="22"/>
        </w:rPr>
        <w:t xml:space="preserve"> (2020) ‘Psychosocial support interventions for improved adherence and retention in ART care for young people living with HIV (10–24 years): a scoping review’, </w:t>
      </w:r>
      <w:r>
        <w:rPr>
          <w:rFonts w:ascii="Arial" w:eastAsia="Arial" w:hAnsi="Arial" w:cs="Arial"/>
          <w:i/>
          <w:iCs/>
          <w:color w:val="000000"/>
          <w:sz w:val="22"/>
          <w:szCs w:val="22"/>
        </w:rPr>
        <w:t>BMC Public Health</w:t>
      </w:r>
      <w:r>
        <w:rPr>
          <w:rFonts w:ascii="Arial" w:eastAsia="Arial" w:hAnsi="Arial" w:cs="Arial"/>
          <w:color w:val="000000"/>
          <w:sz w:val="22"/>
          <w:szCs w:val="22"/>
        </w:rPr>
        <w:t>, 20(1). Available at: https://doi.org/10.1186/s12889-020-09717-y.</w:t>
      </w:r>
    </w:p>
    <w:p w14:paraId="51C3A040"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Pan, S., Xin, X., Zhu, L., Liu, Q., Chen, L., Fu, J., Yue, Q., Ning, Z. and Xiao, S. (2024). Differences in people living with HIV (PLWH) population aged over 50 years old receiving antiretroviral therapy (ART). </w:t>
      </w:r>
      <w:r>
        <w:rPr>
          <w:rFonts w:ascii="Arial" w:eastAsia="Arial" w:hAnsi="Arial" w:cs="Arial"/>
          <w:i/>
          <w:iCs/>
          <w:color w:val="000000"/>
          <w:sz w:val="22"/>
          <w:szCs w:val="22"/>
        </w:rPr>
        <w:t>AIDS Research and Therapy</w:t>
      </w:r>
      <w:r>
        <w:rPr>
          <w:rFonts w:ascii="Arial" w:eastAsia="Arial" w:hAnsi="Arial" w:cs="Arial"/>
          <w:color w:val="000000"/>
          <w:sz w:val="22"/>
          <w:szCs w:val="22"/>
        </w:rPr>
        <w:t xml:space="preserve">, 21(1).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://doi.org/10.1186/s12981-024-00692-7</w:t>
      </w:r>
      <w:proofErr w:type="gramEnd"/>
      <w:r>
        <w:rPr>
          <w:rFonts w:ascii="Arial" w:eastAsia="Arial" w:hAnsi="Arial" w:cs="Arial"/>
          <w:color w:val="000000"/>
          <w:sz w:val="22"/>
          <w:szCs w:val="22"/>
        </w:rPr>
        <w:t>.</w:t>
      </w:r>
    </w:p>
    <w:p w14:paraId="51C3A041"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Patino, C. and Ferreira, J. (2018). Inclusion and Exclusion Criteria in Research studies: Definitions and Why They Matter. </w:t>
      </w:r>
      <w:r>
        <w:rPr>
          <w:rFonts w:ascii="Arial" w:eastAsia="Arial" w:hAnsi="Arial" w:cs="Arial"/>
          <w:i/>
          <w:iCs/>
          <w:sz w:val="22"/>
          <w:szCs w:val="22"/>
        </w:rPr>
        <w:t>Jornal Brasileiro De Pneumologia</w:t>
      </w:r>
      <w:r>
        <w:rPr>
          <w:rFonts w:ascii="Arial" w:eastAsia="Arial" w:hAnsi="Arial" w:cs="Arial"/>
          <w:sz w:val="22"/>
          <w:szCs w:val="22"/>
        </w:rPr>
        <w:t xml:space="preserve">, [online] 44(2), p.84.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://doi.org/10.1590/s1806-37562018000000088</w:t>
      </w:r>
      <w:proofErr w:type="gramEnd"/>
      <w:r>
        <w:rPr>
          <w:rFonts w:ascii="Arial" w:eastAsia="Arial" w:hAnsi="Arial" w:cs="Arial"/>
          <w:sz w:val="22"/>
          <w:szCs w:val="22"/>
        </w:rPr>
        <w:t>.</w:t>
      </w:r>
    </w:p>
    <w:p w14:paraId="51C3A042"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Pilcher, N. and Cortazzi, M. (2023). ‘Qualitative’ and ‘Quantitative’ Methods and Approaches Across Subject Fields: Implications for Research Values, Assumptions, and Practices. </w:t>
      </w:r>
      <w:r>
        <w:rPr>
          <w:rFonts w:ascii="Arial" w:eastAsia="Arial" w:hAnsi="Arial" w:cs="Arial"/>
          <w:i/>
          <w:iCs/>
          <w:color w:val="000000"/>
          <w:sz w:val="22"/>
          <w:szCs w:val="22"/>
        </w:rPr>
        <w:t>Quality &amp; Quantity</w:t>
      </w:r>
      <w:r>
        <w:rPr>
          <w:rFonts w:ascii="Arial" w:eastAsia="Arial" w:hAnsi="Arial" w:cs="Arial"/>
          <w:color w:val="000000"/>
          <w:sz w:val="22"/>
          <w:szCs w:val="22"/>
        </w:rPr>
        <w:t xml:space="preserve">, [online] 58(1), pp.2357–2387.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://doi.org/10.1007/s11135-023-01734-4</w:t>
      </w:r>
      <w:proofErr w:type="gramEnd"/>
      <w:r>
        <w:rPr>
          <w:rFonts w:ascii="Arial" w:eastAsia="Arial" w:hAnsi="Arial" w:cs="Arial"/>
          <w:color w:val="000000"/>
          <w:sz w:val="22"/>
          <w:szCs w:val="22"/>
        </w:rPr>
        <w:t>.</w:t>
      </w:r>
    </w:p>
    <w:p w14:paraId="51C3A043"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Pollard, A., Llewellyn, C., Cooper, V.A., Memory </w:t>
      </w:r>
      <w:proofErr w:type="spellStart"/>
      <w:r>
        <w:rPr>
          <w:rFonts w:ascii="Arial" w:eastAsia="Arial" w:hAnsi="Arial" w:cs="Arial"/>
          <w:sz w:val="22"/>
          <w:szCs w:val="22"/>
        </w:rPr>
        <w:t>Sachikonye</w:t>
      </w:r>
      <w:proofErr w:type="spellEnd"/>
      <w:r>
        <w:rPr>
          <w:rFonts w:ascii="Arial" w:eastAsia="Arial" w:hAnsi="Arial" w:cs="Arial"/>
          <w:sz w:val="22"/>
          <w:szCs w:val="22"/>
        </w:rPr>
        <w:t xml:space="preserve">, Perry, N., Nixon, E., Miners, A. and Sabin, C.A. (2018). Patients’ perspectives on the development of HIV services to accommodate ageing with HIV: a qualitative study. 29(5), pp.483–490.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://doi.org/10.1177/0956462417735723</w:t>
      </w:r>
      <w:proofErr w:type="gramEnd"/>
      <w:r>
        <w:rPr>
          <w:rFonts w:ascii="Arial" w:eastAsia="Arial" w:hAnsi="Arial" w:cs="Arial"/>
          <w:sz w:val="22"/>
          <w:szCs w:val="22"/>
        </w:rPr>
        <w:t>.</w:t>
      </w:r>
    </w:p>
    <w:p w14:paraId="51C3A044"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Prior, A., Claus Høstrup Vestergaard, Vedsted, P., Smith, S.M., Line Flytkjær Virgilsen, Linda Aagaard Rasmussen and Morten Fenger-Grøn (2023). Healthcare fragmentation, multimorbidity, potentially inappropriate medication, and mortality: a Danish nationwide cohort study. </w:t>
      </w:r>
      <w:r>
        <w:rPr>
          <w:rFonts w:ascii="Arial" w:eastAsia="Arial" w:hAnsi="Arial" w:cs="Arial"/>
          <w:i/>
          <w:iCs/>
          <w:color w:val="000000"/>
          <w:sz w:val="22"/>
          <w:szCs w:val="22"/>
        </w:rPr>
        <w:t>BMC Medicine</w:t>
      </w:r>
      <w:r>
        <w:rPr>
          <w:rFonts w:ascii="Arial" w:eastAsia="Arial" w:hAnsi="Arial" w:cs="Arial"/>
          <w:color w:val="000000"/>
          <w:sz w:val="22"/>
          <w:szCs w:val="22"/>
        </w:rPr>
        <w:t xml:space="preserve">, [online] 21(1).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://doi.org/10.1186/s12916-023-03021-3</w:t>
      </w:r>
      <w:proofErr w:type="gramEnd"/>
      <w:r>
        <w:rPr>
          <w:rFonts w:ascii="Arial" w:eastAsia="Arial" w:hAnsi="Arial" w:cs="Arial"/>
          <w:color w:val="000000"/>
          <w:sz w:val="22"/>
          <w:szCs w:val="22"/>
        </w:rPr>
        <w:t>.</w:t>
      </w:r>
    </w:p>
    <w:p w14:paraId="51C3A045"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lastRenderedPageBreak/>
        <w:t xml:space="preserve">Pyo, J., Lee, W., Choi, E.Y., Jang, S.G. and Ock, M. (2023). Qualitative Research in healthcare: Necessity and Characteristics. </w:t>
      </w:r>
      <w:r>
        <w:rPr>
          <w:rFonts w:ascii="Arial" w:eastAsia="Arial" w:hAnsi="Arial" w:cs="Arial"/>
          <w:i/>
          <w:iCs/>
          <w:sz w:val="22"/>
          <w:szCs w:val="22"/>
        </w:rPr>
        <w:t>Journal of Preventive Medicine and Public Health</w:t>
      </w:r>
      <w:r>
        <w:rPr>
          <w:rFonts w:ascii="Arial" w:eastAsia="Arial" w:hAnsi="Arial" w:cs="Arial"/>
          <w:sz w:val="22"/>
          <w:szCs w:val="22"/>
        </w:rPr>
        <w:t xml:space="preserve">, [online] 56(1), pp.12–20.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://doi.org/10.3961/jpmph.22.451</w:t>
      </w:r>
      <w:proofErr w:type="gramEnd"/>
      <w:r>
        <w:rPr>
          <w:rFonts w:ascii="Arial" w:eastAsia="Arial" w:hAnsi="Arial" w:cs="Arial"/>
          <w:sz w:val="22"/>
          <w:szCs w:val="22"/>
        </w:rPr>
        <w:t>.</w:t>
      </w:r>
    </w:p>
    <w:p w14:paraId="51C3A046"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Quan, N., Hong, </w:t>
      </w:r>
      <w:proofErr w:type="spellStart"/>
      <w:r>
        <w:rPr>
          <w:rFonts w:ascii="Arial" w:eastAsia="Arial" w:hAnsi="Arial" w:cs="Arial"/>
          <w:color w:val="000000"/>
          <w:sz w:val="22"/>
          <w:szCs w:val="22"/>
        </w:rPr>
        <w:t>Pluye</w:t>
      </w:r>
      <w:proofErr w:type="spellEnd"/>
      <w:r>
        <w:rPr>
          <w:rFonts w:ascii="Arial" w:eastAsia="Arial" w:hAnsi="Arial" w:cs="Arial"/>
          <w:color w:val="000000"/>
          <w:sz w:val="22"/>
          <w:szCs w:val="22"/>
        </w:rPr>
        <w:t xml:space="preserve">, P., </w:t>
      </w:r>
      <w:proofErr w:type="spellStart"/>
      <w:r>
        <w:rPr>
          <w:rFonts w:ascii="Arial" w:eastAsia="Arial" w:hAnsi="Arial" w:cs="Arial"/>
          <w:color w:val="000000"/>
          <w:sz w:val="22"/>
          <w:szCs w:val="22"/>
        </w:rPr>
        <w:t>Fàbregues</w:t>
      </w:r>
      <w:proofErr w:type="spellEnd"/>
      <w:r>
        <w:rPr>
          <w:rFonts w:ascii="Arial" w:eastAsia="Arial" w:hAnsi="Arial" w:cs="Arial"/>
          <w:color w:val="000000"/>
          <w:sz w:val="22"/>
          <w:szCs w:val="22"/>
        </w:rPr>
        <w:t xml:space="preserve">, S., Bartlett, G., Boardman, F., Cargo, M., Dagenais, P., Gagnon, M.-P., Griffiths, F., Nicolau, B., O'cathain, A., Rousseau, M.-C. and Vedel, I. (2025). </w:t>
      </w:r>
      <w:r>
        <w:rPr>
          <w:rFonts w:ascii="Arial" w:eastAsia="Arial" w:hAnsi="Arial" w:cs="Arial"/>
          <w:i/>
          <w:iCs/>
          <w:color w:val="000000"/>
          <w:sz w:val="22"/>
          <w:szCs w:val="22"/>
        </w:rPr>
        <w:t>MIXED METHODS APPRAISAL TOOL (MMAT) VERSION 2018 User guide</w:t>
      </w:r>
      <w:r>
        <w:rPr>
          <w:rFonts w:ascii="Arial" w:eastAsia="Arial" w:hAnsi="Arial" w:cs="Arial"/>
          <w:color w:val="000000"/>
          <w:sz w:val="22"/>
          <w:szCs w:val="22"/>
        </w:rPr>
        <w:t>. [online] Available at: http://mixedmethodsappraisaltoolpublic.pbworks.com/w/file/fetch/127916259/MMAT_2018_criteria%25C3%25A2%25E2%2582%25AC%20manual_2018%25C3%25A2%25E2%2582%25AC%2008%25C3%25A2%25E2%2582%25AC%2001_ENG.pdf.</w:t>
      </w:r>
    </w:p>
    <w:p w14:paraId="51C3A047"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Rai, T., Bruton, J., Kall, M., Ma, R., Pufall, E., Day, S., Delpech, V. and Ward, H. (2019). Experience of primary care for people with HIV: a mixed-method analysis. </w:t>
      </w:r>
      <w:r>
        <w:rPr>
          <w:rFonts w:ascii="Arial" w:eastAsia="Arial" w:hAnsi="Arial" w:cs="Arial"/>
          <w:i/>
          <w:iCs/>
          <w:sz w:val="22"/>
          <w:szCs w:val="22"/>
        </w:rPr>
        <w:t>BJGP Open</w:t>
      </w:r>
      <w:r>
        <w:rPr>
          <w:rFonts w:ascii="Arial" w:eastAsia="Arial" w:hAnsi="Arial" w:cs="Arial"/>
          <w:sz w:val="22"/>
          <w:szCs w:val="22"/>
        </w:rPr>
        <w:t xml:space="preserve">, 3(4), </w:t>
      </w:r>
      <w:proofErr w:type="gramStart"/>
      <w:r>
        <w:rPr>
          <w:rFonts w:ascii="Arial" w:eastAsia="Arial" w:hAnsi="Arial" w:cs="Arial"/>
          <w:sz w:val="22"/>
          <w:szCs w:val="22"/>
        </w:rPr>
        <w:t>p.bjgpopen</w:t>
      </w:r>
      <w:proofErr w:type="gramEnd"/>
      <w:r>
        <w:rPr>
          <w:rFonts w:ascii="Arial" w:eastAsia="Arial" w:hAnsi="Arial" w:cs="Arial"/>
          <w:sz w:val="22"/>
          <w:szCs w:val="22"/>
        </w:rPr>
        <w:t xml:space="preserve">19X101665.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://doi.org/10.3399/bjgpopen19x101665</w:t>
      </w:r>
      <w:proofErr w:type="gramEnd"/>
      <w:r>
        <w:rPr>
          <w:rFonts w:ascii="Arial" w:eastAsia="Arial" w:hAnsi="Arial" w:cs="Arial"/>
          <w:sz w:val="22"/>
          <w:szCs w:val="22"/>
        </w:rPr>
        <w:t>.</w:t>
      </w:r>
    </w:p>
    <w:p w14:paraId="51C3A048"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Remien, R.H. </w:t>
      </w:r>
      <w:r>
        <w:rPr>
          <w:rFonts w:ascii="Arial" w:eastAsia="Arial" w:hAnsi="Arial" w:cs="Arial"/>
          <w:i/>
          <w:iCs/>
          <w:color w:val="000000"/>
          <w:sz w:val="22"/>
          <w:szCs w:val="22"/>
        </w:rPr>
        <w:t>et al.</w:t>
      </w:r>
      <w:r>
        <w:rPr>
          <w:rFonts w:ascii="Arial" w:eastAsia="Arial" w:hAnsi="Arial" w:cs="Arial"/>
          <w:color w:val="000000"/>
          <w:sz w:val="22"/>
          <w:szCs w:val="22"/>
        </w:rPr>
        <w:t xml:space="preserve"> (2019) ‘Mental health and HIV/AIDS’, </w:t>
      </w:r>
      <w:r>
        <w:rPr>
          <w:rFonts w:ascii="Arial" w:eastAsia="Arial" w:hAnsi="Arial" w:cs="Arial"/>
          <w:i/>
          <w:iCs/>
          <w:color w:val="000000"/>
          <w:sz w:val="22"/>
          <w:szCs w:val="22"/>
        </w:rPr>
        <w:t>AIDS</w:t>
      </w:r>
      <w:r>
        <w:rPr>
          <w:rFonts w:ascii="Arial" w:eastAsia="Arial" w:hAnsi="Arial" w:cs="Arial"/>
          <w:color w:val="000000"/>
          <w:sz w:val="22"/>
          <w:szCs w:val="22"/>
        </w:rPr>
        <w:t>, 33(9), pp. 1411–1420. Available at: https://doi.org/10.1097/qad.0000000000002227.</w:t>
      </w:r>
    </w:p>
    <w:p w14:paraId="51C3A049"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Remien, R.H., Stirratt, M.J., Nguyen, N., Robbins, R.N., Pala, A.N. and </w:t>
      </w:r>
      <w:proofErr w:type="spellStart"/>
      <w:r>
        <w:rPr>
          <w:rFonts w:ascii="Arial" w:eastAsia="Arial" w:hAnsi="Arial" w:cs="Arial"/>
          <w:sz w:val="22"/>
          <w:szCs w:val="22"/>
        </w:rPr>
        <w:t>Mellins</w:t>
      </w:r>
      <w:proofErr w:type="spellEnd"/>
      <w:r>
        <w:rPr>
          <w:rFonts w:ascii="Arial" w:eastAsia="Arial" w:hAnsi="Arial" w:cs="Arial"/>
          <w:sz w:val="22"/>
          <w:szCs w:val="22"/>
        </w:rPr>
        <w:t xml:space="preserve">, C.A. (2019). Mental health and HIV/AIDS. </w:t>
      </w:r>
      <w:r>
        <w:rPr>
          <w:rFonts w:ascii="Arial" w:eastAsia="Arial" w:hAnsi="Arial" w:cs="Arial"/>
          <w:i/>
          <w:iCs/>
          <w:sz w:val="22"/>
          <w:szCs w:val="22"/>
        </w:rPr>
        <w:t>AIDS</w:t>
      </w:r>
      <w:r>
        <w:rPr>
          <w:rFonts w:ascii="Arial" w:eastAsia="Arial" w:hAnsi="Arial" w:cs="Arial"/>
          <w:sz w:val="22"/>
          <w:szCs w:val="22"/>
        </w:rPr>
        <w:t xml:space="preserve">, 33(9), pp.1411–1420.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://doi.org/10.1097/qad.0000000000002227</w:t>
      </w:r>
      <w:proofErr w:type="gramEnd"/>
      <w:r>
        <w:rPr>
          <w:rFonts w:ascii="Arial" w:eastAsia="Arial" w:hAnsi="Arial" w:cs="Arial"/>
          <w:sz w:val="22"/>
          <w:szCs w:val="22"/>
        </w:rPr>
        <w:t>.</w:t>
      </w:r>
    </w:p>
    <w:p w14:paraId="51C3A04A"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Rendina, H.J., Weaver, L., Millar, B.M., López-Matos, J. and Parsons, J.T. (2019). Psychosocial Well-Being and HIV-Related Immune Health Outcomes among HIV-Positive Older Adults: Support for a Biopsychosocial Model of HIV Stigma and Health. </w:t>
      </w:r>
      <w:r>
        <w:rPr>
          <w:rFonts w:ascii="Arial" w:eastAsia="Arial" w:hAnsi="Arial" w:cs="Arial"/>
          <w:i/>
          <w:iCs/>
          <w:color w:val="000000"/>
          <w:sz w:val="22"/>
          <w:szCs w:val="22"/>
        </w:rPr>
        <w:t>Journal of the International Association of Providers of AIDS Care (JIAPAC)</w:t>
      </w:r>
      <w:r>
        <w:rPr>
          <w:rFonts w:ascii="Arial" w:eastAsia="Arial" w:hAnsi="Arial" w:cs="Arial"/>
          <w:color w:val="000000"/>
          <w:sz w:val="22"/>
          <w:szCs w:val="22"/>
        </w:rPr>
        <w:t xml:space="preserve">, [online] 18, p.232595821988846.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://doi.org/10.1177/2325958219888462</w:t>
      </w:r>
      <w:proofErr w:type="gramEnd"/>
      <w:r>
        <w:rPr>
          <w:rFonts w:ascii="Arial" w:eastAsia="Arial" w:hAnsi="Arial" w:cs="Arial"/>
          <w:color w:val="000000"/>
          <w:sz w:val="22"/>
          <w:szCs w:val="22"/>
        </w:rPr>
        <w:t>.</w:t>
      </w:r>
    </w:p>
    <w:p w14:paraId="51C3A04B"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Safa, F., McClellan, N., Bonato, S., Rueda, S. and O’Brien, K.K. (2022). The Role of the Social Determinants of Health on Engagement in Physical Activity or Exercise among Adults Living with HIV: A Scoping Review. </w:t>
      </w:r>
      <w:r>
        <w:rPr>
          <w:rFonts w:ascii="Arial" w:eastAsia="Arial" w:hAnsi="Arial" w:cs="Arial"/>
          <w:i/>
          <w:iCs/>
          <w:color w:val="000000"/>
          <w:sz w:val="22"/>
          <w:szCs w:val="22"/>
        </w:rPr>
        <w:t>International Journal of Environmental Research and Public Health</w:t>
      </w:r>
      <w:r>
        <w:rPr>
          <w:rFonts w:ascii="Arial" w:eastAsia="Arial" w:hAnsi="Arial" w:cs="Arial"/>
          <w:color w:val="000000"/>
          <w:sz w:val="22"/>
          <w:szCs w:val="22"/>
        </w:rPr>
        <w:t xml:space="preserve">, [online] 19(20), p.13528.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://doi.org/10.3390/ijerph192013528</w:t>
      </w:r>
      <w:proofErr w:type="gramEnd"/>
      <w:r>
        <w:rPr>
          <w:rFonts w:ascii="Arial" w:eastAsia="Arial" w:hAnsi="Arial" w:cs="Arial"/>
          <w:color w:val="000000"/>
          <w:sz w:val="22"/>
          <w:szCs w:val="22"/>
        </w:rPr>
        <w:t>.</w:t>
      </w:r>
    </w:p>
    <w:p w14:paraId="51C3A04C"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Schmidt, L., Finnerty, N., Elmore, R.W., </w:t>
      </w:r>
      <w:proofErr w:type="spellStart"/>
      <w:r>
        <w:rPr>
          <w:rFonts w:ascii="Arial" w:eastAsia="Arial" w:hAnsi="Arial" w:cs="Arial"/>
          <w:color w:val="000000"/>
          <w:sz w:val="22"/>
          <w:szCs w:val="22"/>
        </w:rPr>
        <w:t>Olorisade</w:t>
      </w:r>
      <w:proofErr w:type="spellEnd"/>
      <w:r>
        <w:rPr>
          <w:rFonts w:ascii="Arial" w:eastAsia="Arial" w:hAnsi="Arial" w:cs="Arial"/>
          <w:color w:val="000000"/>
          <w:sz w:val="22"/>
          <w:szCs w:val="22"/>
        </w:rPr>
        <w:t xml:space="preserve">, B.K., Thomas, J. and Higgins, J.P.T. (2023). Data Extraction Methods for Systematic Review (semi)automation: Update of a Living Systematic Review. </w:t>
      </w:r>
      <w:r>
        <w:rPr>
          <w:rFonts w:ascii="Arial" w:eastAsia="Arial" w:hAnsi="Arial" w:cs="Arial"/>
          <w:i/>
          <w:iCs/>
          <w:color w:val="000000"/>
          <w:sz w:val="22"/>
          <w:szCs w:val="22"/>
        </w:rPr>
        <w:t>F1000Research</w:t>
      </w:r>
      <w:r>
        <w:rPr>
          <w:rFonts w:ascii="Arial" w:eastAsia="Arial" w:hAnsi="Arial" w:cs="Arial"/>
          <w:color w:val="000000"/>
          <w:sz w:val="22"/>
          <w:szCs w:val="22"/>
        </w:rPr>
        <w:t xml:space="preserve">, [online] 10(401), pp.401–401.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://doi.org/10.12688/f1000research.51117.2</w:t>
      </w:r>
      <w:proofErr w:type="gramEnd"/>
      <w:r>
        <w:rPr>
          <w:rFonts w:ascii="Arial" w:eastAsia="Arial" w:hAnsi="Arial" w:cs="Arial"/>
          <w:color w:val="000000"/>
          <w:sz w:val="22"/>
          <w:szCs w:val="22"/>
        </w:rPr>
        <w:t>.</w:t>
      </w:r>
    </w:p>
    <w:p w14:paraId="51C3A04D"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lastRenderedPageBreak/>
        <w:t xml:space="preserve">Sewell, J., Kelly, C., Adamma Aghaizu, Kitt, H., Annegret Pelchen-Matthews, Martin, V., Farah, A., Smith, C., Brown, A., Humphreys, C., Sparrowhawk, A., Delpech, V., Rodger, A., Lampe, F. and Kall, M. (2024). Positive Voices 2022, a national, cross-sectional survey of people with HIV accessing care in England, Wales, and Scotland: Method. (Preprint). </w:t>
      </w:r>
      <w:r>
        <w:rPr>
          <w:rFonts w:ascii="Arial" w:eastAsia="Arial" w:hAnsi="Arial" w:cs="Arial"/>
          <w:i/>
          <w:iCs/>
          <w:color w:val="000000"/>
          <w:sz w:val="22"/>
          <w:szCs w:val="22"/>
        </w:rPr>
        <w:t>JMIR Research Protocols</w:t>
      </w:r>
      <w:r>
        <w:rPr>
          <w:rFonts w:ascii="Arial" w:eastAsia="Arial" w:hAnsi="Arial" w:cs="Arial"/>
          <w:color w:val="000000"/>
          <w:sz w:val="22"/>
          <w:szCs w:val="22"/>
        </w:rPr>
        <w:t xml:space="preserve">, [online] 14, </w:t>
      </w:r>
      <w:proofErr w:type="gramStart"/>
      <w:r>
        <w:rPr>
          <w:rFonts w:ascii="Arial" w:eastAsia="Arial" w:hAnsi="Arial" w:cs="Arial"/>
          <w:color w:val="000000"/>
          <w:sz w:val="22"/>
          <w:szCs w:val="22"/>
        </w:rPr>
        <w:t>pp.e</w:t>
      </w:r>
      <w:proofErr w:type="gramEnd"/>
      <w:r>
        <w:rPr>
          <w:rFonts w:ascii="Arial" w:eastAsia="Arial" w:hAnsi="Arial" w:cs="Arial"/>
          <w:color w:val="000000"/>
          <w:sz w:val="22"/>
          <w:szCs w:val="22"/>
        </w:rPr>
        <w:t xml:space="preserve">58531–e58531.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://doi.org/10.2196/58531</w:t>
      </w:r>
      <w:proofErr w:type="gramEnd"/>
      <w:r>
        <w:rPr>
          <w:rFonts w:ascii="Arial" w:eastAsia="Arial" w:hAnsi="Arial" w:cs="Arial"/>
          <w:color w:val="000000"/>
          <w:sz w:val="22"/>
          <w:szCs w:val="22"/>
        </w:rPr>
        <w:t>.</w:t>
      </w:r>
    </w:p>
    <w:p w14:paraId="51C3A04E"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Shaheen, N., Shaheen, A., Ramadan, A., </w:t>
      </w:r>
      <w:proofErr w:type="spellStart"/>
      <w:r>
        <w:rPr>
          <w:rFonts w:ascii="Arial" w:eastAsia="Arial" w:hAnsi="Arial" w:cs="Arial"/>
          <w:color w:val="000000"/>
          <w:sz w:val="22"/>
          <w:szCs w:val="22"/>
        </w:rPr>
        <w:t>Hefnawy</w:t>
      </w:r>
      <w:proofErr w:type="spellEnd"/>
      <w:r>
        <w:rPr>
          <w:rFonts w:ascii="Arial" w:eastAsia="Arial" w:hAnsi="Arial" w:cs="Arial"/>
          <w:color w:val="000000"/>
          <w:sz w:val="22"/>
          <w:szCs w:val="22"/>
        </w:rPr>
        <w:t xml:space="preserve">, M.T., Ramadan, A., Ibrahim, I., Hassanein, M., Ashour, M.E. and </w:t>
      </w:r>
      <w:proofErr w:type="spellStart"/>
      <w:r>
        <w:rPr>
          <w:rFonts w:ascii="Arial" w:eastAsia="Arial" w:hAnsi="Arial" w:cs="Arial"/>
          <w:color w:val="000000"/>
          <w:sz w:val="22"/>
          <w:szCs w:val="22"/>
        </w:rPr>
        <w:t>Flouty</w:t>
      </w:r>
      <w:proofErr w:type="spellEnd"/>
      <w:r>
        <w:rPr>
          <w:rFonts w:ascii="Arial" w:eastAsia="Arial" w:hAnsi="Arial" w:cs="Arial"/>
          <w:color w:val="000000"/>
          <w:sz w:val="22"/>
          <w:szCs w:val="22"/>
        </w:rPr>
        <w:t xml:space="preserve">, O. (2023). Appraising Systematic reviews: a Comprehensive Guide to Ensuring Validity and Reliability. </w:t>
      </w:r>
      <w:r>
        <w:rPr>
          <w:rFonts w:ascii="Arial" w:eastAsia="Arial" w:hAnsi="Arial" w:cs="Arial"/>
          <w:i/>
          <w:iCs/>
          <w:color w:val="000000"/>
          <w:sz w:val="22"/>
          <w:szCs w:val="22"/>
        </w:rPr>
        <w:t>Frontiers in Research Metrics and Analytics</w:t>
      </w:r>
      <w:r>
        <w:rPr>
          <w:rFonts w:ascii="Arial" w:eastAsia="Arial" w:hAnsi="Arial" w:cs="Arial"/>
          <w:color w:val="000000"/>
          <w:sz w:val="22"/>
          <w:szCs w:val="22"/>
        </w:rPr>
        <w:t xml:space="preserve">, 8(8).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://doi.org/10.3389/frma.2023.1268045</w:t>
      </w:r>
      <w:proofErr w:type="gramEnd"/>
      <w:r>
        <w:rPr>
          <w:rFonts w:ascii="Arial" w:eastAsia="Arial" w:hAnsi="Arial" w:cs="Arial"/>
          <w:color w:val="000000"/>
          <w:sz w:val="22"/>
          <w:szCs w:val="22"/>
        </w:rPr>
        <w:t>.</w:t>
      </w:r>
    </w:p>
    <w:p w14:paraId="51C3A04F" w14:textId="77777777" w:rsidR="006921ED" w:rsidRDefault="00D73B41">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 xml:space="preserve">Sikkema, K.J., Dennis, A.C., Watt, M.H., Choi, K.W., </w:t>
      </w:r>
      <w:proofErr w:type="spellStart"/>
      <w:r>
        <w:rPr>
          <w:rFonts w:ascii="Arial" w:eastAsia="Arial" w:hAnsi="Arial" w:cs="Arial"/>
          <w:color w:val="000000"/>
          <w:sz w:val="22"/>
          <w:szCs w:val="22"/>
        </w:rPr>
        <w:t>Yemeke</w:t>
      </w:r>
      <w:proofErr w:type="spellEnd"/>
      <w:r>
        <w:rPr>
          <w:rFonts w:ascii="Arial" w:eastAsia="Arial" w:hAnsi="Arial" w:cs="Arial"/>
          <w:color w:val="000000"/>
          <w:sz w:val="22"/>
          <w:szCs w:val="22"/>
        </w:rPr>
        <w:t xml:space="preserve">, T.T. and Joska, J.A. (2015). Improving mental health among people living with HIV: a review of intervention trials in low- and middle-income countries. </w:t>
      </w:r>
      <w:r>
        <w:rPr>
          <w:rFonts w:ascii="Arial" w:eastAsia="Arial" w:hAnsi="Arial" w:cs="Arial"/>
          <w:i/>
          <w:iCs/>
          <w:color w:val="000000"/>
          <w:sz w:val="22"/>
          <w:szCs w:val="22"/>
        </w:rPr>
        <w:t>Global Mental Health</w:t>
      </w:r>
      <w:r>
        <w:rPr>
          <w:rFonts w:ascii="Arial" w:eastAsia="Arial" w:hAnsi="Arial" w:cs="Arial"/>
          <w:color w:val="000000"/>
          <w:sz w:val="22"/>
          <w:szCs w:val="22"/>
        </w:rPr>
        <w:t xml:space="preserve">, [online] 2.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://doi.org/10.1017/gmh.2015.17</w:t>
      </w:r>
      <w:proofErr w:type="gramEnd"/>
      <w:r>
        <w:rPr>
          <w:rFonts w:ascii="Arial" w:eastAsia="Arial" w:hAnsi="Arial" w:cs="Arial"/>
          <w:color w:val="000000"/>
          <w:sz w:val="22"/>
          <w:szCs w:val="22"/>
        </w:rPr>
        <w:t>.</w:t>
      </w:r>
    </w:p>
    <w:p w14:paraId="51C3A050"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proofErr w:type="spellStart"/>
      <w:r>
        <w:rPr>
          <w:rFonts w:ascii="Arial" w:eastAsia="Arial" w:hAnsi="Arial" w:cs="Arial"/>
          <w:color w:val="000000"/>
          <w:sz w:val="22"/>
          <w:szCs w:val="22"/>
        </w:rPr>
        <w:t>Skamagki</w:t>
      </w:r>
      <w:proofErr w:type="spellEnd"/>
      <w:r>
        <w:rPr>
          <w:rFonts w:ascii="Arial" w:eastAsia="Arial" w:hAnsi="Arial" w:cs="Arial"/>
          <w:color w:val="000000"/>
          <w:sz w:val="22"/>
          <w:szCs w:val="22"/>
        </w:rPr>
        <w:t xml:space="preserve">, G., King, A., Carpenter, C. and Wåhlin, C. (2022). The concept of integration in mixed methods research: A step-by-step guide using an example study in physiotherapy. </w:t>
      </w:r>
      <w:r>
        <w:rPr>
          <w:rFonts w:ascii="Arial" w:eastAsia="Arial" w:hAnsi="Arial" w:cs="Arial"/>
          <w:i/>
          <w:iCs/>
          <w:color w:val="000000"/>
          <w:sz w:val="22"/>
          <w:szCs w:val="22"/>
        </w:rPr>
        <w:t>Physiotherapy Theory and Practice</w:t>
      </w:r>
      <w:r>
        <w:rPr>
          <w:rFonts w:ascii="Arial" w:eastAsia="Arial" w:hAnsi="Arial" w:cs="Arial"/>
          <w:color w:val="000000"/>
          <w:sz w:val="22"/>
          <w:szCs w:val="22"/>
        </w:rPr>
        <w:t xml:space="preserve">, [online] 40(2), pp.1–8.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://doi.org/10.1080/09593985.2022.2120375</w:t>
      </w:r>
      <w:proofErr w:type="gramEnd"/>
      <w:r>
        <w:rPr>
          <w:rFonts w:ascii="Arial" w:eastAsia="Arial" w:hAnsi="Arial" w:cs="Arial"/>
          <w:color w:val="000000"/>
          <w:sz w:val="22"/>
          <w:szCs w:val="22"/>
        </w:rPr>
        <w:t>.</w:t>
      </w:r>
    </w:p>
    <w:p w14:paraId="51C3A051"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Sukumaran, L. and Sabin, C.A. (2023). Defining multimorbidity in people with HIV – what matters most? </w:t>
      </w:r>
      <w:r>
        <w:rPr>
          <w:rFonts w:ascii="Arial" w:eastAsia="Arial" w:hAnsi="Arial" w:cs="Arial"/>
          <w:i/>
          <w:iCs/>
          <w:color w:val="000000"/>
          <w:sz w:val="22"/>
          <w:szCs w:val="22"/>
        </w:rPr>
        <w:t>Current Opinion in HIV and AIDS</w:t>
      </w:r>
      <w:r>
        <w:rPr>
          <w:rFonts w:ascii="Arial" w:eastAsia="Arial" w:hAnsi="Arial" w:cs="Arial"/>
          <w:color w:val="000000"/>
          <w:sz w:val="22"/>
          <w:szCs w:val="22"/>
        </w:rPr>
        <w:t xml:space="preserve">, Publish Ahead of Print.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://doi.org/10.1097/coh.0000000000000778</w:t>
      </w:r>
      <w:proofErr w:type="gramEnd"/>
      <w:r>
        <w:rPr>
          <w:rFonts w:ascii="Arial" w:eastAsia="Arial" w:hAnsi="Arial" w:cs="Arial"/>
          <w:color w:val="000000"/>
          <w:sz w:val="22"/>
          <w:szCs w:val="22"/>
        </w:rPr>
        <w:t>.</w:t>
      </w:r>
    </w:p>
    <w:p w14:paraId="51C3A052"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Tan, G.T.H., Shahwan, S., Goh, C.M.J., Ong, W.J., Wei, K.-C., Verma, S.K., Chong, S.A. and Subramaniam, M. (2020). Mental illness stigma’s reasons and determinants (</w:t>
      </w:r>
      <w:proofErr w:type="spellStart"/>
      <w:r>
        <w:rPr>
          <w:rFonts w:ascii="Arial" w:eastAsia="Arial" w:hAnsi="Arial" w:cs="Arial"/>
          <w:color w:val="000000"/>
          <w:sz w:val="22"/>
          <w:szCs w:val="22"/>
        </w:rPr>
        <w:t>MISReaD</w:t>
      </w:r>
      <w:proofErr w:type="spellEnd"/>
      <w:r>
        <w:rPr>
          <w:rFonts w:ascii="Arial" w:eastAsia="Arial" w:hAnsi="Arial" w:cs="Arial"/>
          <w:color w:val="000000"/>
          <w:sz w:val="22"/>
          <w:szCs w:val="22"/>
        </w:rPr>
        <w:t xml:space="preserve">) among Singapore’s lay public – a qualitative inquiry. </w:t>
      </w:r>
      <w:r>
        <w:rPr>
          <w:rFonts w:ascii="Arial" w:eastAsia="Arial" w:hAnsi="Arial" w:cs="Arial"/>
          <w:i/>
          <w:iCs/>
          <w:color w:val="000000"/>
          <w:sz w:val="22"/>
          <w:szCs w:val="22"/>
        </w:rPr>
        <w:t>BMC Psychiatry</w:t>
      </w:r>
      <w:r>
        <w:rPr>
          <w:rFonts w:ascii="Arial" w:eastAsia="Arial" w:hAnsi="Arial" w:cs="Arial"/>
          <w:color w:val="000000"/>
          <w:sz w:val="22"/>
          <w:szCs w:val="22"/>
        </w:rPr>
        <w:t xml:space="preserve">, [online] 20(1).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://doi.org/10.1186/s12888-020-02823-6</w:t>
      </w:r>
      <w:proofErr w:type="gramEnd"/>
      <w:r>
        <w:rPr>
          <w:rFonts w:ascii="Arial" w:eastAsia="Arial" w:hAnsi="Arial" w:cs="Arial"/>
          <w:color w:val="000000"/>
          <w:sz w:val="22"/>
          <w:szCs w:val="22"/>
        </w:rPr>
        <w:t>.</w:t>
      </w:r>
    </w:p>
    <w:p w14:paraId="51C3A053"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Turan, B., Budhwani, H., Fazeli, P.L., Browning, W.R., Raper, J.L., Mugavero, M.J. and Turan, J.M. (2016). How Does Stigma Affect People Living with HIV? The Mediating Roles of Internalized and Anticipated HIV Stigma in the Effects of Perceived Community Stigma on Health and Psychosocial Outcomes. </w:t>
      </w:r>
      <w:r>
        <w:rPr>
          <w:rFonts w:ascii="Arial" w:eastAsia="Arial" w:hAnsi="Arial" w:cs="Arial"/>
          <w:i/>
          <w:iCs/>
          <w:sz w:val="22"/>
          <w:szCs w:val="22"/>
        </w:rPr>
        <w:t xml:space="preserve">AIDS and </w:t>
      </w:r>
      <w:proofErr w:type="spellStart"/>
      <w:r>
        <w:rPr>
          <w:rFonts w:ascii="Arial" w:eastAsia="Arial" w:hAnsi="Arial" w:cs="Arial"/>
          <w:i/>
          <w:iCs/>
          <w:sz w:val="22"/>
          <w:szCs w:val="22"/>
        </w:rPr>
        <w:t>Behavior</w:t>
      </w:r>
      <w:proofErr w:type="spellEnd"/>
      <w:r>
        <w:rPr>
          <w:rFonts w:ascii="Arial" w:eastAsia="Arial" w:hAnsi="Arial" w:cs="Arial"/>
          <w:sz w:val="22"/>
          <w:szCs w:val="22"/>
        </w:rPr>
        <w:t xml:space="preserve">, [online] 21(1), pp.283–291.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://doi.org/10.1007/s10461-016-1451-5</w:t>
      </w:r>
      <w:proofErr w:type="gramEnd"/>
      <w:r>
        <w:rPr>
          <w:rFonts w:ascii="Arial" w:eastAsia="Arial" w:hAnsi="Arial" w:cs="Arial"/>
          <w:sz w:val="22"/>
          <w:szCs w:val="22"/>
        </w:rPr>
        <w:t>.</w:t>
      </w:r>
    </w:p>
    <w:p w14:paraId="51C3A054"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UK Health Security Agency (2024) </w:t>
      </w:r>
      <w:r>
        <w:rPr>
          <w:rFonts w:ascii="Arial" w:eastAsia="Arial" w:hAnsi="Arial" w:cs="Arial"/>
          <w:i/>
          <w:iCs/>
          <w:color w:val="000000"/>
          <w:sz w:val="22"/>
          <w:szCs w:val="22"/>
        </w:rPr>
        <w:t>UK’s largest survey of people living with HIV published</w:t>
      </w:r>
      <w:r>
        <w:rPr>
          <w:rFonts w:ascii="Arial" w:eastAsia="Arial" w:hAnsi="Arial" w:cs="Arial"/>
          <w:color w:val="000000"/>
          <w:sz w:val="22"/>
          <w:szCs w:val="22"/>
        </w:rPr>
        <w:t xml:space="preserve">, </w:t>
      </w:r>
      <w:r>
        <w:rPr>
          <w:rFonts w:ascii="Arial" w:eastAsia="Arial" w:hAnsi="Arial" w:cs="Arial"/>
          <w:i/>
          <w:iCs/>
          <w:color w:val="000000"/>
          <w:sz w:val="22"/>
          <w:szCs w:val="22"/>
        </w:rPr>
        <w:t>GOV.UK</w:t>
      </w:r>
      <w:r>
        <w:rPr>
          <w:rFonts w:ascii="Arial" w:eastAsia="Arial" w:hAnsi="Arial" w:cs="Arial"/>
          <w:color w:val="000000"/>
          <w:sz w:val="22"/>
          <w:szCs w:val="22"/>
        </w:rPr>
        <w:t>. Available at: https://www.gov.uk/government/news/uks-largest-survey-of-people-living-with-hiv-published.</w:t>
      </w:r>
    </w:p>
    <w:p w14:paraId="51C3A055"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lastRenderedPageBreak/>
        <w:t xml:space="preserve">University of Leeds (2022). </w:t>
      </w:r>
      <w:r>
        <w:rPr>
          <w:rFonts w:ascii="Arial" w:eastAsia="Arial" w:hAnsi="Arial" w:cs="Arial"/>
          <w:i/>
          <w:iCs/>
          <w:sz w:val="22"/>
          <w:szCs w:val="22"/>
        </w:rPr>
        <w:t>Literature searching explained</w:t>
      </w:r>
      <w:r>
        <w:rPr>
          <w:rFonts w:ascii="Arial" w:eastAsia="Arial" w:hAnsi="Arial" w:cs="Arial"/>
          <w:sz w:val="22"/>
          <w:szCs w:val="22"/>
        </w:rPr>
        <w:t>. [online] Leeds.ac.uk. Available at: https://library.leeds.ac.uk/info/1404/literature_searching/14/literature_searching_explained/4.</w:t>
      </w:r>
    </w:p>
    <w:p w14:paraId="51C3A056"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Valentijn, P.P., Tymchenko, L., </w:t>
      </w:r>
      <w:proofErr w:type="spellStart"/>
      <w:r>
        <w:rPr>
          <w:rFonts w:ascii="Arial" w:eastAsia="Arial" w:hAnsi="Arial" w:cs="Arial"/>
          <w:color w:val="000000"/>
          <w:sz w:val="22"/>
          <w:szCs w:val="22"/>
        </w:rPr>
        <w:t>Wiro</w:t>
      </w:r>
      <w:proofErr w:type="spellEnd"/>
      <w:r>
        <w:rPr>
          <w:rFonts w:ascii="Arial" w:eastAsia="Arial" w:hAnsi="Arial" w:cs="Arial"/>
          <w:color w:val="000000"/>
          <w:sz w:val="22"/>
          <w:szCs w:val="22"/>
        </w:rPr>
        <w:t xml:space="preserve"> Gruisen, Bem Bruls, Fernando Abdalla Pereira and Arends, R.Y. (2024). Effectiveness of Integrated Care for Diabetes Mellitus Type 2, Cardiovascular and Chronic Respiratory Diseases: A Systematic Review and Meta-Analysis. </w:t>
      </w:r>
      <w:r>
        <w:rPr>
          <w:rFonts w:ascii="Arial" w:eastAsia="Arial" w:hAnsi="Arial" w:cs="Arial"/>
          <w:i/>
          <w:iCs/>
          <w:color w:val="000000"/>
          <w:sz w:val="22"/>
          <w:szCs w:val="22"/>
        </w:rPr>
        <w:t>International Journal of Integrated Care</w:t>
      </w:r>
      <w:r>
        <w:rPr>
          <w:rFonts w:ascii="Arial" w:eastAsia="Arial" w:hAnsi="Arial" w:cs="Arial"/>
          <w:color w:val="000000"/>
          <w:sz w:val="22"/>
          <w:szCs w:val="22"/>
        </w:rPr>
        <w:t xml:space="preserve">, 24, pp.16–16.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://doi.org/10.5334/ijic.7744</w:t>
      </w:r>
      <w:proofErr w:type="gramEnd"/>
      <w:r>
        <w:rPr>
          <w:rFonts w:ascii="Arial" w:eastAsia="Arial" w:hAnsi="Arial" w:cs="Arial"/>
          <w:color w:val="000000"/>
          <w:sz w:val="22"/>
          <w:szCs w:val="22"/>
        </w:rPr>
        <w:t>.</w:t>
      </w:r>
    </w:p>
    <w:p w14:paraId="51C3A057"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Vaughan, E., Power, M. and Sixsmith, J. (2020). Experiences of Stigma in Healthcare Settings by People Living with HIV in Ireland: </w:t>
      </w: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Qualitative Study. </w:t>
      </w:r>
      <w:r>
        <w:rPr>
          <w:rFonts w:ascii="Arial" w:eastAsia="Arial" w:hAnsi="Arial" w:cs="Arial"/>
          <w:i/>
          <w:iCs/>
          <w:color w:val="000000"/>
          <w:sz w:val="22"/>
          <w:szCs w:val="22"/>
        </w:rPr>
        <w:t>AIDS Care</w:t>
      </w:r>
      <w:r>
        <w:rPr>
          <w:rFonts w:ascii="Arial" w:eastAsia="Arial" w:hAnsi="Arial" w:cs="Arial"/>
          <w:color w:val="000000"/>
          <w:sz w:val="22"/>
          <w:szCs w:val="22"/>
        </w:rPr>
        <w:t xml:space="preserve">, 32(9), pp.1–6.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://doi.org/10.1080/09540121.2020.1781761</w:t>
      </w:r>
      <w:proofErr w:type="gramEnd"/>
      <w:r>
        <w:rPr>
          <w:rFonts w:ascii="Arial" w:eastAsia="Arial" w:hAnsi="Arial" w:cs="Arial"/>
          <w:color w:val="000000"/>
          <w:sz w:val="22"/>
          <w:szCs w:val="22"/>
        </w:rPr>
        <w:t>.</w:t>
      </w:r>
    </w:p>
    <w:p w14:paraId="51C3A058"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WHO (2025) </w:t>
      </w:r>
      <w:r>
        <w:rPr>
          <w:rFonts w:ascii="Arial" w:eastAsia="Arial" w:hAnsi="Arial" w:cs="Arial"/>
          <w:i/>
          <w:iCs/>
          <w:color w:val="000000"/>
          <w:sz w:val="22"/>
          <w:szCs w:val="22"/>
        </w:rPr>
        <w:t>HIV and AIDS</w:t>
      </w:r>
      <w:r>
        <w:rPr>
          <w:rFonts w:ascii="Arial" w:eastAsia="Arial" w:hAnsi="Arial" w:cs="Arial"/>
          <w:color w:val="000000"/>
          <w:sz w:val="22"/>
          <w:szCs w:val="22"/>
        </w:rPr>
        <w:t xml:space="preserve">, </w:t>
      </w:r>
      <w:r>
        <w:rPr>
          <w:rFonts w:ascii="Arial" w:eastAsia="Arial" w:hAnsi="Arial" w:cs="Arial"/>
          <w:i/>
          <w:iCs/>
          <w:color w:val="000000"/>
          <w:sz w:val="22"/>
          <w:szCs w:val="22"/>
        </w:rPr>
        <w:t>World Health Organisation</w:t>
      </w:r>
      <w:r>
        <w:rPr>
          <w:rFonts w:ascii="Arial" w:eastAsia="Arial" w:hAnsi="Arial" w:cs="Arial"/>
          <w:color w:val="000000"/>
          <w:sz w:val="22"/>
          <w:szCs w:val="22"/>
        </w:rPr>
        <w:t>. Available at: https://www.who.int/news-room/fact-sheets/detail/hiv-aids.</w:t>
      </w:r>
    </w:p>
    <w:p w14:paraId="51C3A059"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WHO (2025). </w:t>
      </w:r>
      <w:r>
        <w:rPr>
          <w:rFonts w:ascii="Arial" w:eastAsia="Arial" w:hAnsi="Arial" w:cs="Arial"/>
          <w:i/>
          <w:iCs/>
          <w:color w:val="000000"/>
          <w:sz w:val="22"/>
          <w:szCs w:val="22"/>
        </w:rPr>
        <w:t>WHO global strategy on integrated people-centred health services 2016-2026 Executive Summary Placing people and communities at the centre of health services Draft for consultation 24/07/2015 version</w:t>
      </w:r>
      <w:r>
        <w:rPr>
          <w:rFonts w:ascii="Arial" w:eastAsia="Arial" w:hAnsi="Arial" w:cs="Arial"/>
          <w:color w:val="000000"/>
          <w:sz w:val="22"/>
          <w:szCs w:val="22"/>
        </w:rPr>
        <w:t>. [online] Available at: https://iris.who.int/bitstream/handle/10665/180984/WHO_HIS_SDS_2015.20_eng.pdf?sequence=1.</w:t>
      </w:r>
    </w:p>
    <w:p w14:paraId="51C3A05A"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Wiginton, J.M., </w:t>
      </w:r>
      <w:proofErr w:type="spellStart"/>
      <w:r>
        <w:rPr>
          <w:rFonts w:ascii="Arial" w:eastAsia="Arial" w:hAnsi="Arial" w:cs="Arial"/>
          <w:sz w:val="22"/>
          <w:szCs w:val="22"/>
        </w:rPr>
        <w:t>Maksut</w:t>
      </w:r>
      <w:proofErr w:type="spellEnd"/>
      <w:r>
        <w:rPr>
          <w:rFonts w:ascii="Arial" w:eastAsia="Arial" w:hAnsi="Arial" w:cs="Arial"/>
          <w:sz w:val="22"/>
          <w:szCs w:val="22"/>
        </w:rPr>
        <w:t xml:space="preserve">, J.L., Murray, S.M., </w:t>
      </w:r>
      <w:proofErr w:type="spellStart"/>
      <w:r>
        <w:rPr>
          <w:rFonts w:ascii="Arial" w:eastAsia="Arial" w:hAnsi="Arial" w:cs="Arial"/>
          <w:sz w:val="22"/>
          <w:szCs w:val="22"/>
        </w:rPr>
        <w:t>Augustinavicius</w:t>
      </w:r>
      <w:proofErr w:type="spellEnd"/>
      <w:r>
        <w:rPr>
          <w:rFonts w:ascii="Arial" w:eastAsia="Arial" w:hAnsi="Arial" w:cs="Arial"/>
          <w:sz w:val="22"/>
          <w:szCs w:val="22"/>
        </w:rPr>
        <w:t xml:space="preserve">, J.L., Kall, M., Delpech, V. and Baral, S.D. (2021). Brief report: HIV-related healthcare stigma/discrimination and unmet needs among persons living with HIV in England and Wales. </w:t>
      </w:r>
      <w:r>
        <w:rPr>
          <w:rFonts w:ascii="Arial" w:eastAsia="Arial" w:hAnsi="Arial" w:cs="Arial"/>
          <w:i/>
          <w:iCs/>
          <w:sz w:val="22"/>
          <w:szCs w:val="22"/>
        </w:rPr>
        <w:t>Preventive Medicine Reports</w:t>
      </w:r>
      <w:r>
        <w:rPr>
          <w:rFonts w:ascii="Arial" w:eastAsia="Arial" w:hAnsi="Arial" w:cs="Arial"/>
          <w:sz w:val="22"/>
          <w:szCs w:val="22"/>
        </w:rPr>
        <w:t xml:space="preserve">, 24, p.101580.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://doi.org/10.1016/j.pmedr.2021.101580</w:t>
      </w:r>
      <w:proofErr w:type="gramEnd"/>
      <w:r>
        <w:rPr>
          <w:rFonts w:ascii="Arial" w:eastAsia="Arial" w:hAnsi="Arial" w:cs="Arial"/>
          <w:sz w:val="22"/>
          <w:szCs w:val="22"/>
        </w:rPr>
        <w:t>.</w:t>
      </w:r>
    </w:p>
    <w:p w14:paraId="51C3A05B" w14:textId="77777777" w:rsidR="006921ED" w:rsidRDefault="00D73B41">
      <w:pPr>
        <w:pBdr>
          <w:top w:val="nil"/>
          <w:left w:val="nil"/>
          <w:bottom w:val="nil"/>
          <w:right w:val="nil"/>
          <w:between w:val="nil"/>
        </w:pBdr>
        <w:spacing w:before="240" w:after="240" w:line="360" w:lineRule="auto"/>
        <w:rPr>
          <w:rFonts w:ascii="Arial" w:eastAsia="Arial" w:hAnsi="Arial" w:cs="Arial"/>
          <w:color w:val="000000"/>
          <w:sz w:val="22"/>
          <w:szCs w:val="22"/>
        </w:rPr>
      </w:pPr>
      <w:r>
        <w:rPr>
          <w:rFonts w:ascii="Arial" w:eastAsia="Arial" w:hAnsi="Arial" w:cs="Arial"/>
          <w:color w:val="000000"/>
          <w:sz w:val="22"/>
          <w:szCs w:val="22"/>
        </w:rPr>
        <w:t xml:space="preserve">Younas, A. and </w:t>
      </w:r>
      <w:proofErr w:type="spellStart"/>
      <w:r>
        <w:rPr>
          <w:rFonts w:ascii="Arial" w:eastAsia="Arial" w:hAnsi="Arial" w:cs="Arial"/>
          <w:color w:val="000000"/>
          <w:sz w:val="22"/>
          <w:szCs w:val="22"/>
        </w:rPr>
        <w:t>Fàbregues</w:t>
      </w:r>
      <w:proofErr w:type="spellEnd"/>
      <w:r>
        <w:rPr>
          <w:rFonts w:ascii="Arial" w:eastAsia="Arial" w:hAnsi="Arial" w:cs="Arial"/>
          <w:color w:val="000000"/>
          <w:sz w:val="22"/>
          <w:szCs w:val="22"/>
        </w:rPr>
        <w:t xml:space="preserve">, S. (2026). Advancing the Classification of Mixed Methods Research Questions. </w:t>
      </w:r>
      <w:r>
        <w:rPr>
          <w:rFonts w:ascii="Arial" w:eastAsia="Arial" w:hAnsi="Arial" w:cs="Arial"/>
          <w:i/>
          <w:iCs/>
          <w:color w:val="000000"/>
          <w:sz w:val="22"/>
          <w:szCs w:val="22"/>
        </w:rPr>
        <w:t>Journal of Mixed Methods Research</w:t>
      </w:r>
      <w:r>
        <w:rPr>
          <w:rFonts w:ascii="Arial" w:eastAsia="Arial" w:hAnsi="Arial" w:cs="Arial"/>
          <w:color w:val="000000"/>
          <w:sz w:val="22"/>
          <w:szCs w:val="22"/>
        </w:rPr>
        <w:t xml:space="preserve">. </w:t>
      </w:r>
      <w:proofErr w:type="spellStart"/>
      <w:proofErr w:type="gramStart"/>
      <w:r>
        <w:rPr>
          <w:rFonts w:ascii="Arial" w:eastAsia="Arial" w:hAnsi="Arial" w:cs="Arial"/>
          <w:color w:val="000000"/>
          <w:sz w:val="22"/>
          <w:szCs w:val="22"/>
        </w:rPr>
        <w:t>doi:https</w:t>
      </w:r>
      <w:proofErr w:type="spellEnd"/>
      <w:r>
        <w:rPr>
          <w:rFonts w:ascii="Arial" w:eastAsia="Arial" w:hAnsi="Arial" w:cs="Arial"/>
          <w:color w:val="000000"/>
          <w:sz w:val="22"/>
          <w:szCs w:val="22"/>
        </w:rPr>
        <w:t>://doi.org/10.1177/15586898251413451</w:t>
      </w:r>
      <w:proofErr w:type="gramEnd"/>
      <w:r>
        <w:rPr>
          <w:rFonts w:ascii="Arial" w:eastAsia="Arial" w:hAnsi="Arial" w:cs="Arial"/>
          <w:color w:val="000000"/>
          <w:sz w:val="22"/>
          <w:szCs w:val="22"/>
        </w:rPr>
        <w:t>.</w:t>
      </w:r>
    </w:p>
    <w:p w14:paraId="51C3A05C" w14:textId="77777777" w:rsidR="006921ED" w:rsidRDefault="00D73B41">
      <w:pPr>
        <w:spacing w:before="240" w:after="240" w:line="360" w:lineRule="auto"/>
        <w:rPr>
          <w:rFonts w:ascii="Arial" w:eastAsia="Arial" w:hAnsi="Arial" w:cs="Arial"/>
          <w:sz w:val="22"/>
          <w:szCs w:val="22"/>
        </w:rPr>
      </w:pPr>
      <w:sdt>
        <w:sdtPr>
          <w:tag w:val="goog_rdk_1"/>
          <w:id w:val="1191458890"/>
        </w:sdtPr>
        <w:sdtEndPr/>
        <w:sdtContent>
          <w:r>
            <w:rPr>
              <w:rFonts w:ascii="Arial Unicode MS" w:eastAsia="Arial Unicode MS" w:hAnsi="Arial Unicode MS" w:cs="Arial Unicode MS"/>
              <w:sz w:val="22"/>
              <w:szCs w:val="22"/>
            </w:rPr>
            <w:t xml:space="preserve">Youssef, E., Wright, J., Delpech, V., Davies, K., Brown, A., Cooper, V., Sachikonye, M. and de Visser, R. (2018). Factors associated with testing for HIV in people aged ≥50 years: a qualitative study. </w:t>
          </w:r>
        </w:sdtContent>
      </w:sdt>
      <w:r>
        <w:rPr>
          <w:rFonts w:ascii="Arial" w:eastAsia="Arial" w:hAnsi="Arial" w:cs="Arial"/>
          <w:i/>
          <w:iCs/>
          <w:sz w:val="22"/>
          <w:szCs w:val="22"/>
        </w:rPr>
        <w:t>BMC Public Health</w:t>
      </w:r>
      <w:r>
        <w:rPr>
          <w:rFonts w:ascii="Arial" w:eastAsia="Arial" w:hAnsi="Arial" w:cs="Arial"/>
          <w:sz w:val="22"/>
          <w:szCs w:val="22"/>
        </w:rPr>
        <w:t xml:space="preserve">, 18(1).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://doi.org/10.1186/s12889-018-6118-x</w:t>
      </w:r>
      <w:proofErr w:type="gramEnd"/>
      <w:r>
        <w:rPr>
          <w:rFonts w:ascii="Arial" w:eastAsia="Arial" w:hAnsi="Arial" w:cs="Arial"/>
          <w:sz w:val="22"/>
          <w:szCs w:val="22"/>
        </w:rPr>
        <w:t>.</w:t>
      </w:r>
    </w:p>
    <w:p w14:paraId="51C3A05D"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Zarei, N., </w:t>
      </w:r>
      <w:proofErr w:type="spellStart"/>
      <w:r>
        <w:rPr>
          <w:rFonts w:ascii="Arial" w:eastAsia="Arial" w:hAnsi="Arial" w:cs="Arial"/>
          <w:sz w:val="22"/>
          <w:szCs w:val="22"/>
        </w:rPr>
        <w:t>Joulaei</w:t>
      </w:r>
      <w:proofErr w:type="spellEnd"/>
      <w:r>
        <w:rPr>
          <w:rFonts w:ascii="Arial" w:eastAsia="Arial" w:hAnsi="Arial" w:cs="Arial"/>
          <w:sz w:val="22"/>
          <w:szCs w:val="22"/>
        </w:rPr>
        <w:t xml:space="preserve">, H., Darabi, E. and Fararouei, M. (2015). Stigmatized Attitude of Healthcare Providers: A Barrier for Delivering Health Services to HIV Positive Patients. </w:t>
      </w:r>
      <w:r>
        <w:rPr>
          <w:rFonts w:ascii="Arial" w:eastAsia="Arial" w:hAnsi="Arial" w:cs="Arial"/>
          <w:i/>
          <w:iCs/>
          <w:sz w:val="22"/>
          <w:szCs w:val="22"/>
        </w:rPr>
        <w:t>International Journal of Community Based Nursing and Midwifery</w:t>
      </w:r>
      <w:r>
        <w:rPr>
          <w:rFonts w:ascii="Arial" w:eastAsia="Arial" w:hAnsi="Arial" w:cs="Arial"/>
          <w:sz w:val="22"/>
          <w:szCs w:val="22"/>
        </w:rPr>
        <w:t>, [online] 3(4), p.292. Available at: https://pmc.ncbi.nlm.nih.gov/articles/PMC4591575/.</w:t>
      </w:r>
    </w:p>
    <w:p w14:paraId="51C3A05E"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lastRenderedPageBreak/>
        <w:t xml:space="preserve">Zhang, Y., Chai, C., Xiong, J., Zhang, L., Zheng, J., Zhang, N. and Wang, Y. (2023). The impact of anxiety, depression, and social support on the relationship between HIV-related stigma and mental health-related quality of life among Chinese patients: a cross-sectional, moderate-mediation study. </w:t>
      </w:r>
      <w:r>
        <w:rPr>
          <w:rFonts w:ascii="Arial" w:eastAsia="Arial" w:hAnsi="Arial" w:cs="Arial"/>
          <w:i/>
          <w:iCs/>
          <w:sz w:val="22"/>
          <w:szCs w:val="22"/>
        </w:rPr>
        <w:t>BMC Psychiatry</w:t>
      </w:r>
      <w:r>
        <w:rPr>
          <w:rFonts w:ascii="Arial" w:eastAsia="Arial" w:hAnsi="Arial" w:cs="Arial"/>
          <w:sz w:val="22"/>
          <w:szCs w:val="22"/>
        </w:rPr>
        <w:t xml:space="preserve">, 23(1).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://doi.org/10.1186/s12888-023-05103-1</w:t>
      </w:r>
      <w:proofErr w:type="gramEnd"/>
      <w:r>
        <w:rPr>
          <w:rFonts w:ascii="Arial" w:eastAsia="Arial" w:hAnsi="Arial" w:cs="Arial"/>
          <w:sz w:val="22"/>
          <w:szCs w:val="22"/>
        </w:rPr>
        <w:t>.</w:t>
      </w:r>
    </w:p>
    <w:p w14:paraId="51C3A05F"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 xml:space="preserve">Zhu, L.-H., Ying, Q.-S., Yang, M., Zhu, L.-F. and Chen, H.-X. (2022). The Impact of Chronic Illness on the Patient Experience: Results </w:t>
      </w:r>
      <w:proofErr w:type="gramStart"/>
      <w:r>
        <w:rPr>
          <w:rFonts w:ascii="Arial" w:eastAsia="Arial" w:hAnsi="Arial" w:cs="Arial"/>
          <w:sz w:val="22"/>
          <w:szCs w:val="22"/>
        </w:rPr>
        <w:t>From</w:t>
      </w:r>
      <w:proofErr w:type="gramEnd"/>
      <w:r>
        <w:rPr>
          <w:rFonts w:ascii="Arial" w:eastAsia="Arial" w:hAnsi="Arial" w:cs="Arial"/>
          <w:sz w:val="22"/>
          <w:szCs w:val="22"/>
        </w:rPr>
        <w:t xml:space="preserve"> a Cross-Sectional Comparative Study in a Comprehensive Tertiary Hospital in China. </w:t>
      </w:r>
      <w:r>
        <w:rPr>
          <w:rFonts w:ascii="Arial" w:eastAsia="Arial" w:hAnsi="Arial" w:cs="Arial"/>
          <w:i/>
          <w:iCs/>
          <w:sz w:val="22"/>
          <w:szCs w:val="22"/>
        </w:rPr>
        <w:t>INQUIRY: The Journal of Health Care Organization, Provision, and Financing</w:t>
      </w:r>
      <w:r>
        <w:rPr>
          <w:rFonts w:ascii="Arial" w:eastAsia="Arial" w:hAnsi="Arial" w:cs="Arial"/>
          <w:sz w:val="22"/>
          <w:szCs w:val="22"/>
        </w:rPr>
        <w:t xml:space="preserve">, [online] 59, p.004695802210903. </w:t>
      </w:r>
      <w:proofErr w:type="spellStart"/>
      <w:proofErr w:type="gramStart"/>
      <w:r>
        <w:rPr>
          <w:rFonts w:ascii="Arial" w:eastAsia="Arial" w:hAnsi="Arial" w:cs="Arial"/>
          <w:sz w:val="22"/>
          <w:szCs w:val="22"/>
        </w:rPr>
        <w:t>doi:https</w:t>
      </w:r>
      <w:proofErr w:type="spellEnd"/>
      <w:r>
        <w:rPr>
          <w:rFonts w:ascii="Arial" w:eastAsia="Arial" w:hAnsi="Arial" w:cs="Arial"/>
          <w:sz w:val="22"/>
          <w:szCs w:val="22"/>
        </w:rPr>
        <w:t>://doi.org/10.1177/00469580221090382</w:t>
      </w:r>
      <w:proofErr w:type="gramEnd"/>
      <w:r>
        <w:rPr>
          <w:rFonts w:ascii="Arial" w:eastAsia="Arial" w:hAnsi="Arial" w:cs="Arial"/>
          <w:sz w:val="22"/>
          <w:szCs w:val="22"/>
        </w:rPr>
        <w:t>.</w:t>
      </w:r>
    </w:p>
    <w:p w14:paraId="51C3A060"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1"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2"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3"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4"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5"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6"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7"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8"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9"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A"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B"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C"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D"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E" w14:textId="77777777" w:rsidR="006921ED" w:rsidRDefault="006921ED">
      <w:pPr>
        <w:pBdr>
          <w:top w:val="nil"/>
          <w:left w:val="nil"/>
          <w:bottom w:val="nil"/>
          <w:right w:val="nil"/>
          <w:between w:val="nil"/>
        </w:pBdr>
        <w:spacing w:after="240" w:line="360" w:lineRule="auto"/>
        <w:rPr>
          <w:rFonts w:ascii="Arial" w:eastAsia="Arial" w:hAnsi="Arial" w:cs="Arial"/>
          <w:color w:val="000000"/>
          <w:sz w:val="22"/>
          <w:szCs w:val="22"/>
        </w:rPr>
      </w:pPr>
    </w:p>
    <w:p w14:paraId="51C3A06F" w14:textId="77777777" w:rsidR="006921ED" w:rsidRDefault="00D73B41">
      <w:pPr>
        <w:pStyle w:val="Heading1"/>
        <w:numPr>
          <w:ilvl w:val="0"/>
          <w:numId w:val="8"/>
        </w:numPr>
        <w:spacing w:before="10" w:after="240" w:line="360" w:lineRule="auto"/>
        <w:rPr>
          <w:rFonts w:ascii="Arial" w:eastAsia="Arial" w:hAnsi="Arial" w:cs="Arial"/>
          <w:b/>
          <w:bCs/>
          <w:color w:val="000000"/>
          <w:sz w:val="22"/>
          <w:szCs w:val="22"/>
        </w:rPr>
      </w:pPr>
      <w:bookmarkStart w:id="87" w:name="_heading=h.5w8x38dt5enf" w:colFirst="0" w:colLast="0"/>
      <w:bookmarkEnd w:id="87"/>
      <w:r>
        <w:rPr>
          <w:rFonts w:ascii="Arial" w:eastAsia="Arial" w:hAnsi="Arial" w:cs="Arial"/>
          <w:b/>
          <w:bCs/>
          <w:color w:val="000000"/>
          <w:sz w:val="22"/>
          <w:szCs w:val="22"/>
        </w:rPr>
        <w:lastRenderedPageBreak/>
        <w:t>Appendix</w:t>
      </w:r>
    </w:p>
    <w:p w14:paraId="51C3A070" w14:textId="77777777" w:rsidR="006921ED" w:rsidRDefault="00D73B41">
      <w:pPr>
        <w:pBdr>
          <w:top w:val="nil"/>
          <w:left w:val="nil"/>
          <w:bottom w:val="nil"/>
          <w:right w:val="nil"/>
          <w:between w:val="nil"/>
        </w:pBdr>
        <w:spacing w:before="240" w:line="360" w:lineRule="auto"/>
        <w:rPr>
          <w:rFonts w:ascii="Arial" w:eastAsia="Arial" w:hAnsi="Arial" w:cs="Arial"/>
          <w:b/>
          <w:bCs/>
          <w:smallCaps/>
          <w:color w:val="000000"/>
          <w:sz w:val="22"/>
          <w:szCs w:val="22"/>
        </w:rPr>
      </w:pPr>
      <w:bookmarkStart w:id="88" w:name="_heading=h.a625dod5ex1u" w:colFirst="0" w:colLast="0"/>
      <w:bookmarkEnd w:id="88"/>
      <w:r>
        <w:rPr>
          <w:rFonts w:ascii="Arial" w:eastAsia="Arial" w:hAnsi="Arial" w:cs="Arial"/>
          <w:b/>
          <w:bCs/>
          <w:smallCaps/>
          <w:color w:val="000000"/>
          <w:sz w:val="22"/>
          <w:szCs w:val="22"/>
        </w:rPr>
        <w:t>Table 3 Overview of Identified Themes</w:t>
      </w:r>
    </w:p>
    <w:tbl>
      <w:tblPr>
        <w:tblStyle w:val="a1"/>
        <w:tblW w:w="10440" w:type="dxa"/>
        <w:jc w:val="center"/>
        <w:tblInd w:w="0" w:type="dxa"/>
        <w:tblLayout w:type="fixed"/>
        <w:tblLook w:val="04A0" w:firstRow="1" w:lastRow="0" w:firstColumn="1" w:lastColumn="0" w:noHBand="0" w:noVBand="1"/>
      </w:tblPr>
      <w:tblGrid>
        <w:gridCol w:w="3100"/>
        <w:gridCol w:w="7340"/>
      </w:tblGrid>
      <w:tr w:rsidR="006921ED" w14:paraId="51C3A073" w14:textId="77777777" w:rsidTr="006921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00" w:type="dxa"/>
          </w:tcPr>
          <w:p w14:paraId="51C3A071" w14:textId="77777777" w:rsidR="006921ED" w:rsidRDefault="00D73B41">
            <w:pPr>
              <w:spacing w:before="240" w:after="240" w:line="360" w:lineRule="auto"/>
              <w:rPr>
                <w:rFonts w:ascii="Arial" w:eastAsia="Arial" w:hAnsi="Arial" w:cs="Arial"/>
                <w:sz w:val="22"/>
                <w:szCs w:val="22"/>
              </w:rPr>
            </w:pPr>
            <w:r>
              <w:rPr>
                <w:rFonts w:ascii="Arial" w:eastAsia="Arial" w:hAnsi="Arial" w:cs="Arial"/>
                <w:sz w:val="22"/>
                <w:szCs w:val="22"/>
              </w:rPr>
              <w:t>Themes</w:t>
            </w:r>
          </w:p>
        </w:tc>
        <w:tc>
          <w:tcPr>
            <w:tcW w:w="7340" w:type="dxa"/>
          </w:tcPr>
          <w:p w14:paraId="51C3A072" w14:textId="77777777" w:rsidR="006921ED" w:rsidRDefault="00D73B41">
            <w:pPr>
              <w:spacing w:before="240" w:after="240" w:line="360" w:lineRule="auto"/>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Articles Where It Was Extracted</w:t>
            </w:r>
          </w:p>
        </w:tc>
      </w:tr>
      <w:tr w:rsidR="006921ED" w14:paraId="51C3A076"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00" w:type="dxa"/>
          </w:tcPr>
          <w:p w14:paraId="51C3A074" w14:textId="77777777" w:rsidR="006921ED" w:rsidRDefault="00D73B41">
            <w:pPr>
              <w:spacing w:before="240" w:after="240" w:line="360" w:lineRule="auto"/>
              <w:rPr>
                <w:rFonts w:ascii="Arial" w:eastAsia="Arial" w:hAnsi="Arial" w:cs="Arial"/>
                <w:i/>
                <w:iCs/>
                <w:sz w:val="22"/>
                <w:szCs w:val="22"/>
              </w:rPr>
            </w:pPr>
            <w:r>
              <w:rPr>
                <w:rFonts w:ascii="Arial" w:eastAsia="Arial" w:hAnsi="Arial" w:cs="Arial"/>
                <w:b w:val="0"/>
                <w:bCs w:val="0"/>
                <w:i/>
                <w:iCs/>
                <w:sz w:val="22"/>
                <w:szCs w:val="22"/>
              </w:rPr>
              <w:t>Persistent and Evolving HIV-Related Stigma</w:t>
            </w:r>
          </w:p>
        </w:tc>
        <w:tc>
          <w:tcPr>
            <w:tcW w:w="7340" w:type="dxa"/>
          </w:tcPr>
          <w:p w14:paraId="51C3A075" w14:textId="77777777" w:rsidR="006921ED" w:rsidRDefault="00D73B41">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bCs/>
                <w:sz w:val="22"/>
                <w:szCs w:val="22"/>
              </w:rPr>
            </w:pPr>
            <w:r>
              <w:rPr>
                <w:rFonts w:ascii="Arial" w:eastAsia="Arial" w:hAnsi="Arial" w:cs="Arial"/>
                <w:b/>
                <w:bCs/>
                <w:sz w:val="22"/>
                <w:szCs w:val="22"/>
              </w:rPr>
              <w:t>Hedge et al.; Vaughan et al.; Wiginton et al.; Rai et al.; Keogh et al.; Glendinning et al.; Jones et al.; Ndirangu and Evans</w:t>
            </w:r>
          </w:p>
        </w:tc>
      </w:tr>
      <w:tr w:rsidR="006921ED" w14:paraId="51C3A079"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3100" w:type="dxa"/>
          </w:tcPr>
          <w:p w14:paraId="51C3A077" w14:textId="77777777" w:rsidR="006921ED" w:rsidRDefault="00D73B41">
            <w:pPr>
              <w:spacing w:before="240" w:after="240" w:line="360" w:lineRule="auto"/>
              <w:rPr>
                <w:rFonts w:ascii="Arial" w:eastAsia="Arial" w:hAnsi="Arial" w:cs="Arial"/>
                <w:i/>
                <w:iCs/>
                <w:sz w:val="22"/>
                <w:szCs w:val="22"/>
              </w:rPr>
            </w:pPr>
            <w:r>
              <w:rPr>
                <w:rFonts w:ascii="Arial" w:eastAsia="Arial" w:hAnsi="Arial" w:cs="Arial"/>
                <w:b w:val="0"/>
                <w:bCs w:val="0"/>
                <w:i/>
                <w:iCs/>
                <w:sz w:val="22"/>
                <w:szCs w:val="22"/>
              </w:rPr>
              <w:t>Fragmentation of Health and Social Care Services</w:t>
            </w:r>
          </w:p>
        </w:tc>
        <w:tc>
          <w:tcPr>
            <w:tcW w:w="7340" w:type="dxa"/>
          </w:tcPr>
          <w:p w14:paraId="51C3A078" w14:textId="77777777" w:rsidR="006921ED" w:rsidRDefault="00D73B41">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2"/>
                <w:szCs w:val="22"/>
              </w:rPr>
            </w:pPr>
            <w:r>
              <w:rPr>
                <w:rFonts w:ascii="Arial" w:eastAsia="Arial" w:hAnsi="Arial" w:cs="Arial"/>
                <w:b/>
                <w:bCs/>
                <w:sz w:val="22"/>
                <w:szCs w:val="22"/>
              </w:rPr>
              <w:t>Rai et al.; Keogh et al.; Pollard et al.; Bruton et al.; Wiginton et al.</w:t>
            </w:r>
          </w:p>
        </w:tc>
      </w:tr>
      <w:tr w:rsidR="006921ED" w14:paraId="51C3A07C"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00" w:type="dxa"/>
          </w:tcPr>
          <w:p w14:paraId="51C3A07A" w14:textId="77777777" w:rsidR="006921ED" w:rsidRDefault="00D73B41">
            <w:pPr>
              <w:spacing w:before="240" w:after="240" w:line="360" w:lineRule="auto"/>
              <w:rPr>
                <w:rFonts w:ascii="Arial" w:eastAsia="Arial" w:hAnsi="Arial" w:cs="Arial"/>
                <w:i/>
                <w:iCs/>
                <w:sz w:val="22"/>
                <w:szCs w:val="22"/>
              </w:rPr>
            </w:pPr>
            <w:r>
              <w:rPr>
                <w:rFonts w:ascii="Arial" w:eastAsia="Arial" w:hAnsi="Arial" w:cs="Arial"/>
                <w:b w:val="0"/>
                <w:bCs w:val="0"/>
                <w:i/>
                <w:iCs/>
                <w:sz w:val="22"/>
                <w:szCs w:val="22"/>
              </w:rPr>
              <w:t>Ageing with HIV and Multimorbidity</w:t>
            </w:r>
          </w:p>
        </w:tc>
        <w:tc>
          <w:tcPr>
            <w:tcW w:w="7340" w:type="dxa"/>
          </w:tcPr>
          <w:p w14:paraId="51C3A07B" w14:textId="77777777" w:rsidR="006921ED" w:rsidRDefault="00D73B41">
            <w:pPr>
              <w:spacing w:before="240" w:after="24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bCs/>
                <w:sz w:val="22"/>
                <w:szCs w:val="22"/>
              </w:rPr>
            </w:pPr>
            <w:r>
              <w:rPr>
                <w:rFonts w:ascii="Arial" w:eastAsia="Arial" w:hAnsi="Arial" w:cs="Arial"/>
                <w:b/>
                <w:bCs/>
                <w:sz w:val="22"/>
                <w:szCs w:val="22"/>
              </w:rPr>
              <w:t>Pollard et al.; Youssef et al.; Bruton et al.; Wiginton et al.</w:t>
            </w:r>
          </w:p>
        </w:tc>
      </w:tr>
      <w:tr w:rsidR="006921ED" w14:paraId="51C3A07F"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3100" w:type="dxa"/>
          </w:tcPr>
          <w:p w14:paraId="51C3A07D" w14:textId="77777777" w:rsidR="006921ED" w:rsidRDefault="00D73B41">
            <w:pPr>
              <w:spacing w:before="240" w:after="240" w:line="360" w:lineRule="auto"/>
              <w:rPr>
                <w:rFonts w:ascii="Arial" w:eastAsia="Arial" w:hAnsi="Arial" w:cs="Arial"/>
                <w:i/>
                <w:iCs/>
                <w:sz w:val="22"/>
                <w:szCs w:val="22"/>
              </w:rPr>
            </w:pPr>
            <w:r>
              <w:rPr>
                <w:rFonts w:ascii="Arial" w:eastAsia="Arial" w:hAnsi="Arial" w:cs="Arial"/>
                <w:b w:val="0"/>
                <w:bCs w:val="0"/>
                <w:i/>
                <w:iCs/>
                <w:sz w:val="22"/>
                <w:szCs w:val="22"/>
              </w:rPr>
              <w:t>Cultural and Community Contexts of HIV Care</w:t>
            </w:r>
          </w:p>
        </w:tc>
        <w:tc>
          <w:tcPr>
            <w:tcW w:w="7340" w:type="dxa"/>
          </w:tcPr>
          <w:p w14:paraId="51C3A07E" w14:textId="77777777" w:rsidR="006921ED" w:rsidRDefault="00D73B41">
            <w:pPr>
              <w:spacing w:before="240" w:after="240"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sz w:val="22"/>
                <w:szCs w:val="22"/>
              </w:rPr>
            </w:pPr>
            <w:r>
              <w:rPr>
                <w:rFonts w:ascii="Arial" w:eastAsia="Arial" w:hAnsi="Arial" w:cs="Arial"/>
                <w:b/>
                <w:bCs/>
                <w:sz w:val="22"/>
                <w:szCs w:val="22"/>
              </w:rPr>
              <w:t xml:space="preserve">Glendinning et al.; Jones et al.; Ndirangu and Evans; </w:t>
            </w:r>
            <w:proofErr w:type="spellStart"/>
            <w:r>
              <w:rPr>
                <w:rFonts w:ascii="Arial" w:eastAsia="Arial" w:hAnsi="Arial" w:cs="Arial"/>
                <w:b/>
                <w:bCs/>
                <w:sz w:val="22"/>
                <w:szCs w:val="22"/>
              </w:rPr>
              <w:t>Kasadha</w:t>
            </w:r>
            <w:proofErr w:type="spellEnd"/>
            <w:r>
              <w:rPr>
                <w:rFonts w:ascii="Arial" w:eastAsia="Arial" w:hAnsi="Arial" w:cs="Arial"/>
                <w:b/>
                <w:bCs/>
                <w:sz w:val="22"/>
                <w:szCs w:val="22"/>
              </w:rPr>
              <w:t xml:space="preserve"> et al.; Hedge et al.</w:t>
            </w:r>
          </w:p>
        </w:tc>
      </w:tr>
    </w:tbl>
    <w:p w14:paraId="51C3A080" w14:textId="77777777" w:rsidR="006921ED" w:rsidRDefault="006921ED">
      <w:pPr>
        <w:spacing w:line="360" w:lineRule="auto"/>
        <w:rPr>
          <w:rFonts w:ascii="Arial" w:eastAsia="Arial" w:hAnsi="Arial" w:cs="Arial"/>
          <w:sz w:val="22"/>
          <w:szCs w:val="22"/>
        </w:rPr>
      </w:pPr>
    </w:p>
    <w:p w14:paraId="51C3A081" w14:textId="77777777" w:rsidR="006921ED" w:rsidRDefault="00D73B41">
      <w:pPr>
        <w:spacing w:line="360" w:lineRule="auto"/>
        <w:rPr>
          <w:rFonts w:ascii="Arial" w:eastAsia="Arial" w:hAnsi="Arial" w:cs="Arial"/>
          <w:sz w:val="22"/>
          <w:szCs w:val="22"/>
        </w:rPr>
      </w:pPr>
      <w:bookmarkStart w:id="89" w:name="_heading=h.g0ooh1ansqr" w:colFirst="0" w:colLast="0"/>
      <w:bookmarkEnd w:id="89"/>
      <w:r>
        <w:rPr>
          <w:rFonts w:ascii="Arial" w:eastAsia="Arial" w:hAnsi="Arial" w:cs="Arial"/>
          <w:b/>
          <w:bCs/>
          <w:sz w:val="22"/>
          <w:szCs w:val="22"/>
        </w:rPr>
        <w:t>Table 4 Summary for Selected Studies</w:t>
      </w:r>
    </w:p>
    <w:tbl>
      <w:tblPr>
        <w:tblStyle w:val="a2"/>
        <w:tblW w:w="1071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55"/>
        <w:gridCol w:w="1710"/>
        <w:gridCol w:w="1260"/>
        <w:gridCol w:w="1260"/>
        <w:gridCol w:w="1350"/>
        <w:gridCol w:w="1890"/>
        <w:gridCol w:w="1985"/>
      </w:tblGrid>
      <w:tr w:rsidR="006921ED" w14:paraId="51C3A089" w14:textId="77777777" w:rsidTr="006921ED">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82" w14:textId="77777777" w:rsidR="006921ED" w:rsidRDefault="00D73B41">
            <w:pPr>
              <w:spacing w:line="360" w:lineRule="auto"/>
              <w:jc w:val="center"/>
              <w:rPr>
                <w:rFonts w:ascii="Arial" w:eastAsia="Arial" w:hAnsi="Arial" w:cs="Arial"/>
                <w:sz w:val="22"/>
                <w:szCs w:val="22"/>
              </w:rPr>
            </w:pPr>
            <w:r>
              <w:rPr>
                <w:rFonts w:ascii="Arial" w:eastAsia="Arial" w:hAnsi="Arial" w:cs="Arial"/>
                <w:sz w:val="22"/>
                <w:szCs w:val="22"/>
              </w:rPr>
              <w:t>Authors</w:t>
            </w:r>
          </w:p>
        </w:tc>
        <w:tc>
          <w:tcPr>
            <w:tcW w:w="1710" w:type="dxa"/>
          </w:tcPr>
          <w:p w14:paraId="51C3A083"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Study Title</w:t>
            </w:r>
          </w:p>
        </w:tc>
        <w:tc>
          <w:tcPr>
            <w:tcW w:w="1260" w:type="dxa"/>
          </w:tcPr>
          <w:p w14:paraId="51C3A084"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Purpose</w:t>
            </w:r>
          </w:p>
        </w:tc>
        <w:tc>
          <w:tcPr>
            <w:tcW w:w="1260" w:type="dxa"/>
          </w:tcPr>
          <w:p w14:paraId="51C3A085"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 Consistency</w:t>
            </w:r>
          </w:p>
        </w:tc>
        <w:tc>
          <w:tcPr>
            <w:tcW w:w="1350" w:type="dxa"/>
          </w:tcPr>
          <w:p w14:paraId="51C3A086"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Literature Review</w:t>
            </w:r>
          </w:p>
        </w:tc>
        <w:tc>
          <w:tcPr>
            <w:tcW w:w="1890" w:type="dxa"/>
          </w:tcPr>
          <w:p w14:paraId="51C3A087"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Aim/Objectives/Hypothesis</w:t>
            </w:r>
          </w:p>
        </w:tc>
        <w:tc>
          <w:tcPr>
            <w:tcW w:w="1985" w:type="dxa"/>
          </w:tcPr>
          <w:p w14:paraId="51C3A088"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Data Analysis/Results</w:t>
            </w:r>
          </w:p>
        </w:tc>
      </w:tr>
      <w:tr w:rsidR="006921ED" w14:paraId="51C3A091" w14:textId="77777777" w:rsidTr="006921E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8A"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Bruton et al. (2018)</w:t>
            </w:r>
          </w:p>
        </w:tc>
        <w:tc>
          <w:tcPr>
            <w:tcW w:w="1710" w:type="dxa"/>
          </w:tcPr>
          <w:p w14:paraId="51C3A08B"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Patient perspectives on the HIV continuum of care</w:t>
            </w:r>
          </w:p>
        </w:tc>
        <w:tc>
          <w:tcPr>
            <w:tcW w:w="1260" w:type="dxa"/>
          </w:tcPr>
          <w:p w14:paraId="51C3A08C"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8D"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8E"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2009-2018</w:t>
            </w:r>
          </w:p>
        </w:tc>
        <w:tc>
          <w:tcPr>
            <w:tcW w:w="1890" w:type="dxa"/>
          </w:tcPr>
          <w:p w14:paraId="51C3A08F"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Investigating health/social care experiences</w:t>
            </w:r>
          </w:p>
        </w:tc>
        <w:tc>
          <w:tcPr>
            <w:tcW w:w="1985" w:type="dxa"/>
          </w:tcPr>
          <w:p w14:paraId="51C3A090"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Thematic analysis of patient experiences</w:t>
            </w:r>
          </w:p>
        </w:tc>
      </w:tr>
      <w:tr w:rsidR="006921ED" w14:paraId="51C3A099" w14:textId="77777777" w:rsidTr="006921ED">
        <w:trPr>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92"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Hedge et al. (2021)</w:t>
            </w:r>
          </w:p>
        </w:tc>
        <w:tc>
          <w:tcPr>
            <w:tcW w:w="1710" w:type="dxa"/>
          </w:tcPr>
          <w:p w14:paraId="51C3A093"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HIV related stigma in the UK then and now</w:t>
            </w:r>
          </w:p>
        </w:tc>
        <w:tc>
          <w:tcPr>
            <w:tcW w:w="1260" w:type="dxa"/>
          </w:tcPr>
          <w:p w14:paraId="51C3A094"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95"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96"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2004-2021</w:t>
            </w:r>
          </w:p>
        </w:tc>
        <w:tc>
          <w:tcPr>
            <w:tcW w:w="1890" w:type="dxa"/>
          </w:tcPr>
          <w:p w14:paraId="51C3A097"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Assessing stigma shifts in HIV care</w:t>
            </w:r>
          </w:p>
        </w:tc>
        <w:tc>
          <w:tcPr>
            <w:tcW w:w="1985" w:type="dxa"/>
          </w:tcPr>
          <w:p w14:paraId="51C3A098"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Survey data on stigma and experiences</w:t>
            </w:r>
          </w:p>
        </w:tc>
      </w:tr>
      <w:tr w:rsidR="006921ED" w14:paraId="51C3A0A1" w14:textId="77777777" w:rsidTr="006921E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9A" w14:textId="77777777" w:rsidR="006921ED" w:rsidRDefault="00D73B41">
            <w:pPr>
              <w:spacing w:line="360" w:lineRule="auto"/>
              <w:rPr>
                <w:rFonts w:ascii="Arial" w:eastAsia="Arial" w:hAnsi="Arial" w:cs="Arial"/>
                <w:sz w:val="22"/>
                <w:szCs w:val="22"/>
              </w:rPr>
            </w:pPr>
            <w:proofErr w:type="spellStart"/>
            <w:r>
              <w:rPr>
                <w:rFonts w:ascii="Arial" w:eastAsia="Arial" w:hAnsi="Arial" w:cs="Arial"/>
                <w:sz w:val="22"/>
                <w:szCs w:val="22"/>
              </w:rPr>
              <w:lastRenderedPageBreak/>
              <w:t>Kasadha</w:t>
            </w:r>
            <w:proofErr w:type="spellEnd"/>
            <w:r>
              <w:rPr>
                <w:rFonts w:ascii="Arial" w:eastAsia="Arial" w:hAnsi="Arial" w:cs="Arial"/>
                <w:sz w:val="22"/>
                <w:szCs w:val="22"/>
              </w:rPr>
              <w:t xml:space="preserve"> et al. (2024)</w:t>
            </w:r>
          </w:p>
        </w:tc>
        <w:tc>
          <w:tcPr>
            <w:tcW w:w="1710" w:type="dxa"/>
          </w:tcPr>
          <w:p w14:paraId="51C3A09B"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How women living with HIV manage infant-feeding decisions</w:t>
            </w:r>
          </w:p>
        </w:tc>
        <w:tc>
          <w:tcPr>
            <w:tcW w:w="1260" w:type="dxa"/>
          </w:tcPr>
          <w:p w14:paraId="51C3A09C"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9D"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9E"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1996-2018</w:t>
            </w:r>
          </w:p>
        </w:tc>
        <w:tc>
          <w:tcPr>
            <w:tcW w:w="1890" w:type="dxa"/>
          </w:tcPr>
          <w:p w14:paraId="51C3A09F"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Exploring infant-feeding decisions</w:t>
            </w:r>
          </w:p>
        </w:tc>
        <w:tc>
          <w:tcPr>
            <w:tcW w:w="1985" w:type="dxa"/>
          </w:tcPr>
          <w:p w14:paraId="51C3A0A0"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 xml:space="preserve">Clear and identified: Interviews </w:t>
            </w:r>
            <w:proofErr w:type="spellStart"/>
            <w:r>
              <w:rPr>
                <w:rFonts w:ascii="Arial" w:eastAsia="Arial" w:hAnsi="Arial" w:cs="Arial"/>
                <w:sz w:val="22"/>
                <w:szCs w:val="22"/>
              </w:rPr>
              <w:t>analyzed</w:t>
            </w:r>
            <w:proofErr w:type="spellEnd"/>
            <w:r>
              <w:rPr>
                <w:rFonts w:ascii="Arial" w:eastAsia="Arial" w:hAnsi="Arial" w:cs="Arial"/>
                <w:sz w:val="22"/>
                <w:szCs w:val="22"/>
              </w:rPr>
              <w:t xml:space="preserve"> for feeding decision themes</w:t>
            </w:r>
          </w:p>
        </w:tc>
      </w:tr>
      <w:tr w:rsidR="006921ED" w14:paraId="51C3A0A9" w14:textId="77777777" w:rsidTr="006921ED">
        <w:trPr>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A2"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Jones et al. (2025)</w:t>
            </w:r>
          </w:p>
        </w:tc>
        <w:tc>
          <w:tcPr>
            <w:tcW w:w="1710" w:type="dxa"/>
          </w:tcPr>
          <w:p w14:paraId="51C3A0A3"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Breaking barriers: Social and cultural factors influencing HIV awareness</w:t>
            </w:r>
          </w:p>
        </w:tc>
        <w:tc>
          <w:tcPr>
            <w:tcW w:w="1260" w:type="dxa"/>
          </w:tcPr>
          <w:p w14:paraId="51C3A0A4"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A5"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A6"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2004-2021</w:t>
            </w:r>
          </w:p>
        </w:tc>
        <w:tc>
          <w:tcPr>
            <w:tcW w:w="1890" w:type="dxa"/>
          </w:tcPr>
          <w:p w14:paraId="51C3A0A7"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Exploring social factors in prevention uptake</w:t>
            </w:r>
          </w:p>
        </w:tc>
        <w:tc>
          <w:tcPr>
            <w:tcW w:w="1985" w:type="dxa"/>
          </w:tcPr>
          <w:p w14:paraId="51C3A0A8"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Focus group analysis of stigma in prevention</w:t>
            </w:r>
          </w:p>
        </w:tc>
      </w:tr>
      <w:tr w:rsidR="006921ED" w14:paraId="51C3A0B1" w14:textId="77777777" w:rsidTr="006921E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AA"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Youssef et al. (2018) –</w:t>
            </w:r>
          </w:p>
        </w:tc>
        <w:tc>
          <w:tcPr>
            <w:tcW w:w="1710" w:type="dxa"/>
          </w:tcPr>
          <w:p w14:paraId="51C3A0AB"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Factors associated with HIV testing in people aged â‰¥50 years</w:t>
            </w:r>
          </w:p>
        </w:tc>
        <w:tc>
          <w:tcPr>
            <w:tcW w:w="1260" w:type="dxa"/>
          </w:tcPr>
          <w:p w14:paraId="51C3A0AC"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AD"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AE"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1998-2018</w:t>
            </w:r>
          </w:p>
        </w:tc>
        <w:tc>
          <w:tcPr>
            <w:tcW w:w="1890" w:type="dxa"/>
          </w:tcPr>
          <w:p w14:paraId="51C3A0AF"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Investigating HIV testing barriers in older adults</w:t>
            </w:r>
          </w:p>
        </w:tc>
        <w:tc>
          <w:tcPr>
            <w:tcW w:w="1985" w:type="dxa"/>
          </w:tcPr>
          <w:p w14:paraId="51C3A0B0"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Interviews and themes on testing barriers</w:t>
            </w:r>
          </w:p>
        </w:tc>
      </w:tr>
      <w:tr w:rsidR="006921ED" w14:paraId="51C3A0B9" w14:textId="77777777" w:rsidTr="006921ED">
        <w:trPr>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B2"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Glendinning et al. (2019)</w:t>
            </w:r>
          </w:p>
        </w:tc>
        <w:tc>
          <w:tcPr>
            <w:tcW w:w="1710" w:type="dxa"/>
          </w:tcPr>
          <w:p w14:paraId="51C3A0B3"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Perceptual Barriers to ART Uptake in Black African and Caribbean Communities</w:t>
            </w:r>
          </w:p>
        </w:tc>
        <w:tc>
          <w:tcPr>
            <w:tcW w:w="1260" w:type="dxa"/>
          </w:tcPr>
          <w:p w14:paraId="51C3A0B4"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B5"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B6"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2004-2021</w:t>
            </w:r>
          </w:p>
        </w:tc>
        <w:tc>
          <w:tcPr>
            <w:tcW w:w="1890" w:type="dxa"/>
          </w:tcPr>
          <w:p w14:paraId="51C3A0B7"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Identifying barriers to ART in Black African/Caribbean</w:t>
            </w:r>
          </w:p>
        </w:tc>
        <w:tc>
          <w:tcPr>
            <w:tcW w:w="1985" w:type="dxa"/>
          </w:tcPr>
          <w:p w14:paraId="51C3A0B8"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Interviews on ART barriers in marginalized groups</w:t>
            </w:r>
          </w:p>
        </w:tc>
      </w:tr>
      <w:tr w:rsidR="006921ED" w14:paraId="51C3A0C1" w14:textId="77777777" w:rsidTr="006921E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BA"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Keogh et al. (2014)</w:t>
            </w:r>
          </w:p>
        </w:tc>
        <w:tc>
          <w:tcPr>
            <w:tcW w:w="1710" w:type="dxa"/>
          </w:tcPr>
          <w:p w14:paraId="51C3A0BB"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Learning from the Experiences of People with HIV Using GP Services</w:t>
            </w:r>
          </w:p>
        </w:tc>
        <w:tc>
          <w:tcPr>
            <w:tcW w:w="1260" w:type="dxa"/>
          </w:tcPr>
          <w:p w14:paraId="51C3A0BC"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BD"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BE"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2009-2021</w:t>
            </w:r>
          </w:p>
        </w:tc>
        <w:tc>
          <w:tcPr>
            <w:tcW w:w="1890" w:type="dxa"/>
          </w:tcPr>
          <w:p w14:paraId="51C3A0BF"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Evaluating GP services for PLWH</w:t>
            </w:r>
          </w:p>
        </w:tc>
        <w:tc>
          <w:tcPr>
            <w:tcW w:w="1985" w:type="dxa"/>
          </w:tcPr>
          <w:p w14:paraId="51C3A0C0"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Survey + interviews on GP services</w:t>
            </w:r>
          </w:p>
        </w:tc>
      </w:tr>
      <w:tr w:rsidR="006921ED" w14:paraId="51C3A0C9" w14:textId="77777777" w:rsidTr="006921ED">
        <w:trPr>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C2"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Rai et al. (2020)</w:t>
            </w:r>
          </w:p>
        </w:tc>
        <w:tc>
          <w:tcPr>
            <w:tcW w:w="1710" w:type="dxa"/>
          </w:tcPr>
          <w:p w14:paraId="51C3A0C3"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Experience of primary care for people with HIV</w:t>
            </w:r>
          </w:p>
        </w:tc>
        <w:tc>
          <w:tcPr>
            <w:tcW w:w="1260" w:type="dxa"/>
          </w:tcPr>
          <w:p w14:paraId="51C3A0C4"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C5"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C6"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2009-2021</w:t>
            </w:r>
          </w:p>
        </w:tc>
        <w:tc>
          <w:tcPr>
            <w:tcW w:w="1890" w:type="dxa"/>
          </w:tcPr>
          <w:p w14:paraId="51C3A0C7"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 xml:space="preserve">Identified and clear: Understanding primary care </w:t>
            </w:r>
            <w:r>
              <w:rPr>
                <w:rFonts w:ascii="Arial" w:eastAsia="Arial" w:hAnsi="Arial" w:cs="Arial"/>
                <w:sz w:val="22"/>
                <w:szCs w:val="22"/>
              </w:rPr>
              <w:lastRenderedPageBreak/>
              <w:t>experience for PLWH</w:t>
            </w:r>
          </w:p>
        </w:tc>
        <w:tc>
          <w:tcPr>
            <w:tcW w:w="1985" w:type="dxa"/>
          </w:tcPr>
          <w:p w14:paraId="51C3A0C8"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lastRenderedPageBreak/>
              <w:t xml:space="preserve">Clear and identified: Mixed-methods, descriptive </w:t>
            </w:r>
            <w:r>
              <w:rPr>
                <w:rFonts w:ascii="Arial" w:eastAsia="Arial" w:hAnsi="Arial" w:cs="Arial"/>
                <w:sz w:val="22"/>
                <w:szCs w:val="22"/>
              </w:rPr>
              <w:lastRenderedPageBreak/>
              <w:t>statistics, interviews</w:t>
            </w:r>
          </w:p>
        </w:tc>
      </w:tr>
      <w:tr w:rsidR="006921ED" w14:paraId="51C3A0D1" w14:textId="77777777" w:rsidTr="006921E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CA"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lastRenderedPageBreak/>
              <w:t>Ndirangu &amp; Evans (2008)</w:t>
            </w:r>
          </w:p>
        </w:tc>
        <w:tc>
          <w:tcPr>
            <w:tcW w:w="1710" w:type="dxa"/>
          </w:tcPr>
          <w:p w14:paraId="51C3A0CB"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African Immigrant Women Living with HIV in the UK</w:t>
            </w:r>
          </w:p>
        </w:tc>
        <w:tc>
          <w:tcPr>
            <w:tcW w:w="1260" w:type="dxa"/>
          </w:tcPr>
          <w:p w14:paraId="51C3A0CC"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CD"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CE"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2009-2021</w:t>
            </w:r>
          </w:p>
        </w:tc>
        <w:tc>
          <w:tcPr>
            <w:tcW w:w="1890" w:type="dxa"/>
          </w:tcPr>
          <w:p w14:paraId="51C3A0CF"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Exploring African immigrant women's experiences</w:t>
            </w:r>
          </w:p>
        </w:tc>
        <w:tc>
          <w:tcPr>
            <w:tcW w:w="1985" w:type="dxa"/>
          </w:tcPr>
          <w:p w14:paraId="51C3A0D0"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Interviews on immigrant women's stigma and care</w:t>
            </w:r>
          </w:p>
        </w:tc>
      </w:tr>
      <w:tr w:rsidR="006921ED" w14:paraId="51C3A0D9" w14:textId="77777777" w:rsidTr="006921ED">
        <w:trPr>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D2"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Wiginton et al. (2021)</w:t>
            </w:r>
          </w:p>
        </w:tc>
        <w:tc>
          <w:tcPr>
            <w:tcW w:w="1710" w:type="dxa"/>
          </w:tcPr>
          <w:p w14:paraId="51C3A0D3"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HIV Related Healthcare Stigma in England and Wales</w:t>
            </w:r>
          </w:p>
        </w:tc>
        <w:tc>
          <w:tcPr>
            <w:tcW w:w="1260" w:type="dxa"/>
          </w:tcPr>
          <w:p w14:paraId="51C3A0D4"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D5"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D6"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2015-2021</w:t>
            </w:r>
          </w:p>
        </w:tc>
        <w:tc>
          <w:tcPr>
            <w:tcW w:w="1890" w:type="dxa"/>
          </w:tcPr>
          <w:p w14:paraId="51C3A0D7"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Investigating stigma and unmet healthcare needs</w:t>
            </w:r>
          </w:p>
        </w:tc>
        <w:tc>
          <w:tcPr>
            <w:tcW w:w="1985" w:type="dxa"/>
          </w:tcPr>
          <w:p w14:paraId="51C3A0D8"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Quantitative analysis of stigma and unmet needs</w:t>
            </w:r>
          </w:p>
        </w:tc>
      </w:tr>
      <w:tr w:rsidR="006921ED" w14:paraId="51C3A0E1" w14:textId="77777777" w:rsidTr="006921E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DA"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Vaughan et al. (2020)</w:t>
            </w:r>
          </w:p>
        </w:tc>
        <w:tc>
          <w:tcPr>
            <w:tcW w:w="1710" w:type="dxa"/>
          </w:tcPr>
          <w:p w14:paraId="51C3A0DB"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Experiences of Stigma in Healthcare Settings in Ireland</w:t>
            </w:r>
          </w:p>
        </w:tc>
        <w:tc>
          <w:tcPr>
            <w:tcW w:w="1260" w:type="dxa"/>
          </w:tcPr>
          <w:p w14:paraId="51C3A0DC"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DD"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DE"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2009-2021</w:t>
            </w:r>
          </w:p>
        </w:tc>
        <w:tc>
          <w:tcPr>
            <w:tcW w:w="1890" w:type="dxa"/>
          </w:tcPr>
          <w:p w14:paraId="51C3A0DF"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Exploring stigma and mental health care in Ireland</w:t>
            </w:r>
          </w:p>
        </w:tc>
        <w:tc>
          <w:tcPr>
            <w:tcW w:w="1985" w:type="dxa"/>
          </w:tcPr>
          <w:p w14:paraId="51C3A0E0" w14:textId="77777777" w:rsidR="006921ED" w:rsidRDefault="00D73B41">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Thematic analysis of stigma and care in healthcare</w:t>
            </w:r>
          </w:p>
        </w:tc>
      </w:tr>
      <w:tr w:rsidR="006921ED" w14:paraId="51C3A0E9" w14:textId="77777777" w:rsidTr="006921ED">
        <w:trPr>
          <w:trHeight w:val="300"/>
          <w:jc w:val="center"/>
        </w:trPr>
        <w:tc>
          <w:tcPr>
            <w:cnfStyle w:val="001000000000" w:firstRow="0" w:lastRow="0" w:firstColumn="1" w:lastColumn="0" w:oddVBand="0" w:evenVBand="0" w:oddHBand="0" w:evenHBand="0" w:firstRowFirstColumn="0" w:firstRowLastColumn="0" w:lastRowFirstColumn="0" w:lastRowLastColumn="0"/>
            <w:tcW w:w="1255" w:type="dxa"/>
          </w:tcPr>
          <w:p w14:paraId="51C3A0E2" w14:textId="77777777" w:rsidR="006921ED" w:rsidRDefault="00D73B41">
            <w:pPr>
              <w:spacing w:line="360" w:lineRule="auto"/>
              <w:rPr>
                <w:rFonts w:ascii="Arial" w:eastAsia="Arial" w:hAnsi="Arial" w:cs="Arial"/>
                <w:sz w:val="22"/>
                <w:szCs w:val="22"/>
              </w:rPr>
            </w:pPr>
            <w:r>
              <w:rPr>
                <w:rFonts w:ascii="Arial" w:eastAsia="Arial" w:hAnsi="Arial" w:cs="Arial"/>
                <w:sz w:val="22"/>
                <w:szCs w:val="22"/>
              </w:rPr>
              <w:t>Pollard et al. (2018)</w:t>
            </w:r>
          </w:p>
        </w:tc>
        <w:tc>
          <w:tcPr>
            <w:tcW w:w="1710" w:type="dxa"/>
          </w:tcPr>
          <w:p w14:paraId="51C3A0E3"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Patients' Perspectives on HIV Services for Ageing Population</w:t>
            </w:r>
          </w:p>
        </w:tc>
        <w:tc>
          <w:tcPr>
            <w:tcW w:w="1260" w:type="dxa"/>
          </w:tcPr>
          <w:p w14:paraId="51C3A0E4"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Clearly identified</w:t>
            </w:r>
          </w:p>
        </w:tc>
        <w:tc>
          <w:tcPr>
            <w:tcW w:w="1260" w:type="dxa"/>
          </w:tcPr>
          <w:p w14:paraId="51C3A0E5"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Logically presented and clear</w:t>
            </w:r>
          </w:p>
        </w:tc>
        <w:tc>
          <w:tcPr>
            <w:tcW w:w="1350" w:type="dxa"/>
          </w:tcPr>
          <w:p w14:paraId="51C3A0E6"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Majority of research from 2010-2021</w:t>
            </w:r>
          </w:p>
        </w:tc>
        <w:tc>
          <w:tcPr>
            <w:tcW w:w="1890" w:type="dxa"/>
          </w:tcPr>
          <w:p w14:paraId="51C3A0E7"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Identified and clear: Addressing ageing HIV care challenges</w:t>
            </w:r>
          </w:p>
        </w:tc>
        <w:tc>
          <w:tcPr>
            <w:tcW w:w="1985" w:type="dxa"/>
          </w:tcPr>
          <w:p w14:paraId="51C3A0E8" w14:textId="77777777" w:rsidR="006921ED" w:rsidRDefault="00D73B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Clear and identified: Analysis of ageing HIV service needs</w:t>
            </w:r>
          </w:p>
        </w:tc>
      </w:tr>
    </w:tbl>
    <w:p w14:paraId="51C3A0EA" w14:textId="77777777" w:rsidR="006921ED" w:rsidRDefault="006921ED">
      <w:pPr>
        <w:pBdr>
          <w:top w:val="nil"/>
          <w:left w:val="nil"/>
          <w:bottom w:val="nil"/>
          <w:right w:val="nil"/>
          <w:between w:val="nil"/>
        </w:pBdr>
        <w:spacing w:before="240" w:line="360" w:lineRule="auto"/>
        <w:jc w:val="center"/>
        <w:rPr>
          <w:rFonts w:ascii="Arial" w:eastAsia="Arial" w:hAnsi="Arial" w:cs="Arial"/>
          <w:i/>
          <w:iCs/>
          <w:smallCaps/>
          <w:color w:val="000000"/>
          <w:sz w:val="22"/>
          <w:szCs w:val="22"/>
        </w:rPr>
      </w:pPr>
    </w:p>
    <w:p w14:paraId="51C3A0EB" w14:textId="77777777" w:rsidR="006921ED" w:rsidRDefault="006921ED">
      <w:pPr>
        <w:spacing w:line="360" w:lineRule="auto"/>
        <w:rPr>
          <w:rFonts w:ascii="Arial" w:eastAsia="Arial" w:hAnsi="Arial" w:cs="Arial"/>
          <w:sz w:val="22"/>
          <w:szCs w:val="22"/>
        </w:rPr>
      </w:pPr>
    </w:p>
    <w:p w14:paraId="51C3A0EC" w14:textId="77777777" w:rsidR="006921ED" w:rsidRDefault="006921ED">
      <w:pPr>
        <w:spacing w:line="360" w:lineRule="auto"/>
        <w:rPr>
          <w:rFonts w:ascii="Arial" w:eastAsia="Arial" w:hAnsi="Arial" w:cs="Arial"/>
          <w:sz w:val="22"/>
          <w:szCs w:val="22"/>
        </w:rPr>
      </w:pPr>
    </w:p>
    <w:p w14:paraId="51C3A0ED" w14:textId="77777777" w:rsidR="006921ED" w:rsidRDefault="006921ED">
      <w:pPr>
        <w:spacing w:line="360" w:lineRule="auto"/>
        <w:rPr>
          <w:rFonts w:ascii="Arial" w:eastAsia="Arial" w:hAnsi="Arial" w:cs="Arial"/>
          <w:sz w:val="22"/>
          <w:szCs w:val="22"/>
        </w:rPr>
      </w:pPr>
    </w:p>
    <w:p w14:paraId="51C3A0EE" w14:textId="77777777" w:rsidR="006921ED" w:rsidRDefault="006921ED">
      <w:pPr>
        <w:spacing w:line="360" w:lineRule="auto"/>
        <w:rPr>
          <w:rFonts w:ascii="Arial" w:eastAsia="Arial" w:hAnsi="Arial" w:cs="Arial"/>
          <w:sz w:val="22"/>
          <w:szCs w:val="22"/>
        </w:rPr>
      </w:pPr>
    </w:p>
    <w:p w14:paraId="51C3A0EF" w14:textId="77777777" w:rsidR="006921ED" w:rsidRDefault="006921ED">
      <w:pPr>
        <w:spacing w:line="360" w:lineRule="auto"/>
        <w:rPr>
          <w:rFonts w:ascii="Arial" w:eastAsia="Arial" w:hAnsi="Arial" w:cs="Arial"/>
          <w:b/>
          <w:bCs/>
          <w:sz w:val="22"/>
          <w:szCs w:val="22"/>
        </w:rPr>
      </w:pPr>
      <w:bookmarkStart w:id="90" w:name="_heading=h.3e8kkaipxicz" w:colFirst="0" w:colLast="0"/>
      <w:bookmarkEnd w:id="90"/>
    </w:p>
    <w:p w14:paraId="51C3A0F0" w14:textId="77777777" w:rsidR="006921ED" w:rsidRDefault="006921ED">
      <w:pPr>
        <w:pBdr>
          <w:top w:val="nil"/>
          <w:left w:val="nil"/>
          <w:bottom w:val="nil"/>
          <w:right w:val="nil"/>
          <w:between w:val="nil"/>
        </w:pBdr>
        <w:spacing w:before="240" w:line="360" w:lineRule="auto"/>
        <w:rPr>
          <w:rFonts w:ascii="Arial" w:eastAsia="Arial" w:hAnsi="Arial" w:cs="Arial"/>
          <w:b/>
          <w:bCs/>
          <w:smallCaps/>
          <w:color w:val="000000"/>
          <w:sz w:val="22"/>
          <w:szCs w:val="22"/>
        </w:rPr>
      </w:pPr>
      <w:bookmarkStart w:id="91" w:name="_heading=h.vw1tbdm324l7" w:colFirst="0" w:colLast="0"/>
      <w:bookmarkEnd w:id="91"/>
    </w:p>
    <w:p w14:paraId="51C3A0F1" w14:textId="77777777" w:rsidR="006921ED" w:rsidRDefault="00D73B41">
      <w:pPr>
        <w:pBdr>
          <w:top w:val="nil"/>
          <w:left w:val="nil"/>
          <w:bottom w:val="nil"/>
          <w:right w:val="nil"/>
          <w:between w:val="nil"/>
        </w:pBdr>
        <w:spacing w:before="240" w:line="360" w:lineRule="auto"/>
        <w:rPr>
          <w:rFonts w:ascii="Arial" w:eastAsia="Arial" w:hAnsi="Arial" w:cs="Arial"/>
          <w:i/>
          <w:iCs/>
          <w:smallCaps/>
          <w:color w:val="000000"/>
          <w:sz w:val="22"/>
          <w:szCs w:val="22"/>
        </w:rPr>
      </w:pPr>
      <w:r>
        <w:rPr>
          <w:rFonts w:ascii="Arial" w:eastAsia="Arial" w:hAnsi="Arial" w:cs="Arial"/>
          <w:b/>
          <w:bCs/>
          <w:smallCaps/>
          <w:color w:val="000000"/>
          <w:sz w:val="22"/>
          <w:szCs w:val="22"/>
        </w:rPr>
        <w:t>Table 5 Characteristics of Included Studies</w:t>
      </w:r>
    </w:p>
    <w:tbl>
      <w:tblPr>
        <w:tblStyle w:val="a3"/>
        <w:tblW w:w="1052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00"/>
        <w:gridCol w:w="1616"/>
        <w:gridCol w:w="1286"/>
        <w:gridCol w:w="1376"/>
        <w:gridCol w:w="2430"/>
        <w:gridCol w:w="2317"/>
      </w:tblGrid>
      <w:tr w:rsidR="006921ED" w14:paraId="51C3A0F8" w14:textId="77777777" w:rsidTr="006921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0F2" w14:textId="77777777" w:rsidR="006921ED" w:rsidRDefault="00D73B41">
            <w:pPr>
              <w:spacing w:line="360" w:lineRule="auto"/>
              <w:jc w:val="center"/>
              <w:rPr>
                <w:rFonts w:ascii="Arial" w:eastAsia="Arial" w:hAnsi="Arial" w:cs="Arial"/>
                <w:sz w:val="22"/>
                <w:szCs w:val="22"/>
              </w:rPr>
            </w:pPr>
            <w:r>
              <w:rPr>
                <w:rFonts w:ascii="Arial" w:eastAsia="Arial" w:hAnsi="Arial" w:cs="Arial"/>
                <w:sz w:val="22"/>
                <w:szCs w:val="22"/>
              </w:rPr>
              <w:t>Author(s)</w:t>
            </w:r>
          </w:p>
        </w:tc>
        <w:tc>
          <w:tcPr>
            <w:tcW w:w="1616" w:type="dxa"/>
          </w:tcPr>
          <w:p w14:paraId="51C3A0F3"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Country / Setting</w:t>
            </w:r>
          </w:p>
        </w:tc>
        <w:tc>
          <w:tcPr>
            <w:tcW w:w="1286" w:type="dxa"/>
          </w:tcPr>
          <w:p w14:paraId="51C3A0F4"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Study Design</w:t>
            </w:r>
          </w:p>
        </w:tc>
        <w:tc>
          <w:tcPr>
            <w:tcW w:w="1376" w:type="dxa"/>
          </w:tcPr>
          <w:p w14:paraId="51C3A0F5"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Sample Size</w:t>
            </w:r>
          </w:p>
        </w:tc>
        <w:tc>
          <w:tcPr>
            <w:tcW w:w="2430" w:type="dxa"/>
          </w:tcPr>
          <w:p w14:paraId="51C3A0F6"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Participant Group</w:t>
            </w:r>
          </w:p>
        </w:tc>
        <w:tc>
          <w:tcPr>
            <w:tcW w:w="2317" w:type="dxa"/>
          </w:tcPr>
          <w:p w14:paraId="51C3A0F7" w14:textId="77777777" w:rsidR="006921ED" w:rsidRDefault="00D73B4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Data Collection Method</w:t>
            </w:r>
          </w:p>
        </w:tc>
      </w:tr>
      <w:tr w:rsidR="006921ED" w14:paraId="51C3A0FF"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0F9"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Bruton et al.</w:t>
            </w:r>
          </w:p>
        </w:tc>
        <w:tc>
          <w:tcPr>
            <w:tcW w:w="1616" w:type="dxa"/>
          </w:tcPr>
          <w:p w14:paraId="51C3A0FA"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London, UK</w:t>
            </w:r>
          </w:p>
        </w:tc>
        <w:tc>
          <w:tcPr>
            <w:tcW w:w="1286" w:type="dxa"/>
          </w:tcPr>
          <w:p w14:paraId="51C3A0FB"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0FC"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52</w:t>
            </w:r>
          </w:p>
        </w:tc>
        <w:tc>
          <w:tcPr>
            <w:tcW w:w="2430" w:type="dxa"/>
          </w:tcPr>
          <w:p w14:paraId="51C3A0FD"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People living with HIV</w:t>
            </w:r>
          </w:p>
        </w:tc>
        <w:tc>
          <w:tcPr>
            <w:tcW w:w="2317" w:type="dxa"/>
          </w:tcPr>
          <w:p w14:paraId="51C3A0FE"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Semi-structured interviews</w:t>
            </w:r>
          </w:p>
        </w:tc>
      </w:tr>
      <w:tr w:rsidR="006921ED" w14:paraId="51C3A106"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00"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Hedge et al.</w:t>
            </w:r>
          </w:p>
        </w:tc>
        <w:tc>
          <w:tcPr>
            <w:tcW w:w="1616" w:type="dxa"/>
          </w:tcPr>
          <w:p w14:paraId="51C3A101"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UK</w:t>
            </w:r>
          </w:p>
        </w:tc>
        <w:tc>
          <w:tcPr>
            <w:tcW w:w="1286" w:type="dxa"/>
          </w:tcPr>
          <w:p w14:paraId="51C3A102"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03"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53</w:t>
            </w:r>
          </w:p>
        </w:tc>
        <w:tc>
          <w:tcPr>
            <w:tcW w:w="2430" w:type="dxa"/>
          </w:tcPr>
          <w:p w14:paraId="51C3A104"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PLWH, care workers, activists</w:t>
            </w:r>
          </w:p>
        </w:tc>
        <w:tc>
          <w:tcPr>
            <w:tcW w:w="2317" w:type="dxa"/>
          </w:tcPr>
          <w:p w14:paraId="51C3A105"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Interviews</w:t>
            </w:r>
          </w:p>
        </w:tc>
      </w:tr>
      <w:tr w:rsidR="006921ED" w14:paraId="51C3A10D"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07" w14:textId="77777777" w:rsidR="006921ED" w:rsidRDefault="00D73B41">
            <w:pPr>
              <w:spacing w:line="360" w:lineRule="auto"/>
              <w:jc w:val="both"/>
              <w:rPr>
                <w:rFonts w:ascii="Arial" w:eastAsia="Arial" w:hAnsi="Arial" w:cs="Arial"/>
                <w:sz w:val="22"/>
                <w:szCs w:val="22"/>
              </w:rPr>
            </w:pPr>
            <w:proofErr w:type="spellStart"/>
            <w:r>
              <w:rPr>
                <w:rFonts w:ascii="Arial" w:eastAsia="Arial" w:hAnsi="Arial" w:cs="Arial"/>
                <w:sz w:val="22"/>
                <w:szCs w:val="22"/>
              </w:rPr>
              <w:t>Kasadha</w:t>
            </w:r>
            <w:proofErr w:type="spellEnd"/>
            <w:r>
              <w:rPr>
                <w:rFonts w:ascii="Arial" w:eastAsia="Arial" w:hAnsi="Arial" w:cs="Arial"/>
                <w:sz w:val="22"/>
                <w:szCs w:val="22"/>
              </w:rPr>
              <w:t xml:space="preserve"> et al.</w:t>
            </w:r>
          </w:p>
        </w:tc>
        <w:tc>
          <w:tcPr>
            <w:tcW w:w="1616" w:type="dxa"/>
          </w:tcPr>
          <w:p w14:paraId="51C3A108"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UK</w:t>
            </w:r>
          </w:p>
        </w:tc>
        <w:tc>
          <w:tcPr>
            <w:tcW w:w="1286" w:type="dxa"/>
          </w:tcPr>
          <w:p w14:paraId="51C3A109"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0A"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36</w:t>
            </w:r>
          </w:p>
        </w:tc>
        <w:tc>
          <w:tcPr>
            <w:tcW w:w="2430" w:type="dxa"/>
          </w:tcPr>
          <w:p w14:paraId="51C3A10B"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Pregnant or postpartum women with HIV</w:t>
            </w:r>
          </w:p>
        </w:tc>
        <w:tc>
          <w:tcPr>
            <w:tcW w:w="2317" w:type="dxa"/>
          </w:tcPr>
          <w:p w14:paraId="51C3A10C"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Semi-structured interviews</w:t>
            </w:r>
          </w:p>
        </w:tc>
      </w:tr>
      <w:tr w:rsidR="006921ED" w14:paraId="51C3A114"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0E"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Jones et al.</w:t>
            </w:r>
          </w:p>
        </w:tc>
        <w:tc>
          <w:tcPr>
            <w:tcW w:w="1616" w:type="dxa"/>
          </w:tcPr>
          <w:p w14:paraId="51C3A10F"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England, UK</w:t>
            </w:r>
          </w:p>
        </w:tc>
        <w:tc>
          <w:tcPr>
            <w:tcW w:w="1286" w:type="dxa"/>
          </w:tcPr>
          <w:p w14:paraId="51C3A110"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11"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23</w:t>
            </w:r>
          </w:p>
        </w:tc>
        <w:tc>
          <w:tcPr>
            <w:tcW w:w="2430" w:type="dxa"/>
          </w:tcPr>
          <w:p w14:paraId="51C3A112"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African and Caribbean women</w:t>
            </w:r>
          </w:p>
        </w:tc>
        <w:tc>
          <w:tcPr>
            <w:tcW w:w="2317" w:type="dxa"/>
          </w:tcPr>
          <w:p w14:paraId="51C3A113"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Focus groups and interviews</w:t>
            </w:r>
          </w:p>
        </w:tc>
      </w:tr>
      <w:tr w:rsidR="006921ED" w14:paraId="51C3A11B"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15"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Youssef et al.</w:t>
            </w:r>
          </w:p>
        </w:tc>
        <w:tc>
          <w:tcPr>
            <w:tcW w:w="1616" w:type="dxa"/>
          </w:tcPr>
          <w:p w14:paraId="51C3A116"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UK</w:t>
            </w:r>
          </w:p>
        </w:tc>
        <w:tc>
          <w:tcPr>
            <w:tcW w:w="1286" w:type="dxa"/>
          </w:tcPr>
          <w:p w14:paraId="51C3A117"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18"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NR</w:t>
            </w:r>
          </w:p>
        </w:tc>
        <w:tc>
          <w:tcPr>
            <w:tcW w:w="2430" w:type="dxa"/>
          </w:tcPr>
          <w:p w14:paraId="51C3A119"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sdt>
              <w:sdtPr>
                <w:tag w:val="goog_rdk_2"/>
                <w:id w:val="-1349294910"/>
              </w:sdtPr>
              <w:sdtEndPr/>
              <w:sdtContent>
                <w:r>
                  <w:rPr>
                    <w:rFonts w:ascii="Arial Unicode MS" w:eastAsia="Arial Unicode MS" w:hAnsi="Arial Unicode MS" w:cs="Arial Unicode MS"/>
                    <w:sz w:val="22"/>
                    <w:szCs w:val="22"/>
                  </w:rPr>
                  <w:t>Adults aged ≥50 years</w:t>
                </w:r>
              </w:sdtContent>
            </w:sdt>
          </w:p>
        </w:tc>
        <w:tc>
          <w:tcPr>
            <w:tcW w:w="2317" w:type="dxa"/>
          </w:tcPr>
          <w:p w14:paraId="51C3A11A"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Interviews</w:t>
            </w:r>
          </w:p>
        </w:tc>
      </w:tr>
      <w:tr w:rsidR="006921ED" w14:paraId="51C3A122"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1C"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Glendinning et al.</w:t>
            </w:r>
          </w:p>
        </w:tc>
        <w:tc>
          <w:tcPr>
            <w:tcW w:w="1616" w:type="dxa"/>
          </w:tcPr>
          <w:p w14:paraId="51C3A11D"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UK</w:t>
            </w:r>
          </w:p>
        </w:tc>
        <w:tc>
          <w:tcPr>
            <w:tcW w:w="1286" w:type="dxa"/>
          </w:tcPr>
          <w:p w14:paraId="51C3A11E"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1F"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52</w:t>
            </w:r>
          </w:p>
        </w:tc>
        <w:tc>
          <w:tcPr>
            <w:tcW w:w="2430" w:type="dxa"/>
          </w:tcPr>
          <w:p w14:paraId="51C3A120"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Black African and Caribbean PLWH</w:t>
            </w:r>
          </w:p>
        </w:tc>
        <w:tc>
          <w:tcPr>
            <w:tcW w:w="2317" w:type="dxa"/>
          </w:tcPr>
          <w:p w14:paraId="51C3A121"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Interviews</w:t>
            </w:r>
          </w:p>
        </w:tc>
      </w:tr>
      <w:tr w:rsidR="006921ED" w14:paraId="51C3A129"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23"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Keogh et al.</w:t>
            </w:r>
          </w:p>
        </w:tc>
        <w:tc>
          <w:tcPr>
            <w:tcW w:w="1616" w:type="dxa"/>
          </w:tcPr>
          <w:p w14:paraId="51C3A124"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London, UK</w:t>
            </w:r>
          </w:p>
        </w:tc>
        <w:tc>
          <w:tcPr>
            <w:tcW w:w="1286" w:type="dxa"/>
          </w:tcPr>
          <w:p w14:paraId="51C3A125"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26"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NR</w:t>
            </w:r>
          </w:p>
        </w:tc>
        <w:tc>
          <w:tcPr>
            <w:tcW w:w="2430" w:type="dxa"/>
          </w:tcPr>
          <w:p w14:paraId="51C3A127"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PLWH using GP services</w:t>
            </w:r>
          </w:p>
        </w:tc>
        <w:tc>
          <w:tcPr>
            <w:tcW w:w="2317" w:type="dxa"/>
          </w:tcPr>
          <w:p w14:paraId="51C3A128"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Focus groups</w:t>
            </w:r>
          </w:p>
        </w:tc>
      </w:tr>
      <w:tr w:rsidR="006921ED" w14:paraId="51C3A130"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2A"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Rai et al.</w:t>
            </w:r>
          </w:p>
        </w:tc>
        <w:tc>
          <w:tcPr>
            <w:tcW w:w="1616" w:type="dxa"/>
          </w:tcPr>
          <w:p w14:paraId="51C3A12B"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UK</w:t>
            </w:r>
          </w:p>
        </w:tc>
        <w:tc>
          <w:tcPr>
            <w:tcW w:w="1286" w:type="dxa"/>
          </w:tcPr>
          <w:p w14:paraId="51C3A12C"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Mixed methods</w:t>
            </w:r>
          </w:p>
        </w:tc>
        <w:tc>
          <w:tcPr>
            <w:tcW w:w="1376" w:type="dxa"/>
          </w:tcPr>
          <w:p w14:paraId="51C3A12D"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52 (interviews)</w:t>
            </w:r>
          </w:p>
        </w:tc>
        <w:tc>
          <w:tcPr>
            <w:tcW w:w="2430" w:type="dxa"/>
          </w:tcPr>
          <w:p w14:paraId="51C3A12E"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PLWH accessing primary care</w:t>
            </w:r>
          </w:p>
        </w:tc>
        <w:tc>
          <w:tcPr>
            <w:tcW w:w="2317" w:type="dxa"/>
          </w:tcPr>
          <w:p w14:paraId="51C3A12F"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Survey and interviews</w:t>
            </w:r>
          </w:p>
        </w:tc>
      </w:tr>
      <w:tr w:rsidR="006921ED" w14:paraId="51C3A137"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31"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Ndirangu &amp; Evans</w:t>
            </w:r>
          </w:p>
        </w:tc>
        <w:tc>
          <w:tcPr>
            <w:tcW w:w="1616" w:type="dxa"/>
          </w:tcPr>
          <w:p w14:paraId="51C3A132"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Nottingham, UK</w:t>
            </w:r>
          </w:p>
        </w:tc>
        <w:tc>
          <w:tcPr>
            <w:tcW w:w="1286" w:type="dxa"/>
          </w:tcPr>
          <w:p w14:paraId="51C3A133"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34"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8</w:t>
            </w:r>
          </w:p>
        </w:tc>
        <w:tc>
          <w:tcPr>
            <w:tcW w:w="2430" w:type="dxa"/>
          </w:tcPr>
          <w:p w14:paraId="51C3A135"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African immigrant women with HIV</w:t>
            </w:r>
          </w:p>
        </w:tc>
        <w:tc>
          <w:tcPr>
            <w:tcW w:w="2317" w:type="dxa"/>
          </w:tcPr>
          <w:p w14:paraId="51C3A136"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Interviews</w:t>
            </w:r>
          </w:p>
        </w:tc>
      </w:tr>
      <w:tr w:rsidR="006921ED" w14:paraId="51C3A13E"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38"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Wiginton et al.</w:t>
            </w:r>
          </w:p>
        </w:tc>
        <w:tc>
          <w:tcPr>
            <w:tcW w:w="1616" w:type="dxa"/>
          </w:tcPr>
          <w:p w14:paraId="51C3A139"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England &amp; Wales</w:t>
            </w:r>
          </w:p>
        </w:tc>
        <w:tc>
          <w:tcPr>
            <w:tcW w:w="1286" w:type="dxa"/>
          </w:tcPr>
          <w:p w14:paraId="51C3A13A"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Mixed methods</w:t>
            </w:r>
          </w:p>
        </w:tc>
        <w:tc>
          <w:tcPr>
            <w:tcW w:w="1376" w:type="dxa"/>
          </w:tcPr>
          <w:p w14:paraId="51C3A13B"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3,400+</w:t>
            </w:r>
          </w:p>
        </w:tc>
        <w:tc>
          <w:tcPr>
            <w:tcW w:w="2430" w:type="dxa"/>
          </w:tcPr>
          <w:p w14:paraId="51C3A13C"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People living with HIV</w:t>
            </w:r>
          </w:p>
        </w:tc>
        <w:tc>
          <w:tcPr>
            <w:tcW w:w="2317" w:type="dxa"/>
          </w:tcPr>
          <w:p w14:paraId="51C3A13D"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National survey and qualitative comments</w:t>
            </w:r>
          </w:p>
        </w:tc>
      </w:tr>
      <w:tr w:rsidR="006921ED" w14:paraId="51C3A145" w14:textId="77777777" w:rsidTr="006921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3F"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Vaughan et al.</w:t>
            </w:r>
          </w:p>
        </w:tc>
        <w:tc>
          <w:tcPr>
            <w:tcW w:w="1616" w:type="dxa"/>
          </w:tcPr>
          <w:p w14:paraId="51C3A140"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Ireland</w:t>
            </w:r>
          </w:p>
        </w:tc>
        <w:tc>
          <w:tcPr>
            <w:tcW w:w="1286" w:type="dxa"/>
          </w:tcPr>
          <w:p w14:paraId="51C3A141"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42"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14</w:t>
            </w:r>
          </w:p>
        </w:tc>
        <w:tc>
          <w:tcPr>
            <w:tcW w:w="2430" w:type="dxa"/>
          </w:tcPr>
          <w:p w14:paraId="51C3A143"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Adults living with HIV</w:t>
            </w:r>
          </w:p>
        </w:tc>
        <w:tc>
          <w:tcPr>
            <w:tcW w:w="2317" w:type="dxa"/>
          </w:tcPr>
          <w:p w14:paraId="51C3A144" w14:textId="77777777" w:rsidR="006921ED" w:rsidRDefault="00D73B4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Semi-structured interviews</w:t>
            </w:r>
          </w:p>
        </w:tc>
      </w:tr>
      <w:tr w:rsidR="006921ED" w14:paraId="51C3A14C" w14:textId="77777777" w:rsidTr="006921ED">
        <w:trPr>
          <w:jc w:val="center"/>
        </w:trPr>
        <w:tc>
          <w:tcPr>
            <w:cnfStyle w:val="001000000000" w:firstRow="0" w:lastRow="0" w:firstColumn="1" w:lastColumn="0" w:oddVBand="0" w:evenVBand="0" w:oddHBand="0" w:evenHBand="0" w:firstRowFirstColumn="0" w:firstRowLastColumn="0" w:lastRowFirstColumn="0" w:lastRowLastColumn="0"/>
            <w:tcW w:w="1500" w:type="dxa"/>
          </w:tcPr>
          <w:p w14:paraId="51C3A146" w14:textId="77777777" w:rsidR="006921ED" w:rsidRDefault="00D73B41">
            <w:pPr>
              <w:spacing w:line="360" w:lineRule="auto"/>
              <w:jc w:val="both"/>
              <w:rPr>
                <w:rFonts w:ascii="Arial" w:eastAsia="Arial" w:hAnsi="Arial" w:cs="Arial"/>
                <w:sz w:val="22"/>
                <w:szCs w:val="22"/>
              </w:rPr>
            </w:pPr>
            <w:r>
              <w:rPr>
                <w:rFonts w:ascii="Arial" w:eastAsia="Arial" w:hAnsi="Arial" w:cs="Arial"/>
                <w:sz w:val="22"/>
                <w:szCs w:val="22"/>
              </w:rPr>
              <w:t>Pollard et al.</w:t>
            </w:r>
          </w:p>
        </w:tc>
        <w:tc>
          <w:tcPr>
            <w:tcW w:w="1616" w:type="dxa"/>
          </w:tcPr>
          <w:p w14:paraId="51C3A147"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South-East England, UK</w:t>
            </w:r>
          </w:p>
        </w:tc>
        <w:tc>
          <w:tcPr>
            <w:tcW w:w="1286" w:type="dxa"/>
          </w:tcPr>
          <w:p w14:paraId="51C3A148"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Qualitative</w:t>
            </w:r>
          </w:p>
        </w:tc>
        <w:tc>
          <w:tcPr>
            <w:tcW w:w="1376" w:type="dxa"/>
          </w:tcPr>
          <w:p w14:paraId="51C3A149"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74</w:t>
            </w:r>
          </w:p>
        </w:tc>
        <w:tc>
          <w:tcPr>
            <w:tcW w:w="2430" w:type="dxa"/>
          </w:tcPr>
          <w:p w14:paraId="51C3A14A"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Ageing people living with HIV</w:t>
            </w:r>
          </w:p>
        </w:tc>
        <w:tc>
          <w:tcPr>
            <w:tcW w:w="2317" w:type="dxa"/>
          </w:tcPr>
          <w:p w14:paraId="51C3A14B" w14:textId="77777777" w:rsidR="006921ED" w:rsidRDefault="00D73B4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Pr>
                <w:rFonts w:ascii="Arial" w:eastAsia="Arial" w:hAnsi="Arial" w:cs="Arial"/>
                <w:sz w:val="22"/>
                <w:szCs w:val="22"/>
              </w:rPr>
              <w:t>Focus groups</w:t>
            </w:r>
          </w:p>
        </w:tc>
      </w:tr>
    </w:tbl>
    <w:p w14:paraId="51C3A14D" w14:textId="77777777" w:rsidR="006921ED" w:rsidRDefault="006921ED">
      <w:pPr>
        <w:pBdr>
          <w:top w:val="nil"/>
          <w:left w:val="nil"/>
          <w:bottom w:val="nil"/>
          <w:right w:val="nil"/>
          <w:between w:val="nil"/>
        </w:pBdr>
        <w:spacing w:before="240" w:line="360" w:lineRule="auto"/>
        <w:jc w:val="center"/>
        <w:rPr>
          <w:i/>
          <w:iCs/>
          <w:smallCaps/>
          <w:color w:val="000000"/>
          <w:sz w:val="22"/>
          <w:szCs w:val="22"/>
        </w:rPr>
      </w:pPr>
    </w:p>
    <w:sectPr w:rsidR="006921ED">
      <w:footerReference w:type="default" r:id="rId9"/>
      <w:pgSz w:w="11906" w:h="16838"/>
      <w:pgMar w:top="1417" w:right="1417" w:bottom="113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E0270" w14:textId="77777777" w:rsidR="00D73B41" w:rsidRDefault="00D73B41">
      <w:pPr>
        <w:spacing w:after="0" w:line="240" w:lineRule="auto"/>
      </w:pPr>
      <w:r>
        <w:separator/>
      </w:r>
    </w:p>
  </w:endnote>
  <w:endnote w:type="continuationSeparator" w:id="0">
    <w:p w14:paraId="586777BC" w14:textId="77777777" w:rsidR="00D73B41" w:rsidRDefault="00D73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6B0A2D64-6F9B-4394-A27E-24E37C3FD88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DAA2BEF5-CFDA-432E-91D4-5BAD2DF9866C}"/>
    <w:embedBold r:id="rId3" w:fontKey="{8AA9DC15-9369-4D21-B00D-0C74B2D0CED0}"/>
    <w:embedItalic r:id="rId4" w:fontKey="{EC63BAA3-5A5C-4E47-A59B-D8715846045A}"/>
  </w:font>
  <w:font w:name="Cambria">
    <w:panose1 w:val="02040503050406030204"/>
    <w:charset w:val="00"/>
    <w:family w:val="roman"/>
    <w:pitch w:val="variable"/>
    <w:sig w:usb0="E00006FF" w:usb1="420024FF" w:usb2="02000000" w:usb3="00000000" w:csb0="0000019F" w:csb1="00000000"/>
    <w:embedRegular r:id="rId5" w:fontKey="{1DFF8EE2-39DF-4388-8B54-73CF8A9ACFED}"/>
    <w:embedItalic r:id="rId6" w:fontKey="{A9A6567C-496A-4044-B743-A576FF66BF9C}"/>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7" w:subsetted="1" w:fontKey="{E321DFF6-E7E0-4337-A38B-493DDB05E1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3A17A" w14:textId="031EFBD2" w:rsidR="006921ED" w:rsidRDefault="00D73B41">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273DDA">
      <w:rPr>
        <w:noProof/>
        <w:color w:val="000000"/>
      </w:rPr>
      <w:t>1</w:t>
    </w:r>
    <w:r>
      <w:rPr>
        <w:color w:val="000000"/>
      </w:rPr>
      <w:fldChar w:fldCharType="end"/>
    </w:r>
  </w:p>
  <w:p w14:paraId="51C3A17B" w14:textId="77777777" w:rsidR="006921ED" w:rsidRDefault="006921E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61D03" w14:textId="77777777" w:rsidR="00D73B41" w:rsidRDefault="00D73B41">
      <w:pPr>
        <w:spacing w:after="0" w:line="240" w:lineRule="auto"/>
      </w:pPr>
      <w:r>
        <w:separator/>
      </w:r>
    </w:p>
  </w:footnote>
  <w:footnote w:type="continuationSeparator" w:id="0">
    <w:p w14:paraId="7DB9E06C" w14:textId="77777777" w:rsidR="00D73B41" w:rsidRDefault="00D73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40623"/>
    <w:multiLevelType w:val="multilevel"/>
    <w:tmpl w:val="BF2A602A"/>
    <w:lvl w:ilvl="0">
      <w:start w:val="1"/>
      <w:numFmt w:val="decimal"/>
      <w:lvlText w:val=""/>
      <w:lvlJc w:val="left"/>
      <w:pPr>
        <w:ind w:left="720" w:hanging="360"/>
      </w:pPr>
    </w:lvl>
    <w:lvl w:ilvl="1">
      <w:start w:val="1"/>
      <w:numFmt w:val="decimal"/>
      <w:lvlText w:val="2.%2."/>
      <w:lvlJc w:val="left"/>
      <w:pPr>
        <w:ind w:left="720" w:hanging="360"/>
      </w:pPr>
      <w:rPr>
        <w:rFonts w:hint="default"/>
      </w:rPr>
    </w:lvl>
    <w:lvl w:ilvl="2">
      <w:start w:val="1"/>
      <w:numFmt w:val="decimal"/>
      <w:lvlText w:val="2.2.%3."/>
      <w:lvlJc w:val="left"/>
      <w:pPr>
        <w:ind w:left="720" w:hanging="360"/>
      </w:pPr>
      <w:rPr>
        <w:rFonts w:hint="default"/>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079D452B"/>
    <w:multiLevelType w:val="multilevel"/>
    <w:tmpl w:val="8A22A93E"/>
    <w:lvl w:ilvl="0">
      <w:start w:val="5"/>
      <w:numFmt w:val="decimal"/>
      <w:lvlText w:val=""/>
      <w:lvlJc w:val="left"/>
      <w:pPr>
        <w:ind w:left="580" w:hanging="360"/>
      </w:pPr>
    </w:lvl>
    <w:lvl w:ilvl="1">
      <w:start w:val="1"/>
      <w:numFmt w:val="decimal"/>
      <w:lvlText w:val="7.%2."/>
      <w:lvlJc w:val="left"/>
      <w:pPr>
        <w:ind w:left="580" w:hanging="360"/>
      </w:pPr>
      <w:rPr>
        <w:rFonts w:hint="default"/>
      </w:rPr>
    </w:lvl>
    <w:lvl w:ilvl="2">
      <w:start w:val="1"/>
      <w:numFmt w:val="decimal"/>
      <w:lvlText w:val="%1.%2.%3."/>
      <w:lvlJc w:val="left"/>
      <w:pPr>
        <w:ind w:left="940" w:hanging="720"/>
      </w:pPr>
    </w:lvl>
    <w:lvl w:ilvl="3">
      <w:start w:val="1"/>
      <w:numFmt w:val="decimal"/>
      <w:lvlText w:val="%1.%2.%3.%4."/>
      <w:lvlJc w:val="left"/>
      <w:pPr>
        <w:ind w:left="1300" w:hanging="1080"/>
      </w:pPr>
    </w:lvl>
    <w:lvl w:ilvl="4">
      <w:start w:val="1"/>
      <w:numFmt w:val="decimal"/>
      <w:lvlText w:val="%1.%2.%3.%4.%5."/>
      <w:lvlJc w:val="left"/>
      <w:pPr>
        <w:ind w:left="1300" w:hanging="1080"/>
      </w:pPr>
    </w:lvl>
    <w:lvl w:ilvl="5">
      <w:start w:val="1"/>
      <w:numFmt w:val="decimal"/>
      <w:lvlText w:val="%1.%2.%3.%4.%5.%6."/>
      <w:lvlJc w:val="left"/>
      <w:pPr>
        <w:ind w:left="1660" w:hanging="1440"/>
      </w:pPr>
    </w:lvl>
    <w:lvl w:ilvl="6">
      <w:start w:val="1"/>
      <w:numFmt w:val="decimal"/>
      <w:lvlText w:val="%1.%2.%3.%4.%5.%6.%7."/>
      <w:lvlJc w:val="left"/>
      <w:pPr>
        <w:ind w:left="2020" w:hanging="1800"/>
      </w:pPr>
    </w:lvl>
    <w:lvl w:ilvl="7">
      <w:start w:val="1"/>
      <w:numFmt w:val="decimal"/>
      <w:lvlText w:val="%1.%2.%3.%4.%5.%6.%7.%8."/>
      <w:lvlJc w:val="left"/>
      <w:pPr>
        <w:ind w:left="2020" w:hanging="1800"/>
      </w:pPr>
    </w:lvl>
    <w:lvl w:ilvl="8">
      <w:start w:val="1"/>
      <w:numFmt w:val="decimal"/>
      <w:lvlText w:val="%1.%2.%3.%4.%5.%6.%7.%8.%9."/>
      <w:lvlJc w:val="left"/>
      <w:pPr>
        <w:ind w:left="2380" w:hanging="2160"/>
      </w:pPr>
    </w:lvl>
  </w:abstractNum>
  <w:abstractNum w:abstractNumId="2" w15:restartNumberingAfterBreak="0">
    <w:nsid w:val="0B1C600B"/>
    <w:multiLevelType w:val="multilevel"/>
    <w:tmpl w:val="7E4EF404"/>
    <w:lvl w:ilvl="0">
      <w:start w:val="1"/>
      <w:numFmt w:val="decimal"/>
      <w:lvlText w:val="%1."/>
      <w:lvlJc w:val="left"/>
      <w:pPr>
        <w:ind w:left="720" w:hanging="360"/>
      </w:pPr>
    </w:lvl>
    <w:lvl w:ilvl="1">
      <w:start w:val="1"/>
      <w:numFmt w:val="decimal"/>
      <w:lvlText w:val="%1.%2."/>
      <w:lvlJc w:val="left"/>
      <w:pPr>
        <w:ind w:left="1080" w:hanging="720"/>
      </w:pPr>
      <w:rPr>
        <w:b/>
        <w:bCs/>
      </w:rPr>
    </w:lvl>
    <w:lvl w:ilvl="2">
      <w:start w:val="1"/>
      <w:numFmt w:val="decimal"/>
      <w:lvlText w:val="%1.%2.%3."/>
      <w:lvlJc w:val="left"/>
      <w:pPr>
        <w:ind w:left="1080" w:hanging="720"/>
      </w:pPr>
      <w:rPr>
        <w:b/>
        <w:bCs/>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2BBC059B"/>
    <w:multiLevelType w:val="multilevel"/>
    <w:tmpl w:val="572A7F1E"/>
    <w:lvl w:ilvl="0">
      <w:start w:val="5"/>
      <w:numFmt w:val="decimal"/>
      <w:lvlText w:val=""/>
      <w:lvlJc w:val="left"/>
      <w:pPr>
        <w:ind w:left="580" w:hanging="360"/>
      </w:pPr>
    </w:lvl>
    <w:lvl w:ilvl="1">
      <w:start w:val="1"/>
      <w:numFmt w:val="decimal"/>
      <w:lvlText w:val="6.%2."/>
      <w:lvlJc w:val="left"/>
      <w:pPr>
        <w:ind w:left="580" w:hanging="360"/>
      </w:pPr>
      <w:rPr>
        <w:rFonts w:hint="default"/>
      </w:rPr>
    </w:lvl>
    <w:lvl w:ilvl="2">
      <w:start w:val="1"/>
      <w:numFmt w:val="decimal"/>
      <w:lvlText w:val="6.2.%3."/>
      <w:lvlJc w:val="left"/>
      <w:pPr>
        <w:ind w:left="580" w:hanging="360"/>
      </w:pPr>
      <w:rPr>
        <w:rFonts w:hint="default"/>
      </w:rPr>
    </w:lvl>
    <w:lvl w:ilvl="3">
      <w:start w:val="1"/>
      <w:numFmt w:val="decimal"/>
      <w:lvlText w:val="%1.%2.%3.%4."/>
      <w:lvlJc w:val="left"/>
      <w:pPr>
        <w:ind w:left="1300" w:hanging="1080"/>
      </w:pPr>
    </w:lvl>
    <w:lvl w:ilvl="4">
      <w:start w:val="1"/>
      <w:numFmt w:val="decimal"/>
      <w:lvlText w:val="%1.%2.%3.%4.%5."/>
      <w:lvlJc w:val="left"/>
      <w:pPr>
        <w:ind w:left="1300" w:hanging="1080"/>
      </w:pPr>
    </w:lvl>
    <w:lvl w:ilvl="5">
      <w:start w:val="1"/>
      <w:numFmt w:val="decimal"/>
      <w:lvlText w:val="%1.%2.%3.%4.%5.%6."/>
      <w:lvlJc w:val="left"/>
      <w:pPr>
        <w:ind w:left="1660" w:hanging="1440"/>
      </w:pPr>
    </w:lvl>
    <w:lvl w:ilvl="6">
      <w:start w:val="1"/>
      <w:numFmt w:val="decimal"/>
      <w:lvlText w:val="%1.%2.%3.%4.%5.%6.%7."/>
      <w:lvlJc w:val="left"/>
      <w:pPr>
        <w:ind w:left="2020" w:hanging="1800"/>
      </w:pPr>
    </w:lvl>
    <w:lvl w:ilvl="7">
      <w:start w:val="1"/>
      <w:numFmt w:val="decimal"/>
      <w:lvlText w:val="%1.%2.%3.%4.%5.%6.%7.%8."/>
      <w:lvlJc w:val="left"/>
      <w:pPr>
        <w:ind w:left="2020" w:hanging="1800"/>
      </w:pPr>
    </w:lvl>
    <w:lvl w:ilvl="8">
      <w:start w:val="1"/>
      <w:numFmt w:val="decimal"/>
      <w:lvlText w:val="%1.%2.%3.%4.%5.%6.%7.%8.%9."/>
      <w:lvlJc w:val="left"/>
      <w:pPr>
        <w:ind w:left="2380" w:hanging="2160"/>
      </w:pPr>
    </w:lvl>
  </w:abstractNum>
  <w:abstractNum w:abstractNumId="4" w15:restartNumberingAfterBreak="0">
    <w:nsid w:val="53AD5D3F"/>
    <w:multiLevelType w:val="multilevel"/>
    <w:tmpl w:val="294233D8"/>
    <w:lvl w:ilvl="0">
      <w:start w:val="1"/>
      <w:numFmt w:val="decimal"/>
      <w:lvlText w:val="%1."/>
      <w:lvlJc w:val="left"/>
      <w:pPr>
        <w:ind w:left="720" w:hanging="360"/>
      </w:pPr>
    </w:lvl>
    <w:lvl w:ilvl="1">
      <w:start w:val="1"/>
      <w:numFmt w:val="decimal"/>
      <w:lvlText w:val="4.%2."/>
      <w:lvlJc w:val="left"/>
      <w:pPr>
        <w:ind w:left="1080" w:hanging="720"/>
      </w:pPr>
    </w:lvl>
    <w:lvl w:ilvl="2">
      <w:start w:val="1"/>
      <w:numFmt w:val="decimal"/>
      <w:lvlText w:val="4.%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 w15:restartNumberingAfterBreak="0">
    <w:nsid w:val="5881087E"/>
    <w:multiLevelType w:val="multilevel"/>
    <w:tmpl w:val="F06AC0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7012185"/>
    <w:multiLevelType w:val="multilevel"/>
    <w:tmpl w:val="575A8D72"/>
    <w:lvl w:ilvl="0">
      <w:start w:val="5"/>
      <w:numFmt w:val="decimal"/>
      <w:lvlText w:val="%1."/>
      <w:lvlJc w:val="left"/>
      <w:pPr>
        <w:ind w:left="580" w:hanging="360"/>
      </w:pPr>
    </w:lvl>
    <w:lvl w:ilvl="1">
      <w:start w:val="1"/>
      <w:numFmt w:val="decimal"/>
      <w:lvlText w:val="%1.%2."/>
      <w:lvlJc w:val="left"/>
      <w:pPr>
        <w:ind w:left="940" w:hanging="720"/>
      </w:pPr>
      <w:rPr>
        <w:b/>
        <w:bCs/>
      </w:rPr>
    </w:lvl>
    <w:lvl w:ilvl="2">
      <w:start w:val="1"/>
      <w:numFmt w:val="decimal"/>
      <w:lvlText w:val="%1.%2.%3."/>
      <w:lvlJc w:val="left"/>
      <w:pPr>
        <w:ind w:left="940" w:hanging="720"/>
      </w:pPr>
    </w:lvl>
    <w:lvl w:ilvl="3">
      <w:start w:val="1"/>
      <w:numFmt w:val="decimal"/>
      <w:lvlText w:val="%1.%2.%3.%4."/>
      <w:lvlJc w:val="left"/>
      <w:pPr>
        <w:ind w:left="1300" w:hanging="1080"/>
      </w:pPr>
    </w:lvl>
    <w:lvl w:ilvl="4">
      <w:start w:val="1"/>
      <w:numFmt w:val="decimal"/>
      <w:lvlText w:val="%1.%2.%3.%4.%5."/>
      <w:lvlJc w:val="left"/>
      <w:pPr>
        <w:ind w:left="1300" w:hanging="1080"/>
      </w:pPr>
    </w:lvl>
    <w:lvl w:ilvl="5">
      <w:start w:val="1"/>
      <w:numFmt w:val="decimal"/>
      <w:lvlText w:val="%1.%2.%3.%4.%5.%6."/>
      <w:lvlJc w:val="left"/>
      <w:pPr>
        <w:ind w:left="1660" w:hanging="1440"/>
      </w:pPr>
    </w:lvl>
    <w:lvl w:ilvl="6">
      <w:start w:val="1"/>
      <w:numFmt w:val="decimal"/>
      <w:lvlText w:val="%1.%2.%3.%4.%5.%6.%7."/>
      <w:lvlJc w:val="left"/>
      <w:pPr>
        <w:ind w:left="2020" w:hanging="1800"/>
      </w:pPr>
    </w:lvl>
    <w:lvl w:ilvl="7">
      <w:start w:val="1"/>
      <w:numFmt w:val="decimal"/>
      <w:lvlText w:val="%1.%2.%3.%4.%5.%6.%7.%8."/>
      <w:lvlJc w:val="left"/>
      <w:pPr>
        <w:ind w:left="2020" w:hanging="1800"/>
      </w:pPr>
    </w:lvl>
    <w:lvl w:ilvl="8">
      <w:start w:val="1"/>
      <w:numFmt w:val="decimal"/>
      <w:lvlText w:val="%1.%2.%3.%4.%5.%6.%7.%8.%9."/>
      <w:lvlJc w:val="left"/>
      <w:pPr>
        <w:ind w:left="2380" w:hanging="2160"/>
      </w:pPr>
    </w:lvl>
  </w:abstractNum>
  <w:abstractNum w:abstractNumId="7" w15:restartNumberingAfterBreak="0">
    <w:nsid w:val="79783A71"/>
    <w:multiLevelType w:val="multilevel"/>
    <w:tmpl w:val="2BA832C4"/>
    <w:lvl w:ilvl="0">
      <w:start w:val="1"/>
      <w:numFmt w:val="decimal"/>
      <w:lvlText w:val=""/>
      <w:lvlJc w:val="left"/>
      <w:pPr>
        <w:ind w:left="720" w:hanging="360"/>
      </w:pPr>
    </w:lvl>
    <w:lvl w:ilvl="1">
      <w:start w:val="1"/>
      <w:numFmt w:val="decimal"/>
      <w:lvlText w:val="3.%2."/>
      <w:lvlJc w:val="left"/>
      <w:pPr>
        <w:ind w:left="720" w:hanging="360"/>
      </w:pPr>
      <w:rPr>
        <w:rFonts w:hint="default"/>
      </w:rPr>
    </w:lvl>
    <w:lvl w:ilvl="2">
      <w:start w:val="1"/>
      <w:numFmt w:val="decimal"/>
      <w:lvlText w:val="%1.%2.%3."/>
      <w:lvlJc w:val="left"/>
      <w:pPr>
        <w:ind w:left="1080" w:hanging="720"/>
      </w:pPr>
      <w:rPr>
        <w:b/>
        <w:bCs/>
        <w:sz w:val="22"/>
        <w:szCs w:val="22"/>
      </w:r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num w:numId="1" w16cid:durableId="1483765342">
    <w:abstractNumId w:val="5"/>
  </w:num>
  <w:num w:numId="2" w16cid:durableId="1578784661">
    <w:abstractNumId w:val="4"/>
  </w:num>
  <w:num w:numId="3" w16cid:durableId="933979576">
    <w:abstractNumId w:val="6"/>
  </w:num>
  <w:num w:numId="4" w16cid:durableId="282468945">
    <w:abstractNumId w:val="2"/>
  </w:num>
  <w:num w:numId="5" w16cid:durableId="1237933229">
    <w:abstractNumId w:val="0"/>
  </w:num>
  <w:num w:numId="6" w16cid:durableId="1711102603">
    <w:abstractNumId w:val="7"/>
  </w:num>
  <w:num w:numId="7" w16cid:durableId="269893029">
    <w:abstractNumId w:val="3"/>
  </w:num>
  <w:num w:numId="8" w16cid:durableId="1860119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1ED"/>
    <w:rsid w:val="00102F91"/>
    <w:rsid w:val="001C07DF"/>
    <w:rsid w:val="00273DDA"/>
    <w:rsid w:val="0033370D"/>
    <w:rsid w:val="00456819"/>
    <w:rsid w:val="00535528"/>
    <w:rsid w:val="00610916"/>
    <w:rsid w:val="006921ED"/>
    <w:rsid w:val="006F567A"/>
    <w:rsid w:val="00787C28"/>
    <w:rsid w:val="00947BB2"/>
    <w:rsid w:val="009564DE"/>
    <w:rsid w:val="009D3EE8"/>
    <w:rsid w:val="00A93FD7"/>
    <w:rsid w:val="00BD76E3"/>
    <w:rsid w:val="00C56F9E"/>
    <w:rsid w:val="00D73B41"/>
    <w:rsid w:val="00E64171"/>
    <w:rsid w:val="00EA036F"/>
    <w:rsid w:val="00F65032"/>
    <w:rsid w:val="00F9292A"/>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39D99"/>
  <w15:docId w15:val="{CE8E2137-17BE-8A4C-A4CF-F97F4A3D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zh-TW"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after="0" w:line="240" w:lineRule="auto"/>
      <w:outlineLvl w:val="0"/>
    </w:pPr>
    <w:rPr>
      <w:rFonts w:ascii="Cambria" w:eastAsia="Cambria" w:hAnsi="Cambria" w:cs="Cambria"/>
      <w:color w:val="366091"/>
      <w:sz w:val="32"/>
      <w:szCs w:val="32"/>
    </w:rPr>
  </w:style>
  <w:style w:type="paragraph" w:styleId="Heading2">
    <w:name w:val="heading 2"/>
    <w:basedOn w:val="Normal"/>
    <w:next w:val="Normal"/>
    <w:uiPriority w:val="9"/>
    <w:unhideWhenUsed/>
    <w:qFormat/>
    <w:pPr>
      <w:keepNext/>
      <w:keepLines/>
      <w:spacing w:before="80" w:after="0" w:line="240" w:lineRule="auto"/>
      <w:outlineLvl w:val="1"/>
    </w:pPr>
    <w:rPr>
      <w:rFonts w:ascii="Cambria" w:eastAsia="Cambria" w:hAnsi="Cambria" w:cs="Cambria"/>
      <w:color w:val="404040"/>
      <w:sz w:val="28"/>
      <w:szCs w:val="28"/>
    </w:rPr>
  </w:style>
  <w:style w:type="paragraph" w:styleId="Heading3">
    <w:name w:val="heading 3"/>
    <w:basedOn w:val="Normal"/>
    <w:next w:val="Normal"/>
    <w:uiPriority w:val="9"/>
    <w:unhideWhenUsed/>
    <w:qFormat/>
    <w:pPr>
      <w:keepNext/>
      <w:keepLines/>
      <w:spacing w:before="40" w:after="0" w:line="240" w:lineRule="auto"/>
      <w:outlineLvl w:val="2"/>
    </w:pPr>
    <w:rPr>
      <w:rFonts w:ascii="Cambria" w:eastAsia="Cambria" w:hAnsi="Cambria" w:cs="Cambria"/>
      <w:color w:val="1F497D"/>
      <w:sz w:val="24"/>
      <w:szCs w:val="24"/>
    </w:rPr>
  </w:style>
  <w:style w:type="paragraph" w:styleId="Heading4">
    <w:name w:val="heading 4"/>
    <w:basedOn w:val="Normal"/>
    <w:next w:val="Normal"/>
    <w:uiPriority w:val="9"/>
    <w:semiHidden/>
    <w:unhideWhenUsed/>
    <w:qFormat/>
    <w:pPr>
      <w:keepNext/>
      <w:keepLines/>
      <w:spacing w:before="40" w:after="0"/>
      <w:outlineLvl w:val="3"/>
    </w:pPr>
    <w:rPr>
      <w:rFonts w:ascii="Cambria" w:eastAsia="Cambria" w:hAnsi="Cambria" w:cs="Cambria"/>
      <w:sz w:val="22"/>
      <w:szCs w:val="22"/>
    </w:rPr>
  </w:style>
  <w:style w:type="paragraph" w:styleId="Heading5">
    <w:name w:val="heading 5"/>
    <w:basedOn w:val="Normal"/>
    <w:next w:val="Normal"/>
    <w:uiPriority w:val="9"/>
    <w:semiHidden/>
    <w:unhideWhenUsed/>
    <w:qFormat/>
    <w:pPr>
      <w:keepNext/>
      <w:keepLines/>
      <w:spacing w:before="40" w:after="0"/>
      <w:outlineLvl w:val="4"/>
    </w:pPr>
    <w:rPr>
      <w:rFonts w:ascii="Cambria" w:eastAsia="Cambria" w:hAnsi="Cambria" w:cs="Cambria"/>
      <w:color w:val="1F497D"/>
      <w:sz w:val="22"/>
      <w:szCs w:val="22"/>
    </w:rPr>
  </w:style>
  <w:style w:type="paragraph" w:styleId="Heading6">
    <w:name w:val="heading 6"/>
    <w:basedOn w:val="Normal"/>
    <w:next w:val="Normal"/>
    <w:uiPriority w:val="9"/>
    <w:semiHidden/>
    <w:unhideWhenUsed/>
    <w:qFormat/>
    <w:pPr>
      <w:keepNext/>
      <w:keepLines/>
      <w:spacing w:before="40" w:after="0"/>
      <w:outlineLvl w:val="5"/>
    </w:pPr>
    <w:rPr>
      <w:rFonts w:ascii="Cambria" w:eastAsia="Cambria" w:hAnsi="Cambria" w:cs="Cambria"/>
      <w:i/>
      <w:iCs/>
      <w:color w:val="1F497D"/>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rFonts w:ascii="Cambria" w:eastAsia="Cambria" w:hAnsi="Cambria" w:cs="Cambria"/>
      <w:color w:val="4F81BD"/>
      <w:sz w:val="56"/>
      <w:szCs w:val="56"/>
    </w:rPr>
  </w:style>
  <w:style w:type="paragraph" w:styleId="Subtitle">
    <w:name w:val="Subtitle"/>
    <w:basedOn w:val="Normal"/>
    <w:next w:val="Normal"/>
    <w:uiPriority w:val="11"/>
    <w:qFormat/>
    <w:pPr>
      <w:spacing w:line="240" w:lineRule="auto"/>
    </w:pPr>
    <w:rPr>
      <w:rFonts w:ascii="Cambria" w:eastAsia="Cambria" w:hAnsi="Cambria" w:cs="Cambria"/>
      <w:sz w:val="24"/>
      <w:szCs w:val="24"/>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1">
    <w:basedOn w:val="TableNormal0"/>
    <w:tblPr>
      <w:tblStyleRowBandSize w:val="1"/>
      <w:tblStyleColBandSize w:val="1"/>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2">
    <w:basedOn w:val="TableNormal0"/>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0"/>
    <w:tblPr>
      <w:tblStyleRowBandSize w:val="1"/>
      <w:tblStyleColBandSize w:val="1"/>
      <w:tblCellMar>
        <w:top w:w="0" w:type="dxa"/>
        <w:left w:w="108" w:type="dxa"/>
        <w:bottom w:w="0" w:type="dxa"/>
        <w:right w:w="108" w:type="dxa"/>
      </w:tblCellMar>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on">
    <w:name w:val="Revision"/>
    <w:hidden/>
    <w:uiPriority w:val="99"/>
    <w:semiHidden/>
    <w:rsid w:val="00273DDA"/>
    <w:pPr>
      <w:spacing w:after="0" w:line="240" w:lineRule="auto"/>
    </w:pPr>
  </w:style>
  <w:style w:type="paragraph" w:styleId="TOC1">
    <w:name w:val="toc 1"/>
    <w:basedOn w:val="Normal"/>
    <w:next w:val="Normal"/>
    <w:autoRedefine/>
    <w:uiPriority w:val="39"/>
    <w:unhideWhenUsed/>
    <w:rsid w:val="00C56F9E"/>
    <w:pPr>
      <w:spacing w:after="100"/>
    </w:pPr>
  </w:style>
  <w:style w:type="paragraph" w:styleId="TOC2">
    <w:name w:val="toc 2"/>
    <w:basedOn w:val="Normal"/>
    <w:next w:val="Normal"/>
    <w:autoRedefine/>
    <w:uiPriority w:val="39"/>
    <w:unhideWhenUsed/>
    <w:rsid w:val="00C56F9E"/>
    <w:pPr>
      <w:spacing w:after="100"/>
      <w:ind w:left="200"/>
    </w:pPr>
  </w:style>
  <w:style w:type="paragraph" w:styleId="TOC3">
    <w:name w:val="toc 3"/>
    <w:basedOn w:val="Normal"/>
    <w:next w:val="Normal"/>
    <w:autoRedefine/>
    <w:uiPriority w:val="39"/>
    <w:unhideWhenUsed/>
    <w:rsid w:val="00C56F9E"/>
    <w:pPr>
      <w:spacing w:after="100"/>
      <w:ind w:left="400"/>
    </w:pPr>
  </w:style>
  <w:style w:type="paragraph" w:styleId="TOC4">
    <w:name w:val="toc 4"/>
    <w:basedOn w:val="Normal"/>
    <w:next w:val="Normal"/>
    <w:autoRedefine/>
    <w:uiPriority w:val="39"/>
    <w:unhideWhenUsed/>
    <w:rsid w:val="00C56F9E"/>
    <w:pPr>
      <w:spacing w:after="100" w:line="278" w:lineRule="auto"/>
      <w:ind w:left="720"/>
    </w:pPr>
    <w:rPr>
      <w:rFonts w:asciiTheme="minorHAnsi" w:eastAsiaTheme="minorEastAsia" w:hAnsiTheme="minorHAnsi" w:cstheme="minorBidi"/>
      <w:kern w:val="2"/>
      <w:sz w:val="24"/>
      <w:szCs w:val="24"/>
      <w:lang w:val="en-HK"/>
      <w14:ligatures w14:val="standardContextual"/>
    </w:rPr>
  </w:style>
  <w:style w:type="paragraph" w:styleId="TOC5">
    <w:name w:val="toc 5"/>
    <w:basedOn w:val="Normal"/>
    <w:next w:val="Normal"/>
    <w:autoRedefine/>
    <w:uiPriority w:val="39"/>
    <w:unhideWhenUsed/>
    <w:rsid w:val="00C56F9E"/>
    <w:pPr>
      <w:spacing w:after="100" w:line="278" w:lineRule="auto"/>
      <w:ind w:left="960"/>
    </w:pPr>
    <w:rPr>
      <w:rFonts w:asciiTheme="minorHAnsi" w:eastAsiaTheme="minorEastAsia" w:hAnsiTheme="minorHAnsi" w:cstheme="minorBidi"/>
      <w:kern w:val="2"/>
      <w:sz w:val="24"/>
      <w:szCs w:val="24"/>
      <w:lang w:val="en-HK"/>
      <w14:ligatures w14:val="standardContextual"/>
    </w:rPr>
  </w:style>
  <w:style w:type="paragraph" w:styleId="TOC6">
    <w:name w:val="toc 6"/>
    <w:basedOn w:val="Normal"/>
    <w:next w:val="Normal"/>
    <w:autoRedefine/>
    <w:uiPriority w:val="39"/>
    <w:unhideWhenUsed/>
    <w:rsid w:val="00C56F9E"/>
    <w:pPr>
      <w:spacing w:after="100" w:line="278" w:lineRule="auto"/>
      <w:ind w:left="1200"/>
    </w:pPr>
    <w:rPr>
      <w:rFonts w:asciiTheme="minorHAnsi" w:eastAsiaTheme="minorEastAsia" w:hAnsiTheme="minorHAnsi" w:cstheme="minorBidi"/>
      <w:kern w:val="2"/>
      <w:sz w:val="24"/>
      <w:szCs w:val="24"/>
      <w:lang w:val="en-HK"/>
      <w14:ligatures w14:val="standardContextual"/>
    </w:rPr>
  </w:style>
  <w:style w:type="paragraph" w:styleId="TOC7">
    <w:name w:val="toc 7"/>
    <w:basedOn w:val="Normal"/>
    <w:next w:val="Normal"/>
    <w:autoRedefine/>
    <w:uiPriority w:val="39"/>
    <w:unhideWhenUsed/>
    <w:rsid w:val="00C56F9E"/>
    <w:pPr>
      <w:spacing w:after="100" w:line="278" w:lineRule="auto"/>
      <w:ind w:left="1440"/>
    </w:pPr>
    <w:rPr>
      <w:rFonts w:asciiTheme="minorHAnsi" w:eastAsiaTheme="minorEastAsia" w:hAnsiTheme="minorHAnsi" w:cstheme="minorBidi"/>
      <w:kern w:val="2"/>
      <w:sz w:val="24"/>
      <w:szCs w:val="24"/>
      <w:lang w:val="en-HK"/>
      <w14:ligatures w14:val="standardContextual"/>
    </w:rPr>
  </w:style>
  <w:style w:type="paragraph" w:styleId="TOC8">
    <w:name w:val="toc 8"/>
    <w:basedOn w:val="Normal"/>
    <w:next w:val="Normal"/>
    <w:autoRedefine/>
    <w:uiPriority w:val="39"/>
    <w:unhideWhenUsed/>
    <w:rsid w:val="00C56F9E"/>
    <w:pPr>
      <w:spacing w:after="100" w:line="278" w:lineRule="auto"/>
      <w:ind w:left="1680"/>
    </w:pPr>
    <w:rPr>
      <w:rFonts w:asciiTheme="minorHAnsi" w:eastAsiaTheme="minorEastAsia" w:hAnsiTheme="minorHAnsi" w:cstheme="minorBidi"/>
      <w:kern w:val="2"/>
      <w:sz w:val="24"/>
      <w:szCs w:val="24"/>
      <w:lang w:val="en-HK"/>
      <w14:ligatures w14:val="standardContextual"/>
    </w:rPr>
  </w:style>
  <w:style w:type="paragraph" w:styleId="TOC9">
    <w:name w:val="toc 9"/>
    <w:basedOn w:val="Normal"/>
    <w:next w:val="Normal"/>
    <w:autoRedefine/>
    <w:uiPriority w:val="39"/>
    <w:unhideWhenUsed/>
    <w:rsid w:val="00C56F9E"/>
    <w:pPr>
      <w:spacing w:after="100" w:line="278" w:lineRule="auto"/>
      <w:ind w:left="1920"/>
    </w:pPr>
    <w:rPr>
      <w:rFonts w:asciiTheme="minorHAnsi" w:eastAsiaTheme="minorEastAsia" w:hAnsiTheme="minorHAnsi" w:cstheme="minorBidi"/>
      <w:kern w:val="2"/>
      <w:sz w:val="24"/>
      <w:szCs w:val="24"/>
      <w:lang w:val="en-HK"/>
      <w14:ligatures w14:val="standardContextual"/>
    </w:rPr>
  </w:style>
  <w:style w:type="character" w:styleId="Hyperlink">
    <w:name w:val="Hyperlink"/>
    <w:basedOn w:val="DefaultParagraphFont"/>
    <w:uiPriority w:val="99"/>
    <w:unhideWhenUsed/>
    <w:rsid w:val="00C56F9E"/>
    <w:rPr>
      <w:color w:val="0000FF" w:themeColor="hyperlink"/>
      <w:u w:val="single"/>
    </w:rPr>
  </w:style>
  <w:style w:type="character" w:styleId="UnresolvedMention">
    <w:name w:val="Unresolved Mention"/>
    <w:basedOn w:val="DefaultParagraphFont"/>
    <w:uiPriority w:val="99"/>
    <w:semiHidden/>
    <w:unhideWhenUsed/>
    <w:rsid w:val="00C56F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Bg4Q7YjQFLCLT9dFZqMhIvY8fg==">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22272</Words>
  <Characters>126955</Characters>
  <Application>Microsoft Office Word</Application>
  <DocSecurity>0</DocSecurity>
  <Lines>1057</Lines>
  <Paragraphs>297</Paragraphs>
  <ScaleCrop>false</ScaleCrop>
  <Company/>
  <LinksUpToDate>false</LinksUpToDate>
  <CharactersWithSpaces>148930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shilunga</dc:creator>
  <cp:lastModifiedBy>Donna shilunga</cp:lastModifiedBy>
  <cp:revision>2</cp:revision>
  <dcterms:created xsi:type="dcterms:W3CDTF">2026-05-05T17:10:00Z</dcterms:created>
  <dcterms:modified xsi:type="dcterms:W3CDTF">2026-05-05T17:10:00Z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2019-10-08T00:00:00Z</vt:lpwstr>
  </property>
  <property fmtid="{D5CDD505-2E9C-101B-9397-08002B2CF9AE}" pid="3" name="Creator">
    <vt:lpwstr>Microsoft® Word 2016</vt:lpwstr>
  </property>
  <property fmtid="{D5CDD505-2E9C-101B-9397-08002B2CF9AE}" pid="4" name="LastSaved">
    <vt:lpwstr>2019-10-15T00:00:00Z</vt:lpwstr>
  </property>
</Properties>
</file>