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85017" w14:textId="4BE9786D" w:rsidR="00D975BF" w:rsidRPr="00FF5DE7" w:rsidRDefault="006D2AE6" w:rsidP="008B29A9">
      <w:pPr>
        <w:pStyle w:val="Normal1"/>
        <w:spacing w:before="240" w:after="240" w:line="360" w:lineRule="auto"/>
        <w:jc w:val="center"/>
        <w:rPr>
          <w:rFonts w:ascii="Times New Roman" w:eastAsia="Times New Roman" w:hAnsi="Times New Roman" w:cs="Times New Roman"/>
          <w:b/>
          <w:sz w:val="32"/>
          <w:szCs w:val="32"/>
          <w:lang w:val="en-GB"/>
        </w:rPr>
      </w:pPr>
      <w:r>
        <w:rPr>
          <w:noProof/>
        </w:rPr>
        <w:drawing>
          <wp:inline distT="0" distB="0" distL="0" distR="0" wp14:anchorId="65BA61DD" wp14:editId="7761E86F">
            <wp:extent cx="4272118" cy="1516142"/>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t="18038" b="18169"/>
                    <a:stretch/>
                  </pic:blipFill>
                  <pic:spPr bwMode="auto">
                    <a:xfrm>
                      <a:off x="0" y="0"/>
                      <a:ext cx="4285196" cy="1520783"/>
                    </a:xfrm>
                    <a:prstGeom prst="rect">
                      <a:avLst/>
                    </a:prstGeom>
                    <a:noFill/>
                    <a:ln>
                      <a:noFill/>
                    </a:ln>
                    <a:extLst>
                      <a:ext uri="{53640926-AAD7-44D8-BBD7-CCE9431645EC}">
                        <a14:shadowObscured xmlns:a14="http://schemas.microsoft.com/office/drawing/2010/main"/>
                      </a:ext>
                    </a:extLst>
                  </pic:spPr>
                </pic:pic>
              </a:graphicData>
            </a:graphic>
          </wp:inline>
        </w:drawing>
      </w:r>
    </w:p>
    <w:p w14:paraId="5E175B72" w14:textId="77777777" w:rsidR="00D975BF" w:rsidRPr="00FF5DE7" w:rsidRDefault="00D975BF" w:rsidP="008B29A9">
      <w:pPr>
        <w:pStyle w:val="Normal1"/>
        <w:spacing w:before="240" w:after="240" w:line="360" w:lineRule="auto"/>
        <w:jc w:val="center"/>
        <w:rPr>
          <w:rFonts w:ascii="Times New Roman" w:eastAsia="Times New Roman" w:hAnsi="Times New Roman" w:cs="Times New Roman"/>
          <w:b/>
          <w:sz w:val="32"/>
          <w:szCs w:val="32"/>
          <w:lang w:val="en-GB"/>
        </w:rPr>
      </w:pPr>
    </w:p>
    <w:p w14:paraId="7737AD70" w14:textId="2E05A86A" w:rsidR="006D2AE6" w:rsidRDefault="00AA7A5B" w:rsidP="006D2AE6">
      <w:pPr>
        <w:pStyle w:val="Normal1"/>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POLICING</w:t>
      </w:r>
    </w:p>
    <w:p w14:paraId="6E2C1B69" w14:textId="2FD9F71F" w:rsidR="00AA7A5B" w:rsidRPr="006D2AE6" w:rsidRDefault="00AA7A5B" w:rsidP="008B29A9">
      <w:pPr>
        <w:pStyle w:val="Normal1"/>
        <w:spacing w:before="240" w:after="240" w:line="360" w:lineRule="auto"/>
        <w:jc w:val="center"/>
        <w:rPr>
          <w:rFonts w:ascii="Times New Roman" w:eastAsia="Times New Roman" w:hAnsi="Times New Roman" w:cs="Times New Roman"/>
          <w:b/>
          <w:sz w:val="48"/>
          <w:szCs w:val="48"/>
          <w:lang w:val="en-GB"/>
        </w:rPr>
      </w:pPr>
      <w:r w:rsidRPr="006D2AE6">
        <w:rPr>
          <w:rFonts w:ascii="Times New Roman" w:eastAsia="Times New Roman" w:hAnsi="Times New Roman" w:cs="Times New Roman"/>
          <w:b/>
          <w:sz w:val="48"/>
          <w:szCs w:val="48"/>
          <w:lang w:val="en-GB"/>
        </w:rPr>
        <w:t>EVIDENCE BASED POLICING</w:t>
      </w:r>
    </w:p>
    <w:p w14:paraId="41BB28A2" w14:textId="79ECD582" w:rsidR="006A4EF8" w:rsidRPr="00FF5DE7" w:rsidRDefault="006A4EF8" w:rsidP="008B29A9">
      <w:pPr>
        <w:pStyle w:val="Normal1"/>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CODE: </w:t>
      </w:r>
      <w:r w:rsidR="0033356B">
        <w:rPr>
          <w:rFonts w:ascii="Times New Roman" w:eastAsia="Times New Roman" w:hAnsi="Times New Roman" w:cs="Times New Roman"/>
          <w:b/>
          <w:sz w:val="32"/>
          <w:szCs w:val="32"/>
          <w:lang w:val="en-GB"/>
        </w:rPr>
        <w:t>BMCP400</w:t>
      </w:r>
      <w:r w:rsidR="00634537">
        <w:rPr>
          <w:rFonts w:ascii="Times New Roman" w:eastAsia="Times New Roman" w:hAnsi="Times New Roman" w:cs="Times New Roman"/>
          <w:b/>
          <w:sz w:val="32"/>
          <w:szCs w:val="32"/>
          <w:lang w:val="en-GB"/>
        </w:rPr>
        <w:t>1</w:t>
      </w:r>
    </w:p>
    <w:p w14:paraId="4B2C1E03" w14:textId="77777777" w:rsidR="002059B5" w:rsidRDefault="00000000" w:rsidP="008B29A9">
      <w:pPr>
        <w:pStyle w:val="Normal1"/>
        <w:spacing w:before="240" w:after="240" w:line="360" w:lineRule="auto"/>
        <w:jc w:val="center"/>
        <w:rPr>
          <w:rFonts w:ascii="Times New Roman" w:eastAsia="Times New Roman" w:hAnsi="Times New Roman" w:cs="Times New Roman"/>
          <w:b/>
          <w:sz w:val="44"/>
          <w:szCs w:val="44"/>
          <w:lang w:val="en-GB"/>
        </w:rPr>
      </w:pPr>
      <w:r w:rsidRPr="002059B5">
        <w:rPr>
          <w:rFonts w:ascii="Times New Roman" w:eastAsia="Times New Roman" w:hAnsi="Times New Roman" w:cs="Times New Roman"/>
          <w:b/>
          <w:sz w:val="44"/>
          <w:szCs w:val="44"/>
          <w:lang w:val="en-GB"/>
        </w:rPr>
        <w:t>EVIDENCE-BASED POLICING AND APPLICATIONS</w:t>
      </w:r>
    </w:p>
    <w:p w14:paraId="26560232" w14:textId="77777777" w:rsidR="002059B5" w:rsidRDefault="002059B5" w:rsidP="00740129">
      <w:pPr>
        <w:pStyle w:val="Normal1"/>
        <w:spacing w:before="240" w:after="240" w:line="360" w:lineRule="auto"/>
        <w:rPr>
          <w:rFonts w:ascii="Times New Roman" w:eastAsia="Times New Roman" w:hAnsi="Times New Roman" w:cs="Times New Roman"/>
          <w:b/>
          <w:sz w:val="44"/>
          <w:szCs w:val="44"/>
          <w:lang w:val="en-GB"/>
        </w:rPr>
      </w:pPr>
    </w:p>
    <w:p w14:paraId="08D6B7D7" w14:textId="77777777" w:rsidR="002059B5" w:rsidRDefault="002059B5" w:rsidP="008B29A9">
      <w:pPr>
        <w:pStyle w:val="Normal1"/>
        <w:spacing w:before="240" w:after="240" w:line="360" w:lineRule="auto"/>
        <w:jc w:val="center"/>
        <w:rPr>
          <w:rFonts w:ascii="Times New Roman" w:eastAsia="Times New Roman" w:hAnsi="Times New Roman" w:cs="Times New Roman"/>
          <w:b/>
          <w:sz w:val="44"/>
          <w:szCs w:val="44"/>
          <w:lang w:val="en-GB"/>
        </w:rPr>
      </w:pPr>
    </w:p>
    <w:p w14:paraId="222A0945" w14:textId="77777777" w:rsidR="002059B5" w:rsidRDefault="002059B5" w:rsidP="008B29A9">
      <w:pPr>
        <w:pStyle w:val="Normal1"/>
        <w:spacing w:before="240" w:after="240" w:line="360" w:lineRule="auto"/>
        <w:jc w:val="center"/>
        <w:rPr>
          <w:rFonts w:ascii="Times New Roman" w:eastAsia="Times New Roman" w:hAnsi="Times New Roman" w:cs="Times New Roman"/>
          <w:b/>
          <w:sz w:val="44"/>
          <w:szCs w:val="44"/>
          <w:lang w:val="en-GB"/>
        </w:rPr>
      </w:pPr>
    </w:p>
    <w:p w14:paraId="00000001" w14:textId="356C4D80" w:rsidR="00725554" w:rsidRPr="00FF5DE7" w:rsidRDefault="002059B5" w:rsidP="008B29A9">
      <w:pPr>
        <w:pStyle w:val="Normal1"/>
        <w:spacing w:before="240" w:after="240" w:line="360" w:lineRule="auto"/>
        <w:jc w:val="center"/>
        <w:rPr>
          <w:rFonts w:ascii="Times New Roman" w:eastAsia="Times New Roman" w:hAnsi="Times New Roman" w:cs="Times New Roman"/>
          <w:b/>
          <w:sz w:val="24"/>
          <w:szCs w:val="24"/>
          <w:lang w:val="en-GB"/>
        </w:rPr>
      </w:pPr>
      <w:r w:rsidRPr="00887281">
        <w:rPr>
          <w:rFonts w:ascii="Times New Roman" w:eastAsia="Times New Roman" w:hAnsi="Times New Roman" w:cs="Times New Roman"/>
          <w:b/>
          <w:sz w:val="36"/>
          <w:szCs w:val="36"/>
          <w:lang w:val="en-GB"/>
        </w:rPr>
        <w:t xml:space="preserve">STUDENT NAME: </w:t>
      </w:r>
      <w:r w:rsidRPr="00887281">
        <w:rPr>
          <w:rFonts w:ascii="Times New Roman" w:eastAsia="Times New Roman" w:hAnsi="Times New Roman" w:cs="Times New Roman"/>
          <w:b/>
          <w:sz w:val="36"/>
          <w:szCs w:val="36"/>
          <w:lang w:val="en-GB"/>
        </w:rPr>
        <w:br/>
        <w:t xml:space="preserve">STUDENT ID: </w:t>
      </w:r>
      <w:r w:rsidRPr="00FF5DE7">
        <w:rPr>
          <w:lang w:val="en-GB"/>
        </w:rPr>
        <w:br w:type="page"/>
      </w:r>
    </w:p>
    <w:p w14:paraId="00000002" w14:textId="77777777" w:rsidR="00725554" w:rsidRPr="00FF5DE7" w:rsidRDefault="00000000" w:rsidP="008B29A9">
      <w:pPr>
        <w:pStyle w:val="Normal1"/>
        <w:spacing w:before="240" w:after="240" w:line="360" w:lineRule="auto"/>
        <w:jc w:val="both"/>
        <w:rPr>
          <w:rFonts w:ascii="Times New Roman" w:eastAsia="Times New Roman" w:hAnsi="Times New Roman" w:cs="Times New Roman"/>
          <w:b/>
          <w:sz w:val="24"/>
          <w:szCs w:val="24"/>
          <w:lang w:val="en-GB"/>
        </w:rPr>
      </w:pPr>
      <w:r w:rsidRPr="00FF5DE7">
        <w:rPr>
          <w:rFonts w:ascii="Times New Roman" w:eastAsia="Times New Roman" w:hAnsi="Times New Roman" w:cs="Times New Roman"/>
          <w:b/>
          <w:sz w:val="24"/>
          <w:szCs w:val="24"/>
          <w:lang w:val="en-GB"/>
        </w:rPr>
        <w:lastRenderedPageBreak/>
        <w:t>1.0 Introduction</w:t>
      </w:r>
    </w:p>
    <w:p w14:paraId="00000003" w14:textId="77777777" w:rsidR="00725554" w:rsidRPr="00FF5DE7" w:rsidRDefault="00000000"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sz w:val="24"/>
          <w:szCs w:val="24"/>
          <w:lang w:val="en-GB"/>
        </w:rPr>
        <w:t xml:space="preserve">Evidence-based policing research refers to the practice of gathering relevant information regarding the effectiveness of a policing practice, program or policy initiative through utilising established scientific methods. It includes determining whether an intervention possesses an intended effect along with the concerned effect observable by other individuals and is effectively based on tax respectively. Proper integration of evidence-based policies and programs into police practice can be treated as an expectation within criminal justice operations. The principal aim of the current study is to focus on the core concepts related to evidence-based policing by utilising necessary methods and processes to evolve evidence repositories in an effective manner. </w:t>
      </w:r>
    </w:p>
    <w:p w14:paraId="00000004" w14:textId="77777777" w:rsidR="00725554" w:rsidRPr="00FF5DE7" w:rsidRDefault="00000000" w:rsidP="008B29A9">
      <w:pPr>
        <w:pStyle w:val="Normal1"/>
        <w:spacing w:before="240" w:after="240" w:line="360" w:lineRule="auto"/>
        <w:jc w:val="both"/>
        <w:rPr>
          <w:rFonts w:ascii="Times New Roman" w:eastAsia="Times New Roman" w:hAnsi="Times New Roman" w:cs="Times New Roman"/>
          <w:b/>
          <w:sz w:val="24"/>
          <w:szCs w:val="24"/>
          <w:lang w:val="en-GB"/>
        </w:rPr>
      </w:pPr>
      <w:r w:rsidRPr="00FF5DE7">
        <w:rPr>
          <w:rFonts w:ascii="Times New Roman" w:eastAsia="Times New Roman" w:hAnsi="Times New Roman" w:cs="Times New Roman"/>
          <w:b/>
          <w:sz w:val="24"/>
          <w:szCs w:val="24"/>
          <w:lang w:val="en-GB"/>
        </w:rPr>
        <w:t>2.0 Discussion</w:t>
      </w:r>
    </w:p>
    <w:p w14:paraId="00000006" w14:textId="6334DC9B" w:rsidR="00725554" w:rsidRPr="00FF5DE7" w:rsidRDefault="00000000"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sz w:val="24"/>
          <w:szCs w:val="24"/>
          <w:lang w:val="en-GB"/>
        </w:rPr>
        <w:t>Evidence-based policing (EBP) indicates that the best available evidence can be executed by police officers in terms of challenging and informing practices, decisions and policing policies (</w:t>
      </w:r>
      <w:r w:rsidRPr="00FF5DE7">
        <w:rPr>
          <w:rFonts w:ascii="Times New Roman" w:eastAsia="Times New Roman" w:hAnsi="Times New Roman" w:cs="Times New Roman"/>
          <w:color w:val="222222"/>
          <w:sz w:val="24"/>
          <w:szCs w:val="24"/>
          <w:highlight w:val="white"/>
          <w:lang w:val="en-GB"/>
        </w:rPr>
        <w:t>Loeffler and Bovaird, 2020</w:t>
      </w:r>
      <w:r w:rsidRPr="00FF5DE7">
        <w:rPr>
          <w:rFonts w:ascii="Times New Roman" w:eastAsia="Times New Roman" w:hAnsi="Times New Roman" w:cs="Times New Roman"/>
          <w:sz w:val="24"/>
          <w:szCs w:val="24"/>
          <w:lang w:val="en-GB"/>
        </w:rPr>
        <w:t>). The present approach can be effectively utilised by each individual engaged in policing in an effective way.  Academics and other partners can also be engaged in providing immense support with the help of collaboration to the concerned approach extensively. The best available evidence can significantly utilise appropriate sources and methods of research for the question being asked in an efficient manner. Evidence-based policing research can be effectively utilised for developing a better level of understanding regarding the problem. It can be implemented by describing the possible causes, extent and nature regarding the difficulty or monitoring of the process to implement the change accurately (</w:t>
      </w:r>
      <w:r w:rsidRPr="00FF5DE7">
        <w:rPr>
          <w:rFonts w:ascii="Times New Roman" w:eastAsia="Times New Roman" w:hAnsi="Times New Roman" w:cs="Times New Roman"/>
          <w:color w:val="222222"/>
          <w:sz w:val="24"/>
          <w:szCs w:val="24"/>
          <w:highlight w:val="white"/>
          <w:lang w:val="en-GB"/>
        </w:rPr>
        <w:t>Stott et al., 2020</w:t>
      </w:r>
      <w:r w:rsidRPr="00FF5DE7">
        <w:rPr>
          <w:rFonts w:ascii="Times New Roman" w:eastAsia="Times New Roman" w:hAnsi="Times New Roman" w:cs="Times New Roman"/>
          <w:sz w:val="24"/>
          <w:szCs w:val="24"/>
          <w:lang w:val="en-GB"/>
        </w:rPr>
        <w:t>). It can also be engaged in assessing the impact of a policing intervention by testing the effect of a new initiative within a specific context. It can also be able to explore the possible consequences related to the change in policing over a definite period. The evidence-based practice research needs to be carefully transparent, peer-reviewed and conducted about its limitations, and methods along with attaining its conclusions significantly</w:t>
      </w:r>
      <w:r w:rsidR="00CE7A94" w:rsidRPr="00FF5DE7">
        <w:rPr>
          <w:rFonts w:ascii="Times New Roman" w:eastAsia="Times New Roman" w:hAnsi="Times New Roman" w:cs="Times New Roman"/>
          <w:sz w:val="24"/>
          <w:szCs w:val="24"/>
          <w:lang w:val="en-GB"/>
        </w:rPr>
        <w:t xml:space="preserve"> (</w:t>
      </w:r>
      <w:r w:rsidR="00CE7A94" w:rsidRPr="00FF5DE7">
        <w:rPr>
          <w:rFonts w:ascii="Times New Roman" w:eastAsia="Times New Roman" w:hAnsi="Times New Roman" w:cs="Times New Roman"/>
          <w:color w:val="222222"/>
          <w:sz w:val="24"/>
          <w:szCs w:val="24"/>
          <w:highlight w:val="white"/>
          <w:lang w:val="en-GB"/>
        </w:rPr>
        <w:t>Telep and Somers, 2019</w:t>
      </w:r>
      <w:r w:rsidR="00CE7A94" w:rsidRPr="00FF5DE7">
        <w:rPr>
          <w:rFonts w:ascii="Times New Roman" w:eastAsia="Times New Roman" w:hAnsi="Times New Roman" w:cs="Times New Roman"/>
          <w:sz w:val="24"/>
          <w:szCs w:val="24"/>
          <w:lang w:val="en-GB"/>
        </w:rPr>
        <w:t>)</w:t>
      </w:r>
      <w:r w:rsidRPr="00FF5DE7">
        <w:rPr>
          <w:rFonts w:ascii="Times New Roman" w:eastAsia="Times New Roman" w:hAnsi="Times New Roman" w:cs="Times New Roman"/>
          <w:sz w:val="24"/>
          <w:szCs w:val="24"/>
          <w:lang w:val="en-GB"/>
        </w:rPr>
        <w:t xml:space="preserve">. </w:t>
      </w:r>
    </w:p>
    <w:p w14:paraId="00000007" w14:textId="77777777" w:rsidR="00725554" w:rsidRPr="00FF5DE7" w:rsidRDefault="00000000"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sz w:val="24"/>
          <w:szCs w:val="24"/>
          <w:lang w:val="en-GB"/>
        </w:rPr>
        <w:t xml:space="preserve">The theoretical context and basis of the research need to be evolved by the police officer in a clear manner. Evidence-based practice cannot be indulged in providing definitive answers over a specific period. The volunteer, staff and officers need to reflect on their critical practice by considering the process of best available evidence applied to the daily work along with learning </w:t>
      </w:r>
      <w:r w:rsidRPr="00FF5DE7">
        <w:rPr>
          <w:rFonts w:ascii="Times New Roman" w:eastAsia="Times New Roman" w:hAnsi="Times New Roman" w:cs="Times New Roman"/>
          <w:sz w:val="24"/>
          <w:szCs w:val="24"/>
          <w:lang w:val="en-GB"/>
        </w:rPr>
        <w:lastRenderedPageBreak/>
        <w:t>from their failures and success extensively (</w:t>
      </w:r>
      <w:r w:rsidRPr="00FF5DE7">
        <w:rPr>
          <w:rFonts w:ascii="Times New Roman" w:eastAsia="Times New Roman" w:hAnsi="Times New Roman" w:cs="Times New Roman"/>
          <w:color w:val="222222"/>
          <w:sz w:val="24"/>
          <w:szCs w:val="24"/>
          <w:highlight w:val="white"/>
          <w:lang w:val="en-GB"/>
        </w:rPr>
        <w:t>Gerritsen and Elffers, 2020</w:t>
      </w:r>
      <w:r w:rsidRPr="00FF5DE7">
        <w:rPr>
          <w:rFonts w:ascii="Times New Roman" w:eastAsia="Times New Roman" w:hAnsi="Times New Roman" w:cs="Times New Roman"/>
          <w:sz w:val="24"/>
          <w:szCs w:val="24"/>
          <w:lang w:val="en-GB"/>
        </w:rPr>
        <w:t>). The concerned approach plays an important role in encouraging each individual to ask questions, innovate the public interest and challenge accepted practices in an appropriate way. The crucial network based on evidence champions can be demonstrated as a forum related to evidence champions. Evidence Champions plays an important role to develop local EBP strategies along with identifying the areas of priority for research in an accurate manner. It also plays an essential role to engage with staff for explaining the EBP principles along with determining the process of utilising the concerned aspect significantly. It can be engaged in collaborating and conducting research with partners respectively (</w:t>
      </w:r>
      <w:r w:rsidRPr="00FF5DE7">
        <w:rPr>
          <w:rFonts w:ascii="Times New Roman" w:eastAsia="Times New Roman" w:hAnsi="Times New Roman" w:cs="Times New Roman"/>
          <w:color w:val="222222"/>
          <w:sz w:val="24"/>
          <w:szCs w:val="24"/>
          <w:highlight w:val="white"/>
          <w:lang w:val="en-GB"/>
        </w:rPr>
        <w:t>Opp, 2020</w:t>
      </w:r>
      <w:r w:rsidRPr="00FF5DE7">
        <w:rPr>
          <w:rFonts w:ascii="Times New Roman" w:eastAsia="Times New Roman" w:hAnsi="Times New Roman" w:cs="Times New Roman"/>
          <w:sz w:val="24"/>
          <w:szCs w:val="24"/>
          <w:lang w:val="en-GB"/>
        </w:rPr>
        <w:t xml:space="preserve">). </w:t>
      </w:r>
    </w:p>
    <w:p w14:paraId="00000009" w14:textId="513D49BF" w:rsidR="00725554" w:rsidRPr="00FF5DE7" w:rsidRDefault="00000000"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sz w:val="24"/>
          <w:szCs w:val="24"/>
          <w:lang w:val="en-GB"/>
        </w:rPr>
        <w:t>Psychodynamics as well as criminal motivation imposes lower mark improvement to be reported in the contributions towards criminal psychopathology developed by criminology, physical anthropology, academic psychology, and law. It significantly emphasises the mass aspects regarding the condition, which fails to appreciate the importance of the individual over a definite period</w:t>
      </w:r>
      <w:r w:rsidR="00CE7A94" w:rsidRPr="00FF5DE7">
        <w:rPr>
          <w:rFonts w:ascii="Times New Roman" w:eastAsia="Times New Roman" w:hAnsi="Times New Roman" w:cs="Times New Roman"/>
          <w:sz w:val="24"/>
          <w:szCs w:val="24"/>
          <w:lang w:val="en-GB"/>
        </w:rPr>
        <w:t xml:space="preserve"> (</w:t>
      </w:r>
      <w:r w:rsidR="00CE7A94" w:rsidRPr="00FF5DE7">
        <w:rPr>
          <w:rFonts w:ascii="Times New Roman" w:eastAsia="Times New Roman" w:hAnsi="Times New Roman" w:cs="Times New Roman"/>
          <w:color w:val="222222"/>
          <w:sz w:val="24"/>
          <w:szCs w:val="24"/>
          <w:highlight w:val="white"/>
          <w:lang w:val="en-GB"/>
        </w:rPr>
        <w:t>Loeffler and Bovaird, 2020</w:t>
      </w:r>
      <w:r w:rsidR="00CE7A94" w:rsidRPr="00FF5DE7">
        <w:rPr>
          <w:rFonts w:ascii="Times New Roman" w:eastAsia="Times New Roman" w:hAnsi="Times New Roman" w:cs="Times New Roman"/>
          <w:sz w:val="24"/>
          <w:szCs w:val="24"/>
          <w:lang w:val="en-GB"/>
        </w:rPr>
        <w:t>)</w:t>
      </w:r>
      <w:r w:rsidRPr="00FF5DE7">
        <w:rPr>
          <w:rFonts w:ascii="Times New Roman" w:eastAsia="Times New Roman" w:hAnsi="Times New Roman" w:cs="Times New Roman"/>
          <w:sz w:val="24"/>
          <w:szCs w:val="24"/>
          <w:lang w:val="en-GB"/>
        </w:rPr>
        <w:t>. Advancement can be developed with the help of an enhanced number of converts towards psychodynamics in conventional psychiatry. Most of the psychiatrists primarily engaged in operating at the descriptive level, monitoring the behaviour as consisting of deliberately chosen and seemingly unable for grabbing the meaning regarding unconscious motivation respectively. Criminal psychodynamics refers to a direct descendant related to subscribes and general psychodynamics to identical tenants (</w:t>
      </w:r>
      <w:r w:rsidRPr="00FF5DE7">
        <w:rPr>
          <w:rFonts w:ascii="Times New Roman" w:eastAsia="Times New Roman" w:hAnsi="Times New Roman" w:cs="Times New Roman"/>
          <w:color w:val="222222"/>
          <w:sz w:val="24"/>
          <w:szCs w:val="24"/>
          <w:highlight w:val="white"/>
          <w:lang w:val="en-GB"/>
        </w:rPr>
        <w:t>Jones, 2021</w:t>
      </w:r>
      <w:r w:rsidRPr="00FF5DE7">
        <w:rPr>
          <w:rFonts w:ascii="Times New Roman" w:eastAsia="Times New Roman" w:hAnsi="Times New Roman" w:cs="Times New Roman"/>
          <w:sz w:val="24"/>
          <w:szCs w:val="24"/>
          <w:lang w:val="en-GB"/>
        </w:rPr>
        <w:t>). A close relationship between insanity and crime can longer be considered an evident factor. The insane primarily contribute toward a larger level of proportion regarding crime as compared to equivalent numbers related to the general population. There can be a proportionally far greater number of criminals as compared to the members of the population as a whole developing insanity. It significantly remained for the psychoanalytic school related to psychiatry for seeking a clearer understanding regarding the meaning of the concerned relationship in an appropriate manner.</w:t>
      </w:r>
    </w:p>
    <w:p w14:paraId="0000000A" w14:textId="77777777" w:rsidR="00725554" w:rsidRPr="00FF5DE7" w:rsidRDefault="00000000"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sz w:val="24"/>
          <w:szCs w:val="24"/>
          <w:lang w:val="en-GB"/>
        </w:rPr>
        <w:t>On the other hand, cognitive behavioural theory primarily combines the principles of development and social psychology along with experimental-clinical psychology in an effective manner (</w:t>
      </w:r>
      <w:r w:rsidRPr="00FF5DE7">
        <w:rPr>
          <w:rFonts w:ascii="Times New Roman" w:eastAsia="Times New Roman" w:hAnsi="Times New Roman" w:cs="Times New Roman"/>
          <w:color w:val="222222"/>
          <w:sz w:val="24"/>
          <w:szCs w:val="24"/>
          <w:highlight w:val="white"/>
          <w:lang w:val="en-GB"/>
        </w:rPr>
        <w:t>Telep and Somers, 2019</w:t>
      </w:r>
      <w:r w:rsidRPr="00FF5DE7">
        <w:rPr>
          <w:rFonts w:ascii="Times New Roman" w:eastAsia="Times New Roman" w:hAnsi="Times New Roman" w:cs="Times New Roman"/>
          <w:sz w:val="24"/>
          <w:szCs w:val="24"/>
          <w:lang w:val="en-GB"/>
        </w:rPr>
        <w:t xml:space="preserve">). The concerned theory as applied to delinquency and crime significantly posits that social behaviour can be learned effectively. The cognitive behaviour approach plays a necessary role in delinquents learning new socially essential skills in solving and recognising their conflicts and problems in an appropriate way. The concerned </w:t>
      </w:r>
      <w:r w:rsidRPr="00FF5DE7">
        <w:rPr>
          <w:rFonts w:ascii="Times New Roman" w:eastAsia="Times New Roman" w:hAnsi="Times New Roman" w:cs="Times New Roman"/>
          <w:sz w:val="24"/>
          <w:szCs w:val="24"/>
          <w:lang w:val="en-GB"/>
        </w:rPr>
        <w:lastRenderedPageBreak/>
        <w:t>individual can be able to gain learning about recognising resistance to the difficulty of defining the problem by putting it into words along with identifying the feelings that have been associated with the problem respectively. It can be evolved by separating the facts from opinions in order to extract all the necessary data for determining alternative solutions in order to consider all the critical consequences along with acting on the best choice over a definite period (</w:t>
      </w:r>
      <w:r w:rsidRPr="00FF5DE7">
        <w:rPr>
          <w:rFonts w:ascii="Times New Roman" w:eastAsia="Times New Roman" w:hAnsi="Times New Roman" w:cs="Times New Roman"/>
          <w:color w:val="222222"/>
          <w:sz w:val="24"/>
          <w:szCs w:val="24"/>
          <w:highlight w:val="white"/>
          <w:lang w:val="en-GB"/>
        </w:rPr>
        <w:t>Lum et al., 2020</w:t>
      </w:r>
      <w:r w:rsidRPr="00FF5DE7">
        <w:rPr>
          <w:rFonts w:ascii="Times New Roman" w:eastAsia="Times New Roman" w:hAnsi="Times New Roman" w:cs="Times New Roman"/>
          <w:sz w:val="24"/>
          <w:szCs w:val="24"/>
          <w:lang w:val="en-GB"/>
        </w:rPr>
        <w:t xml:space="preserve">). Numerous delinquent adolescents enforce the development and utilisation of the concerned skills, which provides them with a sense of potential control over their lives that is missing at the time of possessing problem-solving skills. It is due to the reduction in recidivism, which evolves cognitive behavioural therapy as a promising treatment in terms of improving delinquent behaviour over a specific period. </w:t>
      </w:r>
    </w:p>
    <w:p w14:paraId="0000000C" w14:textId="34908EEE" w:rsidR="00725554" w:rsidRPr="00FF5DE7" w:rsidRDefault="00000000"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sz w:val="24"/>
          <w:szCs w:val="24"/>
          <w:lang w:val="en-GB"/>
        </w:rPr>
        <w:t>Research-based on policing can often reveal the relevant activities within the field of policing in an effective manner. The Evidence-based policy can be frequently utilised for describing the research that tracks, tests and targets the strategies to assist decision-makers in dealing with policy problems (</w:t>
      </w:r>
      <w:r w:rsidRPr="00FF5DE7">
        <w:rPr>
          <w:rFonts w:ascii="Times New Roman" w:eastAsia="Times New Roman" w:hAnsi="Times New Roman" w:cs="Times New Roman"/>
          <w:color w:val="222222"/>
          <w:sz w:val="24"/>
          <w:szCs w:val="24"/>
          <w:highlight w:val="white"/>
          <w:lang w:val="en-GB"/>
        </w:rPr>
        <w:t>Noyes et al., 2019</w:t>
      </w:r>
      <w:r w:rsidRPr="00FF5DE7">
        <w:rPr>
          <w:rFonts w:ascii="Times New Roman" w:eastAsia="Times New Roman" w:hAnsi="Times New Roman" w:cs="Times New Roman"/>
          <w:sz w:val="24"/>
          <w:szCs w:val="24"/>
          <w:lang w:val="en-GB"/>
        </w:rPr>
        <w:t>). It also exposes the problems that managers and executives primarily require for considering within their polishing endeavours. Numerous executives and managers that are interested in the concerned material significantly depend on the organisations such as the "</w:t>
      </w:r>
      <w:r w:rsidRPr="00FF5DE7">
        <w:rPr>
          <w:rFonts w:ascii="Times New Roman" w:eastAsia="Times New Roman" w:hAnsi="Times New Roman" w:cs="Times New Roman"/>
          <w:b/>
          <w:i/>
          <w:sz w:val="24"/>
          <w:szCs w:val="24"/>
          <w:lang w:val="en-GB"/>
        </w:rPr>
        <w:t>Police Executive Research Forum</w:t>
      </w:r>
      <w:r w:rsidRPr="00FF5DE7">
        <w:rPr>
          <w:rFonts w:ascii="Times New Roman" w:eastAsia="Times New Roman" w:hAnsi="Times New Roman" w:cs="Times New Roman"/>
          <w:sz w:val="24"/>
          <w:szCs w:val="24"/>
          <w:lang w:val="en-GB"/>
        </w:rPr>
        <w:t>,” “</w:t>
      </w:r>
      <w:r w:rsidRPr="00FF5DE7">
        <w:rPr>
          <w:rFonts w:ascii="Times New Roman" w:eastAsia="Times New Roman" w:hAnsi="Times New Roman" w:cs="Times New Roman"/>
          <w:b/>
          <w:i/>
          <w:sz w:val="24"/>
          <w:szCs w:val="24"/>
          <w:lang w:val="en-GB"/>
        </w:rPr>
        <w:t>The International Association of</w:t>
      </w:r>
      <w:r w:rsidRPr="00FF5DE7">
        <w:rPr>
          <w:rFonts w:ascii="Times New Roman" w:eastAsia="Times New Roman" w:hAnsi="Times New Roman" w:cs="Times New Roman"/>
          <w:sz w:val="24"/>
          <w:szCs w:val="24"/>
          <w:lang w:val="en-GB"/>
        </w:rPr>
        <w:t xml:space="preserve"> </w:t>
      </w:r>
      <w:r w:rsidRPr="00FF5DE7">
        <w:rPr>
          <w:rFonts w:ascii="Times New Roman" w:eastAsia="Times New Roman" w:hAnsi="Times New Roman" w:cs="Times New Roman"/>
          <w:b/>
          <w:i/>
          <w:sz w:val="24"/>
          <w:szCs w:val="24"/>
          <w:lang w:val="en-GB"/>
        </w:rPr>
        <w:t>Chiefs of Police</w:t>
      </w:r>
      <w:r w:rsidRPr="00FF5DE7">
        <w:rPr>
          <w:rFonts w:ascii="Times New Roman" w:eastAsia="Times New Roman" w:hAnsi="Times New Roman" w:cs="Times New Roman"/>
          <w:sz w:val="24"/>
          <w:szCs w:val="24"/>
          <w:lang w:val="en-GB"/>
        </w:rPr>
        <w:t>,” “</w:t>
      </w:r>
      <w:r w:rsidRPr="00FF5DE7">
        <w:rPr>
          <w:rFonts w:ascii="Times New Roman" w:eastAsia="Times New Roman" w:hAnsi="Times New Roman" w:cs="Times New Roman"/>
          <w:b/>
          <w:i/>
          <w:sz w:val="24"/>
          <w:szCs w:val="24"/>
          <w:lang w:val="en-GB"/>
        </w:rPr>
        <w:t>The National Police Foundation</w:t>
      </w:r>
      <w:r w:rsidRPr="00FF5DE7">
        <w:rPr>
          <w:rFonts w:ascii="Times New Roman" w:eastAsia="Times New Roman" w:hAnsi="Times New Roman" w:cs="Times New Roman"/>
          <w:sz w:val="24"/>
          <w:szCs w:val="24"/>
          <w:lang w:val="en-GB"/>
        </w:rPr>
        <w:t>," and many more for providing them access to relevant research. Few governmental entities including the "</w:t>
      </w:r>
      <w:r w:rsidR="00414766" w:rsidRPr="00FF5DE7">
        <w:rPr>
          <w:rFonts w:ascii="Times New Roman" w:eastAsia="Times New Roman" w:hAnsi="Times New Roman" w:cs="Times New Roman"/>
          <w:b/>
          <w:i/>
          <w:sz w:val="24"/>
          <w:szCs w:val="24"/>
          <w:lang w:val="en-GB"/>
        </w:rPr>
        <w:t>National Institution</w:t>
      </w:r>
      <w:r w:rsidRPr="00FF5DE7">
        <w:rPr>
          <w:rFonts w:ascii="Times New Roman" w:eastAsia="Times New Roman" w:hAnsi="Times New Roman" w:cs="Times New Roman"/>
          <w:b/>
          <w:i/>
          <w:sz w:val="24"/>
          <w:szCs w:val="24"/>
          <w:lang w:val="en-GB"/>
        </w:rPr>
        <w:t xml:space="preserve"> of Justice</w:t>
      </w:r>
      <w:r w:rsidRPr="00FF5DE7">
        <w:rPr>
          <w:rFonts w:ascii="Times New Roman" w:eastAsia="Times New Roman" w:hAnsi="Times New Roman" w:cs="Times New Roman"/>
          <w:sz w:val="24"/>
          <w:szCs w:val="24"/>
          <w:lang w:val="en-GB"/>
        </w:rPr>
        <w:t xml:space="preserve">” can often be engaged in showcasing the research of policing in an appropriate manner. </w:t>
      </w:r>
    </w:p>
    <w:p w14:paraId="0000000D" w14:textId="77777777" w:rsidR="00725554" w:rsidRPr="00FF5DE7" w:rsidRDefault="00000000"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sz w:val="24"/>
          <w:szCs w:val="24"/>
          <w:lang w:val="en-GB"/>
        </w:rPr>
        <w:t>A myriad of beneficial information within the research cannot be highlighted by the concerned groups (</w:t>
      </w:r>
      <w:r w:rsidRPr="00FF5DE7">
        <w:rPr>
          <w:rFonts w:ascii="Times New Roman" w:eastAsia="Times New Roman" w:hAnsi="Times New Roman" w:cs="Times New Roman"/>
          <w:color w:val="222222"/>
          <w:sz w:val="24"/>
          <w:szCs w:val="24"/>
          <w:highlight w:val="white"/>
          <w:lang w:val="en-GB"/>
        </w:rPr>
        <w:t>Greenhalgh et al., 2019</w:t>
      </w:r>
      <w:r w:rsidRPr="00FF5DE7">
        <w:rPr>
          <w:rFonts w:ascii="Times New Roman" w:eastAsia="Times New Roman" w:hAnsi="Times New Roman" w:cs="Times New Roman"/>
          <w:sz w:val="24"/>
          <w:szCs w:val="24"/>
          <w:lang w:val="en-GB"/>
        </w:rPr>
        <w:t>). As a result, it can lead to missed opportunities for applying the research, increasing the potential success regarding policy programs and avoiding programmatic issues over a definite period. Police managers and executives can believe that it is difficult to access policing research, however, it can be accomplished in a simple way. A phone call or an email can be treated as individual actions that are important for obtaining the concerned essential information in an appropriate manner. It has been noted by professional organisations earlier that it can be helpful to connect a manager or executive with a police researcher who gains effective knowledge in the potential subject of interest respectively (</w:t>
      </w:r>
      <w:r w:rsidRPr="00FF5DE7">
        <w:rPr>
          <w:rFonts w:ascii="Times New Roman" w:eastAsia="Times New Roman" w:hAnsi="Times New Roman" w:cs="Times New Roman"/>
          <w:color w:val="222222"/>
          <w:sz w:val="24"/>
          <w:szCs w:val="24"/>
          <w:highlight w:val="white"/>
          <w:lang w:val="en-GB"/>
        </w:rPr>
        <w:t>Peters et al., 2020</w:t>
      </w:r>
      <w:r w:rsidRPr="00FF5DE7">
        <w:rPr>
          <w:rFonts w:ascii="Times New Roman" w:eastAsia="Times New Roman" w:hAnsi="Times New Roman" w:cs="Times New Roman"/>
          <w:sz w:val="24"/>
          <w:szCs w:val="24"/>
          <w:lang w:val="en-GB"/>
        </w:rPr>
        <w:t xml:space="preserve">). A policing researcher can be able to unlock the hidden treasure trove related to policing research for the manager or executive which can assist an individual with </w:t>
      </w:r>
      <w:r w:rsidRPr="00FF5DE7">
        <w:rPr>
          <w:rFonts w:ascii="Times New Roman" w:eastAsia="Times New Roman" w:hAnsi="Times New Roman" w:cs="Times New Roman"/>
          <w:sz w:val="24"/>
          <w:szCs w:val="24"/>
          <w:lang w:val="en-GB"/>
        </w:rPr>
        <w:lastRenderedPageBreak/>
        <w:t xml:space="preserve">the knowledge in terms of addressing the specific problems faced by the police agency over a definite period. </w:t>
      </w:r>
    </w:p>
    <w:p w14:paraId="0000000F" w14:textId="21BB0886" w:rsidR="00725554" w:rsidRPr="00FF5DE7" w:rsidRDefault="00000000"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sz w:val="24"/>
          <w:szCs w:val="24"/>
          <w:lang w:val="en-GB"/>
        </w:rPr>
        <w:t>The data-driven policy can be treated as the utilisation of analytical technology and information in terms of quantitative technology for identifying and acknowledging the relevant targets or crimes, within which police intervention is needed. The concerned information majority plays an important role in the prevention of crime along with solving clients through utilising several technologies including procedure capabilities and statistical prediction (</w:t>
      </w:r>
      <w:r w:rsidRPr="00FF5DE7">
        <w:rPr>
          <w:rFonts w:ascii="Times New Roman" w:eastAsia="Times New Roman" w:hAnsi="Times New Roman" w:cs="Times New Roman"/>
          <w:color w:val="222222"/>
          <w:sz w:val="24"/>
          <w:szCs w:val="24"/>
          <w:highlight w:val="white"/>
          <w:lang w:val="en-GB"/>
        </w:rPr>
        <w:t>Mackey et al., 2021</w:t>
      </w:r>
      <w:r w:rsidRPr="00FF5DE7">
        <w:rPr>
          <w:rFonts w:ascii="Times New Roman" w:eastAsia="Times New Roman" w:hAnsi="Times New Roman" w:cs="Times New Roman"/>
          <w:sz w:val="24"/>
          <w:szCs w:val="24"/>
          <w:lang w:val="en-GB"/>
        </w:rPr>
        <w:t>). The data-driven policy primarily aims at utilising quantitative technology with an effective combination of reliable information as well as evidence of a crime that can be helpful in the early prevention and detection of crime respectively</w:t>
      </w:r>
      <w:r w:rsidR="00CE7A94" w:rsidRPr="00FF5DE7">
        <w:rPr>
          <w:rFonts w:ascii="Times New Roman" w:eastAsia="Times New Roman" w:hAnsi="Times New Roman" w:cs="Times New Roman"/>
          <w:sz w:val="24"/>
          <w:szCs w:val="24"/>
          <w:lang w:val="en-GB"/>
        </w:rPr>
        <w:t xml:space="preserve"> (</w:t>
      </w:r>
      <w:r w:rsidR="00CE7A94" w:rsidRPr="00FF5DE7">
        <w:rPr>
          <w:rFonts w:ascii="Times New Roman" w:eastAsia="Times New Roman" w:hAnsi="Times New Roman" w:cs="Times New Roman"/>
          <w:color w:val="222222"/>
          <w:sz w:val="24"/>
          <w:szCs w:val="24"/>
          <w:highlight w:val="white"/>
          <w:lang w:val="en-GB"/>
        </w:rPr>
        <w:t>Greenhalgh et al., 2019</w:t>
      </w:r>
      <w:r w:rsidR="00CE7A94" w:rsidRPr="00FF5DE7">
        <w:rPr>
          <w:rFonts w:ascii="Times New Roman" w:eastAsia="Times New Roman" w:hAnsi="Times New Roman" w:cs="Times New Roman"/>
          <w:sz w:val="24"/>
          <w:szCs w:val="24"/>
          <w:lang w:val="en-GB"/>
        </w:rPr>
        <w:t>)</w:t>
      </w:r>
      <w:r w:rsidRPr="00FF5DE7">
        <w:rPr>
          <w:rFonts w:ascii="Times New Roman" w:eastAsia="Times New Roman" w:hAnsi="Times New Roman" w:cs="Times New Roman"/>
          <w:sz w:val="24"/>
          <w:szCs w:val="24"/>
          <w:lang w:val="en-GB"/>
        </w:rPr>
        <w:t xml:space="preserve">. </w:t>
      </w:r>
    </w:p>
    <w:p w14:paraId="00000010" w14:textId="77777777" w:rsidR="00725554" w:rsidRPr="00FF5DE7" w:rsidRDefault="00000000"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sz w:val="24"/>
          <w:szCs w:val="24"/>
          <w:lang w:val="en-GB"/>
        </w:rPr>
        <w:t>The basic presumption related to data-driven policing involves the crime not necessarily happening in a random manner in various locations however, it can be identified through utilising the concerned technology. As a result, instead of utilising traditional technology for investigating crime, it is important for the agency to utilise data-driven policing methods for identifying the patterns regarding crime utilising the power of analytics appropriately (</w:t>
      </w:r>
      <w:r w:rsidRPr="00FF5DE7">
        <w:rPr>
          <w:rFonts w:ascii="Times New Roman" w:eastAsia="Times New Roman" w:hAnsi="Times New Roman" w:cs="Times New Roman"/>
          <w:color w:val="222222"/>
          <w:sz w:val="24"/>
          <w:szCs w:val="24"/>
          <w:highlight w:val="white"/>
          <w:lang w:val="en-GB"/>
        </w:rPr>
        <w:t>Meijer and Wessels, 2019</w:t>
      </w:r>
      <w:r w:rsidRPr="00FF5DE7">
        <w:rPr>
          <w:rFonts w:ascii="Times New Roman" w:eastAsia="Times New Roman" w:hAnsi="Times New Roman" w:cs="Times New Roman"/>
          <w:sz w:val="24"/>
          <w:szCs w:val="24"/>
          <w:lang w:val="en-GB"/>
        </w:rPr>
        <w:t xml:space="preserve">). Data-driven policing primarily does not aim for the removal of the traditional technology in the crime investigation however it fastens the aspects of an investigation by utilising data analytics along with several other methods to prevent and forecast crime. Effective utilisation of new data analysis techniques on various data tools evolves law enforcement authorities to predict and detect the occurrence of an incident along with deploying police officials in an appropriate way. </w:t>
      </w:r>
    </w:p>
    <w:p w14:paraId="00000012" w14:textId="0E048B3F" w:rsidR="00725554" w:rsidRPr="00FF5DE7" w:rsidRDefault="00000000"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sz w:val="24"/>
          <w:szCs w:val="24"/>
          <w:lang w:val="en-GB"/>
        </w:rPr>
        <w:t>The effectiveness of police in holding offenders primarily accounts for numerous reasons. general deterrence can be treated as an important factor based on police effectiveness in terms of reducing the aspects of crime extensively. Numerous offenders can significantly weigh the risk of getting caught in terms of catching offenders along with solving crimes by the police officer in an effective manner (</w:t>
      </w:r>
      <w:r w:rsidRPr="00FF5DE7">
        <w:rPr>
          <w:rFonts w:ascii="Times New Roman" w:eastAsia="Times New Roman" w:hAnsi="Times New Roman" w:cs="Times New Roman"/>
          <w:color w:val="222222"/>
          <w:sz w:val="24"/>
          <w:szCs w:val="24"/>
          <w:highlight w:val="white"/>
          <w:lang w:val="en-GB"/>
        </w:rPr>
        <w:t>Herrera Damas and Benítez de Gracia, 2022</w:t>
      </w:r>
      <w:r w:rsidRPr="00FF5DE7">
        <w:rPr>
          <w:rFonts w:ascii="Times New Roman" w:eastAsia="Times New Roman" w:hAnsi="Times New Roman" w:cs="Times New Roman"/>
          <w:sz w:val="24"/>
          <w:szCs w:val="24"/>
          <w:lang w:val="en-GB"/>
        </w:rPr>
        <w:t xml:space="preserve">). Specific deterrence can also be demonstrated as a vital factor for the police officer in terms of catching the offenders that can be deprived related to the opportunity for committing more crimes under closed supervision respectively. Holding offenders can be accountable in terms of service to the victims along with their families. Irrespective of suffering from harm that cannot be repaired the victims can often get few levels of comfort from knowing the individuals that offended them were caught. In a few cases, it can also be released from getting compensation </w:t>
      </w:r>
      <w:r w:rsidRPr="00FF5DE7">
        <w:rPr>
          <w:rFonts w:ascii="Times New Roman" w:eastAsia="Times New Roman" w:hAnsi="Times New Roman" w:cs="Times New Roman"/>
          <w:sz w:val="24"/>
          <w:szCs w:val="24"/>
          <w:lang w:val="en-GB"/>
        </w:rPr>
        <w:lastRenderedPageBreak/>
        <w:t>in the form of restitution with respect to the offender over a definite period (</w:t>
      </w:r>
      <w:r w:rsidRPr="00FF5DE7">
        <w:rPr>
          <w:rFonts w:ascii="Times New Roman" w:eastAsia="Times New Roman" w:hAnsi="Times New Roman" w:cs="Times New Roman"/>
          <w:color w:val="222222"/>
          <w:sz w:val="24"/>
          <w:szCs w:val="24"/>
          <w:highlight w:val="white"/>
          <w:lang w:val="en-GB"/>
        </w:rPr>
        <w:t>Moglia et al., 2021</w:t>
      </w:r>
      <w:r w:rsidRPr="00FF5DE7">
        <w:rPr>
          <w:rFonts w:ascii="Times New Roman" w:eastAsia="Times New Roman" w:hAnsi="Times New Roman" w:cs="Times New Roman"/>
          <w:sz w:val="24"/>
          <w:szCs w:val="24"/>
          <w:lang w:val="en-GB"/>
        </w:rPr>
        <w:t xml:space="preserve">). Police </w:t>
      </w:r>
      <w:r w:rsidR="00414766" w:rsidRPr="00FF5DE7">
        <w:rPr>
          <w:rFonts w:ascii="Times New Roman" w:eastAsia="Times New Roman" w:hAnsi="Times New Roman" w:cs="Times New Roman"/>
          <w:sz w:val="24"/>
          <w:szCs w:val="24"/>
          <w:lang w:val="en-GB"/>
        </w:rPr>
        <w:t>officer’s</w:t>
      </w:r>
      <w:r w:rsidRPr="00FF5DE7">
        <w:rPr>
          <w:rFonts w:ascii="Times New Roman" w:eastAsia="Times New Roman" w:hAnsi="Times New Roman" w:cs="Times New Roman"/>
          <w:sz w:val="24"/>
          <w:szCs w:val="24"/>
          <w:lang w:val="en-GB"/>
        </w:rPr>
        <w:t xml:space="preserve"> ought to be interested in terms of holding accountability for the quality of the investigations and arrests along with the ultimate outcomes of the concerned activities in an accurate manner. </w:t>
      </w:r>
    </w:p>
    <w:p w14:paraId="00000013" w14:textId="0F452EFA" w:rsidR="00725554" w:rsidRPr="00FF5DE7" w:rsidRDefault="00000000"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sz w:val="24"/>
          <w:szCs w:val="24"/>
          <w:lang w:val="en-GB"/>
        </w:rPr>
        <w:t>It is essential for police officers to emphasise the evidence-based policy within the recent hyphenated strategy of policing in an effective manner</w:t>
      </w:r>
      <w:r w:rsidR="00CE7A94" w:rsidRPr="00FF5DE7">
        <w:rPr>
          <w:rFonts w:ascii="Times New Roman" w:eastAsia="Times New Roman" w:hAnsi="Times New Roman" w:cs="Times New Roman"/>
          <w:sz w:val="24"/>
          <w:szCs w:val="24"/>
          <w:lang w:val="en-GB"/>
        </w:rPr>
        <w:t xml:space="preserve"> (</w:t>
      </w:r>
      <w:r w:rsidR="00CE7A94" w:rsidRPr="00FF5DE7">
        <w:rPr>
          <w:rFonts w:ascii="Times New Roman" w:eastAsia="Times New Roman" w:hAnsi="Times New Roman" w:cs="Times New Roman"/>
          <w:color w:val="222222"/>
          <w:sz w:val="24"/>
          <w:szCs w:val="24"/>
          <w:highlight w:val="white"/>
          <w:lang w:val="en-GB"/>
        </w:rPr>
        <w:t>Herrera Damas and Benítez de Gracia, 2022</w:t>
      </w:r>
      <w:r w:rsidR="00CE7A94" w:rsidRPr="00FF5DE7">
        <w:rPr>
          <w:rFonts w:ascii="Times New Roman" w:eastAsia="Times New Roman" w:hAnsi="Times New Roman" w:cs="Times New Roman"/>
          <w:sz w:val="24"/>
          <w:szCs w:val="24"/>
          <w:lang w:val="en-GB"/>
        </w:rPr>
        <w:t>)</w:t>
      </w:r>
      <w:r w:rsidRPr="00FF5DE7">
        <w:rPr>
          <w:rFonts w:ascii="Times New Roman" w:eastAsia="Times New Roman" w:hAnsi="Times New Roman" w:cs="Times New Roman"/>
          <w:sz w:val="24"/>
          <w:szCs w:val="24"/>
          <w:lang w:val="en-GB"/>
        </w:rPr>
        <w:t>. EBP can be helpful for the law enforcement agency to determine the aspects of strategy that can be the best for its condition. It can also be considered a vital factor for the agency in terms of implementing the concerned strategy along with assessing the process of operating the concerned strategy in an effective way.  Intelligence-led policing primarily depends greatly on the data for assessing the targets of priority in terms of dissolving the police attention extensively (</w:t>
      </w:r>
      <w:r w:rsidRPr="00FF5DE7">
        <w:rPr>
          <w:rFonts w:ascii="Times New Roman" w:eastAsia="Times New Roman" w:hAnsi="Times New Roman" w:cs="Times New Roman"/>
          <w:color w:val="222222"/>
          <w:sz w:val="24"/>
          <w:szCs w:val="24"/>
          <w:highlight w:val="white"/>
          <w:lang w:val="en-GB"/>
        </w:rPr>
        <w:t>Hsieh et al., 2019</w:t>
      </w:r>
      <w:r w:rsidRPr="00FF5DE7">
        <w:rPr>
          <w:rFonts w:ascii="Times New Roman" w:eastAsia="Times New Roman" w:hAnsi="Times New Roman" w:cs="Times New Roman"/>
          <w:sz w:val="24"/>
          <w:szCs w:val="24"/>
          <w:lang w:val="en-GB"/>
        </w:rPr>
        <w:t>). Thorough analysis is important to be implemented by the police officer in order to assist in uncovering crime patterns and connecting offenders along with the other dynamics, which can be helpful to figure out the process of intervening for the police efficiently. The driving principle related to intelligence-led policing enforces the actions of the agency to be guided in an appropriate manner (</w:t>
      </w:r>
      <w:r w:rsidRPr="00FF5DE7">
        <w:rPr>
          <w:rFonts w:ascii="Times New Roman" w:eastAsia="Times New Roman" w:hAnsi="Times New Roman" w:cs="Times New Roman"/>
          <w:color w:val="222222"/>
          <w:sz w:val="24"/>
          <w:szCs w:val="24"/>
          <w:highlight w:val="white"/>
          <w:lang w:val="en-GB"/>
        </w:rPr>
        <w:t>Zulfiqar et al., 2019</w:t>
      </w:r>
      <w:r w:rsidRPr="00FF5DE7">
        <w:rPr>
          <w:rFonts w:ascii="Times New Roman" w:eastAsia="Times New Roman" w:hAnsi="Times New Roman" w:cs="Times New Roman"/>
          <w:sz w:val="24"/>
          <w:szCs w:val="24"/>
          <w:lang w:val="en-GB"/>
        </w:rPr>
        <w:t>). As a result, it is important for the police officer to be indulged in investigating the cases in such a manner that can lead to reducing the probability of adverse outcomes over a specific period.</w:t>
      </w:r>
    </w:p>
    <w:p w14:paraId="00000014" w14:textId="77777777" w:rsidR="00725554" w:rsidRPr="00FF5DE7" w:rsidRDefault="00000000" w:rsidP="008B29A9">
      <w:pPr>
        <w:pStyle w:val="Normal1"/>
        <w:spacing w:before="240" w:after="240" w:line="360" w:lineRule="auto"/>
        <w:jc w:val="both"/>
        <w:rPr>
          <w:rFonts w:ascii="Times New Roman" w:eastAsia="Times New Roman" w:hAnsi="Times New Roman" w:cs="Times New Roman"/>
          <w:b/>
          <w:sz w:val="24"/>
          <w:szCs w:val="24"/>
          <w:lang w:val="en-GB"/>
        </w:rPr>
      </w:pPr>
      <w:r w:rsidRPr="00FF5DE7">
        <w:rPr>
          <w:rFonts w:ascii="Times New Roman" w:eastAsia="Times New Roman" w:hAnsi="Times New Roman" w:cs="Times New Roman"/>
          <w:b/>
          <w:sz w:val="24"/>
          <w:szCs w:val="24"/>
          <w:lang w:val="en-GB"/>
        </w:rPr>
        <w:t>3.0 Conclusion</w:t>
      </w:r>
    </w:p>
    <w:p w14:paraId="00000015" w14:textId="77777777" w:rsidR="00725554" w:rsidRPr="00FF5DE7" w:rsidRDefault="00000000" w:rsidP="008B29A9">
      <w:pPr>
        <w:pStyle w:val="Normal1"/>
        <w:spacing w:before="240" w:after="240" w:line="360" w:lineRule="auto"/>
        <w:jc w:val="both"/>
        <w:rPr>
          <w:rFonts w:ascii="Times New Roman" w:eastAsia="Times New Roman" w:hAnsi="Times New Roman" w:cs="Times New Roman"/>
          <w:b/>
          <w:sz w:val="24"/>
          <w:szCs w:val="24"/>
          <w:lang w:val="en-GB"/>
        </w:rPr>
      </w:pPr>
      <w:r w:rsidRPr="00FF5DE7">
        <w:rPr>
          <w:rFonts w:ascii="Times New Roman" w:eastAsia="Times New Roman" w:hAnsi="Times New Roman" w:cs="Times New Roman"/>
          <w:sz w:val="24"/>
          <w:szCs w:val="24"/>
          <w:lang w:val="en-GB"/>
        </w:rPr>
        <w:t>The current study reflects on the core concepts related to evidence-based policing in an effective way. Criminological theories can be effectively utilised by the police officer in terms of underpinning their utilisation within the evidence-based policy to achieve positive results over a definite period. The essential methods can also be effectively conducted by the concerned officers for the collection of data informing evidence-based policy in a significant manner. The potential processes for analysing data along with establishing useful evidence can be efficiently implemented by the present professionals. Critical weaknesses and crucial strengths related to evidence repositories need to be utilised by the present professionals as a relevant means to implement evidence-based policy in the future respectively.</w:t>
      </w:r>
      <w:r w:rsidRPr="00FF5DE7">
        <w:rPr>
          <w:lang w:val="en-GB"/>
        </w:rPr>
        <w:br w:type="page"/>
      </w:r>
    </w:p>
    <w:p w14:paraId="00000016" w14:textId="77777777" w:rsidR="00725554" w:rsidRPr="00FF5DE7" w:rsidRDefault="00000000" w:rsidP="008B29A9">
      <w:pPr>
        <w:pStyle w:val="Normal1"/>
        <w:spacing w:before="240" w:after="240" w:line="360" w:lineRule="auto"/>
        <w:jc w:val="both"/>
        <w:rPr>
          <w:rFonts w:ascii="Times New Roman" w:eastAsia="Times New Roman" w:hAnsi="Times New Roman" w:cs="Times New Roman"/>
          <w:b/>
          <w:sz w:val="24"/>
          <w:szCs w:val="24"/>
          <w:lang w:val="en-GB"/>
        </w:rPr>
      </w:pPr>
      <w:r w:rsidRPr="00FF5DE7">
        <w:rPr>
          <w:rFonts w:ascii="Times New Roman" w:eastAsia="Times New Roman" w:hAnsi="Times New Roman" w:cs="Times New Roman"/>
          <w:b/>
          <w:sz w:val="24"/>
          <w:szCs w:val="24"/>
          <w:lang w:val="en-GB"/>
        </w:rPr>
        <w:lastRenderedPageBreak/>
        <w:t>Reference List</w:t>
      </w:r>
    </w:p>
    <w:p w14:paraId="59D1503C"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color w:val="222222"/>
          <w:sz w:val="24"/>
          <w:szCs w:val="24"/>
          <w:highlight w:val="white"/>
          <w:lang w:val="en-GB"/>
        </w:rPr>
        <w:t xml:space="preserve">Gerritsen, C. and Elffers, H. eds., (2020). </w:t>
      </w:r>
      <w:r w:rsidRPr="00FF5DE7">
        <w:rPr>
          <w:rFonts w:ascii="Times New Roman" w:eastAsia="Times New Roman" w:hAnsi="Times New Roman" w:cs="Times New Roman"/>
          <w:i/>
          <w:sz w:val="24"/>
          <w:szCs w:val="24"/>
          <w:lang w:val="en-GB"/>
        </w:rPr>
        <w:t>Agent-based modelling for criminological theory testing and development</w:t>
      </w:r>
      <w:r w:rsidRPr="00FF5DE7">
        <w:rPr>
          <w:rFonts w:ascii="Times New Roman" w:eastAsia="Times New Roman" w:hAnsi="Times New Roman" w:cs="Times New Roman"/>
          <w:sz w:val="24"/>
          <w:szCs w:val="24"/>
          <w:lang w:val="en-GB"/>
        </w:rPr>
        <w:t>. Abingdon: Routledge.</w:t>
      </w:r>
    </w:p>
    <w:p w14:paraId="4DFFF1D3"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color w:val="222222"/>
          <w:sz w:val="24"/>
          <w:szCs w:val="24"/>
          <w:highlight w:val="white"/>
          <w:lang w:val="en-GB"/>
        </w:rPr>
        <w:t xml:space="preserve">Greenhalgh, T., Hinton, L., Finlay, T., Macfarlane, A., Fahy, N., Clyde, B. and Chant, A., (2019). Frameworks for supporting patient and public involvement in research: systematic review and co‐design pilot. </w:t>
      </w:r>
      <w:r w:rsidRPr="00FF5DE7">
        <w:rPr>
          <w:rFonts w:ascii="Times New Roman" w:eastAsia="Times New Roman" w:hAnsi="Times New Roman" w:cs="Times New Roman"/>
          <w:i/>
          <w:sz w:val="24"/>
          <w:szCs w:val="24"/>
          <w:lang w:val="en-GB"/>
        </w:rPr>
        <w:t>Health expectations</w:t>
      </w:r>
      <w:r w:rsidRPr="00FF5DE7">
        <w:rPr>
          <w:rFonts w:ascii="Times New Roman" w:eastAsia="Times New Roman" w:hAnsi="Times New Roman" w:cs="Times New Roman"/>
          <w:sz w:val="24"/>
          <w:szCs w:val="24"/>
          <w:lang w:val="en-GB"/>
        </w:rPr>
        <w:t xml:space="preserve">, </w:t>
      </w:r>
      <w:r w:rsidRPr="00FF5DE7">
        <w:rPr>
          <w:rFonts w:ascii="Times New Roman" w:eastAsia="Times New Roman" w:hAnsi="Times New Roman" w:cs="Times New Roman"/>
          <w:i/>
          <w:sz w:val="24"/>
          <w:szCs w:val="24"/>
          <w:lang w:val="en-GB"/>
        </w:rPr>
        <w:t>22</w:t>
      </w:r>
      <w:r w:rsidRPr="00FF5DE7">
        <w:rPr>
          <w:rFonts w:ascii="Times New Roman" w:eastAsia="Times New Roman" w:hAnsi="Times New Roman" w:cs="Times New Roman"/>
          <w:sz w:val="24"/>
          <w:szCs w:val="24"/>
          <w:lang w:val="en-GB"/>
        </w:rPr>
        <w:t>(4), pp.785-801.</w:t>
      </w:r>
    </w:p>
    <w:p w14:paraId="6EED184C"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color w:val="222222"/>
          <w:sz w:val="24"/>
          <w:szCs w:val="24"/>
          <w:highlight w:val="white"/>
          <w:lang w:val="en-GB"/>
        </w:rPr>
        <w:t xml:space="preserve">Herrera Damas, S. and Benítez de Gracia, M.J., (2022). Immersive journalism: Advantages, disadvantages and challenges from the perspective of experts. </w:t>
      </w:r>
      <w:r w:rsidRPr="00FF5DE7">
        <w:rPr>
          <w:rFonts w:ascii="Times New Roman" w:eastAsia="Times New Roman" w:hAnsi="Times New Roman" w:cs="Times New Roman"/>
          <w:i/>
          <w:sz w:val="24"/>
          <w:szCs w:val="24"/>
          <w:lang w:val="en-GB"/>
        </w:rPr>
        <w:t>Journalism and Media</w:t>
      </w:r>
      <w:r w:rsidRPr="00FF5DE7">
        <w:rPr>
          <w:rFonts w:ascii="Times New Roman" w:eastAsia="Times New Roman" w:hAnsi="Times New Roman" w:cs="Times New Roman"/>
          <w:sz w:val="24"/>
          <w:szCs w:val="24"/>
          <w:lang w:val="en-GB"/>
        </w:rPr>
        <w:t xml:space="preserve">, </w:t>
      </w:r>
      <w:r w:rsidRPr="00FF5DE7">
        <w:rPr>
          <w:rFonts w:ascii="Times New Roman" w:eastAsia="Times New Roman" w:hAnsi="Times New Roman" w:cs="Times New Roman"/>
          <w:i/>
          <w:sz w:val="24"/>
          <w:szCs w:val="24"/>
          <w:lang w:val="en-GB"/>
        </w:rPr>
        <w:t>3</w:t>
      </w:r>
      <w:r w:rsidRPr="00FF5DE7">
        <w:rPr>
          <w:rFonts w:ascii="Times New Roman" w:eastAsia="Times New Roman" w:hAnsi="Times New Roman" w:cs="Times New Roman"/>
          <w:sz w:val="24"/>
          <w:szCs w:val="24"/>
          <w:lang w:val="en-GB"/>
        </w:rPr>
        <w:t>(2), pp.330-347.</w:t>
      </w:r>
    </w:p>
    <w:p w14:paraId="18CA03FD"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color w:val="222222"/>
          <w:sz w:val="24"/>
          <w:szCs w:val="24"/>
          <w:highlight w:val="white"/>
          <w:lang w:val="en-GB"/>
        </w:rPr>
        <w:t xml:space="preserve">Hsieh, C.Y., Su, C.C., Shao, S.C., Sung, S.F., Lin, S.J., Kao Yang, Y.H. and Lai, E.C.C., (2019). Taiwan’s national health insurance research database: past and future. </w:t>
      </w:r>
      <w:r w:rsidRPr="00FF5DE7">
        <w:rPr>
          <w:rFonts w:ascii="Times New Roman" w:eastAsia="Times New Roman" w:hAnsi="Times New Roman" w:cs="Times New Roman"/>
          <w:i/>
          <w:sz w:val="24"/>
          <w:szCs w:val="24"/>
          <w:lang w:val="en-GB"/>
        </w:rPr>
        <w:t>Clinical epidemiology</w:t>
      </w:r>
      <w:r w:rsidRPr="00FF5DE7">
        <w:rPr>
          <w:rFonts w:ascii="Times New Roman" w:eastAsia="Times New Roman" w:hAnsi="Times New Roman" w:cs="Times New Roman"/>
          <w:sz w:val="24"/>
          <w:szCs w:val="24"/>
          <w:lang w:val="en-GB"/>
        </w:rPr>
        <w:t>, pp.349-358.</w:t>
      </w:r>
    </w:p>
    <w:p w14:paraId="1907B570"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FF5DE7">
        <w:rPr>
          <w:rFonts w:ascii="Times New Roman" w:eastAsia="Times New Roman" w:hAnsi="Times New Roman" w:cs="Times New Roman"/>
          <w:color w:val="222222"/>
          <w:sz w:val="24"/>
          <w:szCs w:val="24"/>
          <w:highlight w:val="white"/>
          <w:lang w:val="en-GB"/>
        </w:rPr>
        <w:t xml:space="preserve">Jones, S., (2021). </w:t>
      </w:r>
      <w:r w:rsidRPr="00FF5DE7">
        <w:rPr>
          <w:rFonts w:ascii="Times New Roman" w:eastAsia="Times New Roman" w:hAnsi="Times New Roman" w:cs="Times New Roman"/>
          <w:i/>
          <w:sz w:val="24"/>
          <w:szCs w:val="24"/>
          <w:lang w:val="en-GB"/>
        </w:rPr>
        <w:t>Criminology</w:t>
      </w:r>
      <w:r w:rsidRPr="00FF5DE7">
        <w:rPr>
          <w:rFonts w:ascii="Times New Roman" w:eastAsia="Times New Roman" w:hAnsi="Times New Roman" w:cs="Times New Roman"/>
          <w:sz w:val="24"/>
          <w:szCs w:val="24"/>
          <w:lang w:val="en-GB"/>
        </w:rPr>
        <w:t>. Oxford: Oxford University Press.</w:t>
      </w:r>
    </w:p>
    <w:p w14:paraId="57C849D3"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color w:val="222222"/>
          <w:sz w:val="24"/>
          <w:szCs w:val="24"/>
          <w:highlight w:val="white"/>
          <w:lang w:val="en-GB"/>
        </w:rPr>
        <w:t xml:space="preserve">Loeffler, E. and Bovaird, T., (2020). Assessing the impact of co-production on pathways to outcomes in public services: The case of policing and criminal justice. </w:t>
      </w:r>
      <w:r w:rsidRPr="00FF5DE7">
        <w:rPr>
          <w:rFonts w:ascii="Times New Roman" w:eastAsia="Times New Roman" w:hAnsi="Times New Roman" w:cs="Times New Roman"/>
          <w:i/>
          <w:sz w:val="24"/>
          <w:szCs w:val="24"/>
          <w:lang w:val="en-GB"/>
        </w:rPr>
        <w:t>International Public Management Journal</w:t>
      </w:r>
      <w:r w:rsidRPr="00FF5DE7">
        <w:rPr>
          <w:rFonts w:ascii="Times New Roman" w:eastAsia="Times New Roman" w:hAnsi="Times New Roman" w:cs="Times New Roman"/>
          <w:sz w:val="24"/>
          <w:szCs w:val="24"/>
          <w:lang w:val="en-GB"/>
        </w:rPr>
        <w:t xml:space="preserve">, </w:t>
      </w:r>
      <w:r w:rsidRPr="00FF5DE7">
        <w:rPr>
          <w:rFonts w:ascii="Times New Roman" w:eastAsia="Times New Roman" w:hAnsi="Times New Roman" w:cs="Times New Roman"/>
          <w:i/>
          <w:sz w:val="24"/>
          <w:szCs w:val="24"/>
          <w:lang w:val="en-GB"/>
        </w:rPr>
        <w:t>23</w:t>
      </w:r>
      <w:r w:rsidRPr="00FF5DE7">
        <w:rPr>
          <w:rFonts w:ascii="Times New Roman" w:eastAsia="Times New Roman" w:hAnsi="Times New Roman" w:cs="Times New Roman"/>
          <w:sz w:val="24"/>
          <w:szCs w:val="24"/>
          <w:lang w:val="en-GB"/>
        </w:rPr>
        <w:t>(2), pp.205-223.</w:t>
      </w:r>
    </w:p>
    <w:p w14:paraId="39C51013"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FF5DE7">
        <w:rPr>
          <w:rFonts w:ascii="Times New Roman" w:eastAsia="Times New Roman" w:hAnsi="Times New Roman" w:cs="Times New Roman"/>
          <w:color w:val="222222"/>
          <w:sz w:val="24"/>
          <w:szCs w:val="24"/>
          <w:highlight w:val="white"/>
          <w:lang w:val="en-GB"/>
        </w:rPr>
        <w:t xml:space="preserve">Lum, C., Koper, C.S., Wu, X., Johnson, W. and Stoltz, M., (2020). Examining the empirical realities of proactive policing through systematic observations and computer-aided dispatch data. </w:t>
      </w:r>
      <w:r w:rsidRPr="00FF5DE7">
        <w:rPr>
          <w:rFonts w:ascii="Times New Roman" w:eastAsia="Times New Roman" w:hAnsi="Times New Roman" w:cs="Times New Roman"/>
          <w:i/>
          <w:sz w:val="24"/>
          <w:szCs w:val="24"/>
          <w:lang w:val="en-GB"/>
        </w:rPr>
        <w:t>Police Quarterly</w:t>
      </w:r>
      <w:r w:rsidRPr="00FF5DE7">
        <w:rPr>
          <w:rFonts w:ascii="Times New Roman" w:eastAsia="Times New Roman" w:hAnsi="Times New Roman" w:cs="Times New Roman"/>
          <w:sz w:val="24"/>
          <w:szCs w:val="24"/>
          <w:lang w:val="en-GB"/>
        </w:rPr>
        <w:t xml:space="preserve">, </w:t>
      </w:r>
      <w:r w:rsidRPr="00FF5DE7">
        <w:rPr>
          <w:rFonts w:ascii="Times New Roman" w:eastAsia="Times New Roman" w:hAnsi="Times New Roman" w:cs="Times New Roman"/>
          <w:i/>
          <w:sz w:val="24"/>
          <w:szCs w:val="24"/>
          <w:lang w:val="en-GB"/>
        </w:rPr>
        <w:t>23</w:t>
      </w:r>
      <w:r w:rsidRPr="00FF5DE7">
        <w:rPr>
          <w:rFonts w:ascii="Times New Roman" w:eastAsia="Times New Roman" w:hAnsi="Times New Roman" w:cs="Times New Roman"/>
          <w:sz w:val="24"/>
          <w:szCs w:val="24"/>
          <w:lang w:val="en-GB"/>
        </w:rPr>
        <w:t>(3), pp.283-310.</w:t>
      </w:r>
    </w:p>
    <w:p w14:paraId="58067C5F"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color w:val="222222"/>
          <w:sz w:val="24"/>
          <w:szCs w:val="24"/>
          <w:highlight w:val="white"/>
          <w:lang w:val="en-GB"/>
        </w:rPr>
        <w:t xml:space="preserve">Mackey, K., Ayers, C.K., Kondo, K.K., Saha, S., Advani, S.M., Young, S., Spencer, H., Rusek, M., Anderson, J., Veazie, S. and Smith, M., (2021). Racial and ethnic disparities in COVID-19–related infections, hospitalizations, and deaths: a systematic review. </w:t>
      </w:r>
      <w:r w:rsidRPr="00FF5DE7">
        <w:rPr>
          <w:rFonts w:ascii="Times New Roman" w:eastAsia="Times New Roman" w:hAnsi="Times New Roman" w:cs="Times New Roman"/>
          <w:i/>
          <w:sz w:val="24"/>
          <w:szCs w:val="24"/>
          <w:lang w:val="en-GB"/>
        </w:rPr>
        <w:t>Annals of internal medicine</w:t>
      </w:r>
      <w:r w:rsidRPr="00FF5DE7">
        <w:rPr>
          <w:rFonts w:ascii="Times New Roman" w:eastAsia="Times New Roman" w:hAnsi="Times New Roman" w:cs="Times New Roman"/>
          <w:sz w:val="24"/>
          <w:szCs w:val="24"/>
          <w:lang w:val="en-GB"/>
        </w:rPr>
        <w:t xml:space="preserve">, </w:t>
      </w:r>
      <w:r w:rsidRPr="00FF5DE7">
        <w:rPr>
          <w:rFonts w:ascii="Times New Roman" w:eastAsia="Times New Roman" w:hAnsi="Times New Roman" w:cs="Times New Roman"/>
          <w:i/>
          <w:sz w:val="24"/>
          <w:szCs w:val="24"/>
          <w:lang w:val="en-GB"/>
        </w:rPr>
        <w:t>174</w:t>
      </w:r>
      <w:r w:rsidRPr="00FF5DE7">
        <w:rPr>
          <w:rFonts w:ascii="Times New Roman" w:eastAsia="Times New Roman" w:hAnsi="Times New Roman" w:cs="Times New Roman"/>
          <w:sz w:val="24"/>
          <w:szCs w:val="24"/>
          <w:lang w:val="en-GB"/>
        </w:rPr>
        <w:t>(3), pp.362-373.</w:t>
      </w:r>
    </w:p>
    <w:p w14:paraId="0BDE2FB1"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FF5DE7">
        <w:rPr>
          <w:rFonts w:ascii="Times New Roman" w:eastAsia="Times New Roman" w:hAnsi="Times New Roman" w:cs="Times New Roman"/>
          <w:color w:val="222222"/>
          <w:sz w:val="24"/>
          <w:szCs w:val="24"/>
          <w:highlight w:val="white"/>
          <w:lang w:val="en-GB"/>
        </w:rPr>
        <w:t xml:space="preserve">Meijer, A. and Wessels, M., (2019). Predictive policing: Review of benefits and drawbacks. </w:t>
      </w:r>
      <w:r w:rsidRPr="00FF5DE7">
        <w:rPr>
          <w:rFonts w:ascii="Times New Roman" w:eastAsia="Times New Roman" w:hAnsi="Times New Roman" w:cs="Times New Roman"/>
          <w:i/>
          <w:sz w:val="24"/>
          <w:szCs w:val="24"/>
          <w:lang w:val="en-GB"/>
        </w:rPr>
        <w:t>International Journal of Public Administration</w:t>
      </w:r>
      <w:r w:rsidRPr="00FF5DE7">
        <w:rPr>
          <w:rFonts w:ascii="Times New Roman" w:eastAsia="Times New Roman" w:hAnsi="Times New Roman" w:cs="Times New Roman"/>
          <w:sz w:val="24"/>
          <w:szCs w:val="24"/>
          <w:lang w:val="en-GB"/>
        </w:rPr>
        <w:t xml:space="preserve">, </w:t>
      </w:r>
      <w:r w:rsidRPr="00FF5DE7">
        <w:rPr>
          <w:rFonts w:ascii="Times New Roman" w:eastAsia="Times New Roman" w:hAnsi="Times New Roman" w:cs="Times New Roman"/>
          <w:i/>
          <w:sz w:val="24"/>
          <w:szCs w:val="24"/>
          <w:lang w:val="en-GB"/>
        </w:rPr>
        <w:t>42</w:t>
      </w:r>
      <w:r w:rsidRPr="00FF5DE7">
        <w:rPr>
          <w:rFonts w:ascii="Times New Roman" w:eastAsia="Times New Roman" w:hAnsi="Times New Roman" w:cs="Times New Roman"/>
          <w:sz w:val="24"/>
          <w:szCs w:val="24"/>
          <w:lang w:val="en-GB"/>
        </w:rPr>
        <w:t>(12), pp.1031-1039.</w:t>
      </w:r>
    </w:p>
    <w:p w14:paraId="65D85158"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color w:val="222222"/>
          <w:sz w:val="24"/>
          <w:szCs w:val="24"/>
          <w:highlight w:val="white"/>
          <w:lang w:val="en-GB"/>
        </w:rPr>
        <w:t xml:space="preserve">Moglia, A., Georgiou, K., Georgiou, E., Satava, R.M. and Cuschieri, A., (2021). A systematic review on artificial intelligence in robot-assisted surgery. </w:t>
      </w:r>
      <w:r w:rsidRPr="00FF5DE7">
        <w:rPr>
          <w:rFonts w:ascii="Times New Roman" w:eastAsia="Times New Roman" w:hAnsi="Times New Roman" w:cs="Times New Roman"/>
          <w:i/>
          <w:sz w:val="24"/>
          <w:szCs w:val="24"/>
          <w:lang w:val="en-GB"/>
        </w:rPr>
        <w:t>International Journal of Surgery</w:t>
      </w:r>
      <w:r w:rsidRPr="00FF5DE7">
        <w:rPr>
          <w:rFonts w:ascii="Times New Roman" w:eastAsia="Times New Roman" w:hAnsi="Times New Roman" w:cs="Times New Roman"/>
          <w:sz w:val="24"/>
          <w:szCs w:val="24"/>
          <w:lang w:val="en-GB"/>
        </w:rPr>
        <w:t xml:space="preserve">, </w:t>
      </w:r>
      <w:r w:rsidRPr="00FF5DE7">
        <w:rPr>
          <w:rFonts w:ascii="Times New Roman" w:eastAsia="Times New Roman" w:hAnsi="Times New Roman" w:cs="Times New Roman"/>
          <w:i/>
          <w:sz w:val="24"/>
          <w:szCs w:val="24"/>
          <w:lang w:val="en-GB"/>
        </w:rPr>
        <w:t>95</w:t>
      </w:r>
      <w:r w:rsidRPr="00FF5DE7">
        <w:rPr>
          <w:rFonts w:ascii="Times New Roman" w:eastAsia="Times New Roman" w:hAnsi="Times New Roman" w:cs="Times New Roman"/>
          <w:sz w:val="24"/>
          <w:szCs w:val="24"/>
          <w:lang w:val="en-GB"/>
        </w:rPr>
        <w:t>, p.106151.</w:t>
      </w:r>
    </w:p>
    <w:p w14:paraId="36B59814"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color w:val="222222"/>
          <w:sz w:val="24"/>
          <w:szCs w:val="24"/>
          <w:highlight w:val="white"/>
          <w:lang w:val="en-GB"/>
        </w:rPr>
        <w:lastRenderedPageBreak/>
        <w:t xml:space="preserve">Noyes, J., Booth, A., Cargo, M., Flemming, K., Harden, A., Harris, J., Garside, R., Hannes, K., Pantoja, T. and Thomas, J., (2019). Qualitative evidence. </w:t>
      </w:r>
      <w:r w:rsidRPr="00FF5DE7">
        <w:rPr>
          <w:rFonts w:ascii="Times New Roman" w:eastAsia="Times New Roman" w:hAnsi="Times New Roman" w:cs="Times New Roman"/>
          <w:i/>
          <w:sz w:val="24"/>
          <w:szCs w:val="24"/>
          <w:lang w:val="en-GB"/>
        </w:rPr>
        <w:t>Cochrane handbook for systematic reviews of interventions</w:t>
      </w:r>
      <w:r w:rsidRPr="00FF5DE7">
        <w:rPr>
          <w:rFonts w:ascii="Times New Roman" w:eastAsia="Times New Roman" w:hAnsi="Times New Roman" w:cs="Times New Roman"/>
          <w:sz w:val="24"/>
          <w:szCs w:val="24"/>
          <w:lang w:val="en-GB"/>
        </w:rPr>
        <w:t>, pp.525-545.</w:t>
      </w:r>
    </w:p>
    <w:p w14:paraId="6F97FB73"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color w:val="222222"/>
          <w:sz w:val="24"/>
          <w:szCs w:val="24"/>
          <w:highlight w:val="white"/>
          <w:lang w:val="en-GB"/>
        </w:rPr>
        <w:t xml:space="preserve">Opp, K.D., (2020). </w:t>
      </w:r>
      <w:r w:rsidRPr="00FF5DE7">
        <w:rPr>
          <w:rFonts w:ascii="Times New Roman" w:eastAsia="Times New Roman" w:hAnsi="Times New Roman" w:cs="Times New Roman"/>
          <w:i/>
          <w:sz w:val="24"/>
          <w:szCs w:val="24"/>
          <w:lang w:val="en-GB"/>
        </w:rPr>
        <w:t>Analytical criminology: Integrating explanations of crime and deviant behavior</w:t>
      </w:r>
      <w:r w:rsidRPr="00FF5DE7">
        <w:rPr>
          <w:rFonts w:ascii="Times New Roman" w:eastAsia="Times New Roman" w:hAnsi="Times New Roman" w:cs="Times New Roman"/>
          <w:sz w:val="24"/>
          <w:szCs w:val="24"/>
          <w:lang w:val="en-GB"/>
        </w:rPr>
        <w:t>. Routledge.</w:t>
      </w:r>
    </w:p>
    <w:p w14:paraId="34964FDB"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FF5DE7">
        <w:rPr>
          <w:rFonts w:ascii="Times New Roman" w:eastAsia="Times New Roman" w:hAnsi="Times New Roman" w:cs="Times New Roman"/>
          <w:color w:val="222222"/>
          <w:sz w:val="24"/>
          <w:szCs w:val="24"/>
          <w:highlight w:val="white"/>
          <w:lang w:val="en-GB"/>
        </w:rPr>
        <w:t xml:space="preserve">Peters, M.D., Marnie, C., Tricco, A.C., Pollock, D., Munn, Z., Alexander, L., McInerney, P., Godfrey, C.M. and Khalil, H., (2020). Updated methodological guidance for the conduct of scoping reviews. </w:t>
      </w:r>
      <w:r w:rsidRPr="00FF5DE7">
        <w:rPr>
          <w:rFonts w:ascii="Times New Roman" w:eastAsia="Times New Roman" w:hAnsi="Times New Roman" w:cs="Times New Roman"/>
          <w:i/>
          <w:sz w:val="24"/>
          <w:szCs w:val="24"/>
          <w:lang w:val="en-GB"/>
        </w:rPr>
        <w:t>JBI evidence synthesis</w:t>
      </w:r>
      <w:r w:rsidRPr="00FF5DE7">
        <w:rPr>
          <w:rFonts w:ascii="Times New Roman" w:eastAsia="Times New Roman" w:hAnsi="Times New Roman" w:cs="Times New Roman"/>
          <w:sz w:val="24"/>
          <w:szCs w:val="24"/>
          <w:lang w:val="en-GB"/>
        </w:rPr>
        <w:t xml:space="preserve">, </w:t>
      </w:r>
      <w:r w:rsidRPr="00FF5DE7">
        <w:rPr>
          <w:rFonts w:ascii="Times New Roman" w:eastAsia="Times New Roman" w:hAnsi="Times New Roman" w:cs="Times New Roman"/>
          <w:i/>
          <w:sz w:val="24"/>
          <w:szCs w:val="24"/>
          <w:lang w:val="en-GB"/>
        </w:rPr>
        <w:t>18</w:t>
      </w:r>
      <w:r w:rsidRPr="00FF5DE7">
        <w:rPr>
          <w:rFonts w:ascii="Times New Roman" w:eastAsia="Times New Roman" w:hAnsi="Times New Roman" w:cs="Times New Roman"/>
          <w:sz w:val="24"/>
          <w:szCs w:val="24"/>
          <w:lang w:val="en-GB"/>
        </w:rPr>
        <w:t>(10), pp.2119-2126.</w:t>
      </w:r>
    </w:p>
    <w:p w14:paraId="05825FC0"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FF5DE7">
        <w:rPr>
          <w:rFonts w:ascii="Times New Roman" w:eastAsia="Times New Roman" w:hAnsi="Times New Roman" w:cs="Times New Roman"/>
          <w:color w:val="222222"/>
          <w:sz w:val="24"/>
          <w:szCs w:val="24"/>
          <w:highlight w:val="white"/>
          <w:lang w:val="en-GB"/>
        </w:rPr>
        <w:t xml:space="preserve">Stott, C., West, O. and Harrison, M., (2020). A turning point, securitization, and policing in the context of Covid-19: building a new social contract between state and nation?. </w:t>
      </w:r>
      <w:r w:rsidRPr="00FF5DE7">
        <w:rPr>
          <w:rFonts w:ascii="Times New Roman" w:eastAsia="Times New Roman" w:hAnsi="Times New Roman" w:cs="Times New Roman"/>
          <w:i/>
          <w:sz w:val="24"/>
          <w:szCs w:val="24"/>
          <w:lang w:val="en-GB"/>
        </w:rPr>
        <w:t>Policing: A Journal of Policy and Practice</w:t>
      </w:r>
      <w:r w:rsidRPr="00FF5DE7">
        <w:rPr>
          <w:rFonts w:ascii="Times New Roman" w:eastAsia="Times New Roman" w:hAnsi="Times New Roman" w:cs="Times New Roman"/>
          <w:sz w:val="24"/>
          <w:szCs w:val="24"/>
          <w:lang w:val="en-GB"/>
        </w:rPr>
        <w:t xml:space="preserve">, </w:t>
      </w:r>
      <w:r w:rsidRPr="00FF5DE7">
        <w:rPr>
          <w:rFonts w:ascii="Times New Roman" w:eastAsia="Times New Roman" w:hAnsi="Times New Roman" w:cs="Times New Roman"/>
          <w:i/>
          <w:sz w:val="24"/>
          <w:szCs w:val="24"/>
          <w:lang w:val="en-GB"/>
        </w:rPr>
        <w:t>14</w:t>
      </w:r>
      <w:r w:rsidRPr="00FF5DE7">
        <w:rPr>
          <w:rFonts w:ascii="Times New Roman" w:eastAsia="Times New Roman" w:hAnsi="Times New Roman" w:cs="Times New Roman"/>
          <w:sz w:val="24"/>
          <w:szCs w:val="24"/>
          <w:lang w:val="en-GB"/>
        </w:rPr>
        <w:t>(3), pp.574-578.</w:t>
      </w:r>
    </w:p>
    <w:p w14:paraId="759FFE65"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color w:val="222222"/>
          <w:sz w:val="24"/>
          <w:szCs w:val="24"/>
          <w:highlight w:val="white"/>
          <w:lang w:val="en-GB"/>
        </w:rPr>
        <w:t xml:space="preserve">Telep, C.W. and Somers, L.J., (2019). Examining police officer definitions of evidence-based policing: are we speaking the same language?. </w:t>
      </w:r>
      <w:r w:rsidRPr="00FF5DE7">
        <w:rPr>
          <w:rFonts w:ascii="Times New Roman" w:eastAsia="Times New Roman" w:hAnsi="Times New Roman" w:cs="Times New Roman"/>
          <w:i/>
          <w:sz w:val="24"/>
          <w:szCs w:val="24"/>
          <w:lang w:val="en-GB"/>
        </w:rPr>
        <w:t>Policing and Society</w:t>
      </w:r>
      <w:r w:rsidRPr="00FF5DE7">
        <w:rPr>
          <w:rFonts w:ascii="Times New Roman" w:eastAsia="Times New Roman" w:hAnsi="Times New Roman" w:cs="Times New Roman"/>
          <w:sz w:val="24"/>
          <w:szCs w:val="24"/>
          <w:lang w:val="en-GB"/>
        </w:rPr>
        <w:t xml:space="preserve">, </w:t>
      </w:r>
      <w:r w:rsidRPr="00FF5DE7">
        <w:rPr>
          <w:rFonts w:ascii="Times New Roman" w:eastAsia="Times New Roman" w:hAnsi="Times New Roman" w:cs="Times New Roman"/>
          <w:i/>
          <w:sz w:val="24"/>
          <w:szCs w:val="24"/>
          <w:lang w:val="en-GB"/>
        </w:rPr>
        <w:t>29</w:t>
      </w:r>
      <w:r w:rsidRPr="00FF5DE7">
        <w:rPr>
          <w:rFonts w:ascii="Times New Roman" w:eastAsia="Times New Roman" w:hAnsi="Times New Roman" w:cs="Times New Roman"/>
          <w:sz w:val="24"/>
          <w:szCs w:val="24"/>
          <w:lang w:val="en-GB"/>
        </w:rPr>
        <w:t>(2), pp.171-187.</w:t>
      </w:r>
    </w:p>
    <w:p w14:paraId="15EF6AFF" w14:textId="77777777" w:rsidR="00050B57" w:rsidRPr="00FF5DE7" w:rsidRDefault="00050B57" w:rsidP="008B29A9">
      <w:pPr>
        <w:pStyle w:val="Normal1"/>
        <w:spacing w:before="240" w:after="240" w:line="360" w:lineRule="auto"/>
        <w:jc w:val="both"/>
        <w:rPr>
          <w:rFonts w:ascii="Times New Roman" w:eastAsia="Times New Roman" w:hAnsi="Times New Roman" w:cs="Times New Roman"/>
          <w:sz w:val="24"/>
          <w:szCs w:val="24"/>
          <w:lang w:val="en-GB"/>
        </w:rPr>
      </w:pPr>
      <w:r w:rsidRPr="00FF5DE7">
        <w:rPr>
          <w:rFonts w:ascii="Times New Roman" w:eastAsia="Times New Roman" w:hAnsi="Times New Roman" w:cs="Times New Roman"/>
          <w:color w:val="222222"/>
          <w:sz w:val="24"/>
          <w:szCs w:val="24"/>
          <w:highlight w:val="white"/>
          <w:lang w:val="en-GB"/>
        </w:rPr>
        <w:t xml:space="preserve">Zulfiqar, F., Navarro, M., Ashraf, M., Akram, N.A. and Munné-Bosch, S., (2019). Nanofertilizer use for sustainable agriculture: Advantages and limitations. </w:t>
      </w:r>
      <w:r w:rsidRPr="00FF5DE7">
        <w:rPr>
          <w:rFonts w:ascii="Times New Roman" w:eastAsia="Times New Roman" w:hAnsi="Times New Roman" w:cs="Times New Roman"/>
          <w:i/>
          <w:sz w:val="24"/>
          <w:szCs w:val="24"/>
          <w:lang w:val="en-GB"/>
        </w:rPr>
        <w:t>Plant Science</w:t>
      </w:r>
      <w:r w:rsidRPr="00FF5DE7">
        <w:rPr>
          <w:rFonts w:ascii="Times New Roman" w:eastAsia="Times New Roman" w:hAnsi="Times New Roman" w:cs="Times New Roman"/>
          <w:sz w:val="24"/>
          <w:szCs w:val="24"/>
          <w:lang w:val="en-GB"/>
        </w:rPr>
        <w:t xml:space="preserve">, </w:t>
      </w:r>
      <w:r w:rsidRPr="00FF5DE7">
        <w:rPr>
          <w:rFonts w:ascii="Times New Roman" w:eastAsia="Times New Roman" w:hAnsi="Times New Roman" w:cs="Times New Roman"/>
          <w:i/>
          <w:sz w:val="24"/>
          <w:szCs w:val="24"/>
          <w:lang w:val="en-GB"/>
        </w:rPr>
        <w:t>289</w:t>
      </w:r>
      <w:r w:rsidRPr="00FF5DE7">
        <w:rPr>
          <w:rFonts w:ascii="Times New Roman" w:eastAsia="Times New Roman" w:hAnsi="Times New Roman" w:cs="Times New Roman"/>
          <w:sz w:val="24"/>
          <w:szCs w:val="24"/>
          <w:lang w:val="en-GB"/>
        </w:rPr>
        <w:t>, p.110270.</w:t>
      </w:r>
    </w:p>
    <w:p w14:paraId="00000027" w14:textId="77777777" w:rsidR="00725554" w:rsidRPr="00FF5DE7" w:rsidRDefault="00725554" w:rsidP="008B29A9">
      <w:pPr>
        <w:pStyle w:val="Normal1"/>
        <w:spacing w:before="240" w:after="240" w:line="360" w:lineRule="auto"/>
        <w:jc w:val="both"/>
        <w:rPr>
          <w:rFonts w:ascii="Times New Roman" w:eastAsia="Times New Roman" w:hAnsi="Times New Roman" w:cs="Times New Roman"/>
          <w:sz w:val="24"/>
          <w:szCs w:val="24"/>
          <w:lang w:val="en-GB"/>
        </w:rPr>
      </w:pPr>
    </w:p>
    <w:sectPr w:rsidR="00725554" w:rsidRPr="00FF5DE7">
      <w:footerReference w:type="default" r:id="rId7"/>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A5C46" w14:textId="77777777" w:rsidR="0048029B" w:rsidRDefault="0048029B" w:rsidP="001B03F0">
      <w:pPr>
        <w:spacing w:line="240" w:lineRule="auto"/>
      </w:pPr>
      <w:r>
        <w:separator/>
      </w:r>
    </w:p>
  </w:endnote>
  <w:endnote w:type="continuationSeparator" w:id="0">
    <w:p w14:paraId="60FE18AE" w14:textId="77777777" w:rsidR="0048029B" w:rsidRDefault="0048029B" w:rsidP="001B03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7075766"/>
      <w:docPartObj>
        <w:docPartGallery w:val="Page Numbers (Bottom of Page)"/>
        <w:docPartUnique/>
      </w:docPartObj>
    </w:sdtPr>
    <w:sdtEndPr>
      <w:rPr>
        <w:rFonts w:asciiTheme="majorBidi" w:hAnsiTheme="majorBidi" w:cstheme="majorBidi"/>
        <w:noProof/>
        <w:color w:val="000000" w:themeColor="text1"/>
        <w:sz w:val="20"/>
        <w:szCs w:val="20"/>
      </w:rPr>
    </w:sdtEndPr>
    <w:sdtContent>
      <w:p w14:paraId="4D338F7A" w14:textId="7587C007" w:rsidR="001B03F0" w:rsidRPr="001B03F0" w:rsidRDefault="001B03F0">
        <w:pPr>
          <w:pStyle w:val="Footer"/>
          <w:jc w:val="right"/>
          <w:rPr>
            <w:rFonts w:asciiTheme="majorBidi" w:hAnsiTheme="majorBidi" w:cstheme="majorBidi"/>
            <w:color w:val="000000" w:themeColor="text1"/>
            <w:sz w:val="20"/>
            <w:szCs w:val="20"/>
          </w:rPr>
        </w:pPr>
        <w:r w:rsidRPr="001B03F0">
          <w:rPr>
            <w:rFonts w:asciiTheme="majorBidi" w:hAnsiTheme="majorBidi" w:cstheme="majorBidi"/>
            <w:color w:val="000000" w:themeColor="text1"/>
            <w:sz w:val="20"/>
            <w:szCs w:val="20"/>
          </w:rPr>
          <w:fldChar w:fldCharType="begin"/>
        </w:r>
        <w:r w:rsidRPr="001B03F0">
          <w:rPr>
            <w:rFonts w:asciiTheme="majorBidi" w:hAnsiTheme="majorBidi" w:cstheme="majorBidi"/>
            <w:color w:val="000000" w:themeColor="text1"/>
            <w:sz w:val="20"/>
            <w:szCs w:val="20"/>
          </w:rPr>
          <w:instrText xml:space="preserve"> PAGE   \* MERGEFORMAT </w:instrText>
        </w:r>
        <w:r w:rsidRPr="001B03F0">
          <w:rPr>
            <w:rFonts w:asciiTheme="majorBidi" w:hAnsiTheme="majorBidi" w:cstheme="majorBidi"/>
            <w:color w:val="000000" w:themeColor="text1"/>
            <w:sz w:val="20"/>
            <w:szCs w:val="20"/>
          </w:rPr>
          <w:fldChar w:fldCharType="separate"/>
        </w:r>
        <w:r w:rsidRPr="001B03F0">
          <w:rPr>
            <w:rFonts w:asciiTheme="majorBidi" w:hAnsiTheme="majorBidi" w:cstheme="majorBidi"/>
            <w:noProof/>
            <w:color w:val="000000" w:themeColor="text1"/>
            <w:sz w:val="20"/>
            <w:szCs w:val="20"/>
          </w:rPr>
          <w:t>2</w:t>
        </w:r>
        <w:r w:rsidRPr="001B03F0">
          <w:rPr>
            <w:rFonts w:asciiTheme="majorBidi" w:hAnsiTheme="majorBidi" w:cstheme="majorBidi"/>
            <w:noProof/>
            <w:color w:val="000000" w:themeColor="text1"/>
            <w:sz w:val="20"/>
            <w:szCs w:val="20"/>
          </w:rPr>
          <w:fldChar w:fldCharType="end"/>
        </w:r>
      </w:p>
    </w:sdtContent>
  </w:sdt>
  <w:p w14:paraId="05BA9120" w14:textId="77777777" w:rsidR="001B03F0" w:rsidRDefault="001B03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7D547" w14:textId="77777777" w:rsidR="0048029B" w:rsidRDefault="0048029B" w:rsidP="001B03F0">
      <w:pPr>
        <w:spacing w:line="240" w:lineRule="auto"/>
      </w:pPr>
      <w:r>
        <w:separator/>
      </w:r>
    </w:p>
  </w:footnote>
  <w:footnote w:type="continuationSeparator" w:id="0">
    <w:p w14:paraId="07C49749" w14:textId="77777777" w:rsidR="0048029B" w:rsidRDefault="0048029B" w:rsidP="001B03F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5554"/>
    <w:rsid w:val="00047EC2"/>
    <w:rsid w:val="00050B57"/>
    <w:rsid w:val="001B03F0"/>
    <w:rsid w:val="002059B5"/>
    <w:rsid w:val="002673E1"/>
    <w:rsid w:val="0033356B"/>
    <w:rsid w:val="00414766"/>
    <w:rsid w:val="00451644"/>
    <w:rsid w:val="0048029B"/>
    <w:rsid w:val="004F2B7E"/>
    <w:rsid w:val="00601753"/>
    <w:rsid w:val="00634537"/>
    <w:rsid w:val="006A4EF8"/>
    <w:rsid w:val="006C29FB"/>
    <w:rsid w:val="006D2AE6"/>
    <w:rsid w:val="006E6B21"/>
    <w:rsid w:val="00725554"/>
    <w:rsid w:val="00740129"/>
    <w:rsid w:val="007666D8"/>
    <w:rsid w:val="00887281"/>
    <w:rsid w:val="008B29A9"/>
    <w:rsid w:val="00A64E78"/>
    <w:rsid w:val="00AA7A5B"/>
    <w:rsid w:val="00C13A2B"/>
    <w:rsid w:val="00CE7A94"/>
    <w:rsid w:val="00D44F1D"/>
    <w:rsid w:val="00D975BF"/>
    <w:rsid w:val="00EE7DFC"/>
    <w:rsid w:val="00FB648A"/>
    <w:rsid w:val="00FF5DE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01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1B03F0"/>
    <w:pPr>
      <w:tabs>
        <w:tab w:val="center" w:pos="4513"/>
        <w:tab w:val="right" w:pos="9026"/>
      </w:tabs>
      <w:spacing w:line="240" w:lineRule="auto"/>
    </w:pPr>
  </w:style>
  <w:style w:type="character" w:customStyle="1" w:styleId="HeaderChar">
    <w:name w:val="Header Char"/>
    <w:basedOn w:val="DefaultParagraphFont"/>
    <w:link w:val="Header"/>
    <w:uiPriority w:val="99"/>
    <w:rsid w:val="001B03F0"/>
  </w:style>
  <w:style w:type="paragraph" w:styleId="Footer">
    <w:name w:val="footer"/>
    <w:basedOn w:val="Normal"/>
    <w:link w:val="FooterChar"/>
    <w:uiPriority w:val="99"/>
    <w:unhideWhenUsed/>
    <w:rsid w:val="001B03F0"/>
    <w:pPr>
      <w:tabs>
        <w:tab w:val="center" w:pos="4513"/>
        <w:tab w:val="right" w:pos="9026"/>
      </w:tabs>
      <w:spacing w:line="240" w:lineRule="auto"/>
    </w:pPr>
  </w:style>
  <w:style w:type="character" w:customStyle="1" w:styleId="FooterChar">
    <w:name w:val="Footer Char"/>
    <w:basedOn w:val="DefaultParagraphFont"/>
    <w:link w:val="Footer"/>
    <w:uiPriority w:val="99"/>
    <w:rsid w:val="001B03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2522</Words>
  <Characters>14380</Characters>
  <Application>Microsoft Office Word</Application>
  <DocSecurity>0</DocSecurity>
  <Lines>119</Lines>
  <Paragraphs>33</Paragraphs>
  <ScaleCrop>false</ScaleCrop>
  <Company/>
  <LinksUpToDate>false</LinksUpToDate>
  <CharactersWithSpaces>16869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dcterms:created xsi:type="dcterms:W3CDTF">2023-04-24T08:41:00Z</dcterms:created>
  <dcterms:modified xsi:type="dcterms:W3CDTF">2023-04-28T01:40:00Z</dcterms:modified>
</cp:coreProperties>
</file>