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05A12" w14:textId="77777777" w:rsidR="00FA7E58" w:rsidRDefault="00FA7E58" w:rsidP="00FA7E58">
      <w:pPr>
        <w:spacing w:after="0" w:line="480" w:lineRule="auto"/>
        <w:jc w:val="both"/>
        <w:rPr>
          <w:rFonts w:ascii="Times New Roman" w:hAnsi="Times New Roman" w:cs="Times New Roman"/>
          <w:b/>
          <w:sz w:val="28"/>
          <w:szCs w:val="28"/>
        </w:rPr>
      </w:pPr>
    </w:p>
    <w:p w14:paraId="1D62E138" w14:textId="77777777" w:rsidR="00543EA4" w:rsidRDefault="00543EA4" w:rsidP="00543EA4">
      <w:pPr>
        <w:pStyle w:val="NormalWeb"/>
        <w:ind w:left="720"/>
        <w:jc w:val="center"/>
        <w:rPr>
          <w:rStyle w:val="Strong"/>
          <w:rFonts w:eastAsiaTheme="majorEastAsia"/>
        </w:rPr>
      </w:pPr>
      <w:r>
        <w:rPr>
          <w:noProof/>
        </w:rPr>
        <w:drawing>
          <wp:inline distT="0" distB="0" distL="0" distR="0" wp14:anchorId="7FDD48E2" wp14:editId="485DE774">
            <wp:extent cx="2368550" cy="1113060"/>
            <wp:effectExtent l="0" t="0" r="0" b="0"/>
            <wp:docPr id="45300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02554" name="Picture 1"/>
                    <pic:cNvPicPr>
                      <a:picLocks noChangeAspect="1"/>
                    </pic:cNvPicPr>
                  </pic:nvPicPr>
                  <pic:blipFill>
                    <a:blip r:embed="rId8"/>
                    <a:stretch>
                      <a:fillRect/>
                    </a:stretch>
                  </pic:blipFill>
                  <pic:spPr>
                    <a:xfrm>
                      <a:off x="0" y="0"/>
                      <a:ext cx="2476833" cy="1163946"/>
                    </a:xfrm>
                    <a:prstGeom prst="rect">
                      <a:avLst/>
                    </a:prstGeom>
                  </pic:spPr>
                </pic:pic>
              </a:graphicData>
            </a:graphic>
          </wp:inline>
        </w:drawing>
      </w:r>
    </w:p>
    <w:p w14:paraId="7566E8E6" w14:textId="77777777" w:rsidR="00543EA4" w:rsidRDefault="00543EA4" w:rsidP="00543EA4">
      <w:pPr>
        <w:rPr>
          <w:rStyle w:val="Strong"/>
        </w:rPr>
      </w:pPr>
    </w:p>
    <w:p w14:paraId="0801AB4E"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 xml:space="preserve">Name of the student: Naga Nandini Morla </w:t>
      </w:r>
    </w:p>
    <w:p w14:paraId="43158A9B"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 xml:space="preserve">Name of the university: UWTSD </w:t>
      </w:r>
    </w:p>
    <w:p w14:paraId="2C7329C9"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Student’s ID:2505085</w:t>
      </w:r>
    </w:p>
    <w:p w14:paraId="5916D6D0" w14:textId="342B9F86" w:rsidR="00543EA4" w:rsidRPr="00543EA4" w:rsidRDefault="00543EA4" w:rsidP="00543EA4">
      <w:pPr>
        <w:jc w:val="center"/>
        <w:rPr>
          <w:rStyle w:val="Strong"/>
          <w:rFonts w:ascii="Times New Roman" w:hAnsi="Times New Roman" w:cs="Times New Roman"/>
          <w:sz w:val="28"/>
          <w:szCs w:val="28"/>
          <w:lang w:val="en-US"/>
        </w:rPr>
      </w:pPr>
      <w:r w:rsidRPr="0032220F">
        <w:rPr>
          <w:rStyle w:val="Strong"/>
          <w:rFonts w:ascii="Times New Roman" w:hAnsi="Times New Roman" w:cs="Times New Roman"/>
          <w:sz w:val="28"/>
          <w:szCs w:val="28"/>
        </w:rPr>
        <w:t>Module Name:</w:t>
      </w:r>
      <w:r>
        <w:rPr>
          <w:rStyle w:val="Strong"/>
          <w:rFonts w:ascii="Times New Roman" w:hAnsi="Times New Roman" w:cs="Times New Roman"/>
          <w:sz w:val="28"/>
          <w:szCs w:val="28"/>
          <w:lang w:val="en-US"/>
        </w:rPr>
        <w:t xml:space="preserve"> Managing</w:t>
      </w:r>
      <w:r w:rsidRPr="0032220F">
        <w:rPr>
          <w:rStyle w:val="Strong"/>
          <w:rFonts w:ascii="Times New Roman" w:hAnsi="Times New Roman" w:cs="Times New Roman"/>
          <w:sz w:val="28"/>
          <w:szCs w:val="28"/>
        </w:rPr>
        <w:t xml:space="preserve"> </w:t>
      </w:r>
      <w:r>
        <w:rPr>
          <w:rStyle w:val="Strong"/>
          <w:rFonts w:ascii="Times New Roman" w:hAnsi="Times New Roman" w:cs="Times New Roman"/>
          <w:sz w:val="28"/>
          <w:szCs w:val="28"/>
          <w:lang w:val="en-US"/>
        </w:rPr>
        <w:t>Marketing Change</w:t>
      </w:r>
    </w:p>
    <w:p w14:paraId="5C3BDEC0" w14:textId="250E0CFD" w:rsidR="00543EA4" w:rsidRPr="00543EA4" w:rsidRDefault="00543EA4" w:rsidP="00543EA4">
      <w:pPr>
        <w:tabs>
          <w:tab w:val="left" w:pos="2780"/>
        </w:tabs>
        <w:jc w:val="center"/>
        <w:rPr>
          <w:rStyle w:val="Strong"/>
          <w:rFonts w:ascii="Times New Roman" w:hAnsi="Times New Roman" w:cs="Times New Roman"/>
          <w:sz w:val="28"/>
          <w:szCs w:val="28"/>
          <w:lang w:val="en-US"/>
        </w:rPr>
      </w:pPr>
      <w:r w:rsidRPr="0032220F">
        <w:rPr>
          <w:rStyle w:val="Strong"/>
          <w:rFonts w:ascii="Times New Roman" w:hAnsi="Times New Roman" w:cs="Times New Roman"/>
          <w:sz w:val="28"/>
          <w:szCs w:val="28"/>
        </w:rPr>
        <w:t>Module Code: BMMB702</w:t>
      </w:r>
      <w:r>
        <w:rPr>
          <w:rStyle w:val="Strong"/>
          <w:rFonts w:ascii="Times New Roman" w:hAnsi="Times New Roman" w:cs="Times New Roman"/>
          <w:sz w:val="28"/>
          <w:szCs w:val="28"/>
          <w:lang w:val="en-US"/>
        </w:rPr>
        <w:t>6</w:t>
      </w:r>
    </w:p>
    <w:p w14:paraId="02E315AF" w14:textId="0FA5179D" w:rsidR="00493F8E" w:rsidRPr="00FA7E58" w:rsidRDefault="00493F8E" w:rsidP="00493F8E">
      <w:pPr>
        <w:tabs>
          <w:tab w:val="left" w:pos="3970"/>
        </w:tabs>
        <w:spacing w:after="0" w:line="480" w:lineRule="auto"/>
        <w:jc w:val="both"/>
        <w:rPr>
          <w:rFonts w:ascii="Times New Roman" w:hAnsi="Times New Roman" w:cs="Times New Roman"/>
          <w:b/>
          <w:sz w:val="28"/>
          <w:szCs w:val="28"/>
        </w:rPr>
      </w:pPr>
      <w:r>
        <w:rPr>
          <w:rFonts w:ascii="Times New Roman" w:hAnsi="Times New Roman" w:cs="Times New Roman"/>
          <w:b/>
          <w:sz w:val="28"/>
          <w:szCs w:val="28"/>
          <w:lang w:val="en-US"/>
        </w:rPr>
        <w:t xml:space="preserve">                  </w:t>
      </w:r>
    </w:p>
    <w:p w14:paraId="0FC3DCD5" w14:textId="57FCB53A" w:rsidR="00FA7E58" w:rsidRDefault="00493F8E" w:rsidP="00543EA4">
      <w:pPr>
        <w:spacing w:after="0" w:line="480" w:lineRule="auto"/>
        <w:jc w:val="center"/>
        <w:rPr>
          <w:rFonts w:ascii="Times New Roman" w:hAnsi="Times New Roman" w:cs="Times New Roman"/>
          <w:b/>
          <w:sz w:val="28"/>
          <w:szCs w:val="28"/>
        </w:rPr>
      </w:pPr>
      <w:r>
        <w:rPr>
          <w:rFonts w:ascii="Times New Roman" w:hAnsi="Times New Roman" w:cs="Times New Roman"/>
          <w:b/>
          <w:sz w:val="28"/>
          <w:szCs w:val="28"/>
          <w:lang w:val="en-US"/>
        </w:rPr>
        <w:t xml:space="preserve">  Topic: </w:t>
      </w:r>
      <w:r w:rsidRPr="00FA7E58">
        <w:rPr>
          <w:rFonts w:ascii="Times New Roman" w:hAnsi="Times New Roman" w:cs="Times New Roman"/>
          <w:b/>
          <w:sz w:val="28"/>
          <w:szCs w:val="28"/>
        </w:rPr>
        <w:t>Future Developments in the Field of Marketing</w:t>
      </w:r>
    </w:p>
    <w:p w14:paraId="3824A411" w14:textId="77777777" w:rsidR="00FA7E58" w:rsidRDefault="00FA7E58" w:rsidP="00FA7E58">
      <w:pPr>
        <w:spacing w:after="0" w:line="480" w:lineRule="auto"/>
        <w:jc w:val="both"/>
        <w:rPr>
          <w:rFonts w:ascii="Times New Roman" w:hAnsi="Times New Roman" w:cs="Times New Roman"/>
          <w:b/>
          <w:sz w:val="28"/>
          <w:szCs w:val="28"/>
        </w:rPr>
      </w:pPr>
    </w:p>
    <w:p w14:paraId="6BCB3180" w14:textId="2AF6C552" w:rsidR="00543EA4" w:rsidRPr="00FA7E58" w:rsidRDefault="00543EA4" w:rsidP="00493F8E">
      <w:pPr>
        <w:tabs>
          <w:tab w:val="left" w:pos="3970"/>
        </w:tabs>
        <w:spacing w:after="0" w:line="480" w:lineRule="auto"/>
        <w:jc w:val="both"/>
        <w:rPr>
          <w:rFonts w:ascii="Times New Roman" w:hAnsi="Times New Roman" w:cs="Times New Roman"/>
          <w:b/>
          <w:sz w:val="28"/>
          <w:szCs w:val="28"/>
        </w:rPr>
      </w:pPr>
      <w:r>
        <w:rPr>
          <w:rFonts w:ascii="Times New Roman" w:hAnsi="Times New Roman" w:cs="Times New Roman"/>
          <w:b/>
          <w:sz w:val="28"/>
          <w:szCs w:val="28"/>
        </w:rPr>
        <w:tab/>
      </w:r>
    </w:p>
    <w:p w14:paraId="62A98FC7" w14:textId="77777777" w:rsidR="00FA7E58" w:rsidRDefault="00FA7E58" w:rsidP="00FA7E58">
      <w:pPr>
        <w:spacing w:after="0" w:line="480" w:lineRule="auto"/>
        <w:jc w:val="center"/>
        <w:rPr>
          <w:rFonts w:ascii="Times New Roman" w:hAnsi="Times New Roman" w:cs="Times New Roman"/>
          <w:bCs/>
          <w:sz w:val="28"/>
          <w:szCs w:val="28"/>
        </w:rPr>
      </w:pPr>
    </w:p>
    <w:p w14:paraId="28C58AE2" w14:textId="77777777" w:rsidR="00FA7E58" w:rsidRDefault="00FA7E58" w:rsidP="00FA7E58">
      <w:pPr>
        <w:spacing w:after="0" w:line="480" w:lineRule="auto"/>
        <w:jc w:val="center"/>
        <w:rPr>
          <w:rFonts w:ascii="Times New Roman" w:hAnsi="Times New Roman" w:cs="Times New Roman"/>
          <w:bCs/>
          <w:sz w:val="28"/>
          <w:szCs w:val="28"/>
        </w:rPr>
      </w:pPr>
    </w:p>
    <w:p w14:paraId="7929AF41" w14:textId="596B7B80" w:rsidR="00FA7E58" w:rsidRPr="00543EA4" w:rsidRDefault="00FA7E58" w:rsidP="00FA7E58">
      <w:pPr>
        <w:spacing w:after="0" w:line="480" w:lineRule="auto"/>
        <w:jc w:val="center"/>
        <w:rPr>
          <w:rFonts w:ascii="Times New Roman" w:hAnsi="Times New Roman" w:cs="Times New Roman"/>
          <w:bCs/>
          <w:sz w:val="28"/>
          <w:szCs w:val="28"/>
          <w:lang w:val="en-US"/>
        </w:rPr>
      </w:pPr>
    </w:p>
    <w:p w14:paraId="7A2C6E61" w14:textId="09E42D07" w:rsidR="00FA7E58" w:rsidRPr="00543EA4" w:rsidRDefault="00FA7E58" w:rsidP="00FA7E58">
      <w:pPr>
        <w:spacing w:after="0" w:line="480" w:lineRule="auto"/>
        <w:jc w:val="center"/>
        <w:rPr>
          <w:rFonts w:ascii="Times New Roman" w:hAnsi="Times New Roman" w:cs="Times New Roman"/>
          <w:bCs/>
          <w:sz w:val="28"/>
          <w:szCs w:val="28"/>
          <w:lang w:val="en-US"/>
        </w:rPr>
      </w:pPr>
    </w:p>
    <w:p w14:paraId="0CBD49BC" w14:textId="1ABFC345" w:rsidR="00FA7E58" w:rsidRPr="00543EA4" w:rsidRDefault="00FA7E58" w:rsidP="00543EA4">
      <w:pPr>
        <w:spacing w:after="0" w:line="480" w:lineRule="auto"/>
        <w:rPr>
          <w:rFonts w:ascii="Times New Roman" w:hAnsi="Times New Roman" w:cs="Times New Roman"/>
          <w:bCs/>
          <w:sz w:val="28"/>
          <w:szCs w:val="28"/>
          <w:lang w:val="en-US"/>
        </w:rPr>
      </w:pPr>
    </w:p>
    <w:p w14:paraId="2D697893" w14:textId="21B3965D" w:rsidR="00FA7E58" w:rsidRPr="00543EA4" w:rsidRDefault="00FA7E58" w:rsidP="00543EA4">
      <w:pPr>
        <w:spacing w:after="0" w:line="480" w:lineRule="auto"/>
        <w:rPr>
          <w:rFonts w:ascii="Times New Roman" w:hAnsi="Times New Roman" w:cs="Times New Roman"/>
          <w:bCs/>
          <w:sz w:val="28"/>
          <w:szCs w:val="28"/>
          <w:lang w:val="en-US"/>
        </w:rPr>
      </w:pPr>
    </w:p>
    <w:p w14:paraId="33619DCD" w14:textId="2BC7B311" w:rsidR="00FA7E58" w:rsidRPr="00543EA4" w:rsidRDefault="00FA7E58" w:rsidP="00FA7E58">
      <w:pPr>
        <w:spacing w:after="0" w:line="480" w:lineRule="auto"/>
        <w:jc w:val="center"/>
        <w:rPr>
          <w:rFonts w:ascii="Times New Roman" w:hAnsi="Times New Roman" w:cs="Times New Roman"/>
          <w:bCs/>
          <w:sz w:val="28"/>
          <w:szCs w:val="28"/>
          <w:lang w:val="en-US"/>
        </w:rPr>
      </w:pPr>
    </w:p>
    <w:p w14:paraId="6F0ECF18" w14:textId="3D6DCBB4" w:rsidR="00FA7E58" w:rsidRDefault="00FA7E58" w:rsidP="00FA7E58">
      <w:pPr>
        <w:spacing w:after="0" w:line="480" w:lineRule="auto"/>
        <w:jc w:val="both"/>
        <w:rPr>
          <w:rFonts w:ascii="Arial" w:hAnsi="Arial" w:cs="Arial"/>
          <w:b/>
        </w:rPr>
      </w:pPr>
      <w:r>
        <w:rPr>
          <w:rFonts w:ascii="Arial" w:hAnsi="Arial" w:cs="Arial"/>
          <w:b/>
        </w:rPr>
        <w:br w:type="page"/>
      </w:r>
    </w:p>
    <w:sdt>
      <w:sdtPr>
        <w:rPr>
          <w:rFonts w:asciiTheme="minorHAnsi" w:eastAsiaTheme="minorHAnsi" w:hAnsiTheme="minorHAnsi" w:cstheme="minorBidi"/>
          <w:color w:val="auto"/>
          <w:sz w:val="22"/>
          <w:szCs w:val="22"/>
          <w:lang/>
        </w:rPr>
        <w:id w:val="68471362"/>
        <w:docPartObj>
          <w:docPartGallery w:val="Table of Contents"/>
          <w:docPartUnique/>
        </w:docPartObj>
      </w:sdtPr>
      <w:sdtEndPr>
        <w:rPr>
          <w:b/>
          <w:bCs/>
          <w:noProof/>
        </w:rPr>
      </w:sdtEndPr>
      <w:sdtContent>
        <w:p w14:paraId="5F23BA44" w14:textId="1C5EF5DA" w:rsidR="00FA7E58" w:rsidRPr="00FA7E58" w:rsidRDefault="00FA7E58" w:rsidP="00FA7E58">
          <w:pPr>
            <w:pStyle w:val="TOCHeading"/>
            <w:jc w:val="center"/>
            <w:rPr>
              <w:rFonts w:ascii="Times New Roman" w:hAnsi="Times New Roman" w:cs="Times New Roman"/>
              <w:b/>
              <w:bCs/>
              <w:color w:val="auto"/>
            </w:rPr>
          </w:pPr>
          <w:r w:rsidRPr="00FA7E58">
            <w:rPr>
              <w:rFonts w:ascii="Times New Roman" w:hAnsi="Times New Roman" w:cs="Times New Roman"/>
              <w:b/>
              <w:bCs/>
              <w:color w:val="auto"/>
            </w:rPr>
            <w:t>Table of Contents</w:t>
          </w:r>
        </w:p>
        <w:p w14:paraId="466A31C1" w14:textId="39BEEF63" w:rsidR="00FA7E58" w:rsidRDefault="00FA7E58">
          <w:pPr>
            <w:pStyle w:val="TOC1"/>
            <w:tabs>
              <w:tab w:val="right" w:leader="dot" w:pos="9016"/>
            </w:tabs>
            <w:rPr>
              <w:rFonts w:eastAsiaTheme="minorEastAsia"/>
              <w:noProof/>
              <w:kern w:val="2"/>
              <w:sz w:val="24"/>
              <w:szCs w:val="24"/>
              <w:lang/>
              <w14:ligatures w14:val="standardContextual"/>
            </w:rPr>
          </w:pPr>
          <w:r>
            <w:fldChar w:fldCharType="begin"/>
          </w:r>
          <w:r>
            <w:instrText xml:space="preserve"> TOC \o "1-3" \h \z \u </w:instrText>
          </w:r>
          <w:r>
            <w:fldChar w:fldCharType="separate"/>
          </w:r>
          <w:hyperlink w:anchor="_Toc218370005" w:history="1">
            <w:r w:rsidRPr="009A08E4">
              <w:rPr>
                <w:rStyle w:val="Hyperlink"/>
                <w:rFonts w:ascii="Times New Roman" w:hAnsi="Times New Roman" w:cs="Times New Roman"/>
                <w:b/>
                <w:bCs/>
                <w:noProof/>
              </w:rPr>
              <w:t>1.0 Executive Summary</w:t>
            </w:r>
            <w:r>
              <w:rPr>
                <w:noProof/>
                <w:webHidden/>
              </w:rPr>
              <w:tab/>
            </w:r>
            <w:r>
              <w:rPr>
                <w:noProof/>
                <w:webHidden/>
              </w:rPr>
              <w:fldChar w:fldCharType="begin"/>
            </w:r>
            <w:r>
              <w:rPr>
                <w:noProof/>
                <w:webHidden/>
              </w:rPr>
              <w:instrText xml:space="preserve"> PAGEREF _Toc218370005 \h </w:instrText>
            </w:r>
            <w:r>
              <w:rPr>
                <w:noProof/>
                <w:webHidden/>
              </w:rPr>
            </w:r>
            <w:r>
              <w:rPr>
                <w:noProof/>
                <w:webHidden/>
              </w:rPr>
              <w:fldChar w:fldCharType="separate"/>
            </w:r>
            <w:r>
              <w:rPr>
                <w:noProof/>
                <w:webHidden/>
              </w:rPr>
              <w:t>3</w:t>
            </w:r>
            <w:r>
              <w:rPr>
                <w:noProof/>
                <w:webHidden/>
              </w:rPr>
              <w:fldChar w:fldCharType="end"/>
            </w:r>
          </w:hyperlink>
        </w:p>
        <w:p w14:paraId="73039BCB" w14:textId="2EADA937" w:rsidR="00FA7E58" w:rsidRDefault="00FA7E58">
          <w:pPr>
            <w:pStyle w:val="TOC1"/>
            <w:tabs>
              <w:tab w:val="right" w:leader="dot" w:pos="9016"/>
            </w:tabs>
            <w:rPr>
              <w:rFonts w:eastAsiaTheme="minorEastAsia"/>
              <w:noProof/>
              <w:kern w:val="2"/>
              <w:sz w:val="24"/>
              <w:szCs w:val="24"/>
              <w:lang/>
              <w14:ligatures w14:val="standardContextual"/>
            </w:rPr>
          </w:pPr>
          <w:hyperlink w:anchor="_Toc218370006" w:history="1">
            <w:r w:rsidRPr="009A08E4">
              <w:rPr>
                <w:rStyle w:val="Hyperlink"/>
                <w:rFonts w:ascii="Times New Roman" w:hAnsi="Times New Roman" w:cs="Times New Roman"/>
                <w:b/>
                <w:bCs/>
                <w:noProof/>
              </w:rPr>
              <w:t>2.0 Introduction</w:t>
            </w:r>
            <w:r>
              <w:rPr>
                <w:noProof/>
                <w:webHidden/>
              </w:rPr>
              <w:tab/>
            </w:r>
            <w:r>
              <w:rPr>
                <w:noProof/>
                <w:webHidden/>
              </w:rPr>
              <w:fldChar w:fldCharType="begin"/>
            </w:r>
            <w:r>
              <w:rPr>
                <w:noProof/>
                <w:webHidden/>
              </w:rPr>
              <w:instrText xml:space="preserve"> PAGEREF _Toc218370006 \h </w:instrText>
            </w:r>
            <w:r>
              <w:rPr>
                <w:noProof/>
                <w:webHidden/>
              </w:rPr>
            </w:r>
            <w:r>
              <w:rPr>
                <w:noProof/>
                <w:webHidden/>
              </w:rPr>
              <w:fldChar w:fldCharType="separate"/>
            </w:r>
            <w:r>
              <w:rPr>
                <w:noProof/>
                <w:webHidden/>
              </w:rPr>
              <w:t>4</w:t>
            </w:r>
            <w:r>
              <w:rPr>
                <w:noProof/>
                <w:webHidden/>
              </w:rPr>
              <w:fldChar w:fldCharType="end"/>
            </w:r>
          </w:hyperlink>
        </w:p>
        <w:p w14:paraId="6C7C9D0D" w14:textId="05DFDBA8" w:rsidR="00FA7E58" w:rsidRDefault="00FA7E58">
          <w:pPr>
            <w:pStyle w:val="TOC1"/>
            <w:tabs>
              <w:tab w:val="right" w:leader="dot" w:pos="9016"/>
            </w:tabs>
            <w:rPr>
              <w:rFonts w:eastAsiaTheme="minorEastAsia"/>
              <w:noProof/>
              <w:kern w:val="2"/>
              <w:sz w:val="24"/>
              <w:szCs w:val="24"/>
              <w:lang/>
              <w14:ligatures w14:val="standardContextual"/>
            </w:rPr>
          </w:pPr>
          <w:hyperlink w:anchor="_Toc218370007" w:history="1">
            <w:r w:rsidRPr="009A08E4">
              <w:rPr>
                <w:rStyle w:val="Hyperlink"/>
                <w:rFonts w:ascii="Times New Roman" w:hAnsi="Times New Roman" w:cs="Times New Roman"/>
                <w:b/>
                <w:bCs/>
                <w:noProof/>
              </w:rPr>
              <w:t>3.0 Main Findings</w:t>
            </w:r>
            <w:r>
              <w:rPr>
                <w:noProof/>
                <w:webHidden/>
              </w:rPr>
              <w:tab/>
            </w:r>
            <w:r>
              <w:rPr>
                <w:noProof/>
                <w:webHidden/>
              </w:rPr>
              <w:fldChar w:fldCharType="begin"/>
            </w:r>
            <w:r>
              <w:rPr>
                <w:noProof/>
                <w:webHidden/>
              </w:rPr>
              <w:instrText xml:space="preserve"> PAGEREF _Toc218370007 \h </w:instrText>
            </w:r>
            <w:r>
              <w:rPr>
                <w:noProof/>
                <w:webHidden/>
              </w:rPr>
            </w:r>
            <w:r>
              <w:rPr>
                <w:noProof/>
                <w:webHidden/>
              </w:rPr>
              <w:fldChar w:fldCharType="separate"/>
            </w:r>
            <w:r>
              <w:rPr>
                <w:noProof/>
                <w:webHidden/>
              </w:rPr>
              <w:t>5</w:t>
            </w:r>
            <w:r>
              <w:rPr>
                <w:noProof/>
                <w:webHidden/>
              </w:rPr>
              <w:fldChar w:fldCharType="end"/>
            </w:r>
          </w:hyperlink>
        </w:p>
        <w:p w14:paraId="03A1E18E" w14:textId="5BF0F2C7"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08" w:history="1">
            <w:r w:rsidRPr="00FA7E58">
              <w:rPr>
                <w:rStyle w:val="Hyperlink"/>
                <w:rFonts w:ascii="Times New Roman" w:hAnsi="Times New Roman" w:cs="Times New Roman"/>
                <w:noProof/>
              </w:rPr>
              <w:t>3.1 Marketing Resources, Capabilities, and Strategic Investment.</w:t>
            </w:r>
            <w:r w:rsidRPr="00FA7E58">
              <w:rPr>
                <w:noProof/>
                <w:webHidden/>
              </w:rPr>
              <w:tab/>
            </w:r>
            <w:r w:rsidRPr="00FA7E58">
              <w:rPr>
                <w:noProof/>
                <w:webHidden/>
              </w:rPr>
              <w:fldChar w:fldCharType="begin"/>
            </w:r>
            <w:r w:rsidRPr="00FA7E58">
              <w:rPr>
                <w:noProof/>
                <w:webHidden/>
              </w:rPr>
              <w:instrText xml:space="preserve"> PAGEREF _Toc218370008 \h </w:instrText>
            </w:r>
            <w:r w:rsidRPr="00FA7E58">
              <w:rPr>
                <w:noProof/>
                <w:webHidden/>
              </w:rPr>
            </w:r>
            <w:r w:rsidRPr="00FA7E58">
              <w:rPr>
                <w:noProof/>
                <w:webHidden/>
              </w:rPr>
              <w:fldChar w:fldCharType="separate"/>
            </w:r>
            <w:r w:rsidRPr="00FA7E58">
              <w:rPr>
                <w:noProof/>
                <w:webHidden/>
              </w:rPr>
              <w:t>5</w:t>
            </w:r>
            <w:r w:rsidRPr="00FA7E58">
              <w:rPr>
                <w:noProof/>
                <w:webHidden/>
              </w:rPr>
              <w:fldChar w:fldCharType="end"/>
            </w:r>
          </w:hyperlink>
        </w:p>
        <w:p w14:paraId="7456B25D" w14:textId="73CF3B88"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09" w:history="1">
            <w:r w:rsidRPr="00FA7E58">
              <w:rPr>
                <w:rStyle w:val="Hyperlink"/>
                <w:rFonts w:ascii="Times New Roman" w:hAnsi="Times New Roman" w:cs="Times New Roman"/>
                <w:noProof/>
              </w:rPr>
              <w:t>3.2 Influences of Macro and Micro Marketing Environment.</w:t>
            </w:r>
            <w:r w:rsidRPr="00FA7E58">
              <w:rPr>
                <w:noProof/>
                <w:webHidden/>
              </w:rPr>
              <w:tab/>
            </w:r>
            <w:r w:rsidRPr="00FA7E58">
              <w:rPr>
                <w:noProof/>
                <w:webHidden/>
              </w:rPr>
              <w:fldChar w:fldCharType="begin"/>
            </w:r>
            <w:r w:rsidRPr="00FA7E58">
              <w:rPr>
                <w:noProof/>
                <w:webHidden/>
              </w:rPr>
              <w:instrText xml:space="preserve"> PAGEREF _Toc218370009 \h </w:instrText>
            </w:r>
            <w:r w:rsidRPr="00FA7E58">
              <w:rPr>
                <w:noProof/>
                <w:webHidden/>
              </w:rPr>
            </w:r>
            <w:r w:rsidRPr="00FA7E58">
              <w:rPr>
                <w:noProof/>
                <w:webHidden/>
              </w:rPr>
              <w:fldChar w:fldCharType="separate"/>
            </w:r>
            <w:r w:rsidRPr="00FA7E58">
              <w:rPr>
                <w:noProof/>
                <w:webHidden/>
              </w:rPr>
              <w:t>6</w:t>
            </w:r>
            <w:r w:rsidRPr="00FA7E58">
              <w:rPr>
                <w:noProof/>
                <w:webHidden/>
              </w:rPr>
              <w:fldChar w:fldCharType="end"/>
            </w:r>
          </w:hyperlink>
        </w:p>
        <w:p w14:paraId="3D059950" w14:textId="489A2D2E" w:rsidR="00FA7E58" w:rsidRPr="00FA7E58" w:rsidRDefault="0005119B">
          <w:pPr>
            <w:pStyle w:val="TOC2"/>
            <w:tabs>
              <w:tab w:val="right" w:leader="dot" w:pos="9016"/>
            </w:tabs>
            <w:rPr>
              <w:rFonts w:eastAsiaTheme="minorEastAsia"/>
              <w:noProof/>
              <w:kern w:val="2"/>
              <w:sz w:val="24"/>
              <w:szCs w:val="24"/>
              <w:lang/>
              <w14:ligatures w14:val="standardContextual"/>
            </w:rPr>
          </w:pPr>
          <w:hyperlink w:anchor="_Toc218370010" w:history="1">
            <w:r>
              <w:rPr>
                <w:rStyle w:val="Hyperlink"/>
                <w:rFonts w:ascii="Times New Roman" w:hAnsi="Times New Roman" w:cs="Times New Roman"/>
                <w:noProof/>
              </w:rPr>
              <w:t>3.3 Segmentation, Targeting, Positioning and Value Proposition.</w:t>
            </w:r>
            <w:r>
              <w:rPr>
                <w:rStyle w:val="Hyperlink"/>
                <w:rFonts w:ascii="Times New Roman" w:hAnsi="Times New Roman" w:cs="Times New Roman"/>
                <w:noProof/>
              </w:rPr>
              <w:tab/>
              <w:t>8</w:t>
            </w:r>
          </w:hyperlink>
        </w:p>
        <w:p w14:paraId="1AD771E6" w14:textId="2C3D1C0F"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1" w:history="1">
            <w:r w:rsidRPr="00FA7E58">
              <w:rPr>
                <w:rStyle w:val="Hyperlink"/>
                <w:rFonts w:ascii="Times New Roman" w:hAnsi="Times New Roman" w:cs="Times New Roman"/>
                <w:noProof/>
              </w:rPr>
              <w:t>3.4 Digital Channel Effectiveness and Marketing Mix.</w:t>
            </w:r>
            <w:r w:rsidRPr="00FA7E58">
              <w:rPr>
                <w:noProof/>
                <w:webHidden/>
              </w:rPr>
              <w:tab/>
            </w:r>
            <w:r w:rsidRPr="00FA7E58">
              <w:rPr>
                <w:noProof/>
                <w:webHidden/>
              </w:rPr>
              <w:fldChar w:fldCharType="begin"/>
            </w:r>
            <w:r w:rsidRPr="00FA7E58">
              <w:rPr>
                <w:noProof/>
                <w:webHidden/>
              </w:rPr>
              <w:instrText xml:space="preserve"> PAGEREF _Toc218370011 \h </w:instrText>
            </w:r>
            <w:r w:rsidRPr="00FA7E58">
              <w:rPr>
                <w:noProof/>
                <w:webHidden/>
              </w:rPr>
            </w:r>
            <w:r w:rsidRPr="00FA7E58">
              <w:rPr>
                <w:noProof/>
                <w:webHidden/>
              </w:rPr>
              <w:fldChar w:fldCharType="separate"/>
            </w:r>
            <w:r w:rsidRPr="00FA7E58">
              <w:rPr>
                <w:noProof/>
                <w:webHidden/>
              </w:rPr>
              <w:t>9</w:t>
            </w:r>
            <w:r w:rsidRPr="00FA7E58">
              <w:rPr>
                <w:noProof/>
                <w:webHidden/>
              </w:rPr>
              <w:fldChar w:fldCharType="end"/>
            </w:r>
          </w:hyperlink>
        </w:p>
        <w:p w14:paraId="5639443E" w14:textId="6A448150"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2" w:history="1">
            <w:r w:rsidRPr="00FA7E58">
              <w:rPr>
                <w:rStyle w:val="Hyperlink"/>
                <w:rFonts w:ascii="Times New Roman" w:hAnsi="Times New Roman" w:cs="Times New Roman"/>
                <w:noProof/>
              </w:rPr>
              <w:t>3.5 Measures of Marketing Performance and Control Mechanisms.</w:t>
            </w:r>
            <w:r w:rsidRPr="00FA7E58">
              <w:rPr>
                <w:noProof/>
                <w:webHidden/>
              </w:rPr>
              <w:tab/>
            </w:r>
            <w:r w:rsidRPr="00FA7E58">
              <w:rPr>
                <w:noProof/>
                <w:webHidden/>
              </w:rPr>
              <w:fldChar w:fldCharType="begin"/>
            </w:r>
            <w:r w:rsidRPr="00FA7E58">
              <w:rPr>
                <w:noProof/>
                <w:webHidden/>
              </w:rPr>
              <w:instrText xml:space="preserve"> PAGEREF _Toc218370012 \h </w:instrText>
            </w:r>
            <w:r w:rsidRPr="00FA7E58">
              <w:rPr>
                <w:noProof/>
                <w:webHidden/>
              </w:rPr>
            </w:r>
            <w:r w:rsidRPr="00FA7E58">
              <w:rPr>
                <w:noProof/>
                <w:webHidden/>
              </w:rPr>
              <w:fldChar w:fldCharType="separate"/>
            </w:r>
            <w:r w:rsidRPr="00FA7E58">
              <w:rPr>
                <w:noProof/>
                <w:webHidden/>
              </w:rPr>
              <w:t>11</w:t>
            </w:r>
            <w:r w:rsidRPr="00FA7E58">
              <w:rPr>
                <w:noProof/>
                <w:webHidden/>
              </w:rPr>
              <w:fldChar w:fldCharType="end"/>
            </w:r>
          </w:hyperlink>
        </w:p>
        <w:p w14:paraId="6DFBE77F" w14:textId="677D99E1" w:rsidR="00FA7E58" w:rsidRDefault="00FA7E58">
          <w:pPr>
            <w:pStyle w:val="TOC1"/>
            <w:tabs>
              <w:tab w:val="right" w:leader="dot" w:pos="9016"/>
            </w:tabs>
            <w:rPr>
              <w:rFonts w:eastAsiaTheme="minorEastAsia"/>
              <w:noProof/>
              <w:kern w:val="2"/>
              <w:sz w:val="24"/>
              <w:szCs w:val="24"/>
              <w:lang/>
              <w14:ligatures w14:val="standardContextual"/>
            </w:rPr>
          </w:pPr>
          <w:hyperlink w:anchor="_Toc218370013" w:history="1">
            <w:r w:rsidRPr="009A08E4">
              <w:rPr>
                <w:rStyle w:val="Hyperlink"/>
                <w:rFonts w:ascii="Times New Roman" w:hAnsi="Times New Roman" w:cs="Times New Roman"/>
                <w:b/>
                <w:bCs/>
                <w:noProof/>
              </w:rPr>
              <w:t>4.0 Conclusion</w:t>
            </w:r>
            <w:r>
              <w:rPr>
                <w:noProof/>
                <w:webHidden/>
              </w:rPr>
              <w:tab/>
            </w:r>
            <w:r>
              <w:rPr>
                <w:noProof/>
                <w:webHidden/>
              </w:rPr>
              <w:fldChar w:fldCharType="begin"/>
            </w:r>
            <w:r>
              <w:rPr>
                <w:noProof/>
                <w:webHidden/>
              </w:rPr>
              <w:instrText xml:space="preserve"> PAGEREF _Toc218370013 \h </w:instrText>
            </w:r>
            <w:r>
              <w:rPr>
                <w:noProof/>
                <w:webHidden/>
              </w:rPr>
            </w:r>
            <w:r>
              <w:rPr>
                <w:noProof/>
                <w:webHidden/>
              </w:rPr>
              <w:fldChar w:fldCharType="separate"/>
            </w:r>
            <w:r>
              <w:rPr>
                <w:noProof/>
                <w:webHidden/>
              </w:rPr>
              <w:t>13</w:t>
            </w:r>
            <w:r>
              <w:rPr>
                <w:noProof/>
                <w:webHidden/>
              </w:rPr>
              <w:fldChar w:fldCharType="end"/>
            </w:r>
          </w:hyperlink>
        </w:p>
        <w:p w14:paraId="73ECDF55" w14:textId="07F4C421" w:rsidR="00FA7E58" w:rsidRDefault="00FA7E58">
          <w:pPr>
            <w:pStyle w:val="TOC1"/>
            <w:tabs>
              <w:tab w:val="right" w:leader="dot" w:pos="9016"/>
            </w:tabs>
            <w:rPr>
              <w:rFonts w:eastAsiaTheme="minorEastAsia"/>
              <w:noProof/>
              <w:kern w:val="2"/>
              <w:sz w:val="24"/>
              <w:szCs w:val="24"/>
              <w:lang/>
              <w14:ligatures w14:val="standardContextual"/>
            </w:rPr>
          </w:pPr>
          <w:hyperlink w:anchor="_Toc218370014" w:history="1">
            <w:r w:rsidRPr="009A08E4">
              <w:rPr>
                <w:rStyle w:val="Hyperlink"/>
                <w:rFonts w:ascii="Times New Roman" w:hAnsi="Times New Roman" w:cs="Times New Roman"/>
                <w:b/>
                <w:bCs/>
                <w:noProof/>
              </w:rPr>
              <w:t>5.0 Recommendations</w:t>
            </w:r>
            <w:r>
              <w:rPr>
                <w:noProof/>
                <w:webHidden/>
              </w:rPr>
              <w:tab/>
            </w:r>
            <w:r>
              <w:rPr>
                <w:noProof/>
                <w:webHidden/>
              </w:rPr>
              <w:fldChar w:fldCharType="begin"/>
            </w:r>
            <w:r>
              <w:rPr>
                <w:noProof/>
                <w:webHidden/>
              </w:rPr>
              <w:instrText xml:space="preserve"> PAGEREF _Toc218370014 \h </w:instrText>
            </w:r>
            <w:r>
              <w:rPr>
                <w:noProof/>
                <w:webHidden/>
              </w:rPr>
            </w:r>
            <w:r>
              <w:rPr>
                <w:noProof/>
                <w:webHidden/>
              </w:rPr>
              <w:fldChar w:fldCharType="separate"/>
            </w:r>
            <w:r>
              <w:rPr>
                <w:noProof/>
                <w:webHidden/>
              </w:rPr>
              <w:t>14</w:t>
            </w:r>
            <w:r>
              <w:rPr>
                <w:noProof/>
                <w:webHidden/>
              </w:rPr>
              <w:fldChar w:fldCharType="end"/>
            </w:r>
          </w:hyperlink>
        </w:p>
        <w:p w14:paraId="6140A4CE" w14:textId="405D2B17"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5" w:history="1">
            <w:r w:rsidRPr="00FA7E58">
              <w:rPr>
                <w:rStyle w:val="Hyperlink"/>
                <w:rFonts w:ascii="Times New Roman" w:hAnsi="Times New Roman" w:cs="Times New Roman"/>
                <w:noProof/>
              </w:rPr>
              <w:t>5.1 Enhancing Data-Driven and Personalised Marketing</w:t>
            </w:r>
            <w:r w:rsidRPr="00FA7E58">
              <w:rPr>
                <w:noProof/>
                <w:webHidden/>
              </w:rPr>
              <w:tab/>
            </w:r>
            <w:r w:rsidRPr="00FA7E58">
              <w:rPr>
                <w:noProof/>
                <w:webHidden/>
              </w:rPr>
              <w:fldChar w:fldCharType="begin"/>
            </w:r>
            <w:r w:rsidRPr="00FA7E58">
              <w:rPr>
                <w:noProof/>
                <w:webHidden/>
              </w:rPr>
              <w:instrText xml:space="preserve"> PAGEREF _Toc218370015 \h </w:instrText>
            </w:r>
            <w:r w:rsidRPr="00FA7E58">
              <w:rPr>
                <w:noProof/>
                <w:webHidden/>
              </w:rPr>
            </w:r>
            <w:r w:rsidRPr="00FA7E58">
              <w:rPr>
                <w:noProof/>
                <w:webHidden/>
              </w:rPr>
              <w:fldChar w:fldCharType="separate"/>
            </w:r>
            <w:r w:rsidRPr="00FA7E58">
              <w:rPr>
                <w:noProof/>
                <w:webHidden/>
              </w:rPr>
              <w:t>14</w:t>
            </w:r>
            <w:r w:rsidRPr="00FA7E58">
              <w:rPr>
                <w:noProof/>
                <w:webHidden/>
              </w:rPr>
              <w:fldChar w:fldCharType="end"/>
            </w:r>
          </w:hyperlink>
        </w:p>
        <w:p w14:paraId="07FF6674" w14:textId="42502D49"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6" w:history="1">
            <w:r w:rsidRPr="00FA7E58">
              <w:rPr>
                <w:rStyle w:val="Hyperlink"/>
                <w:rFonts w:ascii="Times New Roman" w:hAnsi="Times New Roman" w:cs="Times New Roman"/>
                <w:noProof/>
              </w:rPr>
              <w:t>5.2 Building Agile and Customer-Focused Digital Marketing Strengths.</w:t>
            </w:r>
            <w:r w:rsidRPr="00FA7E58">
              <w:rPr>
                <w:noProof/>
                <w:webHidden/>
              </w:rPr>
              <w:tab/>
            </w:r>
            <w:r w:rsidRPr="00FA7E58">
              <w:rPr>
                <w:noProof/>
                <w:webHidden/>
              </w:rPr>
              <w:fldChar w:fldCharType="begin"/>
            </w:r>
            <w:r w:rsidRPr="00FA7E58">
              <w:rPr>
                <w:noProof/>
                <w:webHidden/>
              </w:rPr>
              <w:instrText xml:space="preserve"> PAGEREF _Toc218370016 \h </w:instrText>
            </w:r>
            <w:r w:rsidRPr="00FA7E58">
              <w:rPr>
                <w:noProof/>
                <w:webHidden/>
              </w:rPr>
            </w:r>
            <w:r w:rsidRPr="00FA7E58">
              <w:rPr>
                <w:noProof/>
                <w:webHidden/>
              </w:rPr>
              <w:fldChar w:fldCharType="separate"/>
            </w:r>
            <w:r w:rsidRPr="00FA7E58">
              <w:rPr>
                <w:noProof/>
                <w:webHidden/>
              </w:rPr>
              <w:t>15</w:t>
            </w:r>
            <w:r w:rsidRPr="00FA7E58">
              <w:rPr>
                <w:noProof/>
                <w:webHidden/>
              </w:rPr>
              <w:fldChar w:fldCharType="end"/>
            </w:r>
          </w:hyperlink>
        </w:p>
        <w:p w14:paraId="6C0A2E07" w14:textId="4E2CA602"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7" w:history="1">
            <w:r w:rsidRPr="00FA7E58">
              <w:rPr>
                <w:rStyle w:val="Hyperlink"/>
                <w:rFonts w:ascii="Times New Roman" w:hAnsi="Times New Roman" w:cs="Times New Roman"/>
                <w:noProof/>
              </w:rPr>
              <w:t>5.3Enhancing Marketing-Compliance-Technology Intersection.</w:t>
            </w:r>
            <w:r w:rsidRPr="00FA7E58">
              <w:rPr>
                <w:noProof/>
                <w:webHidden/>
              </w:rPr>
              <w:tab/>
            </w:r>
            <w:r w:rsidRPr="00FA7E58">
              <w:rPr>
                <w:noProof/>
                <w:webHidden/>
              </w:rPr>
              <w:fldChar w:fldCharType="begin"/>
            </w:r>
            <w:r w:rsidRPr="00FA7E58">
              <w:rPr>
                <w:noProof/>
                <w:webHidden/>
              </w:rPr>
              <w:instrText xml:space="preserve"> PAGEREF _Toc218370017 \h </w:instrText>
            </w:r>
            <w:r w:rsidRPr="00FA7E58">
              <w:rPr>
                <w:noProof/>
                <w:webHidden/>
              </w:rPr>
            </w:r>
            <w:r w:rsidRPr="00FA7E58">
              <w:rPr>
                <w:noProof/>
                <w:webHidden/>
              </w:rPr>
              <w:fldChar w:fldCharType="separate"/>
            </w:r>
            <w:r w:rsidRPr="00FA7E58">
              <w:rPr>
                <w:noProof/>
                <w:webHidden/>
              </w:rPr>
              <w:t>16</w:t>
            </w:r>
            <w:r w:rsidRPr="00FA7E58">
              <w:rPr>
                <w:noProof/>
                <w:webHidden/>
              </w:rPr>
              <w:fldChar w:fldCharType="end"/>
            </w:r>
          </w:hyperlink>
        </w:p>
        <w:p w14:paraId="5D94C418" w14:textId="17378D2C" w:rsidR="00FA7E58" w:rsidRPr="00FA7E58" w:rsidRDefault="00FA7E58">
          <w:pPr>
            <w:pStyle w:val="TOC2"/>
            <w:tabs>
              <w:tab w:val="right" w:leader="dot" w:pos="9016"/>
            </w:tabs>
            <w:rPr>
              <w:rFonts w:eastAsiaTheme="minorEastAsia"/>
              <w:noProof/>
              <w:kern w:val="2"/>
              <w:sz w:val="24"/>
              <w:szCs w:val="24"/>
              <w:lang/>
              <w14:ligatures w14:val="standardContextual"/>
            </w:rPr>
          </w:pPr>
          <w:hyperlink w:anchor="_Toc218370018" w:history="1">
            <w:r w:rsidRPr="00FA7E58">
              <w:rPr>
                <w:rStyle w:val="Hyperlink"/>
                <w:rFonts w:ascii="Times New Roman" w:hAnsi="Times New Roman" w:cs="Times New Roman"/>
                <w:noProof/>
              </w:rPr>
              <w:t>5.4 Strengthening Differentiation by Making Branding Through Experience.</w:t>
            </w:r>
            <w:r w:rsidRPr="00FA7E58">
              <w:rPr>
                <w:noProof/>
                <w:webHidden/>
              </w:rPr>
              <w:tab/>
            </w:r>
            <w:r w:rsidRPr="00FA7E58">
              <w:rPr>
                <w:noProof/>
                <w:webHidden/>
              </w:rPr>
              <w:fldChar w:fldCharType="begin"/>
            </w:r>
            <w:r w:rsidRPr="00FA7E58">
              <w:rPr>
                <w:noProof/>
                <w:webHidden/>
              </w:rPr>
              <w:instrText xml:space="preserve"> PAGEREF _Toc218370018 \h </w:instrText>
            </w:r>
            <w:r w:rsidRPr="00FA7E58">
              <w:rPr>
                <w:noProof/>
                <w:webHidden/>
              </w:rPr>
            </w:r>
            <w:r w:rsidRPr="00FA7E58">
              <w:rPr>
                <w:noProof/>
                <w:webHidden/>
              </w:rPr>
              <w:fldChar w:fldCharType="separate"/>
            </w:r>
            <w:r w:rsidRPr="00FA7E58">
              <w:rPr>
                <w:noProof/>
                <w:webHidden/>
              </w:rPr>
              <w:t>16</w:t>
            </w:r>
            <w:r w:rsidRPr="00FA7E58">
              <w:rPr>
                <w:noProof/>
                <w:webHidden/>
              </w:rPr>
              <w:fldChar w:fldCharType="end"/>
            </w:r>
          </w:hyperlink>
        </w:p>
        <w:p w14:paraId="78ADBCFC" w14:textId="2F33A8CF" w:rsidR="00FA7E58" w:rsidRDefault="00FA7E58">
          <w:r>
            <w:rPr>
              <w:b/>
              <w:bCs/>
              <w:noProof/>
            </w:rPr>
            <w:fldChar w:fldCharType="end"/>
          </w:r>
        </w:p>
      </w:sdtContent>
    </w:sdt>
    <w:p w14:paraId="38ECA3CD" w14:textId="764E41A0" w:rsidR="00FA7E58" w:rsidRDefault="00FA7E58" w:rsidP="00FA7E58">
      <w:pPr>
        <w:spacing w:before="120" w:after="120"/>
        <w:jc w:val="both"/>
        <w:rPr>
          <w:rFonts w:ascii="Arial" w:hAnsi="Arial" w:cs="Arial"/>
          <w:b/>
        </w:rPr>
      </w:pPr>
      <w:r>
        <w:rPr>
          <w:rFonts w:ascii="Arial" w:hAnsi="Arial" w:cs="Arial"/>
          <w:b/>
        </w:rPr>
        <w:br w:type="page"/>
      </w:r>
    </w:p>
    <w:p w14:paraId="37C6D934" w14:textId="5D148373" w:rsidR="00172C63" w:rsidRPr="00762D84" w:rsidRDefault="00762D84" w:rsidP="00057E09">
      <w:pPr>
        <w:pStyle w:val="Heading1"/>
        <w:spacing w:before="0" w:after="0" w:line="480" w:lineRule="auto"/>
        <w:rPr>
          <w:rFonts w:ascii="Times New Roman" w:hAnsi="Times New Roman" w:cs="Times New Roman"/>
          <w:b/>
          <w:bCs/>
          <w:color w:val="auto"/>
          <w:sz w:val="28"/>
          <w:szCs w:val="28"/>
        </w:rPr>
      </w:pPr>
      <w:bookmarkStart w:id="0" w:name="_Toc218370005"/>
      <w:r w:rsidRPr="00762D84">
        <w:rPr>
          <w:rFonts w:ascii="Times New Roman" w:hAnsi="Times New Roman" w:cs="Times New Roman"/>
          <w:b/>
          <w:bCs/>
          <w:color w:val="auto"/>
          <w:sz w:val="28"/>
          <w:szCs w:val="28"/>
        </w:rPr>
        <w:lastRenderedPageBreak/>
        <w:t xml:space="preserve">1.0 </w:t>
      </w:r>
      <w:r w:rsidR="00172C63" w:rsidRPr="00762D84">
        <w:rPr>
          <w:rFonts w:ascii="Times New Roman" w:hAnsi="Times New Roman" w:cs="Times New Roman"/>
          <w:b/>
          <w:bCs/>
          <w:color w:val="auto"/>
          <w:sz w:val="28"/>
          <w:szCs w:val="28"/>
        </w:rPr>
        <w:t>Executive Summary</w:t>
      </w:r>
      <w:bookmarkEnd w:id="0"/>
    </w:p>
    <w:p w14:paraId="62877E99" w14:textId="5DC41B72"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concept of digital disruption has completely changed the value creation in the international banking industry</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 marketing is no longer a promotional activity but instead a core element of customer experience, trust, and digital interaction. This report is a critical review of the marketing activity of HSBC in this context in relation to its ability to maintain customer value in the current regulatory, technological, and competitive environments. This discussion shows that although HSBC has indeed invested heavily in digital platforms, data analytics, and marketing technology, the bank is limited in its capacity to transform these resources into differentiated marketing results.</w:t>
      </w:r>
    </w:p>
    <w:p w14:paraId="0310A434" w14:textId="5BB102F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Significant results show that standardised digital personalisation, a risk-averse and compliance-oriented operating culture, and structural fragmentation between marketing, technology, analytics and compliance functions inhibit marketing effectiveness. Even though the positioning of HSBC concerning trust and global trustworthiness is still believable, it still does not have much experiential and emotional differentiation in light of the fintech and challenger banking that </w:t>
      </w:r>
      <w:r w:rsidR="0005119B">
        <w:rPr>
          <w:rFonts w:ascii="Times New Roman" w:hAnsi="Times New Roman" w:cs="Times New Roman"/>
          <w:sz w:val="24"/>
          <w:szCs w:val="24"/>
        </w:rPr>
        <w:t>focus</w:t>
      </w:r>
      <w:r w:rsidRPr="00762D84">
        <w:rPr>
          <w:rFonts w:ascii="Times New Roman" w:hAnsi="Times New Roman" w:cs="Times New Roman"/>
          <w:sz w:val="24"/>
          <w:szCs w:val="24"/>
        </w:rPr>
        <w:t xml:space="preserve"> on speed, user-focused design, and adaptive engagement. Marketing performance measurement frameworks further the control and reporting goals at the cost of learning and strategic adaptation.</w:t>
      </w:r>
    </w:p>
    <w:p w14:paraId="30781298" w14:textId="3F93ED0C"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report concludes that HSBC marketing issues are not based on inadequate investment but lack of organisational agility and ability </w:t>
      </w:r>
      <w:r w:rsidR="0005119B">
        <w:rPr>
          <w:rFonts w:ascii="Times New Roman" w:hAnsi="Times New Roman" w:cs="Times New Roman"/>
          <w:sz w:val="24"/>
          <w:szCs w:val="24"/>
        </w:rPr>
        <w:t>to integrate</w:t>
      </w:r>
      <w:r w:rsidRPr="00762D84">
        <w:rPr>
          <w:rFonts w:ascii="Times New Roman" w:hAnsi="Times New Roman" w:cs="Times New Roman"/>
          <w:sz w:val="24"/>
          <w:szCs w:val="24"/>
        </w:rPr>
        <w:t>. These limitations are paramount to overcome the process of making marketing less of a controlled performance and more of a proactive and experience-based value-generating process in a more digital and competitive banking landscape.</w:t>
      </w:r>
    </w:p>
    <w:p w14:paraId="5ACEB94A" w14:textId="77777777" w:rsidR="00FA7E58" w:rsidRDefault="00FA7E58" w:rsidP="00057E09">
      <w:pPr>
        <w:pStyle w:val="Heading1"/>
        <w:spacing w:before="0" w:after="0" w:line="48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br w:type="page"/>
      </w:r>
    </w:p>
    <w:p w14:paraId="096E1170" w14:textId="3AE769B3" w:rsidR="00172C63" w:rsidRPr="00762D84" w:rsidRDefault="00762D84" w:rsidP="00057E09">
      <w:pPr>
        <w:pStyle w:val="Heading1"/>
        <w:spacing w:before="0" w:after="0" w:line="480" w:lineRule="auto"/>
        <w:rPr>
          <w:rFonts w:ascii="Times New Roman" w:hAnsi="Times New Roman" w:cs="Times New Roman"/>
          <w:b/>
          <w:bCs/>
          <w:color w:val="auto"/>
          <w:sz w:val="28"/>
          <w:szCs w:val="28"/>
        </w:rPr>
      </w:pPr>
      <w:bookmarkStart w:id="1" w:name="_Toc218370006"/>
      <w:r w:rsidRPr="00762D84">
        <w:rPr>
          <w:rFonts w:ascii="Times New Roman" w:hAnsi="Times New Roman" w:cs="Times New Roman"/>
          <w:b/>
          <w:bCs/>
          <w:color w:val="auto"/>
          <w:sz w:val="28"/>
          <w:szCs w:val="28"/>
        </w:rPr>
        <w:lastRenderedPageBreak/>
        <w:t xml:space="preserve">2.0 </w:t>
      </w:r>
      <w:r w:rsidR="00172C63" w:rsidRPr="00762D84">
        <w:rPr>
          <w:rFonts w:ascii="Times New Roman" w:hAnsi="Times New Roman" w:cs="Times New Roman"/>
          <w:b/>
          <w:bCs/>
          <w:color w:val="auto"/>
          <w:sz w:val="28"/>
          <w:szCs w:val="28"/>
        </w:rPr>
        <w:t>Introduction</w:t>
      </w:r>
      <w:bookmarkEnd w:id="1"/>
    </w:p>
    <w:p w14:paraId="5E9FB35A" w14:textId="3F4E153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Digital disruption in international banking is an artificially new way of structuring value generation, and not a technological fad (Naimi-Sadigh, Asgari and Rabiei, 2021). The nature of the delivery and experience of financial services is changed by platform banking, artificial intelligence, data analytics, and mobile ecosystems. Marketing has thus taken a new direction in terms of controlling customer experience, building trust and communicating value via mainly digital interfaces. The new expectations of customers have shifted </w:t>
      </w:r>
      <w:r w:rsidR="0005119B">
        <w:rPr>
          <w:rFonts w:ascii="Times New Roman" w:hAnsi="Times New Roman" w:cs="Times New Roman"/>
          <w:sz w:val="24"/>
          <w:szCs w:val="24"/>
        </w:rPr>
        <w:t>to a</w:t>
      </w:r>
      <w:r w:rsidRPr="00762D84">
        <w:rPr>
          <w:rFonts w:ascii="Times New Roman" w:hAnsi="Times New Roman" w:cs="Times New Roman"/>
          <w:sz w:val="24"/>
          <w:szCs w:val="24"/>
        </w:rPr>
        <w:t xml:space="preserve"> focus on seamless, personalised and always-on interactions. Costa, Querci, and Santulli (2025) argue that fintechs and challenger banks are driving this change with their competitive pressure that is based on speed, user experience, and personalisation rather than scale. HSBC is a thorn in the flesh considering its international presence, exposure to regulatory risks, and the antiquity of its systems, creating tension.</w:t>
      </w:r>
    </w:p>
    <w:p w14:paraId="37AEF18A" w14:textId="413E14BD" w:rsidR="00D709F7"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present analysis is a critical evaluation of the HSBC marketing action in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 xml:space="preserve">digitally disrupted banking environment; the focus is on the effectiveness of the marketing activities and not just the implementation of technology. It is concerned with the ability of HSBC to generate and maintain customer value with limited regulatory, structural, and capability constraints. The marketing strategy is considered in connection </w:t>
      </w:r>
      <w:r w:rsidR="0005119B">
        <w:rPr>
          <w:rFonts w:ascii="Times New Roman" w:hAnsi="Times New Roman" w:cs="Times New Roman"/>
          <w:sz w:val="24"/>
          <w:szCs w:val="24"/>
        </w:rPr>
        <w:t>with</w:t>
      </w:r>
      <w:r w:rsidRPr="00762D84">
        <w:rPr>
          <w:rFonts w:ascii="Times New Roman" w:hAnsi="Times New Roman" w:cs="Times New Roman"/>
          <w:sz w:val="24"/>
          <w:szCs w:val="24"/>
        </w:rPr>
        <w:t xml:space="preserve"> strategic failures, organisational capacity and competitive differentiation issues. It is especially focused on the effectiveness of the marketing that fits the changing requirements of the customers and the standards of digital interactions. The point of view taken is futuristic, building on </w:t>
      </w:r>
      <w:r w:rsidR="0005119B">
        <w:rPr>
          <w:rFonts w:ascii="Times New Roman" w:hAnsi="Times New Roman" w:cs="Times New Roman"/>
          <w:sz w:val="24"/>
          <w:szCs w:val="24"/>
        </w:rPr>
        <w:t>technological</w:t>
      </w:r>
      <w:r w:rsidRPr="00762D84">
        <w:rPr>
          <w:rFonts w:ascii="Times New Roman" w:hAnsi="Times New Roman" w:cs="Times New Roman"/>
          <w:sz w:val="24"/>
          <w:szCs w:val="24"/>
        </w:rPr>
        <w:t xml:space="preserve"> change. The debate progresses on the basis of evaluative </w:t>
      </w:r>
      <w:r w:rsidR="0005119B">
        <w:rPr>
          <w:rFonts w:ascii="Times New Roman" w:hAnsi="Times New Roman" w:cs="Times New Roman"/>
          <w:sz w:val="24"/>
          <w:szCs w:val="24"/>
        </w:rPr>
        <w:t>judgment</w:t>
      </w:r>
      <w:r w:rsidRPr="00762D84">
        <w:rPr>
          <w:rFonts w:ascii="Times New Roman" w:hAnsi="Times New Roman" w:cs="Times New Roman"/>
          <w:sz w:val="24"/>
          <w:szCs w:val="24"/>
        </w:rPr>
        <w:t xml:space="preserve"> based on theory and evidence.</w:t>
      </w:r>
    </w:p>
    <w:p w14:paraId="5E705C9E" w14:textId="2D0AD6BD" w:rsidR="007F1802" w:rsidRDefault="007F1802" w:rsidP="00057E09">
      <w:pPr>
        <w:pStyle w:val="Heading1"/>
        <w:spacing w:before="0" w:after="0" w:line="480" w:lineRule="auto"/>
        <w:rPr>
          <w:rFonts w:ascii="Times New Roman" w:hAnsi="Times New Roman" w:cs="Times New Roman"/>
          <w:b/>
          <w:bCs/>
          <w:color w:val="auto"/>
          <w:sz w:val="28"/>
          <w:szCs w:val="28"/>
        </w:rPr>
      </w:pPr>
      <w:bookmarkStart w:id="2" w:name="_Toc218370007"/>
      <w:r w:rsidRPr="007F1802">
        <w:rPr>
          <w:rFonts w:ascii="Times New Roman" w:hAnsi="Times New Roman" w:cs="Times New Roman"/>
          <w:b/>
          <w:bCs/>
          <w:color w:val="auto"/>
          <w:sz w:val="28"/>
          <w:szCs w:val="28"/>
        </w:rPr>
        <w:lastRenderedPageBreak/>
        <w:t>3.0</w:t>
      </w:r>
      <w:r>
        <w:rPr>
          <w:rFonts w:ascii="Times New Roman" w:hAnsi="Times New Roman" w:cs="Times New Roman"/>
          <w:b/>
          <w:bCs/>
          <w:color w:val="auto"/>
          <w:sz w:val="28"/>
          <w:szCs w:val="28"/>
        </w:rPr>
        <w:t xml:space="preserve"> Main Findings</w:t>
      </w:r>
      <w:bookmarkEnd w:id="2"/>
    </w:p>
    <w:p w14:paraId="09A3F730" w14:textId="3A1BF340" w:rsidR="00172C63" w:rsidRPr="007F1802" w:rsidRDefault="007F1802" w:rsidP="00057E09">
      <w:pPr>
        <w:pStyle w:val="Heading2"/>
        <w:spacing w:before="0" w:after="0" w:line="480" w:lineRule="auto"/>
        <w:rPr>
          <w:rFonts w:ascii="Times New Roman" w:hAnsi="Times New Roman" w:cs="Times New Roman"/>
          <w:b/>
          <w:bCs/>
          <w:sz w:val="28"/>
          <w:szCs w:val="28"/>
        </w:rPr>
      </w:pPr>
      <w:bookmarkStart w:id="3" w:name="_Toc218370008"/>
      <w:r w:rsidRPr="007F1802">
        <w:rPr>
          <w:rFonts w:ascii="Times New Roman" w:hAnsi="Times New Roman" w:cs="Times New Roman"/>
          <w:b/>
          <w:bCs/>
          <w:color w:val="auto"/>
          <w:sz w:val="28"/>
          <w:szCs w:val="28"/>
        </w:rPr>
        <w:t xml:space="preserve">3.1 </w:t>
      </w:r>
      <w:r w:rsidR="00172C63" w:rsidRPr="007F1802">
        <w:rPr>
          <w:rFonts w:ascii="Times New Roman" w:hAnsi="Times New Roman" w:cs="Times New Roman"/>
          <w:b/>
          <w:bCs/>
          <w:color w:val="auto"/>
          <w:sz w:val="28"/>
          <w:szCs w:val="28"/>
        </w:rPr>
        <w:t>Marketing Resources, Capabilities, and Strategic Investment.</w:t>
      </w:r>
      <w:bookmarkEnd w:id="3"/>
    </w:p>
    <w:p w14:paraId="724EA169" w14:textId="2DA050A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Marketing resources at HSBC have been channelled progressively to help it pursue a digital-first strategic path</w:t>
      </w:r>
      <w:r w:rsidR="0005119B">
        <w:rPr>
          <w:rFonts w:ascii="Times New Roman" w:hAnsi="Times New Roman" w:cs="Times New Roman"/>
          <w:sz w:val="24"/>
          <w:szCs w:val="24"/>
        </w:rPr>
        <w:t>. Significant</w:t>
      </w:r>
      <w:r w:rsidRPr="00762D84">
        <w:rPr>
          <w:rFonts w:ascii="Times New Roman" w:hAnsi="Times New Roman" w:cs="Times New Roman"/>
          <w:sz w:val="24"/>
          <w:szCs w:val="24"/>
        </w:rPr>
        <w:t xml:space="preserve"> investment in online platforms, data analytics infrastructure, and marketing technology is intended to improve customer interactions and operational efficiency (Research and Markets, 2025). Such investments indicate an understanding that the marketing value within modern banking is produced with the help of digital interfaces, where customer experience, trust, and personalisation are put at the centre (Mbama et al., 2018). Through the power of data-rich insights, HSBC aims to hone its customer segmentation, </w:t>
      </w:r>
      <w:r w:rsidR="0005119B">
        <w:rPr>
          <w:rFonts w:ascii="Times New Roman" w:hAnsi="Times New Roman" w:cs="Times New Roman"/>
          <w:sz w:val="24"/>
          <w:szCs w:val="24"/>
        </w:rPr>
        <w:t>customise</w:t>
      </w:r>
      <w:r w:rsidRPr="00762D84">
        <w:rPr>
          <w:rFonts w:ascii="Times New Roman" w:hAnsi="Times New Roman" w:cs="Times New Roman"/>
          <w:sz w:val="24"/>
          <w:szCs w:val="24"/>
        </w:rPr>
        <w:t xml:space="preserve"> communications, and facilitate omnichannel interaction in its markets globally. Such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distribution, strategically, makes marketing a facilitator of long-term relationships with customers, and not a purely promotional activity, aligning marketing goals with the overall organisational change.</w:t>
      </w:r>
    </w:p>
    <w:p w14:paraId="4D932318" w14:textId="32EF33B4"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adequacy of these investments should</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however</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be considered in terms of the capability deployment as opposed to expenditure. Although HSBC enjoys economies of scale and is able to tap into a large amount of financial assets, its marketing capabilities are limited by system integration, data fragmentation, and intricate regulatory controls (Jin et al., 2024). Such structural constraints suppress marketing responsiveness and slow the pace of transformation of insights into responsive and personalised marketing campaigns. Such capability gaps are especially clear in integrating marketing with information technology and compliance functions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 risk management needs tend to override the responsiveness of the marketing (Day, 2017). Consequently, organisational inflexibility and skills imbalance among international branches partially water down the strategic potential of the data-driven marketing.</w:t>
      </w:r>
    </w:p>
    <w:p w14:paraId="20B62391" w14:textId="065AEF5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The conflict between scale effectiveness and marketing agility is a strategic issue of paramount significance. The presence of HSBC across all regions of the globe provides one with consistency and trust as well as brand recognition and, at the same time, prevents adaptive and locally responsive marketing implementation (Research and Markets, 2025). The issue of competitive advantage does not lie in the scale of investment in marketing, but in the capacity of HSBC to redesign its resources in terms of being integrated and </w:t>
      </w:r>
      <w:r w:rsidR="0005119B">
        <w:rPr>
          <w:rFonts w:ascii="Times New Roman" w:hAnsi="Times New Roman" w:cs="Times New Roman"/>
          <w:sz w:val="24"/>
          <w:szCs w:val="24"/>
        </w:rPr>
        <w:t>cross-functional</w:t>
      </w:r>
      <w:r w:rsidRPr="00762D84">
        <w:rPr>
          <w:rFonts w:ascii="Times New Roman" w:hAnsi="Times New Roman" w:cs="Times New Roman"/>
          <w:sz w:val="24"/>
          <w:szCs w:val="24"/>
        </w:rPr>
        <w:t>. Lack of increased agility will result in marketing not performing excellently as compared to fintech competitors that will transform a reduced resource base to excellent customer experiences based on speed, flexibility and flow of digital integration.</w:t>
      </w:r>
    </w:p>
    <w:p w14:paraId="067F2EF9" w14:textId="10F0EA40" w:rsidR="00172C63" w:rsidRPr="007F1802" w:rsidRDefault="007F1802" w:rsidP="00057E09">
      <w:pPr>
        <w:pStyle w:val="Heading2"/>
        <w:spacing w:before="0" w:after="0" w:line="480" w:lineRule="auto"/>
        <w:rPr>
          <w:rFonts w:ascii="Times New Roman" w:hAnsi="Times New Roman" w:cs="Times New Roman"/>
          <w:b/>
          <w:bCs/>
          <w:color w:val="auto"/>
          <w:sz w:val="28"/>
          <w:szCs w:val="28"/>
        </w:rPr>
      </w:pPr>
      <w:bookmarkStart w:id="4" w:name="_Toc218370009"/>
      <w:r w:rsidRPr="007F1802">
        <w:rPr>
          <w:rFonts w:ascii="Times New Roman" w:hAnsi="Times New Roman" w:cs="Times New Roman"/>
          <w:b/>
          <w:bCs/>
          <w:color w:val="auto"/>
          <w:sz w:val="28"/>
          <w:szCs w:val="28"/>
        </w:rPr>
        <w:t>3.</w:t>
      </w:r>
      <w:r w:rsidR="00172C63" w:rsidRPr="007F1802">
        <w:rPr>
          <w:rFonts w:ascii="Times New Roman" w:hAnsi="Times New Roman" w:cs="Times New Roman"/>
          <w:b/>
          <w:bCs/>
          <w:color w:val="auto"/>
          <w:sz w:val="28"/>
          <w:szCs w:val="28"/>
        </w:rPr>
        <w:t>2 Influences of Macro and Micro Marketing Environment.</w:t>
      </w:r>
      <w:bookmarkEnd w:id="4"/>
    </w:p>
    <w:p w14:paraId="5839A9E6" w14:textId="238D9813" w:rsidR="00172C63" w:rsidRPr="00057E09"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057E09">
        <w:rPr>
          <w:rFonts w:ascii="Times New Roman" w:hAnsi="Times New Roman" w:cs="Times New Roman"/>
          <w:b/>
          <w:bCs/>
          <w:sz w:val="24"/>
          <w:szCs w:val="24"/>
        </w:rPr>
        <w:t>Regulatory pressures</w:t>
      </w:r>
    </w:p>
    <w:p w14:paraId="3737B32C" w14:textId="33ED4140"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HSBC marketing strategy is developed as a result of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complex combination of macro-environmental pressures, which are both very limiting to flexibility but require innovation. The presence of regulatory supervision is an iconic force</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especially concerning data protection, financial practices, and consumer transparency (Chiu, 2023). Strict compliance policies reduce how far customer information can be used to create personalised marketing to form risk-conscious marketing that focuses on trust and validity as opposed to experimentation (Adepeju, Edeze, and Adenibuyan, 2025). Although such a regulatory environment contributes to the brand credibility of HSBC, it also limits marketing agility, where the campaigns and communications would have to be subjected to elaborate governance procedures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which </w:t>
      </w:r>
      <w:r w:rsidR="0005119B">
        <w:rPr>
          <w:rFonts w:ascii="Times New Roman" w:hAnsi="Times New Roman" w:cs="Times New Roman"/>
          <w:sz w:val="24"/>
          <w:szCs w:val="24"/>
        </w:rPr>
        <w:t>slow</w:t>
      </w:r>
      <w:r w:rsidRPr="00762D84">
        <w:rPr>
          <w:rFonts w:ascii="Times New Roman" w:hAnsi="Times New Roman" w:cs="Times New Roman"/>
          <w:sz w:val="24"/>
          <w:szCs w:val="24"/>
        </w:rPr>
        <w:t xml:space="preserve"> down the process of responding to market change (Rani et al., 2025). Marketing innovation is thus incremental as opposed to transformational</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and this is indicative of a structurally constrained operating environment.</w:t>
      </w:r>
    </w:p>
    <w:p w14:paraId="6EE177EC" w14:textId="77777777" w:rsidR="00172C63" w:rsidRPr="007F1802"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7F1802">
        <w:rPr>
          <w:rFonts w:ascii="Times New Roman" w:hAnsi="Times New Roman" w:cs="Times New Roman"/>
          <w:b/>
          <w:bCs/>
          <w:sz w:val="24"/>
          <w:szCs w:val="24"/>
        </w:rPr>
        <w:t>Technology and Economic Pressures</w:t>
      </w:r>
    </w:p>
    <w:p w14:paraId="74303B00" w14:textId="0AF3383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This pressure is further added by technological and economic forces. The swift innovation in the digital platforms, artificial intelligence, and analytics has increased customer demands on the channels through intuitive, seamless, and </w:t>
      </w:r>
      <w:r w:rsidR="0005119B">
        <w:rPr>
          <w:rFonts w:ascii="Times New Roman" w:hAnsi="Times New Roman" w:cs="Times New Roman"/>
          <w:sz w:val="24"/>
          <w:szCs w:val="24"/>
        </w:rPr>
        <w:t>individualised</w:t>
      </w:r>
      <w:r w:rsidRPr="00762D84">
        <w:rPr>
          <w:rFonts w:ascii="Times New Roman" w:hAnsi="Times New Roman" w:cs="Times New Roman"/>
          <w:sz w:val="24"/>
          <w:szCs w:val="24"/>
        </w:rPr>
        <w:t xml:space="preserve"> interactions (Anozie et al., 2024). Marketing is estimated by the imperatives of cost-efficiency after years of investment in digital infrastructure, which stricter requirements lead to the need to have measurable returns on engagement and acquisition (Hundera, 2025). These realities put the HSBC marketing operation </w:t>
      </w:r>
      <w:r w:rsidR="0005119B">
        <w:rPr>
          <w:rFonts w:ascii="Times New Roman" w:hAnsi="Times New Roman" w:cs="Times New Roman"/>
          <w:sz w:val="24"/>
          <w:szCs w:val="24"/>
        </w:rPr>
        <w:t>in</w:t>
      </w:r>
      <w:r w:rsidRPr="00762D84">
        <w:rPr>
          <w:rFonts w:ascii="Times New Roman" w:hAnsi="Times New Roman" w:cs="Times New Roman"/>
          <w:sz w:val="24"/>
          <w:szCs w:val="24"/>
        </w:rPr>
        <w:t xml:space="preserve"> a place where it has to strike a balance between innovation and responsibility; in many instances, it is better to promote scalable solutions instead of trial projects. Consequently, the marketing strategy is rather inclined to optimise existing platforms instead of working hard to adopt disruptive engagement models that would support a performance-oriented, wary orientation.</w:t>
      </w:r>
    </w:p>
    <w:p w14:paraId="79546D07" w14:textId="10E586A3" w:rsidR="00172C63" w:rsidRPr="007F1802"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7F1802">
        <w:rPr>
          <w:rFonts w:ascii="Times New Roman" w:hAnsi="Times New Roman" w:cs="Times New Roman"/>
          <w:b/>
          <w:bCs/>
          <w:sz w:val="24"/>
          <w:szCs w:val="24"/>
        </w:rPr>
        <w:t>Competitive Pressures</w:t>
      </w:r>
    </w:p>
    <w:p w14:paraId="1190E165" w14:textId="36E793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On the micro-environmental level, the challenges of rivalry with fintech enterprises and digital-native challenger banks reveal the weaknesses in marketing responsiveness at HSBC. The competitors in the fintech sector utilise limited and less rigid regulatory regimes to aggressively compete based on the user experience, speed, and hyper-personalised communication (Rani et al., 2025). Conversely, the marketing reactions of HSBC are often reactive and responsive to changes in the expectations of the customers once the competitive standards are created. As much as HSBC still enjoys a competitive edge based on the brand trust, global coverage and customer retention, its marketing distinction is undermined by sluggish innovation processes. This ability of HSBC to switch between reactive and proactive experience-based marketing will be the measure of its ability to remain competitive in a more digital and customer-focused banking environment (Research and Markets, 2025).</w:t>
      </w:r>
    </w:p>
    <w:p w14:paraId="0CC65F4C" w14:textId="78A60C9B" w:rsidR="00172C63" w:rsidRPr="007F1802" w:rsidRDefault="007F1802" w:rsidP="00057E09">
      <w:pPr>
        <w:pStyle w:val="Heading2"/>
        <w:spacing w:before="0" w:after="0" w:line="480" w:lineRule="auto"/>
        <w:rPr>
          <w:rFonts w:ascii="Times New Roman" w:hAnsi="Times New Roman" w:cs="Times New Roman"/>
          <w:b/>
          <w:bCs/>
          <w:color w:val="auto"/>
          <w:sz w:val="28"/>
          <w:szCs w:val="28"/>
        </w:rPr>
      </w:pPr>
      <w:bookmarkStart w:id="5" w:name="_Toc218370010"/>
      <w:r w:rsidRPr="007F1802">
        <w:rPr>
          <w:rFonts w:ascii="Times New Roman" w:hAnsi="Times New Roman" w:cs="Times New Roman"/>
          <w:b/>
          <w:bCs/>
          <w:color w:val="auto"/>
          <w:sz w:val="28"/>
          <w:szCs w:val="28"/>
        </w:rPr>
        <w:lastRenderedPageBreak/>
        <w:t>3</w:t>
      </w:r>
      <w:r w:rsidR="00172C63" w:rsidRPr="007F1802">
        <w:rPr>
          <w:rFonts w:ascii="Times New Roman" w:hAnsi="Times New Roman" w:cs="Times New Roman"/>
          <w:b/>
          <w:bCs/>
          <w:color w:val="auto"/>
          <w:sz w:val="28"/>
          <w:szCs w:val="28"/>
        </w:rPr>
        <w:t xml:space="preserve">.3 Segmentation, Targeting, Positioning and Value </w:t>
      </w:r>
      <w:r w:rsidR="0005119B">
        <w:rPr>
          <w:rFonts w:ascii="Times New Roman" w:hAnsi="Times New Roman" w:cs="Times New Roman"/>
          <w:b/>
          <w:bCs/>
          <w:color w:val="auto"/>
          <w:sz w:val="28"/>
          <w:szCs w:val="28"/>
        </w:rPr>
        <w:t>Proposition</w:t>
      </w:r>
      <w:r w:rsidR="00172C63" w:rsidRPr="007F1802">
        <w:rPr>
          <w:rFonts w:ascii="Times New Roman" w:hAnsi="Times New Roman" w:cs="Times New Roman"/>
          <w:b/>
          <w:bCs/>
          <w:color w:val="auto"/>
          <w:sz w:val="28"/>
          <w:szCs w:val="28"/>
        </w:rPr>
        <w:t>.</w:t>
      </w:r>
      <w:bookmarkEnd w:id="5"/>
    </w:p>
    <w:p w14:paraId="3142ACAB" w14:textId="1C439B5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HSBC segmentation strategy indicates the complexity in the strategic dimension of being a global universal bank in an ever-growing</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customer-focused</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and digital environment. The primary segments are designed around the general categories of customers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such as retail, affluent, corporate, and international clients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backed by such demographic, geographic and behavioural variables (Mereu, 2020). Although this breadth facilitates scale efficiencies and consistency at the global level, it restricts the accuracy needed in effective digital marketing</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wherein value creation relies more and more on granular insight and micro-segmentation (Foedermayr and Diamantopoulos, 2008). In a digital environment, where the competition is using real-time behavioural data to customise propositions, the segmentation approach of HSBC will undervalue the potential of its data holdings.</w:t>
      </w:r>
    </w:p>
    <w:p w14:paraId="65E6EF97" w14:textId="0777706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target decisions thus emanate out of tension between </w:t>
      </w:r>
      <w:r w:rsidR="0005119B">
        <w:rPr>
          <w:rFonts w:ascii="Times New Roman" w:hAnsi="Times New Roman" w:cs="Times New Roman"/>
          <w:sz w:val="24"/>
          <w:szCs w:val="24"/>
        </w:rPr>
        <w:t>globalisation</w:t>
      </w:r>
      <w:r w:rsidRPr="00762D84">
        <w:rPr>
          <w:rFonts w:ascii="Times New Roman" w:hAnsi="Times New Roman" w:cs="Times New Roman"/>
          <w:sz w:val="24"/>
          <w:szCs w:val="24"/>
        </w:rPr>
        <w:t xml:space="preserve"> and </w:t>
      </w:r>
      <w:r w:rsidR="0005119B">
        <w:rPr>
          <w:rFonts w:ascii="Times New Roman" w:hAnsi="Times New Roman" w:cs="Times New Roman"/>
          <w:sz w:val="24"/>
          <w:szCs w:val="24"/>
        </w:rPr>
        <w:t>localisation</w:t>
      </w:r>
      <w:r w:rsidRPr="00762D84">
        <w:rPr>
          <w:rFonts w:ascii="Times New Roman" w:hAnsi="Times New Roman" w:cs="Times New Roman"/>
          <w:sz w:val="24"/>
          <w:szCs w:val="24"/>
        </w:rPr>
        <w:t xml:space="preserve">. Nikita and Lordan (2024) explain that wide coverage and inclusivity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the primary focus of the HSBC marketing strategy that supports the perception of the company as a reliable global financial partner. Nevertheless, this broad targeting strategy limits the creation of distinctively differentiated value propositions to specific customer groups. There are digital personalisation initiatives, although the success of these initiatives is limited by regulatory limits on the use of data and challenges of system integration, including limited marketing responsiveness, Complex regulatory oversight, Legacy system integration limits and Underperformance risk compared to fintech competitors (Quach et al., 2022). Consequently, the concept of personalisation tends to be rule-driven and standardised, as opposed to being adaptive and predictive, which diminishes its ability to create unique customer experiences compared to other fintech competitors.</w:t>
      </w:r>
    </w:p>
    <w:p w14:paraId="67825B08" w14:textId="777777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positioning of HSBC focuses on trust, security, and international connectivity as well as institutional reliability. Such a position is highly consistent with regulatory credibility </w:t>
      </w:r>
      <w:r w:rsidRPr="00762D84">
        <w:rPr>
          <w:rFonts w:ascii="Times New Roman" w:hAnsi="Times New Roman" w:cs="Times New Roman"/>
          <w:sz w:val="24"/>
          <w:szCs w:val="24"/>
        </w:rPr>
        <w:lastRenderedPageBreak/>
        <w:t>and risk management requirements, which enhances long-term customer trust. However, in comparison to the challenger banks and fintech companies that place around the themes of simplicity, speed, and user-friendly design, the positioning of HSBC is conservative and functional (Research and Markets, 2025). Its focus on international consistency, though strategically justifiable, can be watered down to marketing effectiveness by impingement of the suggestion of homogeneity in different markets with varying expectations. As a result, the value proposition will be viewed solely as generic as opposed to being differentiated in a compelling manner.</w:t>
      </w:r>
    </w:p>
    <w:p w14:paraId="0EEB2052" w14:textId="2389E5A2"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How well HSBC can manage to balance global consistency with contextual relevance will determine the success of its value proposition. Unless the marketing definition is more acute and responsive in the way it is positioned, HSBC may fall behind those competitors who are moving intense targeting into the next level of customer interaction. Sustainable differentiation will see the need to move away </w:t>
      </w:r>
      <w:r w:rsidR="0005119B">
        <w:rPr>
          <w:rFonts w:ascii="Times New Roman" w:hAnsi="Times New Roman" w:cs="Times New Roman"/>
          <w:sz w:val="24"/>
          <w:szCs w:val="24"/>
        </w:rPr>
        <w:t xml:space="preserve">from </w:t>
      </w:r>
      <w:r w:rsidRPr="00762D84">
        <w:rPr>
          <w:rFonts w:ascii="Times New Roman" w:hAnsi="Times New Roman" w:cs="Times New Roman"/>
          <w:sz w:val="24"/>
          <w:szCs w:val="24"/>
        </w:rPr>
        <w:t>the homogenous messages to value propositions that would create a balance between trust-based branding and digitally empowered personal relevance.</w:t>
      </w:r>
    </w:p>
    <w:p w14:paraId="6D43982B" w14:textId="0EB9EF1F" w:rsidR="00172C63" w:rsidRPr="007F1802" w:rsidRDefault="007F1802" w:rsidP="00057E09">
      <w:pPr>
        <w:pStyle w:val="Heading2"/>
        <w:spacing w:before="0" w:after="0" w:line="480" w:lineRule="auto"/>
        <w:rPr>
          <w:rFonts w:ascii="Times New Roman" w:hAnsi="Times New Roman" w:cs="Times New Roman"/>
          <w:b/>
          <w:bCs/>
          <w:color w:val="auto"/>
        </w:rPr>
      </w:pPr>
      <w:bookmarkStart w:id="6" w:name="_Toc218370011"/>
      <w:r w:rsidRPr="007F1802">
        <w:rPr>
          <w:rFonts w:ascii="Times New Roman" w:hAnsi="Times New Roman" w:cs="Times New Roman"/>
          <w:b/>
          <w:bCs/>
          <w:color w:val="auto"/>
        </w:rPr>
        <w:t>3.</w:t>
      </w:r>
      <w:r w:rsidR="00172C63" w:rsidRPr="007F1802">
        <w:rPr>
          <w:rFonts w:ascii="Times New Roman" w:hAnsi="Times New Roman" w:cs="Times New Roman"/>
          <w:b/>
          <w:bCs/>
          <w:color w:val="auto"/>
        </w:rPr>
        <w:t>4 Digital Channel Effectiveness and Marketing Mix.</w:t>
      </w:r>
      <w:bookmarkEnd w:id="6"/>
    </w:p>
    <w:p w14:paraId="5531942B" w14:textId="3F7DFD69"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HSBC marketing mix has been adjusted towards digital delivery, as the interaction of customers with the bank has been moved out of the brick-and-mortar location and into the mobile and internet space, which is characteristic of the industry. The digital channels, in the form of mobile banking applications, online platforms, and digitally mediated brand touchpoints (Su and Wen, 2021)</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have taken a central position in the process of HSBC communicating value, providing services and creating customer perceptions. According to Oumaima and Lamari</w:t>
      </w:r>
      <w:r w:rsidR="0005119B">
        <w:rPr>
          <w:rFonts w:ascii="Times New Roman" w:hAnsi="Times New Roman" w:cs="Times New Roman"/>
          <w:sz w:val="24"/>
          <w:szCs w:val="24"/>
        </w:rPr>
        <w:t xml:space="preserve"> (</w:t>
      </w:r>
      <w:r w:rsidRPr="00762D84">
        <w:rPr>
          <w:rFonts w:ascii="Times New Roman" w:hAnsi="Times New Roman" w:cs="Times New Roman"/>
          <w:sz w:val="24"/>
          <w:szCs w:val="24"/>
        </w:rPr>
        <w:t xml:space="preserve">2024), </w:t>
      </w:r>
      <w:r w:rsidR="0005119B">
        <w:rPr>
          <w:rFonts w:ascii="Times New Roman" w:hAnsi="Times New Roman" w:cs="Times New Roman"/>
          <w:sz w:val="24"/>
          <w:szCs w:val="24"/>
        </w:rPr>
        <w:t xml:space="preserve">the </w:t>
      </w:r>
      <w:r w:rsidRPr="00762D84">
        <w:rPr>
          <w:rFonts w:ascii="Times New Roman" w:hAnsi="Times New Roman" w:cs="Times New Roman"/>
          <w:sz w:val="24"/>
          <w:szCs w:val="24"/>
        </w:rPr>
        <w:t xml:space="preserve">marketing mix is less product-oriented and more the process of customer experience planning through linked touchpoints. Performance </w:t>
      </w:r>
      <w:r w:rsidRPr="00762D84">
        <w:rPr>
          <w:rFonts w:ascii="Times New Roman" w:hAnsi="Times New Roman" w:cs="Times New Roman"/>
          <w:sz w:val="24"/>
          <w:szCs w:val="24"/>
        </w:rPr>
        <w:lastRenderedPageBreak/>
        <w:t>should not then be measured by the presence of channels, but rather by how good, coherent, and the results of the customer journey are supported by these channels.</w:t>
      </w:r>
    </w:p>
    <w:p w14:paraId="6A0E1AD9" w14:textId="03C569CA" w:rsidR="00172C63" w:rsidRPr="00762D84" w:rsidRDefault="0005119B" w:rsidP="00057E0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From a</w:t>
      </w:r>
      <w:r w:rsidR="00172C63" w:rsidRPr="00762D84">
        <w:rPr>
          <w:rFonts w:ascii="Times New Roman" w:hAnsi="Times New Roman" w:cs="Times New Roman"/>
          <w:sz w:val="24"/>
          <w:szCs w:val="24"/>
        </w:rPr>
        <w:t xml:space="preserve"> product and service perspective, the digital platforms of HSBC are branded as secure, holistic and accessible worldwide. Marketing facilitates it through the focus on reliability, continuity, and functional breadth, instead of experience novelty</w:t>
      </w:r>
      <w:r>
        <w:rPr>
          <w:rFonts w:ascii="Times New Roman" w:hAnsi="Times New Roman" w:cs="Times New Roman"/>
          <w:sz w:val="24"/>
          <w:szCs w:val="24"/>
        </w:rPr>
        <w:t xml:space="preserve"> </w:t>
      </w:r>
      <w:r w:rsidR="00172C63" w:rsidRPr="00762D84">
        <w:rPr>
          <w:rFonts w:ascii="Times New Roman" w:hAnsi="Times New Roman" w:cs="Times New Roman"/>
          <w:sz w:val="24"/>
          <w:szCs w:val="24"/>
        </w:rPr>
        <w:t>(Research and Markets, 2025). Although this builds trust, which is a critical asset in the financial services, it also limits differentiation. Fintech companies, in particular, integrate marketing more directly into product design and introduce intuitive interfaces and frictionless journeys to offer these features to users as the main value propositions (Quach et al., 2022). Contrarily, the digital experience of HSBC, despite its strength, may seem operationally rather than emotionally involved, which constrains the marketing ability to improve the sense of value beyond basic functionality.</w:t>
      </w:r>
    </w:p>
    <w:p w14:paraId="3A28DFE2" w14:textId="62C30F28"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Similarly, pricing and value communication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influenced by scale and regulatory reasons. Marketing messages are inclined to preempt transparency and equity, which are in line with the compliance factors and </w:t>
      </w:r>
      <w:r w:rsidR="0005119B">
        <w:rPr>
          <w:rFonts w:ascii="Times New Roman" w:hAnsi="Times New Roman" w:cs="Times New Roman"/>
          <w:sz w:val="24"/>
          <w:szCs w:val="24"/>
        </w:rPr>
        <w:t>boost</w:t>
      </w:r>
      <w:r w:rsidRPr="00762D84">
        <w:rPr>
          <w:rFonts w:ascii="Times New Roman" w:hAnsi="Times New Roman" w:cs="Times New Roman"/>
          <w:sz w:val="24"/>
          <w:szCs w:val="24"/>
        </w:rPr>
        <w:t xml:space="preserve"> the institutional credibility (Sharma and Sharma, 2024). Nonetheless, this conservative strategy makes it tricky to be flexible with the delivery of customised value propositions or dynamic deals, especially in online platforms where personalisation might lead to a greater feeling of relevancy. Consequently, marketing adds a greater role in reassurance as opposed to excitement or experimentation, which solidifies the stability to the detriment of differentiation </w:t>
      </w:r>
      <w:r w:rsidR="0005119B">
        <w:rPr>
          <w:rFonts w:ascii="Times New Roman" w:hAnsi="Times New Roman" w:cs="Times New Roman"/>
          <w:sz w:val="24"/>
          <w:szCs w:val="24"/>
        </w:rPr>
        <w:t xml:space="preserve">and </w:t>
      </w:r>
      <w:r w:rsidRPr="00762D84">
        <w:rPr>
          <w:rFonts w:ascii="Times New Roman" w:hAnsi="Times New Roman" w:cs="Times New Roman"/>
          <w:sz w:val="24"/>
          <w:szCs w:val="24"/>
        </w:rPr>
        <w:t>innovativeness (Malerba et al., 2007).</w:t>
      </w:r>
    </w:p>
    <w:p w14:paraId="4D21ADE7" w14:textId="777777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promotion and the place are nearly completely digitally mediated, where there is a message that is integrated in mobile applications, websites, email and a few social platforms are selected. The extent of brand coherence in HSBC is high in all these channels, with the visual identity and tone being consistent. Although this integration helps to build trust and brand recognition, it might lead to homogeneity along with customer touchpoints. Customer </w:t>
      </w:r>
      <w:r w:rsidRPr="00762D84">
        <w:rPr>
          <w:rFonts w:ascii="Times New Roman" w:hAnsi="Times New Roman" w:cs="Times New Roman"/>
          <w:sz w:val="24"/>
          <w:szCs w:val="24"/>
        </w:rPr>
        <w:lastRenderedPageBreak/>
        <w:t>journey design is thus effective but linear as it focuses on minimising risks and being clear rather than adaptive. Compliance and IT governance often restrict the capacity of marketing to form journeys and react real-time to customer behaviour (Oumaima and Lamari, 2024).</w:t>
      </w:r>
    </w:p>
    <w:p w14:paraId="54A6A706" w14:textId="2B1BA4D4"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capabilities of </w:t>
      </w:r>
      <w:r w:rsidR="0005119B">
        <w:rPr>
          <w:rFonts w:ascii="Times New Roman" w:hAnsi="Times New Roman" w:cs="Times New Roman"/>
          <w:sz w:val="24"/>
          <w:szCs w:val="24"/>
        </w:rPr>
        <w:t xml:space="preserve">the </w:t>
      </w:r>
      <w:r w:rsidRPr="00762D84">
        <w:rPr>
          <w:rFonts w:ascii="Times New Roman" w:hAnsi="Times New Roman" w:cs="Times New Roman"/>
          <w:sz w:val="24"/>
          <w:szCs w:val="24"/>
        </w:rPr>
        <w:t xml:space="preserve">HSBC digital channel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based on the ability to offer reliable, safe, and integrated experiences that strengthen brand trust. But when it comes to marketing, the results of customer experience are still geared towards functional satisfaction, as opposed to being differentiated. Marketing manages to </w:t>
      </w:r>
      <w:r w:rsidR="0005119B">
        <w:rPr>
          <w:rFonts w:ascii="Times New Roman" w:hAnsi="Times New Roman" w:cs="Times New Roman"/>
          <w:sz w:val="24"/>
          <w:szCs w:val="24"/>
        </w:rPr>
        <w:t>minimise</w:t>
      </w:r>
      <w:r w:rsidRPr="00762D84">
        <w:rPr>
          <w:rFonts w:ascii="Times New Roman" w:hAnsi="Times New Roman" w:cs="Times New Roman"/>
          <w:sz w:val="24"/>
          <w:szCs w:val="24"/>
        </w:rPr>
        <w:t xml:space="preserve"> friction and preserve confidence but has trouble transferring digital presence into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unique experience (Vashishth et al., 2024). Marketing will need to transcend channel integration into experience-based innovation in which trust is enhanced by personal relevance, intuitive design and emotionally charged provision of value in order to attain superior effectiveness.</w:t>
      </w:r>
    </w:p>
    <w:p w14:paraId="66FB13AB" w14:textId="26B598B7" w:rsidR="00762D84" w:rsidRPr="0066794D" w:rsidRDefault="0066794D" w:rsidP="00057E09">
      <w:pPr>
        <w:pStyle w:val="Heading2"/>
        <w:spacing w:before="0" w:after="0" w:line="480" w:lineRule="auto"/>
        <w:rPr>
          <w:rFonts w:ascii="Times New Roman" w:hAnsi="Times New Roman" w:cs="Times New Roman"/>
          <w:b/>
          <w:bCs/>
          <w:sz w:val="28"/>
          <w:szCs w:val="28"/>
        </w:rPr>
      </w:pPr>
      <w:bookmarkStart w:id="7" w:name="_Toc218370012"/>
      <w:r w:rsidRPr="0066794D">
        <w:rPr>
          <w:rFonts w:ascii="Times New Roman" w:hAnsi="Times New Roman" w:cs="Times New Roman"/>
          <w:b/>
          <w:bCs/>
          <w:color w:val="auto"/>
          <w:sz w:val="28"/>
          <w:szCs w:val="28"/>
        </w:rPr>
        <w:t xml:space="preserve">3.5 </w:t>
      </w:r>
      <w:r w:rsidR="00762D84" w:rsidRPr="0066794D">
        <w:rPr>
          <w:rFonts w:ascii="Times New Roman" w:hAnsi="Times New Roman" w:cs="Times New Roman"/>
          <w:b/>
          <w:bCs/>
          <w:color w:val="auto"/>
          <w:sz w:val="28"/>
          <w:szCs w:val="28"/>
        </w:rPr>
        <w:t>Measures of Marketing Performance and Control Mechanisms.</w:t>
      </w:r>
      <w:bookmarkEnd w:id="7"/>
    </w:p>
    <w:p w14:paraId="492E7484"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ability to measure marketing performance at HSBC is being more influenced by the presence of digital data and analytics as a response to the broader investment by the organisation in data-driven decision-making. The evaluation of marketing is based on various indicators with the component of quantifying customer interaction, digital uptake, and campaign success on platforms (Jayaram, Manrai and Manrai, 2015). These metrics facilitate operational management and give an understanding of the scale of marketing operations, which is consistent with the HSBC focus on accountability, risk management, and transparency in regulations. Nevertheless, the success of these control mechanisms does not lie in the amount of accumulated data, but in the purpose of the strategy behind the interpretation and application.</w:t>
      </w:r>
    </w:p>
    <w:p w14:paraId="1638CD4A" w14:textId="055346EF"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most popular key performance indicators to measure the success of digital marketing are usually customer acquisition and retention rates, the use of digital channels, the measure of engagement, and satisfaction (Taherdoost, 2023). Although these measurements </w:t>
      </w:r>
      <w:r w:rsidRPr="00762D84">
        <w:rPr>
          <w:rFonts w:ascii="Times New Roman" w:hAnsi="Times New Roman" w:cs="Times New Roman"/>
          <w:sz w:val="24"/>
          <w:szCs w:val="24"/>
        </w:rPr>
        <w:lastRenderedPageBreak/>
        <w:t xml:space="preserve">would be suitable in tracking the achievement of reach and efficiency, they would largely be </w:t>
      </w:r>
      <w:r w:rsidR="0005119B">
        <w:rPr>
          <w:rFonts w:ascii="Times New Roman" w:hAnsi="Times New Roman" w:cs="Times New Roman"/>
          <w:sz w:val="24"/>
          <w:szCs w:val="24"/>
        </w:rPr>
        <w:t>backwards-looking</w:t>
      </w:r>
      <w:r w:rsidRPr="00762D84">
        <w:rPr>
          <w:rFonts w:ascii="Times New Roman" w:hAnsi="Times New Roman" w:cs="Times New Roman"/>
          <w:sz w:val="24"/>
          <w:szCs w:val="24"/>
        </w:rPr>
        <w:t xml:space="preserve"> and operational measures. On that note, they lay more emphasis on reporting and compliance instead of generating insights. The focus on uniform KPIs in international markets facilitates the comparability and consistency</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but restricts the localisation of measurement systems to customer behaviour and new trends (Lin, Xiaoyu and Jianqiang, 2023). This limits the dynamism and flexibility of marketing to trial and error based on the real-time engagement information.</w:t>
      </w:r>
    </w:p>
    <w:p w14:paraId="1C28417D" w14:textId="66D4F4B2"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main limitation is a critical one because measurement and control are different, whereas measurement and learning are different. The marketing metrics of HSBC are mainly aimed at showing the performance in relation to the set objectives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which strengthens the governance and financial responsibility. Nevertheless, it is less evidenced that the knowledge is leveraged systematically to guide the adaptive strategy formulation process or to improve the customer experience design. The further structural division of the marketing, analytics and compliance functions undermines the feedback loop, diminishing the speed of converting insights into strategic action.</w:t>
      </w:r>
    </w:p>
    <w:p w14:paraId="4F651554" w14:textId="5B29E0D5" w:rsidR="00762D84" w:rsidRPr="00762D84" w:rsidRDefault="0066794D" w:rsidP="00057E0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762D84" w:rsidRPr="00762D84">
        <w:rPr>
          <w:rFonts w:ascii="Times New Roman" w:hAnsi="Times New Roman" w:cs="Times New Roman"/>
          <w:sz w:val="24"/>
          <w:szCs w:val="24"/>
        </w:rPr>
        <w:t xml:space="preserve">he HSBC marketing performance measurement framework is strong in terms of oversight and risk control, but it is not as effective as a continuous improvement mechanism. Marketing excellence in a digital setting demands measures that permit learning, </w:t>
      </w:r>
      <w:r w:rsidR="0005119B">
        <w:rPr>
          <w:rFonts w:ascii="Times New Roman" w:hAnsi="Times New Roman" w:cs="Times New Roman"/>
          <w:sz w:val="24"/>
          <w:szCs w:val="24"/>
        </w:rPr>
        <w:t>testing</w:t>
      </w:r>
      <w:r w:rsidR="00762D84" w:rsidRPr="00762D84">
        <w:rPr>
          <w:rFonts w:ascii="Times New Roman" w:hAnsi="Times New Roman" w:cs="Times New Roman"/>
          <w:sz w:val="24"/>
          <w:szCs w:val="24"/>
        </w:rPr>
        <w:t>, and intuition, as opposed to ex post justification (Burduk et al., 2023). To increase the strategic value of measurement, the strategic repositioning of analytics as an insight-based decision-making instrument will be required so that marketing is no longer reporting the performance but proactively influencing a future customer interaction and a competitive advantage.</w:t>
      </w:r>
    </w:p>
    <w:p w14:paraId="73F004D7" w14:textId="4787D12B" w:rsidR="00762D84" w:rsidRPr="0066794D" w:rsidRDefault="0066794D" w:rsidP="00057E09">
      <w:pPr>
        <w:pStyle w:val="Heading1"/>
        <w:spacing w:before="0" w:after="0" w:line="480" w:lineRule="auto"/>
        <w:rPr>
          <w:rFonts w:ascii="Times New Roman" w:hAnsi="Times New Roman" w:cs="Times New Roman"/>
          <w:b/>
          <w:bCs/>
          <w:color w:val="auto"/>
          <w:sz w:val="28"/>
          <w:szCs w:val="28"/>
        </w:rPr>
      </w:pPr>
      <w:bookmarkStart w:id="8" w:name="_Toc218370013"/>
      <w:r w:rsidRPr="0066794D">
        <w:rPr>
          <w:rFonts w:ascii="Times New Roman" w:hAnsi="Times New Roman" w:cs="Times New Roman"/>
          <w:b/>
          <w:bCs/>
          <w:color w:val="auto"/>
          <w:sz w:val="28"/>
          <w:szCs w:val="28"/>
        </w:rPr>
        <w:t xml:space="preserve">4.0 </w:t>
      </w:r>
      <w:r w:rsidR="00762D84" w:rsidRPr="0066794D">
        <w:rPr>
          <w:rFonts w:ascii="Times New Roman" w:hAnsi="Times New Roman" w:cs="Times New Roman"/>
          <w:b/>
          <w:bCs/>
          <w:color w:val="auto"/>
          <w:sz w:val="28"/>
          <w:szCs w:val="28"/>
        </w:rPr>
        <w:t>Conclusion</w:t>
      </w:r>
      <w:bookmarkEnd w:id="8"/>
    </w:p>
    <w:p w14:paraId="59F69754" w14:textId="3C8F2F5F"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This analysis determines a list of interconnected weaknesses that </w:t>
      </w:r>
      <w:r w:rsidR="0005119B">
        <w:rPr>
          <w:rFonts w:ascii="Times New Roman" w:hAnsi="Times New Roman" w:cs="Times New Roman"/>
          <w:sz w:val="24"/>
          <w:szCs w:val="24"/>
        </w:rPr>
        <w:t>limit</w:t>
      </w:r>
      <w:r w:rsidRPr="00762D84">
        <w:rPr>
          <w:rFonts w:ascii="Times New Roman" w:hAnsi="Times New Roman" w:cs="Times New Roman"/>
          <w:sz w:val="24"/>
          <w:szCs w:val="24"/>
        </w:rPr>
        <w:t xml:space="preserve"> the success of the marketing strategy of HSBC in a digitally disrupted banking environment. Although </w:t>
      </w:r>
      <w:r w:rsidRPr="00762D84">
        <w:rPr>
          <w:rFonts w:ascii="Times New Roman" w:hAnsi="Times New Roman" w:cs="Times New Roman"/>
          <w:sz w:val="24"/>
          <w:szCs w:val="24"/>
        </w:rPr>
        <w:lastRenderedPageBreak/>
        <w:t>HSBC has engaged in significant measures to incorporate marketing to digital delivery and the creation of value through trust, the banking has not been able to achieve the desired level of performance regarding marketing due to structural, cultural and capability-related limitations that diminish the effectiveness of its strategies instead of the operational competence (Mbama et al., 2018; Research and Markets, 2025).</w:t>
      </w:r>
    </w:p>
    <w:p w14:paraId="641848A8" w14:textId="4BE9D82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first weakness is in the lack of depth of the digital personalisation that is attained by marketing activity. Even though HSBC uses data analytics to underscore segmentation and engagement, personalisation is still</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to a great extent</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standardised and rule-based. The regulatory limitations of data use, the disconnect of the existing systems, and conservative data management policies limit how marketing can effectively use real-time behavioural insights (Chiu, 2023). As a result, interactions with customers are regular and impersonal and do not allow providing context-sensitive experiences that are increasingly the basis of competitive advantage in digital banking (Quach et al., 2022).</w:t>
      </w:r>
    </w:p>
    <w:p w14:paraId="12A83864"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operating culture is also a risk-averse and compliance-heavy culture which further limits marketing effectiveness. Although this kind of orientation is structurally entrenched in the financial services and it strengthens the institutional legitimacy, it prioritizes control, approval, and mitigation of reputational risk over experimentation and adaptive learning (Adepeju, Edeze and Adenibuyan, 2025). Consequently, marketing efforts tend to be reactionary and incremental in nature, being reactive to competitive standards instead of being proactive in driving innovation in the customer experience (Rani et al., 2025).</w:t>
      </w:r>
    </w:p>
    <w:p w14:paraId="5A880242"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Another weakness of strategy is differentiation. The HSBC positioning that is built on the visage of trust, security, and global connectivity is also reasonable yet traditional in a highly-populated digital market involving nimble fintech and challenger banks that are competing on the basis of simplicity, speed, and user-friendly design (Research and Markets, </w:t>
      </w:r>
      <w:r w:rsidRPr="00762D84">
        <w:rPr>
          <w:rFonts w:ascii="Times New Roman" w:hAnsi="Times New Roman" w:cs="Times New Roman"/>
          <w:sz w:val="24"/>
          <w:szCs w:val="24"/>
        </w:rPr>
        <w:lastRenderedPageBreak/>
        <w:t>2025). Through its focus on international consistency, which supports brand credibility, erodes emotional connection and perceived uniqueness across the heterogeneous markets, undermining the aura of experience in the point of interaction with the customer (Mereu, 2020).</w:t>
      </w:r>
    </w:p>
    <w:p w14:paraId="32C94C50" w14:textId="1E1FC2DC"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strategic impact of marketing is still curtailed by structural and capability limitations. The lack of integrating marketing, technology, analytics, and compliance operations results in substandard insight-to-action loops, and the lack of skills within the advanced digital marketing functions impairs responsiveness to adapt to changing customer behaviour (Jin et al., 2024; Lin, Xiaoyu and Jianqiang, 2023). All these failures are evidence that the marketing problems HSBC faces are not caused by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 xml:space="preserve">lack of investment, but rather by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lack of organisational ability to transform investment into agile, differentiated and experience-based marketing deliverables.</w:t>
      </w:r>
    </w:p>
    <w:p w14:paraId="698800CB" w14:textId="0BA62B9A" w:rsidR="00762D84" w:rsidRDefault="0066794D" w:rsidP="00057E09">
      <w:pPr>
        <w:pStyle w:val="Heading1"/>
        <w:spacing w:before="0" w:after="0" w:line="480" w:lineRule="auto"/>
        <w:rPr>
          <w:rFonts w:ascii="Times New Roman" w:hAnsi="Times New Roman" w:cs="Times New Roman"/>
          <w:b/>
          <w:bCs/>
          <w:color w:val="auto"/>
          <w:sz w:val="28"/>
          <w:szCs w:val="28"/>
        </w:rPr>
      </w:pPr>
      <w:bookmarkStart w:id="9" w:name="_Toc218370014"/>
      <w:r w:rsidRPr="0066794D">
        <w:rPr>
          <w:rFonts w:ascii="Times New Roman" w:hAnsi="Times New Roman" w:cs="Times New Roman"/>
          <w:b/>
          <w:bCs/>
          <w:color w:val="auto"/>
          <w:sz w:val="28"/>
          <w:szCs w:val="28"/>
        </w:rPr>
        <w:t xml:space="preserve">5.0 </w:t>
      </w:r>
      <w:r w:rsidR="00762D84" w:rsidRPr="0066794D">
        <w:rPr>
          <w:rFonts w:ascii="Times New Roman" w:hAnsi="Times New Roman" w:cs="Times New Roman"/>
          <w:b/>
          <w:bCs/>
          <w:color w:val="auto"/>
          <w:sz w:val="28"/>
          <w:szCs w:val="28"/>
        </w:rPr>
        <w:t>Recommendations</w:t>
      </w:r>
      <w:bookmarkEnd w:id="9"/>
    </w:p>
    <w:p w14:paraId="019B6997" w14:textId="5E838F96" w:rsidR="0066794D"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0" w:name="_Toc218370015"/>
      <w:r w:rsidRPr="0066794D">
        <w:rPr>
          <w:rFonts w:ascii="Times New Roman" w:hAnsi="Times New Roman" w:cs="Times New Roman"/>
          <w:b/>
          <w:bCs/>
          <w:color w:val="auto"/>
          <w:sz w:val="28"/>
          <w:szCs w:val="28"/>
        </w:rPr>
        <w:t>5.1 Enhancing Data-Driven and Personalised Marketing</w:t>
      </w:r>
      <w:bookmarkEnd w:id="10"/>
    </w:p>
    <w:p w14:paraId="2EC984A6" w14:textId="697F59A2"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In a bid to overcome digital personalisation constraints, the marketing role of HSBC is advised to intensify its application of superior analytics and artificial intelligence to go beyond the ranks of standardised and rule-driven involvement. Marketing must take the center stage in the creation of insight-based personalisation models that leverage the authorised user data to predict the wants, </w:t>
      </w:r>
      <w:r w:rsidR="0005119B">
        <w:rPr>
          <w:rFonts w:ascii="Times New Roman" w:hAnsi="Times New Roman" w:cs="Times New Roman"/>
          <w:sz w:val="24"/>
          <w:szCs w:val="24"/>
        </w:rPr>
        <w:t>optimise</w:t>
      </w:r>
      <w:r w:rsidRPr="00762D84">
        <w:rPr>
          <w:rFonts w:ascii="Times New Roman" w:hAnsi="Times New Roman" w:cs="Times New Roman"/>
          <w:sz w:val="24"/>
          <w:szCs w:val="24"/>
        </w:rPr>
        <w:t xml:space="preserve"> segmentation, and </w:t>
      </w:r>
      <w:r w:rsidR="0005119B">
        <w:rPr>
          <w:rFonts w:ascii="Times New Roman" w:hAnsi="Times New Roman" w:cs="Times New Roman"/>
          <w:sz w:val="24"/>
          <w:szCs w:val="24"/>
        </w:rPr>
        <w:t>customise</w:t>
      </w:r>
      <w:r w:rsidRPr="00762D84">
        <w:rPr>
          <w:rFonts w:ascii="Times New Roman" w:hAnsi="Times New Roman" w:cs="Times New Roman"/>
          <w:sz w:val="24"/>
          <w:szCs w:val="24"/>
        </w:rPr>
        <w:t xml:space="preserve"> messaging throughout the customer lifecycle (Ibrahim et al., 2024). Instead of engaging in intrusive or risky data practices, personalisation must be value-based, transparent, and ethical and support trust without making it less relevant.</w:t>
      </w:r>
    </w:p>
    <w:p w14:paraId="03F2AFDF" w14:textId="3C8E6808"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ownership of marketing plays a vital role in outlining the way of how the insights are used </w:t>
      </w:r>
      <w:r w:rsidR="0005119B">
        <w:rPr>
          <w:rFonts w:ascii="Times New Roman" w:hAnsi="Times New Roman" w:cs="Times New Roman"/>
          <w:sz w:val="24"/>
          <w:szCs w:val="24"/>
        </w:rPr>
        <w:t>in</w:t>
      </w:r>
      <w:r w:rsidRPr="00762D84">
        <w:rPr>
          <w:rFonts w:ascii="Times New Roman" w:hAnsi="Times New Roman" w:cs="Times New Roman"/>
          <w:sz w:val="24"/>
          <w:szCs w:val="24"/>
        </w:rPr>
        <w:t xml:space="preserve"> messaging, content, and journey design. Redefining analytics as a strategic marketing capability instead of a reporting function will allow HSBC to become more </w:t>
      </w:r>
      <w:r w:rsidRPr="00762D84">
        <w:rPr>
          <w:rFonts w:ascii="Times New Roman" w:hAnsi="Times New Roman" w:cs="Times New Roman"/>
          <w:sz w:val="24"/>
          <w:szCs w:val="24"/>
        </w:rPr>
        <w:lastRenderedPageBreak/>
        <w:t>responsive without any problems with regulatory compliance (Bose et al., 2023). This is the solution that tackles the defined gap between the availability of data and the experience of differentiation because it allows marketing to transform insight into competitive advantage, instead of generic engagement.</w:t>
      </w:r>
    </w:p>
    <w:p w14:paraId="1051B024" w14:textId="6D93EA88"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1" w:name="_Toc218370016"/>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.2 Building Agile and Customer-Focused Digital Marketing Strengths.</w:t>
      </w:r>
      <w:bookmarkEnd w:id="11"/>
    </w:p>
    <w:p w14:paraId="28DF1C69" w14:textId="3E39D186"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As it was identified during the analysis, the marketing activity at HSBC is frequently limited by the slowness of approval processes and low flexibility. In response, marketing ought to implement agile operating principles that can facilitate quicker campaign testing, iteration and optimisation within risk parameters (Balamurugan et al., 2025). The response of marketing teams to customer behaviour would be more dynamic with small-scale experimentation, controlled pilots, and modular campaign design without violating the standards of governance.</w:t>
      </w:r>
    </w:p>
    <w:p w14:paraId="1251BEFD" w14:textId="28366641"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Also, integrated customer journey management should be taken </w:t>
      </w:r>
      <w:r w:rsidR="0005119B">
        <w:rPr>
          <w:rFonts w:ascii="Times New Roman" w:hAnsi="Times New Roman" w:cs="Times New Roman"/>
          <w:sz w:val="24"/>
          <w:szCs w:val="24"/>
        </w:rPr>
        <w:t>on</w:t>
      </w:r>
      <w:r w:rsidRPr="00762D84">
        <w:rPr>
          <w:rFonts w:ascii="Times New Roman" w:hAnsi="Times New Roman" w:cs="Times New Roman"/>
          <w:sz w:val="24"/>
          <w:szCs w:val="24"/>
        </w:rPr>
        <w:t xml:space="preserve"> by marketing. This is to map, track and </w:t>
      </w:r>
      <w:r w:rsidR="0005119B">
        <w:rPr>
          <w:rFonts w:ascii="Times New Roman" w:hAnsi="Times New Roman" w:cs="Times New Roman"/>
          <w:sz w:val="24"/>
          <w:szCs w:val="24"/>
        </w:rPr>
        <w:t>optimise</w:t>
      </w:r>
      <w:r w:rsidRPr="00762D84">
        <w:rPr>
          <w:rFonts w:ascii="Times New Roman" w:hAnsi="Times New Roman" w:cs="Times New Roman"/>
          <w:sz w:val="24"/>
          <w:szCs w:val="24"/>
        </w:rPr>
        <w:t xml:space="preserve"> journeys through digital touchpoints to make them consistent and relevant at every interaction point. By </w:t>
      </w:r>
      <w:r w:rsidR="0005119B">
        <w:rPr>
          <w:rFonts w:ascii="Times New Roman" w:hAnsi="Times New Roman" w:cs="Times New Roman"/>
          <w:sz w:val="24"/>
          <w:szCs w:val="24"/>
        </w:rPr>
        <w:t>prioritising</w:t>
      </w:r>
      <w:r w:rsidRPr="00762D84">
        <w:rPr>
          <w:rFonts w:ascii="Times New Roman" w:hAnsi="Times New Roman" w:cs="Times New Roman"/>
          <w:sz w:val="24"/>
          <w:szCs w:val="24"/>
        </w:rPr>
        <w:t xml:space="preserve"> the journey performance over individual campaigns, marketing can enhance the results of customer experience</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besides increasing responsibility to deliver value. This suggestion is possible, as it does not need technological transformation on a massive scale but adjustments to processes and mindset (Homburg and Tischer, 2023).</w:t>
      </w:r>
    </w:p>
    <w:p w14:paraId="6518B764" w14:textId="49D5102A"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2" w:name="_Toc218370017"/>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.3Enhancing Marketing-Compliance-Technology Intersection.</w:t>
      </w:r>
      <w:bookmarkEnd w:id="12"/>
    </w:p>
    <w:p w14:paraId="00405C1C" w14:textId="6151AA38"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Another learning weakness that was observed across the review is the tension between marketing innovation, regulatory compliance, and technological implementation. As a remedy to this, HSBC must institutionalise </w:t>
      </w:r>
      <w:r w:rsidR="0005119B">
        <w:rPr>
          <w:rFonts w:ascii="Times New Roman" w:hAnsi="Times New Roman" w:cs="Times New Roman"/>
          <w:sz w:val="24"/>
          <w:szCs w:val="24"/>
        </w:rPr>
        <w:t>cross-functional</w:t>
      </w:r>
      <w:r w:rsidRPr="00762D84">
        <w:rPr>
          <w:rFonts w:ascii="Times New Roman" w:hAnsi="Times New Roman" w:cs="Times New Roman"/>
          <w:sz w:val="24"/>
          <w:szCs w:val="24"/>
        </w:rPr>
        <w:t xml:space="preserve"> collaboration frameworks that incorporate compliance and technology skills in marketing planning procedures at the initial </w:t>
      </w:r>
      <w:r w:rsidRPr="00762D84">
        <w:rPr>
          <w:rFonts w:ascii="Times New Roman" w:hAnsi="Times New Roman" w:cs="Times New Roman"/>
          <w:sz w:val="24"/>
          <w:szCs w:val="24"/>
        </w:rPr>
        <w:lastRenderedPageBreak/>
        <w:t xml:space="preserve">stages. Shared accountability structures and forums of marketing-led governance would </w:t>
      </w:r>
      <w:r w:rsidR="0005119B">
        <w:rPr>
          <w:rFonts w:ascii="Times New Roman" w:hAnsi="Times New Roman" w:cs="Times New Roman"/>
          <w:sz w:val="24"/>
          <w:szCs w:val="24"/>
        </w:rPr>
        <w:t>minimise</w:t>
      </w:r>
      <w:r w:rsidRPr="00762D84">
        <w:rPr>
          <w:rFonts w:ascii="Times New Roman" w:hAnsi="Times New Roman" w:cs="Times New Roman"/>
          <w:sz w:val="24"/>
          <w:szCs w:val="24"/>
        </w:rPr>
        <w:t xml:space="preserve"> delays that could arise due to late approvals and rework.</w:t>
      </w:r>
    </w:p>
    <w:p w14:paraId="401A5D69" w14:textId="7DA5129C"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This integration does not entail the weakening of regulatory standards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instead, it will allow marketing to be innovative within a well-defined limit. Through greater coordination in functions, marketing will speed up the execution process, the action-insight cycles and build confidence in the </w:t>
      </w:r>
      <w:r w:rsidR="0005119B">
        <w:rPr>
          <w:rFonts w:ascii="Times New Roman" w:hAnsi="Times New Roman" w:cs="Times New Roman"/>
          <w:sz w:val="24"/>
          <w:szCs w:val="24"/>
        </w:rPr>
        <w:t>decision-making</w:t>
      </w:r>
      <w:r w:rsidRPr="00762D84">
        <w:rPr>
          <w:rFonts w:ascii="Times New Roman" w:hAnsi="Times New Roman" w:cs="Times New Roman"/>
          <w:sz w:val="24"/>
          <w:szCs w:val="24"/>
        </w:rPr>
        <w:t xml:space="preserve"> process. Ownership should stay with marketing so that the strategic purpose is not put to technical or </w:t>
      </w:r>
      <w:r w:rsidR="0005119B">
        <w:rPr>
          <w:rFonts w:ascii="Times New Roman" w:hAnsi="Times New Roman" w:cs="Times New Roman"/>
          <w:sz w:val="24"/>
          <w:szCs w:val="24"/>
        </w:rPr>
        <w:t>regulatory</w:t>
      </w:r>
      <w:r w:rsidRPr="00762D84">
        <w:rPr>
          <w:rFonts w:ascii="Times New Roman" w:hAnsi="Times New Roman" w:cs="Times New Roman"/>
          <w:sz w:val="24"/>
          <w:szCs w:val="24"/>
        </w:rPr>
        <w:t xml:space="preserve"> needs to reinforce the role of marketing as a strategic as opposed to an administrative role.</w:t>
      </w:r>
    </w:p>
    <w:p w14:paraId="4E7E6AAC" w14:textId="1861D1A0"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3" w:name="_Toc218370018"/>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.4 Strengthening Differentiation by Making Branding Through Experience.</w:t>
      </w:r>
      <w:bookmarkEnd w:id="13"/>
    </w:p>
    <w:p w14:paraId="62CF356E" w14:textId="4D938743"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analysis revealed that the positioning of HSBC</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though credible, is not experiential and emotionally adjusted in a saturated digital banking market. Marketing must hence change its branding strategy into more experience-based differentiation to express customer dreams, convenience, and empowerment </w:t>
      </w:r>
      <w:r w:rsidR="0005119B">
        <w:rPr>
          <w:rFonts w:ascii="Times New Roman" w:hAnsi="Times New Roman" w:cs="Times New Roman"/>
          <w:sz w:val="24"/>
          <w:szCs w:val="24"/>
        </w:rPr>
        <w:t xml:space="preserve">rather </w:t>
      </w:r>
      <w:r w:rsidRPr="00762D84">
        <w:rPr>
          <w:rFonts w:ascii="Times New Roman" w:hAnsi="Times New Roman" w:cs="Times New Roman"/>
          <w:sz w:val="24"/>
          <w:szCs w:val="24"/>
        </w:rPr>
        <w:t>than merely functional trust and reliability (Chowdhury, 2025). This does not mean that it should forego trust-based messages, but instead complement it with the stories that focus on ease, confidence, and customer control.</w:t>
      </w:r>
    </w:p>
    <w:p w14:paraId="42419AD9" w14:textId="67C78655"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Digital branding needs to be internationally aligned in terms of values but more locally in terms of implementation, permitting marketing to also strike more closely with different customer groups. The execution of experience-driven branding efforts needs to be incorporated throughout digital touchpoints so that the brand promises are realized via the interaction design, tone of voice, and service experience. This suggestion is a direct response to the watering down of effect by overly </w:t>
      </w:r>
      <w:r w:rsidR="0005119B">
        <w:rPr>
          <w:rFonts w:ascii="Times New Roman" w:hAnsi="Times New Roman" w:cs="Times New Roman"/>
          <w:sz w:val="24"/>
          <w:szCs w:val="24"/>
        </w:rPr>
        <w:t>standardised</w:t>
      </w:r>
      <w:r w:rsidRPr="00762D84">
        <w:rPr>
          <w:rFonts w:ascii="Times New Roman" w:hAnsi="Times New Roman" w:cs="Times New Roman"/>
          <w:sz w:val="24"/>
          <w:szCs w:val="24"/>
        </w:rPr>
        <w:t xml:space="preserve"> positioning, which places positioning marketing as the cause of meaningful distinctions as opposed to the symbolic homogeneity.</w:t>
      </w:r>
    </w:p>
    <w:p w14:paraId="03A9239F" w14:textId="0858BE74" w:rsid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These suggestions redefine marketing as a strategic competence that will create insights, design experiences, and differentiation in a controlled digital world. The HSBC marketing operation can shift its controlled execution </w:t>
      </w:r>
      <w:r w:rsidR="0005119B">
        <w:rPr>
          <w:rFonts w:ascii="Times New Roman" w:hAnsi="Times New Roman" w:cs="Times New Roman"/>
          <w:sz w:val="24"/>
          <w:szCs w:val="24"/>
        </w:rPr>
        <w:t>behaviour</w:t>
      </w:r>
      <w:r w:rsidRPr="00762D84">
        <w:rPr>
          <w:rFonts w:ascii="Times New Roman" w:hAnsi="Times New Roman" w:cs="Times New Roman"/>
          <w:sz w:val="24"/>
          <w:szCs w:val="24"/>
        </w:rPr>
        <w:t xml:space="preserve"> to a proactive value creation one by concentrating on such concepts as personalisation, agility, cross-functional integration, and experience-based branding, thus making sure that it will not be irrelevant to customers over the long-term and will remain competitive.</w:t>
      </w:r>
    </w:p>
    <w:p w14:paraId="597771FE" w14:textId="77777777" w:rsidR="00057E09" w:rsidRDefault="00057E09" w:rsidP="00057E0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6809E254" w14:textId="3C7B18E9" w:rsidR="005A046D" w:rsidRPr="005A046D" w:rsidRDefault="005A046D" w:rsidP="00057E09">
      <w:pPr>
        <w:spacing w:after="0" w:line="480" w:lineRule="auto"/>
        <w:rPr>
          <w:rFonts w:ascii="Times New Roman" w:hAnsi="Times New Roman" w:cs="Times New Roman"/>
          <w:b/>
          <w:bCs/>
          <w:sz w:val="28"/>
          <w:szCs w:val="28"/>
        </w:rPr>
      </w:pPr>
      <w:r w:rsidRPr="00057E09">
        <w:rPr>
          <w:rFonts w:ascii="Times New Roman" w:hAnsi="Times New Roman" w:cs="Times New Roman"/>
          <w:b/>
          <w:bCs/>
          <w:sz w:val="28"/>
          <w:szCs w:val="28"/>
        </w:rPr>
        <w:lastRenderedPageBreak/>
        <w:t xml:space="preserve">6.0 </w:t>
      </w:r>
      <w:r w:rsidRPr="005A046D">
        <w:rPr>
          <w:rFonts w:ascii="Times New Roman" w:hAnsi="Times New Roman" w:cs="Times New Roman"/>
          <w:b/>
          <w:bCs/>
          <w:sz w:val="28"/>
          <w:szCs w:val="28"/>
        </w:rPr>
        <w:t>Reference list</w:t>
      </w:r>
    </w:p>
    <w:p w14:paraId="5E3CADDE" w14:textId="3EBEDE1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Adepeju, A.S., Edeze, C.A. and Adenibuyan, M.T. (2025).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vs. Privacy: Consumer Trust in AI-Driven Banking Marketing. </w:t>
      </w:r>
      <w:r w:rsidRPr="005A046D">
        <w:rPr>
          <w:rFonts w:ascii="Times New Roman" w:hAnsi="Times New Roman" w:cs="Times New Roman"/>
          <w:i/>
          <w:iCs/>
          <w:sz w:val="24"/>
          <w:szCs w:val="24"/>
        </w:rPr>
        <w:t>Deleted Journal</w:t>
      </w:r>
      <w:r w:rsidRPr="005A046D">
        <w:rPr>
          <w:rFonts w:ascii="Times New Roman" w:hAnsi="Times New Roman" w:cs="Times New Roman"/>
          <w:sz w:val="24"/>
          <w:szCs w:val="24"/>
        </w:rPr>
        <w:t>, 5(5), pp.467–472. doi:</w:t>
      </w:r>
      <w:r w:rsidR="00057E09">
        <w:rPr>
          <w:rFonts w:ascii="Times New Roman" w:hAnsi="Times New Roman" w:cs="Times New Roman"/>
          <w:sz w:val="24"/>
          <w:szCs w:val="24"/>
        </w:rPr>
        <w:t xml:space="preserve"> </w:t>
      </w:r>
      <w:hyperlink r:id="rId9" w:history="1">
        <w:r w:rsidR="00057E09" w:rsidRPr="005A046D">
          <w:rPr>
            <w:rStyle w:val="Hyperlink"/>
            <w:rFonts w:ascii="Times New Roman" w:hAnsi="Times New Roman" w:cs="Times New Roman"/>
            <w:sz w:val="24"/>
            <w:szCs w:val="24"/>
          </w:rPr>
          <w:t>https://doi.org/10.62225/2583049x.2025.5.5.4935</w:t>
        </w:r>
      </w:hyperlink>
      <w:r w:rsidRPr="005A046D">
        <w:rPr>
          <w:rFonts w:ascii="Times New Roman" w:hAnsi="Times New Roman" w:cs="Times New Roman"/>
          <w:sz w:val="24"/>
          <w:szCs w:val="24"/>
        </w:rPr>
        <w:t>.</w:t>
      </w:r>
    </w:p>
    <w:p w14:paraId="58E7196E" w14:textId="3B5B977D"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Anozie, C., Barnabas, O., Chukwuemeka, P., Adeleke, N., Ukadike, A. and Omodunni Adejoke Oloko (2024). Advancements in artificial intelligence for omnichannel marketing and customer service: Enhancing predictive analytics, automation, and operational efficiency. </w:t>
      </w:r>
      <w:r w:rsidRPr="005A046D">
        <w:rPr>
          <w:rFonts w:ascii="Times New Roman" w:hAnsi="Times New Roman" w:cs="Times New Roman"/>
          <w:i/>
          <w:iCs/>
          <w:sz w:val="24"/>
          <w:szCs w:val="24"/>
        </w:rPr>
        <w:t>International Journal of Science and Research Archive</w:t>
      </w:r>
      <w:r w:rsidRPr="005A046D">
        <w:rPr>
          <w:rFonts w:ascii="Times New Roman" w:hAnsi="Times New Roman" w:cs="Times New Roman"/>
          <w:sz w:val="24"/>
          <w:szCs w:val="24"/>
        </w:rPr>
        <w:t>, 12(2), pp.1621–1629. doi:</w:t>
      </w:r>
      <w:r w:rsidR="00057E09">
        <w:rPr>
          <w:rFonts w:ascii="Times New Roman" w:hAnsi="Times New Roman" w:cs="Times New Roman"/>
          <w:sz w:val="24"/>
          <w:szCs w:val="24"/>
        </w:rPr>
        <w:t xml:space="preserve"> </w:t>
      </w:r>
      <w:hyperlink r:id="rId10" w:history="1">
        <w:r w:rsidR="00057E09" w:rsidRPr="005A046D">
          <w:rPr>
            <w:rStyle w:val="Hyperlink"/>
            <w:rFonts w:ascii="Times New Roman" w:hAnsi="Times New Roman" w:cs="Times New Roman"/>
            <w:sz w:val="24"/>
            <w:szCs w:val="24"/>
          </w:rPr>
          <w:t>https://doi.org/10.30574/ijsra.2024.12.2.1436</w:t>
        </w:r>
      </w:hyperlink>
    </w:p>
    <w:p w14:paraId="34C76D80" w14:textId="17F1A070"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Balamurugan, P., Gopi, K., Ganesh R., S., Srividhya, T., Ananthan, S. and Malali, A.B. (2025). Agile Marketing and Its Practices in the Current Business Landscape. </w:t>
      </w:r>
      <w:r w:rsidRPr="005A046D">
        <w:rPr>
          <w:rFonts w:ascii="Times New Roman" w:hAnsi="Times New Roman" w:cs="Times New Roman"/>
          <w:i/>
          <w:iCs/>
          <w:sz w:val="24"/>
          <w:szCs w:val="24"/>
        </w:rPr>
        <w:t>Advances in Logistics, Operations, and Management Science</w:t>
      </w:r>
      <w:r w:rsidRPr="005A046D">
        <w:rPr>
          <w:rFonts w:ascii="Times New Roman" w:hAnsi="Times New Roman" w:cs="Times New Roman"/>
          <w:sz w:val="24"/>
          <w:szCs w:val="24"/>
        </w:rPr>
        <w:t>, pp.103–122. doi:</w:t>
      </w:r>
      <w:r w:rsidR="00057E09">
        <w:rPr>
          <w:rFonts w:ascii="Times New Roman" w:hAnsi="Times New Roman" w:cs="Times New Roman"/>
          <w:sz w:val="24"/>
          <w:szCs w:val="24"/>
        </w:rPr>
        <w:t xml:space="preserve"> </w:t>
      </w:r>
      <w:hyperlink r:id="rId11" w:history="1">
        <w:r w:rsidR="00057E09" w:rsidRPr="005A046D">
          <w:rPr>
            <w:rStyle w:val="Hyperlink"/>
            <w:rFonts w:ascii="Times New Roman" w:hAnsi="Times New Roman" w:cs="Times New Roman"/>
            <w:sz w:val="24"/>
            <w:szCs w:val="24"/>
          </w:rPr>
          <w:t>https://doi.org/10.4018/979-8-3693-6274-7.ch007</w:t>
        </w:r>
      </w:hyperlink>
      <w:r w:rsidRPr="005A046D">
        <w:rPr>
          <w:rFonts w:ascii="Times New Roman" w:hAnsi="Times New Roman" w:cs="Times New Roman"/>
          <w:sz w:val="24"/>
          <w:szCs w:val="24"/>
        </w:rPr>
        <w:t>.</w:t>
      </w:r>
    </w:p>
    <w:p w14:paraId="61C0877D" w14:textId="051E1AF0"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Bose, N., Chopra, A., Joshi, P. and Reddy, A. (2023). Leveraging Reinforcement Learning and Predictive Analytics for Enhanced Customer Lifetime Value </w:t>
      </w:r>
      <w:r w:rsidR="0005119B">
        <w:rPr>
          <w:rFonts w:ascii="Times New Roman" w:hAnsi="Times New Roman" w:cs="Times New Roman"/>
          <w:sz w:val="24"/>
          <w:szCs w:val="24"/>
        </w:rPr>
        <w:t>Optimisation</w:t>
      </w:r>
      <w:r w:rsidRPr="005A046D">
        <w:rPr>
          <w:rFonts w:ascii="Times New Roman" w:hAnsi="Times New Roman" w:cs="Times New Roman"/>
          <w:sz w:val="24"/>
          <w:szCs w:val="24"/>
        </w:rPr>
        <w:t xml:space="preserve">. </w:t>
      </w:r>
      <w:r w:rsidRPr="005A046D">
        <w:rPr>
          <w:rFonts w:ascii="Times New Roman" w:hAnsi="Times New Roman" w:cs="Times New Roman"/>
          <w:i/>
          <w:iCs/>
          <w:sz w:val="24"/>
          <w:szCs w:val="24"/>
        </w:rPr>
        <w:t>International Journal of AI Advancements</w:t>
      </w:r>
      <w:r w:rsidRPr="005A046D">
        <w:rPr>
          <w:rFonts w:ascii="Times New Roman" w:hAnsi="Times New Roman" w:cs="Times New Roman"/>
          <w:sz w:val="24"/>
          <w:szCs w:val="24"/>
        </w:rPr>
        <w:t xml:space="preserve">, </w:t>
      </w:r>
      <w:hyperlink r:id="rId12" w:history="1">
        <w:r w:rsidR="00057E09" w:rsidRPr="005A046D">
          <w:rPr>
            <w:rStyle w:val="Hyperlink"/>
            <w:rFonts w:ascii="Times New Roman" w:hAnsi="Times New Roman" w:cs="Times New Roman"/>
            <w:sz w:val="24"/>
            <w:szCs w:val="24"/>
          </w:rPr>
          <w:t>http://www.ijoaia.com/index.php/v1/article/view/20</w:t>
        </w:r>
      </w:hyperlink>
      <w:r w:rsidRPr="005A046D">
        <w:rPr>
          <w:rFonts w:ascii="Times New Roman" w:hAnsi="Times New Roman" w:cs="Times New Roman"/>
          <w:sz w:val="24"/>
          <w:szCs w:val="24"/>
        </w:rPr>
        <w:t>.</w:t>
      </w:r>
    </w:p>
    <w:p w14:paraId="321AA4E5" w14:textId="77777777"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Burduk, A., Batako, A., Machado, J., Ryszard Wyczółkowski, Antosz, K. and Gola, A. (2023). </w:t>
      </w:r>
      <w:r w:rsidRPr="005A046D">
        <w:rPr>
          <w:rFonts w:ascii="Times New Roman" w:hAnsi="Times New Roman" w:cs="Times New Roman"/>
          <w:i/>
          <w:iCs/>
          <w:sz w:val="24"/>
          <w:szCs w:val="24"/>
        </w:rPr>
        <w:t>Advances in Production</w:t>
      </w:r>
      <w:r w:rsidRPr="005A046D">
        <w:rPr>
          <w:rFonts w:ascii="Times New Roman" w:hAnsi="Times New Roman" w:cs="Times New Roman"/>
          <w:sz w:val="24"/>
          <w:szCs w:val="24"/>
        </w:rPr>
        <w:t>. Springer Nature.</w:t>
      </w:r>
    </w:p>
    <w:p w14:paraId="4334C0E7" w14:textId="04BBE25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Chiu, I.H. (2023). An institutional account of responsiveness in financial regulation- Examining the fallacy and limits of ‘same activity, same risks, same rules’ as the answer to financial innovation and regulatory arbitrage. </w:t>
      </w:r>
      <w:r w:rsidRPr="005A046D">
        <w:rPr>
          <w:rFonts w:ascii="Times New Roman" w:hAnsi="Times New Roman" w:cs="Times New Roman"/>
          <w:i/>
          <w:iCs/>
          <w:sz w:val="24"/>
          <w:szCs w:val="24"/>
        </w:rPr>
        <w:t>Computer Law &amp; Security Review</w:t>
      </w:r>
      <w:r w:rsidRPr="005A046D">
        <w:rPr>
          <w:rFonts w:ascii="Times New Roman" w:hAnsi="Times New Roman" w:cs="Times New Roman"/>
          <w:sz w:val="24"/>
          <w:szCs w:val="24"/>
        </w:rPr>
        <w:t>, 51, pp.105868–105868. doi:</w:t>
      </w:r>
      <w:r w:rsidR="00057E09">
        <w:rPr>
          <w:rFonts w:ascii="Times New Roman" w:hAnsi="Times New Roman" w:cs="Times New Roman"/>
          <w:sz w:val="24"/>
          <w:szCs w:val="24"/>
        </w:rPr>
        <w:t xml:space="preserve"> </w:t>
      </w:r>
      <w:hyperlink r:id="rId13" w:history="1">
        <w:r w:rsidR="00057E09" w:rsidRPr="005A046D">
          <w:rPr>
            <w:rStyle w:val="Hyperlink"/>
            <w:rFonts w:ascii="Times New Roman" w:hAnsi="Times New Roman" w:cs="Times New Roman"/>
            <w:sz w:val="24"/>
            <w:szCs w:val="24"/>
          </w:rPr>
          <w:t>https://doi.org/10.1016/j.clsr.2023.105868</w:t>
        </w:r>
      </w:hyperlink>
      <w:r w:rsidRPr="005A046D">
        <w:rPr>
          <w:rFonts w:ascii="Times New Roman" w:hAnsi="Times New Roman" w:cs="Times New Roman"/>
          <w:sz w:val="24"/>
          <w:szCs w:val="24"/>
        </w:rPr>
        <w:t>.</w:t>
      </w:r>
    </w:p>
    <w:p w14:paraId="59D94458" w14:textId="1DA76C2E"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Chowdhury, R.H. (2025). </w:t>
      </w:r>
      <w:r w:rsidRPr="005A046D">
        <w:rPr>
          <w:rFonts w:ascii="Times New Roman" w:hAnsi="Times New Roman" w:cs="Times New Roman"/>
          <w:i/>
          <w:iCs/>
          <w:sz w:val="24"/>
          <w:szCs w:val="24"/>
        </w:rPr>
        <w:t>Digital Engagement and Customer Experience Leadership: Strategies for the Modern Enterprise</w:t>
      </w:r>
      <w:r w:rsidRPr="005A046D">
        <w:rPr>
          <w:rFonts w:ascii="Times New Roman" w:hAnsi="Times New Roman" w:cs="Times New Roman"/>
          <w:sz w:val="24"/>
          <w:szCs w:val="24"/>
        </w:rPr>
        <w:t>. doi:</w:t>
      </w:r>
      <w:r w:rsidR="00057E09">
        <w:rPr>
          <w:rFonts w:ascii="Times New Roman" w:hAnsi="Times New Roman" w:cs="Times New Roman"/>
          <w:sz w:val="24"/>
          <w:szCs w:val="24"/>
        </w:rPr>
        <w:t xml:space="preserve"> </w:t>
      </w:r>
      <w:hyperlink r:id="rId14" w:history="1">
        <w:r w:rsidR="00057E09" w:rsidRPr="005A046D">
          <w:rPr>
            <w:rStyle w:val="Hyperlink"/>
            <w:rFonts w:ascii="Times New Roman" w:hAnsi="Times New Roman" w:cs="Times New Roman"/>
            <w:sz w:val="24"/>
            <w:szCs w:val="24"/>
          </w:rPr>
          <w:t>https://doi.org/10.70593/978-93-7185-445-0</w:t>
        </w:r>
      </w:hyperlink>
      <w:r w:rsidRPr="005A046D">
        <w:rPr>
          <w:rFonts w:ascii="Times New Roman" w:hAnsi="Times New Roman" w:cs="Times New Roman"/>
          <w:sz w:val="24"/>
          <w:szCs w:val="24"/>
        </w:rPr>
        <w:t>.</w:t>
      </w:r>
    </w:p>
    <w:p w14:paraId="7F1FC96B" w14:textId="478E7E6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Costa, D., Querci, F. and Santulli, R. (2025). Competition or Cooperation? Disentangling the Bank-FinTech interaction through a hybrid literature review. </w:t>
      </w:r>
      <w:r w:rsidRPr="005A046D">
        <w:rPr>
          <w:rFonts w:ascii="Times New Roman" w:hAnsi="Times New Roman" w:cs="Times New Roman"/>
          <w:i/>
          <w:iCs/>
          <w:sz w:val="24"/>
          <w:szCs w:val="24"/>
        </w:rPr>
        <w:t>Research in International Business and Finance</w:t>
      </w:r>
      <w:r w:rsidRPr="005A046D">
        <w:rPr>
          <w:rFonts w:ascii="Times New Roman" w:hAnsi="Times New Roman" w:cs="Times New Roman"/>
          <w:sz w:val="24"/>
          <w:szCs w:val="24"/>
        </w:rPr>
        <w:t>,</w:t>
      </w:r>
      <w:r w:rsidR="00057E09">
        <w:rPr>
          <w:rFonts w:ascii="Times New Roman" w:hAnsi="Times New Roman" w:cs="Times New Roman"/>
          <w:sz w:val="24"/>
          <w:szCs w:val="24"/>
        </w:rPr>
        <w:t xml:space="preserve"> </w:t>
      </w:r>
      <w:r w:rsidRPr="005A046D">
        <w:rPr>
          <w:rFonts w:ascii="Times New Roman" w:hAnsi="Times New Roman" w:cs="Times New Roman"/>
          <w:sz w:val="24"/>
          <w:szCs w:val="24"/>
        </w:rPr>
        <w:t>p.102993. doi:</w:t>
      </w:r>
      <w:r w:rsidR="00057E09">
        <w:rPr>
          <w:rFonts w:ascii="Times New Roman" w:hAnsi="Times New Roman" w:cs="Times New Roman"/>
          <w:sz w:val="24"/>
          <w:szCs w:val="24"/>
        </w:rPr>
        <w:t xml:space="preserve"> </w:t>
      </w:r>
      <w:hyperlink r:id="rId15" w:history="1">
        <w:r w:rsidR="00057E09" w:rsidRPr="005A046D">
          <w:rPr>
            <w:rStyle w:val="Hyperlink"/>
            <w:rFonts w:ascii="Times New Roman" w:hAnsi="Times New Roman" w:cs="Times New Roman"/>
            <w:sz w:val="24"/>
            <w:szCs w:val="24"/>
          </w:rPr>
          <w:t>https://doi.org/10.1016/j.ribaf.2025.102993</w:t>
        </w:r>
      </w:hyperlink>
      <w:r w:rsidRPr="005A046D">
        <w:rPr>
          <w:rFonts w:ascii="Times New Roman" w:hAnsi="Times New Roman" w:cs="Times New Roman"/>
          <w:sz w:val="24"/>
          <w:szCs w:val="24"/>
        </w:rPr>
        <w:t>.</w:t>
      </w:r>
    </w:p>
    <w:p w14:paraId="017F0BD4" w14:textId="4BCC596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Day, G.S. (2017). Closing the Marketing Capabilities Gap. </w:t>
      </w:r>
      <w:r w:rsidRPr="005A046D">
        <w:rPr>
          <w:rFonts w:ascii="Times New Roman" w:hAnsi="Times New Roman" w:cs="Times New Roman"/>
          <w:i/>
          <w:iCs/>
          <w:sz w:val="24"/>
          <w:szCs w:val="24"/>
        </w:rPr>
        <w:t>Journal of Marketing</w:t>
      </w:r>
      <w:r w:rsidRPr="005A046D">
        <w:rPr>
          <w:rFonts w:ascii="Times New Roman" w:hAnsi="Times New Roman" w:cs="Times New Roman"/>
          <w:sz w:val="24"/>
          <w:szCs w:val="24"/>
        </w:rPr>
        <w:t>, 75(4), pp.183–195. doi:</w:t>
      </w:r>
      <w:r w:rsidR="00057E09">
        <w:rPr>
          <w:rFonts w:ascii="Times New Roman" w:hAnsi="Times New Roman" w:cs="Times New Roman"/>
          <w:sz w:val="24"/>
          <w:szCs w:val="24"/>
        </w:rPr>
        <w:t xml:space="preserve"> </w:t>
      </w:r>
      <w:hyperlink r:id="rId16" w:history="1">
        <w:r w:rsidR="00057E09" w:rsidRPr="005A046D">
          <w:rPr>
            <w:rStyle w:val="Hyperlink"/>
            <w:rFonts w:ascii="Times New Roman" w:hAnsi="Times New Roman" w:cs="Times New Roman"/>
            <w:sz w:val="24"/>
            <w:szCs w:val="24"/>
          </w:rPr>
          <w:t>https://doi.org/10.1509/jmkg.75.4.183</w:t>
        </w:r>
      </w:hyperlink>
      <w:r w:rsidRPr="005A046D">
        <w:rPr>
          <w:rFonts w:ascii="Times New Roman" w:hAnsi="Times New Roman" w:cs="Times New Roman"/>
          <w:sz w:val="24"/>
          <w:szCs w:val="24"/>
        </w:rPr>
        <w:t>.</w:t>
      </w:r>
    </w:p>
    <w:p w14:paraId="01F58488" w14:textId="016B5F0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Foedermayr, E.K. and Diamantopoulos, A. (2008). Market Segmentation in Practice: Review of Empirical Studies, Methodological Assessment, and Agenda for Future Research. </w:t>
      </w:r>
      <w:r w:rsidRPr="005A046D">
        <w:rPr>
          <w:rFonts w:ascii="Times New Roman" w:hAnsi="Times New Roman" w:cs="Times New Roman"/>
          <w:i/>
          <w:iCs/>
          <w:sz w:val="24"/>
          <w:szCs w:val="24"/>
        </w:rPr>
        <w:t>Journal of Strategic Marketing</w:t>
      </w:r>
      <w:r w:rsidRPr="005A046D">
        <w:rPr>
          <w:rFonts w:ascii="Times New Roman" w:hAnsi="Times New Roman" w:cs="Times New Roman"/>
          <w:sz w:val="24"/>
          <w:szCs w:val="24"/>
        </w:rPr>
        <w:t>, 16(3), pp.223–265. doi:</w:t>
      </w:r>
      <w:r w:rsidR="00057E09">
        <w:rPr>
          <w:rFonts w:ascii="Times New Roman" w:hAnsi="Times New Roman" w:cs="Times New Roman"/>
          <w:sz w:val="24"/>
          <w:szCs w:val="24"/>
        </w:rPr>
        <w:t xml:space="preserve"> </w:t>
      </w:r>
      <w:hyperlink r:id="rId17" w:history="1">
        <w:r w:rsidR="00057E09" w:rsidRPr="005A046D">
          <w:rPr>
            <w:rStyle w:val="Hyperlink"/>
            <w:rFonts w:ascii="Times New Roman" w:hAnsi="Times New Roman" w:cs="Times New Roman"/>
            <w:sz w:val="24"/>
            <w:szCs w:val="24"/>
          </w:rPr>
          <w:t>https://doi.org/10.1080/09652540802117140</w:t>
        </w:r>
      </w:hyperlink>
      <w:r w:rsidRPr="005A046D">
        <w:rPr>
          <w:rFonts w:ascii="Times New Roman" w:hAnsi="Times New Roman" w:cs="Times New Roman"/>
          <w:sz w:val="24"/>
          <w:szCs w:val="24"/>
        </w:rPr>
        <w:t>.</w:t>
      </w:r>
    </w:p>
    <w:p w14:paraId="42EA17F2" w14:textId="6BF621D1"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Homburg, C. and Tischer, M. (2023). Customer journey management capability in business-to-business markets: Its bright and dark sides and overall impact on firm performance. </w:t>
      </w:r>
      <w:r w:rsidRPr="005A046D">
        <w:rPr>
          <w:rFonts w:ascii="Times New Roman" w:hAnsi="Times New Roman" w:cs="Times New Roman"/>
          <w:i/>
          <w:iCs/>
          <w:sz w:val="24"/>
          <w:szCs w:val="24"/>
        </w:rPr>
        <w:t>Journal of the Academy of Marketing Science</w:t>
      </w:r>
      <w:r w:rsidRPr="005A046D">
        <w:rPr>
          <w:rFonts w:ascii="Times New Roman" w:hAnsi="Times New Roman" w:cs="Times New Roman"/>
          <w:sz w:val="24"/>
          <w:szCs w:val="24"/>
        </w:rPr>
        <w:t>, 51. doi:</w:t>
      </w:r>
      <w:r w:rsidR="00057E09">
        <w:rPr>
          <w:rFonts w:ascii="Times New Roman" w:hAnsi="Times New Roman" w:cs="Times New Roman"/>
          <w:sz w:val="24"/>
          <w:szCs w:val="24"/>
        </w:rPr>
        <w:t xml:space="preserve"> </w:t>
      </w:r>
      <w:hyperlink r:id="rId18" w:history="1">
        <w:r w:rsidR="00057E09" w:rsidRPr="005A046D">
          <w:rPr>
            <w:rStyle w:val="Hyperlink"/>
            <w:rFonts w:ascii="Times New Roman" w:hAnsi="Times New Roman" w:cs="Times New Roman"/>
            <w:sz w:val="24"/>
            <w:szCs w:val="24"/>
          </w:rPr>
          <w:t>https://doi.org/10.1007/s11747-023-00923-9</w:t>
        </w:r>
      </w:hyperlink>
      <w:r w:rsidRPr="005A046D">
        <w:rPr>
          <w:rFonts w:ascii="Times New Roman" w:hAnsi="Times New Roman" w:cs="Times New Roman"/>
          <w:sz w:val="24"/>
          <w:szCs w:val="24"/>
        </w:rPr>
        <w:t>.</w:t>
      </w:r>
    </w:p>
    <w:p w14:paraId="29A56948" w14:textId="31050A21"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Hundera, M. (2025). </w:t>
      </w:r>
      <w:r w:rsidR="00057E09" w:rsidRPr="005A046D">
        <w:rPr>
          <w:rFonts w:ascii="Times New Roman" w:hAnsi="Times New Roman" w:cs="Times New Roman"/>
          <w:sz w:val="24"/>
          <w:szCs w:val="24"/>
        </w:rPr>
        <w:t xml:space="preserve">The </w:t>
      </w:r>
      <w:r w:rsidR="00057E09">
        <w:rPr>
          <w:rFonts w:ascii="Times New Roman" w:hAnsi="Times New Roman" w:cs="Times New Roman"/>
          <w:sz w:val="24"/>
          <w:szCs w:val="24"/>
        </w:rPr>
        <w:t>E</w:t>
      </w:r>
      <w:r w:rsidR="00057E09" w:rsidRPr="005A046D">
        <w:rPr>
          <w:rFonts w:ascii="Times New Roman" w:hAnsi="Times New Roman" w:cs="Times New Roman"/>
          <w:sz w:val="24"/>
          <w:szCs w:val="24"/>
        </w:rPr>
        <w:t xml:space="preserve">ffect of </w:t>
      </w:r>
      <w:r w:rsidR="00057E09">
        <w:rPr>
          <w:rFonts w:ascii="Times New Roman" w:hAnsi="Times New Roman" w:cs="Times New Roman"/>
          <w:sz w:val="24"/>
          <w:szCs w:val="24"/>
        </w:rPr>
        <w:t>D</w:t>
      </w:r>
      <w:r w:rsidR="00057E09" w:rsidRPr="005A046D">
        <w:rPr>
          <w:rFonts w:ascii="Times New Roman" w:hAnsi="Times New Roman" w:cs="Times New Roman"/>
          <w:sz w:val="24"/>
          <w:szCs w:val="24"/>
        </w:rPr>
        <w:t xml:space="preserve">igital </w:t>
      </w:r>
      <w:r w:rsidR="00057E09">
        <w:rPr>
          <w:rFonts w:ascii="Times New Roman" w:hAnsi="Times New Roman" w:cs="Times New Roman"/>
          <w:sz w:val="24"/>
          <w:szCs w:val="24"/>
        </w:rPr>
        <w:t>Marketing</w:t>
      </w:r>
      <w:r w:rsidR="00057E09" w:rsidRPr="005A046D">
        <w:rPr>
          <w:rFonts w:ascii="Times New Roman" w:hAnsi="Times New Roman" w:cs="Times New Roman"/>
          <w:sz w:val="24"/>
          <w:szCs w:val="24"/>
        </w:rPr>
        <w:t xml:space="preserve"> on </w:t>
      </w:r>
      <w:r w:rsidR="00057E09">
        <w:rPr>
          <w:rFonts w:ascii="Times New Roman" w:hAnsi="Times New Roman" w:cs="Times New Roman"/>
          <w:sz w:val="24"/>
          <w:szCs w:val="24"/>
        </w:rPr>
        <w:t>M</w:t>
      </w:r>
      <w:r w:rsidR="00057E09" w:rsidRPr="005A046D">
        <w:rPr>
          <w:rFonts w:ascii="Times New Roman" w:hAnsi="Times New Roman" w:cs="Times New Roman"/>
          <w:sz w:val="24"/>
          <w:szCs w:val="24"/>
        </w:rPr>
        <w:t xml:space="preserve">arketing </w:t>
      </w:r>
      <w:r w:rsidR="00057E09">
        <w:rPr>
          <w:rFonts w:ascii="Times New Roman" w:hAnsi="Times New Roman" w:cs="Times New Roman"/>
          <w:sz w:val="24"/>
          <w:szCs w:val="24"/>
        </w:rPr>
        <w:t>P</w:t>
      </w:r>
      <w:r w:rsidR="00057E09" w:rsidRPr="005A046D">
        <w:rPr>
          <w:rFonts w:ascii="Times New Roman" w:hAnsi="Times New Roman" w:cs="Times New Roman"/>
          <w:sz w:val="24"/>
          <w:szCs w:val="24"/>
        </w:rPr>
        <w:t xml:space="preserve">erformance: </w:t>
      </w:r>
      <w:r w:rsidR="00057E09">
        <w:rPr>
          <w:rFonts w:ascii="Times New Roman" w:hAnsi="Times New Roman" w:cs="Times New Roman"/>
          <w:sz w:val="24"/>
          <w:szCs w:val="24"/>
        </w:rPr>
        <w:t>T</w:t>
      </w:r>
      <w:r w:rsidR="00057E09" w:rsidRPr="005A046D">
        <w:rPr>
          <w:rFonts w:ascii="Times New Roman" w:hAnsi="Times New Roman" w:cs="Times New Roman"/>
          <w:sz w:val="24"/>
          <w:szCs w:val="24"/>
        </w:rPr>
        <w:t xml:space="preserve">he </w:t>
      </w:r>
      <w:r w:rsidR="00057E09">
        <w:rPr>
          <w:rFonts w:ascii="Times New Roman" w:hAnsi="Times New Roman" w:cs="Times New Roman"/>
          <w:sz w:val="24"/>
          <w:szCs w:val="24"/>
        </w:rPr>
        <w:t>C</w:t>
      </w:r>
      <w:r w:rsidR="00057E09" w:rsidRPr="005A046D">
        <w:rPr>
          <w:rFonts w:ascii="Times New Roman" w:hAnsi="Times New Roman" w:cs="Times New Roman"/>
          <w:sz w:val="24"/>
          <w:szCs w:val="24"/>
        </w:rPr>
        <w:t xml:space="preserve">ase of </w:t>
      </w:r>
      <w:r w:rsidR="00057E09">
        <w:rPr>
          <w:rFonts w:ascii="Times New Roman" w:hAnsi="Times New Roman" w:cs="Times New Roman"/>
          <w:sz w:val="24"/>
          <w:szCs w:val="24"/>
        </w:rPr>
        <w:t>Ethio Telecom</w:t>
      </w:r>
      <w:r w:rsidR="00057E09" w:rsidRPr="005A046D">
        <w:rPr>
          <w:rFonts w:ascii="Times New Roman" w:hAnsi="Times New Roman" w:cs="Times New Roman"/>
          <w:sz w:val="24"/>
          <w:szCs w:val="24"/>
        </w:rPr>
        <w:t>.</w:t>
      </w:r>
      <w:r w:rsidRPr="005A046D">
        <w:rPr>
          <w:rFonts w:ascii="Times New Roman" w:hAnsi="Times New Roman" w:cs="Times New Roman"/>
          <w:sz w:val="24"/>
          <w:szCs w:val="24"/>
        </w:rPr>
        <w:t xml:space="preserve"> doi:</w:t>
      </w:r>
      <w:r w:rsidR="00057E09">
        <w:rPr>
          <w:rFonts w:ascii="Times New Roman" w:hAnsi="Times New Roman" w:cs="Times New Roman"/>
          <w:sz w:val="24"/>
          <w:szCs w:val="24"/>
        </w:rPr>
        <w:t xml:space="preserve"> </w:t>
      </w:r>
      <w:hyperlink r:id="rId19" w:history="1">
        <w:r w:rsidR="00057E09" w:rsidRPr="005A046D">
          <w:rPr>
            <w:rStyle w:val="Hyperlink"/>
            <w:rFonts w:ascii="Times New Roman" w:hAnsi="Times New Roman" w:cs="Times New Roman"/>
            <w:sz w:val="24"/>
            <w:szCs w:val="24"/>
          </w:rPr>
          <w:t>http://hdl.handle.net/123456789/8664</w:t>
        </w:r>
      </w:hyperlink>
      <w:r w:rsidRPr="005A046D">
        <w:rPr>
          <w:rFonts w:ascii="Times New Roman" w:hAnsi="Times New Roman" w:cs="Times New Roman"/>
          <w:sz w:val="24"/>
          <w:szCs w:val="24"/>
        </w:rPr>
        <w:t>.</w:t>
      </w:r>
    </w:p>
    <w:p w14:paraId="49C4A986" w14:textId="254A03BC"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Ibrahim, N., Efunniyi, N.C.P., Osundare, N.O.S. and Omozele, A. (2024). Transforming marketing strategies with data analytics: A study on customer </w:t>
      </w:r>
      <w:r w:rsidR="0005119B">
        <w:rPr>
          <w:rFonts w:ascii="Times New Roman" w:hAnsi="Times New Roman" w:cs="Times New Roman"/>
          <w:sz w:val="24"/>
          <w:szCs w:val="24"/>
        </w:rPr>
        <w:t>behaviour</w:t>
      </w:r>
      <w:r w:rsidRPr="005A046D">
        <w:rPr>
          <w:rFonts w:ascii="Times New Roman" w:hAnsi="Times New Roman" w:cs="Times New Roman"/>
          <w:sz w:val="24"/>
          <w:szCs w:val="24"/>
        </w:rPr>
        <w:t xml:space="preserve"> and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w:t>
      </w:r>
      <w:r w:rsidRPr="005A046D">
        <w:rPr>
          <w:rFonts w:ascii="Times New Roman" w:hAnsi="Times New Roman" w:cs="Times New Roman"/>
          <w:i/>
          <w:iCs/>
          <w:sz w:val="24"/>
          <w:szCs w:val="24"/>
        </w:rPr>
        <w:t>International Journal of Scholarly Research in Engineering and Technology</w:t>
      </w:r>
      <w:r w:rsidRPr="005A046D">
        <w:rPr>
          <w:rFonts w:ascii="Times New Roman" w:hAnsi="Times New Roman" w:cs="Times New Roman"/>
          <w:sz w:val="24"/>
          <w:szCs w:val="24"/>
        </w:rPr>
        <w:t>, 4(1), pp.041–051. doi:</w:t>
      </w:r>
      <w:r w:rsidR="00057E09">
        <w:rPr>
          <w:rFonts w:ascii="Times New Roman" w:hAnsi="Times New Roman" w:cs="Times New Roman"/>
          <w:sz w:val="24"/>
          <w:szCs w:val="24"/>
        </w:rPr>
        <w:t xml:space="preserve"> </w:t>
      </w:r>
      <w:hyperlink r:id="rId20" w:history="1">
        <w:r w:rsidR="00057E09" w:rsidRPr="005A046D">
          <w:rPr>
            <w:rStyle w:val="Hyperlink"/>
            <w:rFonts w:ascii="Times New Roman" w:hAnsi="Times New Roman" w:cs="Times New Roman"/>
            <w:sz w:val="24"/>
            <w:szCs w:val="24"/>
          </w:rPr>
          <w:t>https://doi.org/10.56781/ijsret.2024.4.1.0022</w:t>
        </w:r>
      </w:hyperlink>
      <w:r w:rsidRPr="005A046D">
        <w:rPr>
          <w:rFonts w:ascii="Times New Roman" w:hAnsi="Times New Roman" w:cs="Times New Roman"/>
          <w:sz w:val="24"/>
          <w:szCs w:val="24"/>
        </w:rPr>
        <w:t>.</w:t>
      </w:r>
    </w:p>
    <w:p w14:paraId="18A866A1" w14:textId="5C89EC8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Jayaram, D., Manrai, A.K. and Manrai, L.A. (2015). Effective use of marketing technology in Eastern Europe: Web analytics, social media, customer analytics, digital campaigns </w:t>
      </w:r>
      <w:r w:rsidRPr="005A046D">
        <w:rPr>
          <w:rFonts w:ascii="Times New Roman" w:hAnsi="Times New Roman" w:cs="Times New Roman"/>
          <w:sz w:val="24"/>
          <w:szCs w:val="24"/>
        </w:rPr>
        <w:lastRenderedPageBreak/>
        <w:t xml:space="preserve">and mobile applications. </w:t>
      </w:r>
      <w:r w:rsidRPr="005A046D">
        <w:rPr>
          <w:rFonts w:ascii="Times New Roman" w:hAnsi="Times New Roman" w:cs="Times New Roman"/>
          <w:i/>
          <w:iCs/>
          <w:sz w:val="24"/>
          <w:szCs w:val="24"/>
        </w:rPr>
        <w:t>Journal of Economics, Finance and Administrative Science</w:t>
      </w:r>
      <w:r w:rsidRPr="005A046D">
        <w:rPr>
          <w:rFonts w:ascii="Times New Roman" w:hAnsi="Times New Roman" w:cs="Times New Roman"/>
          <w:sz w:val="24"/>
          <w:szCs w:val="24"/>
        </w:rPr>
        <w:t>,</w:t>
      </w:r>
      <w:r w:rsidR="003F3A5B">
        <w:rPr>
          <w:rFonts w:ascii="Times New Roman" w:hAnsi="Times New Roman" w:cs="Times New Roman"/>
          <w:sz w:val="24"/>
          <w:szCs w:val="24"/>
        </w:rPr>
        <w:t xml:space="preserve"> </w:t>
      </w:r>
      <w:r w:rsidRPr="005A046D">
        <w:rPr>
          <w:rFonts w:ascii="Times New Roman" w:hAnsi="Times New Roman" w:cs="Times New Roman"/>
          <w:sz w:val="24"/>
          <w:szCs w:val="24"/>
        </w:rPr>
        <w:t>20(39), pp.118–132. doi:</w:t>
      </w:r>
      <w:r w:rsidR="00057E09">
        <w:rPr>
          <w:rFonts w:ascii="Times New Roman" w:hAnsi="Times New Roman" w:cs="Times New Roman"/>
          <w:sz w:val="24"/>
          <w:szCs w:val="24"/>
        </w:rPr>
        <w:t xml:space="preserve"> </w:t>
      </w:r>
      <w:hyperlink r:id="rId21" w:history="1">
        <w:r w:rsidR="00057E09" w:rsidRPr="005A046D">
          <w:rPr>
            <w:rStyle w:val="Hyperlink"/>
            <w:rFonts w:ascii="Times New Roman" w:hAnsi="Times New Roman" w:cs="Times New Roman"/>
            <w:sz w:val="24"/>
            <w:szCs w:val="24"/>
          </w:rPr>
          <w:t>https://doi.org/10.1016/j.jefas.2015.07.001</w:t>
        </w:r>
      </w:hyperlink>
      <w:r w:rsidRPr="005A046D">
        <w:rPr>
          <w:rFonts w:ascii="Times New Roman" w:hAnsi="Times New Roman" w:cs="Times New Roman"/>
          <w:sz w:val="24"/>
          <w:szCs w:val="24"/>
        </w:rPr>
        <w:t>.</w:t>
      </w:r>
    </w:p>
    <w:p w14:paraId="0F75E603" w14:textId="2A36F263"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Jin, S., Bei, Z., Chen, B. and Xia, Y. (2024). </w:t>
      </w:r>
      <w:r w:rsidRPr="005A046D">
        <w:rPr>
          <w:rFonts w:ascii="Times New Roman" w:hAnsi="Times New Roman" w:cs="Times New Roman"/>
          <w:i/>
          <w:iCs/>
          <w:sz w:val="24"/>
          <w:szCs w:val="24"/>
        </w:rPr>
        <w:t>Breaking the Cycle of Recurring Failures: Applying Generative AI to Root Cause Analysis in Legacy Banking Systems</w:t>
      </w:r>
      <w:r w:rsidRPr="005A046D">
        <w:rPr>
          <w:rFonts w:ascii="Times New Roman" w:hAnsi="Times New Roman" w:cs="Times New Roman"/>
          <w:sz w:val="24"/>
          <w:szCs w:val="24"/>
        </w:rPr>
        <w:t xml:space="preserve">. </w:t>
      </w:r>
      <w:hyperlink r:id="rId22" w:history="1">
        <w:r w:rsidR="00057E09" w:rsidRPr="005A046D">
          <w:rPr>
            <w:rStyle w:val="Hyperlink"/>
            <w:rFonts w:ascii="Times New Roman" w:hAnsi="Times New Roman" w:cs="Times New Roman"/>
            <w:sz w:val="24"/>
            <w:szCs w:val="24"/>
          </w:rPr>
          <w:t>https://arxiv.org/abs/2411.13017</w:t>
        </w:r>
      </w:hyperlink>
      <w:r w:rsidRPr="005A046D">
        <w:rPr>
          <w:rFonts w:ascii="Times New Roman" w:hAnsi="Times New Roman" w:cs="Times New Roman"/>
          <w:sz w:val="24"/>
          <w:szCs w:val="24"/>
        </w:rPr>
        <w:t>.</w:t>
      </w:r>
    </w:p>
    <w:p w14:paraId="3905CB6B" w14:textId="0129D2D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Lin, Q., Xiaoyu, L. and Jianqiang, Z. (2023). Global Marketing Standards and Local Adaptation: An Analysis of the Literature. </w:t>
      </w:r>
      <w:r w:rsidRPr="005A046D">
        <w:rPr>
          <w:rFonts w:ascii="Times New Roman" w:hAnsi="Times New Roman" w:cs="Times New Roman"/>
          <w:i/>
          <w:iCs/>
          <w:sz w:val="24"/>
          <w:szCs w:val="24"/>
        </w:rPr>
        <w:t>International Journal of Management and Human Science (IJMHS)</w:t>
      </w:r>
      <w:r w:rsidRPr="005A046D">
        <w:rPr>
          <w:rFonts w:ascii="Times New Roman" w:hAnsi="Times New Roman" w:cs="Times New Roman"/>
          <w:sz w:val="24"/>
          <w:szCs w:val="24"/>
        </w:rPr>
        <w:t>, 7(2), pp.44–57. doi:</w:t>
      </w:r>
      <w:r w:rsidR="00057E09">
        <w:rPr>
          <w:rFonts w:ascii="Times New Roman" w:hAnsi="Times New Roman" w:cs="Times New Roman"/>
          <w:sz w:val="24"/>
          <w:szCs w:val="24"/>
        </w:rPr>
        <w:t xml:space="preserve"> </w:t>
      </w:r>
      <w:hyperlink r:id="rId23" w:history="1">
        <w:r w:rsidR="00057E09" w:rsidRPr="005A046D">
          <w:rPr>
            <w:rStyle w:val="Hyperlink"/>
            <w:rFonts w:ascii="Times New Roman" w:hAnsi="Times New Roman" w:cs="Times New Roman"/>
            <w:sz w:val="24"/>
            <w:szCs w:val="24"/>
          </w:rPr>
          <w:t>https://doi.org/10.31674/ijmhs.2023.v07i02.006</w:t>
        </w:r>
      </w:hyperlink>
      <w:r w:rsidRPr="005A046D">
        <w:rPr>
          <w:rFonts w:ascii="Times New Roman" w:hAnsi="Times New Roman" w:cs="Times New Roman"/>
          <w:sz w:val="24"/>
          <w:szCs w:val="24"/>
        </w:rPr>
        <w:t>.</w:t>
      </w:r>
    </w:p>
    <w:p w14:paraId="2E59A8E8" w14:textId="5FE7FAD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Malerba, F., Nelson, R., Orsenigo, L. and Winter, S. (2007). Demand, innovation, and the dynamics of market structure: The role of experimental users and diverse preferences. </w:t>
      </w:r>
      <w:r w:rsidRPr="005A046D">
        <w:rPr>
          <w:rFonts w:ascii="Times New Roman" w:hAnsi="Times New Roman" w:cs="Times New Roman"/>
          <w:i/>
          <w:iCs/>
          <w:sz w:val="24"/>
          <w:szCs w:val="24"/>
        </w:rPr>
        <w:t>Journal of Evolutionary Economics</w:t>
      </w:r>
      <w:r w:rsidRPr="005A046D">
        <w:rPr>
          <w:rFonts w:ascii="Times New Roman" w:hAnsi="Times New Roman" w:cs="Times New Roman"/>
          <w:sz w:val="24"/>
          <w:szCs w:val="24"/>
        </w:rPr>
        <w:t>, 17(4), pp.371–399. doi:</w:t>
      </w:r>
      <w:r w:rsidR="00057E09">
        <w:rPr>
          <w:rFonts w:ascii="Times New Roman" w:hAnsi="Times New Roman" w:cs="Times New Roman"/>
          <w:sz w:val="24"/>
          <w:szCs w:val="24"/>
        </w:rPr>
        <w:t xml:space="preserve"> </w:t>
      </w:r>
      <w:hyperlink r:id="rId24" w:history="1">
        <w:r w:rsidR="00057E09" w:rsidRPr="005A046D">
          <w:rPr>
            <w:rStyle w:val="Hyperlink"/>
            <w:rFonts w:ascii="Times New Roman" w:hAnsi="Times New Roman" w:cs="Times New Roman"/>
            <w:sz w:val="24"/>
            <w:szCs w:val="24"/>
          </w:rPr>
          <w:t>https://doi.org/10.1007/s00191-007-0060-x</w:t>
        </w:r>
      </w:hyperlink>
      <w:r w:rsidRPr="005A046D">
        <w:rPr>
          <w:rFonts w:ascii="Times New Roman" w:hAnsi="Times New Roman" w:cs="Times New Roman"/>
          <w:sz w:val="24"/>
          <w:szCs w:val="24"/>
        </w:rPr>
        <w:t>.</w:t>
      </w:r>
    </w:p>
    <w:p w14:paraId="40B18860" w14:textId="5CA819E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Mbama, C.I., Ezepue, P., Alboul, L. and Beer, M. (2018). Digital banking, customer experience and financial performance. </w:t>
      </w:r>
      <w:r w:rsidRPr="005A046D">
        <w:rPr>
          <w:rFonts w:ascii="Times New Roman" w:hAnsi="Times New Roman" w:cs="Times New Roman"/>
          <w:i/>
          <w:iCs/>
          <w:sz w:val="24"/>
          <w:szCs w:val="24"/>
        </w:rPr>
        <w:t>Journal of Research in Interactive Marketing</w:t>
      </w:r>
      <w:r w:rsidRPr="005A046D">
        <w:rPr>
          <w:rFonts w:ascii="Times New Roman" w:hAnsi="Times New Roman" w:cs="Times New Roman"/>
          <w:sz w:val="24"/>
          <w:szCs w:val="24"/>
        </w:rPr>
        <w:t>, 12(4), pp.432–451. doi:</w:t>
      </w:r>
      <w:r w:rsidR="00057E09">
        <w:rPr>
          <w:rFonts w:ascii="Times New Roman" w:hAnsi="Times New Roman" w:cs="Times New Roman"/>
          <w:sz w:val="24"/>
          <w:szCs w:val="24"/>
        </w:rPr>
        <w:t xml:space="preserve"> </w:t>
      </w:r>
      <w:hyperlink r:id="rId25" w:history="1">
        <w:r w:rsidR="00057E09" w:rsidRPr="005A046D">
          <w:rPr>
            <w:rStyle w:val="Hyperlink"/>
            <w:rFonts w:ascii="Times New Roman" w:hAnsi="Times New Roman" w:cs="Times New Roman"/>
            <w:sz w:val="24"/>
            <w:szCs w:val="24"/>
          </w:rPr>
          <w:t>https://doi.org/10.1108/jrim-01-2018-0026</w:t>
        </w:r>
      </w:hyperlink>
      <w:r w:rsidRPr="005A046D">
        <w:rPr>
          <w:rFonts w:ascii="Times New Roman" w:hAnsi="Times New Roman" w:cs="Times New Roman"/>
          <w:sz w:val="24"/>
          <w:szCs w:val="24"/>
        </w:rPr>
        <w:t>.</w:t>
      </w:r>
    </w:p>
    <w:p w14:paraId="75C99846" w14:textId="50AF6BC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Mereu, S. (2020). </w:t>
      </w:r>
      <w:r w:rsidRPr="005A046D">
        <w:rPr>
          <w:rFonts w:ascii="Times New Roman" w:hAnsi="Times New Roman" w:cs="Times New Roman"/>
          <w:i/>
          <w:iCs/>
          <w:sz w:val="24"/>
          <w:szCs w:val="24"/>
        </w:rPr>
        <w:t>The integrated marketing communications mix in the digital age: Defining the promotional channels with examples of Paris Saint-Germain</w:t>
      </w:r>
      <w:r w:rsidRPr="005A046D">
        <w:rPr>
          <w:rFonts w:ascii="Times New Roman" w:hAnsi="Times New Roman" w:cs="Times New Roman"/>
          <w:sz w:val="24"/>
          <w:szCs w:val="24"/>
        </w:rPr>
        <w:t xml:space="preserve">.  </w:t>
      </w:r>
      <w:hyperlink r:id="rId26" w:history="1">
        <w:r w:rsidR="00057E09" w:rsidRPr="005A046D">
          <w:rPr>
            <w:rStyle w:val="Hyperlink"/>
            <w:rFonts w:ascii="Times New Roman" w:hAnsi="Times New Roman" w:cs="Times New Roman"/>
            <w:sz w:val="24"/>
            <w:szCs w:val="24"/>
          </w:rPr>
          <w:t>https://sportsbusinessresearch.academy/2020/04/11/the-integrated-marketing-communications-mix-in-the-digital-age-defining-the-promotional-channels-with-examples-of-paris-saint-germain/</w:t>
        </w:r>
      </w:hyperlink>
      <w:r w:rsidRPr="005A046D">
        <w:rPr>
          <w:rFonts w:ascii="Times New Roman" w:hAnsi="Times New Roman" w:cs="Times New Roman"/>
          <w:sz w:val="24"/>
          <w:szCs w:val="24"/>
        </w:rPr>
        <w:t>.</w:t>
      </w:r>
    </w:p>
    <w:p w14:paraId="51E3A79F" w14:textId="3DCCE70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Naimi-Sadigh, A., Asgari, T. and Rabiei, M. (2021). Digital transformation in the value chain disruption of banking services. </w:t>
      </w:r>
      <w:r w:rsidRPr="005A046D">
        <w:rPr>
          <w:rFonts w:ascii="Times New Roman" w:hAnsi="Times New Roman" w:cs="Times New Roman"/>
          <w:i/>
          <w:iCs/>
          <w:sz w:val="24"/>
          <w:szCs w:val="24"/>
        </w:rPr>
        <w:t>Journal of the Knowledge Economy</w:t>
      </w:r>
      <w:r w:rsidRPr="005A046D">
        <w:rPr>
          <w:rFonts w:ascii="Times New Roman" w:hAnsi="Times New Roman" w:cs="Times New Roman"/>
          <w:sz w:val="24"/>
          <w:szCs w:val="24"/>
        </w:rPr>
        <w:t>, 13(2), pp.1212–1242. doi:</w:t>
      </w:r>
      <w:r w:rsidR="00057E09">
        <w:rPr>
          <w:rFonts w:ascii="Times New Roman" w:hAnsi="Times New Roman" w:cs="Times New Roman"/>
          <w:sz w:val="24"/>
          <w:szCs w:val="24"/>
        </w:rPr>
        <w:t xml:space="preserve"> </w:t>
      </w:r>
      <w:hyperlink r:id="rId27" w:history="1">
        <w:r w:rsidR="00057E09" w:rsidRPr="005A046D">
          <w:rPr>
            <w:rStyle w:val="Hyperlink"/>
            <w:rFonts w:ascii="Times New Roman" w:hAnsi="Times New Roman" w:cs="Times New Roman"/>
            <w:sz w:val="24"/>
            <w:szCs w:val="24"/>
          </w:rPr>
          <w:t>https://doi.org/10.1007/s13132-021-00759-0</w:t>
        </w:r>
      </w:hyperlink>
      <w:r w:rsidRPr="005A046D">
        <w:rPr>
          <w:rFonts w:ascii="Times New Roman" w:hAnsi="Times New Roman" w:cs="Times New Roman"/>
          <w:sz w:val="24"/>
          <w:szCs w:val="24"/>
        </w:rPr>
        <w:t>.</w:t>
      </w:r>
    </w:p>
    <w:p w14:paraId="00168EB6" w14:textId="74C6F5FA" w:rsidR="00057E09"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Nikita and Lordan, G. (2024). </w:t>
      </w:r>
      <w:r w:rsidRPr="005A046D">
        <w:rPr>
          <w:rFonts w:ascii="Times New Roman" w:hAnsi="Times New Roman" w:cs="Times New Roman"/>
          <w:i/>
          <w:iCs/>
          <w:sz w:val="24"/>
          <w:szCs w:val="24"/>
        </w:rPr>
        <w:t>A blueprint to make financial services more inclusive for colleagues from lower socio-economic backgrounds The Inclusion Initiative</w:t>
      </w:r>
      <w:r w:rsidRPr="005A046D">
        <w:rPr>
          <w:rFonts w:ascii="Times New Roman" w:hAnsi="Times New Roman" w:cs="Times New Roman"/>
          <w:sz w:val="24"/>
          <w:szCs w:val="24"/>
        </w:rPr>
        <w:t xml:space="preserve">. </w:t>
      </w:r>
      <w:hyperlink r:id="rId28" w:history="1">
        <w:r w:rsidR="00057E09" w:rsidRPr="005A046D">
          <w:rPr>
            <w:rStyle w:val="Hyperlink"/>
            <w:rFonts w:ascii="Times New Roman" w:hAnsi="Times New Roman" w:cs="Times New Roman"/>
            <w:sz w:val="24"/>
            <w:szCs w:val="24"/>
          </w:rPr>
          <w:t>https://www.lse.ac.uk/tii/assets/documents/VOICE-Report.pdf</w:t>
        </w:r>
      </w:hyperlink>
    </w:p>
    <w:p w14:paraId="5F256983" w14:textId="33C9CC15"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Oumaima, J. and Lamari, S. (2024). Customer Experience in the Digital Transformation Era: Insights on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Digital Marketing, and Customer Relationship Management. </w:t>
      </w:r>
      <w:r w:rsidRPr="005A046D">
        <w:rPr>
          <w:rFonts w:ascii="Times New Roman" w:hAnsi="Times New Roman" w:cs="Times New Roman"/>
          <w:i/>
          <w:iCs/>
          <w:sz w:val="24"/>
          <w:szCs w:val="24"/>
        </w:rPr>
        <w:t>International Journal of Economics, Management and Finance (IJEMF)</w:t>
      </w:r>
      <w:r w:rsidRPr="005A046D">
        <w:rPr>
          <w:rFonts w:ascii="Times New Roman" w:hAnsi="Times New Roman" w:cs="Times New Roman"/>
          <w:sz w:val="24"/>
          <w:szCs w:val="24"/>
        </w:rPr>
        <w:t>, 3(2), pp.52–69.</w:t>
      </w:r>
    </w:p>
    <w:p w14:paraId="19CE9B4C" w14:textId="0D56C26B" w:rsidR="00057E09"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Quach, S., Thaichon, P., Martin, K.D., Weaven, S. and Palmatier, R.W. (2022). Digital technologies: Tensions in Privacy and Data. </w:t>
      </w:r>
      <w:r w:rsidRPr="005A046D">
        <w:rPr>
          <w:rFonts w:ascii="Times New Roman" w:hAnsi="Times New Roman" w:cs="Times New Roman"/>
          <w:i/>
          <w:iCs/>
          <w:sz w:val="24"/>
          <w:szCs w:val="24"/>
        </w:rPr>
        <w:t>Journal of the Academy of Marketing Science</w:t>
      </w:r>
      <w:r w:rsidRPr="005A046D">
        <w:rPr>
          <w:rFonts w:ascii="Times New Roman" w:hAnsi="Times New Roman" w:cs="Times New Roman"/>
          <w:sz w:val="24"/>
          <w:szCs w:val="24"/>
        </w:rPr>
        <w:t>, 50(1), pp.1299–1323. doi:</w:t>
      </w:r>
      <w:r w:rsidR="00057E09">
        <w:rPr>
          <w:rFonts w:ascii="Times New Roman" w:hAnsi="Times New Roman" w:cs="Times New Roman"/>
          <w:sz w:val="24"/>
          <w:szCs w:val="24"/>
        </w:rPr>
        <w:t xml:space="preserve"> </w:t>
      </w:r>
      <w:hyperlink r:id="rId29" w:history="1">
        <w:r w:rsidR="00057E09" w:rsidRPr="005A046D">
          <w:rPr>
            <w:rStyle w:val="Hyperlink"/>
            <w:rFonts w:ascii="Times New Roman" w:hAnsi="Times New Roman" w:cs="Times New Roman"/>
            <w:sz w:val="24"/>
            <w:szCs w:val="24"/>
          </w:rPr>
          <w:t>https://doi.org/10.1007/s11747-022-00845-y</w:t>
        </w:r>
      </w:hyperlink>
    </w:p>
    <w:p w14:paraId="771273F3" w14:textId="296555C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Rani, I.H., Kasali, R., Kusumastuti, R.D. and Hati, S.R.H. (2025). Continuous </w:t>
      </w:r>
      <w:r w:rsidR="0005119B">
        <w:rPr>
          <w:rFonts w:ascii="Times New Roman" w:hAnsi="Times New Roman" w:cs="Times New Roman"/>
          <w:sz w:val="24"/>
          <w:szCs w:val="24"/>
        </w:rPr>
        <w:t>Organisational</w:t>
      </w:r>
      <w:r w:rsidRPr="005A046D">
        <w:rPr>
          <w:rFonts w:ascii="Times New Roman" w:hAnsi="Times New Roman" w:cs="Times New Roman"/>
          <w:sz w:val="24"/>
          <w:szCs w:val="24"/>
        </w:rPr>
        <w:t xml:space="preserve"> Agility in Banking: Unveiling New Pathways to Competitive Advantage. </w:t>
      </w:r>
      <w:r w:rsidRPr="005A046D">
        <w:rPr>
          <w:rFonts w:ascii="Times New Roman" w:hAnsi="Times New Roman" w:cs="Times New Roman"/>
          <w:i/>
          <w:iCs/>
          <w:sz w:val="24"/>
          <w:szCs w:val="24"/>
        </w:rPr>
        <w:t>Global Journal of Flexible Systems Management</w:t>
      </w:r>
      <w:r w:rsidRPr="005A046D">
        <w:rPr>
          <w:rFonts w:ascii="Times New Roman" w:hAnsi="Times New Roman" w:cs="Times New Roman"/>
          <w:sz w:val="24"/>
          <w:szCs w:val="24"/>
        </w:rPr>
        <w:t>, 26(3), pp.469–490. doi:</w:t>
      </w:r>
      <w:r w:rsidR="00057E09">
        <w:rPr>
          <w:rFonts w:ascii="Times New Roman" w:hAnsi="Times New Roman" w:cs="Times New Roman"/>
          <w:sz w:val="24"/>
          <w:szCs w:val="24"/>
        </w:rPr>
        <w:t xml:space="preserve"> </w:t>
      </w:r>
      <w:hyperlink r:id="rId30" w:history="1">
        <w:r w:rsidR="00057E09" w:rsidRPr="005A046D">
          <w:rPr>
            <w:rStyle w:val="Hyperlink"/>
            <w:rFonts w:ascii="Times New Roman" w:hAnsi="Times New Roman" w:cs="Times New Roman"/>
            <w:sz w:val="24"/>
            <w:szCs w:val="24"/>
          </w:rPr>
          <w:t>https://doi.org/10.1007/s40171-025-00452-0</w:t>
        </w:r>
      </w:hyperlink>
      <w:r w:rsidRPr="005A046D">
        <w:rPr>
          <w:rFonts w:ascii="Times New Roman" w:hAnsi="Times New Roman" w:cs="Times New Roman"/>
          <w:sz w:val="24"/>
          <w:szCs w:val="24"/>
        </w:rPr>
        <w:t>.</w:t>
      </w:r>
    </w:p>
    <w:p w14:paraId="7E674529" w14:textId="546D30C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Research and Markets (2025). </w:t>
      </w:r>
      <w:r w:rsidRPr="005A046D">
        <w:rPr>
          <w:rFonts w:ascii="Times New Roman" w:hAnsi="Times New Roman" w:cs="Times New Roman"/>
          <w:i/>
          <w:iCs/>
          <w:sz w:val="24"/>
          <w:szCs w:val="24"/>
        </w:rPr>
        <w:t>HSBC Digital Transformation Strategy Analysis Report 2025: Technology Focus and Initiatives, Investments, Acquisition Partnerships, Network Map, ICT Budget - ResearchAndMarkets.com</w:t>
      </w:r>
      <w:r w:rsidRPr="005A046D">
        <w:rPr>
          <w:rFonts w:ascii="Times New Roman" w:hAnsi="Times New Roman" w:cs="Times New Roman"/>
          <w:sz w:val="24"/>
          <w:szCs w:val="24"/>
        </w:rPr>
        <w:t xml:space="preserve">. </w:t>
      </w:r>
      <w:hyperlink r:id="rId31" w:history="1">
        <w:r w:rsidRPr="00D90B49">
          <w:rPr>
            <w:rStyle w:val="Hyperlink"/>
            <w:rFonts w:ascii="Times New Roman" w:hAnsi="Times New Roman" w:cs="Times New Roman"/>
            <w:sz w:val="24"/>
            <w:szCs w:val="24"/>
          </w:rPr>
          <w:t>https://www.businesswire.com/news/home/20250923412587/en/HSBC-Digital-Transformation-Strategy-Analysis-Report-2025-Technology-Focus-and-Initiatives-Investments-Acquisition-Partnerships-Network-Map-ICT-Budget---ResearchAndMarkets.com</w:t>
        </w:r>
      </w:hyperlink>
    </w:p>
    <w:p w14:paraId="3BA50842" w14:textId="29C051D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Sharma, A.K. and Sharma, R. (2024). </w:t>
      </w:r>
      <w:r w:rsidRPr="005A046D">
        <w:rPr>
          <w:rFonts w:ascii="Times New Roman" w:hAnsi="Times New Roman" w:cs="Times New Roman"/>
          <w:i/>
          <w:iCs/>
          <w:sz w:val="24"/>
          <w:szCs w:val="24"/>
        </w:rPr>
        <w:t>Navigating compliance and regulations in marketing analytics: Uph...: Ingenta Connect</w:t>
      </w:r>
      <w:r w:rsidRPr="005A046D">
        <w:rPr>
          <w:rFonts w:ascii="Times New Roman" w:hAnsi="Times New Roman" w:cs="Times New Roman"/>
          <w:sz w:val="24"/>
          <w:szCs w:val="24"/>
        </w:rPr>
        <w:t xml:space="preserve">. </w:t>
      </w:r>
      <w:hyperlink r:id="rId32" w:history="1">
        <w:r w:rsidR="00057E09" w:rsidRPr="005A046D">
          <w:rPr>
            <w:rStyle w:val="Hyperlink"/>
            <w:rFonts w:ascii="Times New Roman" w:hAnsi="Times New Roman" w:cs="Times New Roman"/>
            <w:sz w:val="24"/>
            <w:szCs w:val="24"/>
          </w:rPr>
          <w:t>https://www.ingentaconnect.com/content/hsp/ama/2024/00000010/00000001/art00009</w:t>
        </w:r>
      </w:hyperlink>
      <w:r w:rsidRPr="005A046D">
        <w:rPr>
          <w:rFonts w:ascii="Times New Roman" w:hAnsi="Times New Roman" w:cs="Times New Roman"/>
          <w:sz w:val="24"/>
          <w:szCs w:val="24"/>
        </w:rPr>
        <w:t>.</w:t>
      </w:r>
    </w:p>
    <w:p w14:paraId="453AA0F2" w14:textId="47C9F76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Su, W. and Wen (2021). </w:t>
      </w:r>
      <w:r w:rsidR="00FA7E58" w:rsidRPr="00FA7E58">
        <w:rPr>
          <w:rFonts w:ascii="Times New Roman" w:hAnsi="Times New Roman" w:cs="Times New Roman"/>
          <w:sz w:val="24"/>
          <w:szCs w:val="24"/>
        </w:rPr>
        <w:t xml:space="preserve">Branding And Digital Touchpoints as the Competitive Edge for the Service Firms in the Omni-Channel Environment. </w:t>
      </w:r>
      <w:hyperlink r:id="rId33" w:history="1">
        <w:r w:rsidR="00057E09" w:rsidRPr="005A046D">
          <w:rPr>
            <w:rStyle w:val="Hyperlink"/>
            <w:rFonts w:ascii="Times New Roman" w:hAnsi="Times New Roman" w:cs="Times New Roman"/>
            <w:sz w:val="24"/>
            <w:szCs w:val="24"/>
          </w:rPr>
          <w:t>http://eprints.utar.edu.my/4459/1/19UKM06994_Su_Wei_Wen.pdf</w:t>
        </w:r>
      </w:hyperlink>
      <w:r w:rsidRPr="005A046D">
        <w:rPr>
          <w:rFonts w:ascii="Times New Roman" w:hAnsi="Times New Roman" w:cs="Times New Roman"/>
          <w:sz w:val="24"/>
          <w:szCs w:val="24"/>
        </w:rPr>
        <w:t>.</w:t>
      </w:r>
    </w:p>
    <w:p w14:paraId="753D3D00" w14:textId="55BCB59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Taherdoost, H. (2023). Digital Marketing. </w:t>
      </w:r>
      <w:r w:rsidRPr="005A046D">
        <w:rPr>
          <w:rFonts w:ascii="Times New Roman" w:hAnsi="Times New Roman" w:cs="Times New Roman"/>
          <w:i/>
          <w:iCs/>
          <w:sz w:val="24"/>
          <w:szCs w:val="24"/>
        </w:rPr>
        <w:t>EAI/Springer Innovations in Communication and Computing</w:t>
      </w:r>
      <w:r w:rsidRPr="005A046D">
        <w:rPr>
          <w:rFonts w:ascii="Times New Roman" w:hAnsi="Times New Roman" w:cs="Times New Roman"/>
          <w:sz w:val="24"/>
          <w:szCs w:val="24"/>
        </w:rPr>
        <w:t>, pp.205–236. doi:</w:t>
      </w:r>
      <w:r w:rsidR="00057E09">
        <w:rPr>
          <w:rFonts w:ascii="Times New Roman" w:hAnsi="Times New Roman" w:cs="Times New Roman"/>
          <w:sz w:val="24"/>
          <w:szCs w:val="24"/>
        </w:rPr>
        <w:t xml:space="preserve"> </w:t>
      </w:r>
      <w:hyperlink r:id="rId34" w:history="1">
        <w:r w:rsidR="00057E09" w:rsidRPr="005A046D">
          <w:rPr>
            <w:rStyle w:val="Hyperlink"/>
            <w:rFonts w:ascii="Times New Roman" w:hAnsi="Times New Roman" w:cs="Times New Roman"/>
            <w:sz w:val="24"/>
            <w:szCs w:val="24"/>
          </w:rPr>
          <w:t>https://doi.org/10.1007/978-3-031-39626-7_9</w:t>
        </w:r>
      </w:hyperlink>
      <w:r w:rsidRPr="005A046D">
        <w:rPr>
          <w:rFonts w:ascii="Times New Roman" w:hAnsi="Times New Roman" w:cs="Times New Roman"/>
          <w:sz w:val="24"/>
          <w:szCs w:val="24"/>
        </w:rPr>
        <w:t>.</w:t>
      </w:r>
    </w:p>
    <w:p w14:paraId="495A2814" w14:textId="2AB62F15"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Vashishth, T.K., Vikas, N., Sharma, K.K., Kumar, B., Chaudhary, S. and Panwar, R. (2024). Enhancing Customer Experience through AI-Enabled Content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in E-Commerce Marketing. </w:t>
      </w:r>
      <w:r w:rsidRPr="005A046D">
        <w:rPr>
          <w:rFonts w:ascii="Times New Roman" w:hAnsi="Times New Roman" w:cs="Times New Roman"/>
          <w:i/>
          <w:iCs/>
          <w:sz w:val="24"/>
          <w:szCs w:val="24"/>
        </w:rPr>
        <w:t>CRC Press eBooks</w:t>
      </w:r>
      <w:r w:rsidRPr="005A046D">
        <w:rPr>
          <w:rFonts w:ascii="Times New Roman" w:hAnsi="Times New Roman" w:cs="Times New Roman"/>
          <w:sz w:val="24"/>
          <w:szCs w:val="24"/>
        </w:rPr>
        <w:t>, pp.7–32.</w:t>
      </w:r>
    </w:p>
    <w:p w14:paraId="226B5132" w14:textId="77777777" w:rsidR="0066794D" w:rsidRPr="00762D84" w:rsidRDefault="0066794D" w:rsidP="00057E09">
      <w:pPr>
        <w:spacing w:after="0" w:line="480" w:lineRule="auto"/>
        <w:ind w:firstLine="720"/>
        <w:rPr>
          <w:rFonts w:ascii="Times New Roman" w:hAnsi="Times New Roman" w:cs="Times New Roman"/>
          <w:sz w:val="24"/>
          <w:szCs w:val="24"/>
        </w:rPr>
      </w:pPr>
    </w:p>
    <w:p w14:paraId="5245F42A" w14:textId="77777777" w:rsidR="00172C63" w:rsidRPr="00762D84" w:rsidRDefault="00172C63" w:rsidP="00057E09">
      <w:pPr>
        <w:spacing w:after="0" w:line="480" w:lineRule="auto"/>
        <w:ind w:firstLine="720"/>
        <w:rPr>
          <w:rFonts w:ascii="Times New Roman" w:hAnsi="Times New Roman" w:cs="Times New Roman"/>
          <w:sz w:val="24"/>
          <w:szCs w:val="24"/>
        </w:rPr>
      </w:pPr>
    </w:p>
    <w:p w14:paraId="119CF500" w14:textId="77777777" w:rsidR="00172C63" w:rsidRPr="00762D84" w:rsidRDefault="00172C63" w:rsidP="00057E09">
      <w:pPr>
        <w:spacing w:after="0" w:line="480" w:lineRule="auto"/>
        <w:ind w:firstLine="720"/>
        <w:rPr>
          <w:rFonts w:ascii="Times New Roman" w:hAnsi="Times New Roman" w:cs="Times New Roman"/>
          <w:sz w:val="24"/>
          <w:szCs w:val="24"/>
        </w:rPr>
      </w:pPr>
    </w:p>
    <w:sectPr w:rsidR="00172C63" w:rsidRPr="00762D8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1F791" w14:textId="77777777" w:rsidR="005E5B37" w:rsidRDefault="005E5B37" w:rsidP="00FA7E58">
      <w:pPr>
        <w:spacing w:after="0" w:line="240" w:lineRule="auto"/>
      </w:pPr>
      <w:r>
        <w:separator/>
      </w:r>
    </w:p>
  </w:endnote>
  <w:endnote w:type="continuationSeparator" w:id="0">
    <w:p w14:paraId="2B2FE2DF" w14:textId="77777777" w:rsidR="005E5B37" w:rsidRDefault="005E5B37" w:rsidP="00FA7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856081115"/>
      <w:docPartObj>
        <w:docPartGallery w:val="Page Numbers (Bottom of Page)"/>
        <w:docPartUnique/>
      </w:docPartObj>
    </w:sdtPr>
    <w:sdtEndPr>
      <w:rPr>
        <w:noProof/>
      </w:rPr>
    </w:sdtEndPr>
    <w:sdtContent>
      <w:p w14:paraId="2B5B3742" w14:textId="118DAC8D" w:rsidR="00FA7E58" w:rsidRPr="00FA7E58" w:rsidRDefault="00FA7E58">
        <w:pPr>
          <w:pStyle w:val="Footer"/>
          <w:jc w:val="center"/>
          <w:rPr>
            <w:rFonts w:ascii="Times New Roman" w:hAnsi="Times New Roman" w:cs="Times New Roman"/>
            <w:sz w:val="24"/>
            <w:szCs w:val="24"/>
          </w:rPr>
        </w:pPr>
        <w:r w:rsidRPr="00FA7E58">
          <w:rPr>
            <w:rFonts w:ascii="Times New Roman" w:hAnsi="Times New Roman" w:cs="Times New Roman"/>
            <w:sz w:val="24"/>
            <w:szCs w:val="24"/>
          </w:rPr>
          <w:fldChar w:fldCharType="begin"/>
        </w:r>
        <w:r w:rsidRPr="00FA7E58">
          <w:rPr>
            <w:rFonts w:ascii="Times New Roman" w:hAnsi="Times New Roman" w:cs="Times New Roman"/>
            <w:sz w:val="24"/>
            <w:szCs w:val="24"/>
          </w:rPr>
          <w:instrText xml:space="preserve"> PAGE   \* MERGEFORMAT </w:instrText>
        </w:r>
        <w:r w:rsidRPr="00FA7E58">
          <w:rPr>
            <w:rFonts w:ascii="Times New Roman" w:hAnsi="Times New Roman" w:cs="Times New Roman"/>
            <w:sz w:val="24"/>
            <w:szCs w:val="24"/>
          </w:rPr>
          <w:fldChar w:fldCharType="separate"/>
        </w:r>
        <w:r w:rsidRPr="00FA7E58">
          <w:rPr>
            <w:rFonts w:ascii="Times New Roman" w:hAnsi="Times New Roman" w:cs="Times New Roman"/>
            <w:noProof/>
            <w:sz w:val="24"/>
            <w:szCs w:val="24"/>
          </w:rPr>
          <w:t>2</w:t>
        </w:r>
        <w:r w:rsidRPr="00FA7E58">
          <w:rPr>
            <w:rFonts w:ascii="Times New Roman" w:hAnsi="Times New Roman" w:cs="Times New Roman"/>
            <w:noProof/>
            <w:sz w:val="24"/>
            <w:szCs w:val="24"/>
          </w:rPr>
          <w:fldChar w:fldCharType="end"/>
        </w:r>
      </w:p>
    </w:sdtContent>
  </w:sdt>
  <w:p w14:paraId="08E79744" w14:textId="77777777" w:rsidR="00FA7E58" w:rsidRPr="00FA7E58" w:rsidRDefault="00FA7E5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BDC34" w14:textId="77777777" w:rsidR="005E5B37" w:rsidRDefault="005E5B37" w:rsidP="00FA7E58">
      <w:pPr>
        <w:spacing w:after="0" w:line="240" w:lineRule="auto"/>
      </w:pPr>
      <w:r>
        <w:separator/>
      </w:r>
    </w:p>
  </w:footnote>
  <w:footnote w:type="continuationSeparator" w:id="0">
    <w:p w14:paraId="7E21B795" w14:textId="77777777" w:rsidR="005E5B37" w:rsidRDefault="005E5B37" w:rsidP="00FA7E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B3DC2"/>
    <w:multiLevelType w:val="hybridMultilevel"/>
    <w:tmpl w:val="EB40AFF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16876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63"/>
    <w:rsid w:val="0005119B"/>
    <w:rsid w:val="00057E09"/>
    <w:rsid w:val="000D3022"/>
    <w:rsid w:val="00172C63"/>
    <w:rsid w:val="003704A1"/>
    <w:rsid w:val="003F3A5B"/>
    <w:rsid w:val="00493F8E"/>
    <w:rsid w:val="00543EA4"/>
    <w:rsid w:val="00552ACF"/>
    <w:rsid w:val="005A046D"/>
    <w:rsid w:val="005E5B37"/>
    <w:rsid w:val="0066794D"/>
    <w:rsid w:val="00762D84"/>
    <w:rsid w:val="007F1802"/>
    <w:rsid w:val="00936759"/>
    <w:rsid w:val="009F20F9"/>
    <w:rsid w:val="00CA51D2"/>
    <w:rsid w:val="00D709F7"/>
    <w:rsid w:val="00FA7E5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0EB9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C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72C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2C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2C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2C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2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C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72C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2C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2C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2C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2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C63"/>
    <w:rPr>
      <w:rFonts w:eastAsiaTheme="majorEastAsia" w:cstheme="majorBidi"/>
      <w:color w:val="272727" w:themeColor="text1" w:themeTint="D8"/>
    </w:rPr>
  </w:style>
  <w:style w:type="paragraph" w:styleId="Title">
    <w:name w:val="Title"/>
    <w:basedOn w:val="Normal"/>
    <w:next w:val="Normal"/>
    <w:link w:val="TitleChar"/>
    <w:uiPriority w:val="10"/>
    <w:qFormat/>
    <w:rsid w:val="00172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C63"/>
    <w:pPr>
      <w:spacing w:before="160"/>
      <w:jc w:val="center"/>
    </w:pPr>
    <w:rPr>
      <w:i/>
      <w:iCs/>
      <w:color w:val="404040" w:themeColor="text1" w:themeTint="BF"/>
    </w:rPr>
  </w:style>
  <w:style w:type="character" w:customStyle="1" w:styleId="QuoteChar">
    <w:name w:val="Quote Char"/>
    <w:basedOn w:val="DefaultParagraphFont"/>
    <w:link w:val="Quote"/>
    <w:uiPriority w:val="29"/>
    <w:rsid w:val="00172C63"/>
    <w:rPr>
      <w:i/>
      <w:iCs/>
      <w:color w:val="404040" w:themeColor="text1" w:themeTint="BF"/>
    </w:rPr>
  </w:style>
  <w:style w:type="paragraph" w:styleId="ListParagraph">
    <w:name w:val="List Paragraph"/>
    <w:basedOn w:val="Normal"/>
    <w:uiPriority w:val="34"/>
    <w:qFormat/>
    <w:rsid w:val="00172C63"/>
    <w:pPr>
      <w:ind w:left="720"/>
      <w:contextualSpacing/>
    </w:pPr>
  </w:style>
  <w:style w:type="character" w:styleId="IntenseEmphasis">
    <w:name w:val="Intense Emphasis"/>
    <w:basedOn w:val="DefaultParagraphFont"/>
    <w:uiPriority w:val="21"/>
    <w:qFormat/>
    <w:rsid w:val="00172C63"/>
    <w:rPr>
      <w:i/>
      <w:iCs/>
      <w:color w:val="2F5496" w:themeColor="accent1" w:themeShade="BF"/>
    </w:rPr>
  </w:style>
  <w:style w:type="paragraph" w:styleId="IntenseQuote">
    <w:name w:val="Intense Quote"/>
    <w:basedOn w:val="Normal"/>
    <w:next w:val="Normal"/>
    <w:link w:val="IntenseQuoteChar"/>
    <w:uiPriority w:val="30"/>
    <w:qFormat/>
    <w:rsid w:val="00172C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2C63"/>
    <w:rPr>
      <w:i/>
      <w:iCs/>
      <w:color w:val="2F5496" w:themeColor="accent1" w:themeShade="BF"/>
    </w:rPr>
  </w:style>
  <w:style w:type="character" w:styleId="IntenseReference">
    <w:name w:val="Intense Reference"/>
    <w:basedOn w:val="DefaultParagraphFont"/>
    <w:uiPriority w:val="32"/>
    <w:qFormat/>
    <w:rsid w:val="00172C63"/>
    <w:rPr>
      <w:b/>
      <w:bCs/>
      <w:smallCaps/>
      <w:color w:val="2F5496" w:themeColor="accent1" w:themeShade="BF"/>
      <w:spacing w:val="5"/>
    </w:rPr>
  </w:style>
  <w:style w:type="character" w:styleId="Hyperlink">
    <w:name w:val="Hyperlink"/>
    <w:basedOn w:val="DefaultParagraphFont"/>
    <w:uiPriority w:val="99"/>
    <w:unhideWhenUsed/>
    <w:rsid w:val="005A046D"/>
    <w:rPr>
      <w:color w:val="0563C1" w:themeColor="hyperlink"/>
      <w:u w:val="single"/>
    </w:rPr>
  </w:style>
  <w:style w:type="character" w:styleId="UnresolvedMention">
    <w:name w:val="Unresolved Mention"/>
    <w:basedOn w:val="DefaultParagraphFont"/>
    <w:uiPriority w:val="99"/>
    <w:semiHidden/>
    <w:unhideWhenUsed/>
    <w:rsid w:val="005A046D"/>
    <w:rPr>
      <w:color w:val="605E5C"/>
      <w:shd w:val="clear" w:color="auto" w:fill="E1DFDD"/>
    </w:rPr>
  </w:style>
  <w:style w:type="character" w:styleId="FollowedHyperlink">
    <w:name w:val="FollowedHyperlink"/>
    <w:basedOn w:val="DefaultParagraphFont"/>
    <w:uiPriority w:val="99"/>
    <w:semiHidden/>
    <w:unhideWhenUsed/>
    <w:rsid w:val="005A046D"/>
    <w:rPr>
      <w:color w:val="954F72" w:themeColor="followedHyperlink"/>
      <w:u w:val="single"/>
    </w:rPr>
  </w:style>
  <w:style w:type="paragraph" w:styleId="Header">
    <w:name w:val="header"/>
    <w:basedOn w:val="Normal"/>
    <w:link w:val="HeaderChar"/>
    <w:uiPriority w:val="99"/>
    <w:unhideWhenUsed/>
    <w:rsid w:val="00FA7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E58"/>
  </w:style>
  <w:style w:type="paragraph" w:styleId="Footer">
    <w:name w:val="footer"/>
    <w:basedOn w:val="Normal"/>
    <w:link w:val="FooterChar"/>
    <w:uiPriority w:val="99"/>
    <w:unhideWhenUsed/>
    <w:rsid w:val="00FA7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E58"/>
  </w:style>
  <w:style w:type="paragraph" w:styleId="TOCHeading">
    <w:name w:val="TOC Heading"/>
    <w:basedOn w:val="Heading1"/>
    <w:next w:val="Normal"/>
    <w:uiPriority w:val="39"/>
    <w:unhideWhenUsed/>
    <w:qFormat/>
    <w:rsid w:val="00FA7E58"/>
    <w:pPr>
      <w:spacing w:before="240" w:after="0"/>
      <w:outlineLvl w:val="9"/>
    </w:pPr>
    <w:rPr>
      <w:sz w:val="32"/>
      <w:szCs w:val="32"/>
      <w:lang w:val="en-US"/>
    </w:rPr>
  </w:style>
  <w:style w:type="paragraph" w:styleId="TOC1">
    <w:name w:val="toc 1"/>
    <w:basedOn w:val="Normal"/>
    <w:next w:val="Normal"/>
    <w:autoRedefine/>
    <w:uiPriority w:val="39"/>
    <w:unhideWhenUsed/>
    <w:rsid w:val="00FA7E58"/>
    <w:pPr>
      <w:spacing w:after="100"/>
    </w:pPr>
  </w:style>
  <w:style w:type="paragraph" w:styleId="TOC2">
    <w:name w:val="toc 2"/>
    <w:basedOn w:val="Normal"/>
    <w:next w:val="Normal"/>
    <w:autoRedefine/>
    <w:uiPriority w:val="39"/>
    <w:unhideWhenUsed/>
    <w:rsid w:val="00FA7E58"/>
    <w:pPr>
      <w:spacing w:after="100"/>
      <w:ind w:left="220"/>
    </w:pPr>
  </w:style>
  <w:style w:type="paragraph" w:styleId="NormalWeb">
    <w:name w:val="Normal (Web)"/>
    <w:basedOn w:val="Normal"/>
    <w:uiPriority w:val="99"/>
    <w:unhideWhenUsed/>
    <w:rsid w:val="00543EA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543E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lsr.2023.105868" TargetMode="External"/><Relationship Id="rId18" Type="http://schemas.openxmlformats.org/officeDocument/2006/relationships/hyperlink" Target="https://doi.org/10.1007/s11747-023-00923-9" TargetMode="External"/><Relationship Id="rId26" Type="http://schemas.openxmlformats.org/officeDocument/2006/relationships/hyperlink" Target="https://sportsbusinessresearch.academy/2020/04/11/the-integrated-marketing-communications-mix-in-the-digital-age-defining-the-promotional-channels-with-examples-of-paris-saint-germain/" TargetMode="External"/><Relationship Id="rId21" Type="http://schemas.openxmlformats.org/officeDocument/2006/relationships/hyperlink" Target="https://doi.org/10.1016/j.jefas.2015.07.001" TargetMode="External"/><Relationship Id="rId34" Type="http://schemas.openxmlformats.org/officeDocument/2006/relationships/hyperlink" Target="https://doi.org/10.1007/978-3-031-39626-7_9" TargetMode="External"/><Relationship Id="rId7" Type="http://schemas.openxmlformats.org/officeDocument/2006/relationships/endnotes" Target="endnotes.xml"/><Relationship Id="rId12" Type="http://schemas.openxmlformats.org/officeDocument/2006/relationships/hyperlink" Target="http://www.ijoaia.com/index.php/v1/article/view/20" TargetMode="External"/><Relationship Id="rId17" Type="http://schemas.openxmlformats.org/officeDocument/2006/relationships/hyperlink" Target="https://doi.org/10.1080/09652540802117140" TargetMode="External"/><Relationship Id="rId25" Type="http://schemas.openxmlformats.org/officeDocument/2006/relationships/hyperlink" Target="https://doi.org/10.1108/jrim-01-2018-0026" TargetMode="External"/><Relationship Id="rId33" Type="http://schemas.openxmlformats.org/officeDocument/2006/relationships/hyperlink" Target="http://eprints.utar.edu.my/4459/1/19UKM06994_Su_Wei_Wen.pdf" TargetMode="External"/><Relationship Id="rId2" Type="http://schemas.openxmlformats.org/officeDocument/2006/relationships/numbering" Target="numbering.xml"/><Relationship Id="rId16" Type="http://schemas.openxmlformats.org/officeDocument/2006/relationships/hyperlink" Target="https://doi.org/10.1509/jmkg.75.4.183" TargetMode="External"/><Relationship Id="rId20" Type="http://schemas.openxmlformats.org/officeDocument/2006/relationships/hyperlink" Target="https://doi.org/10.56781/ijsret.2024.4.1.0022" TargetMode="External"/><Relationship Id="rId29" Type="http://schemas.openxmlformats.org/officeDocument/2006/relationships/hyperlink" Target="https://doi.org/10.1007/s11747-022-00845-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9-8-3693-6274-7.ch007" TargetMode="External"/><Relationship Id="rId24" Type="http://schemas.openxmlformats.org/officeDocument/2006/relationships/hyperlink" Target="https://doi.org/10.1007/s00191-007-0060-x" TargetMode="External"/><Relationship Id="rId32" Type="http://schemas.openxmlformats.org/officeDocument/2006/relationships/hyperlink" Target="https://www.ingentaconnect.com/content/hsp/ama/2024/00000010/00000001/art0000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ribaf.2025.102993" TargetMode="External"/><Relationship Id="rId23" Type="http://schemas.openxmlformats.org/officeDocument/2006/relationships/hyperlink" Target="https://doi.org/10.31674/ijmhs.2023.v07i02.006" TargetMode="External"/><Relationship Id="rId28" Type="http://schemas.openxmlformats.org/officeDocument/2006/relationships/hyperlink" Target="https://www.lse.ac.uk/tii/assets/documents/VOICE-Report.pdf" TargetMode="External"/><Relationship Id="rId36" Type="http://schemas.openxmlformats.org/officeDocument/2006/relationships/fontTable" Target="fontTable.xml"/><Relationship Id="rId10" Type="http://schemas.openxmlformats.org/officeDocument/2006/relationships/hyperlink" Target="https://doi.org/10.30574/ijsra.2024.12.2.1436" TargetMode="External"/><Relationship Id="rId19" Type="http://schemas.openxmlformats.org/officeDocument/2006/relationships/hyperlink" Target="http://hdl.handle.net/123456789/8664" TargetMode="External"/><Relationship Id="rId31" Type="http://schemas.openxmlformats.org/officeDocument/2006/relationships/hyperlink" Target="https://www.businesswire.com/news/home/20250923412587/en/HSBC-Digital-Transformation-Strategy-Analysis-Report-2025-Technology-Focus-and-Initiatives-Investments-Acquisition-Partnerships-Network-Map-ICT-Budget---ResearchAndMarkets.com" TargetMode="External"/><Relationship Id="rId4" Type="http://schemas.openxmlformats.org/officeDocument/2006/relationships/settings" Target="settings.xml"/><Relationship Id="rId9" Type="http://schemas.openxmlformats.org/officeDocument/2006/relationships/hyperlink" Target="https://doi.org/10.62225/2583049x.2025.5.5.4935" TargetMode="External"/><Relationship Id="rId14" Type="http://schemas.openxmlformats.org/officeDocument/2006/relationships/hyperlink" Target="https://doi.org/10.70593/978-93-7185-445-0" TargetMode="External"/><Relationship Id="rId22" Type="http://schemas.openxmlformats.org/officeDocument/2006/relationships/hyperlink" Target="https://arxiv.org/abs/2411.13017" TargetMode="External"/><Relationship Id="rId27" Type="http://schemas.openxmlformats.org/officeDocument/2006/relationships/hyperlink" Target="https://doi.org/10.1007/s13132-021-00759-0" TargetMode="External"/><Relationship Id="rId30" Type="http://schemas.openxmlformats.org/officeDocument/2006/relationships/hyperlink" Target="https://doi.org/10.1007/s40171-025-00452-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D5F78-D7FD-4DF1-AC65-F21AAFCDD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5870</Words>
  <Characters>33462</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2026-01-03T19:41:00Z</dcterms:created>
  <dcterms:modified xsi:type="dcterms:W3CDTF">2026-01-06T17:50:00Z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8a7903ca-5d88-4836-833a-de4734337362</vt:lpwstr>
  </property>
</Properties>
</file>