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D039E4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0B6CD0DB" w14:textId="4EA3B543" w:rsidR="009C337F" w:rsidRDefault="00461440"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Louise Davis</w:t>
            </w:r>
          </w:p>
          <w:p w14:paraId="7E9D44EC" w14:textId="77777777" w:rsidR="00461440" w:rsidRDefault="00461440" w:rsidP="005D3F07">
            <w:pPr>
              <w:overflowPunct/>
              <w:autoSpaceDE/>
              <w:autoSpaceDN/>
              <w:adjustRightInd/>
              <w:ind w:right="-957"/>
              <w:textAlignment w:val="auto"/>
              <w:rPr>
                <w:rFonts w:ascii="Times New Roman" w:hAnsi="Times New Roman" w:cs="Times New Roman"/>
                <w:b/>
                <w:color w:val="auto"/>
                <w:sz w:val="48"/>
              </w:rPr>
            </w:pP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22E38809" w14:textId="32F18660" w:rsidR="00986B43" w:rsidRDefault="00461440" w:rsidP="005D3F07">
            <w:pPr>
              <w:overflowPunct/>
              <w:autoSpaceDE/>
              <w:autoSpaceDN/>
              <w:adjustRightInd/>
              <w:ind w:right="-957"/>
              <w:textAlignment w:val="auto"/>
              <w:rPr>
                <w:rFonts w:ascii="Times New Roman" w:hAnsi="Times New Roman" w:cs="Times New Roman"/>
                <w:b/>
                <w:color w:val="auto"/>
                <w:sz w:val="48"/>
              </w:rPr>
            </w:pPr>
            <w:hyperlink r:id="rId11" w:history="1">
              <w:r w:rsidRPr="006B2F23">
                <w:rPr>
                  <w:rStyle w:val="Hyperlink"/>
                  <w:rFonts w:ascii="Times New Roman" w:hAnsi="Times New Roman" w:cs="Times New Roman"/>
                  <w:b/>
                  <w:sz w:val="48"/>
                </w:rPr>
                <w:t>2433082@student.uwtsd.ac.uk</w:t>
              </w:r>
            </w:hyperlink>
          </w:p>
          <w:p w14:paraId="410C92E1" w14:textId="77777777" w:rsidR="00461440" w:rsidRDefault="00461440"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16AA520C" w:rsidR="0085230E" w:rsidRDefault="00461440"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2433082</w:t>
            </w:r>
          </w:p>
          <w:p w14:paraId="3B3A04CA" w14:textId="77777777" w:rsidR="00461440" w:rsidRPr="005D3F07" w:rsidRDefault="00461440"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2F9C4AF5" w14:textId="77777777" w:rsidR="00461440" w:rsidRDefault="008420E1" w:rsidP="00461440">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5A670606" w14:textId="4EE483AC" w:rsidR="00F546D1" w:rsidRPr="00461440" w:rsidRDefault="007374EF" w:rsidP="00461440">
      <w:pPr>
        <w:overflowPunct/>
        <w:autoSpaceDE/>
        <w:autoSpaceDN/>
        <w:adjustRightInd/>
        <w:ind w:right="-957"/>
        <w:jc w:val="center"/>
        <w:textAlignment w:val="auto"/>
        <w:rPr>
          <w:rFonts w:ascii="Times New Roman" w:hAnsi="Times New Roman" w:cs="Times New Roman"/>
          <w:b/>
          <w:color w:val="auto"/>
          <w:sz w:val="48"/>
        </w:rPr>
      </w:pPr>
      <w:r w:rsidRPr="00EE5BC3">
        <w:rPr>
          <w:b/>
          <w:sz w:val="28"/>
          <w:szCs w:val="28"/>
        </w:rPr>
        <w:lastRenderedPageBreak/>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580C8C60" w14:textId="77777777" w:rsidR="00B156F0" w:rsidRPr="00B156F0" w:rsidRDefault="00B156F0" w:rsidP="00B156F0">
      <w:pPr>
        <w:jc w:val="both"/>
        <w:rPr>
          <w:bCs/>
          <w:sz w:val="24"/>
          <w:szCs w:val="24"/>
        </w:rPr>
      </w:pPr>
      <w:r w:rsidRPr="00B156F0">
        <w:rPr>
          <w:bCs/>
          <w:sz w:val="24"/>
          <w:szCs w:val="24"/>
        </w:rPr>
        <w:t xml:space="preserve">All names have been replaced with pseudonyms and identifying factors anonymised for purposes of confidentiality.  This is in line with the General Data Protection Regulation (GDPR 2018) to safeguard the rights and freedoms of individuals that I have supported in my first year of Social Work practice.  </w:t>
      </w:r>
    </w:p>
    <w:p w14:paraId="0047306F" w14:textId="77777777" w:rsidR="00B156F0" w:rsidRDefault="00B156F0" w:rsidP="00B156F0">
      <w:pPr>
        <w:jc w:val="both"/>
        <w:rPr>
          <w:bCs/>
          <w:sz w:val="24"/>
          <w:szCs w:val="24"/>
        </w:rPr>
      </w:pPr>
    </w:p>
    <w:p w14:paraId="7472200E" w14:textId="613BABDA" w:rsidR="00B156F0" w:rsidRPr="00B156F0" w:rsidRDefault="00B156F0" w:rsidP="00B156F0">
      <w:pPr>
        <w:jc w:val="both"/>
        <w:rPr>
          <w:bCs/>
          <w:sz w:val="24"/>
          <w:szCs w:val="24"/>
        </w:rPr>
      </w:pPr>
      <w:r w:rsidRPr="00B156F0">
        <w:rPr>
          <w:bCs/>
          <w:sz w:val="24"/>
          <w:szCs w:val="24"/>
        </w:rPr>
        <w:t xml:space="preserve">This assignment will examine a pre-birth risk assessment undertaken as part of my role as a newly qualified Social Worker within a North Wales, Local Authority (LA) Children’s Services First Contact department. The assessment involved two parents of White Welsh heritage, living in a small town in North Wales, near the English border. Historically, the town had a strong mining and manufacturing </w:t>
      </w:r>
      <w:r w:rsidR="00E37310">
        <w:rPr>
          <w:bCs/>
          <w:sz w:val="24"/>
          <w:szCs w:val="24"/>
        </w:rPr>
        <w:t>industry,</w:t>
      </w:r>
      <w:r w:rsidRPr="00B156F0">
        <w:rPr>
          <w:bCs/>
          <w:sz w:val="24"/>
          <w:szCs w:val="24"/>
        </w:rPr>
        <w:t xml:space="preserve"> however, </w:t>
      </w:r>
      <w:r w:rsidR="00E37310">
        <w:rPr>
          <w:bCs/>
          <w:sz w:val="24"/>
          <w:szCs w:val="24"/>
        </w:rPr>
        <w:t xml:space="preserve">its industry </w:t>
      </w:r>
      <w:r w:rsidRPr="00B156F0">
        <w:rPr>
          <w:bCs/>
          <w:sz w:val="24"/>
          <w:szCs w:val="24"/>
        </w:rPr>
        <w:t>decline ha</w:t>
      </w:r>
      <w:r w:rsidR="00E37310">
        <w:rPr>
          <w:bCs/>
          <w:sz w:val="24"/>
          <w:szCs w:val="24"/>
        </w:rPr>
        <w:t>s</w:t>
      </w:r>
      <w:r w:rsidRPr="00B156F0">
        <w:rPr>
          <w:bCs/>
          <w:sz w:val="24"/>
          <w:szCs w:val="24"/>
        </w:rPr>
        <w:t xml:space="preserve"> resulted in ongoing social challenges, including high level deprivation, health inequalities, and limited access to some services.   A recent Flintshire wellbeing assessment identified the community in which the parents live amongst the county's most vulnerable localities (Flintshire Public Services Board 2022). This is an important factor to consider when understanding the relationship between deprivation and child protection.  Bywater et al.  (2016) suggest that children living in disadvantaged communities are known to experience higher rates of child protection intervention than those living in more affluent areas (Nuffield Foundation, 2021).  However, an important point to consider is that deprivation itself does not cause abuse or neglect. Rather, deprivation is associated with increased social and economic pressures that can increase risk and bring families into contact with support and safeguarding services (Featherstone et al. 2014). This distinction helps avoid stigmatising disadvantaged communities.</w:t>
      </w:r>
    </w:p>
    <w:p w14:paraId="5944A97A" w14:textId="77777777" w:rsidR="00B156F0" w:rsidRPr="00B156F0" w:rsidRDefault="00B156F0" w:rsidP="00B156F0">
      <w:pPr>
        <w:jc w:val="both"/>
        <w:rPr>
          <w:bCs/>
          <w:sz w:val="24"/>
          <w:szCs w:val="24"/>
        </w:rPr>
      </w:pPr>
      <w:r w:rsidRPr="00B156F0">
        <w:rPr>
          <w:bCs/>
          <w:sz w:val="24"/>
          <w:szCs w:val="24"/>
        </w:rPr>
        <w:lastRenderedPageBreak/>
        <w:t xml:space="preserve">Positively, the town in which the parents live does provide local amenities such as schools, food shops, healthcare services, community centres, and well-connected bus routes, which support residents’ wellbeing. Both parents live together in a privately rented top-floor flat in the town centre. For the purposes of this case study, the mother will be referred to as Parent A and the father as Parent B. They had been in a relationship for approximately twelve months when they conceived their child.  Neither parents drive and extended family members reside approximately ten miles away.  </w:t>
      </w:r>
    </w:p>
    <w:p w14:paraId="67360A97" w14:textId="77777777" w:rsidR="00B156F0" w:rsidRDefault="00B156F0" w:rsidP="00B156F0">
      <w:pPr>
        <w:jc w:val="both"/>
        <w:rPr>
          <w:bCs/>
          <w:sz w:val="24"/>
          <w:szCs w:val="24"/>
        </w:rPr>
      </w:pPr>
    </w:p>
    <w:p w14:paraId="3A2698D8" w14:textId="5F258E36" w:rsidR="00B156F0" w:rsidRPr="00B156F0" w:rsidRDefault="00B156F0" w:rsidP="00B156F0">
      <w:pPr>
        <w:jc w:val="both"/>
        <w:rPr>
          <w:bCs/>
          <w:sz w:val="24"/>
          <w:szCs w:val="24"/>
        </w:rPr>
      </w:pPr>
      <w:r w:rsidRPr="00B156F0">
        <w:rPr>
          <w:bCs/>
          <w:sz w:val="24"/>
          <w:szCs w:val="24"/>
        </w:rPr>
        <w:t>This case study explores a pre-birth risk assessment initiated by a referral completed by Health due to significant historical safeguarding concerns. Parent A has a longstanding history of involvement with children’s services, with her four older children historically removed from her care by a different LA in North Wales and placed outside of her care under placement orders. Historical concerns included domestic abuse, parental mental health difficulties, and neglect.  As a result, current concerns regarding her capacity to provide safe, consistent, and emotionally responsive care. At the time of the assessment, Parent A had supervised contact with her four older children, aged between three and eight years, who had not resided in her care for approximately three years. Previous unsupervised contact was withdrawn by the LA responsible for the older children due to concerns that Parent B, her current partner, was an unassessed risk. Although there have been no reported incidents of domestic abuse within their relationship, Parent B has a biological daughter aged three with whom he has had no contact since she was one year old.  This also raised concerns regarding his parenting and safeguarding responsibilities.</w:t>
      </w:r>
    </w:p>
    <w:p w14:paraId="237D41BB" w14:textId="77777777" w:rsidR="00B156F0" w:rsidRDefault="00B156F0" w:rsidP="00B156F0">
      <w:pPr>
        <w:jc w:val="both"/>
        <w:rPr>
          <w:bCs/>
          <w:sz w:val="24"/>
          <w:szCs w:val="24"/>
        </w:rPr>
      </w:pPr>
    </w:p>
    <w:p w14:paraId="75C2630B" w14:textId="1F413439" w:rsidR="00B156F0" w:rsidRPr="00B156F0" w:rsidRDefault="00B156F0" w:rsidP="00B156F0">
      <w:pPr>
        <w:jc w:val="both"/>
        <w:rPr>
          <w:bCs/>
          <w:sz w:val="24"/>
          <w:szCs w:val="24"/>
        </w:rPr>
      </w:pPr>
      <w:r w:rsidRPr="00B156F0">
        <w:rPr>
          <w:bCs/>
          <w:sz w:val="24"/>
          <w:szCs w:val="24"/>
        </w:rPr>
        <w:t>This assignment aims to explore safeguarding practice within the legislative and policy framework relevant to Wales, with specific reference to the Social Services and Well-being (Wales) Act (2014) (SSW(W)A, 2014) as the primary safeguarding law. It also considers how safeguarding practice in Wales works parallel with legislation and guidance across the wider United Kingdom, including the Children Act (1989) (CA, 1989), as well as relevant European Union and international frameworks, such as the United Nations Convention on the Rights of the Child (1989) (UNCRC, 1989) (Unicef, 2026) and the Human Rights Act (1998) (HRA, 1998).</w:t>
      </w:r>
    </w:p>
    <w:p w14:paraId="5B2E3ABE" w14:textId="77777777" w:rsidR="00B156F0" w:rsidRDefault="00B156F0" w:rsidP="00B156F0">
      <w:pPr>
        <w:jc w:val="both"/>
        <w:rPr>
          <w:bCs/>
          <w:sz w:val="24"/>
          <w:szCs w:val="24"/>
        </w:rPr>
      </w:pPr>
    </w:p>
    <w:p w14:paraId="3D5E8F43" w14:textId="174F604D" w:rsidR="00B156F0" w:rsidRPr="00B156F0" w:rsidRDefault="00B156F0" w:rsidP="00B156F0">
      <w:pPr>
        <w:jc w:val="both"/>
        <w:rPr>
          <w:bCs/>
          <w:sz w:val="24"/>
          <w:szCs w:val="24"/>
        </w:rPr>
      </w:pPr>
      <w:r w:rsidRPr="00B156F0">
        <w:rPr>
          <w:bCs/>
          <w:sz w:val="24"/>
          <w:szCs w:val="24"/>
        </w:rPr>
        <w:t>This assignment will explore the terms risk, significant harm and models of assessment, particularly in relationship to pre-birth risk assessments and risk management processes whilst applying knowledge, theories and methods that have informed my first-year social work practice.  I will critically reflect on my social work skills required to assess risk effectively and discuss balancing the benefits of risk taking with any potential harm.  This assignment aims to demonstrate a clear understanding of safeguarding responsibilities, the benefits of multi-agency partnership working and the complexities of professional judgement.  Reflection is used not only to analyse practice decisions but also to identify how this learning will inform and strengthen my future safeguarding practice.</w:t>
      </w:r>
    </w:p>
    <w:p w14:paraId="1E204E6B" w14:textId="77777777" w:rsidR="00B156F0" w:rsidRDefault="00B156F0" w:rsidP="00B156F0">
      <w:pPr>
        <w:jc w:val="both"/>
        <w:rPr>
          <w:bCs/>
          <w:sz w:val="24"/>
          <w:szCs w:val="24"/>
        </w:rPr>
      </w:pPr>
    </w:p>
    <w:p w14:paraId="6FAAD753" w14:textId="1C07D6E6" w:rsidR="00B156F0" w:rsidRPr="00B156F0" w:rsidRDefault="00B156F0" w:rsidP="00B156F0">
      <w:pPr>
        <w:jc w:val="both"/>
        <w:rPr>
          <w:bCs/>
          <w:sz w:val="24"/>
          <w:szCs w:val="24"/>
        </w:rPr>
      </w:pPr>
      <w:r w:rsidRPr="00B156F0">
        <w:rPr>
          <w:bCs/>
          <w:sz w:val="24"/>
          <w:szCs w:val="24"/>
        </w:rPr>
        <w:t>Maclean and Harrison (2015) suggests that risk in social work has dual definition</w:t>
      </w:r>
      <w:r w:rsidR="00DD7FB9">
        <w:rPr>
          <w:bCs/>
          <w:sz w:val="24"/>
          <w:szCs w:val="24"/>
        </w:rPr>
        <w:t xml:space="preserve">, </w:t>
      </w:r>
      <w:r w:rsidRPr="00B156F0">
        <w:rPr>
          <w:bCs/>
          <w:sz w:val="24"/>
          <w:szCs w:val="24"/>
        </w:rPr>
        <w:t xml:space="preserve">the risk that individuals may pose to others and the risk to which individuals themselves are exposed. This definition highlights the professionals responsibility not only for safeguarding the public but also for protecting vulnerable individuals from harm, abuse and neglect.  Building on this, Seden (2016) argues that social workers respond to risk at both an individual and community level. </w:t>
      </w:r>
      <w:r w:rsidRPr="00B156F0">
        <w:rPr>
          <w:bCs/>
          <w:sz w:val="24"/>
          <w:szCs w:val="24"/>
        </w:rPr>
        <w:lastRenderedPageBreak/>
        <w:t>Rather than focusing solely on crisis intervention, good social work practice involves identifying communities where there are increased concern</w:t>
      </w:r>
      <w:r w:rsidR="00DD7FB9">
        <w:rPr>
          <w:bCs/>
          <w:sz w:val="24"/>
          <w:szCs w:val="24"/>
        </w:rPr>
        <w:t xml:space="preserve">s, </w:t>
      </w:r>
      <w:r w:rsidRPr="00B156F0">
        <w:rPr>
          <w:bCs/>
          <w:sz w:val="24"/>
          <w:szCs w:val="24"/>
        </w:rPr>
        <w:t>such as deprivation, poor housing, limited access to services or social exclusion</w:t>
      </w:r>
      <w:r w:rsidR="00DD7FB9">
        <w:rPr>
          <w:bCs/>
          <w:sz w:val="24"/>
          <w:szCs w:val="24"/>
        </w:rPr>
        <w:t xml:space="preserve">, </w:t>
      </w:r>
      <w:r w:rsidRPr="00B156F0">
        <w:rPr>
          <w:bCs/>
          <w:sz w:val="24"/>
          <w:szCs w:val="24"/>
        </w:rPr>
        <w:t>and implementing preventative and supportive interventions. These may include early help, multi-agency collaboration, advocacy and the provision of resources aimed at reducing vulnerability. Therefore, risk management is closely linked to the promotion of social justice and the reduction of social deprivation (Open University 2016).</w:t>
      </w:r>
    </w:p>
    <w:p w14:paraId="6E5C8FDC" w14:textId="77777777" w:rsidR="00B156F0" w:rsidRDefault="00B156F0" w:rsidP="00B156F0">
      <w:pPr>
        <w:jc w:val="both"/>
        <w:rPr>
          <w:bCs/>
          <w:sz w:val="24"/>
          <w:szCs w:val="24"/>
        </w:rPr>
      </w:pPr>
    </w:p>
    <w:p w14:paraId="08139121" w14:textId="586D2620" w:rsidR="00B156F0" w:rsidRPr="00B156F0" w:rsidRDefault="00B156F0" w:rsidP="00B156F0">
      <w:pPr>
        <w:jc w:val="both"/>
        <w:rPr>
          <w:bCs/>
          <w:sz w:val="24"/>
          <w:szCs w:val="24"/>
        </w:rPr>
      </w:pPr>
      <w:r w:rsidRPr="00B156F0">
        <w:rPr>
          <w:bCs/>
          <w:sz w:val="24"/>
          <w:szCs w:val="24"/>
        </w:rPr>
        <w:t xml:space="preserve">In Wales, risk is defined in S130 of the SSW(W)A(2014) and establishes the safeguarding threshold as a child at risk is one with care and support needs who is experiencing, or is at risk of, abuse, neglect, or other harm. The statutory threshold for intervention, however, remains significant harm under S31 of the CA (1989), defined in S31(9) as ill-treatment or impairment of health or development, including witnessing abuse, and assessed against the expected health and development of a similar child (S31(10)). Both legislations take into account that significant harm may arise from a single incident or several Adverse Childhood Experiences (ACEs), which are linked to long-term adverse health and social outcomes. The significant harm threshold underpins court powers to issue Care or Supervision Orders.  </w:t>
      </w:r>
    </w:p>
    <w:p w14:paraId="78B1D4F1" w14:textId="77777777" w:rsidR="00B156F0" w:rsidRDefault="00B156F0" w:rsidP="00B156F0">
      <w:pPr>
        <w:jc w:val="both"/>
        <w:rPr>
          <w:bCs/>
          <w:sz w:val="24"/>
          <w:szCs w:val="24"/>
        </w:rPr>
      </w:pPr>
    </w:p>
    <w:p w14:paraId="71B349C5" w14:textId="7007DCE3" w:rsidR="00B156F0" w:rsidRPr="00B156F0" w:rsidRDefault="00B156F0" w:rsidP="00B156F0">
      <w:pPr>
        <w:jc w:val="both"/>
        <w:rPr>
          <w:bCs/>
          <w:sz w:val="24"/>
          <w:szCs w:val="24"/>
        </w:rPr>
      </w:pPr>
      <w:r w:rsidRPr="00B156F0">
        <w:rPr>
          <w:bCs/>
          <w:sz w:val="24"/>
          <w:szCs w:val="24"/>
        </w:rPr>
        <w:t>Before the SSW(W)A(2014), children in Wales were primarily protected under the (CA 1989). However, since 2014, structured frameworks supported by the Wales Safeguarding Procedures for Children and Adults (2019) guide practitioners in assessing risk and safeguarding children (Social Care Wales, 2026). These Procedures standardise multi-agency working and reflect statutory duties under the SSW(W)A(2014) and Working Together to Safeguard People guidance (Welsh Government, 2022).  While the SSW(W)A (2014) and associated safeguarding procedures have improved the statutory framework for protecting children in Wales, the IMPACT study highlights that legislative reform alone does not guarantee effective practice. Differences in local implementation and practitioner confidence can often affect the consistency of safeguarding responses, highlighting a continued need for ongoing workforce training and development as well as monitoring measures (Llewellyn, 2021).</w:t>
      </w:r>
    </w:p>
    <w:p w14:paraId="0621FFE8" w14:textId="77777777" w:rsidR="00B156F0" w:rsidRPr="00B156F0" w:rsidRDefault="00B156F0" w:rsidP="00B156F0">
      <w:pPr>
        <w:ind w:firstLine="720"/>
        <w:jc w:val="both"/>
        <w:rPr>
          <w:bCs/>
          <w:sz w:val="24"/>
          <w:szCs w:val="24"/>
        </w:rPr>
      </w:pPr>
      <w:r w:rsidRPr="00B156F0">
        <w:rPr>
          <w:bCs/>
          <w:sz w:val="24"/>
          <w:szCs w:val="24"/>
        </w:rPr>
        <w:t xml:space="preserve"> </w:t>
      </w:r>
    </w:p>
    <w:p w14:paraId="409AE5AE" w14:textId="77777777" w:rsidR="00B156F0" w:rsidRDefault="00B156F0" w:rsidP="00B156F0">
      <w:pPr>
        <w:jc w:val="both"/>
        <w:rPr>
          <w:bCs/>
          <w:sz w:val="24"/>
          <w:szCs w:val="24"/>
        </w:rPr>
      </w:pPr>
      <w:r w:rsidRPr="00B156F0">
        <w:rPr>
          <w:bCs/>
          <w:sz w:val="24"/>
          <w:szCs w:val="24"/>
        </w:rPr>
        <w:t xml:space="preserve">Risk assessments are central to safeguarding practice, enabling practitioners to make evidence-informed judgments about the likelihood and severity of harm, whilst identifying protective factors, and plan proportionate interventions (Munro, 2011). In pre-birth contexts, this process is especially important as it supports proactive intervention to prevent harm before birth while balancing the welfare of the child with parental rights (Ward et. al. 2022). </w:t>
      </w:r>
    </w:p>
    <w:p w14:paraId="2C2FCB81" w14:textId="77777777" w:rsidR="00B156F0" w:rsidRDefault="00B156F0" w:rsidP="00B156F0">
      <w:pPr>
        <w:jc w:val="both"/>
        <w:rPr>
          <w:bCs/>
          <w:sz w:val="24"/>
          <w:szCs w:val="24"/>
        </w:rPr>
      </w:pPr>
    </w:p>
    <w:p w14:paraId="34A13825" w14:textId="116A0ADF" w:rsidR="00B156F0" w:rsidRPr="00B156F0" w:rsidRDefault="00B156F0" w:rsidP="00B156F0">
      <w:pPr>
        <w:jc w:val="both"/>
        <w:rPr>
          <w:bCs/>
          <w:sz w:val="24"/>
          <w:szCs w:val="24"/>
        </w:rPr>
      </w:pPr>
      <w:r w:rsidRPr="00B156F0">
        <w:rPr>
          <w:bCs/>
          <w:sz w:val="24"/>
          <w:szCs w:val="24"/>
        </w:rPr>
        <w:t>Concerns for the unborn child’s welfare were initially raised by Parent A’s midwife when Parent A presented at her local health clinic at 10 weeks pregnant. The North Wales Safeguarding Board (2023) developed the Multi-Agency Practice Guide: Responding to Risk &amp; Need for Unborn Babies including concealed pregnancies, which sets out how partner agencies should exercise safeguarding responsibilities when there are concerns about the risk to, or needs of, an unborn baby. In line with this guidance and S130 of the SSW(W)A (2014), which places a duty on relevant partners to report a child at risk, the midwife completed a Child Protection referral. Consequently, a referral was submitted by health to the LA, and it was agreed that a Pre-Birth Risk Assessment should be undertaken.</w:t>
      </w:r>
    </w:p>
    <w:p w14:paraId="27F3BFD4" w14:textId="77777777" w:rsidR="00B156F0" w:rsidRPr="00B156F0" w:rsidRDefault="00B156F0" w:rsidP="00B156F0">
      <w:pPr>
        <w:jc w:val="both"/>
        <w:rPr>
          <w:bCs/>
          <w:sz w:val="24"/>
          <w:szCs w:val="24"/>
        </w:rPr>
      </w:pPr>
      <w:r w:rsidRPr="00B156F0">
        <w:rPr>
          <w:bCs/>
          <w:sz w:val="24"/>
          <w:szCs w:val="24"/>
        </w:rPr>
        <w:lastRenderedPageBreak/>
        <w:t>The pre-birth assessment was undertaken within a complex legal and ethical context, balancing parental rights with the unborn child’s right to protection. Practice was guided by the Code of Professional Practice for Social Care (COPP, 2017) (Social Care Wales, 2017) which sets out the core standards for ethical and safe care, as well as A8 of the HR (1998). A8 protects the right to respect for private and family life, home and correspondence. In this context, any professional intervention in the parents’ lives engaged their A8 rights, as child protection processes constitute an interference with private and family life. However, A8 is a qualified right, meaning that interference is lawful where it is in accordance with the law, pursues a legitimate aim (such as the protection of health or the rights and freedoms of their unborn child), and is necessary and proportionate. Therefore, the decision to undertake a pre-birth assessment was required to demonstrate that it was legally justified, proportionate to the identified risks, and the least intrusive means of safeguarding their unborn child.</w:t>
      </w:r>
    </w:p>
    <w:p w14:paraId="2920C5F3" w14:textId="77777777" w:rsidR="00B156F0" w:rsidRDefault="00B156F0" w:rsidP="00B156F0">
      <w:pPr>
        <w:jc w:val="both"/>
        <w:rPr>
          <w:bCs/>
          <w:sz w:val="24"/>
          <w:szCs w:val="24"/>
        </w:rPr>
      </w:pPr>
    </w:p>
    <w:p w14:paraId="4D13006E" w14:textId="409EDA12" w:rsidR="00B156F0" w:rsidRPr="00B156F0" w:rsidRDefault="00B156F0" w:rsidP="00B156F0">
      <w:pPr>
        <w:jc w:val="both"/>
        <w:rPr>
          <w:bCs/>
          <w:sz w:val="24"/>
          <w:szCs w:val="24"/>
        </w:rPr>
      </w:pPr>
      <w:r w:rsidRPr="00B156F0">
        <w:rPr>
          <w:bCs/>
          <w:sz w:val="24"/>
          <w:szCs w:val="24"/>
        </w:rPr>
        <w:t>Given the concerns of significant harm outlined above, the assessment was justified under P3 of the SSW(W)A (2014), which places a duty on the LA to make enquiries where there is reasonable cause to suspect a child is at risk. The UNCRC (1989) further underpins this approach. A3 emphasises that the child’s best interests must be a primary consideration, and A19 requires protection from all forms of abuse and neglect. Although an unborn child does not have full legal personhood, Welsh safeguarding practice recognises the necessity of proactive assessment and planning during pregnancy to reduce the likelihood of significant harm at birth. The aim of the pre-birth assessment was therefore to allow sufficient time during pregnancy for parents to demonstrate sustained change, to identify and coordinate multi-agency support, and to ensure timely decision-making to safeguard the baby’s welfare in accordance with the principles and duties of the SSW(W)A (2014).  This practice also reflected the core principles of the COPP (2017) S3 and 4, promoting well-being, voice, and control of individuals while supporting them to stay safe, and respect their rights while ensuring that their behaviour does not harm themselves or others.</w:t>
      </w:r>
    </w:p>
    <w:p w14:paraId="3E3E6AFE" w14:textId="77777777" w:rsidR="00B156F0" w:rsidRDefault="00B156F0" w:rsidP="00B156F0">
      <w:pPr>
        <w:jc w:val="both"/>
        <w:rPr>
          <w:bCs/>
          <w:sz w:val="24"/>
          <w:szCs w:val="24"/>
        </w:rPr>
      </w:pPr>
    </w:p>
    <w:p w14:paraId="6D0462AF" w14:textId="6956B3D9" w:rsidR="00B156F0" w:rsidRPr="00B156F0" w:rsidRDefault="00B156F0" w:rsidP="00B156F0">
      <w:pPr>
        <w:jc w:val="both"/>
        <w:rPr>
          <w:bCs/>
          <w:sz w:val="24"/>
          <w:szCs w:val="24"/>
        </w:rPr>
      </w:pPr>
      <w:r w:rsidRPr="00B156F0">
        <w:rPr>
          <w:bCs/>
          <w:sz w:val="24"/>
          <w:szCs w:val="24"/>
        </w:rPr>
        <w:t>Upon initial contact telephone with both parents, I provided the Active Offer offering the service in the Welsh language. Both parents first language is English, haven both been brought up close to the English boarder and as such they chose to complete communicate in English. The principle of the Active Offer is embedded within More Than Just Words (2022), the Welsh Government’s strategic framework to strengthen Welsh language provision in health and social care. This framework identifies that it is  professionals responsibility to offer a service in Welsh, rather than an individual requesting this service. Its implementation is a legal requirement under the Welsh Language (Wales) Measure (2011), and it reflects the core values of the SSW(W)A (2014) emphasis of putting individuals at the centre of their support.</w:t>
      </w:r>
    </w:p>
    <w:p w14:paraId="12BDBB29" w14:textId="77777777" w:rsidR="00B156F0" w:rsidRDefault="00B156F0" w:rsidP="00B156F0">
      <w:pPr>
        <w:jc w:val="both"/>
        <w:rPr>
          <w:bCs/>
          <w:sz w:val="24"/>
          <w:szCs w:val="24"/>
        </w:rPr>
      </w:pPr>
    </w:p>
    <w:p w14:paraId="5C4AD4E6" w14:textId="7B9B5FF9" w:rsidR="00B156F0" w:rsidRPr="00B156F0" w:rsidRDefault="00B156F0" w:rsidP="00B156F0">
      <w:pPr>
        <w:jc w:val="both"/>
        <w:rPr>
          <w:bCs/>
          <w:sz w:val="24"/>
          <w:szCs w:val="24"/>
        </w:rPr>
      </w:pPr>
      <w:r w:rsidRPr="00B156F0">
        <w:rPr>
          <w:bCs/>
          <w:sz w:val="24"/>
          <w:szCs w:val="24"/>
        </w:rPr>
        <w:t>Providing services in a manner that respects language preference also upholds professional standards outlined in S1 of the COPP (2017), which requires social care practitioners to work with individuals that respect dignity, privacy, preferences, culture, language, and rights. Ensuring that both parents were offered services bilingually demonstrated adherence to both legal and professional standards, reinforcing a person-centred approach to practice.  Following the initial contact, a home visit was arranged in order to start the assessment process</w:t>
      </w:r>
    </w:p>
    <w:p w14:paraId="0E493F52" w14:textId="77777777" w:rsidR="00B156F0" w:rsidRDefault="00B156F0" w:rsidP="00B156F0">
      <w:pPr>
        <w:jc w:val="both"/>
        <w:rPr>
          <w:bCs/>
          <w:sz w:val="24"/>
          <w:szCs w:val="24"/>
        </w:rPr>
      </w:pPr>
    </w:p>
    <w:p w14:paraId="3DD6692D" w14:textId="39EB55A5" w:rsidR="00B156F0" w:rsidRPr="00B156F0" w:rsidRDefault="00B156F0" w:rsidP="00B156F0">
      <w:pPr>
        <w:jc w:val="both"/>
        <w:rPr>
          <w:bCs/>
          <w:sz w:val="24"/>
          <w:szCs w:val="24"/>
        </w:rPr>
      </w:pPr>
      <w:r w:rsidRPr="00B156F0">
        <w:rPr>
          <w:bCs/>
          <w:sz w:val="24"/>
          <w:szCs w:val="24"/>
        </w:rPr>
        <w:lastRenderedPageBreak/>
        <w:t xml:space="preserve">Before undertaking the home visit, I met with my Team Manager to consider the most appropriate way to move forward  with the assessment. We agreed that applying the Signs of Safety (Turnell and Edwards, 1990s) approach would provide a clear, balanced and strengths-based framework. This approach is widely used in child protection practice to support meaningful engagement with families by exploring not only risks and </w:t>
      </w:r>
      <w:r w:rsidR="00DD7FB9">
        <w:rPr>
          <w:bCs/>
          <w:sz w:val="24"/>
          <w:szCs w:val="24"/>
        </w:rPr>
        <w:t>concerns</w:t>
      </w:r>
      <w:r w:rsidRPr="00B156F0">
        <w:rPr>
          <w:bCs/>
          <w:sz w:val="24"/>
          <w:szCs w:val="24"/>
        </w:rPr>
        <w:t xml:space="preserve">, but </w:t>
      </w:r>
      <w:r w:rsidR="00DD7FB9">
        <w:rPr>
          <w:bCs/>
          <w:sz w:val="24"/>
          <w:szCs w:val="24"/>
        </w:rPr>
        <w:t>also identifying</w:t>
      </w:r>
      <w:r w:rsidRPr="00B156F0">
        <w:rPr>
          <w:bCs/>
          <w:sz w:val="24"/>
          <w:szCs w:val="24"/>
        </w:rPr>
        <w:t xml:space="preserve"> strengths, protective factors and the practical steps required to ensure children’s safety and wellbeing.  </w:t>
      </w:r>
    </w:p>
    <w:p w14:paraId="77A40101" w14:textId="77777777" w:rsidR="00B156F0" w:rsidRDefault="00B156F0" w:rsidP="00B156F0">
      <w:pPr>
        <w:jc w:val="both"/>
        <w:rPr>
          <w:bCs/>
          <w:sz w:val="24"/>
          <w:szCs w:val="24"/>
        </w:rPr>
      </w:pPr>
    </w:p>
    <w:p w14:paraId="658DB338" w14:textId="74B5BA72" w:rsidR="00B156F0" w:rsidRPr="00B156F0" w:rsidRDefault="00B156F0" w:rsidP="00B156F0">
      <w:pPr>
        <w:jc w:val="both"/>
        <w:rPr>
          <w:bCs/>
          <w:sz w:val="24"/>
          <w:szCs w:val="24"/>
        </w:rPr>
      </w:pPr>
      <w:r w:rsidRPr="00B156F0">
        <w:rPr>
          <w:bCs/>
          <w:sz w:val="24"/>
          <w:szCs w:val="24"/>
        </w:rPr>
        <w:t>Within this discussion, whilst I acknowledged the significant concerns relating to Parent A’s history, as well as Parent B’s no contact with his biological child</w:t>
      </w:r>
      <w:r w:rsidR="00DD7FB9">
        <w:rPr>
          <w:bCs/>
          <w:sz w:val="24"/>
          <w:szCs w:val="24"/>
        </w:rPr>
        <w:t xml:space="preserve">.  I </w:t>
      </w:r>
      <w:r w:rsidRPr="00B156F0">
        <w:rPr>
          <w:bCs/>
          <w:sz w:val="24"/>
          <w:szCs w:val="24"/>
        </w:rPr>
        <w:t>believed that further exploration of the parents’ childhoods, their relationship with one another, and their wider family support networks was necessary before determining whether the LA’s threshold for initiating court proceedings had been met.  In line with the Signs of Safety framework, I felt this would ensure that potential protective factors were considered alongside identified risks. Therefore, I recommended initiating a more detailed assessment, including the use of genogram and mapping, alongside consideration of a Family Group meeting to explore potential support within the wider family network at an early stage. I believed that this would support a more holistic understanding of family dynamics and inform proportionate, evidence-based decision-making prior to any escalation of statutory intervention.</w:t>
      </w:r>
    </w:p>
    <w:p w14:paraId="27A19152" w14:textId="77777777" w:rsidR="00B156F0" w:rsidRDefault="00B156F0" w:rsidP="00B156F0">
      <w:pPr>
        <w:jc w:val="both"/>
        <w:rPr>
          <w:bCs/>
          <w:sz w:val="24"/>
          <w:szCs w:val="24"/>
        </w:rPr>
      </w:pPr>
    </w:p>
    <w:p w14:paraId="08215D50" w14:textId="69C78E0E" w:rsidR="00B156F0" w:rsidRPr="00B156F0" w:rsidRDefault="00B156F0" w:rsidP="00B156F0">
      <w:pPr>
        <w:jc w:val="both"/>
        <w:rPr>
          <w:bCs/>
          <w:sz w:val="24"/>
          <w:szCs w:val="24"/>
        </w:rPr>
      </w:pPr>
      <w:r w:rsidRPr="00B156F0">
        <w:rPr>
          <w:bCs/>
          <w:sz w:val="24"/>
          <w:szCs w:val="24"/>
        </w:rPr>
        <w:t>I considered this approach important because I felt it promoted a balanced and holistic assessment, preventing an over-reliance on historical risk factors, thus supporting proportionate decision-making. By identifying strengths and available support within the family network, I believed this would enable the development of a trusting professional relationship with the parents.  Kemshall (2002) suggests that a holistic approach to risk assessment is essential in casework, as it highlights areas for significant intervention and change within a care management process (Maclean and Harrison 2013).</w:t>
      </w:r>
    </w:p>
    <w:p w14:paraId="3E615BB6" w14:textId="77777777" w:rsidR="00B156F0" w:rsidRDefault="00B156F0" w:rsidP="00B156F0">
      <w:pPr>
        <w:jc w:val="both"/>
        <w:rPr>
          <w:bCs/>
          <w:sz w:val="24"/>
          <w:szCs w:val="24"/>
        </w:rPr>
      </w:pPr>
    </w:p>
    <w:p w14:paraId="0305841B" w14:textId="7C50AF48" w:rsidR="00B156F0" w:rsidRPr="00B156F0" w:rsidRDefault="00B156F0" w:rsidP="00B156F0">
      <w:pPr>
        <w:jc w:val="both"/>
        <w:rPr>
          <w:bCs/>
          <w:sz w:val="24"/>
          <w:szCs w:val="24"/>
        </w:rPr>
      </w:pPr>
      <w:r w:rsidRPr="00B156F0">
        <w:rPr>
          <w:bCs/>
          <w:sz w:val="24"/>
          <w:szCs w:val="24"/>
        </w:rPr>
        <w:t xml:space="preserve">Given the complexity of the case and the number of overlapping risk factors, I believed that in order to engage with informed decision-making this would require the expertise of multiple professionals. It was therefore agreed that I would contact the LA responsible for Parent A’s four older children to clarify the safeguarding history and current risks that they may have already assessed.  It was also decided that I contact Health in order to identify support and interventions that they were able to provide. This practice also reflects the expectations set out in S6 of the COPP (2017), emphasising the importance of recognising the roles of other professionals and working collaboratively.  Consequently, my professional judgement was that a coordinated multi-agency approach was required. This would enable comprehensive information-sharing, support defensible decision-making, and ensure that any recommendation regarding statutory intervention was proportionate, evidence-based and centred on the unborn child’s welfare.  This position is consistent with the SSW(WA) (2014), which places a duty on agencies to work collaboratively to safeguard and promote the wellbeing of children, and with statutory safeguarding guidance that emphasises shared responsibility and integrated assessment in situations of complex risk. </w:t>
      </w:r>
    </w:p>
    <w:p w14:paraId="2BCD8C63" w14:textId="77777777" w:rsidR="00B156F0" w:rsidRDefault="00B156F0" w:rsidP="00B156F0">
      <w:pPr>
        <w:jc w:val="both"/>
        <w:rPr>
          <w:bCs/>
          <w:sz w:val="24"/>
          <w:szCs w:val="24"/>
        </w:rPr>
      </w:pPr>
    </w:p>
    <w:p w14:paraId="255B58E5" w14:textId="77777777" w:rsidR="00B156F0" w:rsidRDefault="00B156F0" w:rsidP="00B156F0">
      <w:pPr>
        <w:jc w:val="both"/>
        <w:rPr>
          <w:bCs/>
          <w:sz w:val="24"/>
          <w:szCs w:val="24"/>
        </w:rPr>
      </w:pPr>
    </w:p>
    <w:p w14:paraId="05A9C293" w14:textId="23C4CF86" w:rsidR="00B156F0" w:rsidRPr="00B156F0" w:rsidRDefault="00B156F0" w:rsidP="00B156F0">
      <w:pPr>
        <w:jc w:val="both"/>
        <w:rPr>
          <w:bCs/>
          <w:sz w:val="24"/>
          <w:szCs w:val="24"/>
        </w:rPr>
      </w:pPr>
      <w:r w:rsidRPr="00B156F0">
        <w:rPr>
          <w:bCs/>
          <w:sz w:val="24"/>
          <w:szCs w:val="24"/>
        </w:rPr>
        <w:t xml:space="preserve">During my initial home visit, I implemented a biographical approach to enable parents to reflect on their life experiences and how these shaped current parenting capacity. This approach </w:t>
      </w:r>
      <w:r w:rsidRPr="00B156F0">
        <w:rPr>
          <w:bCs/>
          <w:sz w:val="24"/>
          <w:szCs w:val="24"/>
        </w:rPr>
        <w:lastRenderedPageBreak/>
        <w:t xml:space="preserve">supports individuals to articulate their </w:t>
      </w:r>
      <w:r w:rsidR="00DD7FB9">
        <w:rPr>
          <w:bCs/>
          <w:sz w:val="24"/>
          <w:szCs w:val="24"/>
        </w:rPr>
        <w:t>life story</w:t>
      </w:r>
      <w:r w:rsidRPr="00B156F0">
        <w:rPr>
          <w:bCs/>
          <w:sz w:val="24"/>
          <w:szCs w:val="24"/>
        </w:rPr>
        <w:t xml:space="preserve">, gaining meaning from their life experiences (Maclean and Harrison, 2015) and thus facilitating a deeper understanding of their needs. I felt that this approach would create a safe space for parents to explore their childhood, including Parent A’s experiences as a Looked After Child and exposure to domestic abuse, and how these ACEs had influenced her parenting. Maclean and Harrison (2015) also note that individuals with long-term involvement in health and social care may internalise deficit-based identities. Parent A described previous negative experiences with Children’s Services, including her own childhood involvement with the LA, which she felt had influenced her mistrust and reluctance to seek early support that had ultimately contributed to the removal of her four older children. </w:t>
      </w:r>
    </w:p>
    <w:p w14:paraId="6499A5BD" w14:textId="77777777" w:rsidR="00B156F0" w:rsidRDefault="00B156F0" w:rsidP="00B156F0">
      <w:pPr>
        <w:jc w:val="both"/>
        <w:rPr>
          <w:bCs/>
          <w:sz w:val="24"/>
          <w:szCs w:val="24"/>
        </w:rPr>
      </w:pPr>
    </w:p>
    <w:p w14:paraId="5C9A2ECF" w14:textId="3C6E0A9B" w:rsidR="00B156F0" w:rsidRPr="00B156F0" w:rsidRDefault="00B156F0" w:rsidP="00B156F0">
      <w:pPr>
        <w:jc w:val="both"/>
        <w:rPr>
          <w:bCs/>
          <w:sz w:val="24"/>
          <w:szCs w:val="24"/>
        </w:rPr>
      </w:pPr>
      <w:r w:rsidRPr="00B156F0">
        <w:rPr>
          <w:bCs/>
          <w:sz w:val="24"/>
          <w:szCs w:val="24"/>
        </w:rPr>
        <w:t>Whilst the biographical approach supported the development of a trusting relationship, enabling discussion of historical concerns and facilitating insight into previous parenting patterns and decision-making, this approach itself does not mitigate risk.  Therefore, ongoing critical evaluation in relation to safeguarding thresholds were required.  Parent A’s ACEs were considered relevant within the assessment, as literature suggests that unresolved parental trauma and distress may be associated with increased vulnerability to neglectful parenting practices (Rodriguez &amp; Green, 1997). When considered alongside a history of previous child removals, these factors indicated a potential pattern of intergenerational risk. However, this was balanced against emerging protective factors, including Parent A’s engagement with services and expressed motivation to change. This required careful professional judgement to avoid over-optimism, particularly given evidence that relationship-based practice and parental engagement can inadvertently shift focus away from the child if not critically balanced (Ruch, 2018). This is also reflected in Working Together to Safeguard Children (HM Government, 2023), which emphasises that the child’s welfare must remain paramount within a collaborative, family-focused approach.</w:t>
      </w:r>
    </w:p>
    <w:p w14:paraId="1C1C08A8" w14:textId="77777777" w:rsidR="00B156F0" w:rsidRDefault="00B156F0" w:rsidP="00B156F0">
      <w:pPr>
        <w:jc w:val="both"/>
        <w:rPr>
          <w:bCs/>
          <w:sz w:val="24"/>
          <w:szCs w:val="24"/>
        </w:rPr>
      </w:pPr>
    </w:p>
    <w:p w14:paraId="2202AEE2" w14:textId="75781DCC" w:rsidR="00B156F0" w:rsidRPr="00B156F0" w:rsidRDefault="00B156F0" w:rsidP="00B156F0">
      <w:pPr>
        <w:jc w:val="both"/>
        <w:rPr>
          <w:bCs/>
          <w:sz w:val="24"/>
          <w:szCs w:val="24"/>
        </w:rPr>
      </w:pPr>
      <w:r w:rsidRPr="00B156F0">
        <w:rPr>
          <w:bCs/>
          <w:sz w:val="24"/>
          <w:szCs w:val="24"/>
        </w:rPr>
        <w:t>As the assessment progressed, both parents disclosed significant stress factors, including the demands of supervised contact, housing instability, and emotional strain linked to family separation. Relationship-based practice, as described by Munro (2011), supported this openness and enabled more collaborative planning. In addition, trauma-informed perspectives highlight how adverse experiences can affect emotional regulation, engagement with services, and perceptions of support, reinforcing the importance of safety, choice, and empowerment (SAMHSA 2024). However, while these frameworks support a more empathetic and anti-oppressive approach (S1 COPP, 2017), I remained aware of the need to ensure that increased parental engagement did not inadvertently reduce risk. This was particularly important in maintaining a clear focus on the unborn child throughout the assessment.</w:t>
      </w:r>
    </w:p>
    <w:p w14:paraId="5648CFA7" w14:textId="77777777" w:rsidR="00B156F0" w:rsidRDefault="00B156F0" w:rsidP="00B156F0">
      <w:pPr>
        <w:jc w:val="both"/>
        <w:rPr>
          <w:bCs/>
          <w:sz w:val="24"/>
          <w:szCs w:val="24"/>
        </w:rPr>
      </w:pPr>
    </w:p>
    <w:p w14:paraId="5BFBC9AD" w14:textId="7A84DE15" w:rsidR="00B156F0" w:rsidRPr="00B156F0" w:rsidRDefault="00B156F0" w:rsidP="00B156F0">
      <w:pPr>
        <w:jc w:val="both"/>
        <w:rPr>
          <w:bCs/>
          <w:sz w:val="24"/>
          <w:szCs w:val="24"/>
        </w:rPr>
      </w:pPr>
      <w:r w:rsidRPr="00B156F0">
        <w:rPr>
          <w:bCs/>
          <w:sz w:val="24"/>
          <w:szCs w:val="24"/>
        </w:rPr>
        <w:t>Favourably, protective factors became increasingly evident, including Parent A’s engagement with perinatal mental health services and Parent B’s decision to reduce employment to provide full-time support. A referral to the Citizens Advice Bureau was completed to address financial concerns, alongside support to strengthen income stability. A Family Group meeting identified a safe extended family network, which was verified through appropriate checks, and a structured family support plan was agreed.  Further safeguarding measures were implemented through police checks and the Clare’s Law process, evidencing both parents actively participating in safety planning. Parent B also consented to information sharing regarding previous relationship breakdown concerns, which were verified and did not identify additional safeguarding concerns.</w:t>
      </w:r>
    </w:p>
    <w:p w14:paraId="6574C6D0" w14:textId="726DC970" w:rsidR="00B156F0" w:rsidRPr="00B156F0" w:rsidRDefault="00B156F0" w:rsidP="00B156F0">
      <w:pPr>
        <w:jc w:val="both"/>
        <w:rPr>
          <w:bCs/>
          <w:sz w:val="24"/>
          <w:szCs w:val="24"/>
        </w:rPr>
      </w:pPr>
      <w:r w:rsidRPr="00B156F0">
        <w:rPr>
          <w:bCs/>
          <w:sz w:val="24"/>
          <w:szCs w:val="24"/>
        </w:rPr>
        <w:lastRenderedPageBreak/>
        <w:t>A multi-agency meeting was held to ensure a coordinated response, involving health services, housing, and the local authority responsible for Parent A’s older children. Information sharing enabled a balanced assessment of risk and protective factors. While historical safeguarding concerns were noted, professionals agreed that current presentation highlighted different support needs, with a plan for gradual reintroduction of unsupervised community contact for the older children</w:t>
      </w:r>
      <w:r w:rsidR="00DD687C">
        <w:rPr>
          <w:bCs/>
          <w:sz w:val="24"/>
          <w:szCs w:val="24"/>
        </w:rPr>
        <w:t xml:space="preserve"> as it had now been identified that Parent B did not pose a risk</w:t>
      </w:r>
      <w:r w:rsidRPr="00B156F0">
        <w:rPr>
          <w:bCs/>
          <w:sz w:val="24"/>
          <w:szCs w:val="24"/>
        </w:rPr>
        <w:t>. Housing instability and environmental concerns, including damp within the property, were also addressed through referral to environmental health services. Overall, the multi-agency response supported a preventative, child-centred approach consistent with the Well-being of Future Generations (Wales) Act 2015, while maintaining focus on safeguarding the unborn child.</w:t>
      </w:r>
    </w:p>
    <w:p w14:paraId="0870B048" w14:textId="77777777" w:rsidR="00B156F0" w:rsidRDefault="00B156F0" w:rsidP="00B156F0">
      <w:pPr>
        <w:jc w:val="both"/>
        <w:rPr>
          <w:bCs/>
          <w:sz w:val="24"/>
          <w:szCs w:val="24"/>
        </w:rPr>
      </w:pPr>
    </w:p>
    <w:p w14:paraId="4BFC1904" w14:textId="4253159B" w:rsidR="00B156F0" w:rsidRPr="00B156F0" w:rsidRDefault="00B156F0" w:rsidP="00B156F0">
      <w:pPr>
        <w:jc w:val="both"/>
        <w:rPr>
          <w:bCs/>
          <w:sz w:val="24"/>
          <w:szCs w:val="24"/>
        </w:rPr>
      </w:pPr>
      <w:r w:rsidRPr="00B156F0">
        <w:rPr>
          <w:bCs/>
          <w:sz w:val="24"/>
          <w:szCs w:val="24"/>
        </w:rPr>
        <w:t xml:space="preserve">Through this collaborative discussion, each agency contributed their expertise to inform a proposed Child Protection Plan, which would be taken forward to an Initial Child Protection Case Conference (ICPC) in line with Welsh safeguarding procedures to formally place the unborn child on the LA Child Protection Register. This process is supported by the SSW(W)A (2014) and statutory guidance in Working Together to Safeguard Children in Wales, which emphasise multi-agency collaboration, coordinated action, and ensuring the child’s welfare remains central. Both parents were supportive of this approach and agreed to the plan, demonstrating engagement and a willingness to work with professionals. Opting for the longer process through the ICPC and resulting Child Protection plan, rather than immediately initiating the Public Law Outline (PLO), allowed for a more measured and supportive approach to safeguarding. Unlike PLO, which is time-limited and primarily focused on legal proceedings, it was agreed by parents and agencies to work collaboratively over a longer period to build trust with the family, fully assess risk and protective factors, and provide tailored support.  </w:t>
      </w:r>
    </w:p>
    <w:p w14:paraId="1188F2D2" w14:textId="77777777" w:rsidR="00B156F0" w:rsidRDefault="00B156F0" w:rsidP="00B156F0">
      <w:pPr>
        <w:jc w:val="both"/>
        <w:rPr>
          <w:bCs/>
          <w:sz w:val="24"/>
          <w:szCs w:val="24"/>
        </w:rPr>
      </w:pPr>
    </w:p>
    <w:p w14:paraId="2158872C" w14:textId="0B76A9B1" w:rsidR="00B156F0" w:rsidRPr="00B156F0" w:rsidRDefault="00B156F0" w:rsidP="00B156F0">
      <w:pPr>
        <w:jc w:val="both"/>
        <w:rPr>
          <w:bCs/>
          <w:sz w:val="24"/>
          <w:szCs w:val="24"/>
        </w:rPr>
      </w:pPr>
      <w:r w:rsidRPr="00B156F0">
        <w:rPr>
          <w:bCs/>
          <w:sz w:val="24"/>
          <w:szCs w:val="24"/>
        </w:rPr>
        <w:t>Reflecting on this, I believe that the honest conversations that were had with parents, encouraged meaningful engage with services, develop</w:t>
      </w:r>
      <w:r w:rsidR="00DD687C">
        <w:rPr>
          <w:bCs/>
          <w:sz w:val="24"/>
          <w:szCs w:val="24"/>
        </w:rPr>
        <w:t>ed</w:t>
      </w:r>
      <w:r w:rsidRPr="00B156F0">
        <w:rPr>
          <w:bCs/>
          <w:sz w:val="24"/>
          <w:szCs w:val="24"/>
        </w:rPr>
        <w:t xml:space="preserve"> coping strategies, and </w:t>
      </w:r>
      <w:r w:rsidR="00DD687C">
        <w:rPr>
          <w:bCs/>
          <w:sz w:val="24"/>
          <w:szCs w:val="24"/>
        </w:rPr>
        <w:t xml:space="preserve">allow </w:t>
      </w:r>
      <w:r w:rsidRPr="00B156F0">
        <w:rPr>
          <w:bCs/>
          <w:sz w:val="24"/>
          <w:szCs w:val="24"/>
        </w:rPr>
        <w:t>gradual</w:t>
      </w:r>
      <w:r w:rsidR="00DD687C">
        <w:rPr>
          <w:bCs/>
          <w:sz w:val="24"/>
          <w:szCs w:val="24"/>
        </w:rPr>
        <w:t xml:space="preserve"> and safe </w:t>
      </w:r>
      <w:r w:rsidRPr="00B156F0">
        <w:rPr>
          <w:bCs/>
          <w:sz w:val="24"/>
          <w:szCs w:val="24"/>
        </w:rPr>
        <w:t>changes</w:t>
      </w:r>
      <w:r w:rsidR="00DD687C">
        <w:rPr>
          <w:bCs/>
          <w:sz w:val="24"/>
          <w:szCs w:val="24"/>
        </w:rPr>
        <w:t xml:space="preserve"> for </w:t>
      </w:r>
      <w:r w:rsidRPr="00B156F0">
        <w:rPr>
          <w:bCs/>
          <w:sz w:val="24"/>
          <w:szCs w:val="24"/>
        </w:rPr>
        <w:t xml:space="preserve">housing relocation and supervised contact arrangements. It also provided professionals with the opportunity to monitor progress, address emerging concerns promptly, and ensure that any decisions made regarding the Child Protection plan were informed, proportionate, and focused on the </w:t>
      </w:r>
      <w:r w:rsidR="00DD687C">
        <w:rPr>
          <w:bCs/>
          <w:sz w:val="24"/>
          <w:szCs w:val="24"/>
        </w:rPr>
        <w:t xml:space="preserve">unborn </w:t>
      </w:r>
      <w:r w:rsidRPr="00B156F0">
        <w:rPr>
          <w:bCs/>
          <w:sz w:val="24"/>
          <w:szCs w:val="24"/>
        </w:rPr>
        <w:t>child’s long-term welfare. Overall, I feel that this process supported a strengths-based, trauma-informed approach, reducing the risk of re-traumatisation and promoting sustainable protective outcomes for the unborn child.</w:t>
      </w:r>
    </w:p>
    <w:p w14:paraId="7623CDBC" w14:textId="77777777" w:rsidR="00B156F0" w:rsidRDefault="00B156F0" w:rsidP="00B156F0">
      <w:pPr>
        <w:jc w:val="both"/>
        <w:rPr>
          <w:bCs/>
          <w:sz w:val="24"/>
          <w:szCs w:val="24"/>
        </w:rPr>
      </w:pPr>
    </w:p>
    <w:p w14:paraId="5C4658DB" w14:textId="62589868" w:rsidR="00B156F0" w:rsidRPr="00B156F0" w:rsidRDefault="00B156F0" w:rsidP="00B156F0">
      <w:pPr>
        <w:jc w:val="both"/>
        <w:rPr>
          <w:bCs/>
          <w:sz w:val="24"/>
          <w:szCs w:val="24"/>
        </w:rPr>
      </w:pPr>
      <w:r w:rsidRPr="00B156F0">
        <w:rPr>
          <w:bCs/>
          <w:sz w:val="24"/>
          <w:szCs w:val="24"/>
        </w:rPr>
        <w:t>This practice is underpinned by the core principles of the SSW(W)A(2014), particularly those relating to safeguarding under Part 7. Two central values within safeguarding practice are that safeguarding is everyone’s responsibility and that interventions should adopt a person-centred approach. Person-centred practice requires individuals to be placed at the heart of assessment, planning, and decision-making, recognising them as experts in their own lives (Social Care Wales, 2026). These principles align with the COPP</w:t>
      </w:r>
      <w:r w:rsidR="00DD687C">
        <w:rPr>
          <w:bCs/>
          <w:sz w:val="24"/>
          <w:szCs w:val="24"/>
        </w:rPr>
        <w:t xml:space="preserve"> </w:t>
      </w:r>
      <w:r w:rsidRPr="00B156F0">
        <w:rPr>
          <w:bCs/>
          <w:sz w:val="24"/>
          <w:szCs w:val="24"/>
        </w:rPr>
        <w:t xml:space="preserve">(2017), which emphasises working in partnership and promoting voice, choice, and control.  In practice, being open and honest with both parents about the possibility of a PLO being initiated at any time was intended to promote transparency and reduce uncertainty. Developing a shared understanding of the concerns with parents I feel enabled me to offer appropriate support and facilitated their meaningful participation in decisions. </w:t>
      </w:r>
    </w:p>
    <w:p w14:paraId="11CBBA67" w14:textId="77777777" w:rsidR="00B156F0" w:rsidRPr="00B156F0" w:rsidRDefault="00B156F0" w:rsidP="00B156F0">
      <w:pPr>
        <w:jc w:val="both"/>
        <w:rPr>
          <w:bCs/>
          <w:sz w:val="24"/>
          <w:szCs w:val="24"/>
        </w:rPr>
      </w:pPr>
      <w:r w:rsidRPr="00B156F0">
        <w:rPr>
          <w:bCs/>
          <w:sz w:val="24"/>
          <w:szCs w:val="24"/>
        </w:rPr>
        <w:lastRenderedPageBreak/>
        <w:t>Critically reflecting on this experience, I recognise that while transparency supported the development of trust, it also presented risks, including heightened parental anxiety and the possibility of defensive responses. This highlights the ongoing tension between empowerment and protection that characterises safeguarding practice (Parton, 2010). Reflecting on this experience has reinforced that effective safeguarding requires ongoing critical evaluation of both process and impact. Practitioners must not only follow legislative and ethical frameworks but also consider the emotional, cultural, and relational dynamics of the families they work with.  Moving forward, I recognise supervision as a powerful and essential tool for reflective practice, enabling practitioners to critically analyse decision-making, manage emotional impact, and improve professional judgement in complex safeguarding situations. I also intend to complete further training in effective communication to develop a style that is both honest and compassionate, ensuring that information is conveyed appropriately in safeguarding contexts.</w:t>
      </w:r>
    </w:p>
    <w:p w14:paraId="367CCEFE" w14:textId="77777777" w:rsidR="00B156F0" w:rsidRDefault="00B156F0" w:rsidP="00B156F0">
      <w:pPr>
        <w:jc w:val="both"/>
        <w:rPr>
          <w:bCs/>
          <w:sz w:val="24"/>
          <w:szCs w:val="24"/>
        </w:rPr>
      </w:pPr>
    </w:p>
    <w:p w14:paraId="2892641D" w14:textId="4A3592A0" w:rsidR="00276B1A" w:rsidRPr="00276B1A" w:rsidRDefault="00276B1A" w:rsidP="00276B1A">
      <w:pPr>
        <w:jc w:val="both"/>
        <w:rPr>
          <w:bCs/>
          <w:sz w:val="24"/>
          <w:szCs w:val="24"/>
        </w:rPr>
      </w:pPr>
      <w:r>
        <w:rPr>
          <w:bCs/>
          <w:sz w:val="24"/>
          <w:szCs w:val="24"/>
        </w:rPr>
        <w:t>T</w:t>
      </w:r>
      <w:r w:rsidRPr="00276B1A">
        <w:rPr>
          <w:bCs/>
          <w:sz w:val="24"/>
          <w:szCs w:val="24"/>
        </w:rPr>
        <w:t>his collaborative, strengths-based approach, informed by the Signs of Safety framework, enabled both parents to engage positively with the support offered throughout the intervention. By identifying existing strengths alongside areas of risk and working in partnership with the family to develop achievable safety goals, the intervention promoted trust, transparency, and shared responsibility for safeguarding. This approach encouraged the parents to actively participate in decision-making and maintain meaningful engagement with professionals.</w:t>
      </w:r>
    </w:p>
    <w:p w14:paraId="131762C9" w14:textId="77777777" w:rsidR="00276B1A" w:rsidRPr="00276B1A" w:rsidRDefault="00276B1A" w:rsidP="00276B1A">
      <w:pPr>
        <w:jc w:val="both"/>
        <w:rPr>
          <w:bCs/>
          <w:sz w:val="24"/>
          <w:szCs w:val="24"/>
        </w:rPr>
      </w:pPr>
    </w:p>
    <w:p w14:paraId="03357FFB" w14:textId="6E2FDD7D" w:rsidR="00276B1A" w:rsidRPr="00276B1A" w:rsidRDefault="00276B1A" w:rsidP="00276B1A">
      <w:pPr>
        <w:jc w:val="both"/>
        <w:rPr>
          <w:bCs/>
          <w:sz w:val="24"/>
          <w:szCs w:val="24"/>
        </w:rPr>
      </w:pPr>
      <w:r w:rsidRPr="00276B1A">
        <w:rPr>
          <w:bCs/>
          <w:sz w:val="24"/>
          <w:szCs w:val="24"/>
        </w:rPr>
        <w:t>Following birth, the child remained in the family home under a Child Protection Plan, ensuring ongoing safeguarding oversight in accordance with Working Together to Safeguard People (Welsh Government, 2022). Regular Core Group meetings were undertaken to monitor progress, review risk, and facilitate effective multi-agency information sharing, enabling timely and coordinated decision-making. The parents also received</w:t>
      </w:r>
      <w:r>
        <w:rPr>
          <w:bCs/>
          <w:sz w:val="24"/>
          <w:szCs w:val="24"/>
        </w:rPr>
        <w:t xml:space="preserve"> and engaged with</w:t>
      </w:r>
      <w:r w:rsidRPr="00276B1A">
        <w:rPr>
          <w:bCs/>
          <w:sz w:val="24"/>
          <w:szCs w:val="24"/>
        </w:rPr>
        <w:t xml:space="preserve"> targeted support from health services, including parenting interventions and mental health support. In addition, a structured schedule of expectations was agreed and signed by both parents, providing clear expectations and protective boundaries while promoting accountability and consistency.</w:t>
      </w:r>
      <w:r>
        <w:rPr>
          <w:bCs/>
          <w:sz w:val="24"/>
          <w:szCs w:val="24"/>
        </w:rPr>
        <w:t xml:space="preserve">  Parent A also engaged well with healthy relationship work.</w:t>
      </w:r>
    </w:p>
    <w:p w14:paraId="367B742F" w14:textId="77777777" w:rsidR="00276B1A" w:rsidRPr="00276B1A" w:rsidRDefault="00276B1A" w:rsidP="00276B1A">
      <w:pPr>
        <w:jc w:val="both"/>
        <w:rPr>
          <w:bCs/>
          <w:sz w:val="24"/>
          <w:szCs w:val="24"/>
        </w:rPr>
      </w:pPr>
    </w:p>
    <w:p w14:paraId="28AAD25B" w14:textId="562255B7" w:rsidR="00B156F0" w:rsidRDefault="00276B1A" w:rsidP="00276B1A">
      <w:pPr>
        <w:jc w:val="both"/>
        <w:rPr>
          <w:bCs/>
          <w:sz w:val="24"/>
          <w:szCs w:val="24"/>
        </w:rPr>
      </w:pPr>
      <w:r w:rsidRPr="00276B1A">
        <w:rPr>
          <w:bCs/>
          <w:sz w:val="24"/>
          <w:szCs w:val="24"/>
        </w:rPr>
        <w:t>This outcome demonstrates how the Signs of Safety model can effectively balance strengths with risk by maintaining a clear focus on the child's safety while recognising the parents' capacity for change. This reflec</w:t>
      </w:r>
      <w:r>
        <w:rPr>
          <w:bCs/>
          <w:sz w:val="24"/>
          <w:szCs w:val="24"/>
        </w:rPr>
        <w:t>ts the SSW(W)A (</w:t>
      </w:r>
      <w:r w:rsidRPr="00276B1A">
        <w:rPr>
          <w:bCs/>
          <w:sz w:val="24"/>
          <w:szCs w:val="24"/>
        </w:rPr>
        <w:t>2014</w:t>
      </w:r>
      <w:r>
        <w:rPr>
          <w:bCs/>
          <w:sz w:val="24"/>
          <w:szCs w:val="24"/>
        </w:rPr>
        <w:t>)</w:t>
      </w:r>
      <w:r w:rsidRPr="00276B1A">
        <w:rPr>
          <w:bCs/>
          <w:sz w:val="24"/>
          <w:szCs w:val="24"/>
        </w:rPr>
        <w:t>, which promotes partnership with families alongside the paramount importance of safeguarding children. It also aligns with relationship-based practice, recognising that respectful, honest, and purposeful relationships can strengthen engagement and improve outcomes for children and families.</w:t>
      </w:r>
    </w:p>
    <w:p w14:paraId="5AA8A5DF" w14:textId="77777777" w:rsidR="00276B1A" w:rsidRDefault="00276B1A" w:rsidP="00276B1A">
      <w:pPr>
        <w:jc w:val="both"/>
        <w:rPr>
          <w:bCs/>
          <w:sz w:val="24"/>
          <w:szCs w:val="24"/>
        </w:rPr>
      </w:pPr>
    </w:p>
    <w:p w14:paraId="4BE52265" w14:textId="6D1DBB64" w:rsidR="00B156F0" w:rsidRPr="00B156F0" w:rsidRDefault="00B156F0" w:rsidP="00B156F0">
      <w:pPr>
        <w:jc w:val="both"/>
        <w:rPr>
          <w:bCs/>
          <w:sz w:val="24"/>
          <w:szCs w:val="24"/>
        </w:rPr>
      </w:pPr>
      <w:r w:rsidRPr="00B156F0">
        <w:rPr>
          <w:bCs/>
          <w:sz w:val="24"/>
          <w:szCs w:val="24"/>
        </w:rPr>
        <w:t xml:space="preserve">Overall, this piece of work demonstrates the complexity of safeguarding practice within pre-birth assessment work, where practitioners must continuously balance risk, rights, and relationship-based engagement within a legal framework. Whilst the application of SSW(W)A (2014), COPP (2017), and multi-agency procedures supported structured decision-making, theoretical approaches enabled a more holistic understanding of parental capacity and vulnerability. The case also illustrates the inherent tension between building trusting relationships with parents and maintaining a clear focus on safeguarding thresholds, particularly where historical risk factors are significant. While the outcome reflected positive parental engagement and coordinated multi-agency working, it remains essential to recognise that decisions require ongoing review as </w:t>
      </w:r>
      <w:r w:rsidRPr="00B156F0">
        <w:rPr>
          <w:bCs/>
          <w:sz w:val="24"/>
          <w:szCs w:val="24"/>
        </w:rPr>
        <w:lastRenderedPageBreak/>
        <w:t>circumstances evolve. Ultimately, this experience for me has reinforced that defensible safeguarding practice relies on the implementation of evidence-based assessment, reflective supervision, and critical analysis, ensuring that child welfare remains central while upholding the rights and dignity of parents.</w:t>
      </w:r>
    </w:p>
    <w:p w14:paraId="19FAC744" w14:textId="77777777" w:rsidR="00B156F0" w:rsidRDefault="00B156F0" w:rsidP="00B156F0">
      <w:pPr>
        <w:jc w:val="both"/>
        <w:rPr>
          <w:bCs/>
          <w:sz w:val="24"/>
          <w:szCs w:val="24"/>
        </w:rPr>
      </w:pPr>
    </w:p>
    <w:p w14:paraId="30654AD8" w14:textId="13164368" w:rsidR="00B156F0" w:rsidRPr="00B156F0" w:rsidRDefault="00B156F0" w:rsidP="00B156F0">
      <w:pPr>
        <w:jc w:val="both"/>
        <w:rPr>
          <w:bCs/>
          <w:sz w:val="24"/>
          <w:szCs w:val="24"/>
        </w:rPr>
      </w:pPr>
      <w:r w:rsidRPr="00B156F0">
        <w:rPr>
          <w:bCs/>
          <w:sz w:val="24"/>
          <w:szCs w:val="24"/>
        </w:rPr>
        <w:t>(</w:t>
      </w:r>
      <w:r w:rsidR="00276B1A">
        <w:rPr>
          <w:bCs/>
          <w:sz w:val="24"/>
          <w:szCs w:val="24"/>
        </w:rPr>
        <w:t>4008</w:t>
      </w:r>
      <w:r w:rsidRPr="00B156F0">
        <w:rPr>
          <w:bCs/>
          <w:sz w:val="24"/>
          <w:szCs w:val="24"/>
        </w:rPr>
        <w:t>)</w:t>
      </w:r>
    </w:p>
    <w:p w14:paraId="3BE23FA3" w14:textId="77777777" w:rsidR="00DD31C5" w:rsidRPr="00461440" w:rsidRDefault="00DD31C5" w:rsidP="00461440">
      <w:pPr>
        <w:ind w:firstLine="720"/>
        <w:jc w:val="both"/>
        <w:rPr>
          <w:bCs/>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08DD"/>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792F"/>
    <w:rsid w:val="00220560"/>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6B1A"/>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373"/>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1440"/>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0BD5"/>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5BA4"/>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3D2E"/>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6F0"/>
    <w:rsid w:val="00B15998"/>
    <w:rsid w:val="00B17FA0"/>
    <w:rsid w:val="00B2292C"/>
    <w:rsid w:val="00B22C3C"/>
    <w:rsid w:val="00B24344"/>
    <w:rsid w:val="00B24CFC"/>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D687C"/>
    <w:rsid w:val="00DD7FB9"/>
    <w:rsid w:val="00DE4296"/>
    <w:rsid w:val="00DF2469"/>
    <w:rsid w:val="00DF7899"/>
    <w:rsid w:val="00E0524C"/>
    <w:rsid w:val="00E15751"/>
    <w:rsid w:val="00E17160"/>
    <w:rsid w:val="00E17D41"/>
    <w:rsid w:val="00E231D1"/>
    <w:rsid w:val="00E3288D"/>
    <w:rsid w:val="00E35112"/>
    <w:rsid w:val="00E35BEC"/>
    <w:rsid w:val="00E37310"/>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4614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433082@student.uwtsd.ac.uk"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10</Pages>
  <Words>4208</Words>
  <Characters>25544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Louise M Davis</cp:lastModifiedBy>
  <cp:revision>4</cp:revision>
  <cp:lastPrinted>2020-02-11T19:20:00Z</cp:lastPrinted>
  <dcterms:created xsi:type="dcterms:W3CDTF">2026-07-06T10:59:00Z</dcterms:created>
  <dcterms:modified xsi:type="dcterms:W3CDTF">2026-07-13T09:12:00Z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