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4F6A31" w14:textId="77777777" w:rsidR="00395B22" w:rsidRDefault="00395B22" w:rsidP="00534125">
      <w:pPr>
        <w:rPr>
          <w:b/>
          <w:sz w:val="32"/>
          <w:szCs w:val="32"/>
        </w:rPr>
      </w:pPr>
    </w:p>
    <w:p w14:paraId="6BDB642D" w14:textId="77777777" w:rsidR="00395B22" w:rsidRDefault="00395B22" w:rsidP="00534125">
      <w:pPr>
        <w:rPr>
          <w:b/>
          <w:sz w:val="32"/>
          <w:szCs w:val="32"/>
        </w:rPr>
      </w:pPr>
    </w:p>
    <w:p w14:paraId="23470098" w14:textId="77777777" w:rsidR="00395B22" w:rsidRDefault="00395B22" w:rsidP="00534125">
      <w:pPr>
        <w:rPr>
          <w:b/>
          <w:sz w:val="32"/>
          <w:szCs w:val="32"/>
        </w:rPr>
      </w:pPr>
    </w:p>
    <w:p w14:paraId="59EB6491" w14:textId="77777777" w:rsidR="00395B22" w:rsidRDefault="00395B22" w:rsidP="00534125">
      <w:pPr>
        <w:rPr>
          <w:b/>
          <w:sz w:val="32"/>
          <w:szCs w:val="32"/>
        </w:rPr>
      </w:pPr>
    </w:p>
    <w:p w14:paraId="504611E2" w14:textId="75EE8183" w:rsidR="0084018A" w:rsidRDefault="00B14C69" w:rsidP="00534125">
      <w:pPr>
        <w:rPr>
          <w:b/>
          <w:sz w:val="32"/>
          <w:szCs w:val="32"/>
        </w:rPr>
      </w:pPr>
      <w:r>
        <w:rPr>
          <w:b/>
          <w:sz w:val="32"/>
          <w:szCs w:val="32"/>
        </w:rPr>
        <w:t>INTRODUCING THE MODERN WORKPLACE</w:t>
      </w:r>
    </w:p>
    <w:p w14:paraId="504611E3" w14:textId="2B931808" w:rsidR="0084018A" w:rsidRDefault="0084018A" w:rsidP="00534125">
      <w:pPr>
        <w:rPr>
          <w:b/>
          <w:sz w:val="32"/>
          <w:szCs w:val="32"/>
        </w:rPr>
      </w:pPr>
    </w:p>
    <w:p w14:paraId="67EEE4EC" w14:textId="77777777" w:rsidR="00395B22" w:rsidRDefault="00395B22" w:rsidP="00534125">
      <w:pPr>
        <w:spacing w:line="240" w:lineRule="auto"/>
        <w:rPr>
          <w:rFonts w:eastAsia="+mn-ea"/>
          <w:color w:val="323232"/>
          <w:kern w:val="24"/>
          <w:sz w:val="32"/>
          <w:szCs w:val="32"/>
        </w:rPr>
      </w:pPr>
    </w:p>
    <w:p w14:paraId="3A98C259" w14:textId="77777777" w:rsidR="00395B22" w:rsidRDefault="00395B22" w:rsidP="00534125">
      <w:pPr>
        <w:spacing w:line="240" w:lineRule="auto"/>
        <w:rPr>
          <w:rFonts w:eastAsia="+mn-ea"/>
          <w:color w:val="323232"/>
          <w:kern w:val="24"/>
          <w:sz w:val="32"/>
          <w:szCs w:val="32"/>
        </w:rPr>
      </w:pPr>
    </w:p>
    <w:p w14:paraId="6830013C" w14:textId="03295F6F" w:rsidR="006F53E2" w:rsidRPr="00534125" w:rsidRDefault="006F53E2" w:rsidP="00534125">
      <w:pPr>
        <w:spacing w:line="240" w:lineRule="auto"/>
        <w:rPr>
          <w:color w:val="F07F09"/>
          <w:sz w:val="32"/>
          <w:szCs w:val="32"/>
        </w:rPr>
      </w:pPr>
      <w:r w:rsidRPr="00534125">
        <w:rPr>
          <w:rFonts w:eastAsia="+mn-ea"/>
          <w:color w:val="323232"/>
          <w:kern w:val="24"/>
          <w:sz w:val="32"/>
          <w:szCs w:val="32"/>
        </w:rPr>
        <w:t xml:space="preserve">STUDENT </w:t>
      </w:r>
      <w:proofErr w:type="gramStart"/>
      <w:r w:rsidRPr="00534125">
        <w:rPr>
          <w:rFonts w:eastAsia="+mn-ea"/>
          <w:color w:val="323232"/>
          <w:kern w:val="24"/>
          <w:sz w:val="32"/>
          <w:szCs w:val="32"/>
        </w:rPr>
        <w:t>NAME:VERONICA</w:t>
      </w:r>
      <w:proofErr w:type="gramEnd"/>
      <w:r w:rsidRPr="00534125">
        <w:rPr>
          <w:rFonts w:eastAsia="+mn-ea"/>
          <w:color w:val="323232"/>
          <w:kern w:val="24"/>
          <w:sz w:val="32"/>
          <w:szCs w:val="32"/>
        </w:rPr>
        <w:t>-DANIELA FLORIA</w:t>
      </w:r>
    </w:p>
    <w:p w14:paraId="14AC3FF4" w14:textId="77777777" w:rsidR="006F53E2" w:rsidRPr="004B6E26" w:rsidRDefault="006F53E2" w:rsidP="006F53E2">
      <w:pPr>
        <w:pStyle w:val="ListParagraph"/>
        <w:numPr>
          <w:ilvl w:val="0"/>
          <w:numId w:val="1"/>
        </w:numPr>
        <w:spacing w:after="0" w:line="240" w:lineRule="auto"/>
        <w:rPr>
          <w:rFonts w:ascii="Times New Roman" w:hAnsi="Times New Roman" w:cs="Times New Roman"/>
          <w:color w:val="F07F09"/>
          <w:sz w:val="32"/>
          <w:szCs w:val="32"/>
        </w:rPr>
      </w:pPr>
      <w:r w:rsidRPr="004B6E26">
        <w:rPr>
          <w:rFonts w:ascii="Times New Roman" w:eastAsia="+mn-ea" w:hAnsi="Times New Roman" w:cs="Times New Roman"/>
          <w:color w:val="323232"/>
          <w:kern w:val="24"/>
          <w:sz w:val="32"/>
          <w:szCs w:val="32"/>
        </w:rPr>
        <w:t>STUDENT ID:2115140</w:t>
      </w:r>
    </w:p>
    <w:p w14:paraId="2F1E2F5C" w14:textId="1674EC10" w:rsidR="006F53E2" w:rsidRPr="004B6E26" w:rsidRDefault="006F53E2" w:rsidP="006F53E2">
      <w:pPr>
        <w:pStyle w:val="ListParagraph"/>
        <w:numPr>
          <w:ilvl w:val="0"/>
          <w:numId w:val="1"/>
        </w:numPr>
        <w:spacing w:after="0" w:line="240" w:lineRule="auto"/>
        <w:rPr>
          <w:rFonts w:ascii="Times New Roman" w:hAnsi="Times New Roman" w:cs="Times New Roman"/>
          <w:color w:val="F07F09"/>
          <w:sz w:val="32"/>
          <w:szCs w:val="32"/>
        </w:rPr>
      </w:pPr>
      <w:r w:rsidRPr="004B6E26">
        <w:rPr>
          <w:rFonts w:ascii="Times New Roman" w:eastAsia="+mn-ea" w:hAnsi="Times New Roman" w:cs="Times New Roman"/>
          <w:color w:val="323232"/>
          <w:kern w:val="24"/>
          <w:sz w:val="32"/>
          <w:szCs w:val="32"/>
        </w:rPr>
        <w:t xml:space="preserve">MODULE </w:t>
      </w:r>
      <w:proofErr w:type="gramStart"/>
      <w:r w:rsidRPr="004B6E26">
        <w:rPr>
          <w:rFonts w:ascii="Times New Roman" w:eastAsia="+mn-ea" w:hAnsi="Times New Roman" w:cs="Times New Roman"/>
          <w:color w:val="323232"/>
          <w:kern w:val="24"/>
          <w:sz w:val="32"/>
          <w:szCs w:val="32"/>
        </w:rPr>
        <w:t>CODE:LCBB</w:t>
      </w:r>
      <w:proofErr w:type="gramEnd"/>
      <w:r w:rsidR="00051338">
        <w:rPr>
          <w:rFonts w:ascii="Times New Roman" w:eastAsia="+mn-ea" w:hAnsi="Times New Roman" w:cs="Times New Roman"/>
          <w:color w:val="323232"/>
          <w:kern w:val="24"/>
          <w:sz w:val="32"/>
          <w:szCs w:val="32"/>
        </w:rPr>
        <w:t>4003</w:t>
      </w:r>
    </w:p>
    <w:p w14:paraId="340BAD58" w14:textId="06C5FE10" w:rsidR="006F53E2" w:rsidRPr="004B6E26" w:rsidRDefault="006F53E2" w:rsidP="006F53E2">
      <w:pPr>
        <w:pStyle w:val="ListParagraph"/>
        <w:numPr>
          <w:ilvl w:val="0"/>
          <w:numId w:val="1"/>
        </w:numPr>
        <w:spacing w:after="0" w:line="240" w:lineRule="auto"/>
        <w:rPr>
          <w:rFonts w:ascii="Times New Roman" w:hAnsi="Times New Roman" w:cs="Times New Roman"/>
          <w:color w:val="F07F09"/>
          <w:sz w:val="32"/>
          <w:szCs w:val="32"/>
        </w:rPr>
      </w:pPr>
      <w:r w:rsidRPr="004B6E26">
        <w:rPr>
          <w:rFonts w:ascii="Times New Roman" w:eastAsia="+mn-ea" w:hAnsi="Times New Roman" w:cs="Times New Roman"/>
          <w:color w:val="323232"/>
          <w:kern w:val="24"/>
          <w:sz w:val="32"/>
          <w:szCs w:val="32"/>
        </w:rPr>
        <w:t xml:space="preserve">LECTURER </w:t>
      </w:r>
      <w:proofErr w:type="gramStart"/>
      <w:r w:rsidRPr="004B6E26">
        <w:rPr>
          <w:rFonts w:ascii="Times New Roman" w:eastAsia="+mn-ea" w:hAnsi="Times New Roman" w:cs="Times New Roman"/>
          <w:color w:val="323232"/>
          <w:kern w:val="24"/>
          <w:sz w:val="32"/>
          <w:szCs w:val="32"/>
        </w:rPr>
        <w:t>NAME:</w:t>
      </w:r>
      <w:r w:rsidR="00094D8C">
        <w:rPr>
          <w:rFonts w:ascii="Times New Roman" w:eastAsia="+mn-ea" w:hAnsi="Times New Roman" w:cs="Times New Roman"/>
          <w:color w:val="323232"/>
          <w:kern w:val="24"/>
          <w:sz w:val="32"/>
          <w:szCs w:val="32"/>
        </w:rPr>
        <w:t>DUDLEY</w:t>
      </w:r>
      <w:proofErr w:type="gramEnd"/>
      <w:r w:rsidR="00094D8C">
        <w:rPr>
          <w:rFonts w:ascii="Times New Roman" w:eastAsia="+mn-ea" w:hAnsi="Times New Roman" w:cs="Times New Roman"/>
          <w:color w:val="323232"/>
          <w:kern w:val="24"/>
          <w:sz w:val="32"/>
          <w:szCs w:val="32"/>
        </w:rPr>
        <w:t xml:space="preserve"> OFORI</w:t>
      </w:r>
    </w:p>
    <w:p w14:paraId="3F05E967" w14:textId="77777777" w:rsidR="006F53E2" w:rsidRPr="004B6E26" w:rsidRDefault="006F53E2" w:rsidP="006F53E2">
      <w:pPr>
        <w:pStyle w:val="ListParagraph"/>
        <w:numPr>
          <w:ilvl w:val="0"/>
          <w:numId w:val="1"/>
        </w:numPr>
        <w:spacing w:after="0" w:line="240" w:lineRule="auto"/>
        <w:rPr>
          <w:rFonts w:ascii="Times New Roman" w:hAnsi="Times New Roman" w:cs="Times New Roman"/>
          <w:color w:val="F07F09"/>
          <w:sz w:val="32"/>
          <w:szCs w:val="32"/>
        </w:rPr>
      </w:pPr>
      <w:r w:rsidRPr="004B6E26">
        <w:rPr>
          <w:rFonts w:ascii="Times New Roman" w:hAnsi="Times New Roman" w:cs="Times New Roman"/>
          <w:sz w:val="32"/>
          <w:szCs w:val="32"/>
        </w:rPr>
        <w:t>DATE:27.08.2023</w:t>
      </w:r>
    </w:p>
    <w:p w14:paraId="60D7E57D" w14:textId="77777777" w:rsidR="006F53E2" w:rsidRPr="004B6E26" w:rsidRDefault="006F53E2" w:rsidP="006F53E2">
      <w:pPr>
        <w:spacing w:line="480" w:lineRule="auto"/>
        <w:rPr>
          <w:sz w:val="32"/>
          <w:szCs w:val="32"/>
        </w:rPr>
      </w:pPr>
    </w:p>
    <w:p w14:paraId="558BDAC7" w14:textId="77777777" w:rsidR="006F53E2" w:rsidRPr="00EF02EA" w:rsidRDefault="006F53E2" w:rsidP="006F53E2">
      <w:pPr>
        <w:spacing w:line="480" w:lineRule="auto"/>
      </w:pPr>
    </w:p>
    <w:p w14:paraId="504611E5" w14:textId="7154F37C" w:rsidR="0084018A" w:rsidRDefault="0084018A">
      <w:pPr>
        <w:jc w:val="left"/>
        <w:rPr>
          <w:b/>
          <w:sz w:val="32"/>
          <w:szCs w:val="32"/>
        </w:rPr>
      </w:pPr>
    </w:p>
    <w:p w14:paraId="52ACC4C3" w14:textId="77777777" w:rsidR="00395B22" w:rsidRDefault="00395B22">
      <w:pPr>
        <w:jc w:val="left"/>
        <w:rPr>
          <w:b/>
          <w:sz w:val="32"/>
          <w:szCs w:val="32"/>
        </w:rPr>
      </w:pPr>
    </w:p>
    <w:p w14:paraId="69F6D892" w14:textId="77777777" w:rsidR="00395B22" w:rsidRDefault="00395B22">
      <w:pPr>
        <w:jc w:val="left"/>
        <w:rPr>
          <w:b/>
          <w:sz w:val="32"/>
          <w:szCs w:val="32"/>
        </w:rPr>
      </w:pPr>
    </w:p>
    <w:p w14:paraId="3ACBC414" w14:textId="77777777" w:rsidR="00395B22" w:rsidRDefault="00395B22">
      <w:pPr>
        <w:jc w:val="left"/>
        <w:rPr>
          <w:b/>
          <w:sz w:val="32"/>
          <w:szCs w:val="32"/>
        </w:rPr>
      </w:pPr>
    </w:p>
    <w:p w14:paraId="1DD6AC36" w14:textId="77777777" w:rsidR="00395B22" w:rsidRDefault="00395B22">
      <w:pPr>
        <w:jc w:val="left"/>
        <w:rPr>
          <w:b/>
          <w:sz w:val="32"/>
          <w:szCs w:val="32"/>
        </w:rPr>
      </w:pPr>
    </w:p>
    <w:p w14:paraId="467CF310" w14:textId="77777777" w:rsidR="00395B22" w:rsidRDefault="00395B22">
      <w:pPr>
        <w:jc w:val="left"/>
        <w:rPr>
          <w:b/>
          <w:sz w:val="32"/>
          <w:szCs w:val="32"/>
        </w:rPr>
      </w:pPr>
    </w:p>
    <w:p w14:paraId="17DC02B9" w14:textId="77777777" w:rsidR="00395B22" w:rsidRDefault="00395B22">
      <w:pPr>
        <w:jc w:val="left"/>
        <w:rPr>
          <w:b/>
          <w:sz w:val="32"/>
          <w:szCs w:val="32"/>
        </w:rPr>
      </w:pPr>
    </w:p>
    <w:p w14:paraId="1FF91A8B" w14:textId="77777777" w:rsidR="00395B22" w:rsidRDefault="00395B22">
      <w:pPr>
        <w:jc w:val="left"/>
        <w:rPr>
          <w:b/>
          <w:sz w:val="32"/>
          <w:szCs w:val="32"/>
        </w:rPr>
      </w:pPr>
    </w:p>
    <w:p w14:paraId="598D92FD" w14:textId="77777777" w:rsidR="00395B22" w:rsidRDefault="00395B22">
      <w:pPr>
        <w:jc w:val="left"/>
        <w:rPr>
          <w:b/>
          <w:sz w:val="32"/>
          <w:szCs w:val="32"/>
        </w:rPr>
      </w:pPr>
    </w:p>
    <w:p w14:paraId="627229DA" w14:textId="77777777" w:rsidR="00395B22" w:rsidRDefault="00395B22">
      <w:pPr>
        <w:jc w:val="left"/>
        <w:rPr>
          <w:b/>
          <w:sz w:val="32"/>
          <w:szCs w:val="32"/>
        </w:rPr>
      </w:pPr>
    </w:p>
    <w:p w14:paraId="504611E6" w14:textId="77777777" w:rsidR="0084018A" w:rsidRDefault="00B14C69">
      <w:pPr>
        <w:pStyle w:val="Heading1"/>
      </w:pPr>
      <w:bookmarkStart w:id="0" w:name="_gjdgxs" w:colFirst="0" w:colLast="0"/>
      <w:bookmarkEnd w:id="0"/>
      <w:r>
        <w:lastRenderedPageBreak/>
        <w:t>1. Introduction</w:t>
      </w:r>
    </w:p>
    <w:p w14:paraId="504611E7" w14:textId="77777777" w:rsidR="0084018A" w:rsidRDefault="00B14C69">
      <w:r>
        <w:t>To succeed in today's dynamic economic climate, executives need a thorough understanding of the factors that influence employee productivity. The focus of this study is on the British retail giant Tesco as a case study of how organisational structure, culture, and individual motivation all work together to push a firm towards its goals. The study is going investigate and evaluate how the concepts, theories, and models we have been studying in the course have contributed to Tesco's achievements.</w:t>
      </w:r>
    </w:p>
    <w:p w14:paraId="504611E8" w14:textId="77777777" w:rsidR="0084018A" w:rsidRDefault="00B14C69">
      <w:r>
        <w:t>The efficiency of Tesco is controlled by its organisational structure, which defines the norms for decision-making, communication, and the distribution of business resources (Peng, 2018). At Tesco, the distinctive culture has a major effect on employees' attitudes, behaviours, and daily routines. To fully appreciate Tesco's success, one must consider the interplay between the company's institutional make-up and its ethos. Furthermore, intrinsic motivation is crucial for boosting production, engagement, and loyalty to the organisation's goals.</w:t>
      </w:r>
    </w:p>
    <w:p w14:paraId="504611E9" w14:textId="77777777" w:rsidR="0084018A" w:rsidRDefault="00B14C69">
      <w:r>
        <w:t>Using the module's principles and theories, it could be figured out how Tesco's structure, culture, and employee motivation come together to help the firm achieve its objectives. Learn more about how Tesco has integrated these factors to improve performance and achieve its strategic goals with the help of this study.</w:t>
      </w:r>
    </w:p>
    <w:p w14:paraId="504611EA" w14:textId="77777777" w:rsidR="0084018A" w:rsidRDefault="00B14C69">
      <w:pPr>
        <w:pStyle w:val="Heading1"/>
      </w:pPr>
      <w:bookmarkStart w:id="1" w:name="_30j0zll" w:colFirst="0" w:colLast="0"/>
      <w:bookmarkEnd w:id="1"/>
      <w:r>
        <w:t>2. The Relationship between Organisational Structure, Culture, and Performance</w:t>
      </w:r>
    </w:p>
    <w:p w14:paraId="504611EB" w14:textId="77777777" w:rsidR="0084018A" w:rsidRDefault="00B14C69">
      <w:pPr>
        <w:pStyle w:val="Heading2"/>
      </w:pPr>
      <w:bookmarkStart w:id="2" w:name="_1fob9te" w:colFirst="0" w:colLast="0"/>
      <w:bookmarkEnd w:id="2"/>
      <w:r>
        <w:t>2.1 Organisational Structure and Performance at Tesco</w:t>
      </w:r>
    </w:p>
    <w:p w14:paraId="504611EC" w14:textId="77777777" w:rsidR="0084018A" w:rsidRDefault="00B14C69">
      <w:r>
        <w:t>Tesco's organisational framework is crucial to the success of the company's goals. The company's management and decision-making processes are expedited by Tesco's hierarchical organisational structure. Organisational tasks such as communicating, coordinating, and allocating resources are made easier with this design (Alam and Raut-Roy, 2019). Thus, Tesco owes much of its improved performance to its organisational structure.</w:t>
      </w:r>
    </w:p>
    <w:p w14:paraId="504611ED" w14:textId="77777777" w:rsidR="0084018A" w:rsidRDefault="00B14C69">
      <w:r>
        <w:t>Mintzberg's theory of organisational configurations classifies Tesco as a machine bureaucracy because of its rigidly hierarchical structure. Without the focus on control, efficiency, and uniformity that this arrangement offers, Tesco's huge retail operations would be difficult to manage. Tesco's competitive advantage stems from the company's hierarchical structure, which allows for rapid adaptation to changing market conditions and customer preferences.</w:t>
      </w:r>
    </w:p>
    <w:p w14:paraId="504611EE" w14:textId="77777777" w:rsidR="0084018A" w:rsidRDefault="00B14C69">
      <w:r>
        <w:t>The company's management structure at Tesco enables for clear lines of communication to be established between management and employees at all levels. This promotes a standard knowledge of the company's goals, beliefs, and processes and helps get the word out. Because of this, Tesco's employees have a clearer understanding of how their work contributes to the company's larger goals (</w:t>
      </w:r>
      <w:proofErr w:type="spellStart"/>
      <w:r>
        <w:t>Awadari</w:t>
      </w:r>
      <w:proofErr w:type="spellEnd"/>
      <w:r>
        <w:t xml:space="preserve"> and Kanwal, 2019).</w:t>
      </w:r>
    </w:p>
    <w:p w14:paraId="504611EF" w14:textId="77777777" w:rsidR="0084018A" w:rsidRDefault="00B14C69">
      <w:r>
        <w:t>In addition, Tesco's organisational structure makes it easy for its many departments to talk to one another and work together. Having defined reporting relationships and distinct job responsibilities facilitates efficient cross-departmental collaboration and synergy. We can make better use of our limited resources and save time by combining our efforts.</w:t>
      </w:r>
    </w:p>
    <w:p w14:paraId="504611F0" w14:textId="77777777" w:rsidR="0084018A" w:rsidRDefault="00B14C69">
      <w:r>
        <w:t xml:space="preserve">The organisational hierarchy at Tesco makes it easier to implement consistent SOPs throughout the organisation. This standardisation helps Tesco function more efficiently, reduces the number of errors made, and guarantees that consumers will get the same high-quality service at </w:t>
      </w:r>
      <w:proofErr w:type="gramStart"/>
      <w:r>
        <w:t>all of</w:t>
      </w:r>
      <w:proofErr w:type="gramEnd"/>
      <w:r>
        <w:t xml:space="preserve"> their stores (</w:t>
      </w:r>
      <w:proofErr w:type="spellStart"/>
      <w:r>
        <w:t>Xinyun</w:t>
      </w:r>
      <w:proofErr w:type="spellEnd"/>
      <w:r>
        <w:t>, 2018). Tesco's centralised decision-making authority helps the corporation quickly react to market requirements and maintain its market position.</w:t>
      </w:r>
    </w:p>
    <w:p w14:paraId="504611F1" w14:textId="77777777" w:rsidR="0084018A" w:rsidRDefault="00B14C69">
      <w:pPr>
        <w:pStyle w:val="Heading2"/>
      </w:pPr>
      <w:bookmarkStart w:id="3" w:name="_3znysh7" w:colFirst="0" w:colLast="0"/>
      <w:bookmarkEnd w:id="3"/>
      <w:r>
        <w:lastRenderedPageBreak/>
        <w:t>2.2 Organisational Culture and Performance at Tesco</w:t>
      </w:r>
    </w:p>
    <w:p w14:paraId="504611F2" w14:textId="77777777" w:rsidR="0084018A" w:rsidRDefault="00B14C69">
      <w:r>
        <w:t>Tesco's culture is a major contributor to the retailer's success. The company has created a culture that values the happiness of its customers above all else by giving them excellent service at reasonable prices. This mentality permeates the whole business, influencing the attitudes and activities of every employee (Paavola and Cuthbertson, 2022). The culture of Tesco is conducive to innovation, adaptability, and customer service, all of which contribute to the company's success.</w:t>
      </w:r>
    </w:p>
    <w:p w14:paraId="504611F3" w14:textId="77777777" w:rsidR="0084018A" w:rsidRDefault="00B14C69">
      <w:r>
        <w:t>Tesco's corporate culture may be seen as a combination of clan and market standards, according to Cameron and Quinn's Competing Values Framework. Clan values like as collaboration, involvement, and mutual support foster innovation and creativity. The market's focus on results, competitiveness, and meeting client requirements encourages performance and efficiency. Tesco's culture is customer-focused; therefore, the company's employees are driven to offer excellent service despite constant efforts to save costs (</w:t>
      </w:r>
      <w:proofErr w:type="spellStart"/>
      <w:r>
        <w:t>Hussainy</w:t>
      </w:r>
      <w:proofErr w:type="spellEnd"/>
      <w:r>
        <w:t xml:space="preserve"> and Al-</w:t>
      </w:r>
      <w:proofErr w:type="spellStart"/>
      <w:r>
        <w:t>Wahaibi</w:t>
      </w:r>
      <w:proofErr w:type="spellEnd"/>
      <w:r>
        <w:t>, 2022).</w:t>
      </w:r>
    </w:p>
    <w:p w14:paraId="504611F4" w14:textId="77777777" w:rsidR="0084018A" w:rsidRDefault="00B14C69">
      <w:pPr>
        <w:pStyle w:val="Heading2"/>
      </w:pPr>
      <w:bookmarkStart w:id="4" w:name="_2et92p0" w:colFirst="0" w:colLast="0"/>
      <w:bookmarkEnd w:id="4"/>
      <w:r>
        <w:t>2.3 The Symbiotic Relationship between Structure, Culture, and Performance</w:t>
      </w:r>
    </w:p>
    <w:p w14:paraId="504611F5" w14:textId="77777777" w:rsidR="0084018A" w:rsidRDefault="00B14C69">
      <w:r>
        <w:t xml:space="preserve">Tesco's organisational structure and culture complement one another to provide excellent outcomes for the firm. The established chain of command facilitates the dissemination of the desired values, norms, and behaviours across the company. Tesco's customer-centric approach benefits from this alignment since it gives employees the </w:t>
      </w:r>
      <w:proofErr w:type="gramStart"/>
      <w:r>
        <w:t>guidelines</w:t>
      </w:r>
      <w:proofErr w:type="gramEnd"/>
      <w:r>
        <w:t xml:space="preserve"> they need to provide exceptional service to customers (Loonam et al., 2018).</w:t>
      </w:r>
    </w:p>
    <w:p w14:paraId="504611F6" w14:textId="77777777" w:rsidR="0084018A" w:rsidRDefault="00B14C69">
      <w:r>
        <w:t>Tesco's strong corporate culture also contributes to the organisation's stability by motivating and focusing employees on the company's objectives. Employees have a vested interest in going the extra mile for customers because of the company's emphasis on them. The synergy between Tesco's organisational structure and its corporate culture allows the business to adapt swiftly to changing market circumstances and maintain a competitive advantage.</w:t>
      </w:r>
    </w:p>
    <w:p w14:paraId="504611F7" w14:textId="77777777" w:rsidR="0084018A" w:rsidRDefault="00B14C69">
      <w:r>
        <w:t xml:space="preserve">Nadler and </w:t>
      </w:r>
      <w:proofErr w:type="spellStart"/>
      <w:r>
        <w:t>Tushman's</w:t>
      </w:r>
      <w:proofErr w:type="spellEnd"/>
      <w:r>
        <w:t xml:space="preserve"> Congruence Model might be included into the research to add weight to the findings. Tesco will succeed only if its organisational structure, core beliefs, and employee efforts are in sync. When an organisation's structure and culture are in sync with one another, the organisation's efforts bear fruit more readily (Lord et al., 2018). Tesco's hierarchical structure supports the company's customer-first ethos, and vice versa. Tesco is aided in its mission to please its customers and grow in the long run by this synergy.</w:t>
      </w:r>
    </w:p>
    <w:p w14:paraId="504611F8" w14:textId="77777777" w:rsidR="0084018A" w:rsidRDefault="00B14C69">
      <w:pPr>
        <w:pStyle w:val="Heading1"/>
      </w:pPr>
      <w:bookmarkStart w:id="5" w:name="_tyjcwt" w:colFirst="0" w:colLast="0"/>
      <w:bookmarkEnd w:id="5"/>
      <w:r>
        <w:lastRenderedPageBreak/>
        <w:t>3. Employee Motivation at Tesco</w:t>
      </w:r>
    </w:p>
    <w:p w14:paraId="504611F9" w14:textId="77777777" w:rsidR="0084018A" w:rsidRDefault="00B14C69">
      <w:pPr>
        <w:pStyle w:val="Heading2"/>
      </w:pPr>
      <w:bookmarkStart w:id="6" w:name="_3dy6vkm" w:colFirst="0" w:colLast="0"/>
      <w:bookmarkEnd w:id="6"/>
      <w:r>
        <w:t>3.1 Nature of Motivation at Tesco</w:t>
      </w:r>
    </w:p>
    <w:p w14:paraId="504611FA" w14:textId="77777777" w:rsidR="0084018A" w:rsidRDefault="00B14C69">
      <w:r>
        <w:t>Tesco recognises the value of a highly motivated workforce in attaining its goals. Tesco has a multifaceted approach that involves a variety of incentives to keep its employees engaged and committed. Tesco uses a mix of internal and external rewards to foster a positive and productive work environment. Tesco acknowledges the importance of inside sources of motivation, such as aspirations. The company is dedicated to giving its employees enough opportunities for personal growth, career success, and financial security. By offering a friendly working environment that values and rewards creativity, initiative, and hard work, Tesco fosters a sense of ownership among its staff. Training programmes, advancement chances, and incentives and recognition programmes all contribute to an environment where employees feel valued and appreciated (</w:t>
      </w:r>
      <w:proofErr w:type="spellStart"/>
      <w:r>
        <w:t>Awadari</w:t>
      </w:r>
      <w:proofErr w:type="spellEnd"/>
      <w:r>
        <w:t xml:space="preserve"> and Kanwal, 2019). Through these initiatives, Tesco hopes to inspire its employees to discover personal happiness in their profession.</w:t>
      </w:r>
    </w:p>
    <w:p w14:paraId="504611FB" w14:textId="77777777" w:rsidR="0084018A" w:rsidRDefault="00B14C69">
      <w:r>
        <w:t xml:space="preserve">Besides intrinsic motivation, Tesco also values the contribution of extrinsic motivators to its employees' performance. The company rewards its hardworking staff with competitive salaries, incentive possibilities, and other benefits. </w:t>
      </w:r>
      <w:proofErr w:type="gramStart"/>
      <w:r>
        <w:t>In an attempt to</w:t>
      </w:r>
      <w:proofErr w:type="gramEnd"/>
      <w:r>
        <w:t xml:space="preserve"> boost morale and retention, Tesco provides its workers with flexible scheduling and remote work opportunities. These extrinsic motivators urge employees to perform harder towards organisational goals by offering them monetary rewards for doing so.</w:t>
      </w:r>
    </w:p>
    <w:p w14:paraId="504611FC" w14:textId="77777777" w:rsidR="0084018A" w:rsidRDefault="00B14C69">
      <w:r>
        <w:t>Tesco promotes a positive work environment by rewarding its employees monetarily and otherwise. Employees that feel motivated are more likely to work hard and provide quality results. When workers are invested in their jobs, they go the extra mile for clients, which improves repeat business and income (Alam and Raut-Roy, 2019).</w:t>
      </w:r>
    </w:p>
    <w:p w14:paraId="504611FD" w14:textId="77777777" w:rsidR="0084018A" w:rsidRDefault="00B14C69">
      <w:r>
        <w:t>Tesco's multifaceted approach to employee motivation is in line with contemporary understanding of what drives people. The integration of intrinsic and extrinsic motivators is congruent with Self-Determination Theory, which highlights the value of autonomy, competence, and relatedness. Tesco takes care of its employees' mental health by providing them with a space where they may grow professionally, which has a positive effect on morale and output. Tesco uses extrinsic motivators, and the Expectancy Theory applicability is clear since employees think their efforts will produce the desired outcomes (James and Cooper, 2018).</w:t>
      </w:r>
    </w:p>
    <w:p w14:paraId="504611FE" w14:textId="77777777" w:rsidR="0084018A" w:rsidRDefault="00B14C69">
      <w:pPr>
        <w:pStyle w:val="Heading2"/>
      </w:pPr>
      <w:bookmarkStart w:id="7" w:name="_1t3h5sf" w:colFirst="0" w:colLast="0"/>
      <w:bookmarkEnd w:id="7"/>
      <w:r>
        <w:lastRenderedPageBreak/>
        <w:t>3.2 Intrinsic Motivation</w:t>
      </w:r>
    </w:p>
    <w:p w14:paraId="504611FF" w14:textId="77777777" w:rsidR="0084018A" w:rsidRDefault="00B14C69">
      <w:r>
        <w:t>Tesco acknowledges that its employees' intrinsic motivation plays a significant role in the success of the business and increases employee loyalty. The company realises that if it wants its workers to feel motivated on the job, it must encourage them to take initiative and learn on the job. Tesco encourages its employees to think beyond the box by providing them with several opportunities to hone their craft. The organisation shows its commitment to intrinsic motivation by providing its workers with opportunities to learn new skills, grow in their careers, and be recognised for their efforts.</w:t>
      </w:r>
    </w:p>
    <w:p w14:paraId="50461200" w14:textId="77777777" w:rsidR="0084018A" w:rsidRDefault="00B14C69">
      <w:r>
        <w:t xml:space="preserve">The approaches utilised by Tesco might be further explored by using the self-determination theory (SDT) of Deci and Ryan. Self-Determination Theory (SDT) posits that </w:t>
      </w:r>
      <w:proofErr w:type="gramStart"/>
      <w:r>
        <w:t>in order for</w:t>
      </w:r>
      <w:proofErr w:type="gramEnd"/>
      <w:r>
        <w:t xml:space="preserve"> a person to thrive, they need to have a sense of autonomy, competence, and relatedness. Because it helps people to grow into more competent versions of themselves, Tesco's dedication to employee professional and personal growth is compatible with the demand for competence (Ajibola, 2022). Employees' need for freedom from management is satisfied when they are given discretion over their work. Employees at Tesco report feeling more connected to one another as a result of the company's efforts to foster a healthy culture in the workplace. The SDT underpinnings of these rules aid in increasing the intrinsic motivation of Tesco employees.</w:t>
      </w:r>
    </w:p>
    <w:p w14:paraId="50461201" w14:textId="77777777" w:rsidR="0084018A" w:rsidRDefault="00B14C69">
      <w:r>
        <w:t xml:space="preserve">By focusing on what makes its people happy and fulfilled, Tesco </w:t>
      </w:r>
      <w:proofErr w:type="gramStart"/>
      <w:r>
        <w:t>is able to</w:t>
      </w:r>
      <w:proofErr w:type="gramEnd"/>
      <w:r>
        <w:t xml:space="preserve"> boost morale and productivity. Employees are more invested and excited when they have intrinsic motivation, which arises when they take pleasure in their work and can see the good effects it has on others. Employees who feel empowered to contribute to the achievement of Tesco's strategic aims will do so with gusto, increasing not just their personal output but also the company's bottom line.</w:t>
      </w:r>
    </w:p>
    <w:p w14:paraId="50461202" w14:textId="77777777" w:rsidR="0084018A" w:rsidRDefault="00B14C69">
      <w:pPr>
        <w:pStyle w:val="Heading2"/>
      </w:pPr>
      <w:bookmarkStart w:id="8" w:name="_4d34og8" w:colFirst="0" w:colLast="0"/>
      <w:bookmarkEnd w:id="8"/>
      <w:r>
        <w:t>3.3 Extrinsic Motivation</w:t>
      </w:r>
    </w:p>
    <w:p w14:paraId="50461203" w14:textId="77777777" w:rsidR="0084018A" w:rsidRDefault="00B14C69">
      <w:r>
        <w:t>Tesco recognises the importance of both inner and extrinsic variables when it comes to motivating and rewarding employees. The company shows its gratitude for its workers by offering competitive salaries, bonus programmes, and other benefits. Employee satisfaction and motivation are boosted by Tesco's emphasis on work-life balance and its provision of alternative work arrangements.</w:t>
      </w:r>
    </w:p>
    <w:p w14:paraId="50461204" w14:textId="77777777" w:rsidR="0084018A" w:rsidRDefault="00B14C69">
      <w:r>
        <w:t xml:space="preserve">Potentially enhancing the study using Vroom's Expectancy Theory. Tesco's use of extrinsic motivators is congruent with the notions of Expectancy Theory, which state that individuals are motivated by the belief that effort will lead to performance, and that performance will lead to </w:t>
      </w:r>
      <w:r>
        <w:lastRenderedPageBreak/>
        <w:t>desired rewards (</w:t>
      </w:r>
      <w:proofErr w:type="spellStart"/>
      <w:r>
        <w:t>Ferencikova</w:t>
      </w:r>
      <w:proofErr w:type="spellEnd"/>
      <w:r>
        <w:t>, 2022). Tesco offers market-competitive salary, performance-based bonuses, and other benefits, so employees can expect to be rewarded in kind for their efforts. Expectation like this motivates people to act and produce more.</w:t>
      </w:r>
    </w:p>
    <w:p w14:paraId="50461205" w14:textId="77777777" w:rsidR="0084018A" w:rsidRDefault="00B14C69">
      <w:pPr>
        <w:pStyle w:val="Heading2"/>
      </w:pPr>
      <w:bookmarkStart w:id="9" w:name="_2s8eyo1" w:colFirst="0" w:colLast="0"/>
      <w:bookmarkEnd w:id="9"/>
      <w:r>
        <w:t>3.4 Motivation and Performance</w:t>
      </w:r>
    </w:p>
    <w:p w14:paraId="50461206" w14:textId="77777777" w:rsidR="0084018A" w:rsidRDefault="00B14C69">
      <w:r>
        <w:t>The company's bottom line is significantly impacted by Tesco's comprehensive commitment to employee engagement. Motivated employees increase their production, devotion, and loyalty. Because of this, they are more likely to provide excellent customer service, which boosts loyalty among existing clients and attracts new ones, leading to overall business growth. The harmony between intrinsic and extrinsic motivators in the workplace is what allows Tesco to motivate its employees to go above and beyond.</w:t>
      </w:r>
    </w:p>
    <w:p w14:paraId="50461207" w14:textId="77777777" w:rsidR="0084018A" w:rsidRDefault="00B14C69">
      <w:r>
        <w:t xml:space="preserve">Hackman and Oldham's Job Characteristics Model might be used to hone down on the most relevant factors. The model's explanation of the most significant parts of every </w:t>
      </w:r>
      <w:proofErr w:type="gramStart"/>
      <w:r>
        <w:t>particular job</w:t>
      </w:r>
      <w:proofErr w:type="gramEnd"/>
      <w:r>
        <w:t xml:space="preserve"> is consistent with Tesco's focus on both internal and external motivators (Fader, 2018). Individuals are more likely to find purpose in their work if they have access to training programmes and career progression pathways that raise their degrees of autonomy, skill variety, and job relevance. Recognition programmes, competitive pay, and adaptable scheduling all help employees feel more accountable for their job and the results they produce. At Tesco, these variables have led to increased motivation, job satisfaction, and output.</w:t>
      </w:r>
    </w:p>
    <w:p w14:paraId="50461208" w14:textId="77777777" w:rsidR="0084018A" w:rsidRDefault="00B14C69">
      <w:pPr>
        <w:pStyle w:val="Heading1"/>
      </w:pPr>
      <w:bookmarkStart w:id="10" w:name="_17dp8vu" w:colFirst="0" w:colLast="0"/>
      <w:bookmarkEnd w:id="10"/>
      <w:r>
        <w:t>4. Conclusion</w:t>
      </w:r>
    </w:p>
    <w:p w14:paraId="50461209" w14:textId="77777777" w:rsidR="0084018A" w:rsidRDefault="00B14C69">
      <w:r>
        <w:t xml:space="preserve">The success of an organisation depends on </w:t>
      </w:r>
      <w:proofErr w:type="gramStart"/>
      <w:r>
        <w:t>a number of</w:t>
      </w:r>
      <w:proofErr w:type="gramEnd"/>
      <w:r>
        <w:t xml:space="preserve"> factors, including its structure, culture, and employees' personal motivation. We may see the interplay of these factors in action by looking to Tesco as an example. To motivate its workforce and focus its efforts, Tesco has adopted a hierarchical organisational structure and a customer-centric culture. Tesco's success may be attributed to the company's emphasis on employee motivation and happiness.</w:t>
      </w:r>
    </w:p>
    <w:p w14:paraId="5046120A" w14:textId="77777777" w:rsidR="0084018A" w:rsidRDefault="00B14C69">
      <w:r>
        <w:t xml:space="preserve">This study consistently highlights the significance of Tesco's organisational structure, culture, and inspiring practises in the company's performance. Using the major concepts, theories, and frameworks developed during the semester, this investigation </w:t>
      </w:r>
      <w:proofErr w:type="gramStart"/>
      <w:r>
        <w:t>looks into</w:t>
      </w:r>
      <w:proofErr w:type="gramEnd"/>
      <w:r>
        <w:t xml:space="preserve"> the complex workings behind Tesco's success. </w:t>
      </w:r>
      <w:proofErr w:type="gramStart"/>
      <w:r>
        <w:t>It's</w:t>
      </w:r>
      <w:proofErr w:type="gramEnd"/>
      <w:r>
        <w:t xml:space="preserve"> obvious that in today's competitive market, firms need to strike a balance between structure, culture, and determination to succeed.</w:t>
      </w:r>
    </w:p>
    <w:p w14:paraId="5046120C" w14:textId="12459075" w:rsidR="0084018A" w:rsidRDefault="00B14C69" w:rsidP="00051338">
      <w:r>
        <w:br w:type="page"/>
      </w:r>
      <w:bookmarkStart w:id="11" w:name="_3rdcrjn" w:colFirst="0" w:colLast="0"/>
      <w:bookmarkEnd w:id="11"/>
      <w:r>
        <w:lastRenderedPageBreak/>
        <w:t>5. Reference</w:t>
      </w:r>
    </w:p>
    <w:p w14:paraId="5046120D" w14:textId="77777777" w:rsidR="0084018A" w:rsidRDefault="00B14C69">
      <w:pPr>
        <w:spacing w:before="240" w:after="240"/>
      </w:pPr>
      <w:r>
        <w:rPr>
          <w:color w:val="222222"/>
          <w:highlight w:val="white"/>
        </w:rPr>
        <w:t xml:space="preserve">Ajibola, E.B., 2022. </w:t>
      </w:r>
      <w:r>
        <w:rPr>
          <w:i/>
        </w:rPr>
        <w:t>An investigation into talent management in the Irish retail sector: a case of Tesco, Aldi and Super Valu</w:t>
      </w:r>
      <w:r>
        <w:t xml:space="preserve"> (Doctoral dissertation, Dublin, National College of Ireland).</w:t>
      </w:r>
    </w:p>
    <w:p w14:paraId="5046120E" w14:textId="77777777" w:rsidR="0084018A" w:rsidRDefault="00B14C69">
      <w:pPr>
        <w:spacing w:before="240" w:after="240"/>
      </w:pPr>
      <w:r>
        <w:rPr>
          <w:color w:val="222222"/>
          <w:highlight w:val="white"/>
        </w:rPr>
        <w:t xml:space="preserve">Alam, S. and Raut-Roy, U., 2019. Evaluating the Effectiveness of Reward Strategy at Tesco. </w:t>
      </w:r>
      <w:r>
        <w:rPr>
          <w:i/>
        </w:rPr>
        <w:t>Indian Journal of Industrial Relations</w:t>
      </w:r>
      <w:r>
        <w:t xml:space="preserve">, </w:t>
      </w:r>
      <w:r>
        <w:rPr>
          <w:i/>
        </w:rPr>
        <w:t>55</w:t>
      </w:r>
      <w:r>
        <w:t>(1), pp.105-120.</w:t>
      </w:r>
    </w:p>
    <w:p w14:paraId="5046120F" w14:textId="77777777" w:rsidR="0084018A" w:rsidRDefault="00B14C69">
      <w:pPr>
        <w:spacing w:before="240" w:after="240"/>
      </w:pPr>
      <w:r>
        <w:rPr>
          <w:color w:val="222222"/>
          <w:highlight w:val="white"/>
        </w:rPr>
        <w:t xml:space="preserve">Alam, S. and Raut-Roy, U., 2019. Evaluating the Effectiveness of Reward Strategy at Tesco. </w:t>
      </w:r>
      <w:r>
        <w:rPr>
          <w:i/>
        </w:rPr>
        <w:t>Indian Journal of Industrial Relations</w:t>
      </w:r>
      <w:r>
        <w:t xml:space="preserve">, </w:t>
      </w:r>
      <w:r>
        <w:rPr>
          <w:i/>
        </w:rPr>
        <w:t>55</w:t>
      </w:r>
      <w:r>
        <w:t>(1), pp.105-120.</w:t>
      </w:r>
    </w:p>
    <w:p w14:paraId="50461210" w14:textId="77777777" w:rsidR="0084018A" w:rsidRDefault="00B14C69">
      <w:pPr>
        <w:spacing w:before="240" w:after="240"/>
      </w:pPr>
      <w:proofErr w:type="spellStart"/>
      <w:r>
        <w:rPr>
          <w:color w:val="222222"/>
          <w:highlight w:val="white"/>
        </w:rPr>
        <w:t>Awadari</w:t>
      </w:r>
      <w:proofErr w:type="spellEnd"/>
      <w:r>
        <w:rPr>
          <w:color w:val="222222"/>
          <w:highlight w:val="white"/>
        </w:rPr>
        <w:t xml:space="preserve">, A.C. and Kanwal, S., 2019. Employee participation in organisational change: A case of Tesco PLC. </w:t>
      </w:r>
      <w:r>
        <w:rPr>
          <w:i/>
        </w:rPr>
        <w:t>International Journal of Financial, Accounting, and Management</w:t>
      </w:r>
      <w:r>
        <w:t xml:space="preserve">, </w:t>
      </w:r>
      <w:r>
        <w:rPr>
          <w:i/>
        </w:rPr>
        <w:t>1</w:t>
      </w:r>
      <w:r>
        <w:t>(2), pp.91-99.</w:t>
      </w:r>
    </w:p>
    <w:p w14:paraId="50461211" w14:textId="77777777" w:rsidR="0084018A" w:rsidRDefault="00B14C69">
      <w:pPr>
        <w:spacing w:before="240" w:after="240"/>
      </w:pPr>
      <w:proofErr w:type="spellStart"/>
      <w:r>
        <w:rPr>
          <w:color w:val="222222"/>
          <w:highlight w:val="white"/>
        </w:rPr>
        <w:t>Awadari</w:t>
      </w:r>
      <w:proofErr w:type="spellEnd"/>
      <w:r>
        <w:rPr>
          <w:color w:val="222222"/>
          <w:highlight w:val="white"/>
        </w:rPr>
        <w:t xml:space="preserve">, A.C. and Kanwal, S., 2019. Employee participation in organisational change: A case of Tesco PLC. </w:t>
      </w:r>
      <w:r>
        <w:rPr>
          <w:i/>
        </w:rPr>
        <w:t>International Journal of Financial, Accounting, and Management</w:t>
      </w:r>
      <w:r>
        <w:t xml:space="preserve">, </w:t>
      </w:r>
      <w:r>
        <w:rPr>
          <w:i/>
        </w:rPr>
        <w:t>1</w:t>
      </w:r>
      <w:r>
        <w:t>(2), pp.91-99.</w:t>
      </w:r>
    </w:p>
    <w:p w14:paraId="50461212" w14:textId="77777777" w:rsidR="0084018A" w:rsidRDefault="00B14C69">
      <w:pPr>
        <w:spacing w:before="240" w:after="240"/>
        <w:rPr>
          <w:color w:val="222222"/>
          <w:highlight w:val="white"/>
        </w:rPr>
      </w:pPr>
      <w:r>
        <w:rPr>
          <w:color w:val="222222"/>
          <w:highlight w:val="white"/>
        </w:rPr>
        <w:t>Fader, E.J., 2018. Motivational Theory: A Brief Overview Eli J. Fader, Bradley L. Hoopes, and Patrick J. Korn Columbia International University.</w:t>
      </w:r>
    </w:p>
    <w:p w14:paraId="50461213" w14:textId="77777777" w:rsidR="0084018A" w:rsidRDefault="00B14C69">
      <w:pPr>
        <w:spacing w:before="240" w:after="240"/>
      </w:pPr>
      <w:proofErr w:type="spellStart"/>
      <w:r>
        <w:rPr>
          <w:color w:val="222222"/>
          <w:highlight w:val="white"/>
        </w:rPr>
        <w:t>Ferencikova</w:t>
      </w:r>
      <w:proofErr w:type="spellEnd"/>
      <w:r>
        <w:rPr>
          <w:color w:val="222222"/>
          <w:highlight w:val="white"/>
        </w:rPr>
        <w:t xml:space="preserve">, S., 2020. Reverse knowledge transfer from Central to Western Europe: Selected Case Studies. </w:t>
      </w:r>
      <w:r>
        <w:rPr>
          <w:i/>
        </w:rPr>
        <w:t>Journal of Eastern European and Central Asian Research (JEECAR)</w:t>
      </w:r>
      <w:r>
        <w:t xml:space="preserve">, </w:t>
      </w:r>
      <w:r>
        <w:rPr>
          <w:i/>
        </w:rPr>
        <w:t>7</w:t>
      </w:r>
      <w:r>
        <w:t>(1), pp.1-11.</w:t>
      </w:r>
    </w:p>
    <w:p w14:paraId="50461214" w14:textId="77777777" w:rsidR="0084018A" w:rsidRDefault="00B14C69">
      <w:pPr>
        <w:spacing w:before="240" w:after="240"/>
      </w:pPr>
      <w:proofErr w:type="spellStart"/>
      <w:r>
        <w:rPr>
          <w:color w:val="222222"/>
          <w:highlight w:val="white"/>
        </w:rPr>
        <w:t>Hussainy</w:t>
      </w:r>
      <w:proofErr w:type="spellEnd"/>
      <w:r>
        <w:rPr>
          <w:color w:val="222222"/>
          <w:highlight w:val="white"/>
        </w:rPr>
        <w:t>, S.S. and Al-</w:t>
      </w:r>
      <w:proofErr w:type="spellStart"/>
      <w:r>
        <w:rPr>
          <w:color w:val="222222"/>
          <w:highlight w:val="white"/>
        </w:rPr>
        <w:t>Wahaibi</w:t>
      </w:r>
      <w:proofErr w:type="spellEnd"/>
      <w:r>
        <w:rPr>
          <w:color w:val="222222"/>
          <w:highlight w:val="white"/>
        </w:rPr>
        <w:t xml:space="preserve">, M.A., 2022. Motivational Theories and Models for Employees Motivation &amp; Retention. </w:t>
      </w:r>
      <w:r>
        <w:rPr>
          <w:i/>
        </w:rPr>
        <w:t>Current Aspects in Business, Economics and Finance Vol. 6</w:t>
      </w:r>
      <w:r>
        <w:t>, pp.51-63.</w:t>
      </w:r>
    </w:p>
    <w:p w14:paraId="50461215" w14:textId="77777777" w:rsidR="0084018A" w:rsidRDefault="00B14C69">
      <w:pPr>
        <w:spacing w:before="240" w:after="240"/>
        <w:rPr>
          <w:color w:val="222222"/>
          <w:highlight w:val="white"/>
        </w:rPr>
      </w:pPr>
      <w:r>
        <w:rPr>
          <w:color w:val="222222"/>
          <w:highlight w:val="white"/>
        </w:rPr>
        <w:t>James, A. and Cooper, B., 2018. The Impact of Relationship Marketing on Customer Loyalty at Tesco Plc, UK.</w:t>
      </w:r>
    </w:p>
    <w:p w14:paraId="50461216" w14:textId="77777777" w:rsidR="0084018A" w:rsidRDefault="00B14C69">
      <w:pPr>
        <w:spacing w:before="240" w:after="240"/>
      </w:pPr>
      <w:r>
        <w:rPr>
          <w:color w:val="222222"/>
          <w:highlight w:val="white"/>
        </w:rPr>
        <w:t xml:space="preserve">Loonam, J., Eaves, S., Kumar, V. and Parry, G., 2018. Towards digital transformation: Lessons learned from traditional organisations. </w:t>
      </w:r>
      <w:r>
        <w:rPr>
          <w:i/>
        </w:rPr>
        <w:t>Strategic Change</w:t>
      </w:r>
      <w:r>
        <w:t xml:space="preserve">, </w:t>
      </w:r>
      <w:r>
        <w:rPr>
          <w:i/>
        </w:rPr>
        <w:t>27</w:t>
      </w:r>
      <w:r>
        <w:t>(2), pp.101-109.</w:t>
      </w:r>
    </w:p>
    <w:p w14:paraId="50461217" w14:textId="77777777" w:rsidR="0084018A" w:rsidRDefault="00B14C69">
      <w:pPr>
        <w:spacing w:before="240" w:after="240"/>
      </w:pPr>
      <w:r>
        <w:rPr>
          <w:color w:val="222222"/>
          <w:highlight w:val="white"/>
        </w:rPr>
        <w:t xml:space="preserve">Lord, N., </w:t>
      </w:r>
      <w:proofErr w:type="spellStart"/>
      <w:r>
        <w:rPr>
          <w:color w:val="222222"/>
          <w:highlight w:val="white"/>
        </w:rPr>
        <w:t>Wingerde</w:t>
      </w:r>
      <w:proofErr w:type="spellEnd"/>
      <w:r>
        <w:rPr>
          <w:color w:val="222222"/>
          <w:highlight w:val="white"/>
        </w:rPr>
        <w:t xml:space="preserve">, K.V. and Campbell, L., 2018. Organising the monies of corporate financial crimes via organisational structures: Ostensible legitimacy, effective anonymity, and third-party facilitation. </w:t>
      </w:r>
      <w:r>
        <w:rPr>
          <w:i/>
        </w:rPr>
        <w:t>Administrative Sciences</w:t>
      </w:r>
      <w:r>
        <w:t xml:space="preserve">, </w:t>
      </w:r>
      <w:r>
        <w:rPr>
          <w:i/>
        </w:rPr>
        <w:t>8</w:t>
      </w:r>
      <w:r>
        <w:t>(2), p.17.</w:t>
      </w:r>
    </w:p>
    <w:p w14:paraId="50461218" w14:textId="77777777" w:rsidR="0084018A" w:rsidRDefault="00B14C69">
      <w:pPr>
        <w:spacing w:before="240" w:after="240"/>
      </w:pPr>
      <w:r>
        <w:rPr>
          <w:color w:val="222222"/>
          <w:highlight w:val="white"/>
        </w:rPr>
        <w:lastRenderedPageBreak/>
        <w:t xml:space="preserve">Paavola, L. and Cuthbertson, R., 2022. Redefining capabilities as drivers of adaptation, incremental change, and transformation: Recognizing the importance of strategic and operational intent on performance. </w:t>
      </w:r>
      <w:r>
        <w:rPr>
          <w:i/>
        </w:rPr>
        <w:t>Journal of Management &amp; Organisation</w:t>
      </w:r>
      <w:r>
        <w:t xml:space="preserve">, </w:t>
      </w:r>
      <w:r>
        <w:rPr>
          <w:i/>
        </w:rPr>
        <w:t>28</w:t>
      </w:r>
      <w:r>
        <w:t>(3), pp.522-539.</w:t>
      </w:r>
    </w:p>
    <w:p w14:paraId="50461219" w14:textId="77777777" w:rsidR="0084018A" w:rsidRDefault="00B14C69">
      <w:pPr>
        <w:spacing w:before="240" w:after="240"/>
        <w:rPr>
          <w:color w:val="222222"/>
          <w:highlight w:val="white"/>
        </w:rPr>
      </w:pPr>
      <w:r>
        <w:rPr>
          <w:color w:val="222222"/>
          <w:highlight w:val="white"/>
        </w:rPr>
        <w:t>Peng, L., 2018. The Research about Organisational Management Adaptability in The Process of Localization in China: The Case Study of Tesco.</w:t>
      </w:r>
    </w:p>
    <w:p w14:paraId="5046121A" w14:textId="77777777" w:rsidR="0084018A" w:rsidRDefault="00B14C69">
      <w:pPr>
        <w:spacing w:before="240" w:after="240"/>
      </w:pPr>
      <w:proofErr w:type="spellStart"/>
      <w:r>
        <w:rPr>
          <w:color w:val="222222"/>
          <w:highlight w:val="white"/>
        </w:rPr>
        <w:t>Xinyun</w:t>
      </w:r>
      <w:proofErr w:type="spellEnd"/>
      <w:r>
        <w:rPr>
          <w:color w:val="222222"/>
          <w:highlight w:val="white"/>
        </w:rPr>
        <w:t xml:space="preserve">, T., 2018, December. A Multimodal Critical Analysis in Business Discourse: The Case of the Corporate Annual Report of Tesco. In </w:t>
      </w:r>
      <w:r>
        <w:rPr>
          <w:i/>
        </w:rPr>
        <w:t xml:space="preserve">5th International Conference on Education, Language, </w:t>
      </w:r>
      <w:proofErr w:type="gramStart"/>
      <w:r>
        <w:rPr>
          <w:i/>
        </w:rPr>
        <w:t>Art</w:t>
      </w:r>
      <w:proofErr w:type="gramEnd"/>
      <w:r>
        <w:rPr>
          <w:i/>
        </w:rPr>
        <w:t xml:space="preserve"> and Inter-cultural Communication (ICELAIC 2018)</w:t>
      </w:r>
      <w:r>
        <w:t xml:space="preserve"> (pp. 433-440). Atlantis Press.</w:t>
      </w:r>
    </w:p>
    <w:p w14:paraId="5046121B" w14:textId="77777777" w:rsidR="0084018A" w:rsidRDefault="0084018A"/>
    <w:p w14:paraId="5046121C" w14:textId="77777777" w:rsidR="0084018A" w:rsidRDefault="0084018A"/>
    <w:p w14:paraId="5046121D" w14:textId="77777777" w:rsidR="0084018A" w:rsidRDefault="0084018A"/>
    <w:sectPr w:rsidR="0084018A">
      <w:footerReference w:type="default" r:id="rId7"/>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61220" w14:textId="77777777" w:rsidR="00B14C69" w:rsidRDefault="00B14C69">
      <w:pPr>
        <w:spacing w:line="240" w:lineRule="auto"/>
      </w:pPr>
      <w:r>
        <w:separator/>
      </w:r>
    </w:p>
  </w:endnote>
  <w:endnote w:type="continuationSeparator" w:id="0">
    <w:p w14:paraId="50461221" w14:textId="77777777" w:rsidR="00B14C69" w:rsidRDefault="00B14C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61222" w14:textId="77777777" w:rsidR="0084018A" w:rsidRDefault="00B14C69">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0</w:t>
    </w:r>
    <w:r>
      <w:rPr>
        <w:color w:val="000000"/>
      </w:rPr>
      <w:fldChar w:fldCharType="end"/>
    </w:r>
  </w:p>
  <w:p w14:paraId="50461223" w14:textId="77777777" w:rsidR="0084018A" w:rsidRDefault="0084018A">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46121E" w14:textId="77777777" w:rsidR="00B14C69" w:rsidRDefault="00B14C69">
      <w:pPr>
        <w:spacing w:line="240" w:lineRule="auto"/>
      </w:pPr>
      <w:r>
        <w:separator/>
      </w:r>
    </w:p>
  </w:footnote>
  <w:footnote w:type="continuationSeparator" w:id="0">
    <w:p w14:paraId="5046121F" w14:textId="77777777" w:rsidR="00B14C69" w:rsidRDefault="00B14C6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8518B0"/>
    <w:multiLevelType w:val="hybridMultilevel"/>
    <w:tmpl w:val="3DD811D4"/>
    <w:lvl w:ilvl="0" w:tplc="544EA4B0">
      <w:start w:val="1"/>
      <w:numFmt w:val="bullet"/>
      <w:lvlText w:val=""/>
      <w:lvlJc w:val="left"/>
      <w:pPr>
        <w:tabs>
          <w:tab w:val="num" w:pos="720"/>
        </w:tabs>
        <w:ind w:left="720" w:hanging="360"/>
      </w:pPr>
      <w:rPr>
        <w:rFonts w:ascii="Symbol" w:hAnsi="Symbol" w:hint="default"/>
        <w:color w:val="000000" w:themeColor="text1"/>
      </w:rPr>
    </w:lvl>
    <w:lvl w:ilvl="1" w:tplc="FF46EF16" w:tentative="1">
      <w:start w:val="1"/>
      <w:numFmt w:val="bullet"/>
      <w:lvlText w:val="•"/>
      <w:lvlJc w:val="left"/>
      <w:pPr>
        <w:tabs>
          <w:tab w:val="num" w:pos="1440"/>
        </w:tabs>
        <w:ind w:left="1440" w:hanging="360"/>
      </w:pPr>
      <w:rPr>
        <w:rFonts w:ascii="Arial" w:hAnsi="Arial" w:hint="default"/>
      </w:rPr>
    </w:lvl>
    <w:lvl w:ilvl="2" w:tplc="B224929E" w:tentative="1">
      <w:start w:val="1"/>
      <w:numFmt w:val="bullet"/>
      <w:lvlText w:val="•"/>
      <w:lvlJc w:val="left"/>
      <w:pPr>
        <w:tabs>
          <w:tab w:val="num" w:pos="2160"/>
        </w:tabs>
        <w:ind w:left="2160" w:hanging="360"/>
      </w:pPr>
      <w:rPr>
        <w:rFonts w:ascii="Arial" w:hAnsi="Arial" w:hint="default"/>
      </w:rPr>
    </w:lvl>
    <w:lvl w:ilvl="3" w:tplc="2856B280" w:tentative="1">
      <w:start w:val="1"/>
      <w:numFmt w:val="bullet"/>
      <w:lvlText w:val="•"/>
      <w:lvlJc w:val="left"/>
      <w:pPr>
        <w:tabs>
          <w:tab w:val="num" w:pos="2880"/>
        </w:tabs>
        <w:ind w:left="2880" w:hanging="360"/>
      </w:pPr>
      <w:rPr>
        <w:rFonts w:ascii="Arial" w:hAnsi="Arial" w:hint="default"/>
      </w:rPr>
    </w:lvl>
    <w:lvl w:ilvl="4" w:tplc="788E4AE6" w:tentative="1">
      <w:start w:val="1"/>
      <w:numFmt w:val="bullet"/>
      <w:lvlText w:val="•"/>
      <w:lvlJc w:val="left"/>
      <w:pPr>
        <w:tabs>
          <w:tab w:val="num" w:pos="3600"/>
        </w:tabs>
        <w:ind w:left="3600" w:hanging="360"/>
      </w:pPr>
      <w:rPr>
        <w:rFonts w:ascii="Arial" w:hAnsi="Arial" w:hint="default"/>
      </w:rPr>
    </w:lvl>
    <w:lvl w:ilvl="5" w:tplc="D04688F6" w:tentative="1">
      <w:start w:val="1"/>
      <w:numFmt w:val="bullet"/>
      <w:lvlText w:val="•"/>
      <w:lvlJc w:val="left"/>
      <w:pPr>
        <w:tabs>
          <w:tab w:val="num" w:pos="4320"/>
        </w:tabs>
        <w:ind w:left="4320" w:hanging="360"/>
      </w:pPr>
      <w:rPr>
        <w:rFonts w:ascii="Arial" w:hAnsi="Arial" w:hint="default"/>
      </w:rPr>
    </w:lvl>
    <w:lvl w:ilvl="6" w:tplc="EC227678" w:tentative="1">
      <w:start w:val="1"/>
      <w:numFmt w:val="bullet"/>
      <w:lvlText w:val="•"/>
      <w:lvlJc w:val="left"/>
      <w:pPr>
        <w:tabs>
          <w:tab w:val="num" w:pos="5040"/>
        </w:tabs>
        <w:ind w:left="5040" w:hanging="360"/>
      </w:pPr>
      <w:rPr>
        <w:rFonts w:ascii="Arial" w:hAnsi="Arial" w:hint="default"/>
      </w:rPr>
    </w:lvl>
    <w:lvl w:ilvl="7" w:tplc="347ABC84" w:tentative="1">
      <w:start w:val="1"/>
      <w:numFmt w:val="bullet"/>
      <w:lvlText w:val="•"/>
      <w:lvlJc w:val="left"/>
      <w:pPr>
        <w:tabs>
          <w:tab w:val="num" w:pos="5760"/>
        </w:tabs>
        <w:ind w:left="5760" w:hanging="360"/>
      </w:pPr>
      <w:rPr>
        <w:rFonts w:ascii="Arial" w:hAnsi="Arial" w:hint="default"/>
      </w:rPr>
    </w:lvl>
    <w:lvl w:ilvl="8" w:tplc="9E7430F8" w:tentative="1">
      <w:start w:val="1"/>
      <w:numFmt w:val="bullet"/>
      <w:lvlText w:val="•"/>
      <w:lvlJc w:val="left"/>
      <w:pPr>
        <w:tabs>
          <w:tab w:val="num" w:pos="6480"/>
        </w:tabs>
        <w:ind w:left="6480" w:hanging="360"/>
      </w:pPr>
      <w:rPr>
        <w:rFonts w:ascii="Arial" w:hAnsi="Arial" w:hint="default"/>
      </w:rPr>
    </w:lvl>
  </w:abstractNum>
  <w:num w:numId="1" w16cid:durableId="1661805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018A"/>
    <w:rsid w:val="00051338"/>
    <w:rsid w:val="00094D8C"/>
    <w:rsid w:val="0015609D"/>
    <w:rsid w:val="00395B22"/>
    <w:rsid w:val="003D70DE"/>
    <w:rsid w:val="00534125"/>
    <w:rsid w:val="006F53E2"/>
    <w:rsid w:val="0084018A"/>
    <w:rsid w:val="00B14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611DD"/>
  <w15:docId w15:val="{694C4C17-930A-433D-9206-51E691ED4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rPr>
  </w:style>
  <w:style w:type="paragraph" w:styleId="Heading2">
    <w:name w:val="heading 2"/>
    <w:basedOn w:val="Normal"/>
    <w:next w:val="Normal"/>
    <w:uiPriority w:val="9"/>
    <w:unhideWhenUsed/>
    <w:qFormat/>
    <w:pPr>
      <w:keepNext/>
      <w:keepLines/>
      <w:spacing w:before="360" w:after="120"/>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ListParagraph">
    <w:name w:val="List Paragraph"/>
    <w:basedOn w:val="Normal"/>
    <w:uiPriority w:val="34"/>
    <w:qFormat/>
    <w:rsid w:val="006F53E2"/>
    <w:pPr>
      <w:spacing w:after="160" w:line="259" w:lineRule="auto"/>
      <w:ind w:left="720"/>
      <w:contextualSpacing/>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2463</Words>
  <Characters>14041</Characters>
  <Application>Microsoft Office Word</Application>
  <DocSecurity>0</DocSecurity>
  <Lines>117</Lines>
  <Paragraphs>32</Paragraphs>
  <ScaleCrop>false</ScaleCrop>
  <Company/>
  <LinksUpToDate>false</LinksUpToDate>
  <CharactersWithSpaces>16472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Veronica Daniela Floria</dc:creator>
  <cp:lastModifiedBy>Veronica Daniela Floria</cp:lastModifiedBy>
  <cp:revision>2</cp:revision>
  <dcterms:created xsi:type="dcterms:W3CDTF">2023-09-01T09:43:00Z</dcterms:created>
  <dcterms:modified xsi:type="dcterms:W3CDTF">2023-09-01T09:43:00Z</dcterms:modified>
</cp:coreProperties>
</file>