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F4667F" w14:textId="77777777" w:rsidR="009C0CC7" w:rsidRDefault="009C0CC7">
      <w:pPr>
        <w:pStyle w:val="Title"/>
      </w:pPr>
      <w:bookmarkStart w:id="0" w:name="_hcngmmt7l3fa" w:colFirst="0" w:colLast="0"/>
      <w:bookmarkEnd w:id="0"/>
    </w:p>
    <w:p w14:paraId="0E0D088E" w14:textId="77777777" w:rsidR="009C0CC7" w:rsidRDefault="009C0CC7">
      <w:pPr>
        <w:pStyle w:val="Title"/>
      </w:pPr>
    </w:p>
    <w:p w14:paraId="250DF126" w14:textId="38AAF590" w:rsidR="009C0CC7" w:rsidRDefault="0044047E">
      <w:pPr>
        <w:pStyle w:val="Title"/>
      </w:pPr>
      <w:r>
        <w:t>Rumen Kovachev</w:t>
      </w:r>
    </w:p>
    <w:p w14:paraId="119B67E3" w14:textId="0C3C53DA" w:rsidR="0044047E" w:rsidRPr="0044047E" w:rsidRDefault="0044047E" w:rsidP="0044047E">
      <w:pPr>
        <w:pStyle w:val="Normal1"/>
      </w:pPr>
      <w:r>
        <w:t xml:space="preserve">                                                                                                                                                            Student ID 2119897</w:t>
      </w:r>
    </w:p>
    <w:p w14:paraId="22E9162C" w14:textId="77777777" w:rsidR="009C0CC7" w:rsidRDefault="009C0CC7">
      <w:pPr>
        <w:pStyle w:val="Title"/>
      </w:pPr>
    </w:p>
    <w:p w14:paraId="630467E1" w14:textId="77777777" w:rsidR="009C0CC7" w:rsidRDefault="009C0CC7">
      <w:pPr>
        <w:pStyle w:val="Title"/>
      </w:pPr>
    </w:p>
    <w:p w14:paraId="3B121109" w14:textId="77777777" w:rsidR="009C0CC7" w:rsidRDefault="009C0CC7">
      <w:pPr>
        <w:pStyle w:val="Title"/>
      </w:pPr>
    </w:p>
    <w:p w14:paraId="3F244822" w14:textId="77777777" w:rsidR="009C0CC7" w:rsidRDefault="009C0CC7">
      <w:pPr>
        <w:pStyle w:val="Title"/>
      </w:pPr>
    </w:p>
    <w:p w14:paraId="6DF00D3A" w14:textId="77777777" w:rsidR="009C0CC7" w:rsidRDefault="009C0CC7">
      <w:pPr>
        <w:pStyle w:val="Title"/>
      </w:pPr>
    </w:p>
    <w:p w14:paraId="2D3851D9" w14:textId="77777777" w:rsidR="00B97A69" w:rsidRDefault="001B5626">
      <w:pPr>
        <w:pStyle w:val="Title"/>
      </w:pPr>
      <w:r>
        <w:t>ACCOUNTING FUNDAMENTALS</w:t>
      </w:r>
      <w:r>
        <w:br w:type="page"/>
      </w:r>
    </w:p>
    <w:bookmarkStart w:id="1" w:name="_nf952kocrxkl" w:colFirst="0" w:colLast="0" w:displacedByCustomXml="next"/>
    <w:bookmarkEnd w:id="1" w:displacedByCustomXml="next"/>
    <w:sdt>
      <w:sdtPr>
        <w:rPr>
          <w:rFonts w:ascii="Times New Roman" w:eastAsia="Times New Roman" w:hAnsi="Times New Roman" w:cs="Times New Roman"/>
          <w:b w:val="0"/>
          <w:bCs w:val="0"/>
          <w:color w:val="auto"/>
          <w:sz w:val="24"/>
          <w:szCs w:val="24"/>
          <w:lang w:val="en-GB"/>
        </w:rPr>
        <w:id w:val="14141756"/>
        <w:docPartObj>
          <w:docPartGallery w:val="Table of Contents"/>
          <w:docPartUnique/>
        </w:docPartObj>
      </w:sdtPr>
      <w:sdtContent>
        <w:p w14:paraId="64A8BB56" w14:textId="77777777" w:rsidR="00B8440F" w:rsidRDefault="00B8440F" w:rsidP="00D84168">
          <w:pPr>
            <w:pStyle w:val="TOCHeading"/>
            <w:spacing w:line="360" w:lineRule="auto"/>
            <w:jc w:val="center"/>
          </w:pPr>
          <w:r w:rsidRPr="00D84168">
            <w:rPr>
              <w:rFonts w:ascii="Times New Roman" w:hAnsi="Times New Roman" w:cs="Times New Roman"/>
              <w:color w:val="000000" w:themeColor="text1"/>
              <w:sz w:val="24"/>
            </w:rPr>
            <w:t>Table of Contents</w:t>
          </w:r>
        </w:p>
        <w:p w14:paraId="3827B35A" w14:textId="77777777" w:rsidR="00E637B7" w:rsidRDefault="003639F3">
          <w:pPr>
            <w:pStyle w:val="TOC1"/>
            <w:tabs>
              <w:tab w:val="right" w:leader="dot" w:pos="9350"/>
            </w:tabs>
            <w:rPr>
              <w:rFonts w:asciiTheme="minorHAnsi" w:eastAsiaTheme="minorEastAsia" w:hAnsiTheme="minorHAnsi" w:cstheme="minorBidi"/>
              <w:noProof/>
              <w:sz w:val="22"/>
              <w:szCs w:val="22"/>
              <w:lang w:val="en-US"/>
            </w:rPr>
          </w:pPr>
          <w:r>
            <w:fldChar w:fldCharType="begin"/>
          </w:r>
          <w:r w:rsidR="00B8440F">
            <w:instrText xml:space="preserve"> TOC \o "1-3" \h \z \u </w:instrText>
          </w:r>
          <w:r>
            <w:fldChar w:fldCharType="separate"/>
          </w:r>
          <w:hyperlink w:anchor="_Toc120611665" w:history="1">
            <w:r w:rsidR="00E637B7" w:rsidRPr="005B38D5">
              <w:rPr>
                <w:rStyle w:val="Hyperlink"/>
                <w:noProof/>
              </w:rPr>
              <w:t>Question 1</w:t>
            </w:r>
            <w:r w:rsidR="00E637B7">
              <w:rPr>
                <w:noProof/>
                <w:webHidden/>
              </w:rPr>
              <w:tab/>
            </w:r>
            <w:r>
              <w:rPr>
                <w:noProof/>
                <w:webHidden/>
              </w:rPr>
              <w:fldChar w:fldCharType="begin"/>
            </w:r>
            <w:r w:rsidR="00E637B7">
              <w:rPr>
                <w:noProof/>
                <w:webHidden/>
              </w:rPr>
              <w:instrText xml:space="preserve"> PAGEREF _Toc120611665 \h </w:instrText>
            </w:r>
            <w:r>
              <w:rPr>
                <w:noProof/>
                <w:webHidden/>
              </w:rPr>
            </w:r>
            <w:r>
              <w:rPr>
                <w:noProof/>
                <w:webHidden/>
              </w:rPr>
              <w:fldChar w:fldCharType="separate"/>
            </w:r>
            <w:r w:rsidR="00E637B7">
              <w:rPr>
                <w:noProof/>
                <w:webHidden/>
              </w:rPr>
              <w:t>3</w:t>
            </w:r>
            <w:r>
              <w:rPr>
                <w:noProof/>
                <w:webHidden/>
              </w:rPr>
              <w:fldChar w:fldCharType="end"/>
            </w:r>
          </w:hyperlink>
        </w:p>
        <w:p w14:paraId="661846C1" w14:textId="77777777" w:rsidR="00E637B7" w:rsidRDefault="00000000">
          <w:pPr>
            <w:pStyle w:val="TOC2"/>
            <w:tabs>
              <w:tab w:val="right" w:leader="dot" w:pos="9350"/>
            </w:tabs>
            <w:rPr>
              <w:rFonts w:asciiTheme="minorHAnsi" w:eastAsiaTheme="minorEastAsia" w:hAnsiTheme="minorHAnsi" w:cstheme="minorBidi"/>
              <w:noProof/>
              <w:sz w:val="22"/>
              <w:szCs w:val="22"/>
              <w:lang w:val="en-US"/>
            </w:rPr>
          </w:pPr>
          <w:hyperlink w:anchor="_Toc120611666" w:history="1">
            <w:r w:rsidR="00E637B7" w:rsidRPr="005B38D5">
              <w:rPr>
                <w:rStyle w:val="Hyperlink"/>
                <w:noProof/>
              </w:rPr>
              <w:t>A. Determine the financial position and income statement</w:t>
            </w:r>
            <w:r w:rsidR="00E637B7">
              <w:rPr>
                <w:noProof/>
                <w:webHidden/>
              </w:rPr>
              <w:tab/>
            </w:r>
            <w:r w:rsidR="003639F3">
              <w:rPr>
                <w:noProof/>
                <w:webHidden/>
              </w:rPr>
              <w:fldChar w:fldCharType="begin"/>
            </w:r>
            <w:r w:rsidR="00E637B7">
              <w:rPr>
                <w:noProof/>
                <w:webHidden/>
              </w:rPr>
              <w:instrText xml:space="preserve"> PAGEREF _Toc120611666 \h </w:instrText>
            </w:r>
            <w:r w:rsidR="003639F3">
              <w:rPr>
                <w:noProof/>
                <w:webHidden/>
              </w:rPr>
            </w:r>
            <w:r w:rsidR="003639F3">
              <w:rPr>
                <w:noProof/>
                <w:webHidden/>
              </w:rPr>
              <w:fldChar w:fldCharType="separate"/>
            </w:r>
            <w:r w:rsidR="00E637B7">
              <w:rPr>
                <w:noProof/>
                <w:webHidden/>
              </w:rPr>
              <w:t>3</w:t>
            </w:r>
            <w:r w:rsidR="003639F3">
              <w:rPr>
                <w:noProof/>
                <w:webHidden/>
              </w:rPr>
              <w:fldChar w:fldCharType="end"/>
            </w:r>
          </w:hyperlink>
        </w:p>
        <w:p w14:paraId="4C5F49C2" w14:textId="77777777" w:rsidR="00E637B7" w:rsidRDefault="00000000">
          <w:pPr>
            <w:pStyle w:val="TOC2"/>
            <w:tabs>
              <w:tab w:val="right" w:leader="dot" w:pos="9350"/>
            </w:tabs>
            <w:rPr>
              <w:rFonts w:asciiTheme="minorHAnsi" w:eastAsiaTheme="minorEastAsia" w:hAnsiTheme="minorHAnsi" w:cstheme="minorBidi"/>
              <w:noProof/>
              <w:sz w:val="22"/>
              <w:szCs w:val="22"/>
              <w:lang w:val="en-US"/>
            </w:rPr>
          </w:pPr>
          <w:hyperlink w:anchor="_Toc120611667" w:history="1">
            <w:r w:rsidR="00E637B7" w:rsidRPr="005B38D5">
              <w:rPr>
                <w:rStyle w:val="Hyperlink"/>
                <w:noProof/>
              </w:rPr>
              <w:t>B. Analyze the reason behind the balance of the financial position statement</w:t>
            </w:r>
            <w:r w:rsidR="00E637B7">
              <w:rPr>
                <w:noProof/>
                <w:webHidden/>
              </w:rPr>
              <w:tab/>
            </w:r>
            <w:r w:rsidR="003639F3">
              <w:rPr>
                <w:noProof/>
                <w:webHidden/>
              </w:rPr>
              <w:fldChar w:fldCharType="begin"/>
            </w:r>
            <w:r w:rsidR="00E637B7">
              <w:rPr>
                <w:noProof/>
                <w:webHidden/>
              </w:rPr>
              <w:instrText xml:space="preserve"> PAGEREF _Toc120611667 \h </w:instrText>
            </w:r>
            <w:r w:rsidR="003639F3">
              <w:rPr>
                <w:noProof/>
                <w:webHidden/>
              </w:rPr>
            </w:r>
            <w:r w:rsidR="003639F3">
              <w:rPr>
                <w:noProof/>
                <w:webHidden/>
              </w:rPr>
              <w:fldChar w:fldCharType="separate"/>
            </w:r>
            <w:r w:rsidR="00E637B7">
              <w:rPr>
                <w:noProof/>
                <w:webHidden/>
              </w:rPr>
              <w:t>6</w:t>
            </w:r>
            <w:r w:rsidR="003639F3">
              <w:rPr>
                <w:noProof/>
                <w:webHidden/>
              </w:rPr>
              <w:fldChar w:fldCharType="end"/>
            </w:r>
          </w:hyperlink>
        </w:p>
        <w:p w14:paraId="7E9D63AD" w14:textId="77777777" w:rsidR="00E637B7" w:rsidRDefault="00000000">
          <w:pPr>
            <w:pStyle w:val="TOC1"/>
            <w:tabs>
              <w:tab w:val="right" w:leader="dot" w:pos="9350"/>
            </w:tabs>
            <w:rPr>
              <w:rFonts w:asciiTheme="minorHAnsi" w:eastAsiaTheme="minorEastAsia" w:hAnsiTheme="minorHAnsi" w:cstheme="minorBidi"/>
              <w:noProof/>
              <w:sz w:val="22"/>
              <w:szCs w:val="22"/>
              <w:lang w:val="en-US"/>
            </w:rPr>
          </w:pPr>
          <w:hyperlink w:anchor="_Toc120611668" w:history="1">
            <w:r w:rsidR="00E637B7" w:rsidRPr="005B38D5">
              <w:rPr>
                <w:rStyle w:val="Hyperlink"/>
                <w:noProof/>
              </w:rPr>
              <w:t>Question 2</w:t>
            </w:r>
            <w:r w:rsidR="00E637B7">
              <w:rPr>
                <w:noProof/>
                <w:webHidden/>
              </w:rPr>
              <w:tab/>
            </w:r>
            <w:r w:rsidR="003639F3">
              <w:rPr>
                <w:noProof/>
                <w:webHidden/>
              </w:rPr>
              <w:fldChar w:fldCharType="begin"/>
            </w:r>
            <w:r w:rsidR="00E637B7">
              <w:rPr>
                <w:noProof/>
                <w:webHidden/>
              </w:rPr>
              <w:instrText xml:space="preserve"> PAGEREF _Toc120611668 \h </w:instrText>
            </w:r>
            <w:r w:rsidR="003639F3">
              <w:rPr>
                <w:noProof/>
                <w:webHidden/>
              </w:rPr>
            </w:r>
            <w:r w:rsidR="003639F3">
              <w:rPr>
                <w:noProof/>
                <w:webHidden/>
              </w:rPr>
              <w:fldChar w:fldCharType="separate"/>
            </w:r>
            <w:r w:rsidR="00E637B7">
              <w:rPr>
                <w:noProof/>
                <w:webHidden/>
              </w:rPr>
              <w:t>8</w:t>
            </w:r>
            <w:r w:rsidR="003639F3">
              <w:rPr>
                <w:noProof/>
                <w:webHidden/>
              </w:rPr>
              <w:fldChar w:fldCharType="end"/>
            </w:r>
          </w:hyperlink>
        </w:p>
        <w:p w14:paraId="7705D9A2" w14:textId="77777777" w:rsidR="00E637B7" w:rsidRDefault="00000000">
          <w:pPr>
            <w:pStyle w:val="TOC2"/>
            <w:tabs>
              <w:tab w:val="right" w:leader="dot" w:pos="9350"/>
            </w:tabs>
            <w:rPr>
              <w:rFonts w:asciiTheme="minorHAnsi" w:eastAsiaTheme="minorEastAsia" w:hAnsiTheme="minorHAnsi" w:cstheme="minorBidi"/>
              <w:noProof/>
              <w:sz w:val="22"/>
              <w:szCs w:val="22"/>
              <w:lang w:val="en-US"/>
            </w:rPr>
          </w:pPr>
          <w:hyperlink w:anchor="_Toc120611669" w:history="1">
            <w:r w:rsidR="00E637B7" w:rsidRPr="005B38D5">
              <w:rPr>
                <w:rStyle w:val="Hyperlink"/>
                <w:noProof/>
              </w:rPr>
              <w:t>A. Calculation of the below-mentioned ratios</w:t>
            </w:r>
            <w:r w:rsidR="00E637B7">
              <w:rPr>
                <w:noProof/>
                <w:webHidden/>
              </w:rPr>
              <w:tab/>
            </w:r>
            <w:r w:rsidR="003639F3">
              <w:rPr>
                <w:noProof/>
                <w:webHidden/>
              </w:rPr>
              <w:fldChar w:fldCharType="begin"/>
            </w:r>
            <w:r w:rsidR="00E637B7">
              <w:rPr>
                <w:noProof/>
                <w:webHidden/>
              </w:rPr>
              <w:instrText xml:space="preserve"> PAGEREF _Toc120611669 \h </w:instrText>
            </w:r>
            <w:r w:rsidR="003639F3">
              <w:rPr>
                <w:noProof/>
                <w:webHidden/>
              </w:rPr>
            </w:r>
            <w:r w:rsidR="003639F3">
              <w:rPr>
                <w:noProof/>
                <w:webHidden/>
              </w:rPr>
              <w:fldChar w:fldCharType="separate"/>
            </w:r>
            <w:r w:rsidR="00E637B7">
              <w:rPr>
                <w:noProof/>
                <w:webHidden/>
              </w:rPr>
              <w:t>8</w:t>
            </w:r>
            <w:r w:rsidR="003639F3">
              <w:rPr>
                <w:noProof/>
                <w:webHidden/>
              </w:rPr>
              <w:fldChar w:fldCharType="end"/>
            </w:r>
          </w:hyperlink>
        </w:p>
        <w:p w14:paraId="367B0A5F" w14:textId="77777777" w:rsidR="00E637B7" w:rsidRDefault="00000000">
          <w:pPr>
            <w:pStyle w:val="TOC2"/>
            <w:tabs>
              <w:tab w:val="right" w:leader="dot" w:pos="9350"/>
            </w:tabs>
            <w:rPr>
              <w:rFonts w:asciiTheme="minorHAnsi" w:eastAsiaTheme="minorEastAsia" w:hAnsiTheme="minorHAnsi" w:cstheme="minorBidi"/>
              <w:noProof/>
              <w:sz w:val="22"/>
              <w:szCs w:val="22"/>
              <w:lang w:val="en-US"/>
            </w:rPr>
          </w:pPr>
          <w:hyperlink w:anchor="_Toc120611670" w:history="1">
            <w:r w:rsidR="00E637B7" w:rsidRPr="005B38D5">
              <w:rPr>
                <w:rStyle w:val="Hyperlink"/>
                <w:noProof/>
              </w:rPr>
              <w:t>B. Critical use of the financial statement information for ratio calculation and analysis of the financial performance</w:t>
            </w:r>
            <w:r w:rsidR="00E637B7">
              <w:rPr>
                <w:noProof/>
                <w:webHidden/>
              </w:rPr>
              <w:tab/>
            </w:r>
            <w:r w:rsidR="003639F3">
              <w:rPr>
                <w:noProof/>
                <w:webHidden/>
              </w:rPr>
              <w:fldChar w:fldCharType="begin"/>
            </w:r>
            <w:r w:rsidR="00E637B7">
              <w:rPr>
                <w:noProof/>
                <w:webHidden/>
              </w:rPr>
              <w:instrText xml:space="preserve"> PAGEREF _Toc120611670 \h </w:instrText>
            </w:r>
            <w:r w:rsidR="003639F3">
              <w:rPr>
                <w:noProof/>
                <w:webHidden/>
              </w:rPr>
            </w:r>
            <w:r w:rsidR="003639F3">
              <w:rPr>
                <w:noProof/>
                <w:webHidden/>
              </w:rPr>
              <w:fldChar w:fldCharType="separate"/>
            </w:r>
            <w:r w:rsidR="00E637B7">
              <w:rPr>
                <w:noProof/>
                <w:webHidden/>
              </w:rPr>
              <w:t>18</w:t>
            </w:r>
            <w:r w:rsidR="003639F3">
              <w:rPr>
                <w:noProof/>
                <w:webHidden/>
              </w:rPr>
              <w:fldChar w:fldCharType="end"/>
            </w:r>
          </w:hyperlink>
        </w:p>
        <w:p w14:paraId="2949B55B" w14:textId="77777777" w:rsidR="00E637B7" w:rsidRDefault="00000000">
          <w:pPr>
            <w:pStyle w:val="TOC1"/>
            <w:tabs>
              <w:tab w:val="right" w:leader="dot" w:pos="9350"/>
            </w:tabs>
            <w:rPr>
              <w:rFonts w:asciiTheme="minorHAnsi" w:eastAsiaTheme="minorEastAsia" w:hAnsiTheme="minorHAnsi" w:cstheme="minorBidi"/>
              <w:noProof/>
              <w:sz w:val="22"/>
              <w:szCs w:val="22"/>
              <w:lang w:val="en-US"/>
            </w:rPr>
          </w:pPr>
          <w:hyperlink w:anchor="_Toc120611671" w:history="1">
            <w:r w:rsidR="00E637B7" w:rsidRPr="005B38D5">
              <w:rPr>
                <w:rStyle w:val="Hyperlink"/>
                <w:noProof/>
              </w:rPr>
              <w:t>Reference list</w:t>
            </w:r>
            <w:r w:rsidR="00E637B7">
              <w:rPr>
                <w:noProof/>
                <w:webHidden/>
              </w:rPr>
              <w:tab/>
            </w:r>
            <w:r w:rsidR="003639F3">
              <w:rPr>
                <w:noProof/>
                <w:webHidden/>
              </w:rPr>
              <w:fldChar w:fldCharType="begin"/>
            </w:r>
            <w:r w:rsidR="00E637B7">
              <w:rPr>
                <w:noProof/>
                <w:webHidden/>
              </w:rPr>
              <w:instrText xml:space="preserve"> PAGEREF _Toc120611671 \h </w:instrText>
            </w:r>
            <w:r w:rsidR="003639F3">
              <w:rPr>
                <w:noProof/>
                <w:webHidden/>
              </w:rPr>
            </w:r>
            <w:r w:rsidR="003639F3">
              <w:rPr>
                <w:noProof/>
                <w:webHidden/>
              </w:rPr>
              <w:fldChar w:fldCharType="separate"/>
            </w:r>
            <w:r w:rsidR="00E637B7">
              <w:rPr>
                <w:noProof/>
                <w:webHidden/>
              </w:rPr>
              <w:t>20</w:t>
            </w:r>
            <w:r w:rsidR="003639F3">
              <w:rPr>
                <w:noProof/>
                <w:webHidden/>
              </w:rPr>
              <w:fldChar w:fldCharType="end"/>
            </w:r>
          </w:hyperlink>
        </w:p>
        <w:p w14:paraId="0BBF2B8B" w14:textId="77777777" w:rsidR="00B8440F" w:rsidRDefault="003639F3">
          <w:r>
            <w:fldChar w:fldCharType="end"/>
          </w:r>
        </w:p>
      </w:sdtContent>
    </w:sdt>
    <w:p w14:paraId="3FF631E9" w14:textId="77777777" w:rsidR="00B8440F" w:rsidRDefault="00B8440F">
      <w:pPr>
        <w:rPr>
          <w:b/>
        </w:rPr>
      </w:pPr>
      <w:r>
        <w:br w:type="page"/>
      </w:r>
    </w:p>
    <w:p w14:paraId="62E59D3F" w14:textId="77777777" w:rsidR="00B97A69" w:rsidRDefault="001B5626">
      <w:pPr>
        <w:pStyle w:val="Heading1"/>
      </w:pPr>
      <w:bookmarkStart w:id="2" w:name="_Toc120611665"/>
      <w:r>
        <w:t>Question 1</w:t>
      </w:r>
      <w:bookmarkEnd w:id="2"/>
    </w:p>
    <w:p w14:paraId="1DCE5F6B" w14:textId="77777777" w:rsidR="00B97A69" w:rsidRDefault="001B5626">
      <w:pPr>
        <w:pStyle w:val="Heading2"/>
      </w:pPr>
      <w:bookmarkStart w:id="3" w:name="_v70bxjeucfb9" w:colFirst="0" w:colLast="0"/>
      <w:bookmarkStart w:id="4" w:name="_Toc120611666"/>
      <w:bookmarkEnd w:id="3"/>
      <w:r>
        <w:t>A. Determine the financial position and income statement</w:t>
      </w:r>
      <w:bookmarkEnd w:id="4"/>
      <w:r>
        <w:t xml:space="preserve"> </w:t>
      </w:r>
    </w:p>
    <w:p w14:paraId="112F4412" w14:textId="77777777" w:rsidR="00B97A69" w:rsidRDefault="001B5626">
      <w:pPr>
        <w:pStyle w:val="Normal1"/>
        <w:rPr>
          <w:b/>
        </w:rPr>
      </w:pPr>
      <w:r>
        <w:rPr>
          <w:b/>
          <w:i/>
        </w:rPr>
        <w:t>Balance sheet</w:t>
      </w:r>
    </w:p>
    <w:tbl>
      <w:tblPr>
        <w:tblStyle w:val="a"/>
        <w:tblW w:w="5000" w:type="pct"/>
        <w:jc w:val="center"/>
        <w:tblBorders>
          <w:top w:val="nil"/>
          <w:left w:val="nil"/>
          <w:bottom w:val="nil"/>
          <w:right w:val="nil"/>
          <w:insideH w:val="nil"/>
          <w:insideV w:val="nil"/>
        </w:tblBorders>
        <w:tblLook w:val="0600" w:firstRow="0" w:lastRow="0" w:firstColumn="0" w:lastColumn="0" w:noHBand="1" w:noVBand="1"/>
      </w:tblPr>
      <w:tblGrid>
        <w:gridCol w:w="5942"/>
        <w:gridCol w:w="3398"/>
      </w:tblGrid>
      <w:tr w:rsidR="00B97A69" w14:paraId="596D0DDD" w14:textId="77777777" w:rsidTr="00412D97">
        <w:trPr>
          <w:cantSplit/>
          <w:trHeight w:val="515"/>
          <w:tblHeader/>
          <w:jc w:val="center"/>
        </w:trPr>
        <w:tc>
          <w:tcPr>
            <w:tcW w:w="5000" w:type="pct"/>
            <w:gridSpan w:val="2"/>
            <w:tcBorders>
              <w:top w:val="single" w:sz="8" w:space="0" w:color="000000"/>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vAlign w:val="bottom"/>
          </w:tcPr>
          <w:p w14:paraId="5D5322DB" w14:textId="77777777" w:rsidR="00B97A69" w:rsidRDefault="001B5626">
            <w:pPr>
              <w:pStyle w:val="Normal1"/>
              <w:spacing w:before="0" w:after="0" w:line="276" w:lineRule="auto"/>
              <w:ind w:left="80"/>
              <w:jc w:val="center"/>
              <w:rPr>
                <w:b/>
              </w:rPr>
            </w:pPr>
            <w:r>
              <w:rPr>
                <w:b/>
              </w:rPr>
              <w:t>In the books of Wales plc</w:t>
            </w:r>
          </w:p>
        </w:tc>
      </w:tr>
      <w:tr w:rsidR="00B97A69" w14:paraId="3B98D59B" w14:textId="77777777" w:rsidTr="00412D97">
        <w:trPr>
          <w:cantSplit/>
          <w:trHeight w:val="515"/>
          <w:tblHeader/>
          <w:jc w:val="center"/>
        </w:trPr>
        <w:tc>
          <w:tcPr>
            <w:tcW w:w="5000" w:type="pct"/>
            <w:gridSpan w:val="2"/>
            <w:tcBorders>
              <w:top w:val="nil"/>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vAlign w:val="bottom"/>
          </w:tcPr>
          <w:p w14:paraId="47B9BD1D" w14:textId="77777777" w:rsidR="00B97A69" w:rsidRDefault="001B5626">
            <w:pPr>
              <w:pStyle w:val="Normal1"/>
              <w:spacing w:before="0" w:after="0" w:line="276" w:lineRule="auto"/>
              <w:ind w:left="80"/>
              <w:jc w:val="center"/>
              <w:rPr>
                <w:b/>
              </w:rPr>
            </w:pPr>
            <w:r>
              <w:rPr>
                <w:b/>
              </w:rPr>
              <w:t>Balance sheet</w:t>
            </w:r>
          </w:p>
        </w:tc>
      </w:tr>
      <w:tr w:rsidR="00B97A69" w14:paraId="5C40D1AB" w14:textId="77777777" w:rsidTr="00412D97">
        <w:trPr>
          <w:cantSplit/>
          <w:trHeight w:val="515"/>
          <w:tblHeader/>
          <w:jc w:val="center"/>
        </w:trPr>
        <w:tc>
          <w:tcPr>
            <w:tcW w:w="5000" w:type="pct"/>
            <w:gridSpan w:val="2"/>
            <w:tcBorders>
              <w:top w:val="nil"/>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vAlign w:val="bottom"/>
          </w:tcPr>
          <w:p w14:paraId="71476D81" w14:textId="77777777" w:rsidR="00B97A69" w:rsidRDefault="001B5626">
            <w:pPr>
              <w:pStyle w:val="Normal1"/>
              <w:spacing w:before="0" w:after="0" w:line="276" w:lineRule="auto"/>
              <w:ind w:left="80"/>
              <w:jc w:val="center"/>
              <w:rPr>
                <w:b/>
              </w:rPr>
            </w:pPr>
            <w:r>
              <w:rPr>
                <w:b/>
              </w:rPr>
              <w:t>For the year ended 31st December 2021</w:t>
            </w:r>
          </w:p>
        </w:tc>
      </w:tr>
      <w:tr w:rsidR="00B97A69" w14:paraId="7F776D15" w14:textId="77777777" w:rsidTr="00412D97">
        <w:trPr>
          <w:cantSplit/>
          <w:trHeight w:val="515"/>
          <w:tblHeader/>
          <w:jc w:val="center"/>
        </w:trPr>
        <w:tc>
          <w:tcPr>
            <w:tcW w:w="3181" w:type="pct"/>
            <w:tcBorders>
              <w:top w:val="nil"/>
              <w:left w:val="single" w:sz="8" w:space="0" w:color="000000"/>
              <w:bottom w:val="single" w:sz="8" w:space="0" w:color="000000"/>
              <w:right w:val="single" w:sz="8" w:space="0" w:color="000000"/>
            </w:tcBorders>
            <w:shd w:val="clear" w:color="auto" w:fill="EAF1DD"/>
            <w:tcMar>
              <w:top w:w="100" w:type="dxa"/>
              <w:left w:w="100" w:type="dxa"/>
              <w:bottom w:w="100" w:type="dxa"/>
              <w:right w:w="100" w:type="dxa"/>
            </w:tcMar>
            <w:vAlign w:val="bottom"/>
          </w:tcPr>
          <w:p w14:paraId="3DB864DD" w14:textId="77777777" w:rsidR="00B97A69" w:rsidRDefault="001B5626">
            <w:pPr>
              <w:pStyle w:val="Normal1"/>
              <w:spacing w:before="0" w:after="0" w:line="276" w:lineRule="auto"/>
              <w:ind w:left="80"/>
              <w:jc w:val="left"/>
              <w:rPr>
                <w:b/>
              </w:rPr>
            </w:pPr>
            <w:r>
              <w:rPr>
                <w:b/>
              </w:rPr>
              <w:t>Particulars</w:t>
            </w:r>
          </w:p>
        </w:tc>
        <w:tc>
          <w:tcPr>
            <w:tcW w:w="1819" w:type="pct"/>
            <w:tcBorders>
              <w:top w:val="nil"/>
              <w:left w:val="nil"/>
              <w:bottom w:val="single" w:sz="8" w:space="0" w:color="000000"/>
              <w:right w:val="single" w:sz="8" w:space="0" w:color="000000"/>
            </w:tcBorders>
            <w:shd w:val="clear" w:color="auto" w:fill="EAF1DD"/>
            <w:tcMar>
              <w:top w:w="100" w:type="dxa"/>
              <w:left w:w="100" w:type="dxa"/>
              <w:bottom w:w="100" w:type="dxa"/>
              <w:right w:w="100" w:type="dxa"/>
            </w:tcMar>
            <w:vAlign w:val="bottom"/>
          </w:tcPr>
          <w:p w14:paraId="660240A8" w14:textId="77777777" w:rsidR="00B97A69" w:rsidRDefault="001B5626">
            <w:pPr>
              <w:pStyle w:val="Normal1"/>
              <w:spacing w:before="0" w:after="0" w:line="276" w:lineRule="auto"/>
              <w:ind w:left="80"/>
              <w:jc w:val="left"/>
              <w:rPr>
                <w:b/>
              </w:rPr>
            </w:pPr>
            <w:r>
              <w:rPr>
                <w:b/>
              </w:rPr>
              <w:t>Amount</w:t>
            </w:r>
          </w:p>
        </w:tc>
      </w:tr>
      <w:tr w:rsidR="00B97A69" w14:paraId="72B49D5D" w14:textId="77777777" w:rsidTr="00412D97">
        <w:trPr>
          <w:cantSplit/>
          <w:trHeight w:val="515"/>
          <w:tblHeader/>
          <w:jc w:val="center"/>
        </w:trPr>
        <w:tc>
          <w:tcPr>
            <w:tcW w:w="3181" w:type="pct"/>
            <w:tcBorders>
              <w:top w:val="nil"/>
              <w:left w:val="single" w:sz="8" w:space="0" w:color="000000"/>
              <w:bottom w:val="single" w:sz="8" w:space="0" w:color="000000"/>
              <w:right w:val="single" w:sz="8" w:space="0" w:color="000000"/>
            </w:tcBorders>
            <w:shd w:val="clear" w:color="auto" w:fill="EAF1DD"/>
            <w:tcMar>
              <w:top w:w="100" w:type="dxa"/>
              <w:left w:w="100" w:type="dxa"/>
              <w:bottom w:w="100" w:type="dxa"/>
              <w:right w:w="100" w:type="dxa"/>
            </w:tcMar>
            <w:vAlign w:val="bottom"/>
          </w:tcPr>
          <w:p w14:paraId="23A0A8BB" w14:textId="77777777" w:rsidR="00B97A69" w:rsidRDefault="001B5626">
            <w:pPr>
              <w:pStyle w:val="Normal1"/>
              <w:spacing w:before="0" w:after="0" w:line="276" w:lineRule="auto"/>
              <w:ind w:left="80"/>
              <w:jc w:val="left"/>
              <w:rPr>
                <w:b/>
              </w:rPr>
            </w:pPr>
            <w:r>
              <w:rPr>
                <w:b/>
              </w:rPr>
              <w:t>“Current assets”</w:t>
            </w:r>
          </w:p>
        </w:tc>
        <w:tc>
          <w:tcPr>
            <w:tcW w:w="1819" w:type="pct"/>
            <w:tcBorders>
              <w:top w:val="nil"/>
              <w:left w:val="nil"/>
              <w:bottom w:val="single" w:sz="8" w:space="0" w:color="000000"/>
              <w:right w:val="single" w:sz="8" w:space="0" w:color="000000"/>
            </w:tcBorders>
            <w:shd w:val="clear" w:color="auto" w:fill="EAF1DD"/>
            <w:tcMar>
              <w:top w:w="100" w:type="dxa"/>
              <w:left w:w="100" w:type="dxa"/>
              <w:bottom w:w="100" w:type="dxa"/>
              <w:right w:w="100" w:type="dxa"/>
            </w:tcMar>
            <w:vAlign w:val="bottom"/>
          </w:tcPr>
          <w:p w14:paraId="6575C933" w14:textId="77777777" w:rsidR="00B97A69" w:rsidRDefault="001B5626">
            <w:pPr>
              <w:pStyle w:val="Normal1"/>
              <w:spacing w:before="0" w:after="0" w:line="276" w:lineRule="auto"/>
              <w:ind w:left="80"/>
              <w:jc w:val="left"/>
              <w:rPr>
                <w:b/>
              </w:rPr>
            </w:pPr>
            <w:r>
              <w:rPr>
                <w:b/>
              </w:rPr>
              <w:t xml:space="preserve"> </w:t>
            </w:r>
          </w:p>
        </w:tc>
      </w:tr>
      <w:tr w:rsidR="00B97A69" w14:paraId="4142D2AB" w14:textId="77777777" w:rsidTr="00412D97">
        <w:trPr>
          <w:cantSplit/>
          <w:trHeight w:val="515"/>
          <w:tblHeader/>
          <w:jc w:val="center"/>
        </w:trPr>
        <w:tc>
          <w:tcPr>
            <w:tcW w:w="3181"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605F1F2" w14:textId="77777777" w:rsidR="00B97A69" w:rsidRDefault="001B5626">
            <w:pPr>
              <w:pStyle w:val="Normal1"/>
              <w:spacing w:before="0" w:after="0" w:line="276" w:lineRule="auto"/>
              <w:ind w:left="80"/>
              <w:jc w:val="left"/>
              <w:rPr>
                <w:b/>
              </w:rPr>
            </w:pPr>
            <w:r>
              <w:rPr>
                <w:b/>
              </w:rPr>
              <w:t>Cash and cash equivalent</w:t>
            </w:r>
          </w:p>
        </w:tc>
        <w:tc>
          <w:tcPr>
            <w:tcW w:w="1819"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D1F9FCF" w14:textId="77777777" w:rsidR="00B97A69" w:rsidRDefault="001B5626">
            <w:pPr>
              <w:pStyle w:val="Normal1"/>
              <w:spacing w:before="0" w:after="0" w:line="276" w:lineRule="auto"/>
              <w:ind w:left="80"/>
              <w:jc w:val="left"/>
              <w:rPr>
                <w:b/>
              </w:rPr>
            </w:pPr>
            <w:r>
              <w:rPr>
                <w:b/>
              </w:rPr>
              <w:t xml:space="preserve"> £         176,250</w:t>
            </w:r>
          </w:p>
        </w:tc>
      </w:tr>
      <w:tr w:rsidR="00B97A69" w14:paraId="0DC78965" w14:textId="77777777" w:rsidTr="00412D97">
        <w:trPr>
          <w:cantSplit/>
          <w:trHeight w:val="515"/>
          <w:tblHeader/>
          <w:jc w:val="center"/>
        </w:trPr>
        <w:tc>
          <w:tcPr>
            <w:tcW w:w="3181"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B98B75F" w14:textId="77777777" w:rsidR="00B97A69" w:rsidRDefault="001B5626">
            <w:pPr>
              <w:pStyle w:val="Normal1"/>
              <w:spacing w:before="0" w:after="0" w:line="276" w:lineRule="auto"/>
              <w:ind w:left="80"/>
              <w:jc w:val="left"/>
              <w:rPr>
                <w:b/>
              </w:rPr>
            </w:pPr>
            <w:r>
              <w:rPr>
                <w:b/>
              </w:rPr>
              <w:t>Inventory</w:t>
            </w:r>
          </w:p>
        </w:tc>
        <w:tc>
          <w:tcPr>
            <w:tcW w:w="1819"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CBF9BC3" w14:textId="77777777" w:rsidR="00B97A69" w:rsidRDefault="001B5626">
            <w:pPr>
              <w:pStyle w:val="Normal1"/>
              <w:spacing w:before="0" w:after="0" w:line="276" w:lineRule="auto"/>
              <w:ind w:left="80"/>
              <w:jc w:val="left"/>
              <w:rPr>
                <w:b/>
              </w:rPr>
            </w:pPr>
            <w:r>
              <w:rPr>
                <w:b/>
              </w:rPr>
              <w:t xml:space="preserve"> £         430,600</w:t>
            </w:r>
          </w:p>
        </w:tc>
      </w:tr>
      <w:tr w:rsidR="00B97A69" w14:paraId="4C10895B" w14:textId="77777777" w:rsidTr="00412D97">
        <w:trPr>
          <w:cantSplit/>
          <w:trHeight w:val="515"/>
          <w:tblHeader/>
          <w:jc w:val="center"/>
        </w:trPr>
        <w:tc>
          <w:tcPr>
            <w:tcW w:w="3181"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AEE9D6A" w14:textId="77777777" w:rsidR="00B97A69" w:rsidRDefault="001B5626">
            <w:pPr>
              <w:pStyle w:val="Normal1"/>
              <w:spacing w:before="0" w:after="0" w:line="276" w:lineRule="auto"/>
              <w:ind w:left="80"/>
              <w:jc w:val="left"/>
              <w:rPr>
                <w:b/>
              </w:rPr>
            </w:pPr>
            <w:r>
              <w:rPr>
                <w:b/>
              </w:rPr>
              <w:t>Trade receivable</w:t>
            </w:r>
          </w:p>
        </w:tc>
        <w:tc>
          <w:tcPr>
            <w:tcW w:w="1819"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F19CE69" w14:textId="77777777" w:rsidR="00B97A69" w:rsidRDefault="001B5626">
            <w:pPr>
              <w:pStyle w:val="Normal1"/>
              <w:spacing w:before="0" w:after="0" w:line="276" w:lineRule="auto"/>
              <w:ind w:left="80"/>
              <w:jc w:val="left"/>
              <w:rPr>
                <w:b/>
              </w:rPr>
            </w:pPr>
            <w:r>
              <w:rPr>
                <w:b/>
              </w:rPr>
              <w:t xml:space="preserve"> £         170,125</w:t>
            </w:r>
          </w:p>
        </w:tc>
      </w:tr>
      <w:tr w:rsidR="00B97A69" w14:paraId="72B170E5" w14:textId="77777777" w:rsidTr="00412D97">
        <w:trPr>
          <w:cantSplit/>
          <w:trHeight w:val="515"/>
          <w:tblHeader/>
          <w:jc w:val="center"/>
        </w:trPr>
        <w:tc>
          <w:tcPr>
            <w:tcW w:w="3181" w:type="pct"/>
            <w:tcBorders>
              <w:top w:val="nil"/>
              <w:left w:val="single" w:sz="8" w:space="0" w:color="000000"/>
              <w:bottom w:val="single" w:sz="8" w:space="0" w:color="000000"/>
              <w:right w:val="single" w:sz="8" w:space="0" w:color="000000"/>
            </w:tcBorders>
            <w:shd w:val="clear" w:color="auto" w:fill="EAF1DD"/>
            <w:tcMar>
              <w:top w:w="100" w:type="dxa"/>
              <w:left w:w="100" w:type="dxa"/>
              <w:bottom w:w="100" w:type="dxa"/>
              <w:right w:w="100" w:type="dxa"/>
            </w:tcMar>
            <w:vAlign w:val="bottom"/>
          </w:tcPr>
          <w:p w14:paraId="31724199" w14:textId="77777777" w:rsidR="00B97A69" w:rsidRDefault="001B5626">
            <w:pPr>
              <w:pStyle w:val="Normal1"/>
              <w:spacing w:before="0" w:after="0" w:line="276" w:lineRule="auto"/>
              <w:ind w:left="80"/>
              <w:jc w:val="left"/>
              <w:rPr>
                <w:b/>
              </w:rPr>
            </w:pPr>
            <w:r>
              <w:rPr>
                <w:b/>
              </w:rPr>
              <w:t>“Total current assets”</w:t>
            </w:r>
          </w:p>
        </w:tc>
        <w:tc>
          <w:tcPr>
            <w:tcW w:w="1819" w:type="pct"/>
            <w:tcBorders>
              <w:top w:val="nil"/>
              <w:left w:val="nil"/>
              <w:bottom w:val="single" w:sz="8" w:space="0" w:color="000000"/>
              <w:right w:val="single" w:sz="8" w:space="0" w:color="000000"/>
            </w:tcBorders>
            <w:shd w:val="clear" w:color="auto" w:fill="EAF1DD"/>
            <w:tcMar>
              <w:top w:w="100" w:type="dxa"/>
              <w:left w:w="100" w:type="dxa"/>
              <w:bottom w:w="100" w:type="dxa"/>
              <w:right w:w="100" w:type="dxa"/>
            </w:tcMar>
            <w:vAlign w:val="bottom"/>
          </w:tcPr>
          <w:p w14:paraId="074B66BF" w14:textId="77777777" w:rsidR="00B97A69" w:rsidRDefault="001B5626">
            <w:pPr>
              <w:pStyle w:val="Normal1"/>
              <w:spacing w:before="0" w:after="0" w:line="276" w:lineRule="auto"/>
              <w:ind w:left="80"/>
              <w:jc w:val="left"/>
              <w:rPr>
                <w:b/>
              </w:rPr>
            </w:pPr>
            <w:r>
              <w:rPr>
                <w:b/>
              </w:rPr>
              <w:t xml:space="preserve"> £         776,975</w:t>
            </w:r>
          </w:p>
        </w:tc>
      </w:tr>
      <w:tr w:rsidR="00B97A69" w14:paraId="1B42D350" w14:textId="77777777" w:rsidTr="00412D97">
        <w:trPr>
          <w:cantSplit/>
          <w:trHeight w:val="515"/>
          <w:tblHeader/>
          <w:jc w:val="center"/>
        </w:trPr>
        <w:tc>
          <w:tcPr>
            <w:tcW w:w="3181" w:type="pct"/>
            <w:tcBorders>
              <w:top w:val="nil"/>
              <w:left w:val="single" w:sz="8" w:space="0" w:color="000000"/>
              <w:bottom w:val="single" w:sz="8" w:space="0" w:color="000000"/>
              <w:right w:val="single" w:sz="8" w:space="0" w:color="000000"/>
            </w:tcBorders>
            <w:shd w:val="clear" w:color="auto" w:fill="EAF1DD"/>
            <w:tcMar>
              <w:top w:w="100" w:type="dxa"/>
              <w:left w:w="100" w:type="dxa"/>
              <w:bottom w:w="100" w:type="dxa"/>
              <w:right w:w="100" w:type="dxa"/>
            </w:tcMar>
            <w:vAlign w:val="bottom"/>
          </w:tcPr>
          <w:p w14:paraId="1C44F449" w14:textId="77777777" w:rsidR="00B97A69" w:rsidRDefault="001B5626">
            <w:pPr>
              <w:pStyle w:val="Normal1"/>
              <w:spacing w:before="0" w:after="0" w:line="276" w:lineRule="auto"/>
              <w:ind w:left="80"/>
              <w:jc w:val="left"/>
              <w:rPr>
                <w:b/>
              </w:rPr>
            </w:pPr>
            <w:r>
              <w:rPr>
                <w:b/>
              </w:rPr>
              <w:t>“Non-current assets”</w:t>
            </w:r>
          </w:p>
        </w:tc>
        <w:tc>
          <w:tcPr>
            <w:tcW w:w="1819" w:type="pct"/>
            <w:tcBorders>
              <w:top w:val="nil"/>
              <w:left w:val="nil"/>
              <w:bottom w:val="single" w:sz="8" w:space="0" w:color="000000"/>
              <w:right w:val="single" w:sz="8" w:space="0" w:color="000000"/>
            </w:tcBorders>
            <w:shd w:val="clear" w:color="auto" w:fill="EAF1DD"/>
            <w:tcMar>
              <w:top w:w="100" w:type="dxa"/>
              <w:left w:w="100" w:type="dxa"/>
              <w:bottom w:w="100" w:type="dxa"/>
              <w:right w:w="100" w:type="dxa"/>
            </w:tcMar>
            <w:vAlign w:val="bottom"/>
          </w:tcPr>
          <w:p w14:paraId="1C5C47FF" w14:textId="77777777" w:rsidR="00B97A69" w:rsidRDefault="001B5626">
            <w:pPr>
              <w:pStyle w:val="Normal1"/>
              <w:spacing w:before="0" w:after="0" w:line="276" w:lineRule="auto"/>
              <w:ind w:left="80"/>
              <w:jc w:val="left"/>
              <w:rPr>
                <w:b/>
              </w:rPr>
            </w:pPr>
            <w:r>
              <w:rPr>
                <w:b/>
              </w:rPr>
              <w:t xml:space="preserve"> </w:t>
            </w:r>
          </w:p>
        </w:tc>
      </w:tr>
      <w:tr w:rsidR="00B97A69" w14:paraId="5002AEE1" w14:textId="77777777" w:rsidTr="00412D97">
        <w:trPr>
          <w:cantSplit/>
          <w:trHeight w:val="515"/>
          <w:tblHeader/>
          <w:jc w:val="center"/>
        </w:trPr>
        <w:tc>
          <w:tcPr>
            <w:tcW w:w="3181"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DB15716" w14:textId="77777777" w:rsidR="00B97A69" w:rsidRDefault="005D28EA">
            <w:pPr>
              <w:pStyle w:val="Normal1"/>
              <w:spacing w:before="0" w:after="0" w:line="276" w:lineRule="auto"/>
              <w:ind w:left="80"/>
              <w:jc w:val="left"/>
              <w:rPr>
                <w:b/>
              </w:rPr>
            </w:pPr>
            <w:r>
              <w:rPr>
                <w:b/>
              </w:rPr>
              <w:t>Plant</w:t>
            </w:r>
            <w:r w:rsidR="001B5626">
              <w:rPr>
                <w:b/>
              </w:rPr>
              <w:t xml:space="preserve"> and equipment</w:t>
            </w:r>
          </w:p>
        </w:tc>
        <w:tc>
          <w:tcPr>
            <w:tcW w:w="1819"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766DB95" w14:textId="77777777" w:rsidR="00B97A69" w:rsidRDefault="001B5626">
            <w:pPr>
              <w:pStyle w:val="Normal1"/>
              <w:spacing w:before="0" w:after="0" w:line="276" w:lineRule="auto"/>
              <w:ind w:left="80"/>
              <w:jc w:val="left"/>
              <w:rPr>
                <w:b/>
              </w:rPr>
            </w:pPr>
            <w:r>
              <w:rPr>
                <w:b/>
              </w:rPr>
              <w:t xml:space="preserve"> £      1,250,000</w:t>
            </w:r>
          </w:p>
        </w:tc>
      </w:tr>
      <w:tr w:rsidR="00B97A69" w14:paraId="7E39C652" w14:textId="77777777" w:rsidTr="00412D97">
        <w:trPr>
          <w:cantSplit/>
          <w:trHeight w:val="515"/>
          <w:tblHeader/>
          <w:jc w:val="center"/>
        </w:trPr>
        <w:tc>
          <w:tcPr>
            <w:tcW w:w="3181" w:type="pct"/>
            <w:tcBorders>
              <w:top w:val="nil"/>
              <w:left w:val="single" w:sz="8" w:space="0" w:color="000000"/>
              <w:bottom w:val="single" w:sz="8" w:space="0" w:color="000000"/>
              <w:right w:val="single" w:sz="8" w:space="0" w:color="000000"/>
            </w:tcBorders>
            <w:shd w:val="clear" w:color="auto" w:fill="EAF1DD"/>
            <w:tcMar>
              <w:top w:w="100" w:type="dxa"/>
              <w:left w:w="100" w:type="dxa"/>
              <w:bottom w:w="100" w:type="dxa"/>
              <w:right w:w="100" w:type="dxa"/>
            </w:tcMar>
            <w:vAlign w:val="bottom"/>
          </w:tcPr>
          <w:p w14:paraId="11FBE015" w14:textId="77777777" w:rsidR="00B97A69" w:rsidRDefault="001B5626">
            <w:pPr>
              <w:pStyle w:val="Normal1"/>
              <w:spacing w:before="0" w:after="0" w:line="276" w:lineRule="auto"/>
              <w:ind w:left="80"/>
              <w:jc w:val="left"/>
              <w:rPr>
                <w:b/>
              </w:rPr>
            </w:pPr>
            <w:r>
              <w:rPr>
                <w:b/>
              </w:rPr>
              <w:t>“Total non-current assets”</w:t>
            </w:r>
          </w:p>
        </w:tc>
        <w:tc>
          <w:tcPr>
            <w:tcW w:w="1819" w:type="pct"/>
            <w:tcBorders>
              <w:top w:val="nil"/>
              <w:left w:val="nil"/>
              <w:bottom w:val="single" w:sz="8" w:space="0" w:color="000000"/>
              <w:right w:val="single" w:sz="8" w:space="0" w:color="000000"/>
            </w:tcBorders>
            <w:shd w:val="clear" w:color="auto" w:fill="EAF1DD"/>
            <w:tcMar>
              <w:top w:w="100" w:type="dxa"/>
              <w:left w:w="100" w:type="dxa"/>
              <w:bottom w:w="100" w:type="dxa"/>
              <w:right w:w="100" w:type="dxa"/>
            </w:tcMar>
            <w:vAlign w:val="bottom"/>
          </w:tcPr>
          <w:p w14:paraId="06D04027" w14:textId="77777777" w:rsidR="00B97A69" w:rsidRDefault="001B5626">
            <w:pPr>
              <w:pStyle w:val="Normal1"/>
              <w:spacing w:before="0" w:after="0" w:line="276" w:lineRule="auto"/>
              <w:ind w:left="80"/>
              <w:jc w:val="left"/>
              <w:rPr>
                <w:b/>
              </w:rPr>
            </w:pPr>
            <w:r>
              <w:rPr>
                <w:b/>
              </w:rPr>
              <w:t xml:space="preserve"> £      1,250,000</w:t>
            </w:r>
          </w:p>
        </w:tc>
      </w:tr>
      <w:tr w:rsidR="00B97A69" w14:paraId="1F3EBF4D" w14:textId="77777777" w:rsidTr="00412D97">
        <w:trPr>
          <w:cantSplit/>
          <w:trHeight w:val="515"/>
          <w:tblHeader/>
          <w:jc w:val="center"/>
        </w:trPr>
        <w:tc>
          <w:tcPr>
            <w:tcW w:w="3181" w:type="pct"/>
            <w:tcBorders>
              <w:top w:val="nil"/>
              <w:left w:val="single" w:sz="8" w:space="0" w:color="000000"/>
              <w:bottom w:val="single" w:sz="8" w:space="0" w:color="000000"/>
              <w:right w:val="single" w:sz="8" w:space="0" w:color="000000"/>
            </w:tcBorders>
            <w:shd w:val="clear" w:color="auto" w:fill="EAF1DD"/>
            <w:tcMar>
              <w:top w:w="100" w:type="dxa"/>
              <w:left w:w="100" w:type="dxa"/>
              <w:bottom w:w="100" w:type="dxa"/>
              <w:right w:w="100" w:type="dxa"/>
            </w:tcMar>
            <w:vAlign w:val="bottom"/>
          </w:tcPr>
          <w:p w14:paraId="097A33CD" w14:textId="77777777" w:rsidR="00B97A69" w:rsidRDefault="001B5626">
            <w:pPr>
              <w:pStyle w:val="Normal1"/>
              <w:spacing w:before="0" w:after="0" w:line="276" w:lineRule="auto"/>
              <w:ind w:left="80"/>
              <w:jc w:val="left"/>
              <w:rPr>
                <w:b/>
              </w:rPr>
            </w:pPr>
            <w:r>
              <w:rPr>
                <w:b/>
              </w:rPr>
              <w:t>Total assets</w:t>
            </w:r>
          </w:p>
        </w:tc>
        <w:tc>
          <w:tcPr>
            <w:tcW w:w="1819" w:type="pct"/>
            <w:tcBorders>
              <w:top w:val="nil"/>
              <w:left w:val="nil"/>
              <w:bottom w:val="single" w:sz="8" w:space="0" w:color="000000"/>
              <w:right w:val="single" w:sz="8" w:space="0" w:color="000000"/>
            </w:tcBorders>
            <w:shd w:val="clear" w:color="auto" w:fill="EAF1DD"/>
            <w:tcMar>
              <w:top w:w="100" w:type="dxa"/>
              <w:left w:w="100" w:type="dxa"/>
              <w:bottom w:w="100" w:type="dxa"/>
              <w:right w:w="100" w:type="dxa"/>
            </w:tcMar>
            <w:vAlign w:val="bottom"/>
          </w:tcPr>
          <w:p w14:paraId="3021E444" w14:textId="77777777" w:rsidR="00B97A69" w:rsidRDefault="001B5626">
            <w:pPr>
              <w:pStyle w:val="Normal1"/>
              <w:spacing w:before="0" w:after="0" w:line="276" w:lineRule="auto"/>
              <w:ind w:left="80"/>
              <w:jc w:val="left"/>
              <w:rPr>
                <w:b/>
              </w:rPr>
            </w:pPr>
            <w:r>
              <w:rPr>
                <w:b/>
              </w:rPr>
              <w:t xml:space="preserve"> £      2,026,975</w:t>
            </w:r>
          </w:p>
        </w:tc>
      </w:tr>
      <w:tr w:rsidR="00B97A69" w14:paraId="218687C3" w14:textId="77777777" w:rsidTr="00412D97">
        <w:trPr>
          <w:cantSplit/>
          <w:trHeight w:val="515"/>
          <w:tblHeader/>
          <w:jc w:val="center"/>
        </w:trPr>
        <w:tc>
          <w:tcPr>
            <w:tcW w:w="3181" w:type="pct"/>
            <w:tcBorders>
              <w:top w:val="nil"/>
              <w:left w:val="single" w:sz="8" w:space="0" w:color="000000"/>
              <w:bottom w:val="single" w:sz="8" w:space="0" w:color="000000"/>
              <w:right w:val="single" w:sz="8" w:space="0" w:color="000000"/>
            </w:tcBorders>
            <w:shd w:val="clear" w:color="auto" w:fill="EAF1DD"/>
            <w:tcMar>
              <w:top w:w="100" w:type="dxa"/>
              <w:left w:w="100" w:type="dxa"/>
              <w:bottom w:w="100" w:type="dxa"/>
              <w:right w:w="100" w:type="dxa"/>
            </w:tcMar>
            <w:vAlign w:val="bottom"/>
          </w:tcPr>
          <w:p w14:paraId="453DA219" w14:textId="77777777" w:rsidR="00B97A69" w:rsidRDefault="001B5626">
            <w:pPr>
              <w:pStyle w:val="Normal1"/>
              <w:spacing w:before="0" w:after="0" w:line="276" w:lineRule="auto"/>
              <w:ind w:left="80"/>
              <w:jc w:val="left"/>
              <w:rPr>
                <w:b/>
              </w:rPr>
            </w:pPr>
            <w:r>
              <w:rPr>
                <w:b/>
              </w:rPr>
              <w:t>“Current liabilities”</w:t>
            </w:r>
          </w:p>
        </w:tc>
        <w:tc>
          <w:tcPr>
            <w:tcW w:w="1819" w:type="pct"/>
            <w:tcBorders>
              <w:top w:val="nil"/>
              <w:left w:val="nil"/>
              <w:bottom w:val="single" w:sz="8" w:space="0" w:color="000000"/>
              <w:right w:val="single" w:sz="8" w:space="0" w:color="000000"/>
            </w:tcBorders>
            <w:shd w:val="clear" w:color="auto" w:fill="EAF1DD"/>
            <w:tcMar>
              <w:top w:w="100" w:type="dxa"/>
              <w:left w:w="100" w:type="dxa"/>
              <w:bottom w:w="100" w:type="dxa"/>
              <w:right w:w="100" w:type="dxa"/>
            </w:tcMar>
            <w:vAlign w:val="bottom"/>
          </w:tcPr>
          <w:p w14:paraId="68806A9A" w14:textId="77777777" w:rsidR="00B97A69" w:rsidRDefault="001B5626">
            <w:pPr>
              <w:pStyle w:val="Normal1"/>
              <w:spacing w:before="0" w:after="0" w:line="276" w:lineRule="auto"/>
              <w:ind w:left="80"/>
              <w:jc w:val="left"/>
              <w:rPr>
                <w:b/>
              </w:rPr>
            </w:pPr>
            <w:r>
              <w:rPr>
                <w:b/>
              </w:rPr>
              <w:t xml:space="preserve"> </w:t>
            </w:r>
          </w:p>
        </w:tc>
      </w:tr>
      <w:tr w:rsidR="00B97A69" w14:paraId="3331B36A" w14:textId="77777777" w:rsidTr="00412D97">
        <w:trPr>
          <w:cantSplit/>
          <w:trHeight w:val="515"/>
          <w:tblHeader/>
          <w:jc w:val="center"/>
        </w:trPr>
        <w:tc>
          <w:tcPr>
            <w:tcW w:w="3181"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1131A4F" w14:textId="77777777" w:rsidR="00B97A69" w:rsidRDefault="001B5626">
            <w:pPr>
              <w:pStyle w:val="Normal1"/>
              <w:spacing w:before="0" w:after="0" w:line="276" w:lineRule="auto"/>
              <w:ind w:left="80"/>
              <w:jc w:val="left"/>
              <w:rPr>
                <w:b/>
              </w:rPr>
            </w:pPr>
            <w:r>
              <w:rPr>
                <w:b/>
              </w:rPr>
              <w:t>Trade payable</w:t>
            </w:r>
          </w:p>
        </w:tc>
        <w:tc>
          <w:tcPr>
            <w:tcW w:w="1819"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4E513B5" w14:textId="77777777" w:rsidR="00B97A69" w:rsidRDefault="001B5626">
            <w:pPr>
              <w:pStyle w:val="Normal1"/>
              <w:spacing w:before="0" w:after="0" w:line="276" w:lineRule="auto"/>
              <w:ind w:left="80"/>
              <w:jc w:val="left"/>
              <w:rPr>
                <w:b/>
              </w:rPr>
            </w:pPr>
            <w:r>
              <w:rPr>
                <w:b/>
              </w:rPr>
              <w:t xml:space="preserve"> £         188,625</w:t>
            </w:r>
          </w:p>
        </w:tc>
      </w:tr>
      <w:tr w:rsidR="00B97A69" w14:paraId="4624744D" w14:textId="77777777" w:rsidTr="00412D97">
        <w:trPr>
          <w:cantSplit/>
          <w:trHeight w:val="515"/>
          <w:tblHeader/>
          <w:jc w:val="center"/>
        </w:trPr>
        <w:tc>
          <w:tcPr>
            <w:tcW w:w="3181"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4BCA6E1" w14:textId="77777777" w:rsidR="00B97A69" w:rsidRDefault="001B5626">
            <w:pPr>
              <w:pStyle w:val="Normal1"/>
              <w:spacing w:before="0" w:after="0" w:line="276" w:lineRule="auto"/>
              <w:ind w:left="80"/>
              <w:jc w:val="left"/>
              <w:rPr>
                <w:b/>
              </w:rPr>
            </w:pPr>
            <w:r>
              <w:rPr>
                <w:b/>
              </w:rPr>
              <w:t>Tax</w:t>
            </w:r>
          </w:p>
        </w:tc>
        <w:tc>
          <w:tcPr>
            <w:tcW w:w="1819"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45AB026" w14:textId="77777777" w:rsidR="00B97A69" w:rsidRDefault="001B5626">
            <w:pPr>
              <w:pStyle w:val="Normal1"/>
              <w:spacing w:before="0" w:after="0" w:line="276" w:lineRule="auto"/>
              <w:ind w:left="80"/>
              <w:jc w:val="left"/>
              <w:rPr>
                <w:b/>
              </w:rPr>
            </w:pPr>
            <w:r>
              <w:rPr>
                <w:b/>
              </w:rPr>
              <w:t xml:space="preserve"> £         100,000</w:t>
            </w:r>
          </w:p>
        </w:tc>
      </w:tr>
      <w:tr w:rsidR="00B97A69" w14:paraId="1744DA08" w14:textId="77777777" w:rsidTr="00412D97">
        <w:trPr>
          <w:cantSplit/>
          <w:trHeight w:val="830"/>
          <w:tblHeader/>
          <w:jc w:val="center"/>
        </w:trPr>
        <w:tc>
          <w:tcPr>
            <w:tcW w:w="3181"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F8E8749" w14:textId="77777777" w:rsidR="00B97A69" w:rsidRDefault="001B5626">
            <w:pPr>
              <w:pStyle w:val="Normal1"/>
              <w:spacing w:before="0" w:after="0" w:line="276" w:lineRule="auto"/>
              <w:ind w:left="80"/>
              <w:jc w:val="left"/>
              <w:rPr>
                <w:b/>
              </w:rPr>
            </w:pPr>
            <w:r>
              <w:rPr>
                <w:b/>
              </w:rPr>
              <w:t>“Sales commission”</w:t>
            </w:r>
          </w:p>
        </w:tc>
        <w:tc>
          <w:tcPr>
            <w:tcW w:w="1819"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E8E924" w14:textId="77777777" w:rsidR="00B97A69" w:rsidRDefault="001B5626">
            <w:pPr>
              <w:pStyle w:val="Normal1"/>
              <w:spacing w:before="0" w:after="0" w:line="276" w:lineRule="auto"/>
              <w:ind w:left="80"/>
              <w:jc w:val="left"/>
              <w:rPr>
                <w:b/>
              </w:rPr>
            </w:pPr>
            <w:r>
              <w:rPr>
                <w:b/>
              </w:rPr>
              <w:t xml:space="preserve"> £             3,000</w:t>
            </w:r>
          </w:p>
        </w:tc>
      </w:tr>
      <w:tr w:rsidR="00B97A69" w14:paraId="47ECEC6D" w14:textId="77777777" w:rsidTr="00412D97">
        <w:trPr>
          <w:cantSplit/>
          <w:trHeight w:val="515"/>
          <w:tblHeader/>
          <w:jc w:val="center"/>
        </w:trPr>
        <w:tc>
          <w:tcPr>
            <w:tcW w:w="3181" w:type="pct"/>
            <w:tcBorders>
              <w:top w:val="nil"/>
              <w:left w:val="single" w:sz="8" w:space="0" w:color="000000"/>
              <w:bottom w:val="single" w:sz="8" w:space="0" w:color="000000"/>
              <w:right w:val="single" w:sz="8" w:space="0" w:color="000000"/>
            </w:tcBorders>
            <w:shd w:val="clear" w:color="auto" w:fill="EAF1DD"/>
            <w:tcMar>
              <w:top w:w="100" w:type="dxa"/>
              <w:left w:w="100" w:type="dxa"/>
              <w:bottom w:w="100" w:type="dxa"/>
              <w:right w:w="100" w:type="dxa"/>
            </w:tcMar>
            <w:vAlign w:val="bottom"/>
          </w:tcPr>
          <w:p w14:paraId="476D111D" w14:textId="77777777" w:rsidR="00B97A69" w:rsidRDefault="001B5626">
            <w:pPr>
              <w:pStyle w:val="Normal1"/>
              <w:spacing w:before="0" w:after="0" w:line="276" w:lineRule="auto"/>
              <w:ind w:left="80"/>
              <w:jc w:val="left"/>
              <w:rPr>
                <w:b/>
              </w:rPr>
            </w:pPr>
            <w:r>
              <w:rPr>
                <w:b/>
              </w:rPr>
              <w:t>“Total current liabilities”</w:t>
            </w:r>
          </w:p>
        </w:tc>
        <w:tc>
          <w:tcPr>
            <w:tcW w:w="1819" w:type="pct"/>
            <w:tcBorders>
              <w:top w:val="nil"/>
              <w:left w:val="nil"/>
              <w:bottom w:val="single" w:sz="8" w:space="0" w:color="000000"/>
              <w:right w:val="single" w:sz="8" w:space="0" w:color="000000"/>
            </w:tcBorders>
            <w:shd w:val="clear" w:color="auto" w:fill="EAF1DD"/>
            <w:tcMar>
              <w:top w:w="100" w:type="dxa"/>
              <w:left w:w="100" w:type="dxa"/>
              <w:bottom w:w="100" w:type="dxa"/>
              <w:right w:w="100" w:type="dxa"/>
            </w:tcMar>
            <w:vAlign w:val="bottom"/>
          </w:tcPr>
          <w:p w14:paraId="3E3665D2" w14:textId="77777777" w:rsidR="00B97A69" w:rsidRDefault="001B5626">
            <w:pPr>
              <w:pStyle w:val="Normal1"/>
              <w:spacing w:before="0" w:after="0" w:line="276" w:lineRule="auto"/>
              <w:ind w:left="80"/>
              <w:jc w:val="left"/>
              <w:rPr>
                <w:b/>
              </w:rPr>
            </w:pPr>
            <w:r>
              <w:rPr>
                <w:b/>
              </w:rPr>
              <w:t xml:space="preserve"> £         291,625</w:t>
            </w:r>
          </w:p>
        </w:tc>
      </w:tr>
      <w:tr w:rsidR="00B97A69" w14:paraId="212025CF" w14:textId="77777777" w:rsidTr="00412D97">
        <w:trPr>
          <w:cantSplit/>
          <w:trHeight w:val="830"/>
          <w:tblHeader/>
          <w:jc w:val="center"/>
        </w:trPr>
        <w:tc>
          <w:tcPr>
            <w:tcW w:w="3181" w:type="pct"/>
            <w:tcBorders>
              <w:top w:val="nil"/>
              <w:left w:val="single" w:sz="8" w:space="0" w:color="000000"/>
              <w:bottom w:val="single" w:sz="8" w:space="0" w:color="000000"/>
              <w:right w:val="single" w:sz="8" w:space="0" w:color="000000"/>
            </w:tcBorders>
            <w:shd w:val="clear" w:color="auto" w:fill="EAF1DD"/>
            <w:tcMar>
              <w:top w:w="100" w:type="dxa"/>
              <w:left w:w="100" w:type="dxa"/>
              <w:bottom w:w="100" w:type="dxa"/>
              <w:right w:w="100" w:type="dxa"/>
            </w:tcMar>
            <w:vAlign w:val="bottom"/>
          </w:tcPr>
          <w:p w14:paraId="6736E1D8" w14:textId="77777777" w:rsidR="00B97A69" w:rsidRDefault="001B5626">
            <w:pPr>
              <w:pStyle w:val="Normal1"/>
              <w:spacing w:before="0" w:after="0" w:line="276" w:lineRule="auto"/>
              <w:ind w:left="80"/>
              <w:jc w:val="left"/>
              <w:rPr>
                <w:b/>
              </w:rPr>
            </w:pPr>
            <w:r>
              <w:rPr>
                <w:b/>
              </w:rPr>
              <w:t>“Non-current liabilities”</w:t>
            </w:r>
          </w:p>
        </w:tc>
        <w:tc>
          <w:tcPr>
            <w:tcW w:w="1819" w:type="pct"/>
            <w:tcBorders>
              <w:top w:val="nil"/>
              <w:left w:val="nil"/>
              <w:bottom w:val="single" w:sz="8" w:space="0" w:color="000000"/>
              <w:right w:val="single" w:sz="8" w:space="0" w:color="000000"/>
            </w:tcBorders>
            <w:shd w:val="clear" w:color="auto" w:fill="EAF1DD"/>
            <w:tcMar>
              <w:top w:w="100" w:type="dxa"/>
              <w:left w:w="100" w:type="dxa"/>
              <w:bottom w:w="100" w:type="dxa"/>
              <w:right w:w="100" w:type="dxa"/>
            </w:tcMar>
            <w:vAlign w:val="bottom"/>
          </w:tcPr>
          <w:p w14:paraId="3F8309EA" w14:textId="77777777" w:rsidR="00B97A69" w:rsidRDefault="001B5626">
            <w:pPr>
              <w:pStyle w:val="Normal1"/>
              <w:spacing w:before="0" w:after="0" w:line="276" w:lineRule="auto"/>
              <w:ind w:left="80"/>
              <w:jc w:val="left"/>
              <w:rPr>
                <w:b/>
              </w:rPr>
            </w:pPr>
            <w:r>
              <w:rPr>
                <w:b/>
              </w:rPr>
              <w:t xml:space="preserve"> </w:t>
            </w:r>
          </w:p>
        </w:tc>
      </w:tr>
      <w:tr w:rsidR="00B97A69" w14:paraId="0318B7AC" w14:textId="77777777" w:rsidTr="00412D97">
        <w:trPr>
          <w:cantSplit/>
          <w:trHeight w:val="515"/>
          <w:tblHeader/>
          <w:jc w:val="center"/>
        </w:trPr>
        <w:tc>
          <w:tcPr>
            <w:tcW w:w="3181"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9573AD5" w14:textId="77777777" w:rsidR="00B97A69" w:rsidRDefault="001B5626">
            <w:pPr>
              <w:pStyle w:val="Normal1"/>
              <w:spacing w:before="0" w:after="0" w:line="276" w:lineRule="auto"/>
              <w:ind w:left="80"/>
              <w:jc w:val="left"/>
              <w:rPr>
                <w:b/>
              </w:rPr>
            </w:pPr>
            <w:r>
              <w:rPr>
                <w:b/>
              </w:rPr>
              <w:t>“Long term borrowings”</w:t>
            </w:r>
          </w:p>
        </w:tc>
        <w:tc>
          <w:tcPr>
            <w:tcW w:w="1819"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278E5E7" w14:textId="77777777" w:rsidR="00B97A69" w:rsidRDefault="001B5626">
            <w:pPr>
              <w:pStyle w:val="Normal1"/>
              <w:spacing w:before="0" w:after="0" w:line="276" w:lineRule="auto"/>
              <w:ind w:left="80"/>
              <w:jc w:val="left"/>
              <w:rPr>
                <w:b/>
              </w:rPr>
            </w:pPr>
            <w:r>
              <w:rPr>
                <w:b/>
              </w:rPr>
              <w:t xml:space="preserve"> £         200,000</w:t>
            </w:r>
          </w:p>
        </w:tc>
      </w:tr>
      <w:tr w:rsidR="00B97A69" w14:paraId="69B886BE" w14:textId="77777777" w:rsidTr="00412D97">
        <w:trPr>
          <w:cantSplit/>
          <w:trHeight w:val="515"/>
          <w:tblHeader/>
          <w:jc w:val="center"/>
        </w:trPr>
        <w:tc>
          <w:tcPr>
            <w:tcW w:w="3181"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64AF269" w14:textId="77777777" w:rsidR="00B97A69" w:rsidRDefault="001B5626">
            <w:pPr>
              <w:pStyle w:val="Normal1"/>
              <w:spacing w:before="0" w:after="0" w:line="276" w:lineRule="auto"/>
              <w:ind w:left="80"/>
              <w:jc w:val="left"/>
              <w:rPr>
                <w:b/>
              </w:rPr>
            </w:pPr>
            <w:r>
              <w:rPr>
                <w:b/>
              </w:rPr>
              <w:t>Debts</w:t>
            </w:r>
          </w:p>
        </w:tc>
        <w:tc>
          <w:tcPr>
            <w:tcW w:w="1819"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4429770" w14:textId="77777777" w:rsidR="00B97A69" w:rsidRDefault="001B5626">
            <w:pPr>
              <w:pStyle w:val="Normal1"/>
              <w:spacing w:before="0" w:after="0" w:line="276" w:lineRule="auto"/>
              <w:ind w:left="80"/>
              <w:jc w:val="left"/>
              <w:rPr>
                <w:b/>
              </w:rPr>
            </w:pPr>
            <w:r>
              <w:rPr>
                <w:b/>
              </w:rPr>
              <w:t xml:space="preserve"> £            </w:t>
            </w:r>
            <w:r>
              <w:rPr>
                <w:b/>
              </w:rPr>
              <w:tab/>
              <w:t>980</w:t>
            </w:r>
          </w:p>
        </w:tc>
      </w:tr>
      <w:tr w:rsidR="00B97A69" w14:paraId="68C8B02D" w14:textId="77777777" w:rsidTr="00412D97">
        <w:trPr>
          <w:cantSplit/>
          <w:trHeight w:val="515"/>
          <w:tblHeader/>
          <w:jc w:val="center"/>
        </w:trPr>
        <w:tc>
          <w:tcPr>
            <w:tcW w:w="3181" w:type="pct"/>
            <w:tcBorders>
              <w:top w:val="nil"/>
              <w:left w:val="single" w:sz="8" w:space="0" w:color="000000"/>
              <w:bottom w:val="single" w:sz="8" w:space="0" w:color="000000"/>
              <w:right w:val="single" w:sz="8" w:space="0" w:color="000000"/>
            </w:tcBorders>
            <w:shd w:val="clear" w:color="auto" w:fill="EAF1DD"/>
            <w:tcMar>
              <w:top w:w="100" w:type="dxa"/>
              <w:left w:w="100" w:type="dxa"/>
              <w:bottom w:w="100" w:type="dxa"/>
              <w:right w:w="100" w:type="dxa"/>
            </w:tcMar>
            <w:vAlign w:val="bottom"/>
          </w:tcPr>
          <w:p w14:paraId="671605CE" w14:textId="77777777" w:rsidR="00B97A69" w:rsidRDefault="001B5626">
            <w:pPr>
              <w:pStyle w:val="Normal1"/>
              <w:spacing w:before="0" w:after="0" w:line="276" w:lineRule="auto"/>
              <w:ind w:left="80"/>
              <w:jc w:val="left"/>
              <w:rPr>
                <w:b/>
              </w:rPr>
            </w:pPr>
            <w:r>
              <w:rPr>
                <w:b/>
              </w:rPr>
              <w:t>“Total non-current liabilities”</w:t>
            </w:r>
          </w:p>
        </w:tc>
        <w:tc>
          <w:tcPr>
            <w:tcW w:w="1819" w:type="pct"/>
            <w:tcBorders>
              <w:top w:val="nil"/>
              <w:left w:val="nil"/>
              <w:bottom w:val="single" w:sz="8" w:space="0" w:color="000000"/>
              <w:right w:val="single" w:sz="8" w:space="0" w:color="000000"/>
            </w:tcBorders>
            <w:shd w:val="clear" w:color="auto" w:fill="EAF1DD"/>
            <w:tcMar>
              <w:top w:w="100" w:type="dxa"/>
              <w:left w:w="100" w:type="dxa"/>
              <w:bottom w:w="100" w:type="dxa"/>
              <w:right w:w="100" w:type="dxa"/>
            </w:tcMar>
            <w:vAlign w:val="bottom"/>
          </w:tcPr>
          <w:p w14:paraId="52E9A76C" w14:textId="77777777" w:rsidR="00B97A69" w:rsidRDefault="001B5626">
            <w:pPr>
              <w:pStyle w:val="Normal1"/>
              <w:spacing w:before="0" w:after="0" w:line="276" w:lineRule="auto"/>
              <w:ind w:left="80"/>
              <w:jc w:val="left"/>
              <w:rPr>
                <w:b/>
              </w:rPr>
            </w:pPr>
            <w:r>
              <w:rPr>
                <w:b/>
              </w:rPr>
              <w:t xml:space="preserve"> £         200,980</w:t>
            </w:r>
          </w:p>
        </w:tc>
      </w:tr>
      <w:tr w:rsidR="00B97A69" w14:paraId="52F04D80" w14:textId="77777777" w:rsidTr="00412D97">
        <w:trPr>
          <w:cantSplit/>
          <w:trHeight w:val="515"/>
          <w:tblHeader/>
          <w:jc w:val="center"/>
        </w:trPr>
        <w:tc>
          <w:tcPr>
            <w:tcW w:w="3181" w:type="pct"/>
            <w:tcBorders>
              <w:top w:val="nil"/>
              <w:left w:val="single" w:sz="8" w:space="0" w:color="000000"/>
              <w:bottom w:val="single" w:sz="8" w:space="0" w:color="000000"/>
              <w:right w:val="single" w:sz="8" w:space="0" w:color="000000"/>
            </w:tcBorders>
            <w:shd w:val="clear" w:color="auto" w:fill="EAF1DD"/>
            <w:tcMar>
              <w:top w:w="100" w:type="dxa"/>
              <w:left w:w="100" w:type="dxa"/>
              <w:bottom w:w="100" w:type="dxa"/>
              <w:right w:w="100" w:type="dxa"/>
            </w:tcMar>
            <w:vAlign w:val="bottom"/>
          </w:tcPr>
          <w:p w14:paraId="761B954C" w14:textId="77777777" w:rsidR="00B97A69" w:rsidRDefault="001B5626">
            <w:pPr>
              <w:pStyle w:val="Normal1"/>
              <w:spacing w:before="0" w:after="0" w:line="276" w:lineRule="auto"/>
              <w:ind w:left="80"/>
              <w:jc w:val="left"/>
              <w:rPr>
                <w:b/>
              </w:rPr>
            </w:pPr>
            <w:r>
              <w:rPr>
                <w:b/>
              </w:rPr>
              <w:t>“Total liabilities”</w:t>
            </w:r>
          </w:p>
        </w:tc>
        <w:tc>
          <w:tcPr>
            <w:tcW w:w="1819" w:type="pct"/>
            <w:tcBorders>
              <w:top w:val="nil"/>
              <w:left w:val="nil"/>
              <w:bottom w:val="single" w:sz="8" w:space="0" w:color="000000"/>
              <w:right w:val="single" w:sz="8" w:space="0" w:color="000000"/>
            </w:tcBorders>
            <w:shd w:val="clear" w:color="auto" w:fill="EAF1DD"/>
            <w:tcMar>
              <w:top w:w="100" w:type="dxa"/>
              <w:left w:w="100" w:type="dxa"/>
              <w:bottom w:w="100" w:type="dxa"/>
              <w:right w:w="100" w:type="dxa"/>
            </w:tcMar>
            <w:vAlign w:val="bottom"/>
          </w:tcPr>
          <w:p w14:paraId="1B3B747B" w14:textId="77777777" w:rsidR="00B97A69" w:rsidRDefault="001B5626">
            <w:pPr>
              <w:pStyle w:val="Normal1"/>
              <w:spacing w:before="0" w:after="0" w:line="276" w:lineRule="auto"/>
              <w:ind w:left="80"/>
              <w:jc w:val="left"/>
              <w:rPr>
                <w:b/>
              </w:rPr>
            </w:pPr>
            <w:r>
              <w:rPr>
                <w:b/>
              </w:rPr>
              <w:t xml:space="preserve"> £         492,605</w:t>
            </w:r>
          </w:p>
        </w:tc>
      </w:tr>
      <w:tr w:rsidR="00B97A69" w14:paraId="2EB05646" w14:textId="77777777" w:rsidTr="00412D97">
        <w:trPr>
          <w:cantSplit/>
          <w:trHeight w:val="515"/>
          <w:tblHeader/>
          <w:jc w:val="center"/>
        </w:trPr>
        <w:tc>
          <w:tcPr>
            <w:tcW w:w="3181" w:type="pct"/>
            <w:tcBorders>
              <w:top w:val="nil"/>
              <w:left w:val="single" w:sz="8" w:space="0" w:color="000000"/>
              <w:bottom w:val="single" w:sz="8" w:space="0" w:color="000000"/>
              <w:right w:val="single" w:sz="8" w:space="0" w:color="000000"/>
            </w:tcBorders>
            <w:shd w:val="clear" w:color="auto" w:fill="EAF1DD"/>
            <w:tcMar>
              <w:top w:w="100" w:type="dxa"/>
              <w:left w:w="100" w:type="dxa"/>
              <w:bottom w:w="100" w:type="dxa"/>
              <w:right w:w="100" w:type="dxa"/>
            </w:tcMar>
            <w:vAlign w:val="bottom"/>
          </w:tcPr>
          <w:p w14:paraId="67DA17E4" w14:textId="77777777" w:rsidR="00B97A69" w:rsidRDefault="001B5626">
            <w:pPr>
              <w:pStyle w:val="Normal1"/>
              <w:spacing w:before="0" w:after="0" w:line="276" w:lineRule="auto"/>
              <w:ind w:left="80"/>
              <w:jc w:val="left"/>
              <w:rPr>
                <w:b/>
              </w:rPr>
            </w:pPr>
            <w:r>
              <w:rPr>
                <w:b/>
              </w:rPr>
              <w:t>“Equity and liabilities”</w:t>
            </w:r>
          </w:p>
        </w:tc>
        <w:tc>
          <w:tcPr>
            <w:tcW w:w="1819" w:type="pct"/>
            <w:tcBorders>
              <w:top w:val="nil"/>
              <w:left w:val="nil"/>
              <w:bottom w:val="single" w:sz="8" w:space="0" w:color="000000"/>
              <w:right w:val="single" w:sz="8" w:space="0" w:color="000000"/>
            </w:tcBorders>
            <w:shd w:val="clear" w:color="auto" w:fill="EAF1DD"/>
            <w:tcMar>
              <w:top w:w="100" w:type="dxa"/>
              <w:left w:w="100" w:type="dxa"/>
              <w:bottom w:w="100" w:type="dxa"/>
              <w:right w:w="100" w:type="dxa"/>
            </w:tcMar>
            <w:vAlign w:val="bottom"/>
          </w:tcPr>
          <w:p w14:paraId="34D3715A" w14:textId="77777777" w:rsidR="00B97A69" w:rsidRDefault="001B5626">
            <w:pPr>
              <w:pStyle w:val="Normal1"/>
              <w:spacing w:before="0" w:after="0" w:line="276" w:lineRule="auto"/>
              <w:ind w:left="80"/>
              <w:jc w:val="left"/>
              <w:rPr>
                <w:b/>
              </w:rPr>
            </w:pPr>
            <w:r>
              <w:rPr>
                <w:b/>
              </w:rPr>
              <w:t xml:space="preserve"> </w:t>
            </w:r>
          </w:p>
        </w:tc>
      </w:tr>
      <w:tr w:rsidR="00B97A69" w14:paraId="3B89C163" w14:textId="77777777" w:rsidTr="00412D97">
        <w:trPr>
          <w:cantSplit/>
          <w:trHeight w:val="515"/>
          <w:tblHeader/>
          <w:jc w:val="center"/>
        </w:trPr>
        <w:tc>
          <w:tcPr>
            <w:tcW w:w="3181"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DEA8755" w14:textId="77777777" w:rsidR="00B97A69" w:rsidRDefault="001B5626">
            <w:pPr>
              <w:pStyle w:val="Normal1"/>
              <w:spacing w:before="0" w:after="0" w:line="276" w:lineRule="auto"/>
              <w:ind w:left="80"/>
              <w:jc w:val="left"/>
              <w:rPr>
                <w:b/>
              </w:rPr>
            </w:pPr>
            <w:r>
              <w:rPr>
                <w:b/>
              </w:rPr>
              <w:t>“Preference share”</w:t>
            </w:r>
          </w:p>
        </w:tc>
        <w:tc>
          <w:tcPr>
            <w:tcW w:w="1819"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956A1CA" w14:textId="77777777" w:rsidR="00B97A69" w:rsidRDefault="001B5626">
            <w:pPr>
              <w:pStyle w:val="Normal1"/>
              <w:spacing w:before="0" w:after="0" w:line="276" w:lineRule="auto"/>
              <w:ind w:left="80"/>
              <w:jc w:val="left"/>
              <w:rPr>
                <w:b/>
              </w:rPr>
            </w:pPr>
            <w:r>
              <w:rPr>
                <w:b/>
              </w:rPr>
              <w:t xml:space="preserve"> £         400,000</w:t>
            </w:r>
          </w:p>
        </w:tc>
      </w:tr>
      <w:tr w:rsidR="00B97A69" w14:paraId="54C03549" w14:textId="77777777" w:rsidTr="00412D97">
        <w:trPr>
          <w:cantSplit/>
          <w:trHeight w:val="515"/>
          <w:tblHeader/>
          <w:jc w:val="center"/>
        </w:trPr>
        <w:tc>
          <w:tcPr>
            <w:tcW w:w="3181"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ECCC83C" w14:textId="17FCAA3C" w:rsidR="00B97A69" w:rsidRDefault="001B5626">
            <w:pPr>
              <w:pStyle w:val="Normal1"/>
              <w:spacing w:before="0" w:after="0" w:line="276" w:lineRule="auto"/>
              <w:ind w:left="80"/>
              <w:jc w:val="left"/>
              <w:rPr>
                <w:b/>
              </w:rPr>
            </w:pPr>
            <w:r>
              <w:rPr>
                <w:b/>
              </w:rPr>
              <w:t>“</w:t>
            </w:r>
            <w:r w:rsidR="003D3FBC">
              <w:rPr>
                <w:b/>
              </w:rPr>
              <w:t>Ordinary</w:t>
            </w:r>
            <w:r>
              <w:rPr>
                <w:b/>
              </w:rPr>
              <w:t xml:space="preserve"> shares”</w:t>
            </w:r>
          </w:p>
        </w:tc>
        <w:tc>
          <w:tcPr>
            <w:tcW w:w="1819"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12A7467" w14:textId="77777777" w:rsidR="00B97A69" w:rsidRDefault="001B5626">
            <w:pPr>
              <w:pStyle w:val="Normal1"/>
              <w:spacing w:before="0" w:after="0" w:line="276" w:lineRule="auto"/>
              <w:ind w:left="80"/>
              <w:jc w:val="left"/>
              <w:rPr>
                <w:b/>
              </w:rPr>
            </w:pPr>
            <w:r>
              <w:rPr>
                <w:b/>
              </w:rPr>
              <w:t xml:space="preserve"> £      1,000,000</w:t>
            </w:r>
          </w:p>
        </w:tc>
      </w:tr>
      <w:tr w:rsidR="00B97A69" w14:paraId="5ABAB2B6" w14:textId="77777777" w:rsidTr="00412D97">
        <w:trPr>
          <w:cantSplit/>
          <w:trHeight w:val="515"/>
          <w:tblHeader/>
          <w:jc w:val="center"/>
        </w:trPr>
        <w:tc>
          <w:tcPr>
            <w:tcW w:w="3181"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CC90F41" w14:textId="77777777" w:rsidR="00B97A69" w:rsidRDefault="001B5626">
            <w:pPr>
              <w:pStyle w:val="Normal1"/>
              <w:spacing w:before="0" w:after="0" w:line="276" w:lineRule="auto"/>
              <w:ind w:left="80"/>
              <w:jc w:val="left"/>
              <w:rPr>
                <w:b/>
              </w:rPr>
            </w:pPr>
            <w:r>
              <w:rPr>
                <w:b/>
              </w:rPr>
              <w:t>“Retained earnings”</w:t>
            </w:r>
          </w:p>
        </w:tc>
        <w:tc>
          <w:tcPr>
            <w:tcW w:w="1819"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85B1ED4" w14:textId="77777777" w:rsidR="00B97A69" w:rsidRDefault="001B5626">
            <w:pPr>
              <w:pStyle w:val="Normal1"/>
              <w:spacing w:before="0" w:after="0" w:line="276" w:lineRule="auto"/>
              <w:ind w:left="80"/>
              <w:jc w:val="left"/>
              <w:rPr>
                <w:b/>
              </w:rPr>
            </w:pPr>
            <w:r>
              <w:rPr>
                <w:b/>
              </w:rPr>
              <w:t xml:space="preserve"> £         134,370</w:t>
            </w:r>
          </w:p>
        </w:tc>
      </w:tr>
      <w:tr w:rsidR="00B97A69" w14:paraId="68D411DC" w14:textId="77777777" w:rsidTr="00412D97">
        <w:trPr>
          <w:cantSplit/>
          <w:trHeight w:val="515"/>
          <w:tblHeader/>
          <w:jc w:val="center"/>
        </w:trPr>
        <w:tc>
          <w:tcPr>
            <w:tcW w:w="3181" w:type="pct"/>
            <w:tcBorders>
              <w:top w:val="nil"/>
              <w:left w:val="single" w:sz="8" w:space="0" w:color="000000"/>
              <w:bottom w:val="single" w:sz="8" w:space="0" w:color="000000"/>
              <w:right w:val="single" w:sz="8" w:space="0" w:color="000000"/>
            </w:tcBorders>
            <w:shd w:val="clear" w:color="auto" w:fill="EAF1DD"/>
            <w:tcMar>
              <w:top w:w="100" w:type="dxa"/>
              <w:left w:w="100" w:type="dxa"/>
              <w:bottom w:w="100" w:type="dxa"/>
              <w:right w:w="100" w:type="dxa"/>
            </w:tcMar>
            <w:vAlign w:val="bottom"/>
          </w:tcPr>
          <w:p w14:paraId="4766C828" w14:textId="77777777" w:rsidR="00B97A69" w:rsidRDefault="001B5626">
            <w:pPr>
              <w:pStyle w:val="Normal1"/>
              <w:spacing w:before="0" w:after="0" w:line="276" w:lineRule="auto"/>
              <w:ind w:left="80"/>
              <w:jc w:val="left"/>
              <w:rPr>
                <w:b/>
              </w:rPr>
            </w:pPr>
            <w:r>
              <w:rPr>
                <w:b/>
              </w:rPr>
              <w:t>“Total equity and liabilities”</w:t>
            </w:r>
          </w:p>
        </w:tc>
        <w:tc>
          <w:tcPr>
            <w:tcW w:w="1819" w:type="pct"/>
            <w:tcBorders>
              <w:top w:val="nil"/>
              <w:left w:val="nil"/>
              <w:bottom w:val="single" w:sz="8" w:space="0" w:color="000000"/>
              <w:right w:val="single" w:sz="8" w:space="0" w:color="000000"/>
            </w:tcBorders>
            <w:shd w:val="clear" w:color="auto" w:fill="EAF1DD"/>
            <w:tcMar>
              <w:top w:w="100" w:type="dxa"/>
              <w:left w:w="100" w:type="dxa"/>
              <w:bottom w:w="100" w:type="dxa"/>
              <w:right w:w="100" w:type="dxa"/>
            </w:tcMar>
            <w:vAlign w:val="bottom"/>
          </w:tcPr>
          <w:p w14:paraId="4D1990C7" w14:textId="77777777" w:rsidR="00B97A69" w:rsidRDefault="001B5626">
            <w:pPr>
              <w:pStyle w:val="Normal1"/>
              <w:spacing w:before="0" w:after="0" w:line="276" w:lineRule="auto"/>
              <w:ind w:left="80"/>
              <w:jc w:val="left"/>
              <w:rPr>
                <w:b/>
              </w:rPr>
            </w:pPr>
            <w:r>
              <w:rPr>
                <w:b/>
              </w:rPr>
              <w:t xml:space="preserve"> £      2,026,975</w:t>
            </w:r>
          </w:p>
        </w:tc>
      </w:tr>
    </w:tbl>
    <w:p w14:paraId="2ABE1085" w14:textId="77777777" w:rsidR="00B97A69" w:rsidRDefault="001B5626">
      <w:pPr>
        <w:pStyle w:val="Normal1"/>
        <w:spacing w:before="240" w:after="240"/>
        <w:jc w:val="center"/>
        <w:rPr>
          <w:b/>
        </w:rPr>
      </w:pPr>
      <w:r>
        <w:rPr>
          <w:b/>
        </w:rPr>
        <w:t>Table 1: Calculation of Balance sheet</w:t>
      </w:r>
    </w:p>
    <w:p w14:paraId="588C91DC" w14:textId="77777777" w:rsidR="00B97A69" w:rsidRDefault="001B5626">
      <w:pPr>
        <w:pStyle w:val="Normal1"/>
        <w:spacing w:before="240" w:after="240"/>
        <w:jc w:val="center"/>
      </w:pPr>
      <w:r>
        <w:t>(Source: Self-developed)</w:t>
      </w:r>
    </w:p>
    <w:p w14:paraId="23C49312" w14:textId="35F5FD53" w:rsidR="00B97A69" w:rsidRDefault="001B5626">
      <w:pPr>
        <w:pStyle w:val="Normal1"/>
        <w:spacing w:before="240" w:after="240"/>
      </w:pPr>
      <w:r>
        <w:t xml:space="preserve">As per the basis of above table 1, it is mentioned the £ 2,026,975 in the balancing for both liabilities and equity. The assets mentioned in the good position are </w:t>
      </w:r>
      <w:r>
        <w:rPr>
          <w:b/>
          <w:i/>
        </w:rPr>
        <w:t xml:space="preserve">£ 2,026,975 </w:t>
      </w:r>
      <w:r w:rsidR="003D3FBC">
        <w:t>and</w:t>
      </w:r>
      <w:r>
        <w:t xml:space="preserve"> the balance sheet value has indicated with financial health position. It gives a better management position in showing the time </w:t>
      </w:r>
      <w:r w:rsidR="003D3FBC">
        <w:t>and</w:t>
      </w:r>
      <w:r>
        <w:t xml:space="preserve"> provided better interest with its providing parties related to the financial position of the organization (</w:t>
      </w:r>
      <w:r w:rsidR="003D3FBC">
        <w:t>Levy ska</w:t>
      </w:r>
      <w:r>
        <w:t xml:space="preserve"> </w:t>
      </w:r>
      <w:r>
        <w:rPr>
          <w:i/>
        </w:rPr>
        <w:t xml:space="preserve">et al. </w:t>
      </w:r>
      <w:r>
        <w:t xml:space="preserve">2020, p.5). The company’s total assets are mentioned at the value of </w:t>
      </w:r>
      <w:r>
        <w:rPr>
          <w:b/>
        </w:rPr>
        <w:t xml:space="preserve">£ 2,026,975 </w:t>
      </w:r>
      <w:r>
        <w:t xml:space="preserve">and the total liability is mentioned at </w:t>
      </w:r>
      <w:r>
        <w:rPr>
          <w:b/>
        </w:rPr>
        <w:t>£ 492,605</w:t>
      </w:r>
      <w:r>
        <w:t xml:space="preserve">. However, the company’s assets value is higher than the current liabilities. The retained earnings of the organisation are mentioned at the value </w:t>
      </w:r>
      <w:r w:rsidR="005D28EA">
        <w:t>of £</w:t>
      </w:r>
      <w:r>
        <w:t xml:space="preserve"> 134,370. The main purpose of the balance sheet is to show the status of the financial business as the on-time point. The statement has shown the entity </w:t>
      </w:r>
      <w:r w:rsidR="003D3FBC">
        <w:t>and</w:t>
      </w:r>
      <w:r>
        <w:t xml:space="preserve"> the liabilities owning process by adding the invested amount in the equity. It provides better information aligned with the company’s assets and resources </w:t>
      </w:r>
      <w:r w:rsidR="003D3FBC">
        <w:t>and</w:t>
      </w:r>
      <w:r>
        <w:t xml:space="preserve"> pays off its needs in the operations (</w:t>
      </w:r>
      <w:r w:rsidR="003D3FBC">
        <w:t>Matara</w:t>
      </w:r>
      <w:r>
        <w:t xml:space="preserve">, and </w:t>
      </w:r>
      <w:r w:rsidR="003D3FBC">
        <w:t>Endian</w:t>
      </w:r>
      <w:r>
        <w:t xml:space="preserve">, 2018, p.7). It meets with the distribution to the organization’s owners, </w:t>
      </w:r>
      <w:r w:rsidR="003D3FBC">
        <w:t>and</w:t>
      </w:r>
      <w:r>
        <w:t xml:space="preserve"> the future debt obligations.</w:t>
      </w:r>
    </w:p>
    <w:p w14:paraId="474ACD77" w14:textId="50818724" w:rsidR="00B97A69" w:rsidRDefault="005D28EA">
      <w:pPr>
        <w:pStyle w:val="Normal1"/>
        <w:rPr>
          <w:b/>
          <w:i/>
        </w:rPr>
      </w:pPr>
      <w:r>
        <w:rPr>
          <w:b/>
          <w:i/>
        </w:rPr>
        <w:t>The</w:t>
      </w:r>
      <w:r w:rsidR="001B5626">
        <w:rPr>
          <w:b/>
          <w:i/>
        </w:rPr>
        <w:t xml:space="preserve"> Income </w:t>
      </w:r>
      <w:r w:rsidR="003D3FBC">
        <w:rPr>
          <w:b/>
          <w:i/>
        </w:rPr>
        <w:t>statements</w:t>
      </w:r>
      <w:r w:rsidR="001B5626">
        <w:rPr>
          <w:b/>
          <w:i/>
        </w:rPr>
        <w:t xml:space="preserve"> </w:t>
      </w:r>
    </w:p>
    <w:p w14:paraId="1BB9235A" w14:textId="77777777" w:rsidR="00B97A69" w:rsidRDefault="001B5626">
      <w:pPr>
        <w:pStyle w:val="Normal1"/>
        <w:spacing w:before="240" w:after="240"/>
        <w:jc w:val="center"/>
        <w:rPr>
          <w:b/>
        </w:rPr>
      </w:pPr>
      <w:r>
        <w:rPr>
          <w:b/>
          <w:noProof/>
          <w:lang w:eastAsia="en-GB"/>
        </w:rPr>
        <w:drawing>
          <wp:inline distT="114300" distB="114300" distL="114300" distR="114300" wp14:anchorId="27FE646F" wp14:editId="655FB783">
            <wp:extent cx="5100638" cy="489585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5100638" cy="4895850"/>
                    </a:xfrm>
                    <a:prstGeom prst="rect">
                      <a:avLst/>
                    </a:prstGeom>
                    <a:ln/>
                  </pic:spPr>
                </pic:pic>
              </a:graphicData>
            </a:graphic>
          </wp:inline>
        </w:drawing>
      </w:r>
    </w:p>
    <w:p w14:paraId="288DF45C" w14:textId="77777777" w:rsidR="00B97A69" w:rsidRDefault="001B5626">
      <w:pPr>
        <w:pStyle w:val="Normal1"/>
        <w:spacing w:before="240" w:after="240"/>
        <w:jc w:val="center"/>
        <w:rPr>
          <w:b/>
        </w:rPr>
      </w:pPr>
      <w:r>
        <w:rPr>
          <w:b/>
        </w:rPr>
        <w:t>Figure 1: Calculation of income statement</w:t>
      </w:r>
    </w:p>
    <w:p w14:paraId="68E43DE5" w14:textId="77777777" w:rsidR="00B97A69" w:rsidRDefault="001B5626">
      <w:pPr>
        <w:pStyle w:val="Normal1"/>
        <w:spacing w:before="240" w:after="240"/>
        <w:jc w:val="center"/>
      </w:pPr>
      <w:r>
        <w:t>(Source: Self-developed)</w:t>
      </w:r>
    </w:p>
    <w:p w14:paraId="1727572E" w14:textId="30730D49" w:rsidR="00B97A69" w:rsidRDefault="001B5626">
      <w:pPr>
        <w:pStyle w:val="Normal1"/>
        <w:spacing w:before="240" w:after="240"/>
      </w:pPr>
      <w:r>
        <w:t xml:space="preserve">As per the above-given table, there is mentioned bout the income statement helps the business owners in creating decisions on generating profits. Thus, the effect of that it reduces the costs on both and increases the sales. It has indicated an effective strategy for the organization’s business in managing the financial statement and financial position. The </w:t>
      </w:r>
      <w:r>
        <w:rPr>
          <w:b/>
          <w:i/>
        </w:rPr>
        <w:t xml:space="preserve">“Gross profit (GP)” is </w:t>
      </w:r>
      <w:r>
        <w:t xml:space="preserve">mentioned at the value of £ 221,350. </w:t>
      </w:r>
      <w:r w:rsidR="003D3FBC">
        <w:t>The</w:t>
      </w:r>
      <w:r>
        <w:t xml:space="preserve"> value of GP has shown in a positive manner. This happened because of the increasing the greater value related to the</w:t>
      </w:r>
      <w:r>
        <w:rPr>
          <w:b/>
          <w:i/>
        </w:rPr>
        <w:t xml:space="preserve"> “costs of sales”. </w:t>
      </w:r>
      <w:r>
        <w:t xml:space="preserve">The </w:t>
      </w:r>
      <w:r>
        <w:rPr>
          <w:b/>
          <w:i/>
        </w:rPr>
        <w:t xml:space="preserve">“Net profit (NP)” </w:t>
      </w:r>
      <w:r>
        <w:t xml:space="preserve">of the organization has determined at a positive value of £ 2370 that is after tax. However, the profit before tax is mentioned at the value </w:t>
      </w:r>
      <w:r w:rsidR="006A0185">
        <w:t>of £</w:t>
      </w:r>
      <w:r>
        <w:t xml:space="preserve"> 102370. The tax value given at the rate of £ 100000 stands for </w:t>
      </w:r>
      <w:r>
        <w:rPr>
          <w:b/>
          <w:i/>
        </w:rPr>
        <w:t xml:space="preserve">“Corporate tax” </w:t>
      </w:r>
      <w:r>
        <w:t xml:space="preserve">for the year ended 2021. The operating expenses of Wales plc stand at a value </w:t>
      </w:r>
      <w:r w:rsidR="006A0185">
        <w:t xml:space="preserve">of </w:t>
      </w:r>
      <w:r w:rsidR="006A0185">
        <w:rPr>
          <w:b/>
        </w:rPr>
        <w:t>£</w:t>
      </w:r>
      <w:r>
        <w:rPr>
          <w:b/>
        </w:rPr>
        <w:t xml:space="preserve"> 118,980. </w:t>
      </w:r>
      <w:r>
        <w:t xml:space="preserve">As per the view of </w:t>
      </w:r>
      <w:r w:rsidR="003D3FBC">
        <w:t>Ihsan</w:t>
      </w:r>
      <w:r>
        <w:t xml:space="preserve"> </w:t>
      </w:r>
      <w:r>
        <w:rPr>
          <w:i/>
        </w:rPr>
        <w:t xml:space="preserve">et al. </w:t>
      </w:r>
      <w:r>
        <w:t xml:space="preserve">(2021, p. 17), the net profit is the amount related to the business earning profit after deducting all expenses, tax, </w:t>
      </w:r>
      <w:r w:rsidR="003D3FBC">
        <w:t>and interest</w:t>
      </w:r>
      <w:r>
        <w:t xml:space="preserve"> all over a specific time period. Hence, for arriving at the value, it is required to determine the gross profit of the organization. Therefore, if the net profit value is calculated and determined in a negative position then it is called a net loss. However, the company earned profit after tax at a positive value which is a good sign for the showing better financial health position of the organization.</w:t>
      </w:r>
    </w:p>
    <w:p w14:paraId="5B484325" w14:textId="4926FB8C" w:rsidR="00B97A69" w:rsidRDefault="001B5626">
      <w:pPr>
        <w:pStyle w:val="Normal1"/>
        <w:spacing w:before="240" w:after="240"/>
      </w:pPr>
      <w:r>
        <w:t>Along with that, the income statement is the part that is mainly aligned with preparing the financial statement with the organization. The main purpose of the income statement has provided the readers with financial information, investors, and creditors (</w:t>
      </w:r>
      <w:r w:rsidR="003D3FBC">
        <w:t>Fatiguing</w:t>
      </w:r>
      <w:r>
        <w:t xml:space="preserve">, 2018, p.8). The </w:t>
      </w:r>
      <w:r w:rsidR="00F04931">
        <w:t>organization achieves</w:t>
      </w:r>
      <w:r>
        <w:t xml:space="preserve"> more profitability during the financial statement. It has mainly examined the specific strategy shortcoming </w:t>
      </w:r>
      <w:r w:rsidR="003D3FBC">
        <w:t>and</w:t>
      </w:r>
      <w:r>
        <w:t xml:space="preserve"> </w:t>
      </w:r>
      <w:r w:rsidR="00F04931">
        <w:t>creates</w:t>
      </w:r>
      <w:r>
        <w:t xml:space="preserve"> a suitable and accurate lead for making decisions. </w:t>
      </w:r>
    </w:p>
    <w:p w14:paraId="7E44CE8F" w14:textId="7591F5B1" w:rsidR="00B97A69" w:rsidRDefault="001B5626">
      <w:pPr>
        <w:pStyle w:val="Heading2"/>
      </w:pPr>
      <w:bookmarkStart w:id="5" w:name="_4qejmddymkn" w:colFirst="0" w:colLast="0"/>
      <w:bookmarkStart w:id="6" w:name="_Toc120611667"/>
      <w:bookmarkEnd w:id="5"/>
      <w:r>
        <w:t xml:space="preserve">B. </w:t>
      </w:r>
      <w:r w:rsidR="003D3FBC">
        <w:t>Analyse</w:t>
      </w:r>
      <w:r>
        <w:t xml:space="preserve"> the reason behind the balance of the financial position statement</w:t>
      </w:r>
      <w:bookmarkEnd w:id="6"/>
    </w:p>
    <w:p w14:paraId="30B54846" w14:textId="77777777" w:rsidR="00B97A69" w:rsidRDefault="001B5626">
      <w:pPr>
        <w:pStyle w:val="Normal1"/>
      </w:pPr>
      <w:r>
        <w:t xml:space="preserve">The balance value of the organization has shown at </w:t>
      </w:r>
      <w:r>
        <w:rPr>
          <w:b/>
        </w:rPr>
        <w:t xml:space="preserve">£ 2,026,975 </w:t>
      </w:r>
      <w:r>
        <w:t xml:space="preserve">in a good manner. It happens because the data has been shown in an accurate and suitable manner. The balance sheet has balanced with equality by obtaining the total assets equal to the liabilities value with including the value of shareholder’s equity. The statement of the balance sheet shows the manageable form in the shareholder’s equity, liabilities, and also assets. The balance sheet is one of the significant financial statements using the organization’s business evaluation (Osadchy </w:t>
      </w:r>
      <w:r>
        <w:rPr>
          <w:i/>
        </w:rPr>
        <w:t xml:space="preserve">et al. </w:t>
      </w:r>
      <w:r>
        <w:t xml:space="preserve">2018, p.9). Thus, with the effect of that, it provides the accurate and suitable organization’s business as one of the publication data. It helps the management in the financial position in relation to the organization’s performance. It has completed </w:t>
      </w:r>
      <w:r w:rsidR="005D28EA">
        <w:t>its</w:t>
      </w:r>
      <w:r>
        <w:t xml:space="preserve"> providing the management with thinking about the organization's performance. It has completely with prodigy better decision making suitable management related to the organization’s policy. </w:t>
      </w:r>
    </w:p>
    <w:p w14:paraId="35A276E1" w14:textId="77777777" w:rsidR="00B97A69" w:rsidRDefault="001B5626">
      <w:pPr>
        <w:pStyle w:val="Normal1"/>
      </w:pPr>
      <w:r>
        <w:t xml:space="preserve">The financial position helps the organization’s management in thinking about the organization’s performance. It has been completed by providing better management in the way of managing suitable and accurate financial policies in the company. It has </w:t>
      </w:r>
      <w:r w:rsidR="005D28EA">
        <w:t>completed</w:t>
      </w:r>
      <w:r>
        <w:t xml:space="preserve"> with making decisions on accurate and suitable policies for making the better decision for the organisation. It is most significant for the financial statement of the organization in using the income statement. It shows the ability of the organization’s business in generating profit (Fridson, and Alvarez, 2022, p.6). It analyses the position of businesses in financial stability and also shows the potential risks in managing the balance sheet users. The organization’s liabilities owes such as salaries, debts, taxes, and payables. The shareholders of equity section indicators the organization’s retained earnings which is also the contribution of capital to its shareholder. Therefore, for example, it can be shown the major part by adding the total balance sheet and assets should be met with equal to its liabilities and shareholder’s equity. </w:t>
      </w:r>
    </w:p>
    <w:p w14:paraId="34B75A39" w14:textId="77777777" w:rsidR="00B97A69" w:rsidRDefault="001B5626">
      <w:pPr>
        <w:pStyle w:val="Normal1"/>
      </w:pPr>
      <w:r>
        <w:t xml:space="preserve">The company has earned net profit at a specific time period by adding the income and subtracting the expenses. It serves as the showing the better potential indicator related to operational success (Cho </w:t>
      </w:r>
      <w:r>
        <w:rPr>
          <w:i/>
        </w:rPr>
        <w:t xml:space="preserve">et al. </w:t>
      </w:r>
      <w:r>
        <w:t xml:space="preserve">2019, p.13). The owners of businesses have shown better investors, financial examine also </w:t>
      </w:r>
      <w:r w:rsidR="005D28EA">
        <w:t>utilize</w:t>
      </w:r>
      <w:r>
        <w:t xml:space="preserve"> the financial metrics for assessing the organization’s financial health. The net profit of the organization is also known as the net income, also the net earnings value with the bottom line. It shows the company’s financial standing after the organization’s expenses have paid the total sales value. It account has shown the firm’s financial transactions firm instead of showing the tax payment. Hence, on the basis of the fundamental concept, business owners can ignore the miscalculation and are also capable to develop financial strategies (Alexander, 2018, p.10). Additionally, the surplus earnings left with the organization after deducting the taxes, interest and also the operating taxes in the net profit under the purview. </w:t>
      </w:r>
    </w:p>
    <w:p w14:paraId="790D174B" w14:textId="77777777" w:rsidR="00B97A69" w:rsidRDefault="001B5626">
      <w:pPr>
        <w:pStyle w:val="Normal1"/>
      </w:pPr>
      <w:r>
        <w:t xml:space="preserve">It is important to carry useful information in managing the company’s financial health which assists the organization in making the investment decision on economics. They have highlighted the areas of the organization in providing the </w:t>
      </w:r>
      <w:r>
        <w:rPr>
          <w:b/>
          <w:i/>
        </w:rPr>
        <w:t xml:space="preserve">“return on investment (ROI)”. </w:t>
      </w:r>
      <w:r>
        <w:t xml:space="preserve">Hence, while in the income statement funds are recording flows in or out with the all-over time period organizations. The consolidated income statement and balance sheet have shown the </w:t>
      </w:r>
      <w:r w:rsidR="005D28EA">
        <w:t>organization’s</w:t>
      </w:r>
      <w:r>
        <w:t xml:space="preserve"> business performance insights at its specific time. Alternatively, the company’s balance sheet has indicated that the company owns the assets and liabilities on the differentiating the two equity of stockholders. It has indicated the differentiation in showing the stake book value of the organisation (Robinson, 2020, p.2). It has shown the balance sheet because of showing both sides with a balance equation by adding the stockholder's equity. </w:t>
      </w:r>
    </w:p>
    <w:p w14:paraId="0643893E" w14:textId="77777777" w:rsidR="00B97A69" w:rsidRDefault="001B5626">
      <w:pPr>
        <w:pStyle w:val="Heading1"/>
      </w:pPr>
      <w:bookmarkStart w:id="7" w:name="_x128eaptec4p" w:colFirst="0" w:colLast="0"/>
      <w:bookmarkStart w:id="8" w:name="_Toc120611668"/>
      <w:bookmarkEnd w:id="7"/>
      <w:r>
        <w:t>Question 2</w:t>
      </w:r>
      <w:bookmarkEnd w:id="8"/>
    </w:p>
    <w:p w14:paraId="67F4BFB3" w14:textId="77777777" w:rsidR="00B97A69" w:rsidRDefault="001B5626">
      <w:pPr>
        <w:pStyle w:val="Heading2"/>
      </w:pPr>
      <w:bookmarkStart w:id="9" w:name="_z0mtvpa97l13" w:colFirst="0" w:colLast="0"/>
      <w:bookmarkStart w:id="10" w:name="_Toc120611669"/>
      <w:bookmarkEnd w:id="9"/>
      <w:r>
        <w:t>A. Calculation of the below-mentioned ratios</w:t>
      </w:r>
      <w:bookmarkEnd w:id="10"/>
    </w:p>
    <w:p w14:paraId="336B2E5D" w14:textId="77777777" w:rsidR="00B97A69" w:rsidRDefault="001B5626">
      <w:pPr>
        <w:pStyle w:val="Normal1"/>
        <w:rPr>
          <w:b/>
          <w:i/>
        </w:rPr>
      </w:pPr>
      <w:r>
        <w:rPr>
          <w:b/>
        </w:rPr>
        <w:t>1</w:t>
      </w:r>
    </w:p>
    <w:tbl>
      <w:tblPr>
        <w:tblStyle w:val="MediumShading2-Accent4"/>
        <w:tblW w:w="880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20" w:firstRow="1" w:lastRow="0" w:firstColumn="0" w:lastColumn="0" w:noHBand="0" w:noVBand="1"/>
      </w:tblPr>
      <w:tblGrid>
        <w:gridCol w:w="5205"/>
        <w:gridCol w:w="1800"/>
        <w:gridCol w:w="1800"/>
      </w:tblGrid>
      <w:tr w:rsidR="00B97A69" w14:paraId="3E2F41AE" w14:textId="77777777" w:rsidTr="00412D97">
        <w:trPr>
          <w:cnfStyle w:val="100000000000" w:firstRow="1" w:lastRow="0" w:firstColumn="0" w:lastColumn="0" w:oddVBand="0" w:evenVBand="0" w:oddHBand="0" w:evenHBand="0" w:firstRowFirstColumn="0" w:firstRowLastColumn="0" w:lastRowFirstColumn="0" w:lastRowLastColumn="0"/>
          <w:trHeight w:val="975"/>
          <w:jc w:val="center"/>
        </w:trPr>
        <w:tc>
          <w:tcPr>
            <w:tcW w:w="8805" w:type="dxa"/>
            <w:gridSpan w:val="3"/>
            <w:tcBorders>
              <w:top w:val="none" w:sz="0" w:space="0" w:color="auto"/>
              <w:left w:val="none" w:sz="0" w:space="0" w:color="auto"/>
              <w:bottom w:val="none" w:sz="0" w:space="0" w:color="auto"/>
              <w:right w:val="none" w:sz="0" w:space="0" w:color="auto"/>
            </w:tcBorders>
          </w:tcPr>
          <w:p w14:paraId="31DE74B0" w14:textId="77777777" w:rsidR="00B97A69" w:rsidRPr="00412D97" w:rsidRDefault="001B5626">
            <w:pPr>
              <w:pStyle w:val="Normal1"/>
              <w:spacing w:before="240" w:after="240"/>
              <w:jc w:val="center"/>
              <w:rPr>
                <w:b w:val="0"/>
                <w:i/>
                <w:color w:val="000000" w:themeColor="text1"/>
                <w:sz w:val="28"/>
                <w:szCs w:val="28"/>
              </w:rPr>
            </w:pPr>
            <w:r w:rsidRPr="00412D97">
              <w:rPr>
                <w:i/>
                <w:color w:val="000000" w:themeColor="text1"/>
                <w:sz w:val="28"/>
                <w:szCs w:val="28"/>
              </w:rPr>
              <w:t>Sweets plc</w:t>
            </w:r>
          </w:p>
        </w:tc>
      </w:tr>
      <w:tr w:rsidR="00B97A69" w14:paraId="027F73DE" w14:textId="77777777" w:rsidTr="00412D97">
        <w:trPr>
          <w:cnfStyle w:val="000000100000" w:firstRow="0" w:lastRow="0" w:firstColumn="0" w:lastColumn="0" w:oddVBand="0" w:evenVBand="0" w:oddHBand="1" w:evenHBand="0" w:firstRowFirstColumn="0" w:firstRowLastColumn="0" w:lastRowFirstColumn="0" w:lastRowLastColumn="0"/>
          <w:trHeight w:val="975"/>
          <w:jc w:val="center"/>
        </w:trPr>
        <w:tc>
          <w:tcPr>
            <w:tcW w:w="5205" w:type="dxa"/>
          </w:tcPr>
          <w:p w14:paraId="35F77D77" w14:textId="77777777" w:rsidR="00B97A69" w:rsidRDefault="001B5626">
            <w:pPr>
              <w:pStyle w:val="Normal1"/>
              <w:spacing w:before="240" w:after="240"/>
              <w:rPr>
                <w:b/>
                <w:i/>
              </w:rPr>
            </w:pPr>
            <w:r>
              <w:rPr>
                <w:b/>
                <w:i/>
              </w:rPr>
              <w:t>Particulars</w:t>
            </w:r>
          </w:p>
        </w:tc>
        <w:tc>
          <w:tcPr>
            <w:tcW w:w="1800" w:type="dxa"/>
          </w:tcPr>
          <w:p w14:paraId="7294FC1E" w14:textId="77777777" w:rsidR="00B97A69" w:rsidRDefault="001B5626">
            <w:pPr>
              <w:pStyle w:val="Normal1"/>
              <w:spacing w:before="240" w:after="240"/>
              <w:jc w:val="right"/>
              <w:rPr>
                <w:b/>
                <w:i/>
              </w:rPr>
            </w:pPr>
            <w:r>
              <w:rPr>
                <w:b/>
                <w:i/>
              </w:rPr>
              <w:t>2021</w:t>
            </w:r>
          </w:p>
        </w:tc>
        <w:tc>
          <w:tcPr>
            <w:tcW w:w="1800" w:type="dxa"/>
          </w:tcPr>
          <w:p w14:paraId="58990C73" w14:textId="77777777" w:rsidR="00B97A69" w:rsidRDefault="001B5626">
            <w:pPr>
              <w:pStyle w:val="Normal1"/>
              <w:spacing w:before="240" w:after="240"/>
              <w:jc w:val="right"/>
              <w:rPr>
                <w:b/>
                <w:i/>
              </w:rPr>
            </w:pPr>
            <w:r>
              <w:rPr>
                <w:b/>
                <w:i/>
              </w:rPr>
              <w:t>2020</w:t>
            </w:r>
          </w:p>
        </w:tc>
      </w:tr>
      <w:tr w:rsidR="00B97A69" w14:paraId="0E22580F" w14:textId="77777777" w:rsidTr="00412D97">
        <w:trPr>
          <w:trHeight w:val="975"/>
          <w:jc w:val="center"/>
        </w:trPr>
        <w:tc>
          <w:tcPr>
            <w:tcW w:w="5205" w:type="dxa"/>
          </w:tcPr>
          <w:p w14:paraId="6E8CC830" w14:textId="77777777" w:rsidR="00B97A69" w:rsidRDefault="001B5626">
            <w:pPr>
              <w:pStyle w:val="Normal1"/>
              <w:spacing w:before="240" w:after="240"/>
              <w:rPr>
                <w:b/>
                <w:i/>
              </w:rPr>
            </w:pPr>
            <w:r>
              <w:rPr>
                <w:b/>
                <w:i/>
              </w:rPr>
              <w:t xml:space="preserve"> </w:t>
            </w:r>
          </w:p>
        </w:tc>
        <w:tc>
          <w:tcPr>
            <w:tcW w:w="1800" w:type="dxa"/>
          </w:tcPr>
          <w:p w14:paraId="29E8D0A7" w14:textId="77777777" w:rsidR="00B97A69" w:rsidRDefault="001B5626">
            <w:pPr>
              <w:pStyle w:val="Normal1"/>
              <w:spacing w:before="240" w:after="240"/>
              <w:rPr>
                <w:b/>
                <w:i/>
              </w:rPr>
            </w:pPr>
            <w:r>
              <w:rPr>
                <w:b/>
                <w:i/>
              </w:rPr>
              <w:t>Amount (£m)</w:t>
            </w:r>
          </w:p>
        </w:tc>
        <w:tc>
          <w:tcPr>
            <w:tcW w:w="1800" w:type="dxa"/>
          </w:tcPr>
          <w:p w14:paraId="639960C5" w14:textId="77777777" w:rsidR="00B97A69" w:rsidRDefault="001B5626">
            <w:pPr>
              <w:pStyle w:val="Normal1"/>
              <w:spacing w:before="240" w:after="240"/>
              <w:rPr>
                <w:b/>
                <w:i/>
              </w:rPr>
            </w:pPr>
            <w:r>
              <w:rPr>
                <w:b/>
                <w:i/>
              </w:rPr>
              <w:t>Amount (£m)</w:t>
            </w:r>
          </w:p>
        </w:tc>
      </w:tr>
      <w:tr w:rsidR="00B97A69" w14:paraId="5781B301" w14:textId="77777777" w:rsidTr="00412D97">
        <w:trPr>
          <w:cnfStyle w:val="000000100000" w:firstRow="0" w:lastRow="0" w:firstColumn="0" w:lastColumn="0" w:oddVBand="0" w:evenVBand="0" w:oddHBand="1" w:evenHBand="0" w:firstRowFirstColumn="0" w:firstRowLastColumn="0" w:lastRowFirstColumn="0" w:lastRowLastColumn="0"/>
          <w:trHeight w:val="975"/>
          <w:jc w:val="center"/>
        </w:trPr>
        <w:tc>
          <w:tcPr>
            <w:tcW w:w="5205" w:type="dxa"/>
          </w:tcPr>
          <w:p w14:paraId="5698FFE7" w14:textId="77777777" w:rsidR="00B97A69" w:rsidRDefault="001B5626">
            <w:pPr>
              <w:pStyle w:val="Normal1"/>
              <w:spacing w:before="240" w:after="240"/>
              <w:rPr>
                <w:b/>
                <w:i/>
              </w:rPr>
            </w:pPr>
            <w:r>
              <w:rPr>
                <w:b/>
                <w:i/>
              </w:rPr>
              <w:t>EBIT "Earnings before interest and tax"</w:t>
            </w:r>
          </w:p>
        </w:tc>
        <w:tc>
          <w:tcPr>
            <w:tcW w:w="1800" w:type="dxa"/>
          </w:tcPr>
          <w:p w14:paraId="469E338F" w14:textId="77777777" w:rsidR="00B97A69" w:rsidRDefault="001B5626">
            <w:pPr>
              <w:pStyle w:val="Normal1"/>
              <w:spacing w:before="240" w:after="240"/>
              <w:jc w:val="right"/>
              <w:rPr>
                <w:b/>
                <w:i/>
              </w:rPr>
            </w:pPr>
            <w:r>
              <w:rPr>
                <w:b/>
                <w:i/>
              </w:rPr>
              <w:t>620</w:t>
            </w:r>
          </w:p>
        </w:tc>
        <w:tc>
          <w:tcPr>
            <w:tcW w:w="1800" w:type="dxa"/>
          </w:tcPr>
          <w:p w14:paraId="3E2CCB58" w14:textId="77777777" w:rsidR="00B97A69" w:rsidRDefault="001B5626">
            <w:pPr>
              <w:pStyle w:val="Normal1"/>
              <w:spacing w:before="240" w:after="240"/>
              <w:jc w:val="right"/>
              <w:rPr>
                <w:b/>
                <w:i/>
              </w:rPr>
            </w:pPr>
            <w:r>
              <w:rPr>
                <w:b/>
                <w:i/>
              </w:rPr>
              <w:t>539</w:t>
            </w:r>
          </w:p>
        </w:tc>
      </w:tr>
      <w:tr w:rsidR="00B97A69" w14:paraId="299FB851" w14:textId="77777777" w:rsidTr="00412D97">
        <w:trPr>
          <w:trHeight w:val="975"/>
          <w:jc w:val="center"/>
        </w:trPr>
        <w:tc>
          <w:tcPr>
            <w:tcW w:w="5205" w:type="dxa"/>
          </w:tcPr>
          <w:p w14:paraId="25BD0482" w14:textId="77777777" w:rsidR="00B97A69" w:rsidRDefault="001B5626">
            <w:pPr>
              <w:pStyle w:val="Normal1"/>
              <w:spacing w:before="240" w:after="240"/>
              <w:rPr>
                <w:b/>
                <w:i/>
              </w:rPr>
            </w:pPr>
            <w:r>
              <w:rPr>
                <w:b/>
                <w:i/>
              </w:rPr>
              <w:t>Total assets</w:t>
            </w:r>
          </w:p>
        </w:tc>
        <w:tc>
          <w:tcPr>
            <w:tcW w:w="1800" w:type="dxa"/>
          </w:tcPr>
          <w:p w14:paraId="5F62AC37" w14:textId="77777777" w:rsidR="00B97A69" w:rsidRDefault="001B5626">
            <w:pPr>
              <w:pStyle w:val="Normal1"/>
              <w:spacing w:before="240" w:after="240"/>
              <w:jc w:val="right"/>
              <w:rPr>
                <w:b/>
                <w:i/>
              </w:rPr>
            </w:pPr>
            <w:r>
              <w:rPr>
                <w:b/>
                <w:i/>
              </w:rPr>
              <w:t>9736</w:t>
            </w:r>
          </w:p>
        </w:tc>
        <w:tc>
          <w:tcPr>
            <w:tcW w:w="1800" w:type="dxa"/>
          </w:tcPr>
          <w:p w14:paraId="6775B4A3" w14:textId="77777777" w:rsidR="00B97A69" w:rsidRDefault="001B5626">
            <w:pPr>
              <w:pStyle w:val="Normal1"/>
              <w:spacing w:before="240" w:after="240"/>
              <w:jc w:val="right"/>
              <w:rPr>
                <w:b/>
                <w:i/>
              </w:rPr>
            </w:pPr>
            <w:r>
              <w:rPr>
                <w:b/>
                <w:i/>
              </w:rPr>
              <w:t>10087</w:t>
            </w:r>
          </w:p>
        </w:tc>
      </w:tr>
      <w:tr w:rsidR="00B97A69" w14:paraId="277C3F2F" w14:textId="77777777" w:rsidTr="00412D97">
        <w:trPr>
          <w:cnfStyle w:val="000000100000" w:firstRow="0" w:lastRow="0" w:firstColumn="0" w:lastColumn="0" w:oddVBand="0" w:evenVBand="0" w:oddHBand="1" w:evenHBand="0" w:firstRowFirstColumn="0" w:firstRowLastColumn="0" w:lastRowFirstColumn="0" w:lastRowLastColumn="0"/>
          <w:trHeight w:val="975"/>
          <w:jc w:val="center"/>
        </w:trPr>
        <w:tc>
          <w:tcPr>
            <w:tcW w:w="5205" w:type="dxa"/>
          </w:tcPr>
          <w:p w14:paraId="6F6ED2DD" w14:textId="77777777" w:rsidR="00B97A69" w:rsidRDefault="001B5626">
            <w:pPr>
              <w:pStyle w:val="Normal1"/>
              <w:spacing w:before="240" w:after="240"/>
              <w:rPr>
                <w:b/>
                <w:i/>
              </w:rPr>
            </w:pPr>
            <w:r>
              <w:rPr>
                <w:b/>
                <w:i/>
              </w:rPr>
              <w:t>“Total current liabilities”</w:t>
            </w:r>
          </w:p>
        </w:tc>
        <w:tc>
          <w:tcPr>
            <w:tcW w:w="1800" w:type="dxa"/>
          </w:tcPr>
          <w:p w14:paraId="099C6784" w14:textId="77777777" w:rsidR="00B97A69" w:rsidRDefault="001B5626">
            <w:pPr>
              <w:pStyle w:val="Normal1"/>
              <w:spacing w:before="240" w:after="240"/>
              <w:jc w:val="right"/>
              <w:rPr>
                <w:b/>
                <w:i/>
              </w:rPr>
            </w:pPr>
            <w:r>
              <w:rPr>
                <w:b/>
                <w:i/>
              </w:rPr>
              <w:t>2511</w:t>
            </w:r>
          </w:p>
        </w:tc>
        <w:tc>
          <w:tcPr>
            <w:tcW w:w="1800" w:type="dxa"/>
          </w:tcPr>
          <w:p w14:paraId="503BF6EA" w14:textId="77777777" w:rsidR="00B97A69" w:rsidRDefault="001B5626">
            <w:pPr>
              <w:pStyle w:val="Normal1"/>
              <w:spacing w:before="240" w:after="240"/>
              <w:jc w:val="right"/>
              <w:rPr>
                <w:b/>
                <w:i/>
              </w:rPr>
            </w:pPr>
            <w:r>
              <w:rPr>
                <w:b/>
                <w:i/>
              </w:rPr>
              <w:t>3046</w:t>
            </w:r>
          </w:p>
        </w:tc>
      </w:tr>
      <w:tr w:rsidR="00B97A69" w14:paraId="66AE9041" w14:textId="77777777" w:rsidTr="00412D97">
        <w:trPr>
          <w:trHeight w:val="975"/>
          <w:jc w:val="center"/>
        </w:trPr>
        <w:tc>
          <w:tcPr>
            <w:tcW w:w="5205" w:type="dxa"/>
          </w:tcPr>
          <w:p w14:paraId="6490AF2F" w14:textId="77777777" w:rsidR="00B97A69" w:rsidRDefault="001B5626">
            <w:pPr>
              <w:pStyle w:val="Normal1"/>
              <w:spacing w:before="240" w:after="240"/>
              <w:rPr>
                <w:b/>
                <w:i/>
              </w:rPr>
            </w:pPr>
            <w:r>
              <w:rPr>
                <w:b/>
                <w:i/>
              </w:rPr>
              <w:t>ROCE</w:t>
            </w:r>
          </w:p>
        </w:tc>
        <w:tc>
          <w:tcPr>
            <w:tcW w:w="1800" w:type="dxa"/>
          </w:tcPr>
          <w:p w14:paraId="1D9D985C" w14:textId="77777777" w:rsidR="00B97A69" w:rsidRDefault="001B5626">
            <w:pPr>
              <w:pStyle w:val="Normal1"/>
              <w:spacing w:before="240" w:after="240"/>
              <w:jc w:val="right"/>
              <w:rPr>
                <w:b/>
                <w:i/>
              </w:rPr>
            </w:pPr>
            <w:r>
              <w:rPr>
                <w:b/>
                <w:i/>
              </w:rPr>
              <w:t>0.09</w:t>
            </w:r>
          </w:p>
        </w:tc>
        <w:tc>
          <w:tcPr>
            <w:tcW w:w="1800" w:type="dxa"/>
          </w:tcPr>
          <w:p w14:paraId="41EAC5AF" w14:textId="77777777" w:rsidR="00B97A69" w:rsidRDefault="001B5626">
            <w:pPr>
              <w:pStyle w:val="Normal1"/>
              <w:spacing w:before="240" w:after="240"/>
              <w:jc w:val="right"/>
              <w:rPr>
                <w:b/>
                <w:i/>
              </w:rPr>
            </w:pPr>
            <w:r>
              <w:rPr>
                <w:b/>
                <w:i/>
              </w:rPr>
              <w:t>0.08</w:t>
            </w:r>
          </w:p>
        </w:tc>
      </w:tr>
      <w:tr w:rsidR="00B97A69" w14:paraId="416EA183" w14:textId="77777777" w:rsidTr="00412D97">
        <w:trPr>
          <w:cnfStyle w:val="000000100000" w:firstRow="0" w:lastRow="0" w:firstColumn="0" w:lastColumn="0" w:oddVBand="0" w:evenVBand="0" w:oddHBand="1" w:evenHBand="0" w:firstRowFirstColumn="0" w:firstRowLastColumn="0" w:lastRowFirstColumn="0" w:lastRowLastColumn="0"/>
          <w:trHeight w:val="975"/>
          <w:jc w:val="center"/>
        </w:trPr>
        <w:tc>
          <w:tcPr>
            <w:tcW w:w="8805" w:type="dxa"/>
            <w:gridSpan w:val="3"/>
          </w:tcPr>
          <w:p w14:paraId="51E10AF8" w14:textId="7B151803" w:rsidR="00B97A69" w:rsidRDefault="001B5626">
            <w:pPr>
              <w:pStyle w:val="Normal1"/>
              <w:spacing w:before="240" w:after="240"/>
              <w:jc w:val="center"/>
              <w:rPr>
                <w:b/>
                <w:i/>
              </w:rPr>
            </w:pPr>
            <w:r>
              <w:rPr>
                <w:b/>
                <w:i/>
              </w:rPr>
              <w:t>“ROCE= {EBIT</w:t>
            </w:r>
            <w:r w:rsidR="003D3FBC">
              <w:rPr>
                <w:b/>
                <w:i/>
              </w:rPr>
              <w:t>/ (</w:t>
            </w:r>
            <w:r>
              <w:rPr>
                <w:b/>
                <w:i/>
              </w:rPr>
              <w:t>Total assets-total current liabilities)}”</w:t>
            </w:r>
          </w:p>
        </w:tc>
      </w:tr>
    </w:tbl>
    <w:p w14:paraId="4C36FB20" w14:textId="77777777" w:rsidR="00B97A69" w:rsidRDefault="001B5626">
      <w:pPr>
        <w:pStyle w:val="Normal1"/>
        <w:spacing w:before="240" w:after="240"/>
        <w:jc w:val="center"/>
        <w:rPr>
          <w:b/>
        </w:rPr>
      </w:pPr>
      <w:r>
        <w:rPr>
          <w:b/>
        </w:rPr>
        <w:t>Table 2: Identification of ROCE</w:t>
      </w:r>
    </w:p>
    <w:p w14:paraId="744CE0F9" w14:textId="77777777" w:rsidR="00B97A69" w:rsidRDefault="001B5626">
      <w:pPr>
        <w:pStyle w:val="Normal1"/>
        <w:spacing w:before="240" w:after="240"/>
        <w:jc w:val="center"/>
      </w:pPr>
      <w:r>
        <w:t>(Source: Self-developed)</w:t>
      </w:r>
    </w:p>
    <w:p w14:paraId="445FB54E" w14:textId="1B210B8A" w:rsidR="00B97A69" w:rsidRDefault="001B5626">
      <w:pPr>
        <w:pStyle w:val="Normal1"/>
      </w:pPr>
      <w:r>
        <w:t xml:space="preserve">It shows the profitability ratio that assists in identifying about the company if it will be capable in creating the profit. It has can be seen that the ROCE is slightly enhanced in the current year. It means the organization has the capability to generate profit </w:t>
      </w:r>
      <w:r w:rsidR="003D3FBC">
        <w:t>using</w:t>
      </w:r>
      <w:r>
        <w:t xml:space="preserve"> capital (Ali and Oudat, 2021, p.5).</w:t>
      </w:r>
    </w:p>
    <w:p w14:paraId="26BB4D20" w14:textId="77777777" w:rsidR="00B97A69" w:rsidRDefault="001B5626">
      <w:pPr>
        <w:pStyle w:val="Normal1"/>
        <w:rPr>
          <w:b/>
        </w:rPr>
      </w:pPr>
      <w:r>
        <w:rPr>
          <w:b/>
        </w:rPr>
        <w:t>2</w:t>
      </w:r>
      <w:r w:rsidR="009C6DC0">
        <w:rPr>
          <w:b/>
        </w:rPr>
        <w:t>.</w:t>
      </w:r>
    </w:p>
    <w:tbl>
      <w:tblPr>
        <w:tblStyle w:val="MediumShading2-Accent5"/>
        <w:tblW w:w="87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20" w:firstRow="1" w:lastRow="0" w:firstColumn="0" w:lastColumn="0" w:noHBand="0" w:noVBand="1"/>
      </w:tblPr>
      <w:tblGrid>
        <w:gridCol w:w="3630"/>
        <w:gridCol w:w="2580"/>
        <w:gridCol w:w="2580"/>
      </w:tblGrid>
      <w:tr w:rsidR="00B97A69" w14:paraId="301C8D5D" w14:textId="77777777" w:rsidTr="00412D97">
        <w:trPr>
          <w:cnfStyle w:val="100000000000" w:firstRow="1" w:lastRow="0" w:firstColumn="0" w:lastColumn="0" w:oddVBand="0" w:evenVBand="0" w:oddHBand="0" w:evenHBand="0" w:firstRowFirstColumn="0" w:firstRowLastColumn="0" w:lastRowFirstColumn="0" w:lastRowLastColumn="0"/>
          <w:trHeight w:val="975"/>
          <w:jc w:val="center"/>
        </w:trPr>
        <w:tc>
          <w:tcPr>
            <w:tcW w:w="8790" w:type="dxa"/>
            <w:gridSpan w:val="3"/>
            <w:tcBorders>
              <w:top w:val="none" w:sz="0" w:space="0" w:color="auto"/>
              <w:left w:val="none" w:sz="0" w:space="0" w:color="auto"/>
              <w:bottom w:val="none" w:sz="0" w:space="0" w:color="auto"/>
              <w:right w:val="none" w:sz="0" w:space="0" w:color="auto"/>
            </w:tcBorders>
          </w:tcPr>
          <w:p w14:paraId="7A8A8BA7" w14:textId="77777777" w:rsidR="00B97A69" w:rsidRPr="00412D97" w:rsidRDefault="001B5626">
            <w:pPr>
              <w:pStyle w:val="Normal1"/>
              <w:spacing w:before="240" w:after="240"/>
              <w:jc w:val="center"/>
              <w:rPr>
                <w:b w:val="0"/>
                <w:color w:val="000000" w:themeColor="text1"/>
                <w:sz w:val="28"/>
                <w:szCs w:val="28"/>
              </w:rPr>
            </w:pPr>
            <w:r w:rsidRPr="00412D97">
              <w:rPr>
                <w:color w:val="000000" w:themeColor="text1"/>
                <w:sz w:val="28"/>
                <w:szCs w:val="28"/>
              </w:rPr>
              <w:t>Sweets plc</w:t>
            </w:r>
          </w:p>
        </w:tc>
      </w:tr>
      <w:tr w:rsidR="00B97A69" w14:paraId="0EFAC3F0" w14:textId="77777777" w:rsidTr="00412D97">
        <w:trPr>
          <w:cnfStyle w:val="000000100000" w:firstRow="0" w:lastRow="0" w:firstColumn="0" w:lastColumn="0" w:oddVBand="0" w:evenVBand="0" w:oddHBand="1" w:evenHBand="0" w:firstRowFirstColumn="0" w:firstRowLastColumn="0" w:lastRowFirstColumn="0" w:lastRowLastColumn="0"/>
          <w:trHeight w:val="975"/>
          <w:jc w:val="center"/>
        </w:trPr>
        <w:tc>
          <w:tcPr>
            <w:tcW w:w="3630" w:type="dxa"/>
          </w:tcPr>
          <w:p w14:paraId="526800D3" w14:textId="77777777" w:rsidR="00B97A69" w:rsidRDefault="001B5626">
            <w:pPr>
              <w:pStyle w:val="Normal1"/>
              <w:spacing w:before="240" w:after="240"/>
              <w:rPr>
                <w:b/>
              </w:rPr>
            </w:pPr>
            <w:r>
              <w:rPr>
                <w:b/>
              </w:rPr>
              <w:t>Particulars</w:t>
            </w:r>
          </w:p>
        </w:tc>
        <w:tc>
          <w:tcPr>
            <w:tcW w:w="2580" w:type="dxa"/>
          </w:tcPr>
          <w:p w14:paraId="7AF488E6" w14:textId="77777777" w:rsidR="00B97A69" w:rsidRDefault="001B5626">
            <w:pPr>
              <w:pStyle w:val="Normal1"/>
              <w:spacing w:before="240" w:after="240"/>
              <w:jc w:val="right"/>
              <w:rPr>
                <w:b/>
              </w:rPr>
            </w:pPr>
            <w:r>
              <w:rPr>
                <w:b/>
              </w:rPr>
              <w:t>2021</w:t>
            </w:r>
          </w:p>
        </w:tc>
        <w:tc>
          <w:tcPr>
            <w:tcW w:w="2580" w:type="dxa"/>
          </w:tcPr>
          <w:p w14:paraId="1234CF20" w14:textId="77777777" w:rsidR="00B97A69" w:rsidRDefault="001B5626">
            <w:pPr>
              <w:pStyle w:val="Normal1"/>
              <w:spacing w:before="240" w:after="240"/>
              <w:jc w:val="right"/>
              <w:rPr>
                <w:b/>
              </w:rPr>
            </w:pPr>
            <w:r>
              <w:rPr>
                <w:b/>
              </w:rPr>
              <w:t>2020</w:t>
            </w:r>
          </w:p>
        </w:tc>
      </w:tr>
      <w:tr w:rsidR="00B97A69" w14:paraId="227065BF" w14:textId="77777777" w:rsidTr="00412D97">
        <w:trPr>
          <w:trHeight w:val="975"/>
          <w:jc w:val="center"/>
        </w:trPr>
        <w:tc>
          <w:tcPr>
            <w:tcW w:w="3630" w:type="dxa"/>
          </w:tcPr>
          <w:p w14:paraId="453B8256" w14:textId="77777777" w:rsidR="00B97A69" w:rsidRDefault="001B5626">
            <w:pPr>
              <w:pStyle w:val="Normal1"/>
              <w:spacing w:before="240" w:after="240"/>
              <w:rPr>
                <w:b/>
              </w:rPr>
            </w:pPr>
            <w:r>
              <w:rPr>
                <w:b/>
              </w:rPr>
              <w:t xml:space="preserve"> </w:t>
            </w:r>
          </w:p>
        </w:tc>
        <w:tc>
          <w:tcPr>
            <w:tcW w:w="2580" w:type="dxa"/>
          </w:tcPr>
          <w:p w14:paraId="17040745" w14:textId="77777777" w:rsidR="00B97A69" w:rsidRDefault="001B5626">
            <w:pPr>
              <w:pStyle w:val="Normal1"/>
              <w:spacing w:before="240" w:after="240"/>
              <w:rPr>
                <w:b/>
              </w:rPr>
            </w:pPr>
            <w:r>
              <w:rPr>
                <w:b/>
              </w:rPr>
              <w:t>Amount (£m)</w:t>
            </w:r>
          </w:p>
        </w:tc>
        <w:tc>
          <w:tcPr>
            <w:tcW w:w="2580" w:type="dxa"/>
          </w:tcPr>
          <w:p w14:paraId="1097965F" w14:textId="77777777" w:rsidR="00B97A69" w:rsidRDefault="001B5626">
            <w:pPr>
              <w:pStyle w:val="Normal1"/>
              <w:spacing w:before="240" w:after="240"/>
              <w:rPr>
                <w:b/>
              </w:rPr>
            </w:pPr>
            <w:r>
              <w:rPr>
                <w:b/>
              </w:rPr>
              <w:t>Amount (£m)</w:t>
            </w:r>
          </w:p>
        </w:tc>
      </w:tr>
      <w:tr w:rsidR="00B97A69" w14:paraId="17625AD0" w14:textId="77777777" w:rsidTr="00412D97">
        <w:trPr>
          <w:cnfStyle w:val="000000100000" w:firstRow="0" w:lastRow="0" w:firstColumn="0" w:lastColumn="0" w:oddVBand="0" w:evenVBand="0" w:oddHBand="1" w:evenHBand="0" w:firstRowFirstColumn="0" w:firstRowLastColumn="0" w:lastRowFirstColumn="0" w:lastRowLastColumn="0"/>
          <w:trHeight w:val="975"/>
          <w:jc w:val="center"/>
        </w:trPr>
        <w:tc>
          <w:tcPr>
            <w:tcW w:w="3630" w:type="dxa"/>
          </w:tcPr>
          <w:p w14:paraId="4CFC22CF" w14:textId="77777777" w:rsidR="00B97A69" w:rsidRDefault="001B5626">
            <w:pPr>
              <w:pStyle w:val="Normal1"/>
              <w:spacing w:before="240" w:after="240"/>
              <w:rPr>
                <w:b/>
              </w:rPr>
            </w:pPr>
            <w:r>
              <w:rPr>
                <w:b/>
              </w:rPr>
              <w:t>“Net income”</w:t>
            </w:r>
          </w:p>
        </w:tc>
        <w:tc>
          <w:tcPr>
            <w:tcW w:w="2580" w:type="dxa"/>
          </w:tcPr>
          <w:p w14:paraId="7FD0318B" w14:textId="77777777" w:rsidR="00B97A69" w:rsidRDefault="001B5626">
            <w:pPr>
              <w:pStyle w:val="Normal1"/>
              <w:spacing w:before="240" w:after="240"/>
              <w:jc w:val="right"/>
              <w:rPr>
                <w:b/>
              </w:rPr>
            </w:pPr>
            <w:r>
              <w:rPr>
                <w:b/>
              </w:rPr>
              <w:t>431</w:t>
            </w:r>
          </w:p>
        </w:tc>
        <w:tc>
          <w:tcPr>
            <w:tcW w:w="2580" w:type="dxa"/>
          </w:tcPr>
          <w:p w14:paraId="7109933C" w14:textId="77777777" w:rsidR="00B97A69" w:rsidRDefault="001B5626">
            <w:pPr>
              <w:pStyle w:val="Normal1"/>
              <w:spacing w:before="240" w:after="240"/>
              <w:jc w:val="right"/>
              <w:rPr>
                <w:b/>
              </w:rPr>
            </w:pPr>
            <w:r>
              <w:rPr>
                <w:b/>
              </w:rPr>
              <w:t>366</w:t>
            </w:r>
          </w:p>
        </w:tc>
      </w:tr>
      <w:tr w:rsidR="00B97A69" w14:paraId="6C25A9B7" w14:textId="77777777" w:rsidTr="00412D97">
        <w:trPr>
          <w:trHeight w:val="975"/>
          <w:jc w:val="center"/>
        </w:trPr>
        <w:tc>
          <w:tcPr>
            <w:tcW w:w="3630" w:type="dxa"/>
          </w:tcPr>
          <w:p w14:paraId="33429456" w14:textId="77777777" w:rsidR="00B97A69" w:rsidRDefault="001B5626">
            <w:pPr>
              <w:pStyle w:val="Normal1"/>
              <w:spacing w:before="240" w:after="240"/>
              <w:rPr>
                <w:b/>
              </w:rPr>
            </w:pPr>
            <w:r>
              <w:rPr>
                <w:b/>
              </w:rPr>
              <w:t>“Shareholders' equity”</w:t>
            </w:r>
          </w:p>
        </w:tc>
        <w:tc>
          <w:tcPr>
            <w:tcW w:w="2580" w:type="dxa"/>
          </w:tcPr>
          <w:p w14:paraId="1C41789E" w14:textId="77777777" w:rsidR="00B97A69" w:rsidRDefault="001B5626">
            <w:pPr>
              <w:pStyle w:val="Normal1"/>
              <w:spacing w:before="240" w:after="240"/>
              <w:jc w:val="right"/>
              <w:rPr>
                <w:b/>
              </w:rPr>
            </w:pPr>
            <w:r>
              <w:rPr>
                <w:b/>
              </w:rPr>
              <w:t>3088</w:t>
            </w:r>
          </w:p>
        </w:tc>
        <w:tc>
          <w:tcPr>
            <w:tcW w:w="2580" w:type="dxa"/>
          </w:tcPr>
          <w:p w14:paraId="16BD02EB" w14:textId="77777777" w:rsidR="00B97A69" w:rsidRDefault="001B5626">
            <w:pPr>
              <w:pStyle w:val="Normal1"/>
              <w:spacing w:before="240" w:after="240"/>
              <w:jc w:val="right"/>
              <w:rPr>
                <w:b/>
              </w:rPr>
            </w:pPr>
            <w:r>
              <w:rPr>
                <w:b/>
              </w:rPr>
              <w:t>2912</w:t>
            </w:r>
          </w:p>
        </w:tc>
      </w:tr>
      <w:tr w:rsidR="00B97A69" w14:paraId="0D232B9C" w14:textId="77777777" w:rsidTr="00412D97">
        <w:trPr>
          <w:cnfStyle w:val="000000100000" w:firstRow="0" w:lastRow="0" w:firstColumn="0" w:lastColumn="0" w:oddVBand="0" w:evenVBand="0" w:oddHBand="1" w:evenHBand="0" w:firstRowFirstColumn="0" w:firstRowLastColumn="0" w:lastRowFirstColumn="0" w:lastRowLastColumn="0"/>
          <w:trHeight w:val="975"/>
          <w:jc w:val="center"/>
        </w:trPr>
        <w:tc>
          <w:tcPr>
            <w:tcW w:w="3630" w:type="dxa"/>
          </w:tcPr>
          <w:p w14:paraId="7BECC218" w14:textId="77777777" w:rsidR="00B97A69" w:rsidRDefault="001B5626">
            <w:pPr>
              <w:pStyle w:val="Normal1"/>
              <w:spacing w:before="240" w:after="240"/>
              <w:rPr>
                <w:b/>
              </w:rPr>
            </w:pPr>
            <w:r>
              <w:rPr>
                <w:b/>
              </w:rPr>
              <w:t>ROE</w:t>
            </w:r>
          </w:p>
        </w:tc>
        <w:tc>
          <w:tcPr>
            <w:tcW w:w="2580" w:type="dxa"/>
          </w:tcPr>
          <w:p w14:paraId="44DF1339" w14:textId="77777777" w:rsidR="00B97A69" w:rsidRDefault="001B5626">
            <w:pPr>
              <w:pStyle w:val="Normal1"/>
              <w:spacing w:before="240" w:after="240"/>
              <w:jc w:val="right"/>
              <w:rPr>
                <w:b/>
              </w:rPr>
            </w:pPr>
            <w:r>
              <w:rPr>
                <w:b/>
              </w:rPr>
              <w:t>0.14</w:t>
            </w:r>
          </w:p>
        </w:tc>
        <w:tc>
          <w:tcPr>
            <w:tcW w:w="2580" w:type="dxa"/>
          </w:tcPr>
          <w:p w14:paraId="3CF138F7" w14:textId="77777777" w:rsidR="00B97A69" w:rsidRDefault="001B5626">
            <w:pPr>
              <w:pStyle w:val="Normal1"/>
              <w:spacing w:before="240" w:after="240"/>
              <w:jc w:val="right"/>
              <w:rPr>
                <w:b/>
              </w:rPr>
            </w:pPr>
            <w:r>
              <w:rPr>
                <w:b/>
              </w:rPr>
              <w:t>0.13</w:t>
            </w:r>
          </w:p>
        </w:tc>
      </w:tr>
      <w:tr w:rsidR="00B97A69" w14:paraId="2C5F630D" w14:textId="77777777" w:rsidTr="00412D97">
        <w:trPr>
          <w:trHeight w:val="975"/>
          <w:jc w:val="center"/>
        </w:trPr>
        <w:tc>
          <w:tcPr>
            <w:tcW w:w="8790" w:type="dxa"/>
            <w:gridSpan w:val="3"/>
          </w:tcPr>
          <w:p w14:paraId="194CA4EA" w14:textId="05EF2347" w:rsidR="00B97A69" w:rsidRDefault="001B5626">
            <w:pPr>
              <w:pStyle w:val="Normal1"/>
              <w:spacing w:before="240" w:after="240"/>
              <w:jc w:val="center"/>
              <w:rPr>
                <w:b/>
              </w:rPr>
            </w:pPr>
            <w:r>
              <w:rPr>
                <w:b/>
              </w:rPr>
              <w:t>“ROE</w:t>
            </w:r>
            <w:r w:rsidR="003D3FBC">
              <w:rPr>
                <w:b/>
              </w:rPr>
              <w:t>= (</w:t>
            </w:r>
            <w:r>
              <w:rPr>
                <w:b/>
              </w:rPr>
              <w:t>Net income/shareholder's equity)”</w:t>
            </w:r>
          </w:p>
        </w:tc>
      </w:tr>
    </w:tbl>
    <w:p w14:paraId="6267AC7B" w14:textId="77777777" w:rsidR="00B97A69" w:rsidRDefault="001B5626">
      <w:pPr>
        <w:pStyle w:val="Normal1"/>
        <w:spacing w:before="240" w:after="240"/>
        <w:jc w:val="center"/>
        <w:rPr>
          <w:b/>
        </w:rPr>
      </w:pPr>
      <w:r>
        <w:rPr>
          <w:b/>
        </w:rPr>
        <w:t>Table 3: Identification of ROE</w:t>
      </w:r>
    </w:p>
    <w:p w14:paraId="3E50E4D1" w14:textId="77777777" w:rsidR="00B97A69" w:rsidRDefault="001B5626">
      <w:pPr>
        <w:pStyle w:val="Normal1"/>
        <w:spacing w:before="240" w:after="240"/>
        <w:jc w:val="center"/>
      </w:pPr>
      <w:r>
        <w:t>(Source: Self-developed)</w:t>
      </w:r>
    </w:p>
    <w:p w14:paraId="4067029D" w14:textId="77777777" w:rsidR="00B97A69" w:rsidRDefault="001B5626">
      <w:pPr>
        <w:pStyle w:val="Normal1"/>
        <w:spacing w:before="240" w:after="240"/>
        <w:rPr>
          <w:b/>
        </w:rPr>
      </w:pPr>
      <w:r>
        <w:t xml:space="preserve">It </w:t>
      </w:r>
      <w:r w:rsidR="005D28EA">
        <w:t>helps</w:t>
      </w:r>
      <w:r>
        <w:t xml:space="preserve"> the organization in determining the organization’s net income with dividing the shareholder’s equity. The value has shown at 0.13 times in the year 2020 enhances in 2021 is 0.14 times. The ROE enhance because of an increase in equity and net profit. It indicates about creating profit capability is good. </w:t>
      </w:r>
    </w:p>
    <w:p w14:paraId="4ADC0EF6" w14:textId="77777777" w:rsidR="00B97A69" w:rsidRDefault="001B5626">
      <w:pPr>
        <w:pStyle w:val="Normal1"/>
        <w:rPr>
          <w:b/>
        </w:rPr>
      </w:pPr>
      <w:r>
        <w:rPr>
          <w:b/>
        </w:rPr>
        <w:t>3</w:t>
      </w:r>
      <w:r w:rsidR="009C6DC0">
        <w:rPr>
          <w:b/>
        </w:rPr>
        <w:t>.</w:t>
      </w:r>
    </w:p>
    <w:tbl>
      <w:tblPr>
        <w:tblStyle w:val="MediumShading2-Accent3"/>
        <w:tblW w:w="880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20" w:firstRow="1" w:lastRow="0" w:firstColumn="0" w:lastColumn="0" w:noHBand="0" w:noVBand="1"/>
      </w:tblPr>
      <w:tblGrid>
        <w:gridCol w:w="4935"/>
        <w:gridCol w:w="1935"/>
        <w:gridCol w:w="1935"/>
      </w:tblGrid>
      <w:tr w:rsidR="00B97A69" w:rsidRPr="009C6DC0" w14:paraId="0BE14223" w14:textId="77777777" w:rsidTr="009C6DC0">
        <w:trPr>
          <w:cnfStyle w:val="100000000000" w:firstRow="1" w:lastRow="0" w:firstColumn="0" w:lastColumn="0" w:oddVBand="0" w:evenVBand="0" w:oddHBand="0" w:evenHBand="0" w:firstRowFirstColumn="0" w:firstRowLastColumn="0" w:lastRowFirstColumn="0" w:lastRowLastColumn="0"/>
          <w:trHeight w:val="975"/>
          <w:jc w:val="center"/>
        </w:trPr>
        <w:tc>
          <w:tcPr>
            <w:tcW w:w="8805" w:type="dxa"/>
            <w:gridSpan w:val="3"/>
            <w:tcBorders>
              <w:top w:val="none" w:sz="0" w:space="0" w:color="auto"/>
              <w:left w:val="none" w:sz="0" w:space="0" w:color="auto"/>
              <w:bottom w:val="none" w:sz="0" w:space="0" w:color="auto"/>
              <w:right w:val="none" w:sz="0" w:space="0" w:color="auto"/>
            </w:tcBorders>
          </w:tcPr>
          <w:p w14:paraId="7736C99B" w14:textId="77777777" w:rsidR="00B97A69" w:rsidRPr="009C6DC0" w:rsidRDefault="001B5626">
            <w:pPr>
              <w:pStyle w:val="Normal1"/>
              <w:spacing w:before="240" w:after="240"/>
              <w:jc w:val="center"/>
              <w:rPr>
                <w:b w:val="0"/>
                <w:color w:val="000000" w:themeColor="text1"/>
              </w:rPr>
            </w:pPr>
            <w:r w:rsidRPr="009C6DC0">
              <w:rPr>
                <w:color w:val="000000" w:themeColor="text1"/>
              </w:rPr>
              <w:t>Sweets plc</w:t>
            </w:r>
          </w:p>
        </w:tc>
      </w:tr>
      <w:tr w:rsidR="00B97A69" w:rsidRPr="009C6DC0" w14:paraId="5C3CF00A" w14:textId="77777777" w:rsidTr="009C6DC0">
        <w:trPr>
          <w:cnfStyle w:val="000000100000" w:firstRow="0" w:lastRow="0" w:firstColumn="0" w:lastColumn="0" w:oddVBand="0" w:evenVBand="0" w:oddHBand="1" w:evenHBand="0" w:firstRowFirstColumn="0" w:firstRowLastColumn="0" w:lastRowFirstColumn="0" w:lastRowLastColumn="0"/>
          <w:trHeight w:val="975"/>
          <w:jc w:val="center"/>
        </w:trPr>
        <w:tc>
          <w:tcPr>
            <w:tcW w:w="4935" w:type="dxa"/>
          </w:tcPr>
          <w:p w14:paraId="5BB2F1E2" w14:textId="77777777" w:rsidR="00B97A69" w:rsidRPr="009C6DC0" w:rsidRDefault="001B5626">
            <w:pPr>
              <w:pStyle w:val="Normal1"/>
              <w:spacing w:before="240" w:after="240"/>
              <w:rPr>
                <w:b/>
                <w:color w:val="000000" w:themeColor="text1"/>
              </w:rPr>
            </w:pPr>
            <w:r w:rsidRPr="009C6DC0">
              <w:rPr>
                <w:b/>
                <w:color w:val="000000" w:themeColor="text1"/>
              </w:rPr>
              <w:t>Particulars</w:t>
            </w:r>
          </w:p>
        </w:tc>
        <w:tc>
          <w:tcPr>
            <w:tcW w:w="1935" w:type="dxa"/>
          </w:tcPr>
          <w:p w14:paraId="7AF65BA4" w14:textId="77777777" w:rsidR="00B97A69" w:rsidRPr="009C6DC0" w:rsidRDefault="001B5626">
            <w:pPr>
              <w:pStyle w:val="Normal1"/>
              <w:spacing w:before="240" w:after="240"/>
              <w:jc w:val="right"/>
              <w:rPr>
                <w:b/>
                <w:color w:val="000000" w:themeColor="text1"/>
              </w:rPr>
            </w:pPr>
            <w:r w:rsidRPr="009C6DC0">
              <w:rPr>
                <w:b/>
                <w:color w:val="000000" w:themeColor="text1"/>
              </w:rPr>
              <w:t>2021</w:t>
            </w:r>
          </w:p>
        </w:tc>
        <w:tc>
          <w:tcPr>
            <w:tcW w:w="1935" w:type="dxa"/>
          </w:tcPr>
          <w:p w14:paraId="58269C09" w14:textId="77777777" w:rsidR="00B97A69" w:rsidRPr="009C6DC0" w:rsidRDefault="001B5626">
            <w:pPr>
              <w:pStyle w:val="Normal1"/>
              <w:spacing w:before="240" w:after="240"/>
              <w:jc w:val="right"/>
              <w:rPr>
                <w:b/>
                <w:color w:val="000000" w:themeColor="text1"/>
              </w:rPr>
            </w:pPr>
            <w:r w:rsidRPr="009C6DC0">
              <w:rPr>
                <w:b/>
                <w:color w:val="000000" w:themeColor="text1"/>
              </w:rPr>
              <w:t>2020</w:t>
            </w:r>
          </w:p>
        </w:tc>
      </w:tr>
      <w:tr w:rsidR="00B97A69" w:rsidRPr="009C6DC0" w14:paraId="5748D9F3" w14:textId="77777777" w:rsidTr="009C6DC0">
        <w:trPr>
          <w:trHeight w:val="975"/>
          <w:jc w:val="center"/>
        </w:trPr>
        <w:tc>
          <w:tcPr>
            <w:tcW w:w="4935" w:type="dxa"/>
          </w:tcPr>
          <w:p w14:paraId="28D1A99E" w14:textId="77777777" w:rsidR="00B97A69" w:rsidRPr="009C6DC0" w:rsidRDefault="001B5626">
            <w:pPr>
              <w:pStyle w:val="Normal1"/>
              <w:spacing w:before="240" w:after="240"/>
              <w:rPr>
                <w:b/>
                <w:color w:val="000000" w:themeColor="text1"/>
              </w:rPr>
            </w:pPr>
            <w:r w:rsidRPr="009C6DC0">
              <w:rPr>
                <w:b/>
                <w:color w:val="000000" w:themeColor="text1"/>
              </w:rPr>
              <w:t xml:space="preserve"> </w:t>
            </w:r>
          </w:p>
        </w:tc>
        <w:tc>
          <w:tcPr>
            <w:tcW w:w="1935" w:type="dxa"/>
          </w:tcPr>
          <w:p w14:paraId="0E64E127" w14:textId="77777777" w:rsidR="00B97A69" w:rsidRPr="009C6DC0" w:rsidRDefault="001B5626">
            <w:pPr>
              <w:pStyle w:val="Normal1"/>
              <w:spacing w:before="240" w:after="240"/>
              <w:rPr>
                <w:b/>
                <w:color w:val="000000" w:themeColor="text1"/>
              </w:rPr>
            </w:pPr>
            <w:r w:rsidRPr="009C6DC0">
              <w:rPr>
                <w:b/>
                <w:color w:val="000000" w:themeColor="text1"/>
              </w:rPr>
              <w:t>Amount (£m)</w:t>
            </w:r>
          </w:p>
        </w:tc>
        <w:tc>
          <w:tcPr>
            <w:tcW w:w="1935" w:type="dxa"/>
          </w:tcPr>
          <w:p w14:paraId="4F1E44F9" w14:textId="77777777" w:rsidR="00B97A69" w:rsidRPr="009C6DC0" w:rsidRDefault="001B5626">
            <w:pPr>
              <w:pStyle w:val="Normal1"/>
              <w:spacing w:before="240" w:after="240"/>
              <w:rPr>
                <w:b/>
                <w:color w:val="000000" w:themeColor="text1"/>
              </w:rPr>
            </w:pPr>
            <w:r w:rsidRPr="009C6DC0">
              <w:rPr>
                <w:b/>
                <w:color w:val="000000" w:themeColor="text1"/>
              </w:rPr>
              <w:t>Amount (£m)</w:t>
            </w:r>
          </w:p>
        </w:tc>
      </w:tr>
      <w:tr w:rsidR="00B97A69" w:rsidRPr="009C6DC0" w14:paraId="43519358" w14:textId="77777777" w:rsidTr="009C6DC0">
        <w:trPr>
          <w:cnfStyle w:val="000000100000" w:firstRow="0" w:lastRow="0" w:firstColumn="0" w:lastColumn="0" w:oddVBand="0" w:evenVBand="0" w:oddHBand="1" w:evenHBand="0" w:firstRowFirstColumn="0" w:firstRowLastColumn="0" w:lastRowFirstColumn="0" w:lastRowLastColumn="0"/>
          <w:trHeight w:val="975"/>
          <w:jc w:val="center"/>
        </w:trPr>
        <w:tc>
          <w:tcPr>
            <w:tcW w:w="4935" w:type="dxa"/>
          </w:tcPr>
          <w:p w14:paraId="20DE22C9" w14:textId="77777777" w:rsidR="00B97A69" w:rsidRPr="009C6DC0" w:rsidRDefault="001B5626">
            <w:pPr>
              <w:pStyle w:val="Normal1"/>
              <w:spacing w:before="240" w:after="240"/>
              <w:rPr>
                <w:b/>
                <w:color w:val="000000" w:themeColor="text1"/>
              </w:rPr>
            </w:pPr>
            <w:r w:rsidRPr="009C6DC0">
              <w:rPr>
                <w:b/>
                <w:color w:val="000000" w:themeColor="text1"/>
              </w:rPr>
              <w:t>Net income</w:t>
            </w:r>
          </w:p>
        </w:tc>
        <w:tc>
          <w:tcPr>
            <w:tcW w:w="1935" w:type="dxa"/>
          </w:tcPr>
          <w:p w14:paraId="04E934E4" w14:textId="77777777" w:rsidR="00B97A69" w:rsidRPr="009C6DC0" w:rsidRDefault="001B5626">
            <w:pPr>
              <w:pStyle w:val="Normal1"/>
              <w:spacing w:before="240" w:after="240"/>
              <w:jc w:val="right"/>
              <w:rPr>
                <w:b/>
                <w:color w:val="000000" w:themeColor="text1"/>
              </w:rPr>
            </w:pPr>
            <w:r w:rsidRPr="009C6DC0">
              <w:rPr>
                <w:b/>
                <w:color w:val="000000" w:themeColor="text1"/>
              </w:rPr>
              <w:t>431</w:t>
            </w:r>
          </w:p>
        </w:tc>
        <w:tc>
          <w:tcPr>
            <w:tcW w:w="1935" w:type="dxa"/>
          </w:tcPr>
          <w:p w14:paraId="019EC754" w14:textId="77777777" w:rsidR="00B97A69" w:rsidRPr="009C6DC0" w:rsidRDefault="001B5626">
            <w:pPr>
              <w:pStyle w:val="Normal1"/>
              <w:spacing w:before="240" w:after="240"/>
              <w:jc w:val="right"/>
              <w:rPr>
                <w:b/>
                <w:color w:val="000000" w:themeColor="text1"/>
              </w:rPr>
            </w:pPr>
            <w:r w:rsidRPr="009C6DC0">
              <w:rPr>
                <w:b/>
                <w:color w:val="000000" w:themeColor="text1"/>
              </w:rPr>
              <w:t>366</w:t>
            </w:r>
          </w:p>
        </w:tc>
      </w:tr>
      <w:tr w:rsidR="00B97A69" w:rsidRPr="009C6DC0" w14:paraId="2DE3EB38" w14:textId="77777777" w:rsidTr="009C6DC0">
        <w:trPr>
          <w:trHeight w:val="975"/>
          <w:jc w:val="center"/>
        </w:trPr>
        <w:tc>
          <w:tcPr>
            <w:tcW w:w="4935" w:type="dxa"/>
          </w:tcPr>
          <w:p w14:paraId="2B8E68CB" w14:textId="77777777" w:rsidR="00B97A69" w:rsidRPr="009C6DC0" w:rsidRDefault="001B5626">
            <w:pPr>
              <w:pStyle w:val="Normal1"/>
              <w:spacing w:before="240" w:after="240"/>
              <w:rPr>
                <w:b/>
                <w:color w:val="000000" w:themeColor="text1"/>
              </w:rPr>
            </w:pPr>
            <w:r w:rsidRPr="009C6DC0">
              <w:rPr>
                <w:b/>
                <w:color w:val="000000" w:themeColor="text1"/>
              </w:rPr>
              <w:t>“Dividend payment”</w:t>
            </w:r>
          </w:p>
        </w:tc>
        <w:tc>
          <w:tcPr>
            <w:tcW w:w="1935" w:type="dxa"/>
          </w:tcPr>
          <w:p w14:paraId="1157002D" w14:textId="77777777" w:rsidR="00B97A69" w:rsidRPr="009C6DC0" w:rsidRDefault="001B5626">
            <w:pPr>
              <w:pStyle w:val="Normal1"/>
              <w:spacing w:before="240" w:after="240"/>
              <w:jc w:val="right"/>
              <w:rPr>
                <w:b/>
                <w:color w:val="000000" w:themeColor="text1"/>
              </w:rPr>
            </w:pPr>
            <w:r w:rsidRPr="009C6DC0">
              <w:rPr>
                <w:b/>
                <w:color w:val="000000" w:themeColor="text1"/>
              </w:rPr>
              <w:t>255</w:t>
            </w:r>
          </w:p>
        </w:tc>
        <w:tc>
          <w:tcPr>
            <w:tcW w:w="1935" w:type="dxa"/>
          </w:tcPr>
          <w:p w14:paraId="51AE7C50" w14:textId="77777777" w:rsidR="00B97A69" w:rsidRPr="009C6DC0" w:rsidRDefault="001B5626">
            <w:pPr>
              <w:pStyle w:val="Normal1"/>
              <w:spacing w:before="240" w:after="240"/>
              <w:jc w:val="right"/>
              <w:rPr>
                <w:b/>
                <w:color w:val="000000" w:themeColor="text1"/>
              </w:rPr>
            </w:pPr>
            <w:r w:rsidRPr="009C6DC0">
              <w:rPr>
                <w:b/>
                <w:color w:val="000000" w:themeColor="text1"/>
              </w:rPr>
              <w:t>242</w:t>
            </w:r>
          </w:p>
        </w:tc>
      </w:tr>
      <w:tr w:rsidR="00B97A69" w:rsidRPr="009C6DC0" w14:paraId="1FC8E040" w14:textId="77777777" w:rsidTr="009C6DC0">
        <w:trPr>
          <w:cnfStyle w:val="000000100000" w:firstRow="0" w:lastRow="0" w:firstColumn="0" w:lastColumn="0" w:oddVBand="0" w:evenVBand="0" w:oddHBand="1" w:evenHBand="0" w:firstRowFirstColumn="0" w:firstRowLastColumn="0" w:lastRowFirstColumn="0" w:lastRowLastColumn="0"/>
          <w:trHeight w:val="975"/>
          <w:jc w:val="center"/>
        </w:trPr>
        <w:tc>
          <w:tcPr>
            <w:tcW w:w="4935" w:type="dxa"/>
          </w:tcPr>
          <w:p w14:paraId="1BC39B3D" w14:textId="77777777" w:rsidR="00B97A69" w:rsidRPr="009C6DC0" w:rsidRDefault="001B5626">
            <w:pPr>
              <w:pStyle w:val="Normal1"/>
              <w:spacing w:before="240" w:after="240"/>
              <w:rPr>
                <w:b/>
                <w:color w:val="000000" w:themeColor="text1"/>
              </w:rPr>
            </w:pPr>
            <w:r w:rsidRPr="009C6DC0">
              <w:rPr>
                <w:b/>
                <w:color w:val="000000" w:themeColor="text1"/>
              </w:rPr>
              <w:t>“Weighted average shares outstanding”</w:t>
            </w:r>
          </w:p>
        </w:tc>
        <w:tc>
          <w:tcPr>
            <w:tcW w:w="1935" w:type="dxa"/>
          </w:tcPr>
          <w:p w14:paraId="3A27291C" w14:textId="77777777" w:rsidR="00B97A69" w:rsidRPr="009C6DC0" w:rsidRDefault="001B5626">
            <w:pPr>
              <w:pStyle w:val="Normal1"/>
              <w:spacing w:before="240" w:after="240"/>
              <w:jc w:val="right"/>
              <w:rPr>
                <w:b/>
                <w:color w:val="000000" w:themeColor="text1"/>
              </w:rPr>
            </w:pPr>
            <w:r w:rsidRPr="009C6DC0">
              <w:rPr>
                <w:b/>
                <w:color w:val="000000" w:themeColor="text1"/>
              </w:rPr>
              <w:t>1071</w:t>
            </w:r>
          </w:p>
        </w:tc>
        <w:tc>
          <w:tcPr>
            <w:tcW w:w="1935" w:type="dxa"/>
          </w:tcPr>
          <w:p w14:paraId="0B60E89F" w14:textId="77777777" w:rsidR="00B97A69" w:rsidRPr="009C6DC0" w:rsidRDefault="001B5626">
            <w:pPr>
              <w:pStyle w:val="Normal1"/>
              <w:spacing w:before="240" w:after="240"/>
              <w:jc w:val="right"/>
              <w:rPr>
                <w:b/>
                <w:color w:val="000000" w:themeColor="text1"/>
              </w:rPr>
            </w:pPr>
            <w:r w:rsidRPr="009C6DC0">
              <w:rPr>
                <w:b/>
                <w:color w:val="000000" w:themeColor="text1"/>
              </w:rPr>
              <w:t>1071</w:t>
            </w:r>
          </w:p>
        </w:tc>
      </w:tr>
      <w:tr w:rsidR="00B97A69" w:rsidRPr="009C6DC0" w14:paraId="7D660342" w14:textId="77777777" w:rsidTr="009C6DC0">
        <w:trPr>
          <w:trHeight w:val="975"/>
          <w:jc w:val="center"/>
        </w:trPr>
        <w:tc>
          <w:tcPr>
            <w:tcW w:w="4935" w:type="dxa"/>
          </w:tcPr>
          <w:p w14:paraId="784FAB79" w14:textId="77777777" w:rsidR="00B97A69" w:rsidRPr="009C6DC0" w:rsidRDefault="001B5626">
            <w:pPr>
              <w:pStyle w:val="Normal1"/>
              <w:spacing w:before="240" w:after="240"/>
              <w:rPr>
                <w:b/>
                <w:i/>
                <w:color w:val="000000" w:themeColor="text1"/>
              </w:rPr>
            </w:pPr>
            <w:r w:rsidRPr="009C6DC0">
              <w:rPr>
                <w:b/>
                <w:color w:val="000000" w:themeColor="text1"/>
              </w:rPr>
              <w:t>EPS</w:t>
            </w:r>
            <w:r w:rsidRPr="009C6DC0">
              <w:rPr>
                <w:b/>
                <w:i/>
                <w:color w:val="000000" w:themeColor="text1"/>
              </w:rPr>
              <w:t xml:space="preserve"> "Earning per share"</w:t>
            </w:r>
          </w:p>
        </w:tc>
        <w:tc>
          <w:tcPr>
            <w:tcW w:w="1935" w:type="dxa"/>
          </w:tcPr>
          <w:p w14:paraId="237231F3" w14:textId="77777777" w:rsidR="00B97A69" w:rsidRPr="009C6DC0" w:rsidRDefault="001B5626">
            <w:pPr>
              <w:pStyle w:val="Normal1"/>
              <w:spacing w:before="240" w:after="240"/>
              <w:jc w:val="right"/>
              <w:rPr>
                <w:b/>
                <w:color w:val="000000" w:themeColor="text1"/>
              </w:rPr>
            </w:pPr>
            <w:r w:rsidRPr="009C6DC0">
              <w:rPr>
                <w:b/>
                <w:color w:val="000000" w:themeColor="text1"/>
              </w:rPr>
              <w:t>0.16</w:t>
            </w:r>
          </w:p>
        </w:tc>
        <w:tc>
          <w:tcPr>
            <w:tcW w:w="1935" w:type="dxa"/>
          </w:tcPr>
          <w:p w14:paraId="6EF30DD1" w14:textId="77777777" w:rsidR="00B97A69" w:rsidRPr="009C6DC0" w:rsidRDefault="001B5626">
            <w:pPr>
              <w:pStyle w:val="Normal1"/>
              <w:spacing w:before="240" w:after="240"/>
              <w:jc w:val="right"/>
              <w:rPr>
                <w:b/>
                <w:color w:val="000000" w:themeColor="text1"/>
              </w:rPr>
            </w:pPr>
            <w:r w:rsidRPr="009C6DC0">
              <w:rPr>
                <w:b/>
                <w:color w:val="000000" w:themeColor="text1"/>
              </w:rPr>
              <w:t>0.12</w:t>
            </w:r>
          </w:p>
        </w:tc>
      </w:tr>
      <w:tr w:rsidR="00B97A69" w:rsidRPr="009C6DC0" w14:paraId="58EDF814" w14:textId="77777777" w:rsidTr="009C6DC0">
        <w:trPr>
          <w:cnfStyle w:val="000000100000" w:firstRow="0" w:lastRow="0" w:firstColumn="0" w:lastColumn="0" w:oddVBand="0" w:evenVBand="0" w:oddHBand="1" w:evenHBand="0" w:firstRowFirstColumn="0" w:firstRowLastColumn="0" w:lastRowFirstColumn="0" w:lastRowLastColumn="0"/>
          <w:trHeight w:val="975"/>
          <w:jc w:val="center"/>
        </w:trPr>
        <w:tc>
          <w:tcPr>
            <w:tcW w:w="8805" w:type="dxa"/>
            <w:gridSpan w:val="3"/>
          </w:tcPr>
          <w:p w14:paraId="4D97F064" w14:textId="77777777" w:rsidR="00B97A69" w:rsidRPr="009C6DC0" w:rsidRDefault="001B5626">
            <w:pPr>
              <w:pStyle w:val="Normal1"/>
              <w:spacing w:before="240" w:after="240"/>
              <w:jc w:val="center"/>
              <w:rPr>
                <w:b/>
                <w:color w:val="000000" w:themeColor="text1"/>
              </w:rPr>
            </w:pPr>
            <w:r w:rsidRPr="009C6DC0">
              <w:rPr>
                <w:b/>
                <w:color w:val="000000" w:themeColor="text1"/>
              </w:rPr>
              <w:t>“EPS= (Net income-dividend payment/weighted average shares outstanding)”</w:t>
            </w:r>
          </w:p>
        </w:tc>
      </w:tr>
    </w:tbl>
    <w:p w14:paraId="3C53099B" w14:textId="77777777" w:rsidR="00B97A69" w:rsidRDefault="001B5626">
      <w:pPr>
        <w:pStyle w:val="Normal1"/>
        <w:spacing w:before="240" w:after="240"/>
        <w:jc w:val="center"/>
        <w:rPr>
          <w:b/>
        </w:rPr>
      </w:pPr>
      <w:r>
        <w:rPr>
          <w:b/>
        </w:rPr>
        <w:t>Table 4: Calculation of EPS</w:t>
      </w:r>
    </w:p>
    <w:p w14:paraId="58A46031" w14:textId="77777777" w:rsidR="00B97A69" w:rsidRDefault="001B5626">
      <w:pPr>
        <w:pStyle w:val="Normal1"/>
        <w:spacing w:before="240" w:after="240"/>
        <w:jc w:val="center"/>
      </w:pPr>
      <w:r>
        <w:t>(Source: Self-Created)</w:t>
      </w:r>
    </w:p>
    <w:p w14:paraId="350B0C52" w14:textId="3CEFB4E9" w:rsidR="00B97A69" w:rsidRDefault="001B5626">
      <w:pPr>
        <w:pStyle w:val="Normal1"/>
      </w:pPr>
      <w:r>
        <w:t xml:space="preserve">It is important for the company in making the differentiation between the company’s promising </w:t>
      </w:r>
      <w:r w:rsidR="005D28EA">
        <w:t>performances</w:t>
      </w:r>
      <w:r>
        <w:t>. It helps in taking the most suitable and accurate investment option (Al-</w:t>
      </w:r>
      <w:r w:rsidR="003D3FBC">
        <w:t>Dour</w:t>
      </w:r>
      <w:r>
        <w:t xml:space="preserve"> </w:t>
      </w:r>
      <w:r>
        <w:rPr>
          <w:i/>
        </w:rPr>
        <w:t xml:space="preserve">et al. </w:t>
      </w:r>
      <w:r>
        <w:t>2021, p.6). The EPS is direct in differentiating the financial standing of the organization in all over the years. The EPS value is directly related to differentiating the financial standing. The EPS value has enhanced in the year 2021 which means it has sufficient profit to pay its shareholders. Hence, for example, the company might increase its dividends as earnings increase in a specific time period.</w:t>
      </w:r>
    </w:p>
    <w:p w14:paraId="03E47B70" w14:textId="77777777" w:rsidR="00B97A69" w:rsidRDefault="001B5626">
      <w:pPr>
        <w:pStyle w:val="Normal1"/>
        <w:rPr>
          <w:b/>
        </w:rPr>
      </w:pPr>
      <w:r>
        <w:rPr>
          <w:b/>
        </w:rPr>
        <w:t>4</w:t>
      </w:r>
      <w:r w:rsidR="009C6DC0">
        <w:rPr>
          <w:b/>
        </w:rPr>
        <w:t>.</w:t>
      </w:r>
    </w:p>
    <w:tbl>
      <w:tblPr>
        <w:tblStyle w:val="MediumShading2-Accent2"/>
        <w:tblW w:w="880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20" w:firstRow="1" w:lastRow="0" w:firstColumn="0" w:lastColumn="0" w:noHBand="0" w:noVBand="1"/>
      </w:tblPr>
      <w:tblGrid>
        <w:gridCol w:w="4245"/>
        <w:gridCol w:w="2280"/>
        <w:gridCol w:w="2280"/>
      </w:tblGrid>
      <w:tr w:rsidR="00B97A69" w:rsidRPr="009C6DC0" w14:paraId="552E7568" w14:textId="77777777" w:rsidTr="009C6DC0">
        <w:trPr>
          <w:cnfStyle w:val="100000000000" w:firstRow="1" w:lastRow="0" w:firstColumn="0" w:lastColumn="0" w:oddVBand="0" w:evenVBand="0" w:oddHBand="0" w:evenHBand="0" w:firstRowFirstColumn="0" w:firstRowLastColumn="0" w:lastRowFirstColumn="0" w:lastRowLastColumn="0"/>
          <w:trHeight w:val="975"/>
          <w:jc w:val="center"/>
        </w:trPr>
        <w:tc>
          <w:tcPr>
            <w:tcW w:w="8805" w:type="dxa"/>
            <w:gridSpan w:val="3"/>
            <w:tcBorders>
              <w:top w:val="none" w:sz="0" w:space="0" w:color="auto"/>
              <w:left w:val="none" w:sz="0" w:space="0" w:color="auto"/>
              <w:bottom w:val="none" w:sz="0" w:space="0" w:color="auto"/>
              <w:right w:val="none" w:sz="0" w:space="0" w:color="auto"/>
            </w:tcBorders>
          </w:tcPr>
          <w:p w14:paraId="6F601C66" w14:textId="77777777" w:rsidR="00B97A69" w:rsidRPr="009C6DC0" w:rsidRDefault="001B5626">
            <w:pPr>
              <w:pStyle w:val="Normal1"/>
              <w:spacing w:before="240" w:after="240"/>
              <w:jc w:val="center"/>
              <w:rPr>
                <w:b w:val="0"/>
                <w:color w:val="000000" w:themeColor="text1"/>
              </w:rPr>
            </w:pPr>
            <w:r w:rsidRPr="009C6DC0">
              <w:rPr>
                <w:color w:val="000000" w:themeColor="text1"/>
              </w:rPr>
              <w:t>Sweets plc</w:t>
            </w:r>
          </w:p>
        </w:tc>
      </w:tr>
      <w:tr w:rsidR="00B97A69" w:rsidRPr="009C6DC0" w14:paraId="663D9685" w14:textId="77777777" w:rsidTr="009C6DC0">
        <w:trPr>
          <w:cnfStyle w:val="000000100000" w:firstRow="0" w:lastRow="0" w:firstColumn="0" w:lastColumn="0" w:oddVBand="0" w:evenVBand="0" w:oddHBand="1" w:evenHBand="0" w:firstRowFirstColumn="0" w:firstRowLastColumn="0" w:lastRowFirstColumn="0" w:lastRowLastColumn="0"/>
          <w:trHeight w:val="975"/>
          <w:jc w:val="center"/>
        </w:trPr>
        <w:tc>
          <w:tcPr>
            <w:tcW w:w="4245" w:type="dxa"/>
          </w:tcPr>
          <w:p w14:paraId="725AF676" w14:textId="77777777" w:rsidR="00B97A69" w:rsidRPr="009C6DC0" w:rsidRDefault="001B5626">
            <w:pPr>
              <w:pStyle w:val="Normal1"/>
              <w:spacing w:before="240" w:after="240"/>
              <w:rPr>
                <w:b/>
                <w:color w:val="000000" w:themeColor="text1"/>
              </w:rPr>
            </w:pPr>
            <w:r w:rsidRPr="009C6DC0">
              <w:rPr>
                <w:b/>
                <w:color w:val="000000" w:themeColor="text1"/>
              </w:rPr>
              <w:t>Particulars</w:t>
            </w:r>
          </w:p>
        </w:tc>
        <w:tc>
          <w:tcPr>
            <w:tcW w:w="2280" w:type="dxa"/>
          </w:tcPr>
          <w:p w14:paraId="26AE0B59" w14:textId="77777777" w:rsidR="00B97A69" w:rsidRPr="009C6DC0" w:rsidRDefault="001B5626">
            <w:pPr>
              <w:pStyle w:val="Normal1"/>
              <w:spacing w:before="240" w:after="240"/>
              <w:jc w:val="right"/>
              <w:rPr>
                <w:b/>
                <w:color w:val="000000" w:themeColor="text1"/>
              </w:rPr>
            </w:pPr>
            <w:r w:rsidRPr="009C6DC0">
              <w:rPr>
                <w:b/>
                <w:color w:val="000000" w:themeColor="text1"/>
              </w:rPr>
              <w:t>2021</w:t>
            </w:r>
          </w:p>
        </w:tc>
        <w:tc>
          <w:tcPr>
            <w:tcW w:w="2280" w:type="dxa"/>
          </w:tcPr>
          <w:p w14:paraId="7DF6202F" w14:textId="77777777" w:rsidR="00B97A69" w:rsidRPr="009C6DC0" w:rsidRDefault="001B5626">
            <w:pPr>
              <w:pStyle w:val="Normal1"/>
              <w:spacing w:before="240" w:after="240"/>
              <w:jc w:val="right"/>
              <w:rPr>
                <w:b/>
                <w:color w:val="000000" w:themeColor="text1"/>
              </w:rPr>
            </w:pPr>
            <w:r w:rsidRPr="009C6DC0">
              <w:rPr>
                <w:b/>
                <w:color w:val="000000" w:themeColor="text1"/>
              </w:rPr>
              <w:t>2020</w:t>
            </w:r>
          </w:p>
        </w:tc>
      </w:tr>
      <w:tr w:rsidR="00B97A69" w:rsidRPr="009C6DC0" w14:paraId="77864BEE" w14:textId="77777777" w:rsidTr="009C6DC0">
        <w:trPr>
          <w:trHeight w:val="975"/>
          <w:jc w:val="center"/>
        </w:trPr>
        <w:tc>
          <w:tcPr>
            <w:tcW w:w="4245" w:type="dxa"/>
          </w:tcPr>
          <w:p w14:paraId="63C45870" w14:textId="77777777" w:rsidR="00B97A69" w:rsidRPr="009C6DC0" w:rsidRDefault="001B5626">
            <w:pPr>
              <w:pStyle w:val="Normal1"/>
              <w:spacing w:before="240" w:after="240"/>
              <w:rPr>
                <w:b/>
                <w:color w:val="000000" w:themeColor="text1"/>
              </w:rPr>
            </w:pPr>
            <w:r w:rsidRPr="009C6DC0">
              <w:rPr>
                <w:b/>
                <w:color w:val="000000" w:themeColor="text1"/>
              </w:rPr>
              <w:t xml:space="preserve"> </w:t>
            </w:r>
          </w:p>
        </w:tc>
        <w:tc>
          <w:tcPr>
            <w:tcW w:w="2280" w:type="dxa"/>
          </w:tcPr>
          <w:p w14:paraId="7E819EA5" w14:textId="77777777" w:rsidR="00B97A69" w:rsidRPr="009C6DC0" w:rsidRDefault="001B5626">
            <w:pPr>
              <w:pStyle w:val="Normal1"/>
              <w:spacing w:before="240" w:after="240"/>
              <w:rPr>
                <w:b/>
                <w:color w:val="000000" w:themeColor="text1"/>
              </w:rPr>
            </w:pPr>
            <w:r w:rsidRPr="009C6DC0">
              <w:rPr>
                <w:b/>
                <w:color w:val="000000" w:themeColor="text1"/>
              </w:rPr>
              <w:t>Amount (£m)</w:t>
            </w:r>
          </w:p>
        </w:tc>
        <w:tc>
          <w:tcPr>
            <w:tcW w:w="2280" w:type="dxa"/>
          </w:tcPr>
          <w:p w14:paraId="4DB0179A" w14:textId="77777777" w:rsidR="00B97A69" w:rsidRPr="009C6DC0" w:rsidRDefault="001B5626">
            <w:pPr>
              <w:pStyle w:val="Normal1"/>
              <w:spacing w:before="240" w:after="240"/>
              <w:rPr>
                <w:b/>
                <w:color w:val="000000" w:themeColor="text1"/>
              </w:rPr>
            </w:pPr>
            <w:r w:rsidRPr="009C6DC0">
              <w:rPr>
                <w:b/>
                <w:color w:val="000000" w:themeColor="text1"/>
              </w:rPr>
              <w:t>Amount (£m)</w:t>
            </w:r>
          </w:p>
        </w:tc>
      </w:tr>
      <w:tr w:rsidR="00B97A69" w:rsidRPr="009C6DC0" w14:paraId="2844CF2A" w14:textId="77777777" w:rsidTr="009C6DC0">
        <w:trPr>
          <w:cnfStyle w:val="000000100000" w:firstRow="0" w:lastRow="0" w:firstColumn="0" w:lastColumn="0" w:oddVBand="0" w:evenVBand="0" w:oddHBand="1" w:evenHBand="0" w:firstRowFirstColumn="0" w:firstRowLastColumn="0" w:lastRowFirstColumn="0" w:lastRowLastColumn="0"/>
          <w:trHeight w:val="975"/>
          <w:jc w:val="center"/>
        </w:trPr>
        <w:tc>
          <w:tcPr>
            <w:tcW w:w="4245" w:type="dxa"/>
          </w:tcPr>
          <w:p w14:paraId="761BD342" w14:textId="77777777" w:rsidR="00B97A69" w:rsidRPr="009C6DC0" w:rsidRDefault="001B5626">
            <w:pPr>
              <w:pStyle w:val="Normal1"/>
              <w:spacing w:before="240" w:after="240"/>
              <w:rPr>
                <w:b/>
                <w:color w:val="000000" w:themeColor="text1"/>
              </w:rPr>
            </w:pPr>
            <w:r w:rsidRPr="009C6DC0">
              <w:rPr>
                <w:b/>
                <w:color w:val="000000" w:themeColor="text1"/>
              </w:rPr>
              <w:t>Net profit</w:t>
            </w:r>
          </w:p>
        </w:tc>
        <w:tc>
          <w:tcPr>
            <w:tcW w:w="2280" w:type="dxa"/>
          </w:tcPr>
          <w:p w14:paraId="2484771A" w14:textId="77777777" w:rsidR="00B97A69" w:rsidRPr="009C6DC0" w:rsidRDefault="001B5626">
            <w:pPr>
              <w:pStyle w:val="Normal1"/>
              <w:spacing w:before="240" w:after="240"/>
              <w:jc w:val="right"/>
              <w:rPr>
                <w:b/>
                <w:color w:val="000000" w:themeColor="text1"/>
              </w:rPr>
            </w:pPr>
            <w:r w:rsidRPr="009C6DC0">
              <w:rPr>
                <w:b/>
                <w:color w:val="000000" w:themeColor="text1"/>
              </w:rPr>
              <w:t>431</w:t>
            </w:r>
          </w:p>
        </w:tc>
        <w:tc>
          <w:tcPr>
            <w:tcW w:w="2280" w:type="dxa"/>
          </w:tcPr>
          <w:p w14:paraId="08D9D81F" w14:textId="77777777" w:rsidR="00B97A69" w:rsidRPr="009C6DC0" w:rsidRDefault="001B5626">
            <w:pPr>
              <w:pStyle w:val="Normal1"/>
              <w:spacing w:before="240" w:after="240"/>
              <w:jc w:val="right"/>
              <w:rPr>
                <w:b/>
                <w:color w:val="000000" w:themeColor="text1"/>
              </w:rPr>
            </w:pPr>
            <w:r w:rsidRPr="009C6DC0">
              <w:rPr>
                <w:b/>
                <w:color w:val="000000" w:themeColor="text1"/>
              </w:rPr>
              <w:t>366</w:t>
            </w:r>
          </w:p>
        </w:tc>
      </w:tr>
      <w:tr w:rsidR="00B97A69" w:rsidRPr="009C6DC0" w14:paraId="536D1940" w14:textId="77777777" w:rsidTr="009C6DC0">
        <w:trPr>
          <w:trHeight w:val="975"/>
          <w:jc w:val="center"/>
        </w:trPr>
        <w:tc>
          <w:tcPr>
            <w:tcW w:w="4245" w:type="dxa"/>
          </w:tcPr>
          <w:p w14:paraId="72CC570C" w14:textId="77777777" w:rsidR="00B97A69" w:rsidRPr="009C6DC0" w:rsidRDefault="001B5626">
            <w:pPr>
              <w:pStyle w:val="Normal1"/>
              <w:spacing w:before="240" w:after="240"/>
              <w:rPr>
                <w:b/>
                <w:color w:val="000000" w:themeColor="text1"/>
              </w:rPr>
            </w:pPr>
            <w:r w:rsidRPr="009C6DC0">
              <w:rPr>
                <w:b/>
                <w:color w:val="000000" w:themeColor="text1"/>
              </w:rPr>
              <w:t>Revenue</w:t>
            </w:r>
          </w:p>
        </w:tc>
        <w:tc>
          <w:tcPr>
            <w:tcW w:w="2280" w:type="dxa"/>
          </w:tcPr>
          <w:p w14:paraId="24344A91" w14:textId="77777777" w:rsidR="00B97A69" w:rsidRPr="009C6DC0" w:rsidRDefault="001B5626">
            <w:pPr>
              <w:pStyle w:val="Normal1"/>
              <w:spacing w:before="240" w:after="240"/>
              <w:jc w:val="right"/>
              <w:rPr>
                <w:b/>
                <w:color w:val="000000" w:themeColor="text1"/>
              </w:rPr>
            </w:pPr>
            <w:r w:rsidRPr="009C6DC0">
              <w:rPr>
                <w:b/>
                <w:color w:val="000000" w:themeColor="text1"/>
              </w:rPr>
              <w:t>6738</w:t>
            </w:r>
          </w:p>
        </w:tc>
        <w:tc>
          <w:tcPr>
            <w:tcW w:w="2280" w:type="dxa"/>
          </w:tcPr>
          <w:p w14:paraId="051D630A" w14:textId="77777777" w:rsidR="00B97A69" w:rsidRPr="009C6DC0" w:rsidRDefault="001B5626">
            <w:pPr>
              <w:pStyle w:val="Normal1"/>
              <w:spacing w:before="240" w:after="240"/>
              <w:jc w:val="right"/>
              <w:rPr>
                <w:b/>
                <w:color w:val="000000" w:themeColor="text1"/>
              </w:rPr>
            </w:pPr>
            <w:r w:rsidRPr="009C6DC0">
              <w:rPr>
                <w:b/>
                <w:color w:val="000000" w:themeColor="text1"/>
              </w:rPr>
              <w:t>6441</w:t>
            </w:r>
          </w:p>
        </w:tc>
      </w:tr>
      <w:tr w:rsidR="00B97A69" w:rsidRPr="009C6DC0" w14:paraId="4687A99C" w14:textId="77777777" w:rsidTr="009C6DC0">
        <w:trPr>
          <w:cnfStyle w:val="000000100000" w:firstRow="0" w:lastRow="0" w:firstColumn="0" w:lastColumn="0" w:oddVBand="0" w:evenVBand="0" w:oddHBand="1" w:evenHBand="0" w:firstRowFirstColumn="0" w:firstRowLastColumn="0" w:lastRowFirstColumn="0" w:lastRowLastColumn="0"/>
          <w:trHeight w:val="975"/>
          <w:jc w:val="center"/>
        </w:trPr>
        <w:tc>
          <w:tcPr>
            <w:tcW w:w="4245" w:type="dxa"/>
          </w:tcPr>
          <w:p w14:paraId="1B6E82F2" w14:textId="77777777" w:rsidR="00B97A69" w:rsidRPr="009C6DC0" w:rsidRDefault="001B5626">
            <w:pPr>
              <w:pStyle w:val="Normal1"/>
              <w:spacing w:before="240" w:after="240"/>
              <w:rPr>
                <w:b/>
                <w:i/>
                <w:color w:val="000000" w:themeColor="text1"/>
              </w:rPr>
            </w:pPr>
            <w:r w:rsidRPr="009C6DC0">
              <w:rPr>
                <w:b/>
                <w:color w:val="000000" w:themeColor="text1"/>
              </w:rPr>
              <w:t>NPM</w:t>
            </w:r>
            <w:r w:rsidRPr="009C6DC0">
              <w:rPr>
                <w:b/>
                <w:i/>
                <w:color w:val="000000" w:themeColor="text1"/>
              </w:rPr>
              <w:t xml:space="preserve"> "Net profit margin"</w:t>
            </w:r>
          </w:p>
        </w:tc>
        <w:tc>
          <w:tcPr>
            <w:tcW w:w="2280" w:type="dxa"/>
          </w:tcPr>
          <w:p w14:paraId="79A23775" w14:textId="77777777" w:rsidR="00B97A69" w:rsidRPr="009C6DC0" w:rsidRDefault="001B5626">
            <w:pPr>
              <w:pStyle w:val="Normal1"/>
              <w:spacing w:before="240" w:after="240"/>
              <w:jc w:val="right"/>
              <w:rPr>
                <w:b/>
                <w:color w:val="000000" w:themeColor="text1"/>
              </w:rPr>
            </w:pPr>
            <w:r w:rsidRPr="009C6DC0">
              <w:rPr>
                <w:b/>
                <w:color w:val="000000" w:themeColor="text1"/>
              </w:rPr>
              <w:t>6%</w:t>
            </w:r>
          </w:p>
        </w:tc>
        <w:tc>
          <w:tcPr>
            <w:tcW w:w="2280" w:type="dxa"/>
          </w:tcPr>
          <w:p w14:paraId="5F367086" w14:textId="77777777" w:rsidR="00B97A69" w:rsidRPr="009C6DC0" w:rsidRDefault="001B5626">
            <w:pPr>
              <w:pStyle w:val="Normal1"/>
              <w:spacing w:before="240" w:after="240"/>
              <w:jc w:val="right"/>
              <w:rPr>
                <w:b/>
                <w:color w:val="000000" w:themeColor="text1"/>
              </w:rPr>
            </w:pPr>
            <w:r w:rsidRPr="009C6DC0">
              <w:rPr>
                <w:b/>
                <w:color w:val="000000" w:themeColor="text1"/>
              </w:rPr>
              <w:t>6%</w:t>
            </w:r>
          </w:p>
        </w:tc>
      </w:tr>
      <w:tr w:rsidR="00B97A69" w:rsidRPr="009C6DC0" w14:paraId="75486C1D" w14:textId="77777777" w:rsidTr="009C6DC0">
        <w:trPr>
          <w:trHeight w:val="975"/>
          <w:jc w:val="center"/>
        </w:trPr>
        <w:tc>
          <w:tcPr>
            <w:tcW w:w="8805" w:type="dxa"/>
            <w:gridSpan w:val="3"/>
          </w:tcPr>
          <w:p w14:paraId="5D8292D9" w14:textId="77777777" w:rsidR="00B97A69" w:rsidRPr="009C6DC0" w:rsidRDefault="001B5626">
            <w:pPr>
              <w:pStyle w:val="Normal1"/>
              <w:spacing w:before="240" w:after="240"/>
              <w:jc w:val="center"/>
              <w:rPr>
                <w:b/>
                <w:color w:val="000000" w:themeColor="text1"/>
              </w:rPr>
            </w:pPr>
            <w:r w:rsidRPr="009C6DC0">
              <w:rPr>
                <w:b/>
                <w:color w:val="000000" w:themeColor="text1"/>
              </w:rPr>
              <w:t>“NPM= (Net profit*100/Revenue)”</w:t>
            </w:r>
          </w:p>
        </w:tc>
      </w:tr>
    </w:tbl>
    <w:p w14:paraId="76689A34" w14:textId="77777777" w:rsidR="00B97A69" w:rsidRDefault="001B5626">
      <w:pPr>
        <w:pStyle w:val="Normal1"/>
        <w:spacing w:before="240" w:after="240"/>
        <w:jc w:val="center"/>
        <w:rPr>
          <w:b/>
        </w:rPr>
      </w:pPr>
      <w:r>
        <w:rPr>
          <w:b/>
        </w:rPr>
        <w:t>Table 5: Identification of NPM</w:t>
      </w:r>
    </w:p>
    <w:p w14:paraId="25F0BEE5" w14:textId="77777777" w:rsidR="00B97A69" w:rsidRDefault="001B5626">
      <w:pPr>
        <w:pStyle w:val="Normal1"/>
        <w:spacing w:before="240" w:after="240"/>
        <w:jc w:val="center"/>
      </w:pPr>
      <w:r>
        <w:t>(Source: Self-created)</w:t>
      </w:r>
    </w:p>
    <w:p w14:paraId="1FD8105D" w14:textId="77777777" w:rsidR="00B97A69" w:rsidRDefault="001B5626">
      <w:pPr>
        <w:pStyle w:val="Normal1"/>
      </w:pPr>
      <w:r>
        <w:t>It mainly measures the organization efficiency in achieving the creating profit with selling products and services. The study aims at managing the company’s NPM “</w:t>
      </w:r>
      <w:r>
        <w:rPr>
          <w:b/>
        </w:rPr>
        <w:t xml:space="preserve">(Net profit*100/sales)” </w:t>
      </w:r>
      <w:r>
        <w:t xml:space="preserve">and shows stability for both years at a 6% value. It suggested that it needs for enhancing revenue growth and decrease the expenses value so that net profit may be improved for the company. </w:t>
      </w:r>
    </w:p>
    <w:p w14:paraId="3EF889F7" w14:textId="77777777" w:rsidR="00B97A69" w:rsidRDefault="001B5626">
      <w:pPr>
        <w:pStyle w:val="Normal1"/>
        <w:rPr>
          <w:b/>
        </w:rPr>
      </w:pPr>
      <w:r>
        <w:rPr>
          <w:b/>
        </w:rPr>
        <w:t>5</w:t>
      </w:r>
    </w:p>
    <w:tbl>
      <w:tblPr>
        <w:tblStyle w:val="MediumShading2-Accent1"/>
        <w:tblW w:w="87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20" w:firstRow="1" w:lastRow="0" w:firstColumn="0" w:lastColumn="0" w:noHBand="0" w:noVBand="1"/>
      </w:tblPr>
      <w:tblGrid>
        <w:gridCol w:w="3840"/>
        <w:gridCol w:w="2475"/>
        <w:gridCol w:w="2475"/>
      </w:tblGrid>
      <w:tr w:rsidR="00B97A69" w:rsidRPr="009C6DC0" w14:paraId="0753D85B" w14:textId="77777777" w:rsidTr="009C6DC0">
        <w:trPr>
          <w:cnfStyle w:val="100000000000" w:firstRow="1" w:lastRow="0" w:firstColumn="0" w:lastColumn="0" w:oddVBand="0" w:evenVBand="0" w:oddHBand="0" w:evenHBand="0" w:firstRowFirstColumn="0" w:firstRowLastColumn="0" w:lastRowFirstColumn="0" w:lastRowLastColumn="0"/>
          <w:trHeight w:val="975"/>
          <w:jc w:val="center"/>
        </w:trPr>
        <w:tc>
          <w:tcPr>
            <w:tcW w:w="8790" w:type="dxa"/>
            <w:gridSpan w:val="3"/>
            <w:tcBorders>
              <w:top w:val="none" w:sz="0" w:space="0" w:color="auto"/>
              <w:left w:val="none" w:sz="0" w:space="0" w:color="auto"/>
              <w:bottom w:val="none" w:sz="0" w:space="0" w:color="auto"/>
              <w:right w:val="none" w:sz="0" w:space="0" w:color="auto"/>
            </w:tcBorders>
          </w:tcPr>
          <w:p w14:paraId="5FD19BD3" w14:textId="77777777" w:rsidR="00B97A69" w:rsidRPr="009C6DC0" w:rsidRDefault="001B5626">
            <w:pPr>
              <w:pStyle w:val="Normal1"/>
              <w:spacing w:before="240" w:after="240"/>
              <w:jc w:val="center"/>
              <w:rPr>
                <w:b w:val="0"/>
                <w:color w:val="000000" w:themeColor="text1"/>
              </w:rPr>
            </w:pPr>
            <w:r w:rsidRPr="009C6DC0">
              <w:rPr>
                <w:color w:val="000000" w:themeColor="text1"/>
              </w:rPr>
              <w:t>Sweets plc</w:t>
            </w:r>
          </w:p>
        </w:tc>
      </w:tr>
      <w:tr w:rsidR="00B97A69" w:rsidRPr="009C6DC0" w14:paraId="231B2897" w14:textId="77777777" w:rsidTr="009C6DC0">
        <w:trPr>
          <w:cnfStyle w:val="000000100000" w:firstRow="0" w:lastRow="0" w:firstColumn="0" w:lastColumn="0" w:oddVBand="0" w:evenVBand="0" w:oddHBand="1" w:evenHBand="0" w:firstRowFirstColumn="0" w:firstRowLastColumn="0" w:lastRowFirstColumn="0" w:lastRowLastColumn="0"/>
          <w:trHeight w:val="975"/>
          <w:jc w:val="center"/>
        </w:trPr>
        <w:tc>
          <w:tcPr>
            <w:tcW w:w="3840" w:type="dxa"/>
          </w:tcPr>
          <w:p w14:paraId="369FC159" w14:textId="77777777" w:rsidR="00B97A69" w:rsidRPr="009C6DC0" w:rsidRDefault="001B5626">
            <w:pPr>
              <w:pStyle w:val="Normal1"/>
              <w:spacing w:before="240" w:after="240"/>
              <w:rPr>
                <w:b/>
                <w:color w:val="000000" w:themeColor="text1"/>
              </w:rPr>
            </w:pPr>
            <w:r w:rsidRPr="009C6DC0">
              <w:rPr>
                <w:b/>
                <w:color w:val="000000" w:themeColor="text1"/>
              </w:rPr>
              <w:t>Particulars</w:t>
            </w:r>
          </w:p>
        </w:tc>
        <w:tc>
          <w:tcPr>
            <w:tcW w:w="2475" w:type="dxa"/>
          </w:tcPr>
          <w:p w14:paraId="29C94634" w14:textId="77777777" w:rsidR="00B97A69" w:rsidRPr="009C6DC0" w:rsidRDefault="001B5626">
            <w:pPr>
              <w:pStyle w:val="Normal1"/>
              <w:spacing w:before="240" w:after="240"/>
              <w:jc w:val="right"/>
              <w:rPr>
                <w:b/>
                <w:color w:val="000000" w:themeColor="text1"/>
              </w:rPr>
            </w:pPr>
            <w:r w:rsidRPr="009C6DC0">
              <w:rPr>
                <w:b/>
                <w:color w:val="000000" w:themeColor="text1"/>
              </w:rPr>
              <w:t>2021</w:t>
            </w:r>
          </w:p>
        </w:tc>
        <w:tc>
          <w:tcPr>
            <w:tcW w:w="2475" w:type="dxa"/>
          </w:tcPr>
          <w:p w14:paraId="29970EAF" w14:textId="77777777" w:rsidR="00B97A69" w:rsidRPr="009C6DC0" w:rsidRDefault="001B5626">
            <w:pPr>
              <w:pStyle w:val="Normal1"/>
              <w:spacing w:before="240" w:after="240"/>
              <w:jc w:val="right"/>
              <w:rPr>
                <w:b/>
                <w:color w:val="000000" w:themeColor="text1"/>
              </w:rPr>
            </w:pPr>
            <w:r w:rsidRPr="009C6DC0">
              <w:rPr>
                <w:b/>
                <w:color w:val="000000" w:themeColor="text1"/>
              </w:rPr>
              <w:t>2020</w:t>
            </w:r>
          </w:p>
        </w:tc>
      </w:tr>
      <w:tr w:rsidR="00B97A69" w:rsidRPr="009C6DC0" w14:paraId="4081832E" w14:textId="77777777" w:rsidTr="009C6DC0">
        <w:trPr>
          <w:trHeight w:val="975"/>
          <w:jc w:val="center"/>
        </w:trPr>
        <w:tc>
          <w:tcPr>
            <w:tcW w:w="3840" w:type="dxa"/>
          </w:tcPr>
          <w:p w14:paraId="63F0FA9A" w14:textId="77777777" w:rsidR="00B97A69" w:rsidRPr="009C6DC0" w:rsidRDefault="001B5626">
            <w:pPr>
              <w:pStyle w:val="Normal1"/>
              <w:spacing w:before="240" w:after="240"/>
              <w:rPr>
                <w:b/>
                <w:color w:val="000000" w:themeColor="text1"/>
              </w:rPr>
            </w:pPr>
            <w:r w:rsidRPr="009C6DC0">
              <w:rPr>
                <w:b/>
                <w:color w:val="000000" w:themeColor="text1"/>
              </w:rPr>
              <w:t xml:space="preserve"> </w:t>
            </w:r>
          </w:p>
        </w:tc>
        <w:tc>
          <w:tcPr>
            <w:tcW w:w="2475" w:type="dxa"/>
          </w:tcPr>
          <w:p w14:paraId="2ECAC64E" w14:textId="77777777" w:rsidR="00B97A69" w:rsidRPr="009C6DC0" w:rsidRDefault="001B5626">
            <w:pPr>
              <w:pStyle w:val="Normal1"/>
              <w:spacing w:before="240" w:after="240"/>
              <w:rPr>
                <w:b/>
                <w:color w:val="000000" w:themeColor="text1"/>
              </w:rPr>
            </w:pPr>
            <w:r w:rsidRPr="009C6DC0">
              <w:rPr>
                <w:b/>
                <w:color w:val="000000" w:themeColor="text1"/>
              </w:rPr>
              <w:t>Amount (£m)</w:t>
            </w:r>
          </w:p>
        </w:tc>
        <w:tc>
          <w:tcPr>
            <w:tcW w:w="2475" w:type="dxa"/>
          </w:tcPr>
          <w:p w14:paraId="34266871" w14:textId="77777777" w:rsidR="00B97A69" w:rsidRPr="009C6DC0" w:rsidRDefault="001B5626">
            <w:pPr>
              <w:pStyle w:val="Normal1"/>
              <w:spacing w:before="240" w:after="240"/>
              <w:rPr>
                <w:b/>
                <w:color w:val="000000" w:themeColor="text1"/>
              </w:rPr>
            </w:pPr>
            <w:r w:rsidRPr="009C6DC0">
              <w:rPr>
                <w:b/>
                <w:color w:val="000000" w:themeColor="text1"/>
              </w:rPr>
              <w:t>Amount (£m)</w:t>
            </w:r>
          </w:p>
        </w:tc>
      </w:tr>
      <w:tr w:rsidR="00B97A69" w:rsidRPr="009C6DC0" w14:paraId="1CED6051" w14:textId="77777777" w:rsidTr="009C6DC0">
        <w:trPr>
          <w:cnfStyle w:val="000000100000" w:firstRow="0" w:lastRow="0" w:firstColumn="0" w:lastColumn="0" w:oddVBand="0" w:evenVBand="0" w:oddHBand="1" w:evenHBand="0" w:firstRowFirstColumn="0" w:firstRowLastColumn="0" w:lastRowFirstColumn="0" w:lastRowLastColumn="0"/>
          <w:trHeight w:val="975"/>
          <w:jc w:val="center"/>
        </w:trPr>
        <w:tc>
          <w:tcPr>
            <w:tcW w:w="3840" w:type="dxa"/>
          </w:tcPr>
          <w:p w14:paraId="4392442B" w14:textId="77777777" w:rsidR="00B97A69" w:rsidRPr="009C6DC0" w:rsidRDefault="001B5626">
            <w:pPr>
              <w:pStyle w:val="Normal1"/>
              <w:spacing w:before="240" w:after="240"/>
              <w:rPr>
                <w:b/>
                <w:color w:val="000000" w:themeColor="text1"/>
              </w:rPr>
            </w:pPr>
            <w:r w:rsidRPr="009C6DC0">
              <w:rPr>
                <w:b/>
                <w:color w:val="000000" w:themeColor="text1"/>
              </w:rPr>
              <w:t>Net sales</w:t>
            </w:r>
          </w:p>
        </w:tc>
        <w:tc>
          <w:tcPr>
            <w:tcW w:w="2475" w:type="dxa"/>
          </w:tcPr>
          <w:p w14:paraId="5D4DF1E6" w14:textId="77777777" w:rsidR="00B97A69" w:rsidRPr="009C6DC0" w:rsidRDefault="001B5626">
            <w:pPr>
              <w:pStyle w:val="Normal1"/>
              <w:spacing w:before="240" w:after="240"/>
              <w:jc w:val="right"/>
              <w:rPr>
                <w:b/>
                <w:color w:val="000000" w:themeColor="text1"/>
              </w:rPr>
            </w:pPr>
            <w:r w:rsidRPr="009C6DC0">
              <w:rPr>
                <w:b/>
                <w:color w:val="000000" w:themeColor="text1"/>
              </w:rPr>
              <w:t>6738</w:t>
            </w:r>
          </w:p>
        </w:tc>
        <w:tc>
          <w:tcPr>
            <w:tcW w:w="2475" w:type="dxa"/>
          </w:tcPr>
          <w:p w14:paraId="1245DAF3" w14:textId="77777777" w:rsidR="00B97A69" w:rsidRPr="009C6DC0" w:rsidRDefault="001B5626">
            <w:pPr>
              <w:pStyle w:val="Normal1"/>
              <w:spacing w:before="240" w:after="240"/>
              <w:jc w:val="right"/>
              <w:rPr>
                <w:b/>
                <w:color w:val="000000" w:themeColor="text1"/>
              </w:rPr>
            </w:pPr>
            <w:r w:rsidRPr="009C6DC0">
              <w:rPr>
                <w:b/>
                <w:color w:val="000000" w:themeColor="text1"/>
              </w:rPr>
              <w:t>6441</w:t>
            </w:r>
          </w:p>
        </w:tc>
      </w:tr>
      <w:tr w:rsidR="00B97A69" w:rsidRPr="009C6DC0" w14:paraId="62A2FECF" w14:textId="77777777" w:rsidTr="009C6DC0">
        <w:trPr>
          <w:trHeight w:val="975"/>
          <w:jc w:val="center"/>
        </w:trPr>
        <w:tc>
          <w:tcPr>
            <w:tcW w:w="3840" w:type="dxa"/>
          </w:tcPr>
          <w:p w14:paraId="5994B434" w14:textId="77777777" w:rsidR="00B97A69" w:rsidRPr="009C6DC0" w:rsidRDefault="001B5626">
            <w:pPr>
              <w:pStyle w:val="Normal1"/>
              <w:spacing w:before="240" w:after="240"/>
              <w:rPr>
                <w:b/>
                <w:color w:val="000000" w:themeColor="text1"/>
              </w:rPr>
            </w:pPr>
            <w:r w:rsidRPr="009C6DC0">
              <w:rPr>
                <w:b/>
                <w:color w:val="000000" w:themeColor="text1"/>
              </w:rPr>
              <w:t>“Average total assets”</w:t>
            </w:r>
          </w:p>
        </w:tc>
        <w:tc>
          <w:tcPr>
            <w:tcW w:w="2475" w:type="dxa"/>
          </w:tcPr>
          <w:p w14:paraId="38D2123F" w14:textId="77777777" w:rsidR="00B97A69" w:rsidRPr="009C6DC0" w:rsidRDefault="001B5626">
            <w:pPr>
              <w:pStyle w:val="Normal1"/>
              <w:spacing w:before="240" w:after="240"/>
              <w:jc w:val="right"/>
              <w:rPr>
                <w:b/>
                <w:color w:val="000000" w:themeColor="text1"/>
              </w:rPr>
            </w:pPr>
            <w:r w:rsidRPr="009C6DC0">
              <w:rPr>
                <w:b/>
                <w:color w:val="000000" w:themeColor="text1"/>
              </w:rPr>
              <w:t>9736</w:t>
            </w:r>
          </w:p>
        </w:tc>
        <w:tc>
          <w:tcPr>
            <w:tcW w:w="2475" w:type="dxa"/>
          </w:tcPr>
          <w:p w14:paraId="6E12CF2E" w14:textId="77777777" w:rsidR="00B97A69" w:rsidRPr="009C6DC0" w:rsidRDefault="001B5626">
            <w:pPr>
              <w:pStyle w:val="Normal1"/>
              <w:spacing w:before="240" w:after="240"/>
              <w:jc w:val="right"/>
              <w:rPr>
                <w:b/>
                <w:color w:val="000000" w:themeColor="text1"/>
              </w:rPr>
            </w:pPr>
            <w:r w:rsidRPr="009C6DC0">
              <w:rPr>
                <w:b/>
                <w:color w:val="000000" w:themeColor="text1"/>
              </w:rPr>
              <w:t>10087</w:t>
            </w:r>
          </w:p>
        </w:tc>
      </w:tr>
      <w:tr w:rsidR="00B97A69" w:rsidRPr="009C6DC0" w14:paraId="7BE0261F" w14:textId="77777777" w:rsidTr="009C6DC0">
        <w:trPr>
          <w:cnfStyle w:val="000000100000" w:firstRow="0" w:lastRow="0" w:firstColumn="0" w:lastColumn="0" w:oddVBand="0" w:evenVBand="0" w:oddHBand="1" w:evenHBand="0" w:firstRowFirstColumn="0" w:firstRowLastColumn="0" w:lastRowFirstColumn="0" w:lastRowLastColumn="0"/>
          <w:trHeight w:val="975"/>
          <w:jc w:val="center"/>
        </w:trPr>
        <w:tc>
          <w:tcPr>
            <w:tcW w:w="3840" w:type="dxa"/>
          </w:tcPr>
          <w:p w14:paraId="22164902" w14:textId="77777777" w:rsidR="00B97A69" w:rsidRPr="009C6DC0" w:rsidRDefault="001B5626">
            <w:pPr>
              <w:pStyle w:val="Normal1"/>
              <w:spacing w:before="240" w:after="240"/>
              <w:rPr>
                <w:b/>
                <w:color w:val="000000" w:themeColor="text1"/>
              </w:rPr>
            </w:pPr>
            <w:r w:rsidRPr="009C6DC0">
              <w:rPr>
                <w:b/>
                <w:color w:val="000000" w:themeColor="text1"/>
              </w:rPr>
              <w:t>“Assets turnover (AT)”</w:t>
            </w:r>
          </w:p>
        </w:tc>
        <w:tc>
          <w:tcPr>
            <w:tcW w:w="2475" w:type="dxa"/>
          </w:tcPr>
          <w:p w14:paraId="4BFB843A" w14:textId="77777777" w:rsidR="00B97A69" w:rsidRPr="009C6DC0" w:rsidRDefault="001B5626">
            <w:pPr>
              <w:pStyle w:val="Normal1"/>
              <w:spacing w:before="240" w:after="240"/>
              <w:jc w:val="right"/>
              <w:rPr>
                <w:b/>
                <w:color w:val="000000" w:themeColor="text1"/>
              </w:rPr>
            </w:pPr>
            <w:r w:rsidRPr="009C6DC0">
              <w:rPr>
                <w:b/>
                <w:color w:val="000000" w:themeColor="text1"/>
              </w:rPr>
              <w:t>0.69</w:t>
            </w:r>
          </w:p>
        </w:tc>
        <w:tc>
          <w:tcPr>
            <w:tcW w:w="2475" w:type="dxa"/>
          </w:tcPr>
          <w:p w14:paraId="0B0C8F3F" w14:textId="77777777" w:rsidR="00B97A69" w:rsidRPr="009C6DC0" w:rsidRDefault="001B5626">
            <w:pPr>
              <w:pStyle w:val="Normal1"/>
              <w:spacing w:before="240" w:after="240"/>
              <w:jc w:val="right"/>
              <w:rPr>
                <w:b/>
                <w:color w:val="000000" w:themeColor="text1"/>
              </w:rPr>
            </w:pPr>
            <w:r w:rsidRPr="009C6DC0">
              <w:rPr>
                <w:b/>
                <w:color w:val="000000" w:themeColor="text1"/>
              </w:rPr>
              <w:t>0.64</w:t>
            </w:r>
          </w:p>
        </w:tc>
      </w:tr>
      <w:tr w:rsidR="00B97A69" w:rsidRPr="009C6DC0" w14:paraId="25990A6E" w14:textId="77777777" w:rsidTr="009C6DC0">
        <w:trPr>
          <w:trHeight w:val="975"/>
          <w:jc w:val="center"/>
        </w:trPr>
        <w:tc>
          <w:tcPr>
            <w:tcW w:w="8790" w:type="dxa"/>
            <w:gridSpan w:val="3"/>
          </w:tcPr>
          <w:p w14:paraId="612362FA" w14:textId="77777777" w:rsidR="00B97A69" w:rsidRPr="009C6DC0" w:rsidRDefault="001B5626">
            <w:pPr>
              <w:pStyle w:val="Normal1"/>
              <w:spacing w:before="240" w:after="240"/>
              <w:jc w:val="center"/>
              <w:rPr>
                <w:b/>
                <w:color w:val="000000" w:themeColor="text1"/>
              </w:rPr>
            </w:pPr>
            <w:r w:rsidRPr="009C6DC0">
              <w:rPr>
                <w:b/>
                <w:color w:val="000000" w:themeColor="text1"/>
              </w:rPr>
              <w:t>“AT= (Net sales/Average total assets)”</w:t>
            </w:r>
          </w:p>
        </w:tc>
      </w:tr>
    </w:tbl>
    <w:p w14:paraId="7B31F03B" w14:textId="77777777" w:rsidR="00B97A69" w:rsidRDefault="001B5626">
      <w:pPr>
        <w:pStyle w:val="Normal1"/>
        <w:spacing w:before="240" w:after="240"/>
        <w:jc w:val="center"/>
        <w:rPr>
          <w:b/>
        </w:rPr>
      </w:pPr>
      <w:r>
        <w:rPr>
          <w:b/>
        </w:rPr>
        <w:t>Table 7: Calculation of AT</w:t>
      </w:r>
    </w:p>
    <w:p w14:paraId="45D9F235" w14:textId="77777777" w:rsidR="00B97A69" w:rsidRDefault="001B5626">
      <w:pPr>
        <w:pStyle w:val="Normal1"/>
        <w:spacing w:before="240" w:after="240"/>
        <w:jc w:val="center"/>
        <w:rPr>
          <w:b/>
        </w:rPr>
      </w:pPr>
      <w:r>
        <w:rPr>
          <w:b/>
        </w:rPr>
        <w:t>(Source: Self-created)</w:t>
      </w:r>
    </w:p>
    <w:p w14:paraId="552DAEF3" w14:textId="77777777" w:rsidR="00B97A69" w:rsidRDefault="001B5626">
      <w:pPr>
        <w:pStyle w:val="Normal1"/>
        <w:rPr>
          <w:b/>
          <w:i/>
        </w:rPr>
      </w:pPr>
      <w:r>
        <w:t xml:space="preserve">It is important for the company’s efficiency for deploying the producing the assets through sales (Devi </w:t>
      </w:r>
      <w:r>
        <w:rPr>
          <w:i/>
        </w:rPr>
        <w:t xml:space="preserve">et al. </w:t>
      </w:r>
      <w:r>
        <w:t xml:space="preserve">2022, p.9). The AT can be determined for measuring the performance in managing the performance. It can be indicated with AT value for </w:t>
      </w:r>
      <w:r w:rsidR="005D28EA">
        <w:t>slightly</w:t>
      </w:r>
      <w:r>
        <w:t xml:space="preserve"> enhancement in 2021 that </w:t>
      </w:r>
      <w:r>
        <w:rPr>
          <w:b/>
          <w:i/>
        </w:rPr>
        <w:t xml:space="preserve">“0.69 times from 0.64 times”. </w:t>
      </w:r>
      <w:r>
        <w:t xml:space="preserve">It indicates a better position by managing the revenue from the assets. </w:t>
      </w:r>
      <w:r>
        <w:rPr>
          <w:b/>
          <w:i/>
        </w:rPr>
        <w:t xml:space="preserve"> </w:t>
      </w:r>
    </w:p>
    <w:p w14:paraId="549D75FF" w14:textId="77777777" w:rsidR="00B97A69" w:rsidRDefault="001B5626">
      <w:pPr>
        <w:pStyle w:val="Normal1"/>
        <w:rPr>
          <w:b/>
        </w:rPr>
      </w:pPr>
      <w:r>
        <w:rPr>
          <w:b/>
        </w:rPr>
        <w:t>6</w:t>
      </w:r>
      <w:r w:rsidR="009C6DC0">
        <w:rPr>
          <w:b/>
        </w:rPr>
        <w:t>.</w:t>
      </w:r>
    </w:p>
    <w:p w14:paraId="37C489AF" w14:textId="77777777" w:rsidR="00B97A69" w:rsidRDefault="001B5626">
      <w:pPr>
        <w:pStyle w:val="Normal1"/>
        <w:jc w:val="center"/>
        <w:rPr>
          <w:b/>
        </w:rPr>
      </w:pPr>
      <w:r>
        <w:rPr>
          <w:b/>
          <w:noProof/>
          <w:lang w:eastAsia="en-GB"/>
        </w:rPr>
        <w:drawing>
          <wp:inline distT="114300" distB="114300" distL="114300" distR="114300" wp14:anchorId="240FF77B" wp14:editId="1395E9D3">
            <wp:extent cx="4514850" cy="36480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514850" cy="3648075"/>
                    </a:xfrm>
                    <a:prstGeom prst="rect">
                      <a:avLst/>
                    </a:prstGeom>
                    <a:ln/>
                  </pic:spPr>
                </pic:pic>
              </a:graphicData>
            </a:graphic>
          </wp:inline>
        </w:drawing>
      </w:r>
    </w:p>
    <w:p w14:paraId="09E2D472" w14:textId="77777777" w:rsidR="00B97A69" w:rsidRDefault="001B5626">
      <w:pPr>
        <w:pStyle w:val="Normal1"/>
        <w:spacing w:before="240" w:after="240"/>
        <w:jc w:val="center"/>
        <w:rPr>
          <w:b/>
        </w:rPr>
      </w:pPr>
      <w:r>
        <w:rPr>
          <w:b/>
        </w:rPr>
        <w:t>Figure 2: Calculation of SHP</w:t>
      </w:r>
    </w:p>
    <w:p w14:paraId="5DFCD308" w14:textId="77777777" w:rsidR="00B97A69" w:rsidRDefault="001B5626">
      <w:pPr>
        <w:pStyle w:val="Normal1"/>
        <w:spacing w:before="240" w:after="240"/>
        <w:jc w:val="center"/>
      </w:pPr>
      <w:r>
        <w:t>(Source: Self-created)</w:t>
      </w:r>
    </w:p>
    <w:p w14:paraId="4738CDE5" w14:textId="77777777" w:rsidR="00B97A69" w:rsidRDefault="001B5626">
      <w:pPr>
        <w:pStyle w:val="Normal1"/>
      </w:pPr>
      <w:r>
        <w:t xml:space="preserve">It provides better </w:t>
      </w:r>
      <w:r w:rsidR="005D28EA">
        <w:t>organizational</w:t>
      </w:r>
      <w:r>
        <w:t xml:space="preserve"> insights by showing the funds connected with an inventory. They have realized on the sales value with holding the period depends on the business industry. The value diminishes in the mentioned the year 2021 due to </w:t>
      </w:r>
      <w:r>
        <w:rPr>
          <w:b/>
          <w:i/>
        </w:rPr>
        <w:t xml:space="preserve">“higher inventory or weak sales”. </w:t>
      </w:r>
      <w:r>
        <w:t xml:space="preserve">It could be referred to issues with taking the marketing, with the strategy of retail chain merchandising. </w:t>
      </w:r>
    </w:p>
    <w:p w14:paraId="693FAAEC" w14:textId="77777777" w:rsidR="00B97A69" w:rsidRDefault="001B5626">
      <w:pPr>
        <w:pStyle w:val="Normal1"/>
        <w:rPr>
          <w:b/>
        </w:rPr>
      </w:pPr>
      <w:r>
        <w:rPr>
          <w:b/>
        </w:rPr>
        <w:t>7</w:t>
      </w:r>
    </w:p>
    <w:p w14:paraId="4A8D0CAE" w14:textId="77777777" w:rsidR="00B97A69" w:rsidRDefault="001B5626">
      <w:pPr>
        <w:pStyle w:val="Normal1"/>
        <w:jc w:val="center"/>
        <w:rPr>
          <w:b/>
        </w:rPr>
      </w:pPr>
      <w:r>
        <w:rPr>
          <w:b/>
          <w:noProof/>
          <w:lang w:eastAsia="en-GB"/>
        </w:rPr>
        <w:drawing>
          <wp:inline distT="114300" distB="114300" distL="114300" distR="114300" wp14:anchorId="793809B5" wp14:editId="75D95E96">
            <wp:extent cx="4495800" cy="3657600"/>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495800" cy="3657600"/>
                    </a:xfrm>
                    <a:prstGeom prst="rect">
                      <a:avLst/>
                    </a:prstGeom>
                    <a:ln w="12700">
                      <a:solidFill>
                        <a:srgbClr val="000000"/>
                      </a:solidFill>
                      <a:prstDash val="solid"/>
                    </a:ln>
                  </pic:spPr>
                </pic:pic>
              </a:graphicData>
            </a:graphic>
          </wp:inline>
        </w:drawing>
      </w:r>
    </w:p>
    <w:p w14:paraId="202C4D19" w14:textId="77777777" w:rsidR="00B97A69" w:rsidRDefault="001B5626">
      <w:pPr>
        <w:pStyle w:val="Normal1"/>
        <w:spacing w:before="240" w:after="240"/>
        <w:jc w:val="center"/>
        <w:rPr>
          <w:b/>
        </w:rPr>
      </w:pPr>
      <w:r>
        <w:rPr>
          <w:b/>
        </w:rPr>
        <w:t>Figure 3: Calculation of Debtor’s days</w:t>
      </w:r>
    </w:p>
    <w:p w14:paraId="5E968269" w14:textId="77777777" w:rsidR="00B97A69" w:rsidRDefault="001B5626">
      <w:pPr>
        <w:pStyle w:val="Normal1"/>
        <w:spacing w:before="240" w:after="240"/>
        <w:jc w:val="center"/>
      </w:pPr>
      <w:r>
        <w:t>(Source: Self-created)</w:t>
      </w:r>
    </w:p>
    <w:p w14:paraId="4F15D72D" w14:textId="0376A814" w:rsidR="00B97A69" w:rsidRDefault="001B5626">
      <w:pPr>
        <w:pStyle w:val="Normal1"/>
        <w:spacing w:before="240" w:after="240"/>
      </w:pPr>
      <w:r>
        <w:t xml:space="preserve">It is major for the measuring process of the organization’s efficiency in collecting the debt value. The study aimed the using the formula </w:t>
      </w:r>
      <w:r>
        <w:rPr>
          <w:b/>
          <w:i/>
        </w:rPr>
        <w:t xml:space="preserve">“(Receivable/ net </w:t>
      </w:r>
      <w:r w:rsidR="003D3FBC">
        <w:rPr>
          <w:b/>
          <w:i/>
        </w:rPr>
        <w:t>sales) *</w:t>
      </w:r>
      <w:r>
        <w:rPr>
          <w:b/>
          <w:i/>
        </w:rPr>
        <w:t xml:space="preserve">365”. </w:t>
      </w:r>
      <w:r>
        <w:t xml:space="preserve">The above figure has shown the DCP </w:t>
      </w:r>
      <w:r w:rsidR="005D28EA">
        <w:t>value reduces</w:t>
      </w:r>
      <w:r>
        <w:t xml:space="preserve"> from 73 to 68 in the current year. It has based on the taken data the company enhanced more efficiently gathering money within a specific time. Along with that, it enhanced </w:t>
      </w:r>
      <w:r w:rsidR="005D28EA">
        <w:t>sales which have</w:t>
      </w:r>
      <w:r>
        <w:t xml:space="preserve"> been suggested in the paper for developing the debtor's days.</w:t>
      </w:r>
    </w:p>
    <w:p w14:paraId="13ECBBCE" w14:textId="77777777" w:rsidR="00B97A69" w:rsidRDefault="001B5626">
      <w:pPr>
        <w:pStyle w:val="Normal1"/>
        <w:rPr>
          <w:b/>
        </w:rPr>
      </w:pPr>
      <w:r>
        <w:rPr>
          <w:b/>
        </w:rPr>
        <w:t>8</w:t>
      </w:r>
      <w:r w:rsidR="009C6DC0">
        <w:rPr>
          <w:b/>
        </w:rPr>
        <w:t>.</w:t>
      </w:r>
    </w:p>
    <w:tbl>
      <w:tblPr>
        <w:tblStyle w:val="MediumShading2-Accent3"/>
        <w:tblW w:w="87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20" w:firstRow="1" w:lastRow="0" w:firstColumn="0" w:lastColumn="0" w:noHBand="0" w:noVBand="1"/>
      </w:tblPr>
      <w:tblGrid>
        <w:gridCol w:w="3330"/>
        <w:gridCol w:w="2730"/>
        <w:gridCol w:w="2730"/>
      </w:tblGrid>
      <w:tr w:rsidR="00B97A69" w:rsidRPr="009C6DC0" w14:paraId="65693EFC" w14:textId="77777777" w:rsidTr="009C6DC0">
        <w:trPr>
          <w:cnfStyle w:val="100000000000" w:firstRow="1" w:lastRow="0" w:firstColumn="0" w:lastColumn="0" w:oddVBand="0" w:evenVBand="0" w:oddHBand="0" w:evenHBand="0" w:firstRowFirstColumn="0" w:firstRowLastColumn="0" w:lastRowFirstColumn="0" w:lastRowLastColumn="0"/>
          <w:trHeight w:val="975"/>
          <w:jc w:val="center"/>
        </w:trPr>
        <w:tc>
          <w:tcPr>
            <w:tcW w:w="8790" w:type="dxa"/>
            <w:gridSpan w:val="3"/>
            <w:tcBorders>
              <w:top w:val="none" w:sz="0" w:space="0" w:color="auto"/>
              <w:left w:val="none" w:sz="0" w:space="0" w:color="auto"/>
              <w:bottom w:val="none" w:sz="0" w:space="0" w:color="auto"/>
              <w:right w:val="none" w:sz="0" w:space="0" w:color="auto"/>
            </w:tcBorders>
          </w:tcPr>
          <w:p w14:paraId="7BED9B3C" w14:textId="77777777" w:rsidR="00B97A69" w:rsidRPr="009C6DC0" w:rsidRDefault="001B5626">
            <w:pPr>
              <w:pStyle w:val="Normal1"/>
              <w:spacing w:before="240" w:after="240"/>
              <w:jc w:val="center"/>
              <w:rPr>
                <w:b w:val="0"/>
                <w:color w:val="000000" w:themeColor="text1"/>
              </w:rPr>
            </w:pPr>
            <w:r w:rsidRPr="009C6DC0">
              <w:rPr>
                <w:color w:val="000000" w:themeColor="text1"/>
              </w:rPr>
              <w:t>Sweets plc</w:t>
            </w:r>
          </w:p>
        </w:tc>
      </w:tr>
      <w:tr w:rsidR="00B97A69" w:rsidRPr="009C6DC0" w14:paraId="11C9D9B3" w14:textId="77777777" w:rsidTr="009C6DC0">
        <w:trPr>
          <w:cnfStyle w:val="000000100000" w:firstRow="0" w:lastRow="0" w:firstColumn="0" w:lastColumn="0" w:oddVBand="0" w:evenVBand="0" w:oddHBand="1" w:evenHBand="0" w:firstRowFirstColumn="0" w:firstRowLastColumn="0" w:lastRowFirstColumn="0" w:lastRowLastColumn="0"/>
          <w:trHeight w:val="975"/>
          <w:jc w:val="center"/>
        </w:trPr>
        <w:tc>
          <w:tcPr>
            <w:tcW w:w="3330" w:type="dxa"/>
          </w:tcPr>
          <w:p w14:paraId="11A242DC" w14:textId="77777777" w:rsidR="00B97A69" w:rsidRPr="009C6DC0" w:rsidRDefault="001B5626">
            <w:pPr>
              <w:pStyle w:val="Normal1"/>
              <w:spacing w:before="240" w:after="240"/>
              <w:rPr>
                <w:b/>
                <w:color w:val="000000" w:themeColor="text1"/>
              </w:rPr>
            </w:pPr>
            <w:r w:rsidRPr="009C6DC0">
              <w:rPr>
                <w:b/>
                <w:color w:val="000000" w:themeColor="text1"/>
              </w:rPr>
              <w:t>Particulars</w:t>
            </w:r>
          </w:p>
        </w:tc>
        <w:tc>
          <w:tcPr>
            <w:tcW w:w="2730" w:type="dxa"/>
          </w:tcPr>
          <w:p w14:paraId="18EBA853" w14:textId="77777777" w:rsidR="00B97A69" w:rsidRPr="009C6DC0" w:rsidRDefault="001B5626">
            <w:pPr>
              <w:pStyle w:val="Normal1"/>
              <w:spacing w:before="240" w:after="240"/>
              <w:jc w:val="right"/>
              <w:rPr>
                <w:b/>
                <w:color w:val="000000" w:themeColor="text1"/>
              </w:rPr>
            </w:pPr>
            <w:r w:rsidRPr="009C6DC0">
              <w:rPr>
                <w:b/>
                <w:color w:val="000000" w:themeColor="text1"/>
              </w:rPr>
              <w:t>2021</w:t>
            </w:r>
          </w:p>
        </w:tc>
        <w:tc>
          <w:tcPr>
            <w:tcW w:w="2730" w:type="dxa"/>
          </w:tcPr>
          <w:p w14:paraId="23A526AF" w14:textId="77777777" w:rsidR="00B97A69" w:rsidRPr="009C6DC0" w:rsidRDefault="001B5626">
            <w:pPr>
              <w:pStyle w:val="Normal1"/>
              <w:spacing w:before="240" w:after="240"/>
              <w:jc w:val="right"/>
              <w:rPr>
                <w:b/>
                <w:color w:val="000000" w:themeColor="text1"/>
              </w:rPr>
            </w:pPr>
            <w:r w:rsidRPr="009C6DC0">
              <w:rPr>
                <w:b/>
                <w:color w:val="000000" w:themeColor="text1"/>
              </w:rPr>
              <w:t>2020</w:t>
            </w:r>
          </w:p>
        </w:tc>
      </w:tr>
      <w:tr w:rsidR="00B97A69" w:rsidRPr="009C6DC0" w14:paraId="0760553C" w14:textId="77777777" w:rsidTr="009C6DC0">
        <w:trPr>
          <w:trHeight w:val="975"/>
          <w:jc w:val="center"/>
        </w:trPr>
        <w:tc>
          <w:tcPr>
            <w:tcW w:w="3330" w:type="dxa"/>
          </w:tcPr>
          <w:p w14:paraId="07B15E81" w14:textId="77777777" w:rsidR="00B97A69" w:rsidRPr="009C6DC0" w:rsidRDefault="001B5626">
            <w:pPr>
              <w:pStyle w:val="Normal1"/>
              <w:spacing w:before="240" w:after="240"/>
              <w:rPr>
                <w:b/>
                <w:color w:val="000000" w:themeColor="text1"/>
              </w:rPr>
            </w:pPr>
            <w:r w:rsidRPr="009C6DC0">
              <w:rPr>
                <w:b/>
                <w:color w:val="000000" w:themeColor="text1"/>
              </w:rPr>
              <w:t xml:space="preserve"> </w:t>
            </w:r>
          </w:p>
        </w:tc>
        <w:tc>
          <w:tcPr>
            <w:tcW w:w="2730" w:type="dxa"/>
          </w:tcPr>
          <w:p w14:paraId="3A83305D" w14:textId="77777777" w:rsidR="00B97A69" w:rsidRPr="009C6DC0" w:rsidRDefault="001B5626">
            <w:pPr>
              <w:pStyle w:val="Normal1"/>
              <w:spacing w:before="240" w:after="240"/>
              <w:rPr>
                <w:b/>
                <w:color w:val="000000" w:themeColor="text1"/>
              </w:rPr>
            </w:pPr>
            <w:r w:rsidRPr="009C6DC0">
              <w:rPr>
                <w:b/>
                <w:color w:val="000000" w:themeColor="text1"/>
              </w:rPr>
              <w:t>Amount (£m)</w:t>
            </w:r>
          </w:p>
        </w:tc>
        <w:tc>
          <w:tcPr>
            <w:tcW w:w="2730" w:type="dxa"/>
          </w:tcPr>
          <w:p w14:paraId="55E32DC9" w14:textId="77777777" w:rsidR="00B97A69" w:rsidRPr="009C6DC0" w:rsidRDefault="001B5626">
            <w:pPr>
              <w:pStyle w:val="Normal1"/>
              <w:spacing w:before="240" w:after="240"/>
              <w:rPr>
                <w:b/>
                <w:color w:val="000000" w:themeColor="text1"/>
              </w:rPr>
            </w:pPr>
            <w:r w:rsidRPr="009C6DC0">
              <w:rPr>
                <w:b/>
                <w:color w:val="000000" w:themeColor="text1"/>
              </w:rPr>
              <w:t>Amount (£m)</w:t>
            </w:r>
          </w:p>
        </w:tc>
      </w:tr>
      <w:tr w:rsidR="00B97A69" w:rsidRPr="009C6DC0" w14:paraId="5AAC82FC" w14:textId="77777777" w:rsidTr="009C6DC0">
        <w:trPr>
          <w:cnfStyle w:val="000000100000" w:firstRow="0" w:lastRow="0" w:firstColumn="0" w:lastColumn="0" w:oddVBand="0" w:evenVBand="0" w:oddHBand="1" w:evenHBand="0" w:firstRowFirstColumn="0" w:firstRowLastColumn="0" w:lastRowFirstColumn="0" w:lastRowLastColumn="0"/>
          <w:trHeight w:val="975"/>
          <w:jc w:val="center"/>
        </w:trPr>
        <w:tc>
          <w:tcPr>
            <w:tcW w:w="3330" w:type="dxa"/>
          </w:tcPr>
          <w:p w14:paraId="15B290C7" w14:textId="77777777" w:rsidR="00B97A69" w:rsidRPr="009C6DC0" w:rsidRDefault="001B5626">
            <w:pPr>
              <w:pStyle w:val="Normal1"/>
              <w:spacing w:before="240" w:after="240"/>
              <w:rPr>
                <w:b/>
                <w:color w:val="000000" w:themeColor="text1"/>
              </w:rPr>
            </w:pPr>
            <w:r w:rsidRPr="009C6DC0">
              <w:rPr>
                <w:b/>
                <w:color w:val="000000" w:themeColor="text1"/>
              </w:rPr>
              <w:t>“Current assets”</w:t>
            </w:r>
          </w:p>
        </w:tc>
        <w:tc>
          <w:tcPr>
            <w:tcW w:w="2730" w:type="dxa"/>
          </w:tcPr>
          <w:p w14:paraId="7E68DBAF" w14:textId="77777777" w:rsidR="00B97A69" w:rsidRPr="009C6DC0" w:rsidRDefault="001B5626">
            <w:pPr>
              <w:pStyle w:val="Normal1"/>
              <w:spacing w:before="240" w:after="240"/>
              <w:jc w:val="right"/>
              <w:rPr>
                <w:b/>
                <w:color w:val="000000" w:themeColor="text1"/>
              </w:rPr>
            </w:pPr>
            <w:r w:rsidRPr="009C6DC0">
              <w:rPr>
                <w:b/>
                <w:color w:val="000000" w:themeColor="text1"/>
              </w:rPr>
              <w:t>2303</w:t>
            </w:r>
          </w:p>
        </w:tc>
        <w:tc>
          <w:tcPr>
            <w:tcW w:w="2730" w:type="dxa"/>
          </w:tcPr>
          <w:p w14:paraId="17C0CE06" w14:textId="77777777" w:rsidR="00B97A69" w:rsidRPr="009C6DC0" w:rsidRDefault="001B5626">
            <w:pPr>
              <w:pStyle w:val="Normal1"/>
              <w:spacing w:before="240" w:after="240"/>
              <w:jc w:val="right"/>
              <w:rPr>
                <w:b/>
                <w:color w:val="000000" w:themeColor="text1"/>
              </w:rPr>
            </w:pPr>
            <w:r w:rsidRPr="009C6DC0">
              <w:rPr>
                <w:b/>
                <w:color w:val="000000" w:themeColor="text1"/>
              </w:rPr>
              <w:t>2355</w:t>
            </w:r>
          </w:p>
        </w:tc>
      </w:tr>
      <w:tr w:rsidR="00B97A69" w:rsidRPr="009C6DC0" w14:paraId="3F211C0E" w14:textId="77777777" w:rsidTr="009C6DC0">
        <w:trPr>
          <w:trHeight w:val="975"/>
          <w:jc w:val="center"/>
        </w:trPr>
        <w:tc>
          <w:tcPr>
            <w:tcW w:w="3330" w:type="dxa"/>
          </w:tcPr>
          <w:p w14:paraId="2729F057" w14:textId="77777777" w:rsidR="00B97A69" w:rsidRPr="009C6DC0" w:rsidRDefault="001B5626">
            <w:pPr>
              <w:pStyle w:val="Normal1"/>
              <w:spacing w:before="240" w:after="240"/>
              <w:rPr>
                <w:b/>
                <w:color w:val="000000" w:themeColor="text1"/>
              </w:rPr>
            </w:pPr>
            <w:r w:rsidRPr="009C6DC0">
              <w:rPr>
                <w:b/>
                <w:color w:val="000000" w:themeColor="text1"/>
              </w:rPr>
              <w:t>“Current liabilities”</w:t>
            </w:r>
          </w:p>
        </w:tc>
        <w:tc>
          <w:tcPr>
            <w:tcW w:w="2730" w:type="dxa"/>
          </w:tcPr>
          <w:p w14:paraId="0EF5F793" w14:textId="77777777" w:rsidR="00B97A69" w:rsidRPr="009C6DC0" w:rsidRDefault="001B5626">
            <w:pPr>
              <w:pStyle w:val="Normal1"/>
              <w:spacing w:before="240" w:after="240"/>
              <w:jc w:val="right"/>
              <w:rPr>
                <w:b/>
                <w:color w:val="000000" w:themeColor="text1"/>
              </w:rPr>
            </w:pPr>
            <w:r w:rsidRPr="009C6DC0">
              <w:rPr>
                <w:b/>
                <w:color w:val="000000" w:themeColor="text1"/>
              </w:rPr>
              <w:t>2511</w:t>
            </w:r>
          </w:p>
        </w:tc>
        <w:tc>
          <w:tcPr>
            <w:tcW w:w="2730" w:type="dxa"/>
          </w:tcPr>
          <w:p w14:paraId="0D277E33" w14:textId="77777777" w:rsidR="00B97A69" w:rsidRPr="009C6DC0" w:rsidRDefault="001B5626">
            <w:pPr>
              <w:pStyle w:val="Normal1"/>
              <w:spacing w:before="240" w:after="240"/>
              <w:jc w:val="right"/>
              <w:rPr>
                <w:b/>
                <w:color w:val="000000" w:themeColor="text1"/>
              </w:rPr>
            </w:pPr>
            <w:r w:rsidRPr="009C6DC0">
              <w:rPr>
                <w:b/>
                <w:color w:val="000000" w:themeColor="text1"/>
              </w:rPr>
              <w:t>3046</w:t>
            </w:r>
          </w:p>
        </w:tc>
      </w:tr>
      <w:tr w:rsidR="00B97A69" w:rsidRPr="009C6DC0" w14:paraId="29BD34CB" w14:textId="77777777" w:rsidTr="009C6DC0">
        <w:trPr>
          <w:cnfStyle w:val="000000100000" w:firstRow="0" w:lastRow="0" w:firstColumn="0" w:lastColumn="0" w:oddVBand="0" w:evenVBand="0" w:oddHBand="1" w:evenHBand="0" w:firstRowFirstColumn="0" w:firstRowLastColumn="0" w:lastRowFirstColumn="0" w:lastRowLastColumn="0"/>
          <w:trHeight w:val="975"/>
          <w:jc w:val="center"/>
        </w:trPr>
        <w:tc>
          <w:tcPr>
            <w:tcW w:w="3330" w:type="dxa"/>
          </w:tcPr>
          <w:p w14:paraId="743E2165" w14:textId="77777777" w:rsidR="00B97A69" w:rsidRPr="009C6DC0" w:rsidRDefault="001B5626">
            <w:pPr>
              <w:pStyle w:val="Normal1"/>
              <w:spacing w:before="240" w:after="240"/>
              <w:rPr>
                <w:b/>
                <w:color w:val="000000" w:themeColor="text1"/>
              </w:rPr>
            </w:pPr>
            <w:r w:rsidRPr="009C6DC0">
              <w:rPr>
                <w:b/>
                <w:color w:val="000000" w:themeColor="text1"/>
              </w:rPr>
              <w:t>CR</w:t>
            </w:r>
          </w:p>
        </w:tc>
        <w:tc>
          <w:tcPr>
            <w:tcW w:w="2730" w:type="dxa"/>
          </w:tcPr>
          <w:p w14:paraId="0E941781" w14:textId="77777777" w:rsidR="00B97A69" w:rsidRPr="009C6DC0" w:rsidRDefault="001B5626">
            <w:pPr>
              <w:pStyle w:val="Normal1"/>
              <w:spacing w:before="240" w:after="240"/>
              <w:jc w:val="right"/>
              <w:rPr>
                <w:b/>
                <w:color w:val="000000" w:themeColor="text1"/>
              </w:rPr>
            </w:pPr>
            <w:r w:rsidRPr="009C6DC0">
              <w:rPr>
                <w:b/>
                <w:color w:val="000000" w:themeColor="text1"/>
              </w:rPr>
              <w:t>0.92</w:t>
            </w:r>
          </w:p>
        </w:tc>
        <w:tc>
          <w:tcPr>
            <w:tcW w:w="2730" w:type="dxa"/>
          </w:tcPr>
          <w:p w14:paraId="6256746C" w14:textId="77777777" w:rsidR="00B97A69" w:rsidRPr="009C6DC0" w:rsidRDefault="001B5626">
            <w:pPr>
              <w:pStyle w:val="Normal1"/>
              <w:spacing w:before="240" w:after="240"/>
              <w:jc w:val="right"/>
              <w:rPr>
                <w:b/>
                <w:color w:val="000000" w:themeColor="text1"/>
              </w:rPr>
            </w:pPr>
            <w:r w:rsidRPr="009C6DC0">
              <w:rPr>
                <w:b/>
                <w:color w:val="000000" w:themeColor="text1"/>
              </w:rPr>
              <w:t>0.77</w:t>
            </w:r>
          </w:p>
        </w:tc>
      </w:tr>
      <w:tr w:rsidR="00B97A69" w:rsidRPr="009C6DC0" w14:paraId="24259288" w14:textId="77777777" w:rsidTr="009C6DC0">
        <w:trPr>
          <w:trHeight w:val="975"/>
          <w:jc w:val="center"/>
        </w:trPr>
        <w:tc>
          <w:tcPr>
            <w:tcW w:w="8790" w:type="dxa"/>
            <w:gridSpan w:val="3"/>
          </w:tcPr>
          <w:p w14:paraId="5A9F1641" w14:textId="77777777" w:rsidR="00B97A69" w:rsidRPr="009C6DC0" w:rsidRDefault="001B5626">
            <w:pPr>
              <w:pStyle w:val="Normal1"/>
              <w:spacing w:before="240" w:after="240"/>
              <w:jc w:val="center"/>
              <w:rPr>
                <w:b/>
                <w:color w:val="000000" w:themeColor="text1"/>
              </w:rPr>
            </w:pPr>
            <w:r w:rsidRPr="009C6DC0">
              <w:rPr>
                <w:b/>
                <w:color w:val="000000" w:themeColor="text1"/>
              </w:rPr>
              <w:t>“Current ratios (CR) = Current assets/ current liabilities”</w:t>
            </w:r>
          </w:p>
        </w:tc>
      </w:tr>
    </w:tbl>
    <w:p w14:paraId="507339DB" w14:textId="77777777" w:rsidR="00B97A69" w:rsidRDefault="001B5626">
      <w:pPr>
        <w:pStyle w:val="Normal1"/>
        <w:spacing w:before="240" w:after="240"/>
        <w:jc w:val="center"/>
        <w:rPr>
          <w:b/>
        </w:rPr>
      </w:pPr>
      <w:r>
        <w:rPr>
          <w:b/>
        </w:rPr>
        <w:t>Table 6: Identification of CR</w:t>
      </w:r>
    </w:p>
    <w:p w14:paraId="6F7F6737" w14:textId="77777777" w:rsidR="00B97A69" w:rsidRDefault="001B5626">
      <w:pPr>
        <w:pStyle w:val="Normal1"/>
        <w:spacing w:before="240" w:after="240"/>
        <w:jc w:val="center"/>
      </w:pPr>
      <w:r>
        <w:t>(Source: Self-created)</w:t>
      </w:r>
    </w:p>
    <w:p w14:paraId="05A78EF6" w14:textId="6D6F88B8" w:rsidR="00B97A69" w:rsidRDefault="001B5626">
      <w:pPr>
        <w:pStyle w:val="Normal1"/>
        <w:spacing w:before="240" w:after="240"/>
      </w:pPr>
      <w:r>
        <w:t xml:space="preserve">It concerns about the creditors for evaluating the credit status for providing the value of </w:t>
      </w:r>
      <w:r w:rsidR="003D3FBC">
        <w:t>short-term</w:t>
      </w:r>
      <w:r>
        <w:t xml:space="preserve"> debts (Hawkins </w:t>
      </w:r>
      <w:r>
        <w:rPr>
          <w:i/>
        </w:rPr>
        <w:t xml:space="preserve">et al. </w:t>
      </w:r>
      <w:r>
        <w:t xml:space="preserve">2020, p.12). It analyses the indicating the insights as related to the company’s operating cycle. </w:t>
      </w:r>
      <w:r w:rsidR="005D28EA">
        <w:t>The</w:t>
      </w:r>
      <w:r>
        <w:t xml:space="preserve"> CR was enhanced in the year 2021 which is 0.92 times as different from 2020 which is 0.77 times. It indicates the greater CR value has the ability in changing into the assets liquidating in paying the </w:t>
      </w:r>
      <w:r>
        <w:rPr>
          <w:b/>
          <w:i/>
        </w:rPr>
        <w:t xml:space="preserve">“short-term liabilities”. </w:t>
      </w:r>
    </w:p>
    <w:p w14:paraId="08242F17" w14:textId="77777777" w:rsidR="00B97A69" w:rsidRDefault="001B5626">
      <w:pPr>
        <w:pStyle w:val="Normal1"/>
        <w:rPr>
          <w:b/>
        </w:rPr>
      </w:pPr>
      <w:r>
        <w:rPr>
          <w:b/>
        </w:rPr>
        <w:t>9</w:t>
      </w:r>
      <w:r w:rsidR="009C6DC0">
        <w:rPr>
          <w:b/>
        </w:rPr>
        <w:t>.</w:t>
      </w:r>
    </w:p>
    <w:p w14:paraId="6F2F2FEA" w14:textId="77777777" w:rsidR="00B97A69" w:rsidRDefault="001B5626">
      <w:pPr>
        <w:pStyle w:val="Normal1"/>
        <w:jc w:val="center"/>
        <w:rPr>
          <w:b/>
        </w:rPr>
      </w:pPr>
      <w:r>
        <w:rPr>
          <w:b/>
          <w:noProof/>
          <w:lang w:eastAsia="en-GB"/>
        </w:rPr>
        <w:drawing>
          <wp:inline distT="114300" distB="114300" distL="114300" distR="114300" wp14:anchorId="2F0E87D2" wp14:editId="5B7D4958">
            <wp:extent cx="3356328" cy="2156178"/>
            <wp:effectExtent l="1905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368735" cy="2164149"/>
                    </a:xfrm>
                    <a:prstGeom prst="rect">
                      <a:avLst/>
                    </a:prstGeom>
                    <a:ln/>
                  </pic:spPr>
                </pic:pic>
              </a:graphicData>
            </a:graphic>
          </wp:inline>
        </w:drawing>
      </w:r>
    </w:p>
    <w:p w14:paraId="004E0472" w14:textId="77777777" w:rsidR="00B97A69" w:rsidRDefault="001B5626">
      <w:pPr>
        <w:pStyle w:val="Normal1"/>
        <w:spacing w:before="240" w:after="240"/>
        <w:jc w:val="center"/>
        <w:rPr>
          <w:b/>
        </w:rPr>
      </w:pPr>
      <w:r>
        <w:rPr>
          <w:b/>
        </w:rPr>
        <w:t>Figure 4: Identification of GR</w:t>
      </w:r>
    </w:p>
    <w:p w14:paraId="4C0D3433" w14:textId="77777777" w:rsidR="00B97A69" w:rsidRDefault="001B5626">
      <w:pPr>
        <w:pStyle w:val="Normal1"/>
        <w:spacing w:before="240" w:after="240"/>
        <w:jc w:val="center"/>
      </w:pPr>
      <w:r>
        <w:t>(Source: Self-Created)</w:t>
      </w:r>
    </w:p>
    <w:p w14:paraId="31985781" w14:textId="77777777" w:rsidR="00B97A69" w:rsidRDefault="001B5626">
      <w:pPr>
        <w:pStyle w:val="Normal1"/>
        <w:spacing w:before="240" w:after="240"/>
        <w:rPr>
          <w:b/>
        </w:rPr>
      </w:pPr>
      <w:r>
        <w:t xml:space="preserve">It is also significant for the company in determining the risk related to financing inside the company. It shows the greater position with the value of debt to equity (Lev, 2018, p.4). The GE of the organization has shown lower in 2021 which is well-signed for the company. In addition, the organization has maintained the debt value as mentioned in the current scenario. </w:t>
      </w:r>
    </w:p>
    <w:p w14:paraId="3C61C2F6" w14:textId="77777777" w:rsidR="00B97A69" w:rsidRDefault="001B5626">
      <w:pPr>
        <w:pStyle w:val="Normal1"/>
        <w:rPr>
          <w:b/>
        </w:rPr>
      </w:pPr>
      <w:r>
        <w:rPr>
          <w:b/>
        </w:rPr>
        <w:t>10</w:t>
      </w:r>
      <w:r w:rsidR="009C6DC0">
        <w:rPr>
          <w:b/>
        </w:rPr>
        <w:t>.</w:t>
      </w:r>
    </w:p>
    <w:p w14:paraId="0D811BB5" w14:textId="77777777" w:rsidR="00B97A69" w:rsidRDefault="001B5626">
      <w:pPr>
        <w:pStyle w:val="Normal1"/>
        <w:jc w:val="center"/>
        <w:rPr>
          <w:b/>
        </w:rPr>
      </w:pPr>
      <w:r>
        <w:rPr>
          <w:b/>
          <w:noProof/>
          <w:lang w:eastAsia="en-GB"/>
        </w:rPr>
        <w:drawing>
          <wp:inline distT="114300" distB="114300" distL="114300" distR="114300" wp14:anchorId="7073AECD" wp14:editId="2105D5A7">
            <wp:extent cx="3905956" cy="2833511"/>
            <wp:effectExtent l="1905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3905345" cy="2833068"/>
                    </a:xfrm>
                    <a:prstGeom prst="rect">
                      <a:avLst/>
                    </a:prstGeom>
                    <a:ln/>
                  </pic:spPr>
                </pic:pic>
              </a:graphicData>
            </a:graphic>
          </wp:inline>
        </w:drawing>
      </w:r>
    </w:p>
    <w:p w14:paraId="2D10950B" w14:textId="77777777" w:rsidR="00B97A69" w:rsidRDefault="001B5626">
      <w:pPr>
        <w:pStyle w:val="Normal1"/>
        <w:spacing w:before="240" w:after="240"/>
        <w:jc w:val="center"/>
        <w:rPr>
          <w:b/>
        </w:rPr>
      </w:pPr>
      <w:r>
        <w:rPr>
          <w:b/>
        </w:rPr>
        <w:t>Figure 5: Calculations of IC</w:t>
      </w:r>
    </w:p>
    <w:p w14:paraId="703299DD" w14:textId="77777777" w:rsidR="00B97A69" w:rsidRDefault="001B5626">
      <w:pPr>
        <w:pStyle w:val="Normal1"/>
        <w:spacing w:before="240" w:after="240"/>
        <w:jc w:val="center"/>
      </w:pPr>
      <w:r>
        <w:t>(Source: Self-created)</w:t>
      </w:r>
    </w:p>
    <w:p w14:paraId="6045AF71" w14:textId="77777777" w:rsidR="00B97A69" w:rsidRDefault="001B5626">
      <w:pPr>
        <w:pStyle w:val="Normal1"/>
        <w:spacing w:before="240" w:after="240"/>
      </w:pPr>
      <w:r>
        <w:t xml:space="preserve">It assists in finding the organization’s efficiency in paying the outstanding debts. The IC stands for 2020 which is 2.98 times and 2.74 times in 2021. The data has shown it reduces the company’s capability in paying off the interest. However, the ratio value of IC is shown in a good position. It means the company can pay its lenders, creditors, and lenders in interest expenses at some times. </w:t>
      </w:r>
    </w:p>
    <w:p w14:paraId="6C685B23" w14:textId="77777777" w:rsidR="00B97A69" w:rsidRDefault="001B5626">
      <w:pPr>
        <w:pStyle w:val="Heading2"/>
      </w:pPr>
      <w:bookmarkStart w:id="11" w:name="_945v2h6vf1fz" w:colFirst="0" w:colLast="0"/>
      <w:bookmarkStart w:id="12" w:name="_Toc120611670"/>
      <w:bookmarkEnd w:id="11"/>
      <w:r>
        <w:t>B. Critical use of the financial statement information for ratio calculation and analysis of the financial performance</w:t>
      </w:r>
      <w:bookmarkEnd w:id="12"/>
    </w:p>
    <w:p w14:paraId="7A7D4CCA" w14:textId="7863B99E" w:rsidR="00B97A69" w:rsidRDefault="001B5626">
      <w:pPr>
        <w:pStyle w:val="Normal1"/>
      </w:pPr>
      <w:r>
        <w:t xml:space="preserve">The performance of the organization has shown in a good position as per the basis of </w:t>
      </w:r>
      <w:r w:rsidR="003D3FBC">
        <w:t>analysing</w:t>
      </w:r>
      <w:r>
        <w:t xml:space="preserve"> the above ratios.  There has been done various kinds of ratios such as </w:t>
      </w:r>
      <w:r>
        <w:rPr>
          <w:b/>
          <w:i/>
        </w:rPr>
        <w:t xml:space="preserve">“ROCE (Return on capital employed)”, ROE “(Return on equity)”, EPS “(Earnings per share)”, “Net profit margin, Asset turnover, Stock holding days, Debtors collection period, Current ratio, Gearing ratio, and Interest cover”. </w:t>
      </w:r>
      <w:r>
        <w:t xml:space="preserve">Therefore, with the effect of that, it determines the financial position of the organization. The company may need to maintain its position by altering its strategies such as maintaining the creditors, increasing sales, reducing expenses, </w:t>
      </w:r>
      <w:r w:rsidR="003D3FBC">
        <w:t>and</w:t>
      </w:r>
      <w:r>
        <w:t xml:space="preserve"> paying off its debts. Therefore, with the effect of that </w:t>
      </w:r>
      <w:r>
        <w:rPr>
          <w:b/>
        </w:rPr>
        <w:t xml:space="preserve">Sweet's plc </w:t>
      </w:r>
      <w:r>
        <w:t xml:space="preserve">can maintain its position in the competitive market </w:t>
      </w:r>
      <w:r w:rsidR="003D3FBC">
        <w:t>and</w:t>
      </w:r>
      <w:r>
        <w:t xml:space="preserve"> speed up its own profitability (Khullar </w:t>
      </w:r>
      <w:r>
        <w:rPr>
          <w:i/>
        </w:rPr>
        <w:t xml:space="preserve">et al. </w:t>
      </w:r>
      <w:r>
        <w:t xml:space="preserve">2020, p.22). As per the basis of ratio analysis, it can be said that the performance of the organization is good. Hence, reducing the value of GE shows a better position of the organization on the lower value of debts. </w:t>
      </w:r>
    </w:p>
    <w:p w14:paraId="33F7E3FC" w14:textId="77777777" w:rsidR="009C0CC7" w:rsidRDefault="001B5626">
      <w:pPr>
        <w:pStyle w:val="Normal1"/>
      </w:pPr>
      <w:r>
        <w:t xml:space="preserve">It shows that the company has paid off its debts by using capital or assets. It is important to manage the business plan in improving the business's financial position (Zhao </w:t>
      </w:r>
      <w:r>
        <w:rPr>
          <w:i/>
        </w:rPr>
        <w:t xml:space="preserve">et al. </w:t>
      </w:r>
      <w:r>
        <w:t xml:space="preserve">2018, p.5). It gives advice to its professionals and recovers the value of the outstanding debt. It diminishes or also rearranges the </w:t>
      </w:r>
      <w:r w:rsidR="005D28EA">
        <w:t>expenses;</w:t>
      </w:r>
      <w:r>
        <w:t xml:space="preserve"> sell the assets, with enhancing the prices with offer markdowns. However, for measuring the string financial position then it is required to measure the stable earnings, </w:t>
      </w:r>
      <w:r>
        <w:rPr>
          <w:b/>
          <w:i/>
        </w:rPr>
        <w:t xml:space="preserve">“return on equity (ROE)” </w:t>
      </w:r>
      <w:r>
        <w:t xml:space="preserve">and its related value as differentiated from other organizations. These are timeless shows of the company’s financial success that might be well investments (Svabova </w:t>
      </w:r>
      <w:r>
        <w:rPr>
          <w:i/>
        </w:rPr>
        <w:t xml:space="preserve">et al. </w:t>
      </w:r>
      <w:r>
        <w:t>2020, p.11). The balance sheet shows the company’s financial position at the mentioned specific time. On the other hand, the income statement reports the financial information all over time that is used in finding the company’s health.</w:t>
      </w:r>
    </w:p>
    <w:p w14:paraId="47F2051A" w14:textId="77777777" w:rsidR="009C0CC7" w:rsidRDefault="009C0CC7">
      <w:r>
        <w:br w:type="page"/>
      </w:r>
    </w:p>
    <w:p w14:paraId="2ABA8605" w14:textId="77777777" w:rsidR="009C0CC7" w:rsidRPr="007D4CAB" w:rsidRDefault="009C0CC7" w:rsidP="00F2061F">
      <w:pPr>
        <w:pStyle w:val="Heading1"/>
      </w:pPr>
      <w:bookmarkStart w:id="13" w:name="_Toc120611671"/>
      <w:r w:rsidRPr="007D4CAB">
        <w:t>Reference list</w:t>
      </w:r>
      <w:bookmarkEnd w:id="13"/>
      <w:r w:rsidRPr="007D4CAB">
        <w:t xml:space="preserve"> </w:t>
      </w:r>
    </w:p>
    <w:p w14:paraId="50B443E9" w14:textId="166D7B0A" w:rsidR="005346E0" w:rsidRDefault="005346E0" w:rsidP="009C0CC7">
      <w:pPr>
        <w:spacing w:before="240"/>
      </w:pPr>
      <w:r w:rsidRPr="00EF638F">
        <w:t>Al-</w:t>
      </w:r>
      <w:r w:rsidR="003D3FBC" w:rsidRPr="00EF638F">
        <w:t>Dour</w:t>
      </w:r>
      <w:r w:rsidRPr="00EF638F">
        <w:t xml:space="preserve"> A. The impact of the reliability of the accounting information system upon the business performance via the mediating role of the quality of financial reporting. </w:t>
      </w:r>
      <w:r w:rsidRPr="00EF638F">
        <w:rPr>
          <w:i/>
        </w:rPr>
        <w:t>The International Journal of Accounting and Business Society</w:t>
      </w:r>
      <w:r w:rsidRPr="00EF638F">
        <w:t>. 2018;26(1):78-111.</w:t>
      </w:r>
    </w:p>
    <w:p w14:paraId="2E9E102C" w14:textId="77777777" w:rsidR="005346E0" w:rsidRDefault="005346E0" w:rsidP="009C0CC7">
      <w:pPr>
        <w:spacing w:before="240"/>
      </w:pPr>
      <w:r w:rsidRPr="00EF638F">
        <w:t>Alexander, J., 2018. </w:t>
      </w:r>
      <w:r w:rsidRPr="00EF638F">
        <w:rPr>
          <w:i/>
          <w:iCs/>
        </w:rPr>
        <w:t>Financial planning &amp; analysis and performance management</w:t>
      </w:r>
      <w:r w:rsidRPr="00EF638F">
        <w:t>. John Wiley &amp; Sons.</w:t>
      </w:r>
    </w:p>
    <w:p w14:paraId="00DF2940" w14:textId="77777777" w:rsidR="005346E0" w:rsidRDefault="005346E0" w:rsidP="009C0CC7">
      <w:pPr>
        <w:spacing w:before="240"/>
      </w:pPr>
      <w:r w:rsidRPr="00EF638F">
        <w:t>Ali, B.J. and Oudat, M.S., 2021. ACCOUNTING INFORMATION SYSTEM AND FINANCIAL SUSTAINABILITY OF COMMERCIAL AND ISLAMIC BANKS: A REVIEW OF THE LITERATURE. </w:t>
      </w:r>
      <w:r w:rsidRPr="00EF638F">
        <w:rPr>
          <w:i/>
          <w:iCs/>
        </w:rPr>
        <w:t>Journal of Management Information &amp; Decision Sciences</w:t>
      </w:r>
      <w:r w:rsidRPr="00EF638F">
        <w:t>, </w:t>
      </w:r>
      <w:r w:rsidRPr="00EF638F">
        <w:rPr>
          <w:i/>
          <w:iCs/>
        </w:rPr>
        <w:t>24</w:t>
      </w:r>
      <w:r w:rsidRPr="00EF638F">
        <w:t>(5).</w:t>
      </w:r>
    </w:p>
    <w:p w14:paraId="0C3E37BF" w14:textId="77777777" w:rsidR="005346E0" w:rsidRDefault="005346E0" w:rsidP="009C0CC7">
      <w:pPr>
        <w:spacing w:before="240"/>
      </w:pPr>
      <w:r w:rsidRPr="007D4CAB">
        <w:t>Cho, S.J., Chung, C.Y. and Young, J., 2019. Study on the Relationship between CSR and Financial Performance. </w:t>
      </w:r>
      <w:r w:rsidRPr="007D4CAB">
        <w:rPr>
          <w:i/>
          <w:iCs/>
        </w:rPr>
        <w:t>Sustainability</w:t>
      </w:r>
      <w:r w:rsidRPr="007D4CAB">
        <w:t>, </w:t>
      </w:r>
      <w:r w:rsidRPr="007D4CAB">
        <w:rPr>
          <w:i/>
          <w:iCs/>
        </w:rPr>
        <w:t>11</w:t>
      </w:r>
      <w:r w:rsidRPr="007D4CAB">
        <w:t>(2), p.343.</w:t>
      </w:r>
    </w:p>
    <w:p w14:paraId="49ED5668" w14:textId="48749573" w:rsidR="005346E0" w:rsidRDefault="005346E0" w:rsidP="009C0CC7">
      <w:pPr>
        <w:spacing w:before="240"/>
      </w:pPr>
      <w:r w:rsidRPr="00EF638F">
        <w:t xml:space="preserve">Devi S, Warasniasih NM, </w:t>
      </w:r>
      <w:r w:rsidR="0044047E" w:rsidRPr="00EF638F">
        <w:t>Mediastina</w:t>
      </w:r>
      <w:r w:rsidRPr="00EF638F">
        <w:t xml:space="preserve"> PR, </w:t>
      </w:r>
      <w:r w:rsidR="0044047E" w:rsidRPr="00EF638F">
        <w:t>Mussini</w:t>
      </w:r>
      <w:r w:rsidRPr="00EF638F">
        <w:t xml:space="preserve"> LS. The impact of COVID-19 pandemic on the financial performance of firms on the Indonesia stock exchange. Journal of Economics, Business, &amp; Accountancy Ventura. 2020 Nov 13;23(2):226-42.</w:t>
      </w:r>
    </w:p>
    <w:p w14:paraId="3118A5B7" w14:textId="2795198F" w:rsidR="005346E0" w:rsidRDefault="005346E0" w:rsidP="009C0CC7">
      <w:pPr>
        <w:spacing w:before="240"/>
      </w:pPr>
      <w:r w:rsidRPr="007D4CAB">
        <w:t xml:space="preserve">Fatihudin, D., 2018. </w:t>
      </w:r>
      <w:r w:rsidR="0044047E" w:rsidRPr="007D4CAB">
        <w:t>What a</w:t>
      </w:r>
      <w:r w:rsidRPr="007D4CAB">
        <w:t xml:space="preserve"> measuring financial performance. </w:t>
      </w:r>
      <w:r w:rsidRPr="007D4CAB">
        <w:rPr>
          <w:i/>
          <w:iCs/>
        </w:rPr>
        <w:t>International Journal of Civil Engineering and Technology (IJCIET)</w:t>
      </w:r>
      <w:r w:rsidRPr="007D4CAB">
        <w:t>, </w:t>
      </w:r>
      <w:r w:rsidRPr="007D4CAB">
        <w:rPr>
          <w:i/>
          <w:iCs/>
        </w:rPr>
        <w:t>9</w:t>
      </w:r>
      <w:r w:rsidRPr="007D4CAB">
        <w:t>(6), pp.553-557.</w:t>
      </w:r>
    </w:p>
    <w:p w14:paraId="199A3C0B" w14:textId="77777777" w:rsidR="005346E0" w:rsidRDefault="005346E0" w:rsidP="009C0CC7">
      <w:pPr>
        <w:spacing w:before="240"/>
      </w:pPr>
      <w:r w:rsidRPr="007D4CAB">
        <w:t>Fridson, M.S. and Alvarez, F., 2022. </w:t>
      </w:r>
      <w:r w:rsidRPr="007D4CAB">
        <w:rPr>
          <w:i/>
          <w:iCs/>
        </w:rPr>
        <w:t>Financial statement analysis: a practitioner's guide</w:t>
      </w:r>
      <w:r w:rsidRPr="007D4CAB">
        <w:t>. John Wiley &amp; Sons.</w:t>
      </w:r>
    </w:p>
    <w:p w14:paraId="4CFE2E50" w14:textId="77777777" w:rsidR="005346E0" w:rsidRDefault="005346E0" w:rsidP="009C0CC7">
      <w:pPr>
        <w:spacing w:before="240"/>
      </w:pPr>
      <w:r w:rsidRPr="00EF638F">
        <w:t>Hawkins, R.B., Charles, E.J. and Mehaffey, J.H., 2020. Socio-economic status and COVID-19–related cases and fatalities. </w:t>
      </w:r>
      <w:r w:rsidRPr="00EF638F">
        <w:rPr>
          <w:i/>
          <w:iCs/>
        </w:rPr>
        <w:t>Public health</w:t>
      </w:r>
      <w:r w:rsidRPr="00EF638F">
        <w:t>, </w:t>
      </w:r>
      <w:r w:rsidRPr="00EF638F">
        <w:rPr>
          <w:i/>
          <w:iCs/>
        </w:rPr>
        <w:t>189</w:t>
      </w:r>
      <w:r w:rsidRPr="00EF638F">
        <w:t>, pp.129-134.</w:t>
      </w:r>
    </w:p>
    <w:p w14:paraId="4E43955E" w14:textId="77777777" w:rsidR="005346E0" w:rsidRDefault="005346E0" w:rsidP="009C0CC7">
      <w:pPr>
        <w:spacing w:before="240"/>
      </w:pPr>
      <w:r w:rsidRPr="007D4CAB">
        <w:t>Ichsan, R., Suparmin, S., Yusuf, M., Ismal, R. and Sitompul, S., 2021. Determinant of Sharia Bank's Financial Performance during the Covid-19 Pandemic. </w:t>
      </w:r>
      <w:r w:rsidRPr="007D4CAB">
        <w:rPr>
          <w:i/>
          <w:iCs/>
        </w:rPr>
        <w:t>Budapest International Research and Critics Institute-Journal (BIRCI-Journal)</w:t>
      </w:r>
      <w:r w:rsidRPr="007D4CAB">
        <w:t>, pp.298-309.</w:t>
      </w:r>
    </w:p>
    <w:p w14:paraId="11C61CFB" w14:textId="77777777" w:rsidR="005346E0" w:rsidRDefault="005346E0" w:rsidP="009C0CC7">
      <w:pPr>
        <w:spacing w:before="240"/>
      </w:pPr>
      <w:r w:rsidRPr="00B61489">
        <w:t>Khullar, D., Bond, A.M. and Schpero, W.L., 2020. COVID-19 and the financial health of US hospitals. </w:t>
      </w:r>
      <w:r w:rsidRPr="00B61489">
        <w:rPr>
          <w:i/>
          <w:iCs/>
        </w:rPr>
        <w:t>Jama</w:t>
      </w:r>
      <w:r w:rsidRPr="00B61489">
        <w:t>, </w:t>
      </w:r>
      <w:r w:rsidRPr="00B61489">
        <w:rPr>
          <w:i/>
          <w:iCs/>
        </w:rPr>
        <w:t>323</w:t>
      </w:r>
      <w:r w:rsidRPr="00B61489">
        <w:t>(21), pp.2127-2128.</w:t>
      </w:r>
    </w:p>
    <w:p w14:paraId="785276E3" w14:textId="77777777" w:rsidR="005346E0" w:rsidRDefault="005346E0" w:rsidP="009C0CC7">
      <w:pPr>
        <w:spacing w:before="240"/>
      </w:pPr>
      <w:r w:rsidRPr="00B61489">
        <w:t>Lev, B., 2018. The deteriorating usefulness of financial report information and how to reverse it. </w:t>
      </w:r>
      <w:r w:rsidRPr="00B61489">
        <w:rPr>
          <w:i/>
          <w:iCs/>
        </w:rPr>
        <w:t>Accounting and Business Research</w:t>
      </w:r>
      <w:r w:rsidRPr="00B61489">
        <w:t>, </w:t>
      </w:r>
      <w:r w:rsidRPr="00B61489">
        <w:rPr>
          <w:i/>
          <w:iCs/>
        </w:rPr>
        <w:t>48</w:t>
      </w:r>
      <w:r w:rsidRPr="00B61489">
        <w:t>(5), pp.465-493.</w:t>
      </w:r>
    </w:p>
    <w:p w14:paraId="0EA7DB07" w14:textId="77777777" w:rsidR="005346E0" w:rsidRDefault="005346E0" w:rsidP="009C0CC7">
      <w:pPr>
        <w:spacing w:before="240"/>
      </w:pPr>
      <w:r w:rsidRPr="007D4CAB">
        <w:t>Levytska, S., Akimova, L., Zaiachkivska, O., Karpa, M. and Gupta, S.K., 2020. Modern analytical instruments for controlling the enterprise financial performance. </w:t>
      </w:r>
      <w:r w:rsidRPr="007D4CAB">
        <w:rPr>
          <w:i/>
          <w:iCs/>
        </w:rPr>
        <w:t>Financial and credit activity problems of theory and practice</w:t>
      </w:r>
      <w:r w:rsidRPr="007D4CAB">
        <w:t>, </w:t>
      </w:r>
      <w:r w:rsidRPr="007D4CAB">
        <w:rPr>
          <w:i/>
          <w:iCs/>
        </w:rPr>
        <w:t>2</w:t>
      </w:r>
      <w:r w:rsidRPr="007D4CAB">
        <w:t>(33), pp.314-323.</w:t>
      </w:r>
    </w:p>
    <w:p w14:paraId="588A590F" w14:textId="77777777" w:rsidR="005346E0" w:rsidRDefault="005346E0" w:rsidP="009C0CC7">
      <w:pPr>
        <w:spacing w:before="240"/>
      </w:pPr>
      <w:r w:rsidRPr="007D4CAB">
        <w:t>Matar, A. and Eneizan, B.M., 2018. Determinants of financial performance in the industrial firms: Evidence from Jordan. </w:t>
      </w:r>
      <w:r w:rsidRPr="007D4CAB">
        <w:rPr>
          <w:i/>
          <w:iCs/>
        </w:rPr>
        <w:t>Asian Journal of Agricultural Extension, Economics &amp; Sociology</w:t>
      </w:r>
      <w:r w:rsidRPr="007D4CAB">
        <w:t>, </w:t>
      </w:r>
      <w:r w:rsidRPr="007D4CAB">
        <w:rPr>
          <w:i/>
          <w:iCs/>
        </w:rPr>
        <w:t>22</w:t>
      </w:r>
      <w:r w:rsidRPr="007D4CAB">
        <w:t>(1), pp.1-10.</w:t>
      </w:r>
    </w:p>
    <w:p w14:paraId="4E877328" w14:textId="77777777" w:rsidR="005346E0" w:rsidRDefault="005346E0" w:rsidP="009C0CC7">
      <w:pPr>
        <w:spacing w:before="240"/>
      </w:pPr>
      <w:r w:rsidRPr="007D4CAB">
        <w:t>Osadchy, E.A., Akhmetshin, E.M., Amirova, E.F., Bochkareva, T.N., Gazizyanova, Y. and Yumashev, A.V., 2018. Financial statements of a company as an information base for decision-making in a transforming economy.</w:t>
      </w:r>
    </w:p>
    <w:p w14:paraId="3D59B626" w14:textId="77777777" w:rsidR="005346E0" w:rsidRDefault="005346E0" w:rsidP="009C0CC7">
      <w:pPr>
        <w:spacing w:before="240"/>
      </w:pPr>
      <w:r w:rsidRPr="00EF638F">
        <w:t>Robinson, T.R., 2020. </w:t>
      </w:r>
      <w:r w:rsidRPr="00EF638F">
        <w:rPr>
          <w:i/>
          <w:iCs/>
        </w:rPr>
        <w:t>International financial statement analysis</w:t>
      </w:r>
      <w:r w:rsidRPr="00EF638F">
        <w:t>. John Wiley &amp; Sons.</w:t>
      </w:r>
    </w:p>
    <w:p w14:paraId="35ADA9DF" w14:textId="77777777" w:rsidR="005346E0" w:rsidRDefault="005346E0" w:rsidP="009C0CC7">
      <w:pPr>
        <w:spacing w:before="240"/>
      </w:pPr>
      <w:r w:rsidRPr="00B61489">
        <w:t>Svabova, L., Kramarova, K., Chutka, J. and Strakova, L., 2020. Detecting earnings manipulation and fraudulent financial reporting in Slovakia. </w:t>
      </w:r>
      <w:r w:rsidRPr="00B61489">
        <w:rPr>
          <w:i/>
          <w:iCs/>
        </w:rPr>
        <w:t>Oeconomia Copernicana</w:t>
      </w:r>
      <w:r w:rsidRPr="00B61489">
        <w:t>, </w:t>
      </w:r>
      <w:r w:rsidRPr="00B61489">
        <w:rPr>
          <w:i/>
          <w:iCs/>
        </w:rPr>
        <w:t>11</w:t>
      </w:r>
      <w:r w:rsidRPr="00B61489">
        <w:t>(3), pp.485-508.</w:t>
      </w:r>
    </w:p>
    <w:p w14:paraId="625A9039" w14:textId="77777777" w:rsidR="005346E0" w:rsidRPr="007D4CAB" w:rsidRDefault="005346E0" w:rsidP="009C0CC7">
      <w:pPr>
        <w:spacing w:before="240"/>
      </w:pPr>
      <w:r w:rsidRPr="00B61489">
        <w:t>Zhao, C., Guo, Y., Yuan, J., Wu, M., Li, D., Zhou, Y. and Kang, J., 2018. ESG and corporate financial performance: Empirical evidence from China’s listed power generation companies. </w:t>
      </w:r>
      <w:r w:rsidRPr="00B61489">
        <w:rPr>
          <w:i/>
          <w:iCs/>
        </w:rPr>
        <w:t>Sustainability</w:t>
      </w:r>
      <w:r w:rsidRPr="00B61489">
        <w:t>, </w:t>
      </w:r>
      <w:r w:rsidRPr="00B61489">
        <w:rPr>
          <w:i/>
          <w:iCs/>
        </w:rPr>
        <w:t>10</w:t>
      </w:r>
      <w:r w:rsidRPr="00B61489">
        <w:t>(8), p.2607.</w:t>
      </w:r>
    </w:p>
    <w:p w14:paraId="475BCE19" w14:textId="77777777" w:rsidR="00B97A69" w:rsidRDefault="00B97A69">
      <w:pPr>
        <w:pStyle w:val="Normal1"/>
      </w:pPr>
    </w:p>
    <w:sectPr w:rsidR="00B97A69" w:rsidSect="00B8440F">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1A20B" w14:textId="77777777" w:rsidR="00C920AE" w:rsidRDefault="00C920AE" w:rsidP="00B8440F">
      <w:pPr>
        <w:spacing w:before="0" w:after="0" w:line="240" w:lineRule="auto"/>
      </w:pPr>
      <w:r>
        <w:separator/>
      </w:r>
    </w:p>
  </w:endnote>
  <w:endnote w:type="continuationSeparator" w:id="0">
    <w:p w14:paraId="63485679" w14:textId="77777777" w:rsidR="00C920AE" w:rsidRDefault="00C920AE" w:rsidP="00B8440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auto"/>
    <w:pitch w:val="default"/>
    <w:sig w:usb0="E1002EFF" w:usb1="C000605B" w:usb2="00000029" w:usb3="00000000" w:csb0="200101FF" w:csb1="2028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rPr>
      <w:id w:val="14141757"/>
      <w:docPartObj>
        <w:docPartGallery w:val="Page Numbers (Bottom of Page)"/>
        <w:docPartUnique/>
      </w:docPartObj>
    </w:sdtPr>
    <w:sdtContent>
      <w:p w14:paraId="6EF42E87" w14:textId="77777777" w:rsidR="00B8440F" w:rsidRPr="00B8440F" w:rsidRDefault="003639F3">
        <w:pPr>
          <w:pStyle w:val="Footer"/>
          <w:jc w:val="right"/>
          <w:rPr>
            <w:sz w:val="20"/>
          </w:rPr>
        </w:pPr>
        <w:r w:rsidRPr="00B8440F">
          <w:rPr>
            <w:sz w:val="20"/>
          </w:rPr>
          <w:fldChar w:fldCharType="begin"/>
        </w:r>
        <w:r w:rsidR="00B8440F" w:rsidRPr="00B8440F">
          <w:rPr>
            <w:sz w:val="20"/>
          </w:rPr>
          <w:instrText xml:space="preserve"> PAGE   \* MERGEFORMAT </w:instrText>
        </w:r>
        <w:r w:rsidRPr="00B8440F">
          <w:rPr>
            <w:sz w:val="20"/>
          </w:rPr>
          <w:fldChar w:fldCharType="separate"/>
        </w:r>
        <w:r w:rsidR="009C6DC0">
          <w:rPr>
            <w:noProof/>
            <w:sz w:val="20"/>
          </w:rPr>
          <w:t>19</w:t>
        </w:r>
        <w:r w:rsidRPr="00B8440F">
          <w:rPr>
            <w:sz w:val="20"/>
          </w:rPr>
          <w:fldChar w:fldCharType="end"/>
        </w:r>
      </w:p>
    </w:sdtContent>
  </w:sdt>
  <w:p w14:paraId="28A9EF86" w14:textId="77777777" w:rsidR="00B8440F" w:rsidRDefault="00B844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3F269F" w14:textId="77777777" w:rsidR="00C920AE" w:rsidRDefault="00C920AE" w:rsidP="00B8440F">
      <w:pPr>
        <w:spacing w:before="0" w:after="0" w:line="240" w:lineRule="auto"/>
      </w:pPr>
      <w:r>
        <w:separator/>
      </w:r>
    </w:p>
  </w:footnote>
  <w:footnote w:type="continuationSeparator" w:id="0">
    <w:p w14:paraId="1A3C95D8" w14:textId="77777777" w:rsidR="00C920AE" w:rsidRDefault="00C920AE" w:rsidP="00B8440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A69"/>
    <w:rsid w:val="00041077"/>
    <w:rsid w:val="001B5626"/>
    <w:rsid w:val="003639F3"/>
    <w:rsid w:val="003D3FBC"/>
    <w:rsid w:val="00412D97"/>
    <w:rsid w:val="0044047E"/>
    <w:rsid w:val="005346E0"/>
    <w:rsid w:val="005D28EA"/>
    <w:rsid w:val="006A0185"/>
    <w:rsid w:val="008F1303"/>
    <w:rsid w:val="00926142"/>
    <w:rsid w:val="009829B5"/>
    <w:rsid w:val="009C0CC7"/>
    <w:rsid w:val="009C6DC0"/>
    <w:rsid w:val="00A70A0F"/>
    <w:rsid w:val="00B24F1D"/>
    <w:rsid w:val="00B8440F"/>
    <w:rsid w:val="00B97A69"/>
    <w:rsid w:val="00BA5FC8"/>
    <w:rsid w:val="00C920AE"/>
    <w:rsid w:val="00D17209"/>
    <w:rsid w:val="00D84168"/>
    <w:rsid w:val="00E4058C"/>
    <w:rsid w:val="00E637B7"/>
    <w:rsid w:val="00F04931"/>
    <w:rsid w:val="00F206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F42A5"/>
  <w15:docId w15:val="{E790F98F-E59E-4CE9-B4AC-54A6F4E1F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9F3"/>
  </w:style>
  <w:style w:type="paragraph" w:styleId="Heading1">
    <w:name w:val="heading 1"/>
    <w:basedOn w:val="Normal1"/>
    <w:next w:val="Normal1"/>
    <w:rsid w:val="00B97A69"/>
    <w:pPr>
      <w:keepNext/>
      <w:keepLines/>
      <w:outlineLvl w:val="0"/>
    </w:pPr>
    <w:rPr>
      <w:b/>
    </w:rPr>
  </w:style>
  <w:style w:type="paragraph" w:styleId="Heading2">
    <w:name w:val="heading 2"/>
    <w:basedOn w:val="Normal1"/>
    <w:next w:val="Normal1"/>
    <w:rsid w:val="00B97A69"/>
    <w:pPr>
      <w:keepNext/>
      <w:keepLines/>
      <w:outlineLvl w:val="1"/>
    </w:pPr>
    <w:rPr>
      <w:b/>
    </w:rPr>
  </w:style>
  <w:style w:type="paragraph" w:styleId="Heading3">
    <w:name w:val="heading 3"/>
    <w:basedOn w:val="Normal1"/>
    <w:next w:val="Normal1"/>
    <w:rsid w:val="00B97A69"/>
    <w:pPr>
      <w:keepNext/>
      <w:keepLines/>
      <w:spacing w:before="320" w:after="80"/>
      <w:outlineLvl w:val="2"/>
    </w:pPr>
    <w:rPr>
      <w:color w:val="434343"/>
      <w:sz w:val="28"/>
      <w:szCs w:val="28"/>
    </w:rPr>
  </w:style>
  <w:style w:type="paragraph" w:styleId="Heading4">
    <w:name w:val="heading 4"/>
    <w:basedOn w:val="Normal1"/>
    <w:next w:val="Normal1"/>
    <w:rsid w:val="00B97A69"/>
    <w:pPr>
      <w:keepNext/>
      <w:keepLines/>
      <w:spacing w:before="280" w:after="80"/>
      <w:outlineLvl w:val="3"/>
    </w:pPr>
    <w:rPr>
      <w:color w:val="666666"/>
    </w:rPr>
  </w:style>
  <w:style w:type="paragraph" w:styleId="Heading5">
    <w:name w:val="heading 5"/>
    <w:basedOn w:val="Normal1"/>
    <w:next w:val="Normal1"/>
    <w:rsid w:val="00B97A69"/>
    <w:pPr>
      <w:keepNext/>
      <w:keepLines/>
      <w:spacing w:before="240" w:after="80"/>
      <w:outlineLvl w:val="4"/>
    </w:pPr>
    <w:rPr>
      <w:color w:val="666666"/>
      <w:sz w:val="22"/>
      <w:szCs w:val="22"/>
    </w:rPr>
  </w:style>
  <w:style w:type="paragraph" w:styleId="Heading6">
    <w:name w:val="heading 6"/>
    <w:basedOn w:val="Normal1"/>
    <w:next w:val="Normal1"/>
    <w:rsid w:val="00B97A69"/>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97A69"/>
  </w:style>
  <w:style w:type="paragraph" w:styleId="Title">
    <w:name w:val="Title"/>
    <w:basedOn w:val="Normal1"/>
    <w:next w:val="Normal1"/>
    <w:rsid w:val="00B97A69"/>
    <w:pPr>
      <w:keepNext/>
      <w:keepLines/>
      <w:jc w:val="center"/>
    </w:pPr>
    <w:rPr>
      <w:b/>
      <w:sz w:val="32"/>
      <w:szCs w:val="32"/>
    </w:rPr>
  </w:style>
  <w:style w:type="paragraph" w:styleId="Subtitle">
    <w:name w:val="Subtitle"/>
    <w:basedOn w:val="Normal1"/>
    <w:next w:val="Normal1"/>
    <w:rsid w:val="00B97A69"/>
    <w:pPr>
      <w:keepNext/>
      <w:keepLines/>
      <w:spacing w:before="0" w:after="320"/>
    </w:pPr>
    <w:rPr>
      <w:rFonts w:ascii="Arial" w:eastAsia="Arial" w:hAnsi="Arial" w:cs="Arial"/>
      <w:color w:val="666666"/>
      <w:sz w:val="30"/>
      <w:szCs w:val="30"/>
    </w:rPr>
  </w:style>
  <w:style w:type="table" w:customStyle="1" w:styleId="a">
    <w:basedOn w:val="TableNormal"/>
    <w:rsid w:val="00B97A69"/>
    <w:tblPr>
      <w:tblStyleRowBandSize w:val="1"/>
      <w:tblStyleColBandSize w:val="1"/>
      <w:tblCellMar>
        <w:top w:w="100" w:type="dxa"/>
        <w:left w:w="100" w:type="dxa"/>
        <w:bottom w:w="100" w:type="dxa"/>
        <w:right w:w="100" w:type="dxa"/>
      </w:tblCellMar>
    </w:tblPr>
  </w:style>
  <w:style w:type="table" w:customStyle="1" w:styleId="a0">
    <w:basedOn w:val="TableNormal"/>
    <w:rsid w:val="00B97A69"/>
    <w:tblPr>
      <w:tblStyleRowBandSize w:val="1"/>
      <w:tblStyleColBandSize w:val="1"/>
      <w:tblCellMar>
        <w:top w:w="100" w:type="dxa"/>
        <w:left w:w="100" w:type="dxa"/>
        <w:bottom w:w="100" w:type="dxa"/>
        <w:right w:w="100" w:type="dxa"/>
      </w:tblCellMar>
    </w:tblPr>
  </w:style>
  <w:style w:type="table" w:customStyle="1" w:styleId="a1">
    <w:basedOn w:val="TableNormal"/>
    <w:rsid w:val="00B97A69"/>
    <w:tblPr>
      <w:tblStyleRowBandSize w:val="1"/>
      <w:tblStyleColBandSize w:val="1"/>
      <w:tblCellMar>
        <w:top w:w="100" w:type="dxa"/>
        <w:left w:w="100" w:type="dxa"/>
        <w:bottom w:w="100" w:type="dxa"/>
        <w:right w:w="100" w:type="dxa"/>
      </w:tblCellMar>
    </w:tblPr>
  </w:style>
  <w:style w:type="table" w:customStyle="1" w:styleId="a2">
    <w:basedOn w:val="TableNormal"/>
    <w:rsid w:val="00B97A69"/>
    <w:tblPr>
      <w:tblStyleRowBandSize w:val="1"/>
      <w:tblStyleColBandSize w:val="1"/>
      <w:tblCellMar>
        <w:top w:w="100" w:type="dxa"/>
        <w:left w:w="100" w:type="dxa"/>
        <w:bottom w:w="100" w:type="dxa"/>
        <w:right w:w="100" w:type="dxa"/>
      </w:tblCellMar>
    </w:tblPr>
  </w:style>
  <w:style w:type="table" w:customStyle="1" w:styleId="a3">
    <w:basedOn w:val="TableNormal"/>
    <w:rsid w:val="00B97A69"/>
    <w:tblPr>
      <w:tblStyleRowBandSize w:val="1"/>
      <w:tblStyleColBandSize w:val="1"/>
      <w:tblCellMar>
        <w:top w:w="100" w:type="dxa"/>
        <w:left w:w="100" w:type="dxa"/>
        <w:bottom w:w="100" w:type="dxa"/>
        <w:right w:w="100" w:type="dxa"/>
      </w:tblCellMar>
    </w:tblPr>
  </w:style>
  <w:style w:type="table" w:customStyle="1" w:styleId="a4">
    <w:basedOn w:val="TableNormal"/>
    <w:rsid w:val="00B97A69"/>
    <w:tblPr>
      <w:tblStyleRowBandSize w:val="1"/>
      <w:tblStyleColBandSize w:val="1"/>
      <w:tblCellMar>
        <w:top w:w="100" w:type="dxa"/>
        <w:left w:w="100" w:type="dxa"/>
        <w:bottom w:w="100" w:type="dxa"/>
        <w:right w:w="100" w:type="dxa"/>
      </w:tblCellMar>
    </w:tblPr>
  </w:style>
  <w:style w:type="table" w:customStyle="1" w:styleId="a5">
    <w:basedOn w:val="TableNormal"/>
    <w:rsid w:val="00B97A69"/>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C0CC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0CC7"/>
    <w:rPr>
      <w:rFonts w:ascii="Tahoma" w:hAnsi="Tahoma" w:cs="Tahoma"/>
      <w:sz w:val="16"/>
      <w:szCs w:val="16"/>
    </w:rPr>
  </w:style>
  <w:style w:type="paragraph" w:styleId="ListParagraph">
    <w:name w:val="List Paragraph"/>
    <w:basedOn w:val="Normal"/>
    <w:uiPriority w:val="34"/>
    <w:qFormat/>
    <w:rsid w:val="005346E0"/>
    <w:pPr>
      <w:ind w:left="720"/>
      <w:contextualSpacing/>
    </w:pPr>
  </w:style>
  <w:style w:type="paragraph" w:styleId="TOCHeading">
    <w:name w:val="TOC Heading"/>
    <w:basedOn w:val="Heading1"/>
    <w:next w:val="Normal"/>
    <w:uiPriority w:val="39"/>
    <w:semiHidden/>
    <w:unhideWhenUsed/>
    <w:qFormat/>
    <w:rsid w:val="00B8440F"/>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B8440F"/>
    <w:pPr>
      <w:spacing w:after="100"/>
    </w:pPr>
  </w:style>
  <w:style w:type="paragraph" w:styleId="TOC2">
    <w:name w:val="toc 2"/>
    <w:basedOn w:val="Normal"/>
    <w:next w:val="Normal"/>
    <w:autoRedefine/>
    <w:uiPriority w:val="39"/>
    <w:unhideWhenUsed/>
    <w:rsid w:val="00B8440F"/>
    <w:pPr>
      <w:spacing w:after="100"/>
      <w:ind w:left="240"/>
    </w:pPr>
  </w:style>
  <w:style w:type="character" w:styleId="Hyperlink">
    <w:name w:val="Hyperlink"/>
    <w:basedOn w:val="DefaultParagraphFont"/>
    <w:uiPriority w:val="99"/>
    <w:unhideWhenUsed/>
    <w:rsid w:val="00B8440F"/>
    <w:rPr>
      <w:color w:val="0000FF" w:themeColor="hyperlink"/>
      <w:u w:val="single"/>
    </w:rPr>
  </w:style>
  <w:style w:type="paragraph" w:styleId="Header">
    <w:name w:val="header"/>
    <w:basedOn w:val="Normal"/>
    <w:link w:val="HeaderChar"/>
    <w:uiPriority w:val="99"/>
    <w:semiHidden/>
    <w:unhideWhenUsed/>
    <w:rsid w:val="00B8440F"/>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B8440F"/>
  </w:style>
  <w:style w:type="paragraph" w:styleId="Footer">
    <w:name w:val="footer"/>
    <w:basedOn w:val="Normal"/>
    <w:link w:val="FooterChar"/>
    <w:uiPriority w:val="99"/>
    <w:unhideWhenUsed/>
    <w:rsid w:val="00B8440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8440F"/>
  </w:style>
  <w:style w:type="table" w:styleId="MediumShading2-Accent4">
    <w:name w:val="Medium Shading 2 Accent 4"/>
    <w:basedOn w:val="TableNormal"/>
    <w:uiPriority w:val="64"/>
    <w:rsid w:val="00412D97"/>
    <w:pPr>
      <w:spacing w:before="0"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412D97"/>
    <w:pPr>
      <w:spacing w:before="0"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9C6DC0"/>
    <w:pPr>
      <w:spacing w:before="0"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9C6DC0"/>
    <w:pPr>
      <w:spacing w:before="0"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9C6DC0"/>
    <w:pPr>
      <w:spacing w:before="0"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CE2967F-D886-4416-B4B2-342868C37E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3074</Words>
  <Characters>17528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Rumen Kovachev</dc:creator>
  <cp:lastModifiedBy>Rumen Ivanov Kovachev</cp:lastModifiedBy>
  <cp:revision>2</cp:revision>
  <dcterms:created xsi:type="dcterms:W3CDTF">2023-01-05T13:01:00Z</dcterms:created>
  <dcterms:modified xsi:type="dcterms:W3CDTF">2023-01-05T13:01:00Z</dcterms:modified>
</cp:coreProperties>
</file>