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887CAF1" wp14:paraId="15F8C9C4" wp14:textId="2FFF576E">
      <w:pPr>
        <w:pStyle w:val="Normal"/>
        <w:spacing w:before="0" w:beforeAutospacing="of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32"/>
          <w:szCs w:val="32"/>
          <w:u w:val="single"/>
          <w:lang w:val="en-US"/>
        </w:rPr>
      </w:pPr>
      <w:r w:rsidRPr="7887CAF1" w:rsidR="4D58CF77">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w:t>
      </w:r>
      <w:r w:rsidRPr="7887CAF1" w:rsidR="52A295C1">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32"/>
          <w:szCs w:val="32"/>
          <w:u w:val="single"/>
          <w:lang w:val="en-US"/>
        </w:rPr>
        <w:t>Championing Equality and Diversity: Navigating Legal Landscapes</w:t>
      </w:r>
    </w:p>
    <w:p xmlns:wp14="http://schemas.microsoft.com/office/word/2010/wordml" w:rsidP="7887CAF1" wp14:paraId="2DECCA18" wp14:textId="107FC079">
      <w:pPr>
        <w:pStyle w:val="Normal"/>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p>
    <w:p xmlns:wp14="http://schemas.microsoft.com/office/word/2010/wordml" w:rsidP="7887CAF1" wp14:paraId="37176500" wp14:textId="78EBF48A">
      <w:pPr>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887CAF1" w:rsidR="65F847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Equality and diversity lie at the heart of a just and accessible legal system, fostering an environment where every individual, regardless of background or characteristics, can </w:t>
      </w:r>
      <w:r w:rsidRPr="7887CAF1" w:rsidR="3B6E49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take part</w:t>
      </w:r>
      <w:r w:rsidRPr="7887CAF1" w:rsidR="65F847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and benefit from the legal profession. This essay delves into the multifaceted efforts undertaken by individuals within the legal profession and regulatory bodies, such as the SRA (Solicitors Regulation Authority), BSB (Bar Standards Board), and CILEX Regulation, to actively promote and sustain equality and diversity. Embracing the Legal Services Act 2007 and the Equality Act 2010 as pivotal legal frameworks, along with the guidelines embedded in the SRA Code of Conduct, CILEX Code of Conduct, and the BSB Handbook, legal professionals navigate a complex landscape to ensure fair representation and inclusivity. This exploration is not merely a compliance exercise but reflects a commitment to cultivating a legal profession that mirrors the diversity of the society it serves, </w:t>
      </w:r>
      <w:r w:rsidRPr="7887CAF1" w:rsidR="65F847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ultimately enhancing</w:t>
      </w:r>
      <w:r w:rsidRPr="7887CAF1" w:rsidR="65F847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provision of legal services for all. </w:t>
      </w:r>
      <w:r w:rsidRPr="7887CAF1" w:rsidR="65F847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As we unravel the mechanisms employed, it becomes </w:t>
      </w:r>
      <w:r w:rsidRPr="7887CAF1" w:rsidR="195E5F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clear</w:t>
      </w:r>
      <w:r w:rsidRPr="7887CAF1" w:rsidR="65F847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the legal landscape is not only shaped by statutes and codes but by the concerted efforts of individuals striving to create a legal profession that stands as a beacon of equality, diversity, and justice.</w:t>
      </w:r>
    </w:p>
    <w:p xmlns:wp14="http://schemas.microsoft.com/office/word/2010/wordml" w:rsidP="7887CAF1" wp14:paraId="46FBA88D" wp14:textId="15D1516E">
      <w:pPr>
        <w:pStyle w:val="Heading4"/>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r w:rsidRPr="7887CAF1" w:rsidR="25491F83">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t>Legal Services Act 2007</w:t>
      </w:r>
    </w:p>
    <w:p xmlns:wp14="http://schemas.microsoft.com/office/word/2010/wordml" w:rsidP="7887CAF1" wp14:paraId="291EF0B9" wp14:textId="263345BE">
      <w:pPr>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887CAF1" w:rsidR="25491F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Enacted as a transformative measure, the Legal Services Act 2007 plays a pivotal role in shaping the landscape of legal practice. Section 1 of the Act </w:t>
      </w:r>
      <w:r w:rsidRPr="7887CAF1" w:rsidR="47001B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sets up</w:t>
      </w:r>
      <w:r w:rsidRPr="7887CAF1" w:rsidR="25491F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Legal Services Board, an entity charged with overseeing approved regulators such as the SRA, BSB, and CILEX Regulation. This regulatory framework is designed to ensure compliance with principles that promote equality and diversity within the legal profession. By emphasizing competition, consumer protection, and inclusivity, the Act lays a solid foundation for fostering an environment where individuals from diverse backgrounds can thrive.</w:t>
      </w:r>
    </w:p>
    <w:p xmlns:wp14="http://schemas.microsoft.com/office/word/2010/wordml" w:rsidP="7887CAF1" wp14:paraId="44804D64" wp14:textId="37DFF96E">
      <w:pPr>
        <w:pStyle w:val="Heading4"/>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r w:rsidRPr="7887CAF1" w:rsidR="25491F83">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t>Equality Act 2010</w:t>
      </w:r>
    </w:p>
    <w:p xmlns:wp14="http://schemas.microsoft.com/office/word/2010/wordml" w:rsidP="7887CAF1" wp14:paraId="3D2511D8" wp14:textId="7D0EBED8">
      <w:pPr>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887CAF1" w:rsidR="25491F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 cornerstone in the fight against discrimination, the Equality Act 2010 </w:t>
      </w:r>
      <w:r w:rsidRPr="7887CAF1" w:rsidR="039FA1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supplies</w:t>
      </w:r>
      <w:r w:rsidRPr="7887CAF1" w:rsidR="25491F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robust legal framework for promoting equality and diversity. Addressing a spectrum of characteristics, including race, gender, disability, and sexual orientation, the Act mandates a comprehensive approach to eradicating discriminatory practices within the legal profession. In the context of legal services, it creates a framework that demands fair treatment and equal opportunities, reinforcing the commitment to building a profession that reflects the rich tapestry of society.</w:t>
      </w:r>
    </w:p>
    <w:p xmlns:wp14="http://schemas.microsoft.com/office/word/2010/wordml" w:rsidP="7887CAF1" wp14:paraId="03806D11" wp14:textId="5CFCAB59">
      <w:pPr>
        <w:pStyle w:val="Heading3"/>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rPr>
      </w:pPr>
      <w:r w:rsidRPr="7887CAF1" w:rsidR="25491F83">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rPr>
        <w:t>Regulatory Codes of Conduct</w:t>
      </w:r>
    </w:p>
    <w:p xmlns:wp14="http://schemas.microsoft.com/office/word/2010/wordml" w:rsidP="7887CAF1" wp14:paraId="233A2F72" wp14:textId="369C12FA">
      <w:pPr>
        <w:pStyle w:val="Heading4"/>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r w:rsidRPr="7887CAF1" w:rsidR="25491F83">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t>SRA Code of Conduct</w:t>
      </w:r>
    </w:p>
    <w:p xmlns:wp14="http://schemas.microsoft.com/office/word/2010/wordml" w:rsidP="7887CAF1" wp14:paraId="4B500C95" wp14:textId="3C3194F2">
      <w:pPr>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887CAF1" w:rsidR="25491F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SRA Code of Conduct serves as a guiding compass for solicitors, emphasizing ethical principles that extend to equality and diversity. Principle 9 places a distinct obligation on solicitors to promote equality of opportunity and respect diversity. The detailed guidance </w:t>
      </w:r>
      <w:r w:rsidRPr="7887CAF1" w:rsidR="0A1707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going with</w:t>
      </w:r>
      <w:r w:rsidRPr="7887CAF1" w:rsidR="25491F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this principle underscores the practical steps that legal professionals should take in daily practice, both in their relationships with clients and colleagues, to embed these principles into the fabric of legal service provision.</w:t>
      </w:r>
    </w:p>
    <w:p xmlns:wp14="http://schemas.microsoft.com/office/word/2010/wordml" w:rsidP="7887CAF1" wp14:paraId="3AB07C0B" wp14:textId="2C225B12">
      <w:pPr>
        <w:pStyle w:val="Heading4"/>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r w:rsidRPr="7887CAF1" w:rsidR="25491F83">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t>CILEX Code of Conduct</w:t>
      </w:r>
    </w:p>
    <w:p xmlns:wp14="http://schemas.microsoft.com/office/word/2010/wordml" w:rsidP="7887CAF1" wp14:paraId="6ABCCD6D" wp14:textId="2FE492E1">
      <w:pPr>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887CAF1" w:rsidR="25491F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Parallel to the SRA Code of Conduct, the CILEX Code of Conduct mandates a commitment to equality and diversity. Rule 3 within the code explicitly requires members to avoid discrimination and harassment while actively promoting equal opportunities. By integrating these principles into their conduct, CILEX members contribute to creating an inclusive legal profession, fostering an environment where everyone can progress and succeed.</w:t>
      </w:r>
    </w:p>
    <w:p xmlns:wp14="http://schemas.microsoft.com/office/word/2010/wordml" w:rsidP="7887CAF1" wp14:paraId="5C55F8EF" wp14:textId="069953C2">
      <w:pPr>
        <w:pStyle w:val="Heading4"/>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r w:rsidRPr="7887CAF1" w:rsidR="25491F83">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t>BSB Handbook</w:t>
      </w:r>
    </w:p>
    <w:p xmlns:wp14="http://schemas.microsoft.com/office/word/2010/wordml" w:rsidP="7887CAF1" wp14:paraId="6A54D2C7" wp14:textId="527EDA8A">
      <w:pPr>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887CAF1" w:rsidR="25491F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For barristers, the BSB Handbook serves as a comprehensive guide to ethical conduct. Within its pages, a clear duty is outlined – the duty to promote equality of opportunity and </w:t>
      </w:r>
      <w:r w:rsidRPr="7887CAF1" w:rsidR="006401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drop</w:t>
      </w:r>
      <w:r w:rsidRPr="7887CAF1" w:rsidR="25491F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discrimination. The Core Duties emphasize the obligation of barristers to conduct themselves in a manner that upholds the principles of equality and diversity, not only in their professional interactions but also in the broader context of contributing to a more inclusive legal system.</w:t>
      </w:r>
    </w:p>
    <w:p xmlns:wp14="http://schemas.microsoft.com/office/word/2010/wordml" w:rsidP="7887CAF1" wp14:paraId="3822810B" wp14:textId="4B05DD6B">
      <w:pPr>
        <w:spacing w:before="0" w:before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887CAF1" w:rsidR="183AEF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Beyond the statutory obligations and regulatory codes, the legal profession is increasingly recognizing the need for proactive measures to foster a truly inclusive environment. Several initiatives, often </w:t>
      </w:r>
      <w:r w:rsidRPr="7887CAF1" w:rsidR="41741996">
        <w:rPr>
          <w:rFonts w:ascii="Calibri" w:hAnsi="Calibri" w:eastAsia="Calibri" w:cs="Calibri"/>
          <w:b w:val="0"/>
          <w:bCs w:val="0"/>
          <w:i w:val="0"/>
          <w:iCs w:val="0"/>
          <w:caps w:val="0"/>
          <w:smallCaps w:val="0"/>
          <w:noProof w:val="0"/>
          <w:color w:val="000000" w:themeColor="text1" w:themeTint="FF" w:themeShade="FF"/>
          <w:sz w:val="24"/>
          <w:szCs w:val="24"/>
          <w:lang w:val="en-US"/>
        </w:rPr>
        <w:t>started</w:t>
      </w:r>
      <w:r w:rsidRPr="7887CAF1" w:rsidR="183AEF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by law firms and legal organizations, contribute significantly to promoting equality and diversity.</w:t>
      </w:r>
    </w:p>
    <w:p xmlns:wp14="http://schemas.microsoft.com/office/word/2010/wordml" w:rsidP="7887CAF1" wp14:paraId="6F002854" wp14:textId="786331E2">
      <w:pPr>
        <w:pStyle w:val="Heading4"/>
        <w:rPr>
          <w:rFonts w:ascii="Calibri" w:hAnsi="Calibri" w:eastAsia="Calibri" w:cs="Calibri"/>
          <w:b w:val="1"/>
          <w:bCs w:val="1"/>
          <w:i w:val="0"/>
          <w:iCs w:val="0"/>
          <w:caps w:val="0"/>
          <w:smallCaps w:val="0"/>
          <w:color w:val="000000" w:themeColor="text1" w:themeTint="FF" w:themeShade="FF"/>
          <w:sz w:val="24"/>
          <w:szCs w:val="24"/>
        </w:rPr>
      </w:pPr>
      <w:r w:rsidRPr="7887CAF1" w:rsidR="183AEFAB">
        <w:rPr>
          <w:rFonts w:ascii="Calibri" w:hAnsi="Calibri" w:eastAsia="Calibri" w:cs="Calibri"/>
          <w:b w:val="1"/>
          <w:bCs w:val="1"/>
          <w:i w:val="0"/>
          <w:iCs w:val="0"/>
          <w:caps w:val="0"/>
          <w:smallCaps w:val="0"/>
          <w:color w:val="000000" w:themeColor="text1" w:themeTint="FF" w:themeShade="FF"/>
          <w:sz w:val="24"/>
          <w:szCs w:val="24"/>
        </w:rPr>
        <w:t>Diversity and Inclusion Policies</w:t>
      </w:r>
    </w:p>
    <w:p xmlns:wp14="http://schemas.microsoft.com/office/word/2010/wordml" w:rsidP="7887CAF1" wp14:paraId="1F5EF4DF" wp14:textId="4B33C725">
      <w:pPr>
        <w:spacing w:before="0" w:before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887CAF1" w:rsidR="183AEFAB">
        <w:rPr>
          <w:rFonts w:ascii="Calibri" w:hAnsi="Calibri" w:eastAsia="Calibri" w:cs="Calibri"/>
          <w:b w:val="0"/>
          <w:bCs w:val="0"/>
          <w:i w:val="0"/>
          <w:iCs w:val="0"/>
          <w:caps w:val="0"/>
          <w:smallCaps w:val="0"/>
          <w:noProof w:val="0"/>
          <w:color w:val="000000" w:themeColor="text1" w:themeTint="FF" w:themeShade="FF"/>
          <w:sz w:val="24"/>
          <w:szCs w:val="24"/>
          <w:lang w:val="en-US"/>
        </w:rPr>
        <w:t>Law firms, in recognition of the importance of diversity, frequently adopt comprehensive diversity and inclusion policies.</w:t>
      </w:r>
      <w:r w:rsidRPr="7887CAF1" w:rsidR="183AEF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These policies articulate a commitment to creating a workplace that embraces differences in race, gender, ethnicity, sexual orientation, and other characteristics. They often outline specific goals, strategies, and measurable </w:t>
      </w:r>
      <w:r w:rsidRPr="7887CAF1" w:rsidR="027F2671">
        <w:rPr>
          <w:rFonts w:ascii="Calibri" w:hAnsi="Calibri" w:eastAsia="Calibri" w:cs="Calibri"/>
          <w:b w:val="0"/>
          <w:bCs w:val="0"/>
          <w:i w:val="0"/>
          <w:iCs w:val="0"/>
          <w:caps w:val="0"/>
          <w:smallCaps w:val="0"/>
          <w:noProof w:val="0"/>
          <w:color w:val="000000" w:themeColor="text1" w:themeTint="FF" w:themeShade="FF"/>
          <w:sz w:val="24"/>
          <w:szCs w:val="24"/>
          <w:lang w:val="en-US"/>
        </w:rPr>
        <w:t>aims</w:t>
      </w:r>
      <w:r w:rsidRPr="7887CAF1" w:rsidR="183AEF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ensure that diversity is not only acknowledged but actively cultivated at all levels of the organization.</w:t>
      </w:r>
    </w:p>
    <w:p xmlns:wp14="http://schemas.microsoft.com/office/word/2010/wordml" w:rsidP="7887CAF1" wp14:paraId="7FBC92B7" wp14:textId="65DD95BA">
      <w:pPr>
        <w:pStyle w:val="Heading4"/>
        <w:rPr>
          <w:rFonts w:ascii="Calibri" w:hAnsi="Calibri" w:eastAsia="Calibri" w:cs="Calibri"/>
          <w:b w:val="1"/>
          <w:bCs w:val="1"/>
          <w:i w:val="0"/>
          <w:iCs w:val="0"/>
          <w:caps w:val="0"/>
          <w:smallCaps w:val="0"/>
          <w:color w:val="000000" w:themeColor="text1" w:themeTint="FF" w:themeShade="FF"/>
          <w:sz w:val="24"/>
          <w:szCs w:val="24"/>
        </w:rPr>
      </w:pPr>
      <w:r w:rsidRPr="7887CAF1" w:rsidR="183AEFAB">
        <w:rPr>
          <w:rFonts w:ascii="Calibri" w:hAnsi="Calibri" w:eastAsia="Calibri" w:cs="Calibri"/>
          <w:b w:val="1"/>
          <w:bCs w:val="1"/>
          <w:i w:val="0"/>
          <w:iCs w:val="0"/>
          <w:caps w:val="0"/>
          <w:smallCaps w:val="0"/>
          <w:color w:val="000000" w:themeColor="text1" w:themeTint="FF" w:themeShade="FF"/>
          <w:sz w:val="24"/>
          <w:szCs w:val="24"/>
        </w:rPr>
        <w:t>Mentorship Programs</w:t>
      </w:r>
    </w:p>
    <w:p xmlns:wp14="http://schemas.microsoft.com/office/word/2010/wordml" w:rsidP="7887CAF1" wp14:paraId="18F3D2E8" wp14:textId="15AD0B20">
      <w:pPr>
        <w:spacing w:before="0" w:before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887CAF1" w:rsidR="183AEF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Mentorship programs play a crucial role in nurturing talent and promoting diversity within the legal profession. By pairing experienced professionals with individuals from underrepresented groups, these programs </w:t>
      </w:r>
      <w:r w:rsidRPr="7887CAF1" w:rsidR="2D08818C">
        <w:rPr>
          <w:rFonts w:ascii="Calibri" w:hAnsi="Calibri" w:eastAsia="Calibri" w:cs="Calibri"/>
          <w:b w:val="0"/>
          <w:bCs w:val="0"/>
          <w:i w:val="0"/>
          <w:iCs w:val="0"/>
          <w:caps w:val="0"/>
          <w:smallCaps w:val="0"/>
          <w:noProof w:val="0"/>
          <w:color w:val="000000" w:themeColor="text1" w:themeTint="FF" w:themeShade="FF"/>
          <w:sz w:val="24"/>
          <w:szCs w:val="24"/>
          <w:lang w:val="en-US"/>
        </w:rPr>
        <w:t>supply</w:t>
      </w:r>
      <w:r w:rsidRPr="7887CAF1" w:rsidR="183AEF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guidance, support, and opportunities for career advancement. Mentorship fosters a culture of inclusivity, breaking down barriers and ensuring that aspiring legal professionals receive the guidance they need to succeed in a competitive field.</w:t>
      </w:r>
    </w:p>
    <w:p xmlns:wp14="http://schemas.microsoft.com/office/word/2010/wordml" w:rsidP="7887CAF1" wp14:paraId="7FA80904" wp14:textId="27197473">
      <w:pPr>
        <w:pStyle w:val="Heading4"/>
        <w:rPr>
          <w:rFonts w:ascii="Calibri" w:hAnsi="Calibri" w:eastAsia="Calibri" w:cs="Calibri"/>
          <w:b w:val="1"/>
          <w:bCs w:val="1"/>
          <w:i w:val="0"/>
          <w:iCs w:val="0"/>
          <w:caps w:val="0"/>
          <w:smallCaps w:val="0"/>
          <w:color w:val="000000" w:themeColor="text1" w:themeTint="FF" w:themeShade="FF"/>
          <w:sz w:val="24"/>
          <w:szCs w:val="24"/>
        </w:rPr>
      </w:pPr>
      <w:r w:rsidRPr="7887CAF1" w:rsidR="183AEFAB">
        <w:rPr>
          <w:rFonts w:ascii="Calibri" w:hAnsi="Calibri" w:eastAsia="Calibri" w:cs="Calibri"/>
          <w:b w:val="1"/>
          <w:bCs w:val="1"/>
          <w:i w:val="0"/>
          <w:iCs w:val="0"/>
          <w:caps w:val="0"/>
          <w:smallCaps w:val="0"/>
          <w:color w:val="000000" w:themeColor="text1" w:themeTint="FF" w:themeShade="FF"/>
          <w:sz w:val="24"/>
          <w:szCs w:val="24"/>
        </w:rPr>
        <w:t>Unconscious Bias Training</w:t>
      </w:r>
    </w:p>
    <w:p xmlns:wp14="http://schemas.microsoft.com/office/word/2010/wordml" w:rsidP="7887CAF1" wp14:paraId="0EAF1030" wp14:textId="50F808E4">
      <w:pPr>
        <w:spacing w:before="0" w:before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887CAF1" w:rsidR="183AEF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Recognizing that biases, whether conscious or unconscious, can influence decision-making, law firms are increasingly incorporating unconscious bias training into their professional development programs. These training sessions aim to raise awareness about biases, educate professionals on their impact, and </w:t>
      </w:r>
      <w:r w:rsidRPr="7887CAF1" w:rsidR="2D960E36">
        <w:rPr>
          <w:rFonts w:ascii="Calibri" w:hAnsi="Calibri" w:eastAsia="Calibri" w:cs="Calibri"/>
          <w:b w:val="0"/>
          <w:bCs w:val="0"/>
          <w:i w:val="0"/>
          <w:iCs w:val="0"/>
          <w:caps w:val="0"/>
          <w:smallCaps w:val="0"/>
          <w:noProof w:val="0"/>
          <w:color w:val="000000" w:themeColor="text1" w:themeTint="FF" w:themeShade="FF"/>
          <w:sz w:val="24"/>
          <w:szCs w:val="24"/>
          <w:lang w:val="en-US"/>
        </w:rPr>
        <w:t>supply</w:t>
      </w:r>
      <w:r w:rsidRPr="7887CAF1" w:rsidR="183AEF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strategies to mitigate bias in recruitment, evaluation, and client interactions. By addressing these biases head-on, legal professionals contribute to creating a more level playing field for all.</w:t>
      </w:r>
    </w:p>
    <w:p xmlns:wp14="http://schemas.microsoft.com/office/word/2010/wordml" w:rsidP="7887CAF1" wp14:paraId="5013305A" wp14:textId="058298F3">
      <w:pPr>
        <w:pStyle w:val="Heading4"/>
        <w:rPr>
          <w:rFonts w:ascii="Calibri" w:hAnsi="Calibri" w:eastAsia="Calibri" w:cs="Calibri"/>
          <w:b w:val="1"/>
          <w:bCs w:val="1"/>
          <w:i w:val="0"/>
          <w:iCs w:val="0"/>
          <w:caps w:val="0"/>
          <w:smallCaps w:val="0"/>
          <w:color w:val="000000" w:themeColor="text1" w:themeTint="FF" w:themeShade="FF"/>
          <w:sz w:val="24"/>
          <w:szCs w:val="24"/>
        </w:rPr>
      </w:pPr>
      <w:r w:rsidRPr="7887CAF1" w:rsidR="183AEFAB">
        <w:rPr>
          <w:rFonts w:ascii="Calibri" w:hAnsi="Calibri" w:eastAsia="Calibri" w:cs="Calibri"/>
          <w:b w:val="1"/>
          <w:bCs w:val="1"/>
          <w:i w:val="0"/>
          <w:iCs w:val="0"/>
          <w:caps w:val="0"/>
          <w:smallCaps w:val="0"/>
          <w:color w:val="000000" w:themeColor="text1" w:themeTint="FF" w:themeShade="FF"/>
          <w:sz w:val="24"/>
          <w:szCs w:val="24"/>
        </w:rPr>
        <w:t>Flexible Work Policies</w:t>
      </w:r>
    </w:p>
    <w:p xmlns:wp14="http://schemas.microsoft.com/office/word/2010/wordml" w:rsidP="7887CAF1" wp14:paraId="6FE1866E" wp14:textId="34778D90">
      <w:pPr>
        <w:spacing w:before="0" w:before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887CAF1" w:rsidR="183AEF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accommodate the diverse needs of their workforce, law firms are adopting flexible work policies. These policies acknowledge the varying demands of legal professionals, considering factors such as family responsibilities, health concerns, and individual work styles. By offering flexibility in work hours, remote work options, and part-time arrangements, firms enhance inclusivity by creating an environment where individuals with </w:t>
      </w:r>
      <w:r w:rsidRPr="7887CAF1" w:rsidR="183AEFAB">
        <w:rPr>
          <w:rFonts w:ascii="Calibri" w:hAnsi="Calibri" w:eastAsia="Calibri" w:cs="Calibri"/>
          <w:b w:val="0"/>
          <w:bCs w:val="0"/>
          <w:i w:val="0"/>
          <w:iCs w:val="0"/>
          <w:caps w:val="0"/>
          <w:smallCaps w:val="0"/>
          <w:noProof w:val="0"/>
          <w:color w:val="000000" w:themeColor="text1" w:themeTint="FF" w:themeShade="FF"/>
          <w:sz w:val="24"/>
          <w:szCs w:val="24"/>
          <w:lang w:val="en-US"/>
        </w:rPr>
        <w:t>different needs</w:t>
      </w:r>
      <w:r w:rsidRPr="7887CAF1" w:rsidR="183AEF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commitments can thrive.</w:t>
      </w:r>
    </w:p>
    <w:p xmlns:wp14="http://schemas.microsoft.com/office/word/2010/wordml" w:rsidP="7887CAF1" wp14:paraId="530C9C18" wp14:textId="00F1FC81">
      <w:pPr>
        <w:pStyle w:val="Heading4"/>
        <w:rPr>
          <w:rFonts w:ascii="Calibri" w:hAnsi="Calibri" w:eastAsia="Calibri" w:cs="Calibri"/>
          <w:b w:val="1"/>
          <w:bCs w:val="1"/>
          <w:i w:val="0"/>
          <w:iCs w:val="0"/>
          <w:caps w:val="0"/>
          <w:smallCaps w:val="0"/>
          <w:color w:val="000000" w:themeColor="text1" w:themeTint="FF" w:themeShade="FF"/>
          <w:sz w:val="24"/>
          <w:szCs w:val="24"/>
        </w:rPr>
      </w:pPr>
      <w:r w:rsidRPr="7887CAF1" w:rsidR="183AEFAB">
        <w:rPr>
          <w:rFonts w:ascii="Calibri" w:hAnsi="Calibri" w:eastAsia="Calibri" w:cs="Calibri"/>
          <w:b w:val="1"/>
          <w:bCs w:val="1"/>
          <w:i w:val="0"/>
          <w:iCs w:val="0"/>
          <w:caps w:val="0"/>
          <w:smallCaps w:val="0"/>
          <w:color w:val="000000" w:themeColor="text1" w:themeTint="FF" w:themeShade="FF"/>
          <w:sz w:val="24"/>
          <w:szCs w:val="24"/>
        </w:rPr>
        <w:t>Community Engagement and Outreach</w:t>
      </w:r>
    </w:p>
    <w:p xmlns:wp14="http://schemas.microsoft.com/office/word/2010/wordml" w:rsidP="7887CAF1" wp14:paraId="5AB9EF45" wp14:textId="02058C63">
      <w:pPr>
        <w:spacing w:before="0" w:before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887CAF1" w:rsidR="183AEF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Law firms are extending their commitment to equality and diversity beyond their internal structures by engaging with local communities. Outreach programs, partnerships with community organizations, and participation in diversity-focused events not only </w:t>
      </w:r>
      <w:r w:rsidRPr="7887CAF1" w:rsidR="50118F3A">
        <w:rPr>
          <w:rFonts w:ascii="Calibri" w:hAnsi="Calibri" w:eastAsia="Calibri" w:cs="Calibri"/>
          <w:b w:val="0"/>
          <w:bCs w:val="0"/>
          <w:i w:val="0"/>
          <w:iCs w:val="0"/>
          <w:caps w:val="0"/>
          <w:smallCaps w:val="0"/>
          <w:noProof w:val="0"/>
          <w:color w:val="000000" w:themeColor="text1" w:themeTint="FF" w:themeShade="FF"/>
          <w:sz w:val="24"/>
          <w:szCs w:val="24"/>
          <w:lang w:val="en-US"/>
        </w:rPr>
        <w:t>prove</w:t>
      </w:r>
      <w:r w:rsidRPr="7887CAF1" w:rsidR="183AEF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firm's dedication to social responsibility but also contribute to creating a legal profession that reflects and understands the diverse perspectives of the communities it serves.</w:t>
      </w:r>
    </w:p>
    <w:p xmlns:wp14="http://schemas.microsoft.com/office/word/2010/wordml" w:rsidP="7887CAF1" wp14:paraId="7FD1FC71" wp14:textId="2020432C">
      <w:pPr>
        <w:pStyle w:val="Normal"/>
        <w:spacing w:before="0" w:beforeAutospacing="off"/>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7887CAF1" w:rsidR="3F547A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traversing the intricate terrain of legal professionalism, the resonance of equality and diversity reverberates far beyond the confines of statutes and codes. As illuminated in this exploration, legal frameworks such as the Legal Services Act 2007 and the Equality Act 2010 set the stage for regulatory adherence, ensuring that the profession upholds fundamental principles of fairness and inclusivity.</w:t>
      </w:r>
    </w:p>
    <w:p xmlns:wp14="http://schemas.microsoft.com/office/word/2010/wordml" w:rsidP="7887CAF1" wp14:paraId="5020BF09" wp14:textId="488BE695">
      <w:pPr>
        <w:pStyle w:val="Normal"/>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887CAF1" w:rsidR="107641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It is within the realms of codes of conduct that legal professionals truly internalize and manifest these principles. The SRA Code of Conduct, CILEX Code of Conduct, and the BSB Handbook serve as ethical guides, shaping the behavior of solicitors and barristers. Through these codes, professionals commit not only to compliance but to actively promoting equality, respecting diversity, and fostering inclusive environments within their daily practice.</w:t>
      </w:r>
    </w:p>
    <w:p xmlns:wp14="http://schemas.microsoft.com/office/word/2010/wordml" w:rsidP="7887CAF1" wp14:paraId="285AE995" wp14:textId="6FB34228">
      <w:pPr>
        <w:pStyle w:val="Normal"/>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887CAF1" w:rsidR="107641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Beyond the boundaries of regulations, law firms are taking the reins in their hands, steering towards a future where diversity is not just acknowledged but is woven into the fabric of the profession. Diversity and inclusion policies stand as organizational manifestos, setting benchmarks and charting courses for a workplace that reflects the multifaceted society it serves. Mentorship programs, unconscious bias training, and flexible work policies become the tools of transformation, dismantling </w:t>
      </w:r>
      <w:r w:rsidRPr="7887CAF1" w:rsidR="107641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barriers</w:t>
      </w:r>
      <w:r w:rsidRPr="7887CAF1" w:rsidR="107641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creating pathways for legal professionals from all </w:t>
      </w:r>
      <w:r w:rsidRPr="7887CAF1" w:rsidR="5FAE9D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occupations</w:t>
      </w:r>
      <w:r w:rsidRPr="7887CAF1" w:rsidR="107641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xmlns:wp14="http://schemas.microsoft.com/office/word/2010/wordml" w:rsidP="7887CAF1" wp14:paraId="64AD8982" wp14:textId="600DD90B">
      <w:pPr>
        <w:pStyle w:val="Normal"/>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887CAF1" w:rsidR="107641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These initiatives are not isolated endeavors; they </w:t>
      </w:r>
      <w:r w:rsidRPr="7887CAF1" w:rsidR="5E12C2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are</w:t>
      </w:r>
      <w:r w:rsidRPr="7887CAF1" w:rsidR="107641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collective acknowledgment that a diverse legal profession is a stronger and more resilient one. By actively engaging with communities, law firms extend their impact beyond office walls, contributing to a societal shift towards greater inclusivity and understanding.</w:t>
      </w:r>
    </w:p>
    <w:p xmlns:wp14="http://schemas.microsoft.com/office/word/2010/wordml" w:rsidP="7887CAF1" wp14:paraId="2753105E" wp14:textId="487EDE15">
      <w:pPr>
        <w:pStyle w:val="Normal"/>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887CAF1" w:rsidR="107641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conclusion, the legal profession is at a juncture where the pursuit of equality and diversity is not merely a legal requirement but a moral imperative. It is a commitment to justice that goes beyond courtroom battles—it is about reshaping the very essence of the profession. As legal professionals champion equality and diversity, they forge a future where the law is not just practiced but practiced with an understanding that the strength of justice lies in its ability to embrace and uplift every voice, irrespective of background, identity, or circumstance. This commitment is not just a legal obligation; it is a legacy in the making—a legacy of an inclusive, diverse, and truly just legal profession.</w:t>
      </w:r>
    </w:p>
    <w:p xmlns:wp14="http://schemas.microsoft.com/office/word/2010/wordml" w:rsidP="7887CAF1" wp14:paraId="24C949D3" wp14:textId="72A0CB17">
      <w:pPr>
        <w:pStyle w:val="Normal"/>
        <w:spacing w:before="0" w:before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887CAF1" wp14:paraId="71A22668" wp14:textId="6604CB58">
      <w:pPr>
        <w:pStyle w:val="Normal"/>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887CAF1" w:rsidR="0A7DC7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Equality Act 2010</w:t>
      </w:r>
    </w:p>
    <w:p xmlns:wp14="http://schemas.microsoft.com/office/word/2010/wordml" w:rsidP="7887CAF1" wp14:paraId="5E3C9D29" wp14:textId="17846677">
      <w:pPr>
        <w:pStyle w:val="Normal"/>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887CAF1" w:rsidR="0A7DC7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SRA Code of Conduct</w:t>
      </w:r>
    </w:p>
    <w:p xmlns:wp14="http://schemas.microsoft.com/office/word/2010/wordml" w:rsidP="7887CAF1" wp14:paraId="7F5BB5CF" wp14:textId="6174FAB3">
      <w:pPr>
        <w:pStyle w:val="Normal"/>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887CAF1" w:rsidR="0A7DC7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Legal Services Act 2007</w:t>
      </w:r>
    </w:p>
    <w:p xmlns:wp14="http://schemas.microsoft.com/office/word/2010/wordml" w:rsidP="7887CAF1" wp14:paraId="439BD29E" wp14:textId="49FCE3AF">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887CAF1" w:rsidR="0A7DC7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CILEX Code of Conduct</w:t>
      </w:r>
    </w:p>
    <w:p xmlns:wp14="http://schemas.microsoft.com/office/word/2010/wordml" w:rsidP="7887CAF1" wp14:paraId="0E11D340" wp14:textId="43694530">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887CAF1" w:rsidR="0A7DC7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BSB Handbook</w:t>
      </w:r>
    </w:p>
    <w:p xmlns:wp14="http://schemas.microsoft.com/office/word/2010/wordml" w:rsidP="7887CAF1" wp14:paraId="2427FDE3" wp14:textId="49582D72">
      <w:pPr>
        <w:pStyle w:val="Normal"/>
        <w:spacing w:before="0" w:before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887CAF1" wp14:paraId="2DD19C5E" wp14:textId="1D980C21">
      <w:pPr>
        <w:pStyle w:val="Normal"/>
        <w:spacing w:before="0" w:before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887CAF1" wp14:paraId="15C8DE16" wp14:textId="77AC8F82">
      <w:pPr>
        <w:pStyle w:val="Normal"/>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xmlns:wp14="http://schemas.microsoft.com/office/word/2010/wordml" w:rsidP="7887CAF1" wp14:paraId="44A959C3" wp14:textId="08EA5CF1">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7887CAF1" wp14:paraId="2C078E63" wp14:textId="6B7C2462">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46B765"/>
    <w:rsid w:val="006401C9"/>
    <w:rsid w:val="027F2671"/>
    <w:rsid w:val="032FFAE2"/>
    <w:rsid w:val="039FA136"/>
    <w:rsid w:val="0A17076D"/>
    <w:rsid w:val="0A7DC7E9"/>
    <w:rsid w:val="107641D1"/>
    <w:rsid w:val="151EEAEB"/>
    <w:rsid w:val="17DA1A00"/>
    <w:rsid w:val="182DBC10"/>
    <w:rsid w:val="183AEFAB"/>
    <w:rsid w:val="195E5F70"/>
    <w:rsid w:val="2246C598"/>
    <w:rsid w:val="25491F83"/>
    <w:rsid w:val="2D08818C"/>
    <w:rsid w:val="2D960E36"/>
    <w:rsid w:val="3A46B765"/>
    <w:rsid w:val="3B6E49AF"/>
    <w:rsid w:val="3DD51D8E"/>
    <w:rsid w:val="3F547A7D"/>
    <w:rsid w:val="40565B25"/>
    <w:rsid w:val="41741996"/>
    <w:rsid w:val="47001BD5"/>
    <w:rsid w:val="4BBCFF16"/>
    <w:rsid w:val="4D58CF77"/>
    <w:rsid w:val="50118F3A"/>
    <w:rsid w:val="52A295C1"/>
    <w:rsid w:val="5305EC2F"/>
    <w:rsid w:val="5E12C294"/>
    <w:rsid w:val="5FAE9DEB"/>
    <w:rsid w:val="65F847D3"/>
    <w:rsid w:val="68CD6893"/>
    <w:rsid w:val="7887CAF1"/>
    <w:rsid w:val="7CE1F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6B765"/>
  <w15:chartTrackingRefBased/>
  <w15:docId w15:val="{865AD7B5-455D-4C4B-908A-F7F3822D94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df7d12e1d4c8420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2023-12-15T19:55:02.0169832Z</dcterms:created>
  <dcterms:modified xsi:type="dcterms:W3CDTF">2023-12-15T20:27:08.3580973Z</dcterms:modified>
  <dc:creator>Andrei Coman (2244459)</dc:creator>
  <lastModifiedBy>Andrei Coman (2244459)</lastModifiedBy>
</coreProperties>
</file>