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DB9508" w14:textId="77777777" w:rsidR="00FF3ACF" w:rsidRPr="000007B1" w:rsidRDefault="00360E99" w:rsidP="0052567F">
      <w:pPr>
        <w:shd w:val="clear" w:color="auto" w:fill="FFFFFF" w:themeFill="background1"/>
        <w:spacing w:line="360" w:lineRule="auto"/>
        <w:jc w:val="both"/>
        <w:rPr>
          <w:rFonts w:cs="Arial"/>
          <w:b/>
          <w:bCs/>
          <w:szCs w:val="22"/>
        </w:rPr>
      </w:pPr>
      <w:r w:rsidRPr="000007B1">
        <w:rPr>
          <w:rFonts w:cs="Arial"/>
          <w:noProof/>
          <w:szCs w:val="22"/>
          <w:lang w:eastAsia="en-US"/>
        </w:rPr>
        <w:drawing>
          <wp:inline distT="0" distB="0" distL="114300" distR="114300" wp14:anchorId="33020B4E" wp14:editId="70789144">
            <wp:extent cx="5274310" cy="1978544"/>
            <wp:effectExtent l="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pic:cNvPicPr>
                  </pic:nvPicPr>
                  <pic:blipFill>
                    <a:blip r:embed="rId8"/>
                    <a:stretch>
                      <a:fillRect/>
                    </a:stretch>
                  </pic:blipFill>
                  <pic:spPr>
                    <a:xfrm>
                      <a:off x="0" y="0"/>
                      <a:ext cx="5274310" cy="1978544"/>
                    </a:xfrm>
                    <a:prstGeom prst="rect">
                      <a:avLst/>
                    </a:prstGeom>
                    <a:noFill/>
                    <a:ln>
                      <a:noFill/>
                    </a:ln>
                  </pic:spPr>
                </pic:pic>
              </a:graphicData>
            </a:graphic>
          </wp:inline>
        </w:drawing>
      </w:r>
    </w:p>
    <w:p w14:paraId="29F13B62" w14:textId="77777777" w:rsidR="00360E99" w:rsidRPr="000007B1" w:rsidRDefault="00360E99" w:rsidP="0052567F">
      <w:pPr>
        <w:shd w:val="clear" w:color="auto" w:fill="FFFFFF" w:themeFill="background1"/>
        <w:spacing w:line="360" w:lineRule="auto"/>
        <w:jc w:val="both"/>
        <w:rPr>
          <w:rFonts w:cs="Arial"/>
          <w:b/>
          <w:bCs/>
          <w:szCs w:val="22"/>
        </w:rPr>
      </w:pPr>
    </w:p>
    <w:p w14:paraId="267FF286" w14:textId="0B58A491" w:rsidR="00721C04" w:rsidRPr="00650317" w:rsidRDefault="00721C04" w:rsidP="00650317">
      <w:pPr>
        <w:shd w:val="clear" w:color="auto" w:fill="FFFFFF" w:themeFill="background1"/>
        <w:spacing w:line="360" w:lineRule="auto"/>
        <w:ind w:firstLine="2160"/>
        <w:rPr>
          <w:rFonts w:cs="Arial"/>
          <w:b/>
          <w:bCs/>
          <w:sz w:val="32"/>
          <w:szCs w:val="32"/>
        </w:rPr>
      </w:pPr>
      <w:r w:rsidRPr="00650317">
        <w:rPr>
          <w:rFonts w:cs="Arial"/>
          <w:b/>
          <w:bCs/>
          <w:sz w:val="32"/>
          <w:szCs w:val="32"/>
        </w:rPr>
        <w:t>BSC(Hons) Health and Social Care</w:t>
      </w:r>
      <w:r w:rsidR="00650317">
        <w:rPr>
          <w:rFonts w:cs="Arial"/>
          <w:b/>
          <w:bCs/>
          <w:sz w:val="32"/>
          <w:szCs w:val="32"/>
        </w:rPr>
        <w:t xml:space="preserve"> </w:t>
      </w:r>
      <w:r w:rsidR="003B6ACC" w:rsidRPr="00650317">
        <w:rPr>
          <w:rFonts w:cs="Arial"/>
          <w:b/>
          <w:bCs/>
          <w:sz w:val="32"/>
          <w:szCs w:val="32"/>
        </w:rPr>
        <w:t>Module: Introduction</w:t>
      </w:r>
      <w:r w:rsidRPr="00650317">
        <w:rPr>
          <w:rFonts w:cs="Arial"/>
          <w:b/>
          <w:bCs/>
          <w:sz w:val="32"/>
          <w:szCs w:val="32"/>
        </w:rPr>
        <w:t xml:space="preserve"> to independent Research Skills (BMHP5019)</w:t>
      </w:r>
    </w:p>
    <w:p w14:paraId="1587C2F1" w14:textId="13DF9F18" w:rsidR="00721C04" w:rsidRPr="00650317" w:rsidRDefault="00721C04" w:rsidP="00650317">
      <w:pPr>
        <w:shd w:val="clear" w:color="auto" w:fill="FFFFFF" w:themeFill="background1"/>
        <w:spacing w:line="360" w:lineRule="auto"/>
        <w:jc w:val="both"/>
        <w:rPr>
          <w:rFonts w:cs="Arial"/>
          <w:b/>
          <w:bCs/>
          <w:sz w:val="32"/>
          <w:szCs w:val="32"/>
        </w:rPr>
      </w:pPr>
      <w:r w:rsidRPr="00650317">
        <w:rPr>
          <w:rFonts w:cs="Arial"/>
          <w:b/>
          <w:bCs/>
          <w:sz w:val="32"/>
          <w:szCs w:val="32"/>
        </w:rPr>
        <w:t xml:space="preserve">Assessment </w:t>
      </w:r>
      <w:r w:rsidR="00F33E94" w:rsidRPr="00650317">
        <w:rPr>
          <w:rFonts w:cs="Arial"/>
          <w:b/>
          <w:bCs/>
          <w:sz w:val="32"/>
          <w:szCs w:val="32"/>
        </w:rPr>
        <w:t xml:space="preserve">title: </w:t>
      </w:r>
      <w:r w:rsidR="003B6ACC" w:rsidRPr="003B6ACC">
        <w:rPr>
          <w:rFonts w:cs="Arial"/>
          <w:b/>
          <w:bCs/>
          <w:sz w:val="32"/>
          <w:szCs w:val="32"/>
        </w:rPr>
        <w:t>Social Isolation and Older Adults’ Mental Wellbeing in the UK</w:t>
      </w:r>
    </w:p>
    <w:p w14:paraId="144E5D3D" w14:textId="77777777" w:rsidR="00FF3ACF" w:rsidRPr="000007B1" w:rsidRDefault="00FF3ACF" w:rsidP="0052567F">
      <w:pPr>
        <w:shd w:val="clear" w:color="auto" w:fill="FFFFFF" w:themeFill="background1"/>
        <w:spacing w:line="360" w:lineRule="auto"/>
        <w:jc w:val="both"/>
        <w:rPr>
          <w:rFonts w:cs="Arial"/>
          <w:b/>
          <w:bCs/>
          <w:szCs w:val="22"/>
        </w:rPr>
      </w:pPr>
    </w:p>
    <w:p w14:paraId="1D5B9DCB" w14:textId="77777777" w:rsidR="00FF3ACF" w:rsidRDefault="00FF3ACF" w:rsidP="0052567F">
      <w:pPr>
        <w:shd w:val="clear" w:color="auto" w:fill="FFFFFF" w:themeFill="background1"/>
        <w:spacing w:line="360" w:lineRule="auto"/>
        <w:jc w:val="both"/>
        <w:rPr>
          <w:rFonts w:cs="Arial"/>
          <w:b/>
          <w:bCs/>
          <w:szCs w:val="22"/>
        </w:rPr>
      </w:pPr>
    </w:p>
    <w:p w14:paraId="5EC123CD" w14:textId="77777777" w:rsidR="00721C04" w:rsidRDefault="00721C04" w:rsidP="0052567F">
      <w:pPr>
        <w:shd w:val="clear" w:color="auto" w:fill="FFFFFF" w:themeFill="background1"/>
        <w:spacing w:line="360" w:lineRule="auto"/>
        <w:jc w:val="both"/>
        <w:rPr>
          <w:rFonts w:cs="Arial"/>
          <w:b/>
          <w:bCs/>
          <w:szCs w:val="22"/>
        </w:rPr>
      </w:pPr>
    </w:p>
    <w:p w14:paraId="32874C03" w14:textId="77777777" w:rsidR="00721C04" w:rsidRPr="000007B1" w:rsidRDefault="00721C04" w:rsidP="0052567F">
      <w:pPr>
        <w:shd w:val="clear" w:color="auto" w:fill="FFFFFF" w:themeFill="background1"/>
        <w:spacing w:line="360" w:lineRule="auto"/>
        <w:jc w:val="both"/>
        <w:rPr>
          <w:rFonts w:cs="Arial"/>
          <w:b/>
          <w:bCs/>
          <w:szCs w:val="22"/>
        </w:rPr>
      </w:pPr>
    </w:p>
    <w:p w14:paraId="0B7BCF15" w14:textId="77777777" w:rsidR="00FF3ACF" w:rsidRPr="000007B1" w:rsidRDefault="00FF3ACF" w:rsidP="0052567F">
      <w:pPr>
        <w:shd w:val="clear" w:color="auto" w:fill="FFFFFF" w:themeFill="background1"/>
        <w:spacing w:line="360" w:lineRule="auto"/>
        <w:jc w:val="both"/>
        <w:rPr>
          <w:rFonts w:cs="Arial"/>
          <w:b/>
          <w:bCs/>
          <w:szCs w:val="22"/>
        </w:rPr>
      </w:pPr>
    </w:p>
    <w:p w14:paraId="27C410C1" w14:textId="36C1124B" w:rsidR="00360E99" w:rsidRPr="000007B1" w:rsidRDefault="00360E99" w:rsidP="0052567F">
      <w:pPr>
        <w:shd w:val="clear" w:color="auto" w:fill="FFFFFF" w:themeFill="background1"/>
        <w:spacing w:line="360" w:lineRule="auto"/>
        <w:jc w:val="both"/>
        <w:rPr>
          <w:rFonts w:cs="Arial"/>
          <w:b/>
          <w:bCs/>
          <w:sz w:val="32"/>
          <w:szCs w:val="32"/>
        </w:rPr>
      </w:pPr>
      <w:r w:rsidRPr="000007B1">
        <w:rPr>
          <w:rFonts w:cs="Arial"/>
          <w:b/>
          <w:bCs/>
          <w:sz w:val="32"/>
          <w:szCs w:val="32"/>
        </w:rPr>
        <w:t>Name</w:t>
      </w:r>
      <w:r w:rsidR="00F33E94" w:rsidRPr="000007B1">
        <w:rPr>
          <w:rFonts w:cs="Arial"/>
          <w:b/>
          <w:bCs/>
          <w:sz w:val="32"/>
          <w:szCs w:val="32"/>
        </w:rPr>
        <w:t>: Meskerem</w:t>
      </w:r>
      <w:r w:rsidRPr="000007B1">
        <w:rPr>
          <w:rFonts w:cs="Arial"/>
          <w:b/>
          <w:bCs/>
          <w:sz w:val="32"/>
          <w:szCs w:val="32"/>
        </w:rPr>
        <w:t xml:space="preserve"> Demissie Beyene</w:t>
      </w:r>
    </w:p>
    <w:p w14:paraId="27C37177" w14:textId="77777777" w:rsidR="00360E99" w:rsidRDefault="00360E99" w:rsidP="0052567F">
      <w:pPr>
        <w:shd w:val="clear" w:color="auto" w:fill="FFFFFF" w:themeFill="background1"/>
        <w:spacing w:line="360" w:lineRule="auto"/>
        <w:jc w:val="both"/>
        <w:rPr>
          <w:rFonts w:cs="Arial"/>
          <w:b/>
          <w:bCs/>
          <w:sz w:val="32"/>
          <w:szCs w:val="32"/>
        </w:rPr>
      </w:pPr>
      <w:r w:rsidRPr="000007B1">
        <w:rPr>
          <w:rFonts w:cs="Arial"/>
          <w:b/>
          <w:bCs/>
          <w:sz w:val="32"/>
          <w:szCs w:val="32"/>
        </w:rPr>
        <w:t>Student ID: 2414543</w:t>
      </w:r>
    </w:p>
    <w:p w14:paraId="0FE4A24C" w14:textId="2B8E2C2C" w:rsidR="00721C04" w:rsidRPr="00721C04" w:rsidRDefault="004B3267" w:rsidP="00721C04">
      <w:pPr>
        <w:shd w:val="clear" w:color="auto" w:fill="FFFFFF" w:themeFill="background1"/>
        <w:spacing w:line="360" w:lineRule="auto"/>
        <w:jc w:val="both"/>
        <w:rPr>
          <w:rFonts w:cs="Arial"/>
          <w:b/>
          <w:bCs/>
          <w:sz w:val="32"/>
          <w:szCs w:val="32"/>
        </w:rPr>
      </w:pPr>
      <w:r>
        <w:rPr>
          <w:rFonts w:cs="Arial"/>
          <w:b/>
          <w:bCs/>
          <w:sz w:val="32"/>
          <w:szCs w:val="32"/>
        </w:rPr>
        <w:t>date of submission</w:t>
      </w:r>
      <w:r w:rsidR="009B644E">
        <w:rPr>
          <w:rFonts w:ascii="Nyala" w:hAnsi="Nyala" w:cs="Arial"/>
          <w:b/>
          <w:bCs/>
          <w:sz w:val="32"/>
          <w:szCs w:val="32"/>
        </w:rPr>
        <w:t>፡</w:t>
      </w:r>
      <w:r w:rsidR="00721C04" w:rsidRPr="00721C04">
        <w:rPr>
          <w:rFonts w:cs="Arial"/>
          <w:b/>
          <w:bCs/>
          <w:sz w:val="32"/>
          <w:szCs w:val="32"/>
        </w:rPr>
        <w:t xml:space="preserve"> </w:t>
      </w:r>
      <w:r w:rsidR="00721C04" w:rsidRPr="009B644E">
        <w:rPr>
          <w:rFonts w:cs="Arial"/>
          <w:b/>
          <w:bCs/>
          <w:color w:val="FF0000"/>
          <w:sz w:val="32"/>
          <w:szCs w:val="32"/>
        </w:rPr>
        <w:t>1</w:t>
      </w:r>
      <w:r w:rsidR="00CE0478">
        <w:rPr>
          <w:rFonts w:cs="Arial"/>
          <w:b/>
          <w:bCs/>
          <w:color w:val="FF0000"/>
          <w:sz w:val="32"/>
          <w:szCs w:val="32"/>
        </w:rPr>
        <w:t>4</w:t>
      </w:r>
      <w:r w:rsidR="00721C04" w:rsidRPr="009B644E">
        <w:rPr>
          <w:rFonts w:cs="Arial"/>
          <w:b/>
          <w:bCs/>
          <w:color w:val="FF0000"/>
          <w:sz w:val="32"/>
          <w:szCs w:val="32"/>
        </w:rPr>
        <w:t>/</w:t>
      </w:r>
      <w:r w:rsidR="003B6ACC">
        <w:rPr>
          <w:rFonts w:cs="Arial"/>
          <w:b/>
          <w:bCs/>
          <w:color w:val="FF0000"/>
          <w:sz w:val="32"/>
          <w:szCs w:val="32"/>
        </w:rPr>
        <w:t>0</w:t>
      </w:r>
      <w:r w:rsidR="00721C04" w:rsidRPr="009B644E">
        <w:rPr>
          <w:rFonts w:cs="Arial"/>
          <w:b/>
          <w:bCs/>
          <w:color w:val="FF0000"/>
          <w:sz w:val="32"/>
          <w:szCs w:val="32"/>
        </w:rPr>
        <w:t xml:space="preserve">7/2026 </w:t>
      </w:r>
    </w:p>
    <w:p w14:paraId="5132FCB3" w14:textId="3B41F507" w:rsidR="00721C04" w:rsidRPr="00721C04" w:rsidRDefault="00360E99" w:rsidP="00721C04">
      <w:pPr>
        <w:shd w:val="clear" w:color="auto" w:fill="FFFFFF" w:themeFill="background1"/>
        <w:spacing w:line="360" w:lineRule="auto"/>
        <w:jc w:val="both"/>
        <w:rPr>
          <w:rFonts w:cs="Arial"/>
          <w:b/>
          <w:bCs/>
          <w:sz w:val="32"/>
          <w:szCs w:val="32"/>
        </w:rPr>
      </w:pPr>
      <w:r w:rsidRPr="00721C04">
        <w:rPr>
          <w:rFonts w:cs="Arial"/>
          <w:b/>
          <w:bCs/>
          <w:sz w:val="32"/>
          <w:szCs w:val="32"/>
        </w:rPr>
        <w:t>Lecturer:</w:t>
      </w:r>
      <w:r w:rsidR="00721C04" w:rsidRPr="00721C04">
        <w:rPr>
          <w:rFonts w:cs="Arial"/>
          <w:b/>
          <w:bCs/>
          <w:sz w:val="32"/>
          <w:szCs w:val="32"/>
        </w:rPr>
        <w:t xml:space="preserve"> </w:t>
      </w:r>
      <w:r w:rsidR="00D54E48">
        <w:rPr>
          <w:rFonts w:cs="Arial"/>
          <w:b/>
          <w:bCs/>
          <w:sz w:val="32"/>
          <w:szCs w:val="32"/>
        </w:rPr>
        <w:t>D</w:t>
      </w:r>
      <w:r w:rsidR="00721C04" w:rsidRPr="00721C04">
        <w:rPr>
          <w:rFonts w:cs="Arial"/>
          <w:b/>
          <w:bCs/>
          <w:sz w:val="32"/>
          <w:szCs w:val="32"/>
        </w:rPr>
        <w:t xml:space="preserve">/r Eleni </w:t>
      </w:r>
      <w:proofErr w:type="spellStart"/>
      <w:r w:rsidR="00721C04" w:rsidRPr="00721C04">
        <w:rPr>
          <w:rFonts w:cs="Arial"/>
          <w:b/>
          <w:bCs/>
          <w:sz w:val="32"/>
          <w:szCs w:val="32"/>
        </w:rPr>
        <w:t>Koutsogeorgou</w:t>
      </w:r>
      <w:proofErr w:type="spellEnd"/>
      <w:r w:rsidR="00721C04" w:rsidRPr="00721C04">
        <w:rPr>
          <w:rFonts w:cs="Arial"/>
          <w:b/>
          <w:bCs/>
          <w:sz w:val="32"/>
          <w:szCs w:val="32"/>
        </w:rPr>
        <w:t>-Andreou</w:t>
      </w:r>
    </w:p>
    <w:p w14:paraId="2C15369F" w14:textId="77777777" w:rsidR="008B3EA8" w:rsidRPr="000007B1" w:rsidRDefault="008B3EA8" w:rsidP="0052567F">
      <w:pPr>
        <w:shd w:val="clear" w:color="auto" w:fill="FFFFFF" w:themeFill="background1"/>
        <w:spacing w:line="360" w:lineRule="auto"/>
        <w:jc w:val="both"/>
        <w:rPr>
          <w:rFonts w:cs="Arial"/>
          <w:b/>
          <w:bCs/>
          <w:sz w:val="32"/>
          <w:szCs w:val="32"/>
        </w:rPr>
      </w:pPr>
    </w:p>
    <w:p w14:paraId="44DD3233" w14:textId="77777777" w:rsidR="00FF3ACF" w:rsidRPr="000007B1" w:rsidRDefault="00FF3ACF" w:rsidP="0052567F">
      <w:pPr>
        <w:shd w:val="clear" w:color="auto" w:fill="FFFFFF" w:themeFill="background1"/>
        <w:spacing w:line="360" w:lineRule="auto"/>
        <w:jc w:val="both"/>
        <w:rPr>
          <w:rFonts w:cs="Arial"/>
          <w:b/>
          <w:bCs/>
          <w:sz w:val="32"/>
          <w:szCs w:val="32"/>
        </w:rPr>
      </w:pPr>
    </w:p>
    <w:p w14:paraId="74DBB075" w14:textId="77777777" w:rsidR="00FF3ACF" w:rsidRPr="000007B1" w:rsidRDefault="00FF3ACF" w:rsidP="0052567F">
      <w:pPr>
        <w:shd w:val="clear" w:color="auto" w:fill="FFFFFF" w:themeFill="background1"/>
        <w:spacing w:line="360" w:lineRule="auto"/>
        <w:jc w:val="both"/>
        <w:rPr>
          <w:rFonts w:cs="Arial"/>
          <w:b/>
          <w:bCs/>
          <w:szCs w:val="22"/>
        </w:rPr>
      </w:pPr>
    </w:p>
    <w:p w14:paraId="2B0D61DB" w14:textId="77777777" w:rsidR="00FF3ACF" w:rsidRPr="000007B1" w:rsidRDefault="00FF3ACF" w:rsidP="0052567F">
      <w:pPr>
        <w:shd w:val="clear" w:color="auto" w:fill="FFFFFF" w:themeFill="background1"/>
        <w:spacing w:line="360" w:lineRule="auto"/>
        <w:jc w:val="both"/>
        <w:rPr>
          <w:rFonts w:cs="Arial"/>
          <w:b/>
          <w:bCs/>
          <w:szCs w:val="22"/>
        </w:rPr>
      </w:pPr>
    </w:p>
    <w:p w14:paraId="3B6FD105" w14:textId="77777777" w:rsidR="00FF3ACF" w:rsidRPr="000007B1" w:rsidRDefault="00FF3ACF" w:rsidP="0052567F">
      <w:pPr>
        <w:shd w:val="clear" w:color="auto" w:fill="FFFFFF" w:themeFill="background1"/>
        <w:spacing w:line="360" w:lineRule="auto"/>
        <w:jc w:val="both"/>
        <w:rPr>
          <w:rFonts w:cs="Arial"/>
          <w:b/>
          <w:bCs/>
          <w:szCs w:val="22"/>
        </w:rPr>
      </w:pPr>
    </w:p>
    <w:p w14:paraId="4BB28B13" w14:textId="77777777" w:rsidR="00FF3ACF" w:rsidRPr="000007B1" w:rsidRDefault="00FF3ACF" w:rsidP="0052567F">
      <w:pPr>
        <w:shd w:val="clear" w:color="auto" w:fill="FFFFFF" w:themeFill="background1"/>
        <w:spacing w:line="360" w:lineRule="auto"/>
        <w:jc w:val="both"/>
        <w:rPr>
          <w:rFonts w:cs="Arial"/>
          <w:b/>
          <w:bCs/>
          <w:szCs w:val="22"/>
        </w:rPr>
      </w:pPr>
    </w:p>
    <w:p w14:paraId="1B8E4513" w14:textId="77777777" w:rsidR="00FF3ACF" w:rsidRPr="000007B1" w:rsidRDefault="00FF3ACF" w:rsidP="0052567F">
      <w:pPr>
        <w:shd w:val="clear" w:color="auto" w:fill="FFFFFF" w:themeFill="background1"/>
        <w:spacing w:line="360" w:lineRule="auto"/>
        <w:jc w:val="both"/>
        <w:rPr>
          <w:rFonts w:cs="Arial"/>
          <w:b/>
          <w:bCs/>
          <w:szCs w:val="22"/>
        </w:rPr>
      </w:pPr>
    </w:p>
    <w:p w14:paraId="3BFCB654" w14:textId="77777777" w:rsidR="00FF3ACF" w:rsidRPr="000007B1" w:rsidRDefault="00FF3ACF" w:rsidP="0052567F">
      <w:pPr>
        <w:shd w:val="clear" w:color="auto" w:fill="FFFFFF" w:themeFill="background1"/>
        <w:spacing w:line="360" w:lineRule="auto"/>
        <w:jc w:val="both"/>
        <w:rPr>
          <w:rFonts w:cs="Arial"/>
          <w:b/>
          <w:bCs/>
          <w:szCs w:val="22"/>
        </w:rPr>
      </w:pPr>
    </w:p>
    <w:p w14:paraId="68EB98D8" w14:textId="77777777" w:rsidR="00E61F22" w:rsidRPr="000007B1" w:rsidRDefault="00E61F22" w:rsidP="0052567F">
      <w:pPr>
        <w:shd w:val="clear" w:color="auto" w:fill="FFFFFF" w:themeFill="background1"/>
        <w:spacing w:line="360" w:lineRule="auto"/>
        <w:jc w:val="both"/>
        <w:rPr>
          <w:rFonts w:cs="Arial"/>
          <w:b/>
          <w:bCs/>
          <w:szCs w:val="22"/>
        </w:rPr>
      </w:pPr>
    </w:p>
    <w:p w14:paraId="315378A0" w14:textId="77777777" w:rsidR="00E61F22" w:rsidRPr="000007B1" w:rsidRDefault="00E61F22" w:rsidP="0052567F">
      <w:pPr>
        <w:shd w:val="clear" w:color="auto" w:fill="FFFFFF" w:themeFill="background1"/>
        <w:spacing w:line="360" w:lineRule="auto"/>
        <w:jc w:val="both"/>
        <w:rPr>
          <w:rFonts w:cs="Arial"/>
          <w:b/>
          <w:bCs/>
          <w:szCs w:val="22"/>
        </w:rPr>
      </w:pPr>
    </w:p>
    <w:p w14:paraId="6A476A03" w14:textId="77777777" w:rsidR="00E61F22" w:rsidRPr="000007B1" w:rsidRDefault="00E61F22" w:rsidP="0052567F">
      <w:pPr>
        <w:shd w:val="clear" w:color="auto" w:fill="FFFFFF" w:themeFill="background1"/>
        <w:spacing w:line="360" w:lineRule="auto"/>
        <w:jc w:val="both"/>
        <w:rPr>
          <w:rFonts w:cs="Arial"/>
          <w:b/>
          <w:bCs/>
          <w:szCs w:val="22"/>
        </w:rPr>
      </w:pPr>
    </w:p>
    <w:p w14:paraId="50BAF7C4" w14:textId="77777777" w:rsidR="000007B1" w:rsidRDefault="000007B1" w:rsidP="0052567F">
      <w:pPr>
        <w:shd w:val="clear" w:color="auto" w:fill="FFFFFF" w:themeFill="background1"/>
        <w:spacing w:line="360" w:lineRule="auto"/>
        <w:jc w:val="both"/>
        <w:rPr>
          <w:rFonts w:cs="Arial"/>
          <w:b/>
          <w:bCs/>
          <w:szCs w:val="22"/>
        </w:rPr>
      </w:pPr>
    </w:p>
    <w:p w14:paraId="2FBFEBA7" w14:textId="77777777" w:rsidR="00855C1C" w:rsidRDefault="00855C1C" w:rsidP="0052567F">
      <w:pPr>
        <w:shd w:val="clear" w:color="auto" w:fill="FFFFFF" w:themeFill="background1"/>
        <w:spacing w:line="360" w:lineRule="auto"/>
        <w:jc w:val="both"/>
        <w:rPr>
          <w:rFonts w:cs="Arial"/>
          <w:b/>
          <w:bCs/>
          <w:szCs w:val="22"/>
        </w:rPr>
      </w:pPr>
    </w:p>
    <w:p w14:paraId="70C02A26" w14:textId="77777777" w:rsidR="000007B1" w:rsidRPr="000007B1" w:rsidRDefault="000007B1" w:rsidP="0052567F">
      <w:pPr>
        <w:shd w:val="clear" w:color="auto" w:fill="FFFFFF" w:themeFill="background1"/>
        <w:spacing w:line="360" w:lineRule="auto"/>
        <w:jc w:val="both"/>
        <w:rPr>
          <w:rFonts w:cs="Arial"/>
          <w:b/>
          <w:bCs/>
          <w:szCs w:val="22"/>
        </w:rPr>
      </w:pPr>
    </w:p>
    <w:p w14:paraId="171DF4C2" w14:textId="77777777" w:rsidR="00E61F22" w:rsidRPr="000007B1" w:rsidRDefault="00E61F22" w:rsidP="0052567F">
      <w:pPr>
        <w:shd w:val="clear" w:color="auto" w:fill="FFFFFF" w:themeFill="background1"/>
        <w:spacing w:line="360" w:lineRule="auto"/>
        <w:jc w:val="both"/>
        <w:rPr>
          <w:rFonts w:cs="Arial"/>
          <w:b/>
          <w:bCs/>
          <w:szCs w:val="22"/>
        </w:rPr>
      </w:pPr>
    </w:p>
    <w:p w14:paraId="7343812D" w14:textId="77777777" w:rsidR="00FF3ACF" w:rsidRPr="000007B1" w:rsidRDefault="00AE6032" w:rsidP="0052567F">
      <w:pPr>
        <w:shd w:val="clear" w:color="auto" w:fill="FFFFFF" w:themeFill="background1"/>
        <w:spacing w:line="360" w:lineRule="auto"/>
        <w:jc w:val="both"/>
        <w:rPr>
          <w:rFonts w:cs="Arial"/>
          <w:b/>
          <w:bCs/>
          <w:szCs w:val="22"/>
        </w:rPr>
      </w:pPr>
      <w:r w:rsidRPr="000007B1">
        <w:rPr>
          <w:rFonts w:cs="Arial"/>
          <w:b/>
          <w:bCs/>
          <w:szCs w:val="22"/>
        </w:rPr>
        <w:t>Table of content</w:t>
      </w:r>
    </w:p>
    <w:p w14:paraId="7FBF9F38" w14:textId="7006C2CE" w:rsidR="001D2F1C" w:rsidRDefault="004C3D2D">
      <w:pPr>
        <w:pStyle w:val="TOC1"/>
        <w:tabs>
          <w:tab w:val="right" w:leader="dot" w:pos="8296"/>
        </w:tabs>
        <w:rPr>
          <w:rFonts w:asciiTheme="minorHAnsi" w:hAnsiTheme="minorHAnsi"/>
          <w:noProof/>
          <w:szCs w:val="22"/>
          <w:lang w:eastAsia="en-US"/>
        </w:rPr>
      </w:pPr>
      <w:r w:rsidRPr="000007B1">
        <w:rPr>
          <w:rFonts w:cs="Arial"/>
          <w:b/>
          <w:bCs/>
          <w:szCs w:val="22"/>
        </w:rPr>
        <w:fldChar w:fldCharType="begin"/>
      </w:r>
      <w:r w:rsidR="00AE6032" w:rsidRPr="000007B1">
        <w:rPr>
          <w:rFonts w:cs="Arial"/>
          <w:b/>
          <w:bCs/>
          <w:szCs w:val="22"/>
        </w:rPr>
        <w:instrText xml:space="preserve">TOC \o "1-3" \h \u </w:instrText>
      </w:r>
      <w:r w:rsidRPr="000007B1">
        <w:rPr>
          <w:rFonts w:cs="Arial"/>
          <w:b/>
          <w:bCs/>
          <w:szCs w:val="22"/>
        </w:rPr>
        <w:fldChar w:fldCharType="separate"/>
      </w:r>
      <w:hyperlink w:anchor="_Toc237420831" w:history="1">
        <w:r w:rsidR="001D2F1C" w:rsidRPr="004D0F4C">
          <w:rPr>
            <w:rStyle w:val="Hyperlink"/>
            <w:rFonts w:eastAsia="Times New Roman"/>
            <w:noProof/>
            <w:lang w:eastAsia="en-US"/>
          </w:rPr>
          <w:t>Abstract</w:t>
        </w:r>
        <w:r w:rsidR="001D2F1C">
          <w:rPr>
            <w:noProof/>
          </w:rPr>
          <w:tab/>
        </w:r>
        <w:r w:rsidR="001D2F1C">
          <w:rPr>
            <w:noProof/>
          </w:rPr>
          <w:fldChar w:fldCharType="begin"/>
        </w:r>
        <w:r w:rsidR="001D2F1C">
          <w:rPr>
            <w:noProof/>
          </w:rPr>
          <w:instrText xml:space="preserve"> PAGEREF _Toc237420831 \h </w:instrText>
        </w:r>
        <w:r w:rsidR="001D2F1C">
          <w:rPr>
            <w:noProof/>
          </w:rPr>
        </w:r>
        <w:r w:rsidR="001D2F1C">
          <w:rPr>
            <w:noProof/>
          </w:rPr>
          <w:fldChar w:fldCharType="separate"/>
        </w:r>
        <w:r w:rsidR="00D67139">
          <w:rPr>
            <w:noProof/>
          </w:rPr>
          <w:t>3</w:t>
        </w:r>
        <w:r w:rsidR="001D2F1C">
          <w:rPr>
            <w:noProof/>
          </w:rPr>
          <w:fldChar w:fldCharType="end"/>
        </w:r>
      </w:hyperlink>
    </w:p>
    <w:p w14:paraId="754C1B8E" w14:textId="2D6FC8A8" w:rsidR="001D2F1C" w:rsidRDefault="001D2F1C">
      <w:pPr>
        <w:pStyle w:val="TOC1"/>
        <w:tabs>
          <w:tab w:val="right" w:leader="dot" w:pos="8296"/>
        </w:tabs>
        <w:rPr>
          <w:rFonts w:asciiTheme="minorHAnsi" w:hAnsiTheme="minorHAnsi"/>
          <w:noProof/>
          <w:szCs w:val="22"/>
          <w:lang w:eastAsia="en-US"/>
        </w:rPr>
      </w:pPr>
      <w:hyperlink w:anchor="_Toc237420832" w:history="1">
        <w:r w:rsidRPr="004D0F4C">
          <w:rPr>
            <w:rStyle w:val="Hyperlink"/>
            <w:rFonts w:eastAsia="Times New Roman"/>
            <w:noProof/>
            <w:lang w:eastAsia="en-US"/>
          </w:rPr>
          <w:t>Introduction</w:t>
        </w:r>
        <w:r>
          <w:rPr>
            <w:noProof/>
          </w:rPr>
          <w:tab/>
        </w:r>
        <w:r>
          <w:rPr>
            <w:noProof/>
          </w:rPr>
          <w:fldChar w:fldCharType="begin"/>
        </w:r>
        <w:r>
          <w:rPr>
            <w:noProof/>
          </w:rPr>
          <w:instrText xml:space="preserve"> PAGEREF _Toc237420832 \h </w:instrText>
        </w:r>
        <w:r>
          <w:rPr>
            <w:noProof/>
          </w:rPr>
        </w:r>
        <w:r>
          <w:rPr>
            <w:noProof/>
          </w:rPr>
          <w:fldChar w:fldCharType="separate"/>
        </w:r>
        <w:r w:rsidR="00D67139">
          <w:rPr>
            <w:noProof/>
          </w:rPr>
          <w:t>3</w:t>
        </w:r>
        <w:r>
          <w:rPr>
            <w:noProof/>
          </w:rPr>
          <w:fldChar w:fldCharType="end"/>
        </w:r>
      </w:hyperlink>
    </w:p>
    <w:p w14:paraId="03CA0C4D" w14:textId="03944922" w:rsidR="001D2F1C" w:rsidRDefault="001D2F1C">
      <w:pPr>
        <w:pStyle w:val="TOC1"/>
        <w:tabs>
          <w:tab w:val="right" w:leader="dot" w:pos="8296"/>
        </w:tabs>
        <w:rPr>
          <w:rFonts w:asciiTheme="minorHAnsi" w:hAnsiTheme="minorHAnsi"/>
          <w:noProof/>
          <w:szCs w:val="22"/>
          <w:lang w:eastAsia="en-US"/>
        </w:rPr>
      </w:pPr>
      <w:hyperlink w:anchor="_Toc237420833" w:history="1">
        <w:r w:rsidRPr="004D0F4C">
          <w:rPr>
            <w:rStyle w:val="Hyperlink"/>
            <w:rFonts w:eastAsia="Times New Roman"/>
            <w:noProof/>
            <w:lang w:eastAsia="en-US"/>
          </w:rPr>
          <w:t>Background</w:t>
        </w:r>
        <w:r>
          <w:rPr>
            <w:noProof/>
          </w:rPr>
          <w:tab/>
        </w:r>
        <w:r>
          <w:rPr>
            <w:noProof/>
          </w:rPr>
          <w:fldChar w:fldCharType="begin"/>
        </w:r>
        <w:r>
          <w:rPr>
            <w:noProof/>
          </w:rPr>
          <w:instrText xml:space="preserve"> PAGEREF _Toc237420833 \h </w:instrText>
        </w:r>
        <w:r>
          <w:rPr>
            <w:noProof/>
          </w:rPr>
        </w:r>
        <w:r>
          <w:rPr>
            <w:noProof/>
          </w:rPr>
          <w:fldChar w:fldCharType="separate"/>
        </w:r>
        <w:r w:rsidR="00D67139">
          <w:rPr>
            <w:noProof/>
          </w:rPr>
          <w:t>5</w:t>
        </w:r>
        <w:r>
          <w:rPr>
            <w:noProof/>
          </w:rPr>
          <w:fldChar w:fldCharType="end"/>
        </w:r>
      </w:hyperlink>
    </w:p>
    <w:p w14:paraId="7946A73B" w14:textId="5650F897" w:rsidR="001D2F1C" w:rsidRDefault="001D2F1C">
      <w:pPr>
        <w:pStyle w:val="TOC1"/>
        <w:tabs>
          <w:tab w:val="right" w:leader="dot" w:pos="8296"/>
        </w:tabs>
        <w:rPr>
          <w:rFonts w:asciiTheme="minorHAnsi" w:hAnsiTheme="minorHAnsi"/>
          <w:noProof/>
          <w:szCs w:val="22"/>
          <w:lang w:eastAsia="en-US"/>
        </w:rPr>
      </w:pPr>
      <w:hyperlink w:anchor="_Toc237420834" w:history="1">
        <w:r w:rsidRPr="004D0F4C">
          <w:rPr>
            <w:rStyle w:val="Hyperlink"/>
            <w:rFonts w:eastAsia="Times New Roman"/>
            <w:noProof/>
            <w:lang w:eastAsia="en-US"/>
          </w:rPr>
          <w:t>Methods</w:t>
        </w:r>
        <w:r>
          <w:rPr>
            <w:noProof/>
          </w:rPr>
          <w:tab/>
        </w:r>
        <w:r>
          <w:rPr>
            <w:noProof/>
          </w:rPr>
          <w:fldChar w:fldCharType="begin"/>
        </w:r>
        <w:r>
          <w:rPr>
            <w:noProof/>
          </w:rPr>
          <w:instrText xml:space="preserve"> PAGEREF _Toc237420834 \h </w:instrText>
        </w:r>
        <w:r>
          <w:rPr>
            <w:noProof/>
          </w:rPr>
        </w:r>
        <w:r>
          <w:rPr>
            <w:noProof/>
          </w:rPr>
          <w:fldChar w:fldCharType="separate"/>
        </w:r>
        <w:r w:rsidR="00D67139">
          <w:rPr>
            <w:noProof/>
          </w:rPr>
          <w:t>7</w:t>
        </w:r>
        <w:r>
          <w:rPr>
            <w:noProof/>
          </w:rPr>
          <w:fldChar w:fldCharType="end"/>
        </w:r>
      </w:hyperlink>
    </w:p>
    <w:p w14:paraId="268A8AA8" w14:textId="516F75B6" w:rsidR="001D2F1C" w:rsidRDefault="001D2F1C">
      <w:pPr>
        <w:pStyle w:val="TOC1"/>
        <w:tabs>
          <w:tab w:val="right" w:leader="dot" w:pos="8296"/>
        </w:tabs>
        <w:rPr>
          <w:rFonts w:asciiTheme="minorHAnsi" w:hAnsiTheme="minorHAnsi"/>
          <w:noProof/>
          <w:szCs w:val="22"/>
          <w:lang w:eastAsia="en-US"/>
        </w:rPr>
      </w:pPr>
      <w:hyperlink w:anchor="_Toc237420835" w:history="1">
        <w:r w:rsidRPr="004D0F4C">
          <w:rPr>
            <w:rStyle w:val="Hyperlink"/>
            <w:rFonts w:eastAsia="Times New Roman"/>
            <w:noProof/>
            <w:lang w:eastAsia="en-US"/>
          </w:rPr>
          <w:t>Results</w:t>
        </w:r>
        <w:r>
          <w:rPr>
            <w:noProof/>
          </w:rPr>
          <w:tab/>
        </w:r>
        <w:r>
          <w:rPr>
            <w:noProof/>
          </w:rPr>
          <w:fldChar w:fldCharType="begin"/>
        </w:r>
        <w:r>
          <w:rPr>
            <w:noProof/>
          </w:rPr>
          <w:instrText xml:space="preserve"> PAGEREF _Toc237420835 \h </w:instrText>
        </w:r>
        <w:r>
          <w:rPr>
            <w:noProof/>
          </w:rPr>
        </w:r>
        <w:r>
          <w:rPr>
            <w:noProof/>
          </w:rPr>
          <w:fldChar w:fldCharType="separate"/>
        </w:r>
        <w:r w:rsidR="00D67139">
          <w:rPr>
            <w:noProof/>
          </w:rPr>
          <w:t>8</w:t>
        </w:r>
        <w:r>
          <w:rPr>
            <w:noProof/>
          </w:rPr>
          <w:fldChar w:fldCharType="end"/>
        </w:r>
      </w:hyperlink>
    </w:p>
    <w:p w14:paraId="2BF60B33" w14:textId="75450603" w:rsidR="001D2F1C" w:rsidRDefault="001D2F1C">
      <w:pPr>
        <w:pStyle w:val="TOC1"/>
        <w:tabs>
          <w:tab w:val="right" w:leader="dot" w:pos="8296"/>
        </w:tabs>
        <w:rPr>
          <w:rFonts w:asciiTheme="minorHAnsi" w:hAnsiTheme="minorHAnsi"/>
          <w:noProof/>
          <w:szCs w:val="22"/>
          <w:lang w:eastAsia="en-US"/>
        </w:rPr>
      </w:pPr>
      <w:hyperlink w:anchor="_Toc237420836" w:history="1">
        <w:r w:rsidRPr="004D0F4C">
          <w:rPr>
            <w:rStyle w:val="Hyperlink"/>
            <w:rFonts w:eastAsia="Times New Roman"/>
            <w:noProof/>
            <w:lang w:eastAsia="en-US"/>
          </w:rPr>
          <w:t>Discussion</w:t>
        </w:r>
        <w:r>
          <w:rPr>
            <w:noProof/>
          </w:rPr>
          <w:tab/>
        </w:r>
        <w:r>
          <w:rPr>
            <w:noProof/>
          </w:rPr>
          <w:fldChar w:fldCharType="begin"/>
        </w:r>
        <w:r>
          <w:rPr>
            <w:noProof/>
          </w:rPr>
          <w:instrText xml:space="preserve"> PAGEREF _Toc237420836 \h </w:instrText>
        </w:r>
        <w:r>
          <w:rPr>
            <w:noProof/>
          </w:rPr>
        </w:r>
        <w:r>
          <w:rPr>
            <w:noProof/>
          </w:rPr>
          <w:fldChar w:fldCharType="separate"/>
        </w:r>
        <w:r w:rsidR="00D67139">
          <w:rPr>
            <w:noProof/>
          </w:rPr>
          <w:t>11</w:t>
        </w:r>
        <w:r>
          <w:rPr>
            <w:noProof/>
          </w:rPr>
          <w:fldChar w:fldCharType="end"/>
        </w:r>
      </w:hyperlink>
    </w:p>
    <w:p w14:paraId="191877E6" w14:textId="71D1BECD" w:rsidR="001D2F1C" w:rsidRDefault="001D2F1C">
      <w:pPr>
        <w:pStyle w:val="TOC1"/>
        <w:tabs>
          <w:tab w:val="right" w:leader="dot" w:pos="8296"/>
        </w:tabs>
        <w:rPr>
          <w:rFonts w:asciiTheme="minorHAnsi" w:hAnsiTheme="minorHAnsi"/>
          <w:noProof/>
          <w:szCs w:val="22"/>
          <w:lang w:eastAsia="en-US"/>
        </w:rPr>
      </w:pPr>
      <w:hyperlink w:anchor="_Toc237420837" w:history="1">
        <w:r w:rsidRPr="004D0F4C">
          <w:rPr>
            <w:rStyle w:val="Hyperlink"/>
            <w:rFonts w:eastAsia="Times New Roman"/>
            <w:noProof/>
            <w:lang w:eastAsia="en-US"/>
          </w:rPr>
          <w:t>Conclusion and Recommendations</w:t>
        </w:r>
        <w:r>
          <w:rPr>
            <w:noProof/>
          </w:rPr>
          <w:tab/>
        </w:r>
        <w:r>
          <w:rPr>
            <w:noProof/>
          </w:rPr>
          <w:fldChar w:fldCharType="begin"/>
        </w:r>
        <w:r>
          <w:rPr>
            <w:noProof/>
          </w:rPr>
          <w:instrText xml:space="preserve"> PAGEREF _Toc237420837 \h </w:instrText>
        </w:r>
        <w:r>
          <w:rPr>
            <w:noProof/>
          </w:rPr>
        </w:r>
        <w:r>
          <w:rPr>
            <w:noProof/>
          </w:rPr>
          <w:fldChar w:fldCharType="separate"/>
        </w:r>
        <w:r w:rsidR="00D67139">
          <w:rPr>
            <w:noProof/>
          </w:rPr>
          <w:t>12</w:t>
        </w:r>
        <w:r>
          <w:rPr>
            <w:noProof/>
          </w:rPr>
          <w:fldChar w:fldCharType="end"/>
        </w:r>
      </w:hyperlink>
    </w:p>
    <w:p w14:paraId="5ABC7A42" w14:textId="6BC93895" w:rsidR="001D2F1C" w:rsidRDefault="001D2F1C">
      <w:pPr>
        <w:pStyle w:val="TOC1"/>
        <w:tabs>
          <w:tab w:val="right" w:leader="dot" w:pos="8296"/>
        </w:tabs>
        <w:rPr>
          <w:rFonts w:asciiTheme="minorHAnsi" w:hAnsiTheme="minorHAnsi"/>
          <w:noProof/>
          <w:szCs w:val="22"/>
          <w:lang w:eastAsia="en-US"/>
        </w:rPr>
      </w:pPr>
      <w:hyperlink w:anchor="_Toc237420838" w:history="1">
        <w:r w:rsidRPr="004D0F4C">
          <w:rPr>
            <w:rStyle w:val="Hyperlink"/>
            <w:rFonts w:eastAsia="Times New Roman"/>
            <w:noProof/>
            <w:lang w:eastAsia="en-US"/>
          </w:rPr>
          <w:t>References</w:t>
        </w:r>
        <w:r>
          <w:rPr>
            <w:noProof/>
          </w:rPr>
          <w:tab/>
        </w:r>
        <w:r>
          <w:rPr>
            <w:noProof/>
          </w:rPr>
          <w:fldChar w:fldCharType="begin"/>
        </w:r>
        <w:r>
          <w:rPr>
            <w:noProof/>
          </w:rPr>
          <w:instrText xml:space="preserve"> PAGEREF _Toc237420838 \h </w:instrText>
        </w:r>
        <w:r>
          <w:rPr>
            <w:noProof/>
          </w:rPr>
        </w:r>
        <w:r>
          <w:rPr>
            <w:noProof/>
          </w:rPr>
          <w:fldChar w:fldCharType="separate"/>
        </w:r>
        <w:r w:rsidR="00D67139">
          <w:rPr>
            <w:noProof/>
          </w:rPr>
          <w:t>15</w:t>
        </w:r>
        <w:r>
          <w:rPr>
            <w:noProof/>
          </w:rPr>
          <w:fldChar w:fldCharType="end"/>
        </w:r>
      </w:hyperlink>
    </w:p>
    <w:p w14:paraId="0BAB2FAA" w14:textId="77777777" w:rsidR="00FF3ACF" w:rsidRPr="000007B1" w:rsidRDefault="004C3D2D" w:rsidP="0052567F">
      <w:pPr>
        <w:shd w:val="clear" w:color="auto" w:fill="FFFFFF" w:themeFill="background1"/>
        <w:spacing w:line="360" w:lineRule="auto"/>
        <w:jc w:val="both"/>
        <w:rPr>
          <w:rFonts w:cs="Arial"/>
          <w:b/>
          <w:bCs/>
          <w:szCs w:val="22"/>
        </w:rPr>
      </w:pPr>
      <w:r w:rsidRPr="000007B1">
        <w:rPr>
          <w:rFonts w:cs="Arial"/>
          <w:bCs/>
          <w:szCs w:val="22"/>
        </w:rPr>
        <w:fldChar w:fldCharType="end"/>
      </w:r>
    </w:p>
    <w:p w14:paraId="41503FA2" w14:textId="77777777" w:rsidR="00FF3ACF" w:rsidRPr="000007B1" w:rsidRDefault="00FF3ACF" w:rsidP="0052567F">
      <w:pPr>
        <w:shd w:val="clear" w:color="auto" w:fill="FFFFFF" w:themeFill="background1"/>
        <w:spacing w:line="360" w:lineRule="auto"/>
        <w:jc w:val="both"/>
        <w:rPr>
          <w:rFonts w:cs="Arial"/>
          <w:b/>
          <w:bCs/>
          <w:szCs w:val="22"/>
        </w:rPr>
      </w:pPr>
    </w:p>
    <w:p w14:paraId="3EA61081" w14:textId="77777777" w:rsidR="00FF3ACF" w:rsidRPr="000007B1" w:rsidRDefault="00FF3ACF" w:rsidP="0052567F">
      <w:pPr>
        <w:shd w:val="clear" w:color="auto" w:fill="FFFFFF" w:themeFill="background1"/>
        <w:spacing w:line="360" w:lineRule="auto"/>
        <w:jc w:val="both"/>
        <w:rPr>
          <w:rFonts w:cs="Arial"/>
          <w:b/>
          <w:bCs/>
          <w:szCs w:val="22"/>
        </w:rPr>
      </w:pPr>
    </w:p>
    <w:p w14:paraId="03D3F8DD" w14:textId="77777777" w:rsidR="00E260C3" w:rsidRPr="000007B1" w:rsidRDefault="00E260C3" w:rsidP="0052567F">
      <w:pPr>
        <w:shd w:val="clear" w:color="auto" w:fill="FFFFFF" w:themeFill="background1"/>
        <w:spacing w:line="360" w:lineRule="auto"/>
        <w:jc w:val="both"/>
        <w:rPr>
          <w:rFonts w:cs="Arial"/>
          <w:b/>
          <w:bCs/>
          <w:szCs w:val="22"/>
        </w:rPr>
      </w:pPr>
    </w:p>
    <w:p w14:paraId="75FEDB26" w14:textId="77777777" w:rsidR="00FF3ACF" w:rsidRPr="000007B1" w:rsidRDefault="00FF3ACF" w:rsidP="0052567F">
      <w:pPr>
        <w:shd w:val="clear" w:color="auto" w:fill="FFFFFF" w:themeFill="background1"/>
        <w:spacing w:line="360" w:lineRule="auto"/>
        <w:jc w:val="both"/>
        <w:rPr>
          <w:rFonts w:cs="Arial"/>
          <w:b/>
          <w:bCs/>
          <w:szCs w:val="22"/>
        </w:rPr>
      </w:pPr>
    </w:p>
    <w:p w14:paraId="4D2A28BB" w14:textId="77777777" w:rsidR="00B63C46" w:rsidRPr="000007B1" w:rsidRDefault="00B63C46" w:rsidP="0052567F">
      <w:pPr>
        <w:shd w:val="clear" w:color="auto" w:fill="FFFFFF" w:themeFill="background1"/>
        <w:spacing w:line="360" w:lineRule="auto"/>
        <w:jc w:val="both"/>
        <w:rPr>
          <w:rFonts w:cs="Arial"/>
          <w:b/>
          <w:bCs/>
          <w:szCs w:val="22"/>
        </w:rPr>
      </w:pPr>
    </w:p>
    <w:p w14:paraId="6569655F" w14:textId="77777777" w:rsidR="00B63C46" w:rsidRPr="000007B1" w:rsidRDefault="00B63C46" w:rsidP="0052567F">
      <w:pPr>
        <w:shd w:val="clear" w:color="auto" w:fill="FFFFFF" w:themeFill="background1"/>
        <w:spacing w:line="360" w:lineRule="auto"/>
        <w:jc w:val="both"/>
        <w:rPr>
          <w:rFonts w:cs="Arial"/>
          <w:b/>
          <w:bCs/>
          <w:szCs w:val="22"/>
        </w:rPr>
      </w:pPr>
    </w:p>
    <w:p w14:paraId="1762ECBE" w14:textId="77777777" w:rsidR="00B63C46" w:rsidRPr="000007B1" w:rsidRDefault="00B63C46" w:rsidP="0052567F">
      <w:pPr>
        <w:shd w:val="clear" w:color="auto" w:fill="FFFFFF" w:themeFill="background1"/>
        <w:spacing w:line="360" w:lineRule="auto"/>
        <w:jc w:val="both"/>
        <w:rPr>
          <w:rFonts w:cs="Arial"/>
          <w:b/>
          <w:bCs/>
          <w:szCs w:val="22"/>
        </w:rPr>
      </w:pPr>
    </w:p>
    <w:p w14:paraId="4920F8D5" w14:textId="77777777" w:rsidR="00B63C46" w:rsidRPr="000007B1" w:rsidRDefault="00B63C46" w:rsidP="0052567F">
      <w:pPr>
        <w:shd w:val="clear" w:color="auto" w:fill="FFFFFF" w:themeFill="background1"/>
        <w:spacing w:line="360" w:lineRule="auto"/>
        <w:jc w:val="both"/>
        <w:rPr>
          <w:rFonts w:cs="Arial"/>
          <w:b/>
          <w:bCs/>
          <w:szCs w:val="22"/>
        </w:rPr>
      </w:pPr>
    </w:p>
    <w:p w14:paraId="10F6EBFB" w14:textId="77777777" w:rsidR="00B63C46" w:rsidRPr="000007B1" w:rsidRDefault="00B63C46" w:rsidP="0052567F">
      <w:pPr>
        <w:shd w:val="clear" w:color="auto" w:fill="FFFFFF" w:themeFill="background1"/>
        <w:spacing w:line="360" w:lineRule="auto"/>
        <w:jc w:val="both"/>
        <w:rPr>
          <w:rFonts w:cs="Arial"/>
          <w:b/>
          <w:bCs/>
          <w:szCs w:val="22"/>
        </w:rPr>
      </w:pPr>
    </w:p>
    <w:p w14:paraId="6BC7C589" w14:textId="77777777" w:rsidR="00B63C46" w:rsidRPr="000007B1" w:rsidRDefault="00B63C46" w:rsidP="0052567F">
      <w:pPr>
        <w:shd w:val="clear" w:color="auto" w:fill="FFFFFF" w:themeFill="background1"/>
        <w:spacing w:line="360" w:lineRule="auto"/>
        <w:jc w:val="both"/>
        <w:rPr>
          <w:rFonts w:cs="Arial"/>
          <w:b/>
          <w:bCs/>
          <w:szCs w:val="22"/>
        </w:rPr>
      </w:pPr>
    </w:p>
    <w:p w14:paraId="69F2124D" w14:textId="77777777" w:rsidR="00B63C46" w:rsidRPr="000007B1" w:rsidRDefault="00B63C46" w:rsidP="0052567F">
      <w:pPr>
        <w:shd w:val="clear" w:color="auto" w:fill="FFFFFF" w:themeFill="background1"/>
        <w:spacing w:line="360" w:lineRule="auto"/>
        <w:jc w:val="both"/>
        <w:rPr>
          <w:rFonts w:cs="Arial"/>
          <w:b/>
          <w:bCs/>
          <w:szCs w:val="22"/>
        </w:rPr>
      </w:pPr>
    </w:p>
    <w:p w14:paraId="06B505CB" w14:textId="77777777" w:rsidR="00B63C46" w:rsidRPr="000007B1" w:rsidRDefault="00B63C46" w:rsidP="0052567F">
      <w:pPr>
        <w:shd w:val="clear" w:color="auto" w:fill="FFFFFF" w:themeFill="background1"/>
        <w:spacing w:line="360" w:lineRule="auto"/>
        <w:jc w:val="both"/>
        <w:rPr>
          <w:rFonts w:cs="Arial"/>
          <w:b/>
          <w:bCs/>
          <w:szCs w:val="22"/>
        </w:rPr>
      </w:pPr>
    </w:p>
    <w:p w14:paraId="69ABECD9" w14:textId="77777777" w:rsidR="00B63C46" w:rsidRPr="000007B1" w:rsidRDefault="00B63C46" w:rsidP="0052567F">
      <w:pPr>
        <w:shd w:val="clear" w:color="auto" w:fill="FFFFFF" w:themeFill="background1"/>
        <w:spacing w:line="360" w:lineRule="auto"/>
        <w:jc w:val="both"/>
        <w:rPr>
          <w:rFonts w:cs="Arial"/>
          <w:b/>
          <w:bCs/>
          <w:szCs w:val="22"/>
        </w:rPr>
      </w:pPr>
    </w:p>
    <w:p w14:paraId="03AA3234" w14:textId="77777777" w:rsidR="00B64401" w:rsidRDefault="00B64401" w:rsidP="0052567F">
      <w:pPr>
        <w:spacing w:line="360" w:lineRule="auto"/>
        <w:jc w:val="both"/>
        <w:rPr>
          <w:rFonts w:eastAsia="Times New Roman" w:cs="Arial"/>
          <w:szCs w:val="22"/>
          <w:lang w:eastAsia="en-US"/>
        </w:rPr>
      </w:pPr>
    </w:p>
    <w:p w14:paraId="3354A18D" w14:textId="77777777" w:rsidR="00B64401" w:rsidRDefault="00B64401" w:rsidP="00B64401">
      <w:pPr>
        <w:rPr>
          <w:rFonts w:eastAsia="Times New Roman" w:cs="Arial"/>
          <w:szCs w:val="22"/>
          <w:lang w:eastAsia="en-US"/>
        </w:rPr>
      </w:pPr>
    </w:p>
    <w:p w14:paraId="50C65B97" w14:textId="77777777" w:rsidR="003F6254" w:rsidRDefault="003F6254" w:rsidP="00B64401">
      <w:pPr>
        <w:rPr>
          <w:rFonts w:eastAsia="Times New Roman" w:cs="Arial"/>
          <w:szCs w:val="22"/>
          <w:lang w:eastAsia="en-US"/>
        </w:rPr>
      </w:pPr>
    </w:p>
    <w:p w14:paraId="64B480A0" w14:textId="77777777" w:rsidR="003F6254" w:rsidRDefault="003F6254" w:rsidP="00B64401">
      <w:pPr>
        <w:rPr>
          <w:rFonts w:eastAsia="Times New Roman" w:cs="Arial"/>
          <w:szCs w:val="22"/>
          <w:lang w:eastAsia="en-US"/>
        </w:rPr>
      </w:pPr>
    </w:p>
    <w:p w14:paraId="7BB772FB" w14:textId="77777777" w:rsidR="003F6254" w:rsidRDefault="003F6254" w:rsidP="00B64401">
      <w:pPr>
        <w:rPr>
          <w:rFonts w:eastAsia="Times New Roman" w:cs="Arial"/>
          <w:szCs w:val="22"/>
          <w:lang w:eastAsia="en-US"/>
        </w:rPr>
      </w:pPr>
    </w:p>
    <w:p w14:paraId="47C306DC" w14:textId="77777777" w:rsidR="003F6254" w:rsidRDefault="003F6254" w:rsidP="00B64401">
      <w:pPr>
        <w:rPr>
          <w:rFonts w:eastAsia="Times New Roman" w:cs="Arial"/>
          <w:szCs w:val="22"/>
          <w:lang w:eastAsia="en-US"/>
        </w:rPr>
      </w:pPr>
    </w:p>
    <w:p w14:paraId="1FEB138B" w14:textId="77777777" w:rsidR="003F6254" w:rsidRDefault="003F6254" w:rsidP="00B64401">
      <w:pPr>
        <w:rPr>
          <w:rFonts w:eastAsia="Times New Roman" w:cs="Arial"/>
          <w:szCs w:val="22"/>
          <w:lang w:eastAsia="en-US"/>
        </w:rPr>
      </w:pPr>
    </w:p>
    <w:p w14:paraId="18598B5F" w14:textId="77777777" w:rsidR="003F6254" w:rsidRPr="00B64401" w:rsidRDefault="003F6254" w:rsidP="00B64401">
      <w:pPr>
        <w:rPr>
          <w:rFonts w:eastAsia="Times New Roman" w:cs="Arial"/>
          <w:szCs w:val="22"/>
          <w:lang w:eastAsia="en-US"/>
        </w:rPr>
      </w:pPr>
    </w:p>
    <w:p w14:paraId="3E44871D" w14:textId="77777777" w:rsidR="00B64401" w:rsidRPr="00B64401" w:rsidRDefault="00B64401" w:rsidP="00B64401">
      <w:pPr>
        <w:rPr>
          <w:rFonts w:eastAsia="Times New Roman" w:cs="Arial"/>
          <w:szCs w:val="22"/>
          <w:lang w:eastAsia="en-US"/>
        </w:rPr>
      </w:pPr>
    </w:p>
    <w:p w14:paraId="660047F0" w14:textId="77777777" w:rsidR="00B64401" w:rsidRDefault="00B64401" w:rsidP="00B64401">
      <w:pPr>
        <w:rPr>
          <w:rFonts w:eastAsia="Times New Roman" w:cs="Arial"/>
          <w:szCs w:val="22"/>
          <w:lang w:eastAsia="en-US"/>
        </w:rPr>
      </w:pPr>
    </w:p>
    <w:p w14:paraId="33D4AB50" w14:textId="77777777" w:rsidR="00582F45" w:rsidRDefault="00582F45" w:rsidP="00B64401">
      <w:pPr>
        <w:rPr>
          <w:rFonts w:eastAsia="Times New Roman" w:cs="Arial"/>
          <w:szCs w:val="22"/>
          <w:lang w:eastAsia="en-US"/>
        </w:rPr>
      </w:pPr>
    </w:p>
    <w:p w14:paraId="00BCEFD6" w14:textId="77777777" w:rsidR="00582F45" w:rsidRDefault="00582F45" w:rsidP="00B64401">
      <w:pPr>
        <w:rPr>
          <w:rFonts w:eastAsia="Times New Roman" w:cs="Arial"/>
          <w:szCs w:val="22"/>
          <w:lang w:eastAsia="en-US"/>
        </w:rPr>
      </w:pPr>
    </w:p>
    <w:p w14:paraId="6B499B10" w14:textId="77777777" w:rsidR="00582F45" w:rsidRPr="00B64401" w:rsidRDefault="00582F45" w:rsidP="00B64401">
      <w:pPr>
        <w:rPr>
          <w:rFonts w:eastAsia="Times New Roman" w:cs="Arial"/>
          <w:szCs w:val="22"/>
          <w:lang w:eastAsia="en-US"/>
        </w:rPr>
      </w:pPr>
    </w:p>
    <w:p w14:paraId="3BC5D1A3" w14:textId="5D47514A" w:rsidR="00CE0478" w:rsidRPr="00CE0478" w:rsidRDefault="00CE0478" w:rsidP="00CE0478">
      <w:pPr>
        <w:shd w:val="clear" w:color="auto" w:fill="FFFFFF" w:themeFill="background1"/>
        <w:spacing w:line="360" w:lineRule="auto"/>
        <w:jc w:val="both"/>
        <w:rPr>
          <w:rFonts w:cs="Arial"/>
          <w:b/>
          <w:bCs/>
          <w:sz w:val="32"/>
          <w:szCs w:val="32"/>
        </w:rPr>
      </w:pPr>
      <w:r w:rsidRPr="00CE0478">
        <w:rPr>
          <w:rFonts w:eastAsia="Times New Roman" w:cs="Arial"/>
          <w:b/>
          <w:bCs/>
          <w:szCs w:val="22"/>
          <w:lang w:eastAsia="en-US"/>
        </w:rPr>
        <w:lastRenderedPageBreak/>
        <w:t>Topic</w:t>
      </w:r>
      <w:r>
        <w:rPr>
          <w:rFonts w:eastAsia="Times New Roman" w:cs="Arial"/>
          <w:szCs w:val="22"/>
          <w:lang w:eastAsia="en-US"/>
        </w:rPr>
        <w:t xml:space="preserve"> </w:t>
      </w:r>
      <w:r w:rsidRPr="00CE0478">
        <w:rPr>
          <w:rFonts w:eastAsia="Times New Roman" w:cs="Arial"/>
          <w:szCs w:val="22"/>
          <w:lang w:eastAsia="en-US"/>
        </w:rPr>
        <w:t xml:space="preserve">- </w:t>
      </w:r>
      <w:r w:rsidRPr="00CE0478">
        <w:rPr>
          <w:rFonts w:cs="Arial"/>
          <w:szCs w:val="22"/>
        </w:rPr>
        <w:t>Social Isolation and Older Adults’ Mental Wellbeing in the UK</w:t>
      </w:r>
    </w:p>
    <w:p w14:paraId="01CEA91B" w14:textId="7931E744" w:rsidR="00B64401" w:rsidRPr="00B64401" w:rsidRDefault="00B64401" w:rsidP="00B64401">
      <w:pPr>
        <w:rPr>
          <w:rFonts w:eastAsia="Times New Roman" w:cs="Arial"/>
          <w:szCs w:val="22"/>
          <w:lang w:eastAsia="en-US"/>
        </w:rPr>
      </w:pPr>
    </w:p>
    <w:p w14:paraId="02BF887D" w14:textId="42029846" w:rsidR="006E12BD" w:rsidRPr="00F5209B" w:rsidRDefault="00B64401" w:rsidP="00BA31E0">
      <w:pPr>
        <w:pStyle w:val="Heading1"/>
        <w:spacing w:before="0" w:after="0" w:line="360" w:lineRule="auto"/>
        <w:jc w:val="both"/>
        <w:rPr>
          <w:rFonts w:eastAsia="Times New Roman" w:cs="Arial"/>
          <w:sz w:val="22"/>
          <w:szCs w:val="22"/>
          <w:lang w:eastAsia="en-US"/>
        </w:rPr>
      </w:pPr>
      <w:bookmarkStart w:id="0" w:name="_Toc237420831"/>
      <w:r w:rsidRPr="00F5209B">
        <w:rPr>
          <w:rFonts w:eastAsia="Times New Roman" w:cs="Arial"/>
          <w:sz w:val="22"/>
          <w:szCs w:val="22"/>
          <w:lang w:eastAsia="en-US"/>
        </w:rPr>
        <w:t>Abstract</w:t>
      </w:r>
      <w:bookmarkStart w:id="1" w:name="_Toc237420832"/>
      <w:bookmarkEnd w:id="0"/>
      <w:r w:rsidR="00CE0478">
        <w:rPr>
          <w:rFonts w:eastAsia="Times New Roman" w:cs="Arial"/>
          <w:sz w:val="22"/>
          <w:szCs w:val="22"/>
          <w:lang w:eastAsia="en-US"/>
        </w:rPr>
        <w:br/>
      </w:r>
      <w:r w:rsidR="006E12BD" w:rsidRPr="00F5209B">
        <w:rPr>
          <w:rFonts w:eastAsia="Times New Roman" w:cs="Arial"/>
          <w:b w:val="0"/>
          <w:bCs w:val="0"/>
          <w:kern w:val="0"/>
          <w:sz w:val="22"/>
          <w:szCs w:val="22"/>
          <w:lang w:eastAsia="en-US"/>
        </w:rPr>
        <w:t>This scoping review explores, in a systematic manner, how social isolation affects the mental wellbeing of older adults in the United Kingdom. The central question guiding the review is: what effect does social isolation have on the mental health of older people in the UK? A total of four peer-reviewed studies, published between 2016 and 2026, were selected through structured searches across PubMed, Google Scholar, and the University of Wales Trinity Saint David’s library resources, and were then assessed using thematic analysis. The analysis revealed three key, interrelated themes. First, social isolation is consistently linked to worse mental health outcomes, regardless of population characteristics or research methods. Second, the negative impacts were significantly worsened during the COVID-19 pandemic, primarily due to mandatory physical distancing and interruptions to essential services. Third, the risk of isolation and its psychological consequences is not evenly spread—older adults with disabilities and those facing socioeconomic challenges are disproportionately affected. The results strongly indicate that maintaining social connections is a crucial factor for mental health in later life, with clear relevance for public policy and service delivery. Based on these findings, the review suggests integrating routine assessments of social networks into standard health and social care practices, broadening access to social prescribing programs</w:t>
      </w:r>
      <w:r w:rsidR="00CE0478">
        <w:rPr>
          <w:rFonts w:eastAsia="Times New Roman" w:cs="Arial"/>
          <w:b w:val="0"/>
          <w:bCs w:val="0"/>
          <w:kern w:val="0"/>
          <w:sz w:val="22"/>
          <w:szCs w:val="22"/>
          <w:lang w:eastAsia="en-US"/>
        </w:rPr>
        <w:t xml:space="preserve"> </w:t>
      </w:r>
      <w:r w:rsidR="006E12BD" w:rsidRPr="00F5209B">
        <w:rPr>
          <w:rFonts w:eastAsia="Times New Roman" w:cs="Arial"/>
          <w:b w:val="0"/>
          <w:bCs w:val="0"/>
          <w:kern w:val="0"/>
          <w:sz w:val="22"/>
          <w:szCs w:val="22"/>
          <w:lang w:eastAsia="en-US"/>
        </w:rPr>
        <w:t>especially for marginalized groups</w:t>
      </w:r>
      <w:r w:rsidR="00CE0478">
        <w:rPr>
          <w:rFonts w:eastAsia="Times New Roman" w:cs="Arial"/>
          <w:b w:val="0"/>
          <w:bCs w:val="0"/>
          <w:kern w:val="0"/>
          <w:sz w:val="22"/>
          <w:szCs w:val="22"/>
          <w:lang w:eastAsia="en-US"/>
        </w:rPr>
        <w:t xml:space="preserve"> </w:t>
      </w:r>
      <w:r w:rsidR="006E12BD" w:rsidRPr="00F5209B">
        <w:rPr>
          <w:rFonts w:eastAsia="Times New Roman" w:cs="Arial"/>
          <w:b w:val="0"/>
          <w:bCs w:val="0"/>
          <w:kern w:val="0"/>
          <w:sz w:val="22"/>
          <w:szCs w:val="22"/>
          <w:lang w:eastAsia="en-US"/>
        </w:rPr>
        <w:t>and designing tailored support strategies for disabled older adults who encounter multiple obstacles to social engagement. Looking ahead, further research should focus on understanding the lasting effects of the pandemic on social ties, rigorously testing intervention models through controlled studies, and creating standardized tools to measure isolation and loneliness within UK populations.</w:t>
      </w:r>
    </w:p>
    <w:p w14:paraId="08E3DEAF" w14:textId="77777777" w:rsidR="00B64401" w:rsidRPr="00F5209B" w:rsidRDefault="00B64401" w:rsidP="00F5209B">
      <w:pPr>
        <w:pStyle w:val="Heading1"/>
        <w:spacing w:before="0" w:after="0" w:line="360" w:lineRule="auto"/>
        <w:rPr>
          <w:rFonts w:eastAsia="Times New Roman" w:cs="Arial"/>
          <w:sz w:val="22"/>
          <w:szCs w:val="22"/>
          <w:lang w:eastAsia="en-US"/>
        </w:rPr>
      </w:pPr>
      <w:r w:rsidRPr="00F5209B">
        <w:rPr>
          <w:rFonts w:eastAsia="Times New Roman" w:cs="Arial"/>
          <w:sz w:val="22"/>
          <w:szCs w:val="22"/>
          <w:lang w:eastAsia="en-US"/>
        </w:rPr>
        <w:t>Introduction</w:t>
      </w:r>
      <w:bookmarkEnd w:id="1"/>
    </w:p>
    <w:p w14:paraId="28E286B1" w14:textId="77777777" w:rsidR="00E855EE" w:rsidRPr="00F5209B" w:rsidRDefault="00B64401" w:rsidP="00F5209B">
      <w:pPr>
        <w:spacing w:line="360" w:lineRule="auto"/>
        <w:rPr>
          <w:rFonts w:eastAsia="Times New Roman" w:cs="Arial"/>
          <w:b/>
          <w:szCs w:val="22"/>
          <w:lang w:eastAsia="en-US"/>
        </w:rPr>
      </w:pPr>
      <w:r w:rsidRPr="00F5209B">
        <w:rPr>
          <w:rFonts w:eastAsia="Times New Roman" w:cs="Arial"/>
          <w:b/>
          <w:szCs w:val="22"/>
          <w:lang w:eastAsia="en-US"/>
        </w:rPr>
        <w:t>Definition of Main Concepts</w:t>
      </w:r>
    </w:p>
    <w:p w14:paraId="1555F7BB" w14:textId="0596DD8E" w:rsidR="005A0E58" w:rsidRPr="00F5209B" w:rsidRDefault="005A0E58" w:rsidP="00F5209B">
      <w:pPr>
        <w:spacing w:line="360" w:lineRule="auto"/>
        <w:jc w:val="both"/>
        <w:rPr>
          <w:rFonts w:eastAsia="Times New Roman" w:cs="Arial"/>
          <w:szCs w:val="22"/>
          <w:lang w:eastAsia="en-US"/>
        </w:rPr>
      </w:pPr>
      <w:r w:rsidRPr="00F5209B">
        <w:rPr>
          <w:rFonts w:eastAsia="Times New Roman" w:cs="Arial"/>
          <w:szCs w:val="22"/>
          <w:lang w:eastAsia="en-US"/>
        </w:rPr>
        <w:t xml:space="preserve">Social isolation describes the measurable absence of </w:t>
      </w:r>
      <w:r w:rsidR="00B344B9" w:rsidRPr="00F5209B">
        <w:rPr>
          <w:rFonts w:eastAsia="Times New Roman" w:cs="Arial"/>
          <w:szCs w:val="22"/>
          <w:lang w:eastAsia="en-US"/>
        </w:rPr>
        <w:t xml:space="preserve">   </w:t>
      </w:r>
      <w:r w:rsidRPr="00F5209B">
        <w:rPr>
          <w:rFonts w:eastAsia="Times New Roman" w:cs="Arial"/>
          <w:szCs w:val="22"/>
          <w:lang w:eastAsia="en-US"/>
        </w:rPr>
        <w:t>social ties, interactions, or involvement in community life (Hawkley and Cacioppo, 2010; Holt-</w:t>
      </w:r>
      <w:proofErr w:type="spellStart"/>
      <w:r w:rsidRPr="00F5209B">
        <w:rPr>
          <w:rFonts w:eastAsia="Times New Roman" w:cs="Arial"/>
          <w:szCs w:val="22"/>
          <w:lang w:eastAsia="en-US"/>
        </w:rPr>
        <w:t>Lunstad</w:t>
      </w:r>
      <w:proofErr w:type="spellEnd"/>
      <w:r w:rsidRPr="00F5209B">
        <w:rPr>
          <w:rFonts w:eastAsia="Times New Roman" w:cs="Arial"/>
          <w:szCs w:val="22"/>
          <w:lang w:eastAsia="en-US"/>
        </w:rPr>
        <w:t xml:space="preserve"> et al., 2015). It can be assessed using concrete factors like how often a person interacts socially, the size of their social network, and their level of engagement in group activities. In contrast, loneliness is a personal experience</w:t>
      </w:r>
      <w:r w:rsidR="00CE0478">
        <w:rPr>
          <w:rFonts w:eastAsia="Times New Roman" w:cs="Arial"/>
          <w:szCs w:val="22"/>
          <w:lang w:eastAsia="en-US"/>
        </w:rPr>
        <w:t xml:space="preserve"> </w:t>
      </w:r>
      <w:r w:rsidRPr="00F5209B">
        <w:rPr>
          <w:rFonts w:eastAsia="Times New Roman" w:cs="Arial"/>
          <w:szCs w:val="22"/>
          <w:lang w:eastAsia="en-US"/>
        </w:rPr>
        <w:t>the emotional sense of lacking meaningful connections</w:t>
      </w:r>
      <w:r w:rsidR="00CE0478">
        <w:rPr>
          <w:rFonts w:eastAsia="Times New Roman" w:cs="Arial"/>
          <w:szCs w:val="22"/>
          <w:lang w:eastAsia="en-US"/>
        </w:rPr>
        <w:t xml:space="preserve"> </w:t>
      </w:r>
      <w:r w:rsidRPr="00F5209B">
        <w:rPr>
          <w:rFonts w:eastAsia="Times New Roman" w:cs="Arial"/>
          <w:szCs w:val="22"/>
          <w:lang w:eastAsia="en-US"/>
        </w:rPr>
        <w:t xml:space="preserve">triggered when someone’s actual relationships fall short of what they desire (Cacioppo and Patrick, 2008). While distinct, these two concepts are closely linked: isolation often results in feelings of loneliness, and </w:t>
      </w:r>
      <w:r w:rsidRPr="00F5209B">
        <w:rPr>
          <w:rFonts w:eastAsia="Times New Roman" w:cs="Arial"/>
          <w:szCs w:val="22"/>
          <w:lang w:eastAsia="en-US"/>
        </w:rPr>
        <w:lastRenderedPageBreak/>
        <w:t>loneliness can lead to further social retreat, reinforcing isolation. This feedback loop becomes especially challenging to disrupt as people age (Cacioppo et al., 2006).</w:t>
      </w:r>
    </w:p>
    <w:p w14:paraId="1E0D7772" w14:textId="77777777" w:rsidR="005A0E58" w:rsidRPr="00F5209B" w:rsidRDefault="005A0E58" w:rsidP="00F5209B">
      <w:pPr>
        <w:spacing w:line="360" w:lineRule="auto"/>
        <w:jc w:val="both"/>
        <w:rPr>
          <w:rFonts w:eastAsia="Times New Roman" w:cs="Arial"/>
          <w:szCs w:val="22"/>
          <w:lang w:eastAsia="en-US"/>
        </w:rPr>
      </w:pPr>
    </w:p>
    <w:p w14:paraId="05AC1C95" w14:textId="3D3753F8" w:rsidR="00E855EE" w:rsidRPr="00F5209B" w:rsidRDefault="005A0E58" w:rsidP="00F5209B">
      <w:pPr>
        <w:spacing w:line="360" w:lineRule="auto"/>
        <w:jc w:val="both"/>
        <w:rPr>
          <w:rFonts w:eastAsia="Times New Roman" w:cs="Arial"/>
          <w:szCs w:val="22"/>
          <w:lang w:eastAsia="en-US"/>
        </w:rPr>
      </w:pPr>
      <w:r w:rsidRPr="00F5209B">
        <w:rPr>
          <w:rFonts w:eastAsia="Times New Roman" w:cs="Arial"/>
          <w:szCs w:val="22"/>
          <w:lang w:eastAsia="en-US"/>
        </w:rPr>
        <w:t xml:space="preserve">In this review, older adults refer to individuals aged 50 and over, aligning with UK research standards set by the Department for Work and Pensions (2017) and used in large-scale studies like the English Longitudinal Study of Ageing (Green et al., 2021). This age cutoff </w:t>
      </w:r>
      <w:proofErr w:type="spellStart"/>
      <w:r w:rsidRPr="00F5209B">
        <w:rPr>
          <w:rFonts w:eastAsia="Times New Roman" w:cs="Arial"/>
          <w:szCs w:val="22"/>
          <w:lang w:eastAsia="en-US"/>
        </w:rPr>
        <w:t>recognises</w:t>
      </w:r>
      <w:proofErr w:type="spellEnd"/>
      <w:r w:rsidRPr="00F5209B">
        <w:rPr>
          <w:rFonts w:eastAsia="Times New Roman" w:cs="Arial"/>
          <w:szCs w:val="22"/>
          <w:lang w:eastAsia="en-US"/>
        </w:rPr>
        <w:t xml:space="preserve"> that the effects of ageing and social disconnection can emerge well before typical retirement, particularly among those facing unstable work situations or ongoing health issues. Mental wellbeing here goes beyond the mere absence of mental illness, including positive psychological functioning, emotional strength, and the ability to pursue and achieve personal goals (NHS England, 2019; Tennant et al., 2007). The Warwick-Edinburgh Mental Wellbeing Scale (WEMWBS) reflects this broad concept by integrating both hedonic aspects</w:t>
      </w:r>
      <w:r w:rsidR="00CE0478">
        <w:rPr>
          <w:rFonts w:eastAsia="Times New Roman" w:cs="Arial"/>
          <w:szCs w:val="22"/>
          <w:lang w:eastAsia="en-US"/>
        </w:rPr>
        <w:t xml:space="preserve"> </w:t>
      </w:r>
      <w:r w:rsidRPr="00F5209B">
        <w:rPr>
          <w:rFonts w:eastAsia="Times New Roman" w:cs="Arial"/>
          <w:szCs w:val="22"/>
          <w:lang w:eastAsia="en-US"/>
        </w:rPr>
        <w:t>such as happiness and pleasure</w:t>
      </w:r>
      <w:r w:rsidR="00CE0478">
        <w:rPr>
          <w:rFonts w:eastAsia="Times New Roman" w:cs="Arial"/>
          <w:szCs w:val="22"/>
          <w:lang w:eastAsia="en-US"/>
        </w:rPr>
        <w:t xml:space="preserve"> </w:t>
      </w:r>
      <w:r w:rsidRPr="00F5209B">
        <w:rPr>
          <w:rFonts w:eastAsia="Times New Roman" w:cs="Arial"/>
          <w:szCs w:val="22"/>
          <w:lang w:eastAsia="en-US"/>
        </w:rPr>
        <w:t xml:space="preserve">and eudaimonic elements like purpose and </w:t>
      </w:r>
      <w:proofErr w:type="spellStart"/>
      <w:r w:rsidRPr="00F5209B">
        <w:rPr>
          <w:rFonts w:eastAsia="Times New Roman" w:cs="Arial"/>
          <w:szCs w:val="22"/>
          <w:lang w:eastAsia="en-US"/>
        </w:rPr>
        <w:t>self-fulfilment</w:t>
      </w:r>
      <w:proofErr w:type="spellEnd"/>
      <w:r w:rsidRPr="00F5209B">
        <w:rPr>
          <w:rFonts w:eastAsia="Times New Roman" w:cs="Arial"/>
          <w:szCs w:val="22"/>
          <w:lang w:eastAsia="en-US"/>
        </w:rPr>
        <w:t xml:space="preserve"> (Tennant et al., 2007).</w:t>
      </w:r>
    </w:p>
    <w:p w14:paraId="36D138E3" w14:textId="77777777" w:rsidR="005A0E58" w:rsidRPr="00F5209B" w:rsidRDefault="005A0E58" w:rsidP="00F5209B">
      <w:pPr>
        <w:spacing w:line="360" w:lineRule="auto"/>
        <w:jc w:val="both"/>
        <w:rPr>
          <w:rFonts w:eastAsia="Times New Roman" w:cs="Arial"/>
          <w:szCs w:val="22"/>
          <w:lang w:eastAsia="en-US"/>
        </w:rPr>
      </w:pPr>
    </w:p>
    <w:p w14:paraId="138039DE" w14:textId="77777777" w:rsidR="00E855EE" w:rsidRPr="00F5209B" w:rsidRDefault="00E855EE" w:rsidP="00F5209B">
      <w:pPr>
        <w:spacing w:line="360" w:lineRule="auto"/>
        <w:rPr>
          <w:rFonts w:eastAsia="Times New Roman" w:cs="Arial"/>
          <w:b/>
          <w:szCs w:val="22"/>
          <w:lang w:eastAsia="en-US"/>
        </w:rPr>
      </w:pPr>
      <w:r w:rsidRPr="00F5209B">
        <w:rPr>
          <w:rFonts w:eastAsia="Times New Roman" w:cs="Arial"/>
          <w:b/>
          <w:szCs w:val="22"/>
          <w:lang w:eastAsia="en-US"/>
        </w:rPr>
        <w:t>Rationale of the Research</w:t>
      </w:r>
    </w:p>
    <w:p w14:paraId="3938A9E7" w14:textId="77777777" w:rsidR="00E855EE" w:rsidRPr="00F5209B" w:rsidRDefault="00E855EE" w:rsidP="00F5209B">
      <w:pPr>
        <w:spacing w:line="360" w:lineRule="auto"/>
        <w:rPr>
          <w:rFonts w:eastAsia="Times New Roman" w:cs="Arial"/>
          <w:szCs w:val="22"/>
          <w:lang w:eastAsia="en-US"/>
        </w:rPr>
      </w:pPr>
    </w:p>
    <w:p w14:paraId="4DDADBDB" w14:textId="3B63BADF" w:rsidR="005A0E58" w:rsidRPr="00F5209B" w:rsidRDefault="005A0E58" w:rsidP="00F5209B">
      <w:pPr>
        <w:spacing w:line="360" w:lineRule="auto"/>
        <w:jc w:val="both"/>
        <w:rPr>
          <w:rFonts w:eastAsia="Times New Roman" w:cs="Arial"/>
          <w:szCs w:val="22"/>
          <w:lang w:eastAsia="en-US"/>
        </w:rPr>
      </w:pPr>
      <w:r w:rsidRPr="00F5209B">
        <w:rPr>
          <w:rFonts w:eastAsia="Times New Roman" w:cs="Arial"/>
          <w:szCs w:val="22"/>
          <w:lang w:eastAsia="en-US"/>
        </w:rPr>
        <w:t xml:space="preserve">The UK is undergoing a profound demographic shift: by 2050, around one in four people in England </w:t>
      </w:r>
      <w:proofErr w:type="gramStart"/>
      <w:r w:rsidRPr="00F5209B">
        <w:rPr>
          <w:rFonts w:eastAsia="Times New Roman" w:cs="Arial"/>
          <w:szCs w:val="22"/>
          <w:lang w:eastAsia="en-US"/>
        </w:rPr>
        <w:t>is</w:t>
      </w:r>
      <w:proofErr w:type="gramEnd"/>
      <w:r w:rsidRPr="00F5209B">
        <w:rPr>
          <w:rFonts w:eastAsia="Times New Roman" w:cs="Arial"/>
          <w:szCs w:val="22"/>
          <w:lang w:eastAsia="en-US"/>
        </w:rPr>
        <w:t xml:space="preserve"> expected to be aged 65 or older, and the number of individuals aged 85 and above is projected to double (Office for National Statistics, 2023). This long-term change underscores the growing need to understand how social conditions affect health in later life. According to Age UK (2018), more than 2 million people aged 75 and over live alone, with 1.2 million reporting persistent loneliness. The health implications are serious</w:t>
      </w:r>
      <w:r w:rsidR="00F5209B">
        <w:rPr>
          <w:rFonts w:eastAsia="Times New Roman" w:cs="Arial"/>
          <w:szCs w:val="22"/>
          <w:lang w:eastAsia="en-US"/>
        </w:rPr>
        <w:t xml:space="preserve"> </w:t>
      </w:r>
      <w:r w:rsidRPr="00F5209B">
        <w:rPr>
          <w:rFonts w:eastAsia="Times New Roman" w:cs="Arial"/>
          <w:szCs w:val="22"/>
          <w:lang w:eastAsia="en-US"/>
        </w:rPr>
        <w:t>Holt-</w:t>
      </w:r>
      <w:proofErr w:type="spellStart"/>
      <w:r w:rsidRPr="00F5209B">
        <w:rPr>
          <w:rFonts w:eastAsia="Times New Roman" w:cs="Arial"/>
          <w:szCs w:val="22"/>
          <w:lang w:eastAsia="en-US"/>
        </w:rPr>
        <w:t>Lunstad</w:t>
      </w:r>
      <w:proofErr w:type="spellEnd"/>
      <w:r w:rsidRPr="00F5209B">
        <w:rPr>
          <w:rFonts w:eastAsia="Times New Roman" w:cs="Arial"/>
          <w:szCs w:val="22"/>
          <w:lang w:eastAsia="en-US"/>
        </w:rPr>
        <w:t xml:space="preserve"> et al. (2015) found through a meta-analysis that the increased risk of death linked to social isolation is </w:t>
      </w:r>
      <w:proofErr w:type="gramStart"/>
      <w:r w:rsidRPr="00F5209B">
        <w:rPr>
          <w:rFonts w:eastAsia="Times New Roman" w:cs="Arial"/>
          <w:szCs w:val="22"/>
          <w:lang w:eastAsia="en-US"/>
        </w:rPr>
        <w:t>similar to</w:t>
      </w:r>
      <w:proofErr w:type="gramEnd"/>
      <w:r w:rsidRPr="00F5209B">
        <w:rPr>
          <w:rFonts w:eastAsia="Times New Roman" w:cs="Arial"/>
          <w:szCs w:val="22"/>
          <w:lang w:eastAsia="en-US"/>
        </w:rPr>
        <w:t xml:space="preserve"> smoking 15 cigarettes a day, surpassing risks tied to obesity and lack of physical activity.</w:t>
      </w:r>
    </w:p>
    <w:p w14:paraId="603151B3" w14:textId="77777777" w:rsidR="005A0E58" w:rsidRPr="00F5209B" w:rsidRDefault="005A0E58" w:rsidP="00F5209B">
      <w:pPr>
        <w:spacing w:line="360" w:lineRule="auto"/>
        <w:jc w:val="both"/>
        <w:rPr>
          <w:rFonts w:eastAsia="Times New Roman" w:cs="Arial"/>
          <w:szCs w:val="22"/>
          <w:lang w:eastAsia="en-US"/>
        </w:rPr>
      </w:pPr>
    </w:p>
    <w:p w14:paraId="5F182481" w14:textId="5D1D4080" w:rsidR="00E855EE" w:rsidRPr="00F5209B" w:rsidRDefault="005A0E58" w:rsidP="00F5209B">
      <w:pPr>
        <w:spacing w:line="360" w:lineRule="auto"/>
        <w:jc w:val="both"/>
        <w:rPr>
          <w:rFonts w:eastAsia="Times New Roman" w:cs="Arial"/>
          <w:szCs w:val="22"/>
          <w:lang w:eastAsia="en-US"/>
        </w:rPr>
      </w:pPr>
      <w:r w:rsidRPr="00F5209B">
        <w:rPr>
          <w:rFonts w:eastAsia="Times New Roman" w:cs="Arial"/>
          <w:szCs w:val="22"/>
          <w:lang w:eastAsia="en-US"/>
        </w:rPr>
        <w:t xml:space="preserve">The situation worsened during the COVID-19 pandemic. Research by Bu et al. (2020) showed that loneliness among adults aged 50 to 70 rose from 10% to 27% during the first national </w:t>
      </w:r>
      <w:r w:rsidR="00F5209B" w:rsidRPr="00F5209B">
        <w:rPr>
          <w:rFonts w:eastAsia="Times New Roman" w:cs="Arial"/>
          <w:szCs w:val="22"/>
          <w:lang w:eastAsia="en-US"/>
        </w:rPr>
        <w:t>lockdown,</w:t>
      </w:r>
      <w:r w:rsidR="00F5209B">
        <w:rPr>
          <w:rFonts w:eastAsia="Times New Roman" w:cs="Arial"/>
          <w:szCs w:val="22"/>
          <w:lang w:eastAsia="en-US"/>
        </w:rPr>
        <w:t xml:space="preserve"> </w:t>
      </w:r>
      <w:r w:rsidRPr="00F5209B">
        <w:rPr>
          <w:rFonts w:eastAsia="Times New Roman" w:cs="Arial"/>
          <w:szCs w:val="22"/>
          <w:lang w:eastAsia="en-US"/>
        </w:rPr>
        <w:t xml:space="preserve">a sharp increase within weeks. This rapid decline occurred even as public efforts to combat isolation intensified, including initiatives like the NHS Volunteer Responder </w:t>
      </w:r>
      <w:proofErr w:type="spellStart"/>
      <w:r w:rsidRPr="00F5209B">
        <w:rPr>
          <w:rFonts w:eastAsia="Times New Roman" w:cs="Arial"/>
          <w:szCs w:val="22"/>
          <w:lang w:eastAsia="en-US"/>
        </w:rPr>
        <w:t>programme</w:t>
      </w:r>
      <w:proofErr w:type="spellEnd"/>
      <w:r w:rsidRPr="00F5209B">
        <w:rPr>
          <w:rFonts w:eastAsia="Times New Roman" w:cs="Arial"/>
          <w:szCs w:val="22"/>
          <w:lang w:eastAsia="en-US"/>
        </w:rPr>
        <w:t xml:space="preserve"> and government campaigns promoting social contact. The crisis highlighted both the vulnerability of older adults’ social connections and the shortcomings of current support systems, especially for those without internet access or nearby family. These findings confirm that social isolation is a critical and potentially preventable public health issue demanding immediate action in UK health </w:t>
      </w:r>
      <w:r w:rsidRPr="00F5209B">
        <w:rPr>
          <w:rFonts w:eastAsia="Times New Roman" w:cs="Arial"/>
          <w:szCs w:val="22"/>
          <w:lang w:eastAsia="en-US"/>
        </w:rPr>
        <w:lastRenderedPageBreak/>
        <w:t xml:space="preserve">and social care planning. Unlike many age-related health challenges, isolation can be addressed through community </w:t>
      </w:r>
      <w:proofErr w:type="spellStart"/>
      <w:r w:rsidRPr="00F5209B">
        <w:rPr>
          <w:rFonts w:eastAsia="Times New Roman" w:cs="Arial"/>
          <w:szCs w:val="22"/>
          <w:lang w:eastAsia="en-US"/>
        </w:rPr>
        <w:t>programmes</w:t>
      </w:r>
      <w:proofErr w:type="spellEnd"/>
      <w:r w:rsidRPr="00F5209B">
        <w:rPr>
          <w:rFonts w:eastAsia="Times New Roman" w:cs="Arial"/>
          <w:szCs w:val="22"/>
          <w:lang w:eastAsia="en-US"/>
        </w:rPr>
        <w:t>, changes to living environments, and digital tools. Gaining a clearer understanding of how it affects mental wellbeing is vital for designing practical, scalable interventions that work across different population groups.</w:t>
      </w:r>
    </w:p>
    <w:p w14:paraId="3C3D58F5" w14:textId="77777777" w:rsidR="005A0E58" w:rsidRPr="00F5209B" w:rsidRDefault="005A0E58" w:rsidP="00F5209B">
      <w:pPr>
        <w:spacing w:line="360" w:lineRule="auto"/>
        <w:jc w:val="both"/>
        <w:rPr>
          <w:rFonts w:eastAsia="Times New Roman" w:cs="Arial"/>
          <w:szCs w:val="22"/>
          <w:lang w:eastAsia="en-US"/>
        </w:rPr>
      </w:pPr>
    </w:p>
    <w:p w14:paraId="188A7EA8" w14:textId="77777777" w:rsidR="00E855EE" w:rsidRPr="00F5209B" w:rsidRDefault="00E855EE" w:rsidP="00F5209B">
      <w:pPr>
        <w:spacing w:line="360" w:lineRule="auto"/>
        <w:rPr>
          <w:rFonts w:eastAsia="Times New Roman" w:cs="Arial"/>
          <w:b/>
          <w:szCs w:val="22"/>
          <w:lang w:eastAsia="en-US"/>
        </w:rPr>
      </w:pPr>
      <w:r w:rsidRPr="00F5209B">
        <w:rPr>
          <w:rFonts w:eastAsia="Times New Roman" w:cs="Arial"/>
          <w:b/>
          <w:szCs w:val="22"/>
          <w:lang w:eastAsia="en-US"/>
        </w:rPr>
        <w:t>Review Question</w:t>
      </w:r>
    </w:p>
    <w:p w14:paraId="1429A9BB" w14:textId="77777777" w:rsidR="00E855EE" w:rsidRPr="00F5209B" w:rsidRDefault="00E855EE" w:rsidP="00F5209B">
      <w:pPr>
        <w:spacing w:line="360" w:lineRule="auto"/>
        <w:rPr>
          <w:rFonts w:eastAsia="Times New Roman" w:cs="Arial"/>
          <w:szCs w:val="22"/>
          <w:lang w:eastAsia="en-US"/>
        </w:rPr>
      </w:pPr>
    </w:p>
    <w:p w14:paraId="1D613557" w14:textId="77777777" w:rsidR="00E855EE" w:rsidRPr="00F5209B" w:rsidRDefault="00E855EE" w:rsidP="00F5209B">
      <w:pPr>
        <w:spacing w:line="360" w:lineRule="auto"/>
        <w:rPr>
          <w:rFonts w:eastAsia="Times New Roman" w:cs="Arial"/>
          <w:szCs w:val="22"/>
          <w:lang w:eastAsia="en-US"/>
        </w:rPr>
      </w:pPr>
      <w:r w:rsidRPr="00F5209B">
        <w:rPr>
          <w:rFonts w:eastAsia="Times New Roman" w:cs="Arial"/>
          <w:szCs w:val="22"/>
          <w:lang w:eastAsia="en-US"/>
        </w:rPr>
        <w:t>What is the impact of social isolation on the mental wellbeing of older adults in the United Kingdom?</w:t>
      </w:r>
    </w:p>
    <w:p w14:paraId="35480C3E" w14:textId="77777777" w:rsidR="00E855EE" w:rsidRPr="00F5209B" w:rsidRDefault="00E855EE" w:rsidP="00F5209B">
      <w:pPr>
        <w:spacing w:line="360" w:lineRule="auto"/>
        <w:rPr>
          <w:rFonts w:eastAsia="Times New Roman" w:cs="Arial"/>
          <w:szCs w:val="22"/>
          <w:lang w:eastAsia="en-US"/>
        </w:rPr>
      </w:pPr>
    </w:p>
    <w:p w14:paraId="280A84DC" w14:textId="77777777" w:rsidR="00E855EE" w:rsidRPr="00F5209B" w:rsidRDefault="00E855EE" w:rsidP="00F5209B">
      <w:pPr>
        <w:spacing w:line="360" w:lineRule="auto"/>
        <w:rPr>
          <w:rFonts w:eastAsia="Times New Roman" w:cs="Arial"/>
          <w:b/>
          <w:szCs w:val="22"/>
          <w:lang w:eastAsia="en-US"/>
        </w:rPr>
      </w:pPr>
      <w:r w:rsidRPr="00F5209B">
        <w:rPr>
          <w:rFonts w:eastAsia="Times New Roman" w:cs="Arial"/>
          <w:b/>
          <w:szCs w:val="22"/>
          <w:lang w:eastAsia="en-US"/>
        </w:rPr>
        <w:t>Objectives</w:t>
      </w:r>
    </w:p>
    <w:p w14:paraId="3697B9B3" w14:textId="77777777" w:rsidR="00E855EE" w:rsidRPr="00F5209B" w:rsidRDefault="00E855EE" w:rsidP="00F5209B">
      <w:pPr>
        <w:spacing w:line="360" w:lineRule="auto"/>
        <w:rPr>
          <w:rFonts w:eastAsia="Times New Roman" w:cs="Arial"/>
          <w:szCs w:val="22"/>
          <w:lang w:eastAsia="en-US"/>
        </w:rPr>
      </w:pPr>
    </w:p>
    <w:p w14:paraId="75BBD055" w14:textId="77777777" w:rsidR="00E855EE" w:rsidRPr="00F5209B" w:rsidRDefault="00E855EE" w:rsidP="00F5209B">
      <w:pPr>
        <w:pStyle w:val="ListParagraph"/>
        <w:numPr>
          <w:ilvl w:val="0"/>
          <w:numId w:val="3"/>
        </w:numPr>
        <w:spacing w:line="360" w:lineRule="auto"/>
        <w:rPr>
          <w:rFonts w:eastAsia="Times New Roman" w:cs="Arial"/>
          <w:szCs w:val="22"/>
          <w:lang w:eastAsia="en-US"/>
        </w:rPr>
      </w:pPr>
      <w:r w:rsidRPr="00F5209B">
        <w:rPr>
          <w:rFonts w:eastAsia="Times New Roman" w:cs="Arial"/>
          <w:szCs w:val="22"/>
          <w:lang w:eastAsia="en-US"/>
        </w:rPr>
        <w:t>To define the key concepts of social isolation, loneliness, older adults and mental wellbeing.</w:t>
      </w:r>
    </w:p>
    <w:p w14:paraId="41343195" w14:textId="77777777" w:rsidR="00E855EE" w:rsidRPr="00F5209B" w:rsidRDefault="00E855EE" w:rsidP="00F5209B">
      <w:pPr>
        <w:pStyle w:val="ListParagraph"/>
        <w:numPr>
          <w:ilvl w:val="0"/>
          <w:numId w:val="3"/>
        </w:numPr>
        <w:spacing w:line="360" w:lineRule="auto"/>
        <w:rPr>
          <w:rFonts w:eastAsia="Times New Roman" w:cs="Arial"/>
          <w:szCs w:val="22"/>
          <w:lang w:eastAsia="en-US"/>
        </w:rPr>
      </w:pPr>
      <w:r w:rsidRPr="00F5209B">
        <w:rPr>
          <w:rFonts w:eastAsia="Times New Roman" w:cs="Arial"/>
          <w:szCs w:val="22"/>
          <w:lang w:eastAsia="en-US"/>
        </w:rPr>
        <w:t xml:space="preserve">To explore UK policies, strategies, services and </w:t>
      </w:r>
      <w:r w:rsidR="00BF2F57" w:rsidRPr="00F5209B">
        <w:rPr>
          <w:rFonts w:eastAsia="Times New Roman" w:cs="Arial"/>
          <w:szCs w:val="22"/>
          <w:lang w:eastAsia="en-US"/>
        </w:rPr>
        <w:t>organizations</w:t>
      </w:r>
      <w:r w:rsidRPr="00F5209B">
        <w:rPr>
          <w:rFonts w:eastAsia="Times New Roman" w:cs="Arial"/>
          <w:szCs w:val="22"/>
          <w:lang w:eastAsia="en-US"/>
        </w:rPr>
        <w:t xml:space="preserve"> relevant to social isolation and older adults' mental wellbeing.</w:t>
      </w:r>
    </w:p>
    <w:p w14:paraId="0A5EFFC4" w14:textId="77777777" w:rsidR="00E855EE" w:rsidRPr="00F5209B" w:rsidRDefault="00E855EE" w:rsidP="00F5209B">
      <w:pPr>
        <w:pStyle w:val="ListParagraph"/>
        <w:numPr>
          <w:ilvl w:val="0"/>
          <w:numId w:val="3"/>
        </w:numPr>
        <w:spacing w:line="360" w:lineRule="auto"/>
        <w:rPr>
          <w:rFonts w:eastAsia="Times New Roman" w:cs="Arial"/>
          <w:szCs w:val="22"/>
          <w:lang w:eastAsia="en-US"/>
        </w:rPr>
      </w:pPr>
      <w:r w:rsidRPr="00F5209B">
        <w:rPr>
          <w:rFonts w:eastAsia="Times New Roman" w:cs="Arial"/>
          <w:szCs w:val="22"/>
          <w:lang w:eastAsia="en-US"/>
        </w:rPr>
        <w:t>To conduct a scoping review of peer-reviewed research (2016–2026) on social isolation and mental wellbeing among UK older adults.</w:t>
      </w:r>
    </w:p>
    <w:p w14:paraId="7986C57C" w14:textId="77777777" w:rsidR="00B64401" w:rsidRPr="00F5209B" w:rsidRDefault="00E855EE" w:rsidP="00F5209B">
      <w:pPr>
        <w:pStyle w:val="ListParagraph"/>
        <w:numPr>
          <w:ilvl w:val="0"/>
          <w:numId w:val="3"/>
        </w:numPr>
        <w:spacing w:line="360" w:lineRule="auto"/>
        <w:rPr>
          <w:rFonts w:eastAsia="Times New Roman" w:cs="Arial"/>
          <w:szCs w:val="22"/>
          <w:lang w:eastAsia="en-US"/>
        </w:rPr>
      </w:pPr>
      <w:r w:rsidRPr="00F5209B">
        <w:rPr>
          <w:rFonts w:eastAsia="Times New Roman" w:cs="Arial"/>
          <w:szCs w:val="22"/>
          <w:lang w:eastAsia="en-US"/>
        </w:rPr>
        <w:t>To provide recommendations for future research and health and social care practice.</w:t>
      </w:r>
    </w:p>
    <w:p w14:paraId="42532A98" w14:textId="77777777" w:rsidR="00E855EE" w:rsidRPr="00F5209B" w:rsidRDefault="00E855EE" w:rsidP="00F5209B">
      <w:pPr>
        <w:spacing w:line="360" w:lineRule="auto"/>
        <w:rPr>
          <w:rFonts w:eastAsia="Times New Roman" w:cs="Arial"/>
          <w:szCs w:val="22"/>
          <w:lang w:eastAsia="en-US"/>
        </w:rPr>
      </w:pPr>
    </w:p>
    <w:p w14:paraId="0B95EF80" w14:textId="77777777" w:rsidR="00B64401" w:rsidRPr="00F5209B" w:rsidRDefault="00B64401" w:rsidP="00F5209B">
      <w:pPr>
        <w:pStyle w:val="Heading1"/>
        <w:spacing w:before="0" w:after="0" w:line="360" w:lineRule="auto"/>
        <w:rPr>
          <w:rFonts w:eastAsia="Times New Roman" w:cs="Arial"/>
          <w:sz w:val="22"/>
          <w:szCs w:val="22"/>
          <w:lang w:eastAsia="en-US"/>
        </w:rPr>
      </w:pPr>
      <w:bookmarkStart w:id="2" w:name="_Toc237420833"/>
      <w:r w:rsidRPr="00F5209B">
        <w:rPr>
          <w:rFonts w:eastAsia="Times New Roman" w:cs="Arial"/>
          <w:sz w:val="22"/>
          <w:szCs w:val="22"/>
          <w:lang w:eastAsia="en-US"/>
        </w:rPr>
        <w:t>Background</w:t>
      </w:r>
      <w:bookmarkEnd w:id="2"/>
    </w:p>
    <w:p w14:paraId="1211B2A8" w14:textId="574D5043" w:rsidR="00BF2F57" w:rsidRPr="00F5209B" w:rsidRDefault="00BF2F57" w:rsidP="00F5209B">
      <w:pPr>
        <w:spacing w:line="360" w:lineRule="auto"/>
        <w:jc w:val="both"/>
        <w:rPr>
          <w:rFonts w:eastAsia="Times New Roman" w:cs="Arial"/>
          <w:szCs w:val="22"/>
          <w:lang w:eastAsia="en-US"/>
        </w:rPr>
      </w:pPr>
      <w:r w:rsidRPr="00F5209B">
        <w:rPr>
          <w:rFonts w:eastAsia="Times New Roman" w:cs="Arial"/>
          <w:szCs w:val="22"/>
          <w:lang w:eastAsia="en-US"/>
        </w:rPr>
        <w:t>Social isolation among older adults has emerged as a significant issue in the UK, driven by an ageing population and growing recognition of mental health challenges in later life (Age UK, 2018; Burholt et al., 2020). While ageing itself is not inherently problematic, various life changes can limit social engagement for older people. These include retirement and the loss of workplace connections, the death of spouses or peers, declining health, physical or sensory impairments, disabilities, limited transport options</w:t>
      </w:r>
      <w:r w:rsidR="00CE0478">
        <w:rPr>
          <w:rFonts w:eastAsia="Times New Roman" w:cs="Arial"/>
          <w:szCs w:val="22"/>
          <w:lang w:eastAsia="en-US"/>
        </w:rPr>
        <w:t xml:space="preserve"> </w:t>
      </w:r>
      <w:r w:rsidRPr="00F5209B">
        <w:rPr>
          <w:rFonts w:eastAsia="Times New Roman" w:cs="Arial"/>
          <w:szCs w:val="22"/>
          <w:lang w:eastAsia="en-US"/>
        </w:rPr>
        <w:t>especially in rural and suburban areas</w:t>
      </w:r>
      <w:r w:rsidR="00F5209B">
        <w:rPr>
          <w:rFonts w:eastAsia="Times New Roman" w:cs="Arial"/>
          <w:szCs w:val="22"/>
          <w:lang w:eastAsia="en-US"/>
        </w:rPr>
        <w:t xml:space="preserve"> </w:t>
      </w:r>
      <w:r w:rsidRPr="00F5209B">
        <w:rPr>
          <w:rFonts w:eastAsia="Times New Roman" w:cs="Arial"/>
          <w:szCs w:val="22"/>
          <w:lang w:eastAsia="en-US"/>
        </w:rPr>
        <w:t>and living alone without nearby family support (Beach and Bamford, 2020; Green et al., 2021).</w:t>
      </w:r>
    </w:p>
    <w:p w14:paraId="4BFF9080" w14:textId="77777777" w:rsidR="00BF2F57" w:rsidRPr="00F5209B" w:rsidRDefault="00BF2F57" w:rsidP="00F5209B">
      <w:pPr>
        <w:spacing w:line="360" w:lineRule="auto"/>
        <w:jc w:val="both"/>
        <w:rPr>
          <w:rFonts w:eastAsia="Times New Roman" w:cs="Arial"/>
          <w:szCs w:val="22"/>
          <w:lang w:eastAsia="en-US"/>
        </w:rPr>
      </w:pPr>
    </w:p>
    <w:p w14:paraId="2657648E" w14:textId="77777777" w:rsidR="00BF2F57" w:rsidRPr="00F5209B" w:rsidRDefault="00BF2F57" w:rsidP="00F5209B">
      <w:pPr>
        <w:spacing w:line="360" w:lineRule="auto"/>
        <w:jc w:val="both"/>
        <w:rPr>
          <w:rFonts w:eastAsia="Times New Roman" w:cs="Arial"/>
          <w:szCs w:val="22"/>
          <w:lang w:eastAsia="en-US"/>
        </w:rPr>
      </w:pPr>
      <w:r w:rsidRPr="00F5209B">
        <w:rPr>
          <w:rFonts w:eastAsia="Times New Roman" w:cs="Arial"/>
          <w:szCs w:val="22"/>
          <w:lang w:eastAsia="en-US"/>
        </w:rPr>
        <w:t xml:space="preserve">Policy responses to these challenges have developed over time. The Care Act 2014 (HM Government, 2014) introduced legal responsibilities focused on preventing care needs and promoting overall wellbeing, with social </w:t>
      </w:r>
      <w:proofErr w:type="gramStart"/>
      <w:r w:rsidRPr="00F5209B">
        <w:rPr>
          <w:rFonts w:eastAsia="Times New Roman" w:cs="Arial"/>
          <w:szCs w:val="22"/>
          <w:lang w:eastAsia="en-US"/>
        </w:rPr>
        <w:t>wellbeing</w:t>
      </w:r>
      <w:proofErr w:type="gramEnd"/>
      <w:r w:rsidRPr="00F5209B">
        <w:rPr>
          <w:rFonts w:eastAsia="Times New Roman" w:cs="Arial"/>
          <w:szCs w:val="22"/>
          <w:lang w:eastAsia="en-US"/>
        </w:rPr>
        <w:t xml:space="preserve"> explicitly included. Local authorities are required to support wellbeing in all decisions, </w:t>
      </w:r>
      <w:proofErr w:type="gramStart"/>
      <w:r w:rsidRPr="00F5209B">
        <w:rPr>
          <w:rFonts w:eastAsia="Times New Roman" w:cs="Arial"/>
          <w:szCs w:val="22"/>
          <w:lang w:eastAsia="en-US"/>
        </w:rPr>
        <w:t>taking into account</w:t>
      </w:r>
      <w:proofErr w:type="gramEnd"/>
      <w:r w:rsidRPr="00F5209B">
        <w:rPr>
          <w:rFonts w:eastAsia="Times New Roman" w:cs="Arial"/>
          <w:szCs w:val="22"/>
          <w:lang w:eastAsia="en-US"/>
        </w:rPr>
        <w:t xml:space="preserve"> personal preferences, dignity, and opportunities for community involvement. The </w:t>
      </w:r>
      <w:r w:rsidRPr="00F5209B">
        <w:rPr>
          <w:rFonts w:eastAsia="Times New Roman" w:cs="Arial"/>
          <w:szCs w:val="22"/>
          <w:lang w:eastAsia="en-US"/>
        </w:rPr>
        <w:lastRenderedPageBreak/>
        <w:t>Equality Act 2010 safeguards older individuals from service access discrimination, while the 2011 Specific Duties Regulations oblige public bodies to actively promote equal opportunities across age groups and other protected characteristics.</w:t>
      </w:r>
    </w:p>
    <w:p w14:paraId="01B95E34" w14:textId="77777777" w:rsidR="00BF2F57" w:rsidRPr="00F5209B" w:rsidRDefault="00BF2F57" w:rsidP="00F5209B">
      <w:pPr>
        <w:spacing w:line="360" w:lineRule="auto"/>
        <w:jc w:val="both"/>
        <w:rPr>
          <w:rFonts w:eastAsia="Times New Roman" w:cs="Arial"/>
          <w:szCs w:val="22"/>
          <w:lang w:eastAsia="en-US"/>
        </w:rPr>
      </w:pPr>
      <w:r w:rsidRPr="00F5209B">
        <w:rPr>
          <w:rFonts w:eastAsia="Times New Roman" w:cs="Arial"/>
          <w:szCs w:val="22"/>
          <w:lang w:eastAsia="en-US"/>
        </w:rPr>
        <w:t>Further progress was made when the Department for Digital, Culture, Media and Sport (2018) launched A Connected Society: A Strategy for Tackling Loneliness, the first national strategy of its kind globally. This framework positioned loneliness as a cross-cutting policy priority, integrated it into health and social care planning, and introduced measures to track national progress. It emphasized coordinated efforts across government, local services, communities, and agencies, acknowledging that no single solution could address the complex causes of isolation.</w:t>
      </w:r>
    </w:p>
    <w:p w14:paraId="3F5F905C" w14:textId="2742A2EC" w:rsidR="00BF2F57" w:rsidRPr="00F5209B" w:rsidRDefault="00BF2F57" w:rsidP="00F5209B">
      <w:pPr>
        <w:spacing w:line="360" w:lineRule="auto"/>
        <w:jc w:val="both"/>
        <w:rPr>
          <w:rFonts w:eastAsia="Times New Roman" w:cs="Arial"/>
          <w:szCs w:val="22"/>
          <w:lang w:eastAsia="en-US"/>
        </w:rPr>
      </w:pPr>
      <w:r w:rsidRPr="00F5209B">
        <w:rPr>
          <w:rFonts w:eastAsia="Times New Roman" w:cs="Arial"/>
          <w:szCs w:val="22"/>
          <w:lang w:eastAsia="en-US"/>
        </w:rPr>
        <w:t>The NHS Long Term Plan (NHS England, 2019) supports preventative, individualized care models such as social prescribing. This approach allows healthcare providers to refer patients to non-clinical activities like companionship programs, exercise groups, creative arts initiatives, and advice services. Link workers help connect individuals</w:t>
      </w:r>
      <w:r w:rsidR="00CE0478">
        <w:rPr>
          <w:rFonts w:eastAsia="Times New Roman" w:cs="Arial"/>
          <w:szCs w:val="22"/>
          <w:lang w:eastAsia="en-US"/>
        </w:rPr>
        <w:t xml:space="preserve"> </w:t>
      </w:r>
      <w:r w:rsidRPr="00F5209B">
        <w:rPr>
          <w:rFonts w:eastAsia="Times New Roman" w:cs="Arial"/>
          <w:szCs w:val="22"/>
          <w:lang w:eastAsia="en-US"/>
        </w:rPr>
        <w:t>particularly those whose needs extend beyond medical treatment</w:t>
      </w:r>
      <w:r w:rsidR="00F5209B">
        <w:rPr>
          <w:rFonts w:eastAsia="Times New Roman" w:cs="Arial"/>
          <w:szCs w:val="22"/>
          <w:lang w:eastAsia="en-US"/>
        </w:rPr>
        <w:t xml:space="preserve"> </w:t>
      </w:r>
      <w:r w:rsidRPr="00F5209B">
        <w:rPr>
          <w:rFonts w:eastAsia="Times New Roman" w:cs="Arial"/>
          <w:szCs w:val="22"/>
          <w:lang w:eastAsia="en-US"/>
        </w:rPr>
        <w:t>to local resources. By 2023, more than 1,200 such workers were operating within primary care networks in England, although availability varies and research on their impact on mental health outcomes remains ongoing.</w:t>
      </w:r>
    </w:p>
    <w:p w14:paraId="5031FE5A" w14:textId="77777777" w:rsidR="00BF2F57" w:rsidRPr="00F5209B" w:rsidRDefault="00BF2F57" w:rsidP="00F5209B">
      <w:pPr>
        <w:spacing w:line="360" w:lineRule="auto"/>
        <w:jc w:val="both"/>
        <w:rPr>
          <w:rFonts w:eastAsia="Times New Roman" w:cs="Arial"/>
          <w:szCs w:val="22"/>
          <w:lang w:eastAsia="en-US"/>
        </w:rPr>
      </w:pPr>
      <w:r w:rsidRPr="00F5209B">
        <w:rPr>
          <w:rFonts w:eastAsia="Times New Roman" w:cs="Arial"/>
          <w:szCs w:val="22"/>
          <w:lang w:eastAsia="en-US"/>
        </w:rPr>
        <w:t>Reports from Age UK and the Office for National Statistics (2023) underscore the extent of loneliness, linking it to factors including ill health, disability, and household composition. Longitudinal studies such as the English Longitudinal Study of Ageing and Understanding Society offer insights into how social isolation evolves over time, while the ONS has developed experimental metrics to monitor loneliness for policy purposes. These sources show persistent disparities: older adults in the most deprived areas are almost twice as likely to report loneliness compared to those in wealthier areas, with higher risks also seen among women, people living alone, and those with long-term limiting conditions.</w:t>
      </w:r>
    </w:p>
    <w:p w14:paraId="28F7A6E0" w14:textId="3AF8F916" w:rsidR="00BF2F57" w:rsidRPr="00F5209B" w:rsidRDefault="00BF2F57" w:rsidP="00F5209B">
      <w:pPr>
        <w:spacing w:line="360" w:lineRule="auto"/>
        <w:jc w:val="both"/>
        <w:rPr>
          <w:rFonts w:eastAsia="Times New Roman" w:cs="Arial"/>
          <w:szCs w:val="22"/>
          <w:lang w:eastAsia="en-US"/>
        </w:rPr>
      </w:pPr>
      <w:r w:rsidRPr="00F5209B">
        <w:rPr>
          <w:rFonts w:eastAsia="Times New Roman" w:cs="Arial"/>
          <w:szCs w:val="22"/>
          <w:lang w:eastAsia="en-US"/>
        </w:rPr>
        <w:t>The COVID-19 pandemic heightened awareness of social isolation through a large-scale, involuntary experiment in physical distancing (Robb et al., 2020; Steptoe and Di Gessa, 2021; Bu et al., 2020). Lockdowns drastically reduced in-person contact for many older people, and those without digital access or skills were often unable to stay connected remotely (Seifert et al., 2017; Choi et al., 2021). The crisis revealed how dependent older adults are on accessible community infrastructure</w:t>
      </w:r>
      <w:r w:rsidR="00F5209B">
        <w:rPr>
          <w:rFonts w:eastAsia="Times New Roman" w:cs="Arial"/>
          <w:szCs w:val="22"/>
          <w:lang w:eastAsia="en-US"/>
        </w:rPr>
        <w:t xml:space="preserve"> </w:t>
      </w:r>
      <w:r w:rsidRPr="00F5209B">
        <w:rPr>
          <w:rFonts w:eastAsia="Times New Roman" w:cs="Arial"/>
          <w:szCs w:val="22"/>
          <w:lang w:eastAsia="en-US"/>
        </w:rPr>
        <w:t xml:space="preserve">such as day centers, meal programs, religious groups, and public </w:t>
      </w:r>
      <w:r w:rsidR="00F5209B" w:rsidRPr="00F5209B">
        <w:rPr>
          <w:rFonts w:eastAsia="Times New Roman" w:cs="Arial"/>
          <w:szCs w:val="22"/>
          <w:lang w:eastAsia="en-US"/>
        </w:rPr>
        <w:t>transport,</w:t>
      </w:r>
      <w:r w:rsidR="00F5209B">
        <w:rPr>
          <w:rFonts w:eastAsia="Times New Roman" w:cs="Arial"/>
          <w:szCs w:val="22"/>
          <w:lang w:eastAsia="en-US"/>
        </w:rPr>
        <w:t xml:space="preserve"> </w:t>
      </w:r>
      <w:r w:rsidRPr="00F5209B">
        <w:rPr>
          <w:rFonts w:eastAsia="Times New Roman" w:cs="Arial"/>
          <w:szCs w:val="22"/>
          <w:lang w:eastAsia="en-US"/>
        </w:rPr>
        <w:t>much of which was paused or scaled back during the pandemic.</w:t>
      </w:r>
    </w:p>
    <w:p w14:paraId="3FC9B398" w14:textId="0EFAF272" w:rsidR="00E855EE" w:rsidRPr="00F5209B" w:rsidRDefault="00BF2F57" w:rsidP="00F5209B">
      <w:pPr>
        <w:spacing w:line="360" w:lineRule="auto"/>
        <w:jc w:val="both"/>
        <w:rPr>
          <w:rFonts w:eastAsia="Times New Roman" w:cs="Arial"/>
          <w:szCs w:val="22"/>
          <w:lang w:eastAsia="en-US"/>
        </w:rPr>
      </w:pPr>
      <w:r w:rsidRPr="00F5209B">
        <w:rPr>
          <w:rFonts w:eastAsia="Times New Roman" w:cs="Arial"/>
          <w:szCs w:val="22"/>
          <w:lang w:eastAsia="en-US"/>
        </w:rPr>
        <w:t xml:space="preserve">This issue is central to UK health and social care practice, as mental wellbeing plays a vital role in maintaining independence, dignity, and quality of life in older age (NHS </w:t>
      </w:r>
      <w:r w:rsidRPr="00F5209B">
        <w:rPr>
          <w:rFonts w:eastAsia="Times New Roman" w:cs="Arial"/>
          <w:szCs w:val="22"/>
          <w:lang w:eastAsia="en-US"/>
        </w:rPr>
        <w:lastRenderedPageBreak/>
        <w:t>England, 2019; Age UK, 2018). Social isolation also overlaps with other key concerns, such as fall prevention, medication management, and hospital discharge delays. Effectively tackling isolation demands collaboration across health, social care, housing, transport, and community sectors, making it a critical test of the UK’s commitment to integrated care.</w:t>
      </w:r>
      <w:r w:rsidR="00BA2E73">
        <w:rPr>
          <w:rFonts w:eastAsia="Times New Roman" w:cs="Arial"/>
          <w:szCs w:val="22"/>
          <w:lang w:eastAsia="en-US"/>
        </w:rPr>
        <w:br/>
      </w:r>
    </w:p>
    <w:p w14:paraId="37FBAE5A" w14:textId="77777777" w:rsidR="00772F7A" w:rsidRPr="00F5209B" w:rsidRDefault="006A6135" w:rsidP="00F5209B">
      <w:pPr>
        <w:pStyle w:val="Heading1"/>
        <w:spacing w:before="0" w:after="0" w:line="360" w:lineRule="auto"/>
        <w:rPr>
          <w:rFonts w:eastAsia="Times New Roman" w:cs="Arial"/>
          <w:sz w:val="22"/>
          <w:szCs w:val="22"/>
          <w:lang w:eastAsia="en-US"/>
        </w:rPr>
      </w:pPr>
      <w:bookmarkStart w:id="3" w:name="_Toc237420834"/>
      <w:r w:rsidRPr="00F5209B">
        <w:rPr>
          <w:rFonts w:eastAsia="Times New Roman" w:cs="Arial"/>
          <w:sz w:val="22"/>
          <w:szCs w:val="22"/>
          <w:lang w:eastAsia="en-US"/>
        </w:rPr>
        <w:t>Methods</w:t>
      </w:r>
      <w:bookmarkEnd w:id="3"/>
    </w:p>
    <w:p w14:paraId="4D5C8E42" w14:textId="77777777" w:rsidR="00772F7A" w:rsidRPr="00F5209B" w:rsidRDefault="00BF2F57" w:rsidP="00F5209B">
      <w:pPr>
        <w:spacing w:line="360" w:lineRule="auto"/>
        <w:jc w:val="both"/>
        <w:rPr>
          <w:rFonts w:eastAsia="Times New Roman" w:cs="Arial"/>
          <w:szCs w:val="22"/>
          <w:lang w:eastAsia="en-US"/>
        </w:rPr>
      </w:pPr>
      <w:r w:rsidRPr="00F5209B">
        <w:rPr>
          <w:rFonts w:eastAsia="Times New Roman" w:cs="Arial"/>
          <w:szCs w:val="22"/>
          <w:lang w:eastAsia="en-US"/>
        </w:rPr>
        <w:t>This study employed a scoping review approach based on the framework developed by Arksey and O'Malley (2005), with later enhancements by Levac et al. (2010). Scoping reviews are particularly useful for charting the breadth, scope, and characteristics of research in emerging or complex areas, helping to clarify central concepts and highlight areas where further research is needed. In contrast to systematic reviews, they do not involve assessing the quality of individual studies, which allows for the integration of findings across a wide range of research methods.</w:t>
      </w:r>
    </w:p>
    <w:p w14:paraId="72CA5277" w14:textId="77777777" w:rsidR="00BF2F57" w:rsidRPr="00F5209B" w:rsidRDefault="00BF2F57" w:rsidP="00F5209B">
      <w:pPr>
        <w:spacing w:line="360" w:lineRule="auto"/>
        <w:jc w:val="both"/>
        <w:rPr>
          <w:rFonts w:eastAsia="Times New Roman" w:cs="Arial"/>
          <w:szCs w:val="22"/>
          <w:lang w:eastAsia="en-US"/>
        </w:rPr>
      </w:pPr>
    </w:p>
    <w:p w14:paraId="56CA8CED" w14:textId="77777777" w:rsidR="00772F7A" w:rsidRPr="00F5209B" w:rsidRDefault="00772F7A" w:rsidP="00F5209B">
      <w:pPr>
        <w:spacing w:line="360" w:lineRule="auto"/>
        <w:jc w:val="both"/>
        <w:rPr>
          <w:rFonts w:eastAsia="Times New Roman" w:cs="Arial"/>
          <w:b/>
          <w:szCs w:val="22"/>
          <w:lang w:eastAsia="en-US"/>
        </w:rPr>
      </w:pPr>
      <w:r w:rsidRPr="00F5209B">
        <w:rPr>
          <w:rFonts w:eastAsia="Times New Roman" w:cs="Arial"/>
          <w:b/>
          <w:szCs w:val="22"/>
          <w:lang w:eastAsia="en-US"/>
        </w:rPr>
        <w:t>Data Collection and Search Strategy</w:t>
      </w:r>
    </w:p>
    <w:p w14:paraId="338D36F1" w14:textId="77777777" w:rsidR="00772F7A" w:rsidRPr="00F5209B" w:rsidRDefault="00772F7A" w:rsidP="00F5209B">
      <w:pPr>
        <w:spacing w:line="360" w:lineRule="auto"/>
        <w:jc w:val="both"/>
        <w:rPr>
          <w:rFonts w:eastAsia="Times New Roman" w:cs="Arial"/>
          <w:szCs w:val="22"/>
          <w:lang w:eastAsia="en-US"/>
        </w:rPr>
      </w:pPr>
    </w:p>
    <w:p w14:paraId="4B818308" w14:textId="77777777" w:rsidR="003E76D4" w:rsidRPr="00F5209B" w:rsidRDefault="003E76D4" w:rsidP="00F5209B">
      <w:pPr>
        <w:spacing w:line="360" w:lineRule="auto"/>
        <w:jc w:val="both"/>
        <w:rPr>
          <w:rFonts w:eastAsia="Times New Roman" w:cs="Arial"/>
          <w:szCs w:val="22"/>
          <w:lang w:eastAsia="en-US"/>
        </w:rPr>
      </w:pPr>
      <w:r w:rsidRPr="00F5209B">
        <w:rPr>
          <w:rFonts w:eastAsia="Times New Roman" w:cs="Arial"/>
          <w:szCs w:val="22"/>
          <w:lang w:eastAsia="en-US"/>
        </w:rPr>
        <w:t>The literature search was carried out using PubMed, Google Scholar, and the University of Wales Trinity Saint David Library databases, in accordance with the assessment guidelines. These platforms were chosen for their extensive coverage of health and social care research: PubMed offered access to biomedical studies, Google Scholar enabled identification of interdisciplinary work, and the university library provided access to subscription-based materials. The search activity took place from 15 to 20 July 2025.</w:t>
      </w:r>
    </w:p>
    <w:p w14:paraId="428CAEAF" w14:textId="77777777" w:rsidR="003E76D4" w:rsidRPr="00F5209B" w:rsidRDefault="003E76D4" w:rsidP="00F5209B">
      <w:pPr>
        <w:spacing w:line="360" w:lineRule="auto"/>
        <w:jc w:val="both"/>
        <w:rPr>
          <w:rFonts w:eastAsia="Times New Roman" w:cs="Arial"/>
          <w:szCs w:val="22"/>
          <w:lang w:eastAsia="en-US"/>
        </w:rPr>
      </w:pPr>
    </w:p>
    <w:p w14:paraId="2A16552E" w14:textId="77777777" w:rsidR="003E76D4" w:rsidRPr="00F5209B" w:rsidRDefault="003E76D4" w:rsidP="00F5209B">
      <w:pPr>
        <w:spacing w:line="360" w:lineRule="auto"/>
        <w:jc w:val="both"/>
        <w:rPr>
          <w:rFonts w:eastAsia="Times New Roman" w:cs="Arial"/>
          <w:szCs w:val="22"/>
          <w:lang w:eastAsia="en-US"/>
        </w:rPr>
      </w:pPr>
      <w:r w:rsidRPr="00F5209B">
        <w:rPr>
          <w:rFonts w:eastAsia="Times New Roman" w:cs="Arial"/>
          <w:szCs w:val="22"/>
          <w:lang w:eastAsia="en-US"/>
        </w:rPr>
        <w:t>Searches were limited to the following criteria: publications from 2016 to 2026; written in English; focused on UK populations of adults aged 50 and over; and restricted to peer-reviewed journal articles. Key search terms were combined using Boolean logic: ("social isolation" OR "loneliness") AND ("older adult*" OR "elderly" OR "older people") AND ("mental health" OR "depression" OR "anxiety" OR "wellbeing") AND ("UK" OR "United Kingdom" OR "England" OR "Scotland" OR "Wales" OR "Northern Ireland" OR "Britain").</w:t>
      </w:r>
    </w:p>
    <w:p w14:paraId="35CE84E0" w14:textId="77777777" w:rsidR="003E76D4" w:rsidRPr="00F5209B" w:rsidRDefault="003E76D4" w:rsidP="00F5209B">
      <w:pPr>
        <w:spacing w:line="360" w:lineRule="auto"/>
        <w:jc w:val="both"/>
        <w:rPr>
          <w:rFonts w:eastAsia="Times New Roman" w:cs="Arial"/>
          <w:szCs w:val="22"/>
          <w:lang w:eastAsia="en-US"/>
        </w:rPr>
      </w:pPr>
    </w:p>
    <w:p w14:paraId="4ECC63EF" w14:textId="77777777" w:rsidR="003E76D4" w:rsidRPr="00F5209B" w:rsidRDefault="003E76D4" w:rsidP="00F5209B">
      <w:pPr>
        <w:spacing w:line="360" w:lineRule="auto"/>
        <w:jc w:val="both"/>
        <w:rPr>
          <w:rFonts w:eastAsia="Times New Roman" w:cs="Arial"/>
          <w:szCs w:val="22"/>
          <w:lang w:eastAsia="en-US"/>
        </w:rPr>
      </w:pPr>
      <w:r w:rsidRPr="00F5209B">
        <w:rPr>
          <w:rFonts w:eastAsia="Times New Roman" w:cs="Arial"/>
          <w:szCs w:val="22"/>
          <w:lang w:eastAsia="en-US"/>
        </w:rPr>
        <w:t xml:space="preserve">Articles were included if they were peer-reviewed, published between 2016 and 2026, centered on individuals aged 50 or older, explored links between social isolation or loneliness and mental health or wellbeing, involved UK-based populations, and were in English. Excluded were non-peer-reviewed materials such as reports, theses, and </w:t>
      </w:r>
      <w:r w:rsidRPr="00F5209B">
        <w:rPr>
          <w:rFonts w:eastAsia="Times New Roman" w:cs="Arial"/>
          <w:szCs w:val="22"/>
          <w:lang w:eastAsia="en-US"/>
        </w:rPr>
        <w:lastRenderedPageBreak/>
        <w:t>conference abstracts; studies involving non-UK populations; those lacking mental health or wellbeing outcomes; editorials, commentaries, and opinion articles; and research solely on institutional settings without community-based comparisons.</w:t>
      </w:r>
    </w:p>
    <w:p w14:paraId="1222AA82" w14:textId="77777777" w:rsidR="003E76D4" w:rsidRPr="00F5209B" w:rsidRDefault="003E76D4" w:rsidP="00F5209B">
      <w:pPr>
        <w:spacing w:line="360" w:lineRule="auto"/>
        <w:jc w:val="both"/>
        <w:rPr>
          <w:rFonts w:eastAsia="Times New Roman" w:cs="Arial"/>
          <w:szCs w:val="22"/>
          <w:lang w:eastAsia="en-US"/>
        </w:rPr>
      </w:pPr>
    </w:p>
    <w:p w14:paraId="56F3F92B" w14:textId="49027F71" w:rsidR="00772F7A" w:rsidRPr="00F5209B" w:rsidRDefault="003E76D4" w:rsidP="00F5209B">
      <w:pPr>
        <w:spacing w:line="360" w:lineRule="auto"/>
        <w:jc w:val="both"/>
        <w:rPr>
          <w:rFonts w:eastAsia="Times New Roman" w:cs="Arial"/>
          <w:szCs w:val="22"/>
          <w:lang w:eastAsia="en-US"/>
        </w:rPr>
      </w:pPr>
      <w:r w:rsidRPr="00F5209B">
        <w:rPr>
          <w:rFonts w:eastAsia="Times New Roman" w:cs="Arial"/>
          <w:szCs w:val="22"/>
          <w:lang w:eastAsia="en-US"/>
        </w:rPr>
        <w:t xml:space="preserve">The selection process began with screening titles, followed by evaluation of abstracts against inclusion criteria, and then full-text </w:t>
      </w:r>
      <w:proofErr w:type="gramStart"/>
      <w:r w:rsidRPr="00F5209B">
        <w:rPr>
          <w:rFonts w:eastAsia="Times New Roman" w:cs="Arial"/>
          <w:szCs w:val="22"/>
          <w:lang w:eastAsia="en-US"/>
        </w:rPr>
        <w:t>review</w:t>
      </w:r>
      <w:proofErr w:type="gramEnd"/>
      <w:r w:rsidRPr="00F5209B">
        <w:rPr>
          <w:rFonts w:eastAsia="Times New Roman" w:cs="Arial"/>
          <w:szCs w:val="22"/>
          <w:lang w:eastAsia="en-US"/>
        </w:rPr>
        <w:t xml:space="preserve"> of potentially relevant papers. The PRISMA-</w:t>
      </w:r>
      <w:proofErr w:type="spellStart"/>
      <w:r w:rsidRPr="00F5209B">
        <w:rPr>
          <w:rFonts w:eastAsia="Times New Roman" w:cs="Arial"/>
          <w:szCs w:val="22"/>
          <w:lang w:eastAsia="en-US"/>
        </w:rPr>
        <w:t>ScR</w:t>
      </w:r>
      <w:proofErr w:type="spellEnd"/>
      <w:r w:rsidRPr="00F5209B">
        <w:rPr>
          <w:rFonts w:eastAsia="Times New Roman" w:cs="Arial"/>
          <w:szCs w:val="22"/>
          <w:lang w:eastAsia="en-US"/>
        </w:rPr>
        <w:t xml:space="preserve"> framework (</w:t>
      </w:r>
      <w:proofErr w:type="spellStart"/>
      <w:r w:rsidRPr="00F5209B">
        <w:rPr>
          <w:rFonts w:eastAsia="Times New Roman" w:cs="Arial"/>
          <w:szCs w:val="22"/>
          <w:lang w:eastAsia="en-US"/>
        </w:rPr>
        <w:t>Tricco</w:t>
      </w:r>
      <w:proofErr w:type="spellEnd"/>
      <w:r w:rsidRPr="00F5209B">
        <w:rPr>
          <w:rFonts w:eastAsia="Times New Roman" w:cs="Arial"/>
          <w:szCs w:val="22"/>
          <w:lang w:eastAsia="en-US"/>
        </w:rPr>
        <w:t xml:space="preserve"> et al., 2018) guided the reporting of this process. All search activities</w:t>
      </w:r>
      <w:r w:rsidR="00F5209B">
        <w:rPr>
          <w:rFonts w:eastAsia="Times New Roman" w:cs="Arial"/>
          <w:szCs w:val="22"/>
          <w:lang w:eastAsia="en-US"/>
        </w:rPr>
        <w:t xml:space="preserve"> </w:t>
      </w:r>
      <w:r w:rsidRPr="00F5209B">
        <w:rPr>
          <w:rFonts w:eastAsia="Times New Roman" w:cs="Arial"/>
          <w:szCs w:val="22"/>
          <w:lang w:eastAsia="en-US"/>
        </w:rPr>
        <w:t>including dates, databases used, and search terms</w:t>
      </w:r>
      <w:r w:rsidR="00F5209B">
        <w:rPr>
          <w:rFonts w:eastAsia="Times New Roman" w:cs="Arial"/>
          <w:szCs w:val="22"/>
          <w:lang w:eastAsia="en-US"/>
        </w:rPr>
        <w:t xml:space="preserve"> </w:t>
      </w:r>
      <w:r w:rsidRPr="00F5209B">
        <w:rPr>
          <w:rFonts w:eastAsia="Times New Roman" w:cs="Arial"/>
          <w:szCs w:val="22"/>
          <w:lang w:eastAsia="en-US"/>
        </w:rPr>
        <w:t>were systematically recorded to support transparency and reproducibility.</w:t>
      </w:r>
    </w:p>
    <w:p w14:paraId="68AACC72" w14:textId="77777777" w:rsidR="003E76D4" w:rsidRPr="00F5209B" w:rsidRDefault="003E76D4" w:rsidP="00F5209B">
      <w:pPr>
        <w:spacing w:line="360" w:lineRule="auto"/>
        <w:jc w:val="both"/>
        <w:rPr>
          <w:rFonts w:eastAsia="Times New Roman" w:cs="Arial"/>
          <w:szCs w:val="22"/>
          <w:lang w:eastAsia="en-US"/>
        </w:rPr>
      </w:pPr>
    </w:p>
    <w:p w14:paraId="7B722BD8" w14:textId="77777777" w:rsidR="00772F7A" w:rsidRPr="00F5209B" w:rsidRDefault="00772F7A" w:rsidP="00F5209B">
      <w:pPr>
        <w:spacing w:line="360" w:lineRule="auto"/>
        <w:jc w:val="both"/>
        <w:rPr>
          <w:rFonts w:eastAsia="Times New Roman" w:cs="Arial"/>
          <w:b/>
          <w:szCs w:val="22"/>
          <w:lang w:eastAsia="en-US"/>
        </w:rPr>
      </w:pPr>
      <w:r w:rsidRPr="00F5209B">
        <w:rPr>
          <w:rFonts w:eastAsia="Times New Roman" w:cs="Arial"/>
          <w:b/>
          <w:szCs w:val="22"/>
          <w:lang w:eastAsia="en-US"/>
        </w:rPr>
        <w:t>Data Analysis</w:t>
      </w:r>
    </w:p>
    <w:p w14:paraId="6608F607" w14:textId="77777777" w:rsidR="00772F7A" w:rsidRPr="00F5209B" w:rsidRDefault="00772F7A" w:rsidP="00F5209B">
      <w:pPr>
        <w:spacing w:line="360" w:lineRule="auto"/>
        <w:jc w:val="both"/>
        <w:rPr>
          <w:rFonts w:eastAsia="Times New Roman" w:cs="Arial"/>
          <w:szCs w:val="22"/>
          <w:lang w:eastAsia="en-US"/>
        </w:rPr>
      </w:pPr>
    </w:p>
    <w:p w14:paraId="00D34E6D" w14:textId="77777777" w:rsidR="00772F7A" w:rsidRPr="00F5209B" w:rsidRDefault="003E76D4" w:rsidP="00F5209B">
      <w:pPr>
        <w:spacing w:line="360" w:lineRule="auto"/>
        <w:jc w:val="both"/>
        <w:rPr>
          <w:rFonts w:eastAsia="Times New Roman" w:cs="Arial"/>
          <w:szCs w:val="22"/>
          <w:lang w:eastAsia="en-US"/>
        </w:rPr>
      </w:pPr>
      <w:r w:rsidRPr="00F5209B">
        <w:rPr>
          <w:rFonts w:eastAsia="Times New Roman" w:cs="Arial"/>
          <w:szCs w:val="22"/>
          <w:lang w:eastAsia="en-US"/>
        </w:rPr>
        <w:t>Thematic analysis was applied to detect recurring patterns across the selected studies (Braun and Clarke, 2006). An inductive method was adopted, enabling themes to develop directly from the data instead of applying predetermined categories. The process included becoming immersed in the material through multiple readings, generating preliminary codes for relevant content, identifying potential themes, refining them by cross-checking against coded segments and the entire dataset, and finally defining and labeling the core themes. The analysis concentrated on insights related to how social isolation affects mental wellbeing, factors that influence this relationship, and differences observed among specific population subgroups.</w:t>
      </w:r>
    </w:p>
    <w:p w14:paraId="457463F2" w14:textId="77777777" w:rsidR="003E76D4" w:rsidRPr="00F5209B" w:rsidRDefault="003E76D4" w:rsidP="00F5209B">
      <w:pPr>
        <w:spacing w:line="360" w:lineRule="auto"/>
        <w:jc w:val="both"/>
        <w:rPr>
          <w:rFonts w:eastAsia="Times New Roman" w:cs="Arial"/>
          <w:szCs w:val="22"/>
          <w:lang w:eastAsia="en-US"/>
        </w:rPr>
      </w:pPr>
    </w:p>
    <w:p w14:paraId="1D2B052C" w14:textId="77777777" w:rsidR="00772F7A" w:rsidRPr="00F5209B" w:rsidRDefault="00772F7A" w:rsidP="00F5209B">
      <w:pPr>
        <w:spacing w:line="360" w:lineRule="auto"/>
        <w:jc w:val="both"/>
        <w:rPr>
          <w:rFonts w:eastAsia="Times New Roman" w:cs="Arial"/>
          <w:b/>
          <w:szCs w:val="22"/>
          <w:lang w:eastAsia="en-US"/>
        </w:rPr>
      </w:pPr>
      <w:r w:rsidRPr="00F5209B">
        <w:rPr>
          <w:rFonts w:eastAsia="Times New Roman" w:cs="Arial"/>
          <w:b/>
          <w:szCs w:val="22"/>
          <w:lang w:eastAsia="en-US"/>
        </w:rPr>
        <w:t>Ethical Considerations</w:t>
      </w:r>
    </w:p>
    <w:p w14:paraId="16722827" w14:textId="77777777" w:rsidR="00772F7A" w:rsidRPr="00F5209B" w:rsidRDefault="00772F7A" w:rsidP="00F5209B">
      <w:pPr>
        <w:spacing w:line="360" w:lineRule="auto"/>
        <w:jc w:val="both"/>
        <w:rPr>
          <w:rFonts w:eastAsia="Times New Roman" w:cs="Arial"/>
          <w:szCs w:val="22"/>
          <w:lang w:eastAsia="en-US"/>
        </w:rPr>
      </w:pPr>
    </w:p>
    <w:p w14:paraId="347B185D" w14:textId="77777777" w:rsidR="00772F7A" w:rsidRPr="00F5209B" w:rsidRDefault="003E76D4" w:rsidP="00F5209B">
      <w:pPr>
        <w:spacing w:line="360" w:lineRule="auto"/>
        <w:jc w:val="both"/>
        <w:rPr>
          <w:rFonts w:eastAsia="Times New Roman" w:cs="Arial"/>
          <w:szCs w:val="22"/>
          <w:lang w:eastAsia="en-US"/>
        </w:rPr>
      </w:pPr>
      <w:r w:rsidRPr="00F5209B">
        <w:rPr>
          <w:rFonts w:eastAsia="Times New Roman" w:cs="Arial"/>
          <w:szCs w:val="22"/>
          <w:lang w:eastAsia="en-US"/>
        </w:rPr>
        <w:t>This study was based on a secondary analysis of existing published literature and did not involve direct interaction with human participants. Ethical standards were upheld by selecting studies fairly and transparently, without favoring specific outcomes. Study features and findings were reported accurately, with proper Harvard-style citations used to credit original authors. Plagiarism was prevented through effective paraphrasing, summarizing, and direct quotation when necessary. To ensure traceability, all search processes and selection decisions were systematically documented.</w:t>
      </w:r>
    </w:p>
    <w:p w14:paraId="71628A77" w14:textId="77777777" w:rsidR="003E76D4" w:rsidRPr="00F5209B" w:rsidRDefault="003E76D4" w:rsidP="00F5209B">
      <w:pPr>
        <w:spacing w:line="360" w:lineRule="auto"/>
        <w:rPr>
          <w:rFonts w:eastAsia="Times New Roman" w:cs="Arial"/>
          <w:szCs w:val="22"/>
          <w:lang w:eastAsia="en-US"/>
        </w:rPr>
      </w:pPr>
    </w:p>
    <w:p w14:paraId="6C66D989" w14:textId="77777777" w:rsidR="006A6135" w:rsidRPr="00F5209B" w:rsidRDefault="006A6135" w:rsidP="00F5209B">
      <w:pPr>
        <w:pStyle w:val="Heading1"/>
        <w:spacing w:before="0" w:after="0" w:line="360" w:lineRule="auto"/>
        <w:rPr>
          <w:rFonts w:eastAsia="Times New Roman" w:cs="Arial"/>
          <w:sz w:val="22"/>
          <w:szCs w:val="22"/>
          <w:lang w:eastAsia="en-US"/>
        </w:rPr>
      </w:pPr>
      <w:bookmarkStart w:id="4" w:name="_Toc237420835"/>
      <w:r w:rsidRPr="00F5209B">
        <w:rPr>
          <w:rFonts w:eastAsia="Times New Roman" w:cs="Arial"/>
          <w:sz w:val="22"/>
          <w:szCs w:val="22"/>
          <w:lang w:eastAsia="en-US"/>
        </w:rPr>
        <w:t>Results</w:t>
      </w:r>
      <w:bookmarkEnd w:id="4"/>
    </w:p>
    <w:p w14:paraId="40B44299" w14:textId="77777777" w:rsidR="00772F7A" w:rsidRPr="00F5209B" w:rsidRDefault="00772F7A" w:rsidP="00F5209B">
      <w:pPr>
        <w:spacing w:line="360" w:lineRule="auto"/>
        <w:jc w:val="both"/>
        <w:rPr>
          <w:rFonts w:eastAsia="Times New Roman" w:cs="Arial"/>
          <w:b/>
          <w:szCs w:val="22"/>
          <w:lang w:eastAsia="en-US"/>
        </w:rPr>
      </w:pPr>
      <w:r w:rsidRPr="00F5209B">
        <w:rPr>
          <w:rFonts w:eastAsia="Times New Roman" w:cs="Arial"/>
          <w:b/>
          <w:szCs w:val="22"/>
          <w:lang w:eastAsia="en-US"/>
        </w:rPr>
        <w:t>Summary of Selected Studies</w:t>
      </w:r>
    </w:p>
    <w:p w14:paraId="5E6BBBBA" w14:textId="77777777" w:rsidR="00772F7A" w:rsidRPr="00F5209B" w:rsidRDefault="00772F7A" w:rsidP="00F5209B">
      <w:pPr>
        <w:spacing w:line="360" w:lineRule="auto"/>
        <w:jc w:val="both"/>
        <w:rPr>
          <w:rFonts w:eastAsia="Times New Roman" w:cs="Arial"/>
          <w:szCs w:val="22"/>
          <w:lang w:eastAsia="en-US"/>
        </w:rPr>
      </w:pPr>
    </w:p>
    <w:p w14:paraId="660DA7BC" w14:textId="77777777" w:rsidR="00772F7A" w:rsidRPr="00F5209B" w:rsidRDefault="00772F7A" w:rsidP="00F5209B">
      <w:pPr>
        <w:spacing w:line="360" w:lineRule="auto"/>
        <w:jc w:val="both"/>
        <w:rPr>
          <w:rFonts w:eastAsia="Times New Roman" w:cs="Arial"/>
          <w:szCs w:val="22"/>
          <w:lang w:eastAsia="en-US"/>
        </w:rPr>
      </w:pPr>
      <w:r w:rsidRPr="00F5209B">
        <w:rPr>
          <w:rFonts w:eastAsia="Times New Roman" w:cs="Arial"/>
          <w:szCs w:val="22"/>
          <w:lang w:eastAsia="en-US"/>
        </w:rPr>
        <w:lastRenderedPageBreak/>
        <w:t>The search identified 287 potentially relevant articles. Following title and abstract screening, 23 full-text articles were assessed. Four peer-reviewed studies met all inclusion criteria and were included in the thematic analysis (Table 2).</w:t>
      </w:r>
    </w:p>
    <w:p w14:paraId="34E8B6FB" w14:textId="77777777" w:rsidR="00772F7A" w:rsidRPr="00772F7A" w:rsidRDefault="00772F7A" w:rsidP="00772F7A">
      <w:pPr>
        <w:jc w:val="both"/>
        <w:rPr>
          <w:rFonts w:eastAsia="Times New Roman" w:cs="Arial"/>
          <w:szCs w:val="22"/>
          <w:lang w:eastAsia="en-US"/>
        </w:rPr>
      </w:pPr>
    </w:p>
    <w:p w14:paraId="5EC0934C" w14:textId="77777777" w:rsidR="00582F45" w:rsidRPr="00582F45" w:rsidRDefault="00582F45" w:rsidP="00582F45">
      <w:pPr>
        <w:jc w:val="both"/>
        <w:rPr>
          <w:rFonts w:eastAsia="Times New Roman" w:cs="Arial"/>
          <w:szCs w:val="22"/>
          <w:lang w:eastAsia="en-US"/>
        </w:rPr>
      </w:pPr>
    </w:p>
    <w:tbl>
      <w:tblPr>
        <w:tblW w:w="906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82"/>
        <w:gridCol w:w="3578"/>
        <w:gridCol w:w="4100"/>
      </w:tblGrid>
      <w:tr w:rsidR="00582F45" w:rsidRPr="00582F45" w14:paraId="12D0091D" w14:textId="77777777" w:rsidTr="00CE0478">
        <w:trPr>
          <w:trHeight w:val="341"/>
          <w:tblHeader/>
          <w:tblCellSpacing w:w="15" w:type="dxa"/>
        </w:trPr>
        <w:tc>
          <w:tcPr>
            <w:tcW w:w="0" w:type="auto"/>
            <w:vAlign w:val="center"/>
            <w:hideMark/>
          </w:tcPr>
          <w:p w14:paraId="1CDFBBD4" w14:textId="77777777" w:rsidR="00582F45" w:rsidRPr="00582F45" w:rsidRDefault="00582F45" w:rsidP="00582F45">
            <w:pPr>
              <w:jc w:val="center"/>
              <w:rPr>
                <w:rFonts w:eastAsia="Times New Roman" w:cs="Arial"/>
                <w:b/>
                <w:bCs/>
                <w:sz w:val="24"/>
                <w:szCs w:val="24"/>
                <w:lang w:eastAsia="en-US"/>
              </w:rPr>
            </w:pPr>
            <w:r w:rsidRPr="00582F45">
              <w:rPr>
                <w:rFonts w:eastAsia="Times New Roman" w:cs="Arial"/>
                <w:b/>
                <w:bCs/>
                <w:sz w:val="24"/>
                <w:szCs w:val="24"/>
                <w:lang w:eastAsia="en-US"/>
              </w:rPr>
              <w:t>Study</w:t>
            </w:r>
          </w:p>
        </w:tc>
        <w:tc>
          <w:tcPr>
            <w:tcW w:w="0" w:type="auto"/>
            <w:vAlign w:val="center"/>
            <w:hideMark/>
          </w:tcPr>
          <w:p w14:paraId="4E357919" w14:textId="77777777" w:rsidR="00582F45" w:rsidRPr="00582F45" w:rsidRDefault="00582F45" w:rsidP="00582F45">
            <w:pPr>
              <w:jc w:val="center"/>
              <w:rPr>
                <w:rFonts w:eastAsia="Times New Roman" w:cs="Arial"/>
                <w:b/>
                <w:bCs/>
                <w:sz w:val="24"/>
                <w:szCs w:val="24"/>
                <w:lang w:eastAsia="en-US"/>
              </w:rPr>
            </w:pPr>
            <w:r w:rsidRPr="00582F45">
              <w:rPr>
                <w:rFonts w:eastAsia="Times New Roman" w:cs="Arial"/>
                <w:b/>
                <w:bCs/>
                <w:sz w:val="24"/>
                <w:szCs w:val="24"/>
                <w:lang w:eastAsia="en-US"/>
              </w:rPr>
              <w:t>Design/Sample</w:t>
            </w:r>
          </w:p>
        </w:tc>
        <w:tc>
          <w:tcPr>
            <w:tcW w:w="0" w:type="auto"/>
            <w:vAlign w:val="center"/>
            <w:hideMark/>
          </w:tcPr>
          <w:p w14:paraId="7473A00D" w14:textId="77777777" w:rsidR="00582F45" w:rsidRPr="00582F45" w:rsidRDefault="00582F45" w:rsidP="00582F45">
            <w:pPr>
              <w:jc w:val="center"/>
              <w:rPr>
                <w:rFonts w:eastAsia="Times New Roman" w:cs="Arial"/>
                <w:b/>
                <w:bCs/>
                <w:sz w:val="24"/>
                <w:szCs w:val="24"/>
                <w:lang w:eastAsia="en-US"/>
              </w:rPr>
            </w:pPr>
            <w:r w:rsidRPr="00582F45">
              <w:rPr>
                <w:rFonts w:eastAsia="Times New Roman" w:cs="Arial"/>
                <w:b/>
                <w:bCs/>
                <w:sz w:val="24"/>
                <w:szCs w:val="24"/>
                <w:lang w:eastAsia="en-US"/>
              </w:rPr>
              <w:t>Key Finding</w:t>
            </w:r>
          </w:p>
        </w:tc>
      </w:tr>
      <w:tr w:rsidR="00582F45" w:rsidRPr="00582F45" w14:paraId="5BA2E7D9" w14:textId="77777777" w:rsidTr="00CE0478">
        <w:trPr>
          <w:trHeight w:val="2750"/>
          <w:tblCellSpacing w:w="15" w:type="dxa"/>
        </w:trPr>
        <w:tc>
          <w:tcPr>
            <w:tcW w:w="0" w:type="auto"/>
            <w:vAlign w:val="center"/>
            <w:hideMark/>
          </w:tcPr>
          <w:p w14:paraId="51FA50B6" w14:textId="77777777" w:rsidR="00582F45" w:rsidRPr="00582F45" w:rsidRDefault="00582F45" w:rsidP="00582F45">
            <w:pPr>
              <w:rPr>
                <w:rFonts w:eastAsia="Times New Roman" w:cs="Arial"/>
                <w:szCs w:val="22"/>
                <w:lang w:eastAsia="en-US"/>
              </w:rPr>
            </w:pPr>
            <w:r w:rsidRPr="00582F45">
              <w:rPr>
                <w:rFonts w:eastAsia="Times New Roman" w:cs="Arial"/>
                <w:b/>
                <w:bCs/>
                <w:szCs w:val="22"/>
                <w:lang w:eastAsia="en-US"/>
              </w:rPr>
              <w:t>Robb et al. (2020)</w:t>
            </w:r>
          </w:p>
        </w:tc>
        <w:tc>
          <w:tcPr>
            <w:tcW w:w="0" w:type="auto"/>
            <w:vAlign w:val="center"/>
            <w:hideMark/>
          </w:tcPr>
          <w:p w14:paraId="0AF73248" w14:textId="77777777" w:rsidR="00582F45" w:rsidRPr="00582F45" w:rsidRDefault="00582F45" w:rsidP="00582F45">
            <w:pPr>
              <w:rPr>
                <w:rFonts w:eastAsia="Times New Roman" w:cs="Arial"/>
                <w:szCs w:val="22"/>
                <w:lang w:eastAsia="en-US"/>
              </w:rPr>
            </w:pPr>
            <w:r w:rsidRPr="00582F45">
              <w:rPr>
                <w:rFonts w:eastAsia="Times New Roman" w:cs="Arial"/>
                <w:szCs w:val="22"/>
                <w:lang w:eastAsia="en-US"/>
              </w:rPr>
              <w:t xml:space="preserve">Cross-sectional study involving </w:t>
            </w:r>
            <w:r w:rsidRPr="00582F45">
              <w:rPr>
                <w:rFonts w:eastAsia="Times New Roman" w:cs="Arial"/>
                <w:b/>
                <w:bCs/>
                <w:szCs w:val="22"/>
                <w:lang w:eastAsia="en-US"/>
              </w:rPr>
              <w:t>1,049 adults aged 50 years and older living in London</w:t>
            </w:r>
            <w:r w:rsidRPr="00582F45">
              <w:rPr>
                <w:rFonts w:eastAsia="Times New Roman" w:cs="Arial"/>
                <w:szCs w:val="22"/>
                <w:lang w:eastAsia="en-US"/>
              </w:rPr>
              <w:t>. The study examined the relationship between social isolation and mental health during the COVID-19 pandemic.</w:t>
            </w:r>
          </w:p>
        </w:tc>
        <w:tc>
          <w:tcPr>
            <w:tcW w:w="0" w:type="auto"/>
            <w:vAlign w:val="center"/>
            <w:hideMark/>
          </w:tcPr>
          <w:p w14:paraId="4850B7AB" w14:textId="77777777" w:rsidR="00582F45" w:rsidRPr="00582F45" w:rsidRDefault="00582F45" w:rsidP="00582F45">
            <w:pPr>
              <w:rPr>
                <w:rFonts w:eastAsia="Times New Roman" w:cs="Arial"/>
                <w:szCs w:val="22"/>
                <w:lang w:eastAsia="en-US"/>
              </w:rPr>
            </w:pPr>
            <w:r w:rsidRPr="00582F45">
              <w:rPr>
                <w:rFonts w:eastAsia="Times New Roman" w:cs="Arial"/>
                <w:szCs w:val="22"/>
                <w:lang w:eastAsia="en-US"/>
              </w:rPr>
              <w:t xml:space="preserve">Greater levels of social isolation were associated with </w:t>
            </w:r>
            <w:r w:rsidRPr="00582F45">
              <w:rPr>
                <w:rFonts w:eastAsia="Times New Roman" w:cs="Arial"/>
                <w:b/>
                <w:bCs/>
                <w:szCs w:val="22"/>
                <w:lang w:eastAsia="en-US"/>
              </w:rPr>
              <w:t>higher levels of anxiety and depression</w:t>
            </w:r>
            <w:r w:rsidRPr="00582F45">
              <w:rPr>
                <w:rFonts w:eastAsia="Times New Roman" w:cs="Arial"/>
                <w:szCs w:val="22"/>
                <w:lang w:eastAsia="en-US"/>
              </w:rPr>
              <w:t xml:space="preserve"> among older adults during the COVID-19 pandemic. The findings suggest that reduced social contact was an important factor associated with poorer mental wellbeing during the period of restrictions.</w:t>
            </w:r>
          </w:p>
        </w:tc>
      </w:tr>
      <w:tr w:rsidR="00582F45" w:rsidRPr="00582F45" w14:paraId="22BA0BF6" w14:textId="77777777" w:rsidTr="00CE0478">
        <w:trPr>
          <w:trHeight w:val="2763"/>
          <w:tblCellSpacing w:w="15" w:type="dxa"/>
        </w:trPr>
        <w:tc>
          <w:tcPr>
            <w:tcW w:w="0" w:type="auto"/>
            <w:vAlign w:val="center"/>
            <w:hideMark/>
          </w:tcPr>
          <w:p w14:paraId="13A549AD" w14:textId="77777777" w:rsidR="00582F45" w:rsidRPr="00582F45" w:rsidRDefault="00582F45" w:rsidP="00582F45">
            <w:pPr>
              <w:rPr>
                <w:rFonts w:eastAsia="Times New Roman" w:cs="Arial"/>
                <w:szCs w:val="22"/>
                <w:lang w:eastAsia="en-US"/>
              </w:rPr>
            </w:pPr>
            <w:r w:rsidRPr="00582F45">
              <w:rPr>
                <w:rFonts w:eastAsia="Times New Roman" w:cs="Arial"/>
                <w:b/>
                <w:bCs/>
                <w:szCs w:val="22"/>
                <w:lang w:eastAsia="en-US"/>
              </w:rPr>
              <w:t>Green et al. (2021)</w:t>
            </w:r>
          </w:p>
        </w:tc>
        <w:tc>
          <w:tcPr>
            <w:tcW w:w="0" w:type="auto"/>
            <w:vAlign w:val="center"/>
            <w:hideMark/>
          </w:tcPr>
          <w:p w14:paraId="47081D28" w14:textId="77777777" w:rsidR="00582F45" w:rsidRPr="00582F45" w:rsidRDefault="00582F45" w:rsidP="00582F45">
            <w:pPr>
              <w:rPr>
                <w:rFonts w:eastAsia="Times New Roman" w:cs="Arial"/>
                <w:szCs w:val="22"/>
                <w:lang w:eastAsia="en-US"/>
              </w:rPr>
            </w:pPr>
            <w:r w:rsidRPr="00582F45">
              <w:rPr>
                <w:rFonts w:eastAsia="Times New Roman" w:cs="Arial"/>
                <w:szCs w:val="22"/>
                <w:lang w:eastAsia="en-US"/>
              </w:rPr>
              <w:t xml:space="preserve">Longitudinal cohort study using data from the </w:t>
            </w:r>
            <w:r w:rsidRPr="00582F45">
              <w:rPr>
                <w:rFonts w:eastAsia="Times New Roman" w:cs="Arial"/>
                <w:b/>
                <w:bCs/>
                <w:szCs w:val="22"/>
                <w:lang w:eastAsia="en-US"/>
              </w:rPr>
              <w:t>English Longitudinal Study of Ageing (ELSA)</w:t>
            </w:r>
            <w:r w:rsidRPr="00582F45">
              <w:rPr>
                <w:rFonts w:eastAsia="Times New Roman" w:cs="Arial"/>
                <w:szCs w:val="22"/>
                <w:lang w:eastAsia="en-US"/>
              </w:rPr>
              <w:t xml:space="preserve"> in England. The study examined changes in social contact and their relationship with mental health.</w:t>
            </w:r>
          </w:p>
        </w:tc>
        <w:tc>
          <w:tcPr>
            <w:tcW w:w="0" w:type="auto"/>
            <w:vAlign w:val="center"/>
            <w:hideMark/>
          </w:tcPr>
          <w:p w14:paraId="1D5360EC" w14:textId="77777777" w:rsidR="00582F45" w:rsidRPr="00582F45" w:rsidRDefault="00582F45" w:rsidP="00582F45">
            <w:pPr>
              <w:rPr>
                <w:rFonts w:eastAsia="Times New Roman" w:cs="Arial"/>
                <w:szCs w:val="22"/>
                <w:lang w:eastAsia="en-US"/>
              </w:rPr>
            </w:pPr>
            <w:r w:rsidRPr="00582F45">
              <w:rPr>
                <w:rFonts w:eastAsia="Times New Roman" w:cs="Arial"/>
                <w:szCs w:val="22"/>
                <w:lang w:eastAsia="en-US"/>
              </w:rPr>
              <w:t xml:space="preserve">Reduced social contact was associated with </w:t>
            </w:r>
            <w:r w:rsidRPr="00582F45">
              <w:rPr>
                <w:rFonts w:eastAsia="Times New Roman" w:cs="Arial"/>
                <w:b/>
                <w:bCs/>
                <w:szCs w:val="22"/>
                <w:lang w:eastAsia="en-US"/>
              </w:rPr>
              <w:t>increased depressive symptoms</w:t>
            </w:r>
            <w:r w:rsidRPr="00582F45">
              <w:rPr>
                <w:rFonts w:eastAsia="Times New Roman" w:cs="Arial"/>
                <w:szCs w:val="22"/>
                <w:lang w:eastAsia="en-US"/>
              </w:rPr>
              <w:t xml:space="preserve">. The study also found that social contact helped explain or mediate </w:t>
            </w:r>
            <w:r w:rsidRPr="00582F45">
              <w:rPr>
                <w:rFonts w:eastAsia="Times New Roman" w:cs="Arial"/>
                <w:b/>
                <w:bCs/>
                <w:szCs w:val="22"/>
                <w:lang w:eastAsia="en-US"/>
              </w:rPr>
              <w:t>socioeconomic inequalities in mental health</w:t>
            </w:r>
            <w:r w:rsidRPr="00582F45">
              <w:rPr>
                <w:rFonts w:eastAsia="Times New Roman" w:cs="Arial"/>
                <w:szCs w:val="22"/>
                <w:lang w:eastAsia="en-US"/>
              </w:rPr>
              <w:t>, suggesting that differences in social interaction contributed to unequal mental health outcomes.</w:t>
            </w:r>
          </w:p>
        </w:tc>
      </w:tr>
      <w:tr w:rsidR="00582F45" w:rsidRPr="00582F45" w14:paraId="5A3B4C84" w14:textId="77777777" w:rsidTr="00CE0478">
        <w:trPr>
          <w:trHeight w:val="2453"/>
          <w:tblCellSpacing w:w="15" w:type="dxa"/>
        </w:trPr>
        <w:tc>
          <w:tcPr>
            <w:tcW w:w="0" w:type="auto"/>
            <w:vAlign w:val="center"/>
            <w:hideMark/>
          </w:tcPr>
          <w:p w14:paraId="5669A81E" w14:textId="77777777" w:rsidR="00582F45" w:rsidRPr="00582F45" w:rsidRDefault="00582F45" w:rsidP="00582F45">
            <w:pPr>
              <w:rPr>
                <w:rFonts w:eastAsia="Times New Roman" w:cs="Arial"/>
                <w:szCs w:val="22"/>
                <w:lang w:eastAsia="en-US"/>
              </w:rPr>
            </w:pPr>
            <w:r w:rsidRPr="00582F45">
              <w:rPr>
                <w:rFonts w:eastAsia="Times New Roman" w:cs="Arial"/>
                <w:b/>
                <w:bCs/>
                <w:szCs w:val="22"/>
                <w:lang w:eastAsia="en-US"/>
              </w:rPr>
              <w:t>Steptoe and Di Gessa (2021)</w:t>
            </w:r>
          </w:p>
        </w:tc>
        <w:tc>
          <w:tcPr>
            <w:tcW w:w="0" w:type="auto"/>
            <w:vAlign w:val="center"/>
            <w:hideMark/>
          </w:tcPr>
          <w:p w14:paraId="2E63793E" w14:textId="77777777" w:rsidR="00582F45" w:rsidRPr="00582F45" w:rsidRDefault="00582F45" w:rsidP="00582F45">
            <w:pPr>
              <w:rPr>
                <w:rFonts w:eastAsia="Times New Roman" w:cs="Arial"/>
                <w:szCs w:val="22"/>
                <w:lang w:eastAsia="en-US"/>
              </w:rPr>
            </w:pPr>
            <w:r w:rsidRPr="00582F45">
              <w:rPr>
                <w:rFonts w:eastAsia="Times New Roman" w:cs="Arial"/>
                <w:szCs w:val="22"/>
                <w:lang w:eastAsia="en-US"/>
              </w:rPr>
              <w:t xml:space="preserve">Longitudinal cohort study conducted in </w:t>
            </w:r>
            <w:r w:rsidRPr="00582F45">
              <w:rPr>
                <w:rFonts w:eastAsia="Times New Roman" w:cs="Arial"/>
                <w:b/>
                <w:bCs/>
                <w:szCs w:val="22"/>
                <w:lang w:eastAsia="en-US"/>
              </w:rPr>
              <w:t>England among older adults, with particular attention to people living with disabilities</w:t>
            </w:r>
            <w:r w:rsidRPr="00582F45">
              <w:rPr>
                <w:rFonts w:eastAsia="Times New Roman" w:cs="Arial"/>
                <w:szCs w:val="22"/>
                <w:lang w:eastAsia="en-US"/>
              </w:rPr>
              <w:t>. The study investigated social interaction and mental health during the COVID-19 pandemic.</w:t>
            </w:r>
          </w:p>
        </w:tc>
        <w:tc>
          <w:tcPr>
            <w:tcW w:w="0" w:type="auto"/>
            <w:vAlign w:val="center"/>
            <w:hideMark/>
          </w:tcPr>
          <w:p w14:paraId="392EFA0B" w14:textId="77777777" w:rsidR="00582F45" w:rsidRPr="00582F45" w:rsidRDefault="00582F45" w:rsidP="00582F45">
            <w:pPr>
              <w:rPr>
                <w:rFonts w:eastAsia="Times New Roman" w:cs="Arial"/>
                <w:szCs w:val="22"/>
                <w:lang w:eastAsia="en-US"/>
              </w:rPr>
            </w:pPr>
            <w:r w:rsidRPr="00582F45">
              <w:rPr>
                <w:rFonts w:eastAsia="Times New Roman" w:cs="Arial"/>
                <w:szCs w:val="22"/>
                <w:lang w:eastAsia="en-US"/>
              </w:rPr>
              <w:t xml:space="preserve">Lower levels of social interaction were associated with </w:t>
            </w:r>
            <w:r w:rsidRPr="00582F45">
              <w:rPr>
                <w:rFonts w:eastAsia="Times New Roman" w:cs="Arial"/>
                <w:b/>
                <w:bCs/>
                <w:szCs w:val="22"/>
                <w:lang w:eastAsia="en-US"/>
              </w:rPr>
              <w:t>poorer mental health</w:t>
            </w:r>
            <w:r w:rsidRPr="00582F45">
              <w:rPr>
                <w:rFonts w:eastAsia="Times New Roman" w:cs="Arial"/>
                <w:szCs w:val="22"/>
                <w:lang w:eastAsia="en-US"/>
              </w:rPr>
              <w:t xml:space="preserve"> during the pandemic. Disabled older adults appeared particularly vulnerable to the negative effects of reduced social interaction and pandemic-related restrictions.</w:t>
            </w:r>
          </w:p>
        </w:tc>
      </w:tr>
      <w:tr w:rsidR="00582F45" w:rsidRPr="00582F45" w14:paraId="07D37D37" w14:textId="77777777" w:rsidTr="00CE0478">
        <w:trPr>
          <w:trHeight w:val="2750"/>
          <w:tblCellSpacing w:w="15" w:type="dxa"/>
        </w:trPr>
        <w:tc>
          <w:tcPr>
            <w:tcW w:w="0" w:type="auto"/>
            <w:vAlign w:val="center"/>
            <w:hideMark/>
          </w:tcPr>
          <w:p w14:paraId="2FF33999" w14:textId="77777777" w:rsidR="00582F45" w:rsidRPr="00582F45" w:rsidRDefault="00582F45" w:rsidP="00582F45">
            <w:pPr>
              <w:rPr>
                <w:rFonts w:eastAsia="Times New Roman" w:cs="Arial"/>
                <w:szCs w:val="22"/>
                <w:lang w:eastAsia="en-US"/>
              </w:rPr>
            </w:pPr>
            <w:r w:rsidRPr="00582F45">
              <w:rPr>
                <w:rFonts w:eastAsia="Times New Roman" w:cs="Arial"/>
                <w:b/>
                <w:bCs/>
                <w:szCs w:val="22"/>
                <w:lang w:eastAsia="en-US"/>
              </w:rPr>
              <w:t xml:space="preserve">Victor and </w:t>
            </w:r>
            <w:proofErr w:type="spellStart"/>
            <w:r w:rsidRPr="00582F45">
              <w:rPr>
                <w:rFonts w:eastAsia="Times New Roman" w:cs="Arial"/>
                <w:b/>
                <w:bCs/>
                <w:szCs w:val="22"/>
                <w:lang w:eastAsia="en-US"/>
              </w:rPr>
              <w:t>Pikhartova</w:t>
            </w:r>
            <w:proofErr w:type="spellEnd"/>
            <w:r w:rsidRPr="00582F45">
              <w:rPr>
                <w:rFonts w:eastAsia="Times New Roman" w:cs="Arial"/>
                <w:b/>
                <w:bCs/>
                <w:szCs w:val="22"/>
                <w:lang w:eastAsia="en-US"/>
              </w:rPr>
              <w:t xml:space="preserve"> (2020)</w:t>
            </w:r>
          </w:p>
        </w:tc>
        <w:tc>
          <w:tcPr>
            <w:tcW w:w="0" w:type="auto"/>
            <w:vAlign w:val="center"/>
            <w:hideMark/>
          </w:tcPr>
          <w:p w14:paraId="20F56DAA" w14:textId="77777777" w:rsidR="00582F45" w:rsidRPr="00582F45" w:rsidRDefault="00582F45" w:rsidP="00582F45">
            <w:pPr>
              <w:rPr>
                <w:rFonts w:eastAsia="Times New Roman" w:cs="Arial"/>
                <w:szCs w:val="22"/>
                <w:lang w:eastAsia="en-US"/>
              </w:rPr>
            </w:pPr>
            <w:r w:rsidRPr="00582F45">
              <w:rPr>
                <w:rFonts w:eastAsia="Times New Roman" w:cs="Arial"/>
                <w:szCs w:val="22"/>
                <w:lang w:eastAsia="en-US"/>
              </w:rPr>
              <w:t xml:space="preserve">Cross-sectional study examining </w:t>
            </w:r>
            <w:r w:rsidRPr="00582F45">
              <w:rPr>
                <w:rFonts w:eastAsia="Times New Roman" w:cs="Arial"/>
                <w:b/>
                <w:bCs/>
                <w:szCs w:val="22"/>
                <w:lang w:eastAsia="en-US"/>
              </w:rPr>
              <w:t>loneliness among older adults across the UK before the COVID-19 pandemic</w:t>
            </w:r>
            <w:r w:rsidRPr="00582F45">
              <w:rPr>
                <w:rFonts w:eastAsia="Times New Roman" w:cs="Arial"/>
                <w:szCs w:val="22"/>
                <w:lang w:eastAsia="en-US"/>
              </w:rPr>
              <w:t>. The study considered both individual and environmental influences on loneliness.</w:t>
            </w:r>
          </w:p>
        </w:tc>
        <w:tc>
          <w:tcPr>
            <w:tcW w:w="0" w:type="auto"/>
            <w:vAlign w:val="center"/>
            <w:hideMark/>
          </w:tcPr>
          <w:p w14:paraId="027CC663" w14:textId="77777777" w:rsidR="00582F45" w:rsidRPr="00582F45" w:rsidRDefault="00582F45" w:rsidP="00582F45">
            <w:pPr>
              <w:rPr>
                <w:rFonts w:eastAsia="Times New Roman" w:cs="Arial"/>
                <w:szCs w:val="22"/>
                <w:lang w:eastAsia="en-US"/>
              </w:rPr>
            </w:pPr>
            <w:r w:rsidRPr="00582F45">
              <w:rPr>
                <w:rFonts w:eastAsia="Times New Roman" w:cs="Arial"/>
                <w:szCs w:val="22"/>
                <w:lang w:eastAsia="en-US"/>
              </w:rPr>
              <w:t xml:space="preserve">Loneliness was influenced by a combination of </w:t>
            </w:r>
            <w:r w:rsidRPr="00582F45">
              <w:rPr>
                <w:rFonts w:eastAsia="Times New Roman" w:cs="Arial"/>
                <w:b/>
                <w:bCs/>
                <w:szCs w:val="22"/>
                <w:lang w:eastAsia="en-US"/>
              </w:rPr>
              <w:t>personal and environmental factors</w:t>
            </w:r>
            <w:r w:rsidRPr="00582F45">
              <w:rPr>
                <w:rFonts w:eastAsia="Times New Roman" w:cs="Arial"/>
                <w:szCs w:val="22"/>
                <w:lang w:eastAsia="en-US"/>
              </w:rPr>
              <w:t>. The findings indicate that people's living circumstances and social environments can shape loneliness and social isolation, even in the absence of a major external crisis such as COVID-19.</w:t>
            </w:r>
          </w:p>
        </w:tc>
      </w:tr>
    </w:tbl>
    <w:p w14:paraId="577751C4" w14:textId="43F526EB" w:rsidR="00582F45" w:rsidRDefault="00582F45" w:rsidP="00772F7A">
      <w:pPr>
        <w:jc w:val="both"/>
        <w:rPr>
          <w:rFonts w:eastAsia="Times New Roman" w:cs="Arial"/>
          <w:szCs w:val="22"/>
          <w:lang w:eastAsia="en-US"/>
        </w:rPr>
      </w:pPr>
      <w:r w:rsidRPr="00582F45">
        <w:rPr>
          <w:rFonts w:eastAsia="Times New Roman" w:cs="Arial"/>
          <w:szCs w:val="22"/>
          <w:lang w:eastAsia="en-US"/>
        </w:rPr>
        <w:t xml:space="preserve">Table </w:t>
      </w:r>
      <w:r w:rsidR="00E77193">
        <w:rPr>
          <w:rFonts w:eastAsia="Times New Roman" w:cs="Arial"/>
          <w:szCs w:val="22"/>
          <w:lang w:eastAsia="en-US"/>
        </w:rPr>
        <w:t>1</w:t>
      </w:r>
      <w:r w:rsidRPr="00582F45">
        <w:rPr>
          <w:rFonts w:eastAsia="Times New Roman" w:cs="Arial"/>
          <w:szCs w:val="22"/>
          <w:lang w:eastAsia="en-US"/>
        </w:rPr>
        <w:t>. Summary of Selected Studies</w:t>
      </w:r>
    </w:p>
    <w:p w14:paraId="722814B4" w14:textId="3BB4BAE2" w:rsidR="003E76D4" w:rsidRPr="00F5209B" w:rsidRDefault="00CE0478" w:rsidP="00F5209B">
      <w:pPr>
        <w:spacing w:line="360" w:lineRule="auto"/>
        <w:jc w:val="both"/>
        <w:rPr>
          <w:rFonts w:eastAsia="Times New Roman" w:cs="Arial"/>
          <w:szCs w:val="22"/>
          <w:lang w:eastAsia="en-US"/>
        </w:rPr>
      </w:pPr>
      <w:r>
        <w:rPr>
          <w:rFonts w:eastAsia="Times New Roman" w:cs="Arial"/>
          <w:szCs w:val="22"/>
          <w:lang w:eastAsia="en-US"/>
        </w:rPr>
        <w:lastRenderedPageBreak/>
        <w:br/>
      </w:r>
      <w:r w:rsidR="003E76D4" w:rsidRPr="00F5209B">
        <w:rPr>
          <w:rFonts w:eastAsia="Times New Roman" w:cs="Arial"/>
          <w:szCs w:val="22"/>
          <w:lang w:eastAsia="en-US"/>
        </w:rPr>
        <w:t>Thematic Analysis</w:t>
      </w:r>
    </w:p>
    <w:p w14:paraId="06AF2B9D" w14:textId="77777777" w:rsidR="003E76D4" w:rsidRPr="00F5209B" w:rsidRDefault="003E76D4" w:rsidP="00F5209B">
      <w:pPr>
        <w:spacing w:line="360" w:lineRule="auto"/>
        <w:jc w:val="both"/>
        <w:rPr>
          <w:rFonts w:eastAsia="Times New Roman" w:cs="Arial"/>
          <w:szCs w:val="22"/>
          <w:lang w:eastAsia="en-US"/>
        </w:rPr>
      </w:pPr>
    </w:p>
    <w:p w14:paraId="0928E102" w14:textId="77777777" w:rsidR="003E76D4" w:rsidRPr="00F5209B" w:rsidRDefault="003E76D4" w:rsidP="00F5209B">
      <w:pPr>
        <w:spacing w:line="360" w:lineRule="auto"/>
        <w:jc w:val="both"/>
        <w:rPr>
          <w:rFonts w:eastAsia="Times New Roman" w:cs="Arial"/>
          <w:szCs w:val="22"/>
          <w:lang w:eastAsia="en-US"/>
        </w:rPr>
      </w:pPr>
      <w:r w:rsidRPr="00F5209B">
        <w:rPr>
          <w:rFonts w:eastAsia="Times New Roman" w:cs="Arial"/>
          <w:szCs w:val="22"/>
          <w:lang w:eastAsia="en-US"/>
        </w:rPr>
        <w:t>Theme 1: Social isolation and diminished mental wellbeing</w:t>
      </w:r>
    </w:p>
    <w:p w14:paraId="004CBB55" w14:textId="77777777" w:rsidR="003E76D4" w:rsidRPr="00F5209B" w:rsidRDefault="003E76D4" w:rsidP="00F5209B">
      <w:pPr>
        <w:spacing w:line="360" w:lineRule="auto"/>
        <w:jc w:val="both"/>
        <w:rPr>
          <w:rFonts w:eastAsia="Times New Roman" w:cs="Arial"/>
          <w:szCs w:val="22"/>
          <w:lang w:eastAsia="en-US"/>
        </w:rPr>
      </w:pPr>
    </w:p>
    <w:p w14:paraId="1ABB68CC" w14:textId="77777777" w:rsidR="003E76D4" w:rsidRPr="00F5209B" w:rsidRDefault="003E76D4" w:rsidP="00F5209B">
      <w:pPr>
        <w:spacing w:line="360" w:lineRule="auto"/>
        <w:jc w:val="both"/>
        <w:rPr>
          <w:rFonts w:eastAsia="Times New Roman" w:cs="Arial"/>
          <w:szCs w:val="22"/>
          <w:lang w:eastAsia="en-US"/>
        </w:rPr>
      </w:pPr>
      <w:r w:rsidRPr="00F5209B">
        <w:rPr>
          <w:rFonts w:eastAsia="Times New Roman" w:cs="Arial"/>
          <w:szCs w:val="22"/>
          <w:lang w:eastAsia="en-US"/>
        </w:rPr>
        <w:t xml:space="preserve">All four studies identified a connection between limited social interaction and worse mental health outcomes. Robb et al. (2020) observed that higher levels of isolation were linked to increased anxiety and depression among London residents in the early stages of the pandemic, with effect sizes large enough to suggest clinical relevance. In a similar vein, Green et al. (2021) found in their longitudinal study that reduced social contact preceded the onset of more severe depressive symptoms, supporting a temporal relationship. Steptoe and Di Gessa (2021) reported that older adults with disabilities who engaged in less social interaction experienced worse mental health, with evidence of interaction effects pointing to cumulative disadvantages. Additionally, Victor and </w:t>
      </w:r>
      <w:proofErr w:type="spellStart"/>
      <w:r w:rsidRPr="00F5209B">
        <w:rPr>
          <w:rFonts w:eastAsia="Times New Roman" w:cs="Arial"/>
          <w:szCs w:val="22"/>
          <w:lang w:eastAsia="en-US"/>
        </w:rPr>
        <w:t>Pikhartova</w:t>
      </w:r>
      <w:proofErr w:type="spellEnd"/>
      <w:r w:rsidRPr="00F5209B">
        <w:rPr>
          <w:rFonts w:eastAsia="Times New Roman" w:cs="Arial"/>
          <w:szCs w:val="22"/>
          <w:lang w:eastAsia="en-US"/>
        </w:rPr>
        <w:t xml:space="preserve"> (2020) showed that environmental conditions influenced feelings of loneliness, highlighting how characteristics of specific locations affect subjective wellbeing independently of personal factors. Collectively, these results underscore a consistent link between social isolation and poorer mental wellbeing across varied UK populations of older adults, different research methodologies, and timeframes.</w:t>
      </w:r>
    </w:p>
    <w:p w14:paraId="22B02770" w14:textId="77777777" w:rsidR="003E76D4" w:rsidRPr="00F5209B" w:rsidRDefault="003E76D4" w:rsidP="00F5209B">
      <w:pPr>
        <w:spacing w:line="360" w:lineRule="auto"/>
        <w:jc w:val="both"/>
        <w:rPr>
          <w:rFonts w:eastAsia="Times New Roman" w:cs="Arial"/>
          <w:szCs w:val="22"/>
          <w:lang w:eastAsia="en-US"/>
        </w:rPr>
      </w:pPr>
    </w:p>
    <w:p w14:paraId="5AE5C6EE" w14:textId="77777777" w:rsidR="003E76D4" w:rsidRPr="00F5209B" w:rsidRDefault="003E76D4" w:rsidP="00F5209B">
      <w:pPr>
        <w:spacing w:line="360" w:lineRule="auto"/>
        <w:jc w:val="both"/>
        <w:rPr>
          <w:rFonts w:eastAsia="Times New Roman" w:cs="Arial"/>
          <w:szCs w:val="22"/>
          <w:lang w:eastAsia="en-US"/>
        </w:rPr>
      </w:pPr>
      <w:r w:rsidRPr="00F5209B">
        <w:rPr>
          <w:rFonts w:eastAsia="Times New Roman" w:cs="Arial"/>
          <w:szCs w:val="22"/>
          <w:lang w:eastAsia="en-US"/>
        </w:rPr>
        <w:t>Theme 2: Escalation due to COVID-19</w:t>
      </w:r>
    </w:p>
    <w:p w14:paraId="3C0D9119" w14:textId="77777777" w:rsidR="003E76D4" w:rsidRPr="00F5209B" w:rsidRDefault="003E76D4" w:rsidP="00F5209B">
      <w:pPr>
        <w:spacing w:line="360" w:lineRule="auto"/>
        <w:jc w:val="both"/>
        <w:rPr>
          <w:rFonts w:eastAsia="Times New Roman" w:cs="Arial"/>
          <w:szCs w:val="22"/>
          <w:lang w:eastAsia="en-US"/>
        </w:rPr>
      </w:pPr>
    </w:p>
    <w:p w14:paraId="6F84307D" w14:textId="77777777" w:rsidR="003E76D4" w:rsidRPr="00F5209B" w:rsidRDefault="003E76D4" w:rsidP="00F5209B">
      <w:pPr>
        <w:spacing w:line="360" w:lineRule="auto"/>
        <w:jc w:val="both"/>
        <w:rPr>
          <w:rFonts w:eastAsia="Times New Roman" w:cs="Arial"/>
          <w:szCs w:val="22"/>
          <w:lang w:eastAsia="en-US"/>
        </w:rPr>
      </w:pPr>
      <w:r w:rsidRPr="00F5209B">
        <w:rPr>
          <w:rFonts w:eastAsia="Times New Roman" w:cs="Arial"/>
          <w:szCs w:val="22"/>
          <w:lang w:eastAsia="en-US"/>
        </w:rPr>
        <w:t>The pandemic intensified experiences of isolation by enforcing physical distancing and disrupting essential services. Research by Robb et al. (2020) revealed that lockdown measures were linked to heightened risks for mental health, with individuals already living in isolation showing more pronounced declines. Likewise, Steptoe and Di Gessa (2021) reported significant mental health deterioration among older adults with disabilities during the restrictions, especially among those who already faced functional or social limitations prior to the crisis.</w:t>
      </w:r>
    </w:p>
    <w:p w14:paraId="3D452565" w14:textId="77777777" w:rsidR="003E76D4" w:rsidRPr="00F5209B" w:rsidRDefault="003E76D4" w:rsidP="00F5209B">
      <w:pPr>
        <w:spacing w:line="360" w:lineRule="auto"/>
        <w:jc w:val="both"/>
        <w:rPr>
          <w:rFonts w:eastAsia="Times New Roman" w:cs="Arial"/>
          <w:szCs w:val="22"/>
          <w:lang w:eastAsia="en-US"/>
        </w:rPr>
      </w:pPr>
    </w:p>
    <w:p w14:paraId="20B86271" w14:textId="77777777" w:rsidR="00774510" w:rsidRPr="00F5209B" w:rsidRDefault="003E76D4" w:rsidP="00F5209B">
      <w:pPr>
        <w:spacing w:line="360" w:lineRule="auto"/>
        <w:jc w:val="both"/>
        <w:rPr>
          <w:rFonts w:eastAsia="Times New Roman" w:cs="Arial"/>
          <w:szCs w:val="22"/>
          <w:lang w:eastAsia="en-US"/>
        </w:rPr>
      </w:pPr>
      <w:r w:rsidRPr="00F5209B">
        <w:rPr>
          <w:rFonts w:eastAsia="Times New Roman" w:cs="Arial"/>
          <w:szCs w:val="22"/>
          <w:lang w:eastAsia="en-US"/>
        </w:rPr>
        <w:t xml:space="preserve">In contrast, Victor and </w:t>
      </w:r>
      <w:proofErr w:type="spellStart"/>
      <w:r w:rsidRPr="00F5209B">
        <w:rPr>
          <w:rFonts w:eastAsia="Times New Roman" w:cs="Arial"/>
          <w:szCs w:val="22"/>
          <w:lang w:eastAsia="en-US"/>
        </w:rPr>
        <w:t>Pikhartova</w:t>
      </w:r>
      <w:proofErr w:type="spellEnd"/>
      <w:r w:rsidRPr="00F5209B">
        <w:rPr>
          <w:rFonts w:eastAsia="Times New Roman" w:cs="Arial"/>
          <w:szCs w:val="22"/>
          <w:lang w:eastAsia="en-US"/>
        </w:rPr>
        <w:t xml:space="preserve"> (2020) examined conditions before the pandemic, highlighting that environmental influences contribute to isolation regardless of sudden crises, and these factors remain relevant over time. Together, findings from both pandemic and pre-pandemic periods indicate that isolation is shaped by a combination of structural conditions and immediate circumstances, with emergencies like the pandemic worsening pre-existing vulnerabilities.</w:t>
      </w:r>
    </w:p>
    <w:p w14:paraId="5CA55F38" w14:textId="77777777" w:rsidR="00774510" w:rsidRPr="00F5209B" w:rsidRDefault="00774510" w:rsidP="00F5209B">
      <w:pPr>
        <w:spacing w:line="360" w:lineRule="auto"/>
        <w:jc w:val="both"/>
        <w:rPr>
          <w:rFonts w:eastAsia="Times New Roman" w:cs="Arial"/>
          <w:szCs w:val="22"/>
          <w:lang w:eastAsia="en-US"/>
        </w:rPr>
      </w:pPr>
    </w:p>
    <w:p w14:paraId="4F42BCD6" w14:textId="77777777" w:rsidR="00774510" w:rsidRPr="00F5209B" w:rsidRDefault="00774510" w:rsidP="00F5209B">
      <w:pPr>
        <w:spacing w:line="360" w:lineRule="auto"/>
        <w:jc w:val="both"/>
        <w:rPr>
          <w:rFonts w:eastAsia="Times New Roman" w:cs="Arial"/>
          <w:szCs w:val="22"/>
          <w:lang w:eastAsia="en-US"/>
        </w:rPr>
      </w:pPr>
      <w:r w:rsidRPr="00F5209B">
        <w:rPr>
          <w:rFonts w:eastAsia="Times New Roman" w:cs="Arial"/>
          <w:szCs w:val="22"/>
          <w:lang w:eastAsia="en-US"/>
        </w:rPr>
        <w:lastRenderedPageBreak/>
        <w:t>Theme 3: Uneven distribution of vulnerability</w:t>
      </w:r>
    </w:p>
    <w:p w14:paraId="4E53413F" w14:textId="77777777" w:rsidR="00774510" w:rsidRPr="00F5209B" w:rsidRDefault="00774510" w:rsidP="00F5209B">
      <w:pPr>
        <w:spacing w:line="360" w:lineRule="auto"/>
        <w:jc w:val="both"/>
        <w:rPr>
          <w:rFonts w:eastAsia="Times New Roman" w:cs="Arial"/>
          <w:szCs w:val="22"/>
          <w:lang w:eastAsia="en-US"/>
        </w:rPr>
      </w:pPr>
    </w:p>
    <w:p w14:paraId="6AFAF01E" w14:textId="77777777" w:rsidR="00772F7A" w:rsidRPr="00F5209B" w:rsidRDefault="00774510" w:rsidP="00F5209B">
      <w:pPr>
        <w:spacing w:line="360" w:lineRule="auto"/>
        <w:jc w:val="both"/>
        <w:rPr>
          <w:rFonts w:eastAsia="Times New Roman" w:cs="Arial"/>
          <w:szCs w:val="22"/>
          <w:lang w:eastAsia="en-US"/>
        </w:rPr>
      </w:pPr>
      <w:r w:rsidRPr="00F5209B">
        <w:rPr>
          <w:rFonts w:eastAsia="Times New Roman" w:cs="Arial"/>
          <w:szCs w:val="22"/>
          <w:lang w:eastAsia="en-US"/>
        </w:rPr>
        <w:t xml:space="preserve">Vulnerability is shaped by a range of interconnected social factors. Research by Green et al. (2021) revealed that socioeconomic disparities in depression are influenced by levels of social contact, indicating that unequal access to supportive relationships contributes to differences in mental health outcomes. In a similar vein, Steptoe and Di Gessa (2021) highlighted physical disability as a key risk factor, showing how functional impairments limit social engagement and intensify emotional strain. Additionally, Victor and </w:t>
      </w:r>
      <w:proofErr w:type="spellStart"/>
      <w:r w:rsidRPr="00F5209B">
        <w:rPr>
          <w:rFonts w:eastAsia="Times New Roman" w:cs="Arial"/>
          <w:szCs w:val="22"/>
          <w:lang w:eastAsia="en-US"/>
        </w:rPr>
        <w:t>Pikhartova</w:t>
      </w:r>
      <w:proofErr w:type="spellEnd"/>
      <w:r w:rsidRPr="00F5209B">
        <w:rPr>
          <w:rFonts w:eastAsia="Times New Roman" w:cs="Arial"/>
          <w:szCs w:val="22"/>
          <w:lang w:eastAsia="en-US"/>
        </w:rPr>
        <w:t xml:space="preserve"> (2020) found that where people live </w:t>
      </w:r>
      <w:proofErr w:type="gramStart"/>
      <w:r w:rsidRPr="00F5209B">
        <w:rPr>
          <w:rFonts w:eastAsia="Times New Roman" w:cs="Arial"/>
          <w:szCs w:val="22"/>
          <w:lang w:eastAsia="en-US"/>
        </w:rPr>
        <w:t>affects</w:t>
      </w:r>
      <w:proofErr w:type="gramEnd"/>
      <w:r w:rsidRPr="00F5209B">
        <w:rPr>
          <w:rFonts w:eastAsia="Times New Roman" w:cs="Arial"/>
          <w:szCs w:val="22"/>
          <w:lang w:eastAsia="en-US"/>
        </w:rPr>
        <w:t xml:space="preserve"> their likelihood of experiencing loneliness, as access to community resources varies significantly between rural regions and disadvantaged urban neighborhoods. Together, these insights suggest that broad, one-size-fits-all strategies for tackling social isolation may fall short unless they account for underlying structural inequalities and varying individual circumstances.</w:t>
      </w:r>
    </w:p>
    <w:p w14:paraId="37DA8DC2" w14:textId="77777777" w:rsidR="00774510" w:rsidRPr="00F5209B" w:rsidRDefault="00774510" w:rsidP="00F5209B">
      <w:pPr>
        <w:spacing w:line="360" w:lineRule="auto"/>
        <w:jc w:val="both"/>
        <w:rPr>
          <w:rFonts w:eastAsia="Times New Roman" w:cs="Arial"/>
          <w:szCs w:val="22"/>
          <w:lang w:eastAsia="en-US"/>
        </w:rPr>
      </w:pPr>
    </w:p>
    <w:p w14:paraId="567D23D1" w14:textId="77777777" w:rsidR="006A6135" w:rsidRPr="00F5209B" w:rsidRDefault="006A6135" w:rsidP="00F5209B">
      <w:pPr>
        <w:pStyle w:val="Heading1"/>
        <w:spacing w:before="0" w:after="0" w:line="360" w:lineRule="auto"/>
        <w:rPr>
          <w:rFonts w:eastAsia="Times New Roman"/>
          <w:sz w:val="22"/>
          <w:szCs w:val="22"/>
          <w:lang w:eastAsia="en-US"/>
        </w:rPr>
      </w:pPr>
      <w:bookmarkStart w:id="5" w:name="_Toc237420836"/>
      <w:r w:rsidRPr="00F5209B">
        <w:rPr>
          <w:rFonts w:eastAsia="Times New Roman"/>
          <w:sz w:val="22"/>
          <w:szCs w:val="22"/>
          <w:lang w:eastAsia="en-US"/>
        </w:rPr>
        <w:t>Discussion</w:t>
      </w:r>
      <w:bookmarkEnd w:id="5"/>
    </w:p>
    <w:p w14:paraId="19D3E8B0" w14:textId="77777777" w:rsidR="00774510" w:rsidRPr="00F5209B" w:rsidRDefault="00774510" w:rsidP="00F5209B">
      <w:pPr>
        <w:spacing w:line="360" w:lineRule="auto"/>
        <w:jc w:val="both"/>
        <w:rPr>
          <w:rFonts w:eastAsia="Times New Roman" w:cs="Arial"/>
          <w:szCs w:val="22"/>
          <w:lang w:eastAsia="en-US"/>
        </w:rPr>
      </w:pPr>
      <w:r w:rsidRPr="00F5209B">
        <w:rPr>
          <w:rFonts w:eastAsia="Times New Roman" w:cs="Arial"/>
          <w:szCs w:val="22"/>
          <w:lang w:eastAsia="en-US"/>
        </w:rPr>
        <w:t>Theme 3: Uneven distribution of vulnerability</w:t>
      </w:r>
    </w:p>
    <w:p w14:paraId="719260A8" w14:textId="77777777" w:rsidR="00774510" w:rsidRPr="00F5209B" w:rsidRDefault="00774510" w:rsidP="00F5209B">
      <w:pPr>
        <w:spacing w:line="360" w:lineRule="auto"/>
        <w:jc w:val="both"/>
        <w:rPr>
          <w:rFonts w:eastAsia="Times New Roman" w:cs="Arial"/>
          <w:szCs w:val="22"/>
          <w:lang w:eastAsia="en-US"/>
        </w:rPr>
      </w:pPr>
    </w:p>
    <w:p w14:paraId="1792FA21" w14:textId="77777777" w:rsidR="00774510" w:rsidRPr="00F5209B" w:rsidRDefault="00774510" w:rsidP="00F5209B">
      <w:pPr>
        <w:spacing w:line="360" w:lineRule="auto"/>
        <w:jc w:val="both"/>
        <w:rPr>
          <w:rFonts w:eastAsia="Times New Roman" w:cs="Arial"/>
          <w:szCs w:val="22"/>
          <w:lang w:eastAsia="en-US"/>
        </w:rPr>
      </w:pPr>
      <w:r w:rsidRPr="00F5209B">
        <w:rPr>
          <w:rFonts w:eastAsia="Times New Roman" w:cs="Arial"/>
          <w:szCs w:val="22"/>
          <w:lang w:eastAsia="en-US"/>
        </w:rPr>
        <w:t>This scoping review explored how social isolation affects the mental wellbeing of older adults in the UK, drawing on four peer-reviewed studies. Three key insights emerged: social isolation is closely linked to worse mental health outcomes; the negative impacts were amplified during the COVID-19 pandemic; and the risk of harm is not evenly spread across the older population.</w:t>
      </w:r>
    </w:p>
    <w:p w14:paraId="7C928972" w14:textId="77777777" w:rsidR="00774510" w:rsidRPr="00F5209B" w:rsidRDefault="00774510" w:rsidP="00F5209B">
      <w:pPr>
        <w:spacing w:line="360" w:lineRule="auto"/>
        <w:jc w:val="both"/>
        <w:rPr>
          <w:rFonts w:eastAsia="Times New Roman" w:cs="Arial"/>
          <w:szCs w:val="22"/>
          <w:lang w:eastAsia="en-US"/>
        </w:rPr>
      </w:pPr>
    </w:p>
    <w:p w14:paraId="1CAFC2DE" w14:textId="4C805A77" w:rsidR="00774510" w:rsidRPr="00F5209B" w:rsidRDefault="00774510" w:rsidP="00F5209B">
      <w:pPr>
        <w:spacing w:line="360" w:lineRule="auto"/>
        <w:jc w:val="both"/>
        <w:rPr>
          <w:rFonts w:eastAsia="Times New Roman" w:cs="Arial"/>
          <w:szCs w:val="22"/>
          <w:lang w:eastAsia="en-US"/>
        </w:rPr>
      </w:pPr>
      <w:r w:rsidRPr="00F5209B">
        <w:rPr>
          <w:rFonts w:eastAsia="Times New Roman" w:cs="Arial"/>
          <w:szCs w:val="22"/>
          <w:lang w:eastAsia="en-US"/>
        </w:rPr>
        <w:t>The results reinforce the idea that social connection plays a central role in mental wellbeing, supporting both social capital theory (Putnam, 2000) and the broader framework of social determinants of health (Marmot et al., 2020). According to social capital theory, interpersonal relationships offer vital resources—such as emotional support, shared knowledge, and mutual assistance</w:t>
      </w:r>
      <w:r w:rsidR="00F5209B">
        <w:rPr>
          <w:rFonts w:eastAsia="Times New Roman" w:cs="Arial"/>
          <w:szCs w:val="22"/>
          <w:lang w:eastAsia="en-US"/>
        </w:rPr>
        <w:t xml:space="preserve"> </w:t>
      </w:r>
      <w:r w:rsidRPr="00F5209B">
        <w:rPr>
          <w:rFonts w:eastAsia="Times New Roman" w:cs="Arial"/>
          <w:szCs w:val="22"/>
          <w:lang w:eastAsia="en-US"/>
        </w:rPr>
        <w:t xml:space="preserve">that contribute to individual and community resilience. Research by Hawkley and Cacioppo (2010) shows that loneliness can lead to adverse health effects by triggering stress responses, disrupting sleep, and encouraging unhealthy </w:t>
      </w:r>
      <w:proofErr w:type="spellStart"/>
      <w:r w:rsidRPr="00F5209B">
        <w:rPr>
          <w:rFonts w:eastAsia="Times New Roman" w:cs="Arial"/>
          <w:szCs w:val="22"/>
          <w:lang w:eastAsia="en-US"/>
        </w:rPr>
        <w:t>behaviours</w:t>
      </w:r>
      <w:proofErr w:type="spellEnd"/>
      <w:r w:rsidRPr="00F5209B">
        <w:rPr>
          <w:rFonts w:eastAsia="Times New Roman" w:cs="Arial"/>
          <w:szCs w:val="22"/>
          <w:lang w:eastAsia="en-US"/>
        </w:rPr>
        <w:t>. Holt-</w:t>
      </w:r>
      <w:proofErr w:type="spellStart"/>
      <w:r w:rsidRPr="00F5209B">
        <w:rPr>
          <w:rFonts w:eastAsia="Times New Roman" w:cs="Arial"/>
          <w:szCs w:val="22"/>
          <w:lang w:eastAsia="en-US"/>
        </w:rPr>
        <w:t>Lunstad</w:t>
      </w:r>
      <w:proofErr w:type="spellEnd"/>
      <w:r w:rsidRPr="00F5209B">
        <w:rPr>
          <w:rFonts w:eastAsia="Times New Roman" w:cs="Arial"/>
          <w:szCs w:val="22"/>
          <w:lang w:eastAsia="en-US"/>
        </w:rPr>
        <w:t xml:space="preserve"> et al. (2015), in a meta-analysis of 148 studies, found that social isolation carries a mortality risk </w:t>
      </w:r>
      <w:proofErr w:type="gramStart"/>
      <w:r w:rsidRPr="00F5209B">
        <w:rPr>
          <w:rFonts w:eastAsia="Times New Roman" w:cs="Arial"/>
          <w:szCs w:val="22"/>
          <w:lang w:eastAsia="en-US"/>
        </w:rPr>
        <w:t>similar to</w:t>
      </w:r>
      <w:proofErr w:type="gramEnd"/>
      <w:r w:rsidRPr="00F5209B">
        <w:rPr>
          <w:rFonts w:eastAsia="Times New Roman" w:cs="Arial"/>
          <w:szCs w:val="22"/>
          <w:lang w:eastAsia="en-US"/>
        </w:rPr>
        <w:t xml:space="preserve"> that of smoking. The current findings build on this body of evidence by confirming these patterns specifically among older adults in the UK and highlighting mental health as a key pathway through which isolation may influence overall health.</w:t>
      </w:r>
    </w:p>
    <w:p w14:paraId="1DD37A38" w14:textId="77777777" w:rsidR="00774510" w:rsidRPr="00F5209B" w:rsidRDefault="00774510" w:rsidP="00F5209B">
      <w:pPr>
        <w:spacing w:line="360" w:lineRule="auto"/>
        <w:jc w:val="both"/>
        <w:rPr>
          <w:rFonts w:eastAsia="Times New Roman" w:cs="Arial"/>
          <w:szCs w:val="22"/>
          <w:lang w:eastAsia="en-US"/>
        </w:rPr>
      </w:pPr>
    </w:p>
    <w:p w14:paraId="55047954" w14:textId="77777777" w:rsidR="00774510" w:rsidRPr="00F5209B" w:rsidRDefault="00774510" w:rsidP="00F5209B">
      <w:pPr>
        <w:spacing w:line="360" w:lineRule="auto"/>
        <w:jc w:val="both"/>
        <w:rPr>
          <w:rFonts w:eastAsia="Times New Roman" w:cs="Arial"/>
          <w:szCs w:val="22"/>
          <w:lang w:eastAsia="en-US"/>
        </w:rPr>
      </w:pPr>
      <w:r w:rsidRPr="00F5209B">
        <w:rPr>
          <w:rFonts w:eastAsia="Times New Roman" w:cs="Arial"/>
          <w:szCs w:val="22"/>
          <w:lang w:eastAsia="en-US"/>
        </w:rPr>
        <w:lastRenderedPageBreak/>
        <w:t>The worsening impact during the pandemic echoes findings from Bu et al. (2020), who reported a marked rise in loneliness during lockdowns across various groups, and Fancourt et al. (2021), who showed that declines in mental health were more pronounced among those with the fewest social interactions. The pandemic effectively served as a large-scale test, confirming prior research while also exposing weaknesses in societal support systems. Steptoe and Di Gessa (2021) highlighted disabled older people as especially at risk, underscoring the need for better physical access to social activities in both emergency planning and everyday service delivery.</w:t>
      </w:r>
    </w:p>
    <w:p w14:paraId="27AF7431" w14:textId="77777777" w:rsidR="00774510" w:rsidRPr="00F5209B" w:rsidRDefault="00774510" w:rsidP="00F5209B">
      <w:pPr>
        <w:spacing w:line="360" w:lineRule="auto"/>
        <w:jc w:val="both"/>
        <w:rPr>
          <w:rFonts w:eastAsia="Times New Roman" w:cs="Arial"/>
          <w:szCs w:val="22"/>
          <w:lang w:eastAsia="en-US"/>
        </w:rPr>
      </w:pPr>
    </w:p>
    <w:p w14:paraId="11094C21" w14:textId="77777777" w:rsidR="00774510" w:rsidRPr="00F5209B" w:rsidRDefault="00774510" w:rsidP="00F5209B">
      <w:pPr>
        <w:spacing w:line="360" w:lineRule="auto"/>
        <w:jc w:val="both"/>
        <w:rPr>
          <w:rFonts w:eastAsia="Times New Roman" w:cs="Arial"/>
          <w:szCs w:val="22"/>
          <w:lang w:eastAsia="en-US"/>
        </w:rPr>
      </w:pPr>
      <w:r w:rsidRPr="00F5209B">
        <w:rPr>
          <w:rFonts w:eastAsia="Times New Roman" w:cs="Arial"/>
          <w:szCs w:val="22"/>
          <w:lang w:eastAsia="en-US"/>
        </w:rPr>
        <w:t>The unequal pattern of vulnerability reflects earlier work by Burholt et al. (2020), who found that disability and socioeconomic disadvantage increase isolation risk due to mobility limitations, financial strain, and living in deprived areas. Green et al. (2021) further showed that differences in social contact help explain health inequalities, suggesting that improving access to meaningful relationships could help narrow these gaps. This points to a need for targeted strategies: while broad-based services are important, they may fall short without active efforts to reach marginalized groups.</w:t>
      </w:r>
    </w:p>
    <w:p w14:paraId="2CBA36AD" w14:textId="77777777" w:rsidR="00774510" w:rsidRPr="00F5209B" w:rsidRDefault="00774510" w:rsidP="00F5209B">
      <w:pPr>
        <w:spacing w:line="360" w:lineRule="auto"/>
        <w:jc w:val="both"/>
        <w:rPr>
          <w:rFonts w:eastAsia="Times New Roman" w:cs="Arial"/>
          <w:szCs w:val="22"/>
          <w:lang w:eastAsia="en-US"/>
        </w:rPr>
      </w:pPr>
    </w:p>
    <w:p w14:paraId="7ED05686" w14:textId="77777777" w:rsidR="002E6855" w:rsidRPr="00F5209B" w:rsidRDefault="00774510" w:rsidP="00F5209B">
      <w:pPr>
        <w:spacing w:line="360" w:lineRule="auto"/>
        <w:jc w:val="both"/>
        <w:rPr>
          <w:rFonts w:eastAsia="Times New Roman" w:cs="Arial"/>
          <w:szCs w:val="22"/>
          <w:lang w:eastAsia="en-US"/>
        </w:rPr>
      </w:pPr>
      <w:r w:rsidRPr="00F5209B">
        <w:rPr>
          <w:rFonts w:eastAsia="Times New Roman" w:cs="Arial"/>
          <w:szCs w:val="22"/>
          <w:lang w:eastAsia="en-US"/>
        </w:rPr>
        <w:t>This review has several limitations. It relied solely on peer-reviewed studies, potentially missing relevant insights from government reports or non-profit organizations. Two included studies focused on the pandemic, which may limit applicability to normal conditions. Differences in how isolation and mental health were measured across studies make direct comparisons difficult. Additionally, the databases used did not cover specialized social care literature. Future research would benefit from standardized, validated tools, stronger study designs to assess interventions, and inclusion of more diverse populations, including those outside typical community settings.</w:t>
      </w:r>
    </w:p>
    <w:p w14:paraId="19943E0E" w14:textId="77777777" w:rsidR="00774510" w:rsidRPr="00F5209B" w:rsidRDefault="00774510" w:rsidP="00F5209B">
      <w:pPr>
        <w:spacing w:line="360" w:lineRule="auto"/>
        <w:jc w:val="both"/>
        <w:rPr>
          <w:rFonts w:eastAsia="Times New Roman" w:cs="Arial"/>
          <w:szCs w:val="22"/>
          <w:lang w:eastAsia="en-US"/>
        </w:rPr>
      </w:pPr>
    </w:p>
    <w:p w14:paraId="671D5DCD" w14:textId="77777777" w:rsidR="006A6135" w:rsidRPr="00F5209B" w:rsidRDefault="006A6135" w:rsidP="00F5209B">
      <w:pPr>
        <w:pStyle w:val="Heading1"/>
        <w:spacing w:before="0" w:after="0" w:line="360" w:lineRule="auto"/>
        <w:rPr>
          <w:rFonts w:eastAsia="Times New Roman"/>
          <w:sz w:val="22"/>
          <w:szCs w:val="22"/>
          <w:lang w:eastAsia="en-US"/>
        </w:rPr>
      </w:pPr>
      <w:bookmarkStart w:id="6" w:name="_Toc237420837"/>
      <w:r w:rsidRPr="00F5209B">
        <w:rPr>
          <w:rFonts w:eastAsia="Times New Roman"/>
          <w:sz w:val="22"/>
          <w:szCs w:val="22"/>
          <w:lang w:eastAsia="en-US"/>
        </w:rPr>
        <w:t>Conclusion and Recommendations</w:t>
      </w:r>
      <w:bookmarkEnd w:id="6"/>
    </w:p>
    <w:p w14:paraId="6CA45C95" w14:textId="6106DB8B" w:rsidR="00772F7A" w:rsidRPr="00F5209B" w:rsidRDefault="00774510" w:rsidP="00F5209B">
      <w:pPr>
        <w:spacing w:line="360" w:lineRule="auto"/>
        <w:jc w:val="both"/>
        <w:rPr>
          <w:rFonts w:eastAsia="Times New Roman" w:cs="Arial"/>
          <w:szCs w:val="22"/>
          <w:lang w:eastAsia="en-US"/>
        </w:rPr>
      </w:pPr>
      <w:r w:rsidRPr="00F5209B">
        <w:rPr>
          <w:rFonts w:eastAsia="Times New Roman" w:cs="Arial"/>
          <w:szCs w:val="22"/>
          <w:lang w:eastAsia="en-US"/>
        </w:rPr>
        <w:t>In summary, this scoping review systematically examines recent UK-based research and shows that social isolation significantly harms the mental wellbeing of older adults. These negative effects were notably amplified during the COVID-19 pandemic and disproportionately affected certain groups, reflecting deeper structural inequalities. By synthesizing results from four peer-reviewed studies using varied methods, the review provides strong evidence that social connectedness is a key factor influencing mental health in later life. This supports and expands existing theories</w:t>
      </w:r>
      <w:r w:rsidR="00CE0478">
        <w:rPr>
          <w:rFonts w:eastAsia="Times New Roman" w:cs="Arial"/>
          <w:szCs w:val="22"/>
          <w:lang w:eastAsia="en-US"/>
        </w:rPr>
        <w:t xml:space="preserve"> </w:t>
      </w:r>
      <w:r w:rsidRPr="00F5209B">
        <w:rPr>
          <w:rFonts w:eastAsia="Times New Roman" w:cs="Arial"/>
          <w:szCs w:val="22"/>
          <w:lang w:eastAsia="en-US"/>
        </w:rPr>
        <w:t xml:space="preserve">such as social capital theory and the social determinants of health </w:t>
      </w:r>
      <w:proofErr w:type="gramStart"/>
      <w:r w:rsidRPr="00F5209B">
        <w:rPr>
          <w:rFonts w:eastAsia="Times New Roman" w:cs="Arial"/>
          <w:szCs w:val="22"/>
          <w:lang w:eastAsia="en-US"/>
        </w:rPr>
        <w:t>model</w:t>
      </w:r>
      <w:proofErr w:type="gramEnd"/>
      <w:r w:rsidR="00F5209B">
        <w:rPr>
          <w:rFonts w:eastAsia="Times New Roman" w:cs="Arial"/>
          <w:szCs w:val="22"/>
          <w:lang w:eastAsia="en-US"/>
        </w:rPr>
        <w:t xml:space="preserve"> </w:t>
      </w:r>
      <w:r w:rsidRPr="00F5209B">
        <w:rPr>
          <w:rFonts w:eastAsia="Times New Roman" w:cs="Arial"/>
          <w:szCs w:val="22"/>
          <w:lang w:eastAsia="en-US"/>
        </w:rPr>
        <w:t xml:space="preserve">within the context of ageing in the UK. Thematic findings consistently link reduced social interaction with worse </w:t>
      </w:r>
      <w:r w:rsidRPr="00F5209B">
        <w:rPr>
          <w:rFonts w:eastAsia="Times New Roman" w:cs="Arial"/>
          <w:szCs w:val="22"/>
          <w:lang w:eastAsia="en-US"/>
        </w:rPr>
        <w:lastRenderedPageBreak/>
        <w:t>psychological outcomes, with longitudinal data indicating temporal precedence and cross-sectional studies highlighting contextual influences. The analysis highlights increased vulnerability among older adults with disabilities and those facing socioeconomic hardship, underscoring the intersecting factors that shape isolation risk. Evidence from both pre-pandemic and pandemic periods illustrates how both sudden crises and long-standing conditions influence the social contexts shaping mental health. These insights suggest that mental wellbeing in later life should not be viewed solely as an individual concern, but as shaped by relational and structural factors that can be addressed through intervention. While the review’s focus on peer-reviewed literature limits the scope of evidence, the approach effectively outlines current research trends and points to future needs, such as standardized measurement tools and stronger evaluations of interventions. Overall, social connection emerges as a critical, changeable factor that should remain a central focus in policy and service planning.</w:t>
      </w:r>
    </w:p>
    <w:p w14:paraId="7880BB88" w14:textId="77777777" w:rsidR="00772F7A" w:rsidRPr="00F5209B" w:rsidRDefault="00772F7A" w:rsidP="00F5209B">
      <w:pPr>
        <w:spacing w:line="360" w:lineRule="auto"/>
        <w:jc w:val="both"/>
        <w:rPr>
          <w:rFonts w:eastAsia="Times New Roman" w:cs="Arial"/>
          <w:szCs w:val="22"/>
          <w:lang w:eastAsia="en-US"/>
        </w:rPr>
      </w:pPr>
    </w:p>
    <w:p w14:paraId="7DA756E6" w14:textId="77777777" w:rsidR="00774510" w:rsidRPr="00F5209B" w:rsidRDefault="00774510" w:rsidP="00F5209B">
      <w:pPr>
        <w:spacing w:line="360" w:lineRule="auto"/>
        <w:jc w:val="both"/>
        <w:rPr>
          <w:rFonts w:eastAsia="Times New Roman" w:cs="Arial"/>
          <w:szCs w:val="22"/>
          <w:lang w:eastAsia="en-US"/>
        </w:rPr>
      </w:pPr>
      <w:r w:rsidRPr="00F5209B">
        <w:rPr>
          <w:rFonts w:eastAsia="Times New Roman" w:cs="Arial"/>
          <w:b/>
          <w:szCs w:val="22"/>
          <w:lang w:eastAsia="en-US"/>
        </w:rPr>
        <w:t>Recommendations for health and social care practice</w:t>
      </w:r>
      <w:r w:rsidRPr="00F5209B">
        <w:rPr>
          <w:rFonts w:eastAsia="Times New Roman" w:cs="Arial"/>
          <w:szCs w:val="22"/>
          <w:lang w:eastAsia="en-US"/>
        </w:rPr>
        <w:t>: Routinely assess older adults’ social networks using standardized tools to identify individuals at risk of isolation; equip social prescribing link workers with training in digital inclusion to help overcome technology-related barriers; design community activities that are accessible to those with sensory or mobility challenges; and create clear procedures to support ongoing social contact during crises or interruptions in service delivery.</w:t>
      </w:r>
    </w:p>
    <w:p w14:paraId="17BDB78F" w14:textId="77777777" w:rsidR="00774510" w:rsidRPr="00F5209B" w:rsidRDefault="00774510" w:rsidP="00F5209B">
      <w:pPr>
        <w:spacing w:line="360" w:lineRule="auto"/>
        <w:jc w:val="both"/>
        <w:rPr>
          <w:rFonts w:eastAsia="Times New Roman" w:cs="Arial"/>
          <w:szCs w:val="22"/>
          <w:lang w:eastAsia="en-US"/>
        </w:rPr>
      </w:pPr>
    </w:p>
    <w:p w14:paraId="6437A21E" w14:textId="77777777" w:rsidR="00774510" w:rsidRPr="00F5209B" w:rsidRDefault="00774510" w:rsidP="00F5209B">
      <w:pPr>
        <w:spacing w:line="360" w:lineRule="auto"/>
        <w:jc w:val="both"/>
        <w:rPr>
          <w:rFonts w:eastAsia="Times New Roman" w:cs="Arial"/>
          <w:szCs w:val="22"/>
          <w:lang w:eastAsia="en-US"/>
        </w:rPr>
      </w:pPr>
      <w:r w:rsidRPr="00F5209B">
        <w:rPr>
          <w:rFonts w:eastAsia="Times New Roman" w:cs="Arial"/>
          <w:b/>
          <w:szCs w:val="22"/>
          <w:lang w:eastAsia="en-US"/>
        </w:rPr>
        <w:t>Recommendations for policy-makers</w:t>
      </w:r>
      <w:r w:rsidRPr="00F5209B">
        <w:rPr>
          <w:rFonts w:eastAsia="Times New Roman" w:cs="Arial"/>
          <w:szCs w:val="22"/>
          <w:lang w:eastAsia="en-US"/>
        </w:rPr>
        <w:t xml:space="preserve">: Direct long-term funding toward community services in disadvantaged areas, where demand is high and resources limited; broaden access to social prescribing for disabled older people through targeted outreach efforts; safeguard and increase investment in day </w:t>
      </w:r>
      <w:proofErr w:type="spellStart"/>
      <w:r w:rsidRPr="00F5209B">
        <w:rPr>
          <w:rFonts w:eastAsia="Times New Roman" w:cs="Arial"/>
          <w:szCs w:val="22"/>
          <w:lang w:eastAsia="en-US"/>
        </w:rPr>
        <w:t>centres</w:t>
      </w:r>
      <w:proofErr w:type="spellEnd"/>
      <w:r w:rsidRPr="00F5209B">
        <w:rPr>
          <w:rFonts w:eastAsia="Times New Roman" w:cs="Arial"/>
          <w:szCs w:val="22"/>
          <w:lang w:eastAsia="en-US"/>
        </w:rPr>
        <w:t>, meal programs, and transport options that support social engagement; and integrate loneliness prevention into housing, urban planning, and transportation policies, ensuring responsibility is shared across government departments.</w:t>
      </w:r>
    </w:p>
    <w:p w14:paraId="45534971" w14:textId="77777777" w:rsidR="00774510" w:rsidRPr="00F5209B" w:rsidRDefault="00774510" w:rsidP="00F5209B">
      <w:pPr>
        <w:spacing w:line="360" w:lineRule="auto"/>
        <w:jc w:val="both"/>
        <w:rPr>
          <w:rFonts w:eastAsia="Times New Roman" w:cs="Arial"/>
          <w:szCs w:val="22"/>
          <w:lang w:eastAsia="en-US"/>
        </w:rPr>
      </w:pPr>
    </w:p>
    <w:p w14:paraId="27354726" w14:textId="77777777" w:rsidR="00774510" w:rsidRPr="00F5209B" w:rsidRDefault="00774510" w:rsidP="00F5209B">
      <w:pPr>
        <w:spacing w:line="360" w:lineRule="auto"/>
        <w:jc w:val="both"/>
        <w:rPr>
          <w:rFonts w:eastAsia="Times New Roman" w:cs="Arial"/>
          <w:szCs w:val="22"/>
          <w:lang w:eastAsia="en-US"/>
        </w:rPr>
      </w:pPr>
      <w:r w:rsidRPr="00F5209B">
        <w:rPr>
          <w:rFonts w:eastAsia="Times New Roman" w:cs="Arial"/>
          <w:b/>
          <w:szCs w:val="22"/>
          <w:lang w:eastAsia="en-US"/>
        </w:rPr>
        <w:t>Recommendations for service users and families</w:t>
      </w:r>
      <w:r w:rsidRPr="00F5209B">
        <w:rPr>
          <w:rFonts w:eastAsia="Times New Roman" w:cs="Arial"/>
          <w:szCs w:val="22"/>
          <w:lang w:eastAsia="en-US"/>
        </w:rPr>
        <w:t>: Support older adults in accessing care through both GP referrals and self-referral options when possible; foster regular family communication and offer hands-on help with digital devices to maintain connections; and involve older people directly in designing local activities that meet their needs and preferences.</w:t>
      </w:r>
    </w:p>
    <w:p w14:paraId="41F74124" w14:textId="77777777" w:rsidR="00774510" w:rsidRPr="00F5209B" w:rsidRDefault="00774510" w:rsidP="00F5209B">
      <w:pPr>
        <w:spacing w:line="360" w:lineRule="auto"/>
        <w:jc w:val="both"/>
        <w:rPr>
          <w:rFonts w:eastAsia="Times New Roman" w:cs="Arial"/>
          <w:szCs w:val="22"/>
          <w:lang w:eastAsia="en-US"/>
        </w:rPr>
      </w:pPr>
    </w:p>
    <w:p w14:paraId="458ACEBB" w14:textId="77777777" w:rsidR="006A6135" w:rsidRPr="00F5209B" w:rsidRDefault="00774510" w:rsidP="00F5209B">
      <w:pPr>
        <w:spacing w:line="360" w:lineRule="auto"/>
        <w:jc w:val="both"/>
        <w:rPr>
          <w:rFonts w:eastAsia="Times New Roman" w:cs="Arial"/>
          <w:szCs w:val="22"/>
          <w:lang w:eastAsia="en-US"/>
        </w:rPr>
      </w:pPr>
      <w:r w:rsidRPr="00F5209B">
        <w:rPr>
          <w:rFonts w:eastAsia="Times New Roman" w:cs="Arial"/>
          <w:b/>
          <w:szCs w:val="22"/>
          <w:lang w:eastAsia="en-US"/>
        </w:rPr>
        <w:lastRenderedPageBreak/>
        <w:t>Recommendations for future research</w:t>
      </w:r>
      <w:r w:rsidRPr="00F5209B">
        <w:rPr>
          <w:rFonts w:eastAsia="Times New Roman" w:cs="Arial"/>
          <w:szCs w:val="22"/>
          <w:lang w:eastAsia="en-US"/>
        </w:rPr>
        <w:t>: Investigate the lasting impact of the pandemic on social relationships and mental well-being; assess the effectiveness of interventions for vulnerable groups using randomized controlled trials; create and test reliable measures of social isolation suited to UK populations; and explore the underlying pathways connecting isolation to mental health outcomes to guide more effective, targeted strategies.</w:t>
      </w:r>
    </w:p>
    <w:p w14:paraId="7929AECD" w14:textId="77777777" w:rsidR="006A6135" w:rsidRDefault="006A6135" w:rsidP="006A6135">
      <w:pPr>
        <w:rPr>
          <w:rFonts w:eastAsia="Times New Roman" w:cs="Arial"/>
          <w:szCs w:val="22"/>
          <w:lang w:eastAsia="en-US"/>
        </w:rPr>
      </w:pPr>
    </w:p>
    <w:p w14:paraId="4F23EAA1" w14:textId="77777777" w:rsidR="006A6135" w:rsidRDefault="006A6135" w:rsidP="006A6135">
      <w:pPr>
        <w:rPr>
          <w:rFonts w:eastAsia="Times New Roman" w:cs="Arial"/>
          <w:szCs w:val="22"/>
          <w:lang w:eastAsia="en-US"/>
        </w:rPr>
      </w:pPr>
    </w:p>
    <w:p w14:paraId="2FECFB94" w14:textId="77777777" w:rsidR="006A6135" w:rsidRDefault="006A6135" w:rsidP="006A6135">
      <w:pPr>
        <w:rPr>
          <w:rFonts w:eastAsia="Times New Roman" w:cs="Arial"/>
          <w:szCs w:val="22"/>
          <w:lang w:eastAsia="en-US"/>
        </w:rPr>
      </w:pPr>
    </w:p>
    <w:p w14:paraId="317C357B" w14:textId="77777777" w:rsidR="006A6135" w:rsidRDefault="006A6135" w:rsidP="006A6135">
      <w:pPr>
        <w:rPr>
          <w:rFonts w:eastAsia="Times New Roman" w:cs="Arial"/>
          <w:szCs w:val="22"/>
          <w:lang w:eastAsia="en-US"/>
        </w:rPr>
      </w:pPr>
    </w:p>
    <w:p w14:paraId="051C8BED" w14:textId="3CFA6383" w:rsidR="00BA55D0" w:rsidRDefault="00CE0478" w:rsidP="006A6135">
      <w:pPr>
        <w:rPr>
          <w:rFonts w:eastAsia="Times New Roman" w:cs="Arial"/>
          <w:szCs w:val="22"/>
          <w:lang w:eastAsia="en-US"/>
        </w:rPr>
      </w:pP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r>
        <w:rPr>
          <w:rFonts w:eastAsia="Times New Roman" w:cs="Arial"/>
          <w:szCs w:val="22"/>
          <w:lang w:eastAsia="en-US"/>
        </w:rPr>
        <w:br/>
      </w:r>
    </w:p>
    <w:p w14:paraId="462A9927" w14:textId="77777777" w:rsidR="00774510" w:rsidRDefault="00774510" w:rsidP="006A6135">
      <w:pPr>
        <w:rPr>
          <w:rFonts w:eastAsia="Times New Roman" w:cs="Arial"/>
          <w:szCs w:val="22"/>
          <w:lang w:eastAsia="en-US"/>
        </w:rPr>
      </w:pPr>
    </w:p>
    <w:p w14:paraId="6B423685" w14:textId="77777777" w:rsidR="006A6135" w:rsidRPr="006A6135" w:rsidRDefault="006A6135" w:rsidP="006A6135">
      <w:pPr>
        <w:rPr>
          <w:rFonts w:eastAsia="Times New Roman" w:cs="Arial"/>
          <w:szCs w:val="22"/>
          <w:lang w:eastAsia="en-US"/>
        </w:rPr>
      </w:pPr>
    </w:p>
    <w:p w14:paraId="663285D9" w14:textId="77777777" w:rsidR="006A6135" w:rsidRPr="006A6135" w:rsidRDefault="006A6135" w:rsidP="003F6254">
      <w:pPr>
        <w:pStyle w:val="Heading1"/>
        <w:spacing w:before="0" w:after="0"/>
        <w:rPr>
          <w:rFonts w:eastAsia="Times New Roman"/>
          <w:lang w:eastAsia="en-US"/>
        </w:rPr>
      </w:pPr>
      <w:bookmarkStart w:id="7" w:name="_Toc237420838"/>
      <w:r w:rsidRPr="006A6135">
        <w:rPr>
          <w:rFonts w:eastAsia="Times New Roman"/>
          <w:lang w:eastAsia="en-US"/>
        </w:rPr>
        <w:lastRenderedPageBreak/>
        <w:t>References</w:t>
      </w:r>
      <w:bookmarkEnd w:id="7"/>
    </w:p>
    <w:p w14:paraId="3B45C7A6" w14:textId="77777777" w:rsidR="006A6135" w:rsidRPr="006A6135" w:rsidRDefault="006A6135" w:rsidP="006A6135">
      <w:pPr>
        <w:rPr>
          <w:rFonts w:eastAsia="Times New Roman" w:cs="Arial"/>
          <w:szCs w:val="22"/>
          <w:lang w:eastAsia="en-US"/>
        </w:rPr>
      </w:pPr>
    </w:p>
    <w:p w14:paraId="4A190EE2" w14:textId="09D7242B" w:rsidR="008E1332" w:rsidRPr="008E1332" w:rsidRDefault="008A09A8" w:rsidP="008E1332">
      <w:pPr>
        <w:rPr>
          <w:rFonts w:eastAsia="Times New Roman" w:cs="Arial"/>
          <w:szCs w:val="22"/>
          <w:lang w:val="en-GB" w:eastAsia="en-US"/>
        </w:rPr>
      </w:pPr>
      <w:r>
        <w:rPr>
          <w:rFonts w:eastAsia="Times New Roman" w:cs="Arial"/>
          <w:szCs w:val="22"/>
          <w:lang w:eastAsia="en-US"/>
        </w:rPr>
        <w:t xml:space="preserve"> </w:t>
      </w:r>
      <w:r w:rsidR="008E1332" w:rsidRPr="008E1332">
        <w:rPr>
          <w:rFonts w:eastAsia="Times New Roman" w:cs="Arial"/>
          <w:szCs w:val="22"/>
          <w:lang w:val="en-GB" w:eastAsia="en-US"/>
        </w:rPr>
        <w:t xml:space="preserve">Age UK (2018) All the Lonely People: Loneliness in Later Life. London: Age UK. Available at: </w:t>
      </w:r>
      <w:hyperlink r:id="rId9" w:history="1">
        <w:r w:rsidR="008E1332" w:rsidRPr="008E1332">
          <w:rPr>
            <w:rStyle w:val="Hyperlink"/>
            <w:rFonts w:eastAsia="Times New Roman" w:cs="Arial"/>
            <w:szCs w:val="22"/>
            <w:lang w:val="en-GB" w:eastAsia="en-US"/>
          </w:rPr>
          <w:t>https://www.ageuk.org.uk/latest-press/articles/2018/october/all-the-lonely-people-report/</w:t>
        </w:r>
      </w:hyperlink>
      <w:r w:rsidR="008E1332" w:rsidRPr="008E1332">
        <w:rPr>
          <w:rFonts w:eastAsia="Times New Roman" w:cs="Arial"/>
          <w:szCs w:val="22"/>
          <w:lang w:val="en-GB" w:eastAsia="en-US"/>
        </w:rPr>
        <w:t xml:space="preserve"> (Accessed: 1 August 2026).</w:t>
      </w:r>
      <w:r w:rsidR="008E1332">
        <w:rPr>
          <w:rFonts w:eastAsia="Times New Roman" w:cs="Arial"/>
          <w:szCs w:val="22"/>
          <w:lang w:val="en-GB" w:eastAsia="en-US"/>
        </w:rPr>
        <w:br/>
      </w:r>
    </w:p>
    <w:p w14:paraId="3E5CCF37" w14:textId="1D933B1F"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Arksey, H. and O'Malley, L. (2005) 'Scoping studies: towards a methodological framework', International Journal of Social Research Methodology, 8(1), pp. 19–32.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10" w:history="1">
        <w:r w:rsidRPr="008E1332">
          <w:rPr>
            <w:rStyle w:val="Hyperlink"/>
            <w:rFonts w:eastAsia="Times New Roman" w:cs="Arial"/>
            <w:szCs w:val="22"/>
            <w:lang w:val="en-GB" w:eastAsia="en-US"/>
          </w:rPr>
          <w:t>10.1080/1364557032000119616</w:t>
        </w:r>
      </w:hyperlink>
      <w:r w:rsidRPr="008E1332">
        <w:rPr>
          <w:rFonts w:eastAsia="Times New Roman" w:cs="Arial"/>
          <w:szCs w:val="22"/>
          <w:lang w:val="en-GB" w:eastAsia="en-US"/>
        </w:rPr>
        <w:t>.</w:t>
      </w:r>
      <w:r>
        <w:rPr>
          <w:rFonts w:eastAsia="Times New Roman" w:cs="Arial"/>
          <w:szCs w:val="22"/>
          <w:lang w:val="en-GB" w:eastAsia="en-US"/>
        </w:rPr>
        <w:br/>
      </w:r>
    </w:p>
    <w:p w14:paraId="09864607" w14:textId="344FE243"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Beach, B. and Bamford, S.M. (2014) Isolation: The Emerging Crisis for Older Men. London: Independent Age. Available at: </w:t>
      </w:r>
      <w:hyperlink r:id="rId11" w:history="1">
        <w:r w:rsidRPr="008E1332">
          <w:rPr>
            <w:rStyle w:val="Hyperlink"/>
            <w:rFonts w:eastAsia="Times New Roman" w:cs="Arial"/>
            <w:szCs w:val="22"/>
            <w:lang w:val="en-GB" w:eastAsia="en-US"/>
          </w:rPr>
          <w:t>https://independent-age-assets.s3.eu-west-1.amazonaws.com/s3fs-public/2016-05/isolation-the-emerging-crisis-for-older-men-report.pdf</w:t>
        </w:r>
      </w:hyperlink>
      <w:r w:rsidRPr="008E1332">
        <w:rPr>
          <w:rFonts w:eastAsia="Times New Roman" w:cs="Arial"/>
          <w:szCs w:val="22"/>
          <w:lang w:val="en-GB" w:eastAsia="en-US"/>
        </w:rPr>
        <w:t xml:space="preserve"> (Accessed: 1 August 2026).</w:t>
      </w:r>
      <w:r>
        <w:rPr>
          <w:rFonts w:eastAsia="Times New Roman" w:cs="Arial"/>
          <w:szCs w:val="22"/>
          <w:lang w:val="en-GB" w:eastAsia="en-US"/>
        </w:rPr>
        <w:br/>
      </w:r>
    </w:p>
    <w:p w14:paraId="7F39343C" w14:textId="77A8018C"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Braun, V. and Clarke, V. (2006) 'Using thematic analysis in psychology', Qualitative Research in Psychology, 3(2), pp. 77–101.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12" w:history="1">
        <w:r w:rsidRPr="008E1332">
          <w:rPr>
            <w:rStyle w:val="Hyperlink"/>
            <w:rFonts w:eastAsia="Times New Roman" w:cs="Arial"/>
            <w:szCs w:val="22"/>
            <w:lang w:val="en-GB" w:eastAsia="en-US"/>
          </w:rPr>
          <w:t>10.1191/1478088706qp063oa</w:t>
        </w:r>
      </w:hyperlink>
      <w:r w:rsidRPr="008E1332">
        <w:rPr>
          <w:rFonts w:eastAsia="Times New Roman" w:cs="Arial"/>
          <w:szCs w:val="22"/>
          <w:lang w:val="en-GB" w:eastAsia="en-US"/>
        </w:rPr>
        <w:t>.</w:t>
      </w:r>
      <w:r>
        <w:rPr>
          <w:rFonts w:eastAsia="Times New Roman" w:cs="Arial"/>
          <w:szCs w:val="22"/>
          <w:lang w:val="en-GB" w:eastAsia="en-US"/>
        </w:rPr>
        <w:br/>
      </w:r>
    </w:p>
    <w:p w14:paraId="5095DCC1" w14:textId="03505691"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Bu, F., Steptoe, A. and Fancourt, D. (2020) 'Who is lonely in lockdown? Cross-cohort analyses of predictors of loneliness before and during the COVID-19 pandemic', Public Health, 186, pp. 31–34.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13" w:history="1">
        <w:r w:rsidRPr="008E1332">
          <w:rPr>
            <w:rStyle w:val="Hyperlink"/>
            <w:rFonts w:eastAsia="Times New Roman" w:cs="Arial"/>
            <w:szCs w:val="22"/>
            <w:lang w:val="en-GB" w:eastAsia="en-US"/>
          </w:rPr>
          <w:t>10.1016/j.puhe.2020.06.036</w:t>
        </w:r>
      </w:hyperlink>
      <w:r w:rsidRPr="008E1332">
        <w:rPr>
          <w:rFonts w:eastAsia="Times New Roman" w:cs="Arial"/>
          <w:szCs w:val="22"/>
          <w:lang w:val="en-GB" w:eastAsia="en-US"/>
        </w:rPr>
        <w:t>.</w:t>
      </w:r>
      <w:r>
        <w:rPr>
          <w:rFonts w:eastAsia="Times New Roman" w:cs="Arial"/>
          <w:szCs w:val="22"/>
          <w:lang w:val="en-GB" w:eastAsia="en-US"/>
        </w:rPr>
        <w:br/>
      </w:r>
    </w:p>
    <w:p w14:paraId="2042B4CD" w14:textId="3C15B225"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Burholt, V. et al. (2020) 'A critical review and development of a conceptual model of exclusion from social relations for older people', European Journal of Ageing, 17(1), pp. 3–19.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14" w:history="1">
        <w:r w:rsidRPr="008E1332">
          <w:rPr>
            <w:rStyle w:val="Hyperlink"/>
            <w:rFonts w:eastAsia="Times New Roman" w:cs="Arial"/>
            <w:szCs w:val="22"/>
            <w:lang w:val="en-GB" w:eastAsia="en-US"/>
          </w:rPr>
          <w:t>10.1007/s10433-019-00506-0</w:t>
        </w:r>
      </w:hyperlink>
      <w:r w:rsidRPr="008E1332">
        <w:rPr>
          <w:rFonts w:eastAsia="Times New Roman" w:cs="Arial"/>
          <w:szCs w:val="22"/>
          <w:lang w:val="en-GB" w:eastAsia="en-US"/>
        </w:rPr>
        <w:t>.</w:t>
      </w:r>
      <w:r>
        <w:rPr>
          <w:rFonts w:eastAsia="Times New Roman" w:cs="Arial"/>
          <w:szCs w:val="22"/>
          <w:lang w:val="en-GB" w:eastAsia="en-US"/>
        </w:rPr>
        <w:br/>
      </w:r>
    </w:p>
    <w:p w14:paraId="3A1EEA66" w14:textId="27601B7F"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Cacioppo, J.T. and Patrick, W. (2008) Loneliness: Human Nature and the Need for Social Connection. New York: W.W. Norton. Available at: </w:t>
      </w:r>
      <w:hyperlink r:id="rId15" w:history="1">
        <w:r w:rsidRPr="008E1332">
          <w:rPr>
            <w:rStyle w:val="Hyperlink"/>
            <w:rFonts w:eastAsia="Times New Roman" w:cs="Arial"/>
            <w:szCs w:val="22"/>
            <w:lang w:val="en-GB" w:eastAsia="en-US"/>
          </w:rPr>
          <w:t>https://search.worldcat.org/title/Loneliness-%3A-human-nature-and-the-need-for-social-connection/oclc/181139570</w:t>
        </w:r>
      </w:hyperlink>
      <w:r w:rsidRPr="008E1332">
        <w:rPr>
          <w:rFonts w:eastAsia="Times New Roman" w:cs="Arial"/>
          <w:szCs w:val="22"/>
          <w:lang w:val="en-GB" w:eastAsia="en-US"/>
        </w:rPr>
        <w:t xml:space="preserve"> (Accessed: 2 August 2026).</w:t>
      </w:r>
      <w:r>
        <w:rPr>
          <w:rFonts w:eastAsia="Times New Roman" w:cs="Arial"/>
          <w:szCs w:val="22"/>
          <w:lang w:val="en-GB" w:eastAsia="en-US"/>
        </w:rPr>
        <w:br/>
      </w:r>
    </w:p>
    <w:p w14:paraId="4F13214C" w14:textId="2D0BB0C1"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Cacioppo, J.T. et al. (2006) 'Loneliness as a specific risk factor for depressive symptoms: cross-sectional and longitudinal analyses', Psychology and Aging, 21(1), pp. 140–151.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16" w:history="1">
        <w:r w:rsidRPr="008E1332">
          <w:rPr>
            <w:rStyle w:val="Hyperlink"/>
            <w:rFonts w:eastAsia="Times New Roman" w:cs="Arial"/>
            <w:szCs w:val="22"/>
            <w:lang w:val="en-GB" w:eastAsia="en-US"/>
          </w:rPr>
          <w:t>10.1037/0882-7974.21.1.140</w:t>
        </w:r>
      </w:hyperlink>
      <w:r w:rsidRPr="008E1332">
        <w:rPr>
          <w:rFonts w:eastAsia="Times New Roman" w:cs="Arial"/>
          <w:szCs w:val="22"/>
          <w:lang w:val="en-GB" w:eastAsia="en-US"/>
        </w:rPr>
        <w:t>.</w:t>
      </w:r>
      <w:r>
        <w:rPr>
          <w:rFonts w:eastAsia="Times New Roman" w:cs="Arial"/>
          <w:szCs w:val="22"/>
          <w:lang w:val="en-GB" w:eastAsia="en-US"/>
        </w:rPr>
        <w:br/>
      </w:r>
    </w:p>
    <w:p w14:paraId="2BF13D13" w14:textId="348898E2"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Choi, N.G. et al. (2022) 'Telehealth use among older adults during COVID-19: associations with sociodemographic and health characteristics, technology device ownership, and technology learning', Journal of Applied Gerontology, 41(3), pp. 600–609.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17" w:history="1">
        <w:r w:rsidRPr="008E1332">
          <w:rPr>
            <w:rStyle w:val="Hyperlink"/>
            <w:rFonts w:eastAsia="Times New Roman" w:cs="Arial"/>
            <w:szCs w:val="22"/>
            <w:lang w:val="en-GB" w:eastAsia="en-US"/>
          </w:rPr>
          <w:t>10.1177/07334648211047347</w:t>
        </w:r>
      </w:hyperlink>
      <w:r w:rsidRPr="008E1332">
        <w:rPr>
          <w:rFonts w:eastAsia="Times New Roman" w:cs="Arial"/>
          <w:szCs w:val="22"/>
          <w:lang w:val="en-GB" w:eastAsia="en-US"/>
        </w:rPr>
        <w:t>.</w:t>
      </w:r>
      <w:r>
        <w:rPr>
          <w:rFonts w:eastAsia="Times New Roman" w:cs="Arial"/>
          <w:szCs w:val="22"/>
          <w:lang w:val="en-GB" w:eastAsia="en-US"/>
        </w:rPr>
        <w:br/>
      </w:r>
    </w:p>
    <w:p w14:paraId="60C0BAEC" w14:textId="775DD57D"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Courtin, E. and Knapp, M. (2017) 'Social isolation, loneliness and health in old age: a scoping review', Health and Social Care in the Community, 25(3), pp. 799–812.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18" w:history="1">
        <w:r w:rsidRPr="008E1332">
          <w:rPr>
            <w:rStyle w:val="Hyperlink"/>
            <w:rFonts w:eastAsia="Times New Roman" w:cs="Arial"/>
            <w:szCs w:val="22"/>
            <w:lang w:val="en-GB" w:eastAsia="en-US"/>
          </w:rPr>
          <w:t>10.1111/hsc.12311</w:t>
        </w:r>
      </w:hyperlink>
      <w:r w:rsidRPr="008E1332">
        <w:rPr>
          <w:rFonts w:eastAsia="Times New Roman" w:cs="Arial"/>
          <w:szCs w:val="22"/>
          <w:lang w:val="en-GB" w:eastAsia="en-US"/>
        </w:rPr>
        <w:t>.</w:t>
      </w:r>
      <w:r>
        <w:rPr>
          <w:rFonts w:eastAsia="Times New Roman" w:cs="Arial"/>
          <w:szCs w:val="22"/>
          <w:lang w:val="en-GB" w:eastAsia="en-US"/>
        </w:rPr>
        <w:br/>
      </w:r>
    </w:p>
    <w:p w14:paraId="5CCFD257" w14:textId="1371DAC5"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Department for Digital, Culture, Media and Sport (2018) A Connected Society: A Strategy for Tackling Loneliness. London: HM Government. Available at: </w:t>
      </w:r>
      <w:hyperlink r:id="rId19" w:history="1">
        <w:r w:rsidRPr="008E1332">
          <w:rPr>
            <w:rStyle w:val="Hyperlink"/>
            <w:rFonts w:eastAsia="Times New Roman" w:cs="Arial"/>
            <w:szCs w:val="22"/>
            <w:lang w:val="en-GB" w:eastAsia="en-US"/>
          </w:rPr>
          <w:t>https://www.gov.uk/government/publications/a-connected-society-a-strategy-for-tackling-loneliness</w:t>
        </w:r>
      </w:hyperlink>
      <w:r w:rsidRPr="008E1332">
        <w:rPr>
          <w:rFonts w:eastAsia="Times New Roman" w:cs="Arial"/>
          <w:szCs w:val="22"/>
          <w:lang w:val="en-GB" w:eastAsia="en-US"/>
        </w:rPr>
        <w:t xml:space="preserve"> (Accessed: 2 August 2026).</w:t>
      </w:r>
      <w:r>
        <w:rPr>
          <w:rFonts w:eastAsia="Times New Roman" w:cs="Arial"/>
          <w:szCs w:val="22"/>
          <w:lang w:val="en-GB" w:eastAsia="en-US"/>
        </w:rPr>
        <w:br/>
      </w:r>
      <w:r>
        <w:rPr>
          <w:rFonts w:eastAsia="Times New Roman" w:cs="Arial"/>
          <w:szCs w:val="22"/>
          <w:lang w:val="en-GB" w:eastAsia="en-US"/>
        </w:rPr>
        <w:br/>
      </w:r>
    </w:p>
    <w:p w14:paraId="2BC52EF2" w14:textId="11E27B9B"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Department for Work and Pensions (2017) Family Resources Survey: Financial Year 2015/16. London: Department for Work and Pensions. Available at: </w:t>
      </w:r>
      <w:hyperlink r:id="rId20" w:history="1">
        <w:r w:rsidRPr="008E1332">
          <w:rPr>
            <w:rStyle w:val="Hyperlink"/>
            <w:rFonts w:eastAsia="Times New Roman" w:cs="Arial"/>
            <w:szCs w:val="22"/>
            <w:lang w:val="en-GB" w:eastAsia="en-US"/>
          </w:rPr>
          <w:t>https://www.gov.uk/government/statistics/family-resources-survey-financial-year-</w:t>
        </w:r>
        <w:r w:rsidRPr="008E1332">
          <w:rPr>
            <w:rStyle w:val="Hyperlink"/>
            <w:rFonts w:eastAsia="Times New Roman" w:cs="Arial"/>
            <w:szCs w:val="22"/>
            <w:lang w:val="en-GB" w:eastAsia="en-US"/>
          </w:rPr>
          <w:lastRenderedPageBreak/>
          <w:t>201516</w:t>
        </w:r>
      </w:hyperlink>
      <w:r w:rsidRPr="008E1332">
        <w:rPr>
          <w:rFonts w:eastAsia="Times New Roman" w:cs="Arial"/>
          <w:szCs w:val="22"/>
          <w:lang w:val="en-GB" w:eastAsia="en-US"/>
        </w:rPr>
        <w:t xml:space="preserve"> (Accessed: 3 August 2026).</w:t>
      </w:r>
      <w:r>
        <w:rPr>
          <w:rFonts w:eastAsia="Times New Roman" w:cs="Arial"/>
          <w:szCs w:val="22"/>
          <w:lang w:val="en-GB" w:eastAsia="en-US"/>
        </w:rPr>
        <w:br/>
      </w:r>
    </w:p>
    <w:p w14:paraId="46A6BD80" w14:textId="38AC9A16"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Fancourt, D., Steptoe, A. and Bu, F. (2021) 'Trajectories of anxiety and depressive symptoms during enforced isolation due to COVID-19 in England: a longitudinal observational study', The Lancet Psychiatry, 8(2), pp. 141–149.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21" w:history="1">
        <w:r w:rsidRPr="008E1332">
          <w:rPr>
            <w:rStyle w:val="Hyperlink"/>
            <w:rFonts w:eastAsia="Times New Roman" w:cs="Arial"/>
            <w:szCs w:val="22"/>
            <w:lang w:val="en-GB" w:eastAsia="en-US"/>
          </w:rPr>
          <w:t>10.1016/S2215-0366(20)30482-X</w:t>
        </w:r>
      </w:hyperlink>
      <w:r w:rsidRPr="008E1332">
        <w:rPr>
          <w:rFonts w:eastAsia="Times New Roman" w:cs="Arial"/>
          <w:szCs w:val="22"/>
          <w:lang w:val="en-GB" w:eastAsia="en-US"/>
        </w:rPr>
        <w:t>.</w:t>
      </w:r>
      <w:r>
        <w:rPr>
          <w:rFonts w:eastAsia="Times New Roman" w:cs="Arial"/>
          <w:szCs w:val="22"/>
          <w:lang w:val="en-GB" w:eastAsia="en-US"/>
        </w:rPr>
        <w:br/>
      </w:r>
    </w:p>
    <w:p w14:paraId="05C0AB33" w14:textId="53FA886D"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Gardiner, C., Geldenhuys, G. and Gott, M. (2018) 'Interventions to reduce social isolation and loneliness among older people: an integrative review', Health and Social Care in the Community, 26(2), pp. 147–157.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22" w:history="1">
        <w:r w:rsidRPr="008E1332">
          <w:rPr>
            <w:rStyle w:val="Hyperlink"/>
            <w:rFonts w:eastAsia="Times New Roman" w:cs="Arial"/>
            <w:szCs w:val="22"/>
            <w:lang w:val="en-GB" w:eastAsia="en-US"/>
          </w:rPr>
          <w:t>10.1111/hsc.12367</w:t>
        </w:r>
      </w:hyperlink>
      <w:r w:rsidRPr="008E1332">
        <w:rPr>
          <w:rFonts w:eastAsia="Times New Roman" w:cs="Arial"/>
          <w:szCs w:val="22"/>
          <w:lang w:val="en-GB" w:eastAsia="en-US"/>
        </w:rPr>
        <w:t>.</w:t>
      </w:r>
      <w:r>
        <w:rPr>
          <w:rFonts w:eastAsia="Times New Roman" w:cs="Arial"/>
          <w:szCs w:val="22"/>
          <w:lang w:val="en-GB" w:eastAsia="en-US"/>
        </w:rPr>
        <w:br/>
      </w:r>
    </w:p>
    <w:p w14:paraId="4B7472E2" w14:textId="4D50A2E6"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Green, M.J. et al. (2021) 'Social contact and inequalities in depressive symptoms and loneliness among older adults: a mediation analysis of the English Longitudinal Study of Ageing', SSM - Population Health, 13, p. 100726.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23" w:history="1">
        <w:r w:rsidRPr="008E1332">
          <w:rPr>
            <w:rStyle w:val="Hyperlink"/>
            <w:rFonts w:eastAsia="Times New Roman" w:cs="Arial"/>
            <w:szCs w:val="22"/>
            <w:lang w:val="en-GB" w:eastAsia="en-US"/>
          </w:rPr>
          <w:t>10.1016/j.ssmph.2021.100726</w:t>
        </w:r>
      </w:hyperlink>
      <w:r w:rsidRPr="008E1332">
        <w:rPr>
          <w:rFonts w:eastAsia="Times New Roman" w:cs="Arial"/>
          <w:szCs w:val="22"/>
          <w:lang w:val="en-GB" w:eastAsia="en-US"/>
        </w:rPr>
        <w:t>.</w:t>
      </w:r>
      <w:r>
        <w:rPr>
          <w:rFonts w:eastAsia="Times New Roman" w:cs="Arial"/>
          <w:szCs w:val="22"/>
          <w:lang w:val="en-GB" w:eastAsia="en-US"/>
        </w:rPr>
        <w:br/>
      </w:r>
    </w:p>
    <w:p w14:paraId="4D681A26" w14:textId="5CCB4DEF"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Hawkley, L.C. and Cacioppo, J.T. (2010) 'Loneliness matters: a theoretical and empirical review of consequences and mechanisms', Annals of </w:t>
      </w:r>
      <w:proofErr w:type="spellStart"/>
      <w:r w:rsidRPr="008E1332">
        <w:rPr>
          <w:rFonts w:eastAsia="Times New Roman" w:cs="Arial"/>
          <w:szCs w:val="22"/>
          <w:lang w:val="en-GB" w:eastAsia="en-US"/>
        </w:rPr>
        <w:t>Behavioral</w:t>
      </w:r>
      <w:proofErr w:type="spellEnd"/>
      <w:r w:rsidRPr="008E1332">
        <w:rPr>
          <w:rFonts w:eastAsia="Times New Roman" w:cs="Arial"/>
          <w:szCs w:val="22"/>
          <w:lang w:val="en-GB" w:eastAsia="en-US"/>
        </w:rPr>
        <w:t xml:space="preserve"> Medicine, 40(2), pp. 218–227.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24" w:history="1">
        <w:r w:rsidRPr="008E1332">
          <w:rPr>
            <w:rStyle w:val="Hyperlink"/>
            <w:rFonts w:eastAsia="Times New Roman" w:cs="Arial"/>
            <w:szCs w:val="22"/>
            <w:lang w:val="en-GB" w:eastAsia="en-US"/>
          </w:rPr>
          <w:t>10.1007/s12160-010-9210-8</w:t>
        </w:r>
      </w:hyperlink>
      <w:r w:rsidRPr="008E1332">
        <w:rPr>
          <w:rFonts w:eastAsia="Times New Roman" w:cs="Arial"/>
          <w:szCs w:val="22"/>
          <w:lang w:val="en-GB" w:eastAsia="en-US"/>
        </w:rPr>
        <w:t>.</w:t>
      </w:r>
      <w:r>
        <w:rPr>
          <w:rFonts w:eastAsia="Times New Roman" w:cs="Arial"/>
          <w:szCs w:val="22"/>
          <w:lang w:val="en-GB" w:eastAsia="en-US"/>
        </w:rPr>
        <w:br/>
      </w:r>
    </w:p>
    <w:p w14:paraId="2DBFF9AD" w14:textId="7E79AE86"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HM Government (2010) Equality Act 2010. London: The Stationery Office. Available at: </w:t>
      </w:r>
      <w:hyperlink r:id="rId25" w:history="1">
        <w:r w:rsidRPr="008E1332">
          <w:rPr>
            <w:rStyle w:val="Hyperlink"/>
            <w:rFonts w:eastAsia="Times New Roman" w:cs="Arial"/>
            <w:szCs w:val="22"/>
            <w:lang w:val="en-GB" w:eastAsia="en-US"/>
          </w:rPr>
          <w:t>https://www.legislation.gov.uk/ukpga/2010/15/contents</w:t>
        </w:r>
      </w:hyperlink>
      <w:r w:rsidRPr="008E1332">
        <w:rPr>
          <w:rFonts w:eastAsia="Times New Roman" w:cs="Arial"/>
          <w:szCs w:val="22"/>
          <w:lang w:val="en-GB" w:eastAsia="en-US"/>
        </w:rPr>
        <w:t xml:space="preserve"> (Accessed: 3 August 2026).</w:t>
      </w:r>
      <w:r>
        <w:rPr>
          <w:rFonts w:eastAsia="Times New Roman" w:cs="Arial"/>
          <w:szCs w:val="22"/>
          <w:lang w:val="en-GB" w:eastAsia="en-US"/>
        </w:rPr>
        <w:br/>
      </w:r>
    </w:p>
    <w:p w14:paraId="38DA1B78" w14:textId="1D294FAE"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HM Government (2011) The Equality Act 2010 (Specific Duties) Regulations 2011. London: The Stationery Office. Available at: </w:t>
      </w:r>
      <w:hyperlink r:id="rId26" w:history="1">
        <w:r w:rsidRPr="008E1332">
          <w:rPr>
            <w:rStyle w:val="Hyperlink"/>
            <w:rFonts w:eastAsia="Times New Roman" w:cs="Arial"/>
            <w:szCs w:val="22"/>
            <w:lang w:val="en-GB" w:eastAsia="en-US"/>
          </w:rPr>
          <w:t>https://www.legislation.gov.uk/uksi/2011/2260/contents/made</w:t>
        </w:r>
      </w:hyperlink>
      <w:r w:rsidRPr="008E1332">
        <w:rPr>
          <w:rFonts w:eastAsia="Times New Roman" w:cs="Arial"/>
          <w:szCs w:val="22"/>
          <w:lang w:val="en-GB" w:eastAsia="en-US"/>
        </w:rPr>
        <w:t xml:space="preserve"> (Accessed: 4 August 2026).</w:t>
      </w:r>
      <w:r>
        <w:rPr>
          <w:rFonts w:eastAsia="Times New Roman" w:cs="Arial"/>
          <w:szCs w:val="22"/>
          <w:lang w:val="en-GB" w:eastAsia="en-US"/>
        </w:rPr>
        <w:br/>
      </w:r>
    </w:p>
    <w:p w14:paraId="225C9839" w14:textId="77777777"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HM Government (2014) Care Act 2014. London: The Stationery Office. Available at: </w:t>
      </w:r>
      <w:hyperlink r:id="rId27" w:history="1">
        <w:r w:rsidRPr="008E1332">
          <w:rPr>
            <w:rStyle w:val="Hyperlink"/>
            <w:rFonts w:eastAsia="Times New Roman" w:cs="Arial"/>
            <w:szCs w:val="22"/>
            <w:lang w:val="en-GB" w:eastAsia="en-US"/>
          </w:rPr>
          <w:t>https://www.legislation.gov.uk/ukpga/2014/23/contents</w:t>
        </w:r>
      </w:hyperlink>
      <w:r w:rsidRPr="008E1332">
        <w:rPr>
          <w:rFonts w:eastAsia="Times New Roman" w:cs="Arial"/>
          <w:szCs w:val="22"/>
          <w:lang w:val="en-GB" w:eastAsia="en-US"/>
        </w:rPr>
        <w:t xml:space="preserve"> (Accessed: 4 August 2026).</w:t>
      </w:r>
    </w:p>
    <w:p w14:paraId="55487D13" w14:textId="54E28992"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Holt-</w:t>
      </w:r>
      <w:proofErr w:type="spellStart"/>
      <w:r w:rsidRPr="008E1332">
        <w:rPr>
          <w:rFonts w:eastAsia="Times New Roman" w:cs="Arial"/>
          <w:szCs w:val="22"/>
          <w:lang w:val="en-GB" w:eastAsia="en-US"/>
        </w:rPr>
        <w:t>Lunstad</w:t>
      </w:r>
      <w:proofErr w:type="spellEnd"/>
      <w:r w:rsidRPr="008E1332">
        <w:rPr>
          <w:rFonts w:eastAsia="Times New Roman" w:cs="Arial"/>
          <w:szCs w:val="22"/>
          <w:lang w:val="en-GB" w:eastAsia="en-US"/>
        </w:rPr>
        <w:t xml:space="preserve">, J. et al. (2015) 'Loneliness and social isolation as risk factors for mortality: a meta-analytic review', Perspectives on Psychological Science, 10(2), pp. 227–237.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28" w:history="1">
        <w:r w:rsidRPr="008E1332">
          <w:rPr>
            <w:rStyle w:val="Hyperlink"/>
            <w:rFonts w:eastAsia="Times New Roman" w:cs="Arial"/>
            <w:szCs w:val="22"/>
            <w:lang w:val="en-GB" w:eastAsia="en-US"/>
          </w:rPr>
          <w:t>10.1177/1745691614568352</w:t>
        </w:r>
      </w:hyperlink>
      <w:r w:rsidRPr="008E1332">
        <w:rPr>
          <w:rFonts w:eastAsia="Times New Roman" w:cs="Arial"/>
          <w:szCs w:val="22"/>
          <w:lang w:val="en-GB" w:eastAsia="en-US"/>
        </w:rPr>
        <w:t>.</w:t>
      </w:r>
      <w:r>
        <w:rPr>
          <w:rFonts w:eastAsia="Times New Roman" w:cs="Arial"/>
          <w:szCs w:val="22"/>
          <w:lang w:val="en-GB" w:eastAsia="en-US"/>
        </w:rPr>
        <w:br/>
      </w:r>
    </w:p>
    <w:p w14:paraId="58F32ED9" w14:textId="11C48B32"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Levac, D., Colquhoun, H. and O'Brien, K.K. (2010) 'Scoping studies: advancing the methodology', Implementation Science, 5, p. 69.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29" w:history="1">
        <w:r w:rsidRPr="008E1332">
          <w:rPr>
            <w:rStyle w:val="Hyperlink"/>
            <w:rFonts w:eastAsia="Times New Roman" w:cs="Arial"/>
            <w:szCs w:val="22"/>
            <w:lang w:val="en-GB" w:eastAsia="en-US"/>
          </w:rPr>
          <w:t>10.1186/1748-5908-5-69</w:t>
        </w:r>
      </w:hyperlink>
      <w:r w:rsidRPr="008E1332">
        <w:rPr>
          <w:rFonts w:eastAsia="Times New Roman" w:cs="Arial"/>
          <w:szCs w:val="22"/>
          <w:lang w:val="en-GB" w:eastAsia="en-US"/>
        </w:rPr>
        <w:t>.</w:t>
      </w:r>
      <w:r>
        <w:rPr>
          <w:rFonts w:eastAsia="Times New Roman" w:cs="Arial"/>
          <w:szCs w:val="22"/>
          <w:lang w:val="en-GB" w:eastAsia="en-US"/>
        </w:rPr>
        <w:br/>
      </w:r>
    </w:p>
    <w:p w14:paraId="045918B9" w14:textId="3C1CB8E2"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Marmot, M. et al. (2020) Health Equity in England: The Marmot Review 10 Years On. London: Institute of Health Equity. Available at: </w:t>
      </w:r>
      <w:hyperlink r:id="rId30" w:history="1">
        <w:r w:rsidRPr="008E1332">
          <w:rPr>
            <w:rStyle w:val="Hyperlink"/>
            <w:rFonts w:eastAsia="Times New Roman" w:cs="Arial"/>
            <w:szCs w:val="22"/>
            <w:lang w:val="en-GB" w:eastAsia="en-US"/>
          </w:rPr>
          <w:t>https://www.instituteofhealthequity.org/resources-reports/marmot-review-10-years-on</w:t>
        </w:r>
      </w:hyperlink>
      <w:r w:rsidRPr="008E1332">
        <w:rPr>
          <w:rFonts w:eastAsia="Times New Roman" w:cs="Arial"/>
          <w:szCs w:val="22"/>
          <w:lang w:val="en-GB" w:eastAsia="en-US"/>
        </w:rPr>
        <w:t xml:space="preserve"> (Accessed: 5 August 2026).</w:t>
      </w:r>
      <w:r>
        <w:rPr>
          <w:rFonts w:eastAsia="Times New Roman" w:cs="Arial"/>
          <w:szCs w:val="22"/>
          <w:lang w:val="en-GB" w:eastAsia="en-US"/>
        </w:rPr>
        <w:br/>
      </w:r>
    </w:p>
    <w:p w14:paraId="6916152C" w14:textId="13B19A7F"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Munn, Z. et al. (2018) 'Systematic review or scoping review? Guidance for authors when choosing between a systematic or scoping review approach', BMC Medical Research Methodology, 18(1), p. 143.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31" w:history="1">
        <w:r w:rsidRPr="008E1332">
          <w:rPr>
            <w:rStyle w:val="Hyperlink"/>
            <w:rFonts w:eastAsia="Times New Roman" w:cs="Arial"/>
            <w:szCs w:val="22"/>
            <w:lang w:val="en-GB" w:eastAsia="en-US"/>
          </w:rPr>
          <w:t>10.1186/s12874-018-0611-x</w:t>
        </w:r>
      </w:hyperlink>
      <w:r w:rsidRPr="008E1332">
        <w:rPr>
          <w:rFonts w:eastAsia="Times New Roman" w:cs="Arial"/>
          <w:szCs w:val="22"/>
          <w:lang w:val="en-GB" w:eastAsia="en-US"/>
        </w:rPr>
        <w:t>.</w:t>
      </w:r>
      <w:r w:rsidR="00E40295">
        <w:rPr>
          <w:rFonts w:eastAsia="Times New Roman" w:cs="Arial"/>
          <w:szCs w:val="22"/>
          <w:lang w:val="en-GB" w:eastAsia="en-US"/>
        </w:rPr>
        <w:br/>
      </w:r>
    </w:p>
    <w:p w14:paraId="0F371A05" w14:textId="1F80B2EF"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NHS England (2019) The NHS Long Term Plan. London: NHS England. Available at: </w:t>
      </w:r>
      <w:hyperlink r:id="rId32" w:history="1">
        <w:r w:rsidRPr="008E1332">
          <w:rPr>
            <w:rStyle w:val="Hyperlink"/>
            <w:rFonts w:eastAsia="Times New Roman" w:cs="Arial"/>
            <w:szCs w:val="22"/>
            <w:lang w:val="en-GB" w:eastAsia="en-US"/>
          </w:rPr>
          <w:t>https://www.longtermplan.nhs.uk/</w:t>
        </w:r>
      </w:hyperlink>
      <w:r w:rsidRPr="008E1332">
        <w:rPr>
          <w:rFonts w:eastAsia="Times New Roman" w:cs="Arial"/>
          <w:szCs w:val="22"/>
          <w:lang w:val="en-GB" w:eastAsia="en-US"/>
        </w:rPr>
        <w:t xml:space="preserve"> (Accessed: 6 August 2026).</w:t>
      </w:r>
      <w:r w:rsidR="00E40295">
        <w:rPr>
          <w:rFonts w:eastAsia="Times New Roman" w:cs="Arial"/>
          <w:szCs w:val="22"/>
          <w:lang w:val="en-GB" w:eastAsia="en-US"/>
        </w:rPr>
        <w:br/>
      </w:r>
      <w:r w:rsidR="00E40295">
        <w:rPr>
          <w:rFonts w:eastAsia="Times New Roman" w:cs="Arial"/>
          <w:szCs w:val="22"/>
          <w:lang w:val="en-GB" w:eastAsia="en-US"/>
        </w:rPr>
        <w:br/>
      </w:r>
    </w:p>
    <w:p w14:paraId="4FEDEDE9" w14:textId="275D4887"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Office for National Statistics (2024) National Population Projections: 2021-based interim. Newport: Office for National Statistics. Available at: </w:t>
      </w:r>
      <w:hyperlink r:id="rId33" w:history="1">
        <w:r w:rsidRPr="008E1332">
          <w:rPr>
            <w:rStyle w:val="Hyperlink"/>
            <w:rFonts w:eastAsia="Times New Roman" w:cs="Arial"/>
            <w:szCs w:val="22"/>
            <w:lang w:val="en-GB" w:eastAsia="en-US"/>
          </w:rPr>
          <w:t>https://www.ons.gov.uk/peoplepopulationandcommunity/populationandmigration/populationprojections/bulletins/nationalpopulationprojections/2021basedinterim</w:t>
        </w:r>
      </w:hyperlink>
      <w:r w:rsidRPr="008E1332">
        <w:rPr>
          <w:rFonts w:eastAsia="Times New Roman" w:cs="Arial"/>
          <w:szCs w:val="22"/>
          <w:lang w:val="en-GB" w:eastAsia="en-US"/>
        </w:rPr>
        <w:t xml:space="preserve"> </w:t>
      </w:r>
      <w:r w:rsidRPr="008E1332">
        <w:rPr>
          <w:rFonts w:eastAsia="Times New Roman" w:cs="Arial"/>
          <w:szCs w:val="22"/>
          <w:lang w:val="en-GB" w:eastAsia="en-US"/>
        </w:rPr>
        <w:lastRenderedPageBreak/>
        <w:t>(Accessed: 6 August 2026).</w:t>
      </w:r>
      <w:r w:rsidR="00E40295">
        <w:rPr>
          <w:rFonts w:eastAsia="Times New Roman" w:cs="Arial"/>
          <w:szCs w:val="22"/>
          <w:lang w:val="en-GB" w:eastAsia="en-US"/>
        </w:rPr>
        <w:br/>
      </w:r>
    </w:p>
    <w:p w14:paraId="75CCD10B" w14:textId="40B42461"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Putnam, R.D. (2000) Bowling Alone: The Collapse and Revival of American Community. New York: Simon &amp; Schuster. Available at: </w:t>
      </w:r>
      <w:hyperlink r:id="rId34" w:history="1">
        <w:r w:rsidRPr="008E1332">
          <w:rPr>
            <w:rStyle w:val="Hyperlink"/>
            <w:rFonts w:eastAsia="Times New Roman" w:cs="Arial"/>
            <w:szCs w:val="22"/>
            <w:lang w:val="en-GB" w:eastAsia="en-US"/>
          </w:rPr>
          <w:t>https://search.worldcat.org/title/Bowling-alone-%3A-the-collapse-and-revival-of-American-community/oclc/186434015</w:t>
        </w:r>
      </w:hyperlink>
      <w:r w:rsidRPr="008E1332">
        <w:rPr>
          <w:rFonts w:eastAsia="Times New Roman" w:cs="Arial"/>
          <w:szCs w:val="22"/>
          <w:lang w:val="en-GB" w:eastAsia="en-US"/>
        </w:rPr>
        <w:t xml:space="preserve"> (Accessed: 7 August 2026).</w:t>
      </w:r>
      <w:r w:rsidR="00E40295">
        <w:rPr>
          <w:rFonts w:eastAsia="Times New Roman" w:cs="Arial"/>
          <w:szCs w:val="22"/>
          <w:lang w:val="en-GB" w:eastAsia="en-US"/>
        </w:rPr>
        <w:br/>
      </w:r>
    </w:p>
    <w:p w14:paraId="4D7C8530" w14:textId="59E48610"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Robb, C.E. et al. (2020) 'Associations of social isolation with anxiety and depression during the early COVID-19 pandemic: a survey of older adults in London, UK', Frontiers in Psychiatry, 11, p. 591120.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35" w:history="1">
        <w:r w:rsidRPr="008E1332">
          <w:rPr>
            <w:rStyle w:val="Hyperlink"/>
            <w:rFonts w:eastAsia="Times New Roman" w:cs="Arial"/>
            <w:szCs w:val="22"/>
            <w:lang w:val="en-GB" w:eastAsia="en-US"/>
          </w:rPr>
          <w:t>10.3389/fpsyt.2020.591120</w:t>
        </w:r>
      </w:hyperlink>
      <w:r w:rsidRPr="008E1332">
        <w:rPr>
          <w:rFonts w:eastAsia="Times New Roman" w:cs="Arial"/>
          <w:szCs w:val="22"/>
          <w:lang w:val="en-GB" w:eastAsia="en-US"/>
        </w:rPr>
        <w:t>.</w:t>
      </w:r>
      <w:r w:rsidR="00E40295">
        <w:rPr>
          <w:rFonts w:eastAsia="Times New Roman" w:cs="Arial"/>
          <w:szCs w:val="22"/>
          <w:lang w:val="en-GB" w:eastAsia="en-US"/>
        </w:rPr>
        <w:br/>
      </w:r>
    </w:p>
    <w:p w14:paraId="3D0E5562" w14:textId="28ADE21D"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Seifert, A., Cotten, S.R. and Xie, B. (2021) 'A double burden of exclusion? Digital and social exclusion of older adults in times of COVID-19', The Journals of Gerontology: Series B, 76(3), pp. e99–e103.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36" w:history="1">
        <w:r w:rsidRPr="008E1332">
          <w:rPr>
            <w:rStyle w:val="Hyperlink"/>
            <w:rFonts w:eastAsia="Times New Roman" w:cs="Arial"/>
            <w:szCs w:val="22"/>
            <w:lang w:val="en-GB" w:eastAsia="en-US"/>
          </w:rPr>
          <w:t>10.1093/</w:t>
        </w:r>
        <w:proofErr w:type="spellStart"/>
        <w:r w:rsidRPr="008E1332">
          <w:rPr>
            <w:rStyle w:val="Hyperlink"/>
            <w:rFonts w:eastAsia="Times New Roman" w:cs="Arial"/>
            <w:szCs w:val="22"/>
            <w:lang w:val="en-GB" w:eastAsia="en-US"/>
          </w:rPr>
          <w:t>geronb</w:t>
        </w:r>
        <w:proofErr w:type="spellEnd"/>
        <w:r w:rsidRPr="008E1332">
          <w:rPr>
            <w:rStyle w:val="Hyperlink"/>
            <w:rFonts w:eastAsia="Times New Roman" w:cs="Arial"/>
            <w:szCs w:val="22"/>
            <w:lang w:val="en-GB" w:eastAsia="en-US"/>
          </w:rPr>
          <w:t>/gbaa098</w:t>
        </w:r>
      </w:hyperlink>
      <w:r w:rsidRPr="008E1332">
        <w:rPr>
          <w:rFonts w:eastAsia="Times New Roman" w:cs="Arial"/>
          <w:szCs w:val="22"/>
          <w:lang w:val="en-GB" w:eastAsia="en-US"/>
        </w:rPr>
        <w:t>.</w:t>
      </w:r>
      <w:r w:rsidR="00E40295">
        <w:rPr>
          <w:rFonts w:eastAsia="Times New Roman" w:cs="Arial"/>
          <w:szCs w:val="22"/>
          <w:lang w:val="en-GB" w:eastAsia="en-US"/>
        </w:rPr>
        <w:br/>
      </w:r>
    </w:p>
    <w:p w14:paraId="69EE6D5C" w14:textId="31C84662"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Steptoe, A. and Di Gessa, G. (2021) 'Mental health and social interactions of older people with physical disabilities in England during the COVID-19 pandemic: a longitudinal cohort study', The Lancet Public Health, 6(6), pp. e365–e373.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37" w:history="1">
        <w:r w:rsidRPr="008E1332">
          <w:rPr>
            <w:rStyle w:val="Hyperlink"/>
            <w:rFonts w:eastAsia="Times New Roman" w:cs="Arial"/>
            <w:szCs w:val="22"/>
            <w:lang w:val="en-GB" w:eastAsia="en-US"/>
          </w:rPr>
          <w:t>10.1016/S2468-2667(21)00069-4</w:t>
        </w:r>
      </w:hyperlink>
      <w:r w:rsidRPr="008E1332">
        <w:rPr>
          <w:rFonts w:eastAsia="Times New Roman" w:cs="Arial"/>
          <w:szCs w:val="22"/>
          <w:lang w:val="en-GB" w:eastAsia="en-US"/>
        </w:rPr>
        <w:t>.</w:t>
      </w:r>
      <w:r w:rsidR="00E40295">
        <w:rPr>
          <w:rFonts w:eastAsia="Times New Roman" w:cs="Arial"/>
          <w:szCs w:val="22"/>
          <w:lang w:val="en-GB" w:eastAsia="en-US"/>
        </w:rPr>
        <w:br/>
      </w:r>
    </w:p>
    <w:p w14:paraId="7AE65DAD" w14:textId="6B40F1E5"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Tennant, R. et al. (2007) 'The Warwick-Edinburgh Mental Well-being Scale (WEMWBS): development and UK validation', Health and Quality of Life Outcomes, 5, p. 63.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38" w:history="1">
        <w:r w:rsidRPr="008E1332">
          <w:rPr>
            <w:rStyle w:val="Hyperlink"/>
            <w:rFonts w:eastAsia="Times New Roman" w:cs="Arial"/>
            <w:szCs w:val="22"/>
            <w:lang w:val="en-GB" w:eastAsia="en-US"/>
          </w:rPr>
          <w:t>10.1186/1477-7525-5-63</w:t>
        </w:r>
      </w:hyperlink>
      <w:r w:rsidRPr="008E1332">
        <w:rPr>
          <w:rFonts w:eastAsia="Times New Roman" w:cs="Arial"/>
          <w:szCs w:val="22"/>
          <w:lang w:val="en-GB" w:eastAsia="en-US"/>
        </w:rPr>
        <w:t>.</w:t>
      </w:r>
      <w:r w:rsidR="00E40295">
        <w:rPr>
          <w:rFonts w:eastAsia="Times New Roman" w:cs="Arial"/>
          <w:szCs w:val="22"/>
          <w:lang w:val="en-GB" w:eastAsia="en-US"/>
        </w:rPr>
        <w:br/>
      </w:r>
    </w:p>
    <w:p w14:paraId="72A4AE54" w14:textId="358CC54B" w:rsidR="008E1332" w:rsidRPr="008E1332" w:rsidRDefault="008E1332" w:rsidP="008E1332">
      <w:pPr>
        <w:rPr>
          <w:rFonts w:eastAsia="Times New Roman" w:cs="Arial"/>
          <w:szCs w:val="22"/>
          <w:lang w:val="en-GB" w:eastAsia="en-US"/>
        </w:rPr>
      </w:pPr>
      <w:proofErr w:type="spellStart"/>
      <w:r w:rsidRPr="008E1332">
        <w:rPr>
          <w:rFonts w:eastAsia="Times New Roman" w:cs="Arial"/>
          <w:szCs w:val="22"/>
          <w:lang w:val="en-GB" w:eastAsia="en-US"/>
        </w:rPr>
        <w:t>Tricco</w:t>
      </w:r>
      <w:proofErr w:type="spellEnd"/>
      <w:r w:rsidRPr="008E1332">
        <w:rPr>
          <w:rFonts w:eastAsia="Times New Roman" w:cs="Arial"/>
          <w:szCs w:val="22"/>
          <w:lang w:val="en-GB" w:eastAsia="en-US"/>
        </w:rPr>
        <w:t>, A.C. et al. (2018) 'PRISMA extension for scoping reviews (PRISMA-</w:t>
      </w:r>
      <w:proofErr w:type="spellStart"/>
      <w:r w:rsidRPr="008E1332">
        <w:rPr>
          <w:rFonts w:eastAsia="Times New Roman" w:cs="Arial"/>
          <w:szCs w:val="22"/>
          <w:lang w:val="en-GB" w:eastAsia="en-US"/>
        </w:rPr>
        <w:t>ScR</w:t>
      </w:r>
      <w:proofErr w:type="spellEnd"/>
      <w:r w:rsidRPr="008E1332">
        <w:rPr>
          <w:rFonts w:eastAsia="Times New Roman" w:cs="Arial"/>
          <w:szCs w:val="22"/>
          <w:lang w:val="en-GB" w:eastAsia="en-US"/>
        </w:rPr>
        <w:t xml:space="preserve">): checklist and explanation', Annals of Internal Medicine, 169(7), pp. 467–473.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39" w:history="1">
        <w:r w:rsidRPr="008E1332">
          <w:rPr>
            <w:rStyle w:val="Hyperlink"/>
            <w:rFonts w:eastAsia="Times New Roman" w:cs="Arial"/>
            <w:szCs w:val="22"/>
            <w:lang w:val="en-GB" w:eastAsia="en-US"/>
          </w:rPr>
          <w:t>10.7326/M18-0850</w:t>
        </w:r>
      </w:hyperlink>
      <w:r w:rsidRPr="008E1332">
        <w:rPr>
          <w:rFonts w:eastAsia="Times New Roman" w:cs="Arial"/>
          <w:szCs w:val="22"/>
          <w:lang w:val="en-GB" w:eastAsia="en-US"/>
        </w:rPr>
        <w:t>.</w:t>
      </w:r>
      <w:r w:rsidR="00E40295">
        <w:rPr>
          <w:rFonts w:eastAsia="Times New Roman" w:cs="Arial"/>
          <w:szCs w:val="22"/>
          <w:lang w:val="en-GB" w:eastAsia="en-US"/>
        </w:rPr>
        <w:br/>
      </w:r>
    </w:p>
    <w:p w14:paraId="32C0CFB7" w14:textId="77777777" w:rsidR="008E1332" w:rsidRPr="008E1332" w:rsidRDefault="008E1332" w:rsidP="008E1332">
      <w:pPr>
        <w:rPr>
          <w:rFonts w:eastAsia="Times New Roman" w:cs="Arial"/>
          <w:szCs w:val="22"/>
          <w:lang w:val="en-GB" w:eastAsia="en-US"/>
        </w:rPr>
      </w:pPr>
      <w:r w:rsidRPr="008E1332">
        <w:rPr>
          <w:rFonts w:eastAsia="Times New Roman" w:cs="Arial"/>
          <w:szCs w:val="22"/>
          <w:lang w:val="en-GB" w:eastAsia="en-US"/>
        </w:rPr>
        <w:t xml:space="preserve">Victor, C.R. and Pikhartova, J. (2020) 'Lonely places or lonely people? Investigating the relationship between loneliness and place of residence', BMC Public Health, 20, p. 778. </w:t>
      </w:r>
      <w:proofErr w:type="spellStart"/>
      <w:r w:rsidRPr="008E1332">
        <w:rPr>
          <w:rFonts w:eastAsia="Times New Roman" w:cs="Arial"/>
          <w:szCs w:val="22"/>
          <w:lang w:val="en-GB" w:eastAsia="en-US"/>
        </w:rPr>
        <w:t>doi</w:t>
      </w:r>
      <w:proofErr w:type="spellEnd"/>
      <w:r w:rsidRPr="008E1332">
        <w:rPr>
          <w:rFonts w:eastAsia="Times New Roman" w:cs="Arial"/>
          <w:szCs w:val="22"/>
          <w:lang w:val="en-GB" w:eastAsia="en-US"/>
        </w:rPr>
        <w:t xml:space="preserve">: </w:t>
      </w:r>
      <w:hyperlink r:id="rId40" w:history="1">
        <w:r w:rsidRPr="008E1332">
          <w:rPr>
            <w:rStyle w:val="Hyperlink"/>
            <w:rFonts w:eastAsia="Times New Roman" w:cs="Arial"/>
            <w:szCs w:val="22"/>
            <w:lang w:val="en-GB" w:eastAsia="en-US"/>
          </w:rPr>
          <w:t>10.1186/s12889-020-08703-8</w:t>
        </w:r>
      </w:hyperlink>
      <w:r w:rsidRPr="008E1332">
        <w:rPr>
          <w:rFonts w:eastAsia="Times New Roman" w:cs="Arial"/>
          <w:szCs w:val="22"/>
          <w:lang w:val="en-GB" w:eastAsia="en-US"/>
        </w:rPr>
        <w:t>.</w:t>
      </w:r>
    </w:p>
    <w:p w14:paraId="19B6C26C" w14:textId="29ED7B6B" w:rsidR="00582F45" w:rsidRPr="00B64401" w:rsidRDefault="00582F45" w:rsidP="00582F45">
      <w:pPr>
        <w:rPr>
          <w:rFonts w:eastAsia="Times New Roman" w:cs="Arial"/>
          <w:szCs w:val="22"/>
          <w:lang w:eastAsia="en-US"/>
        </w:rPr>
      </w:pPr>
    </w:p>
    <w:sectPr w:rsidR="00582F45" w:rsidRPr="00B64401" w:rsidSect="00FF3ACF">
      <w:footerReference w:type="default" r:id="rId41"/>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F09EF8" w14:textId="77777777" w:rsidR="00DD1CE6" w:rsidRDefault="00DD1CE6" w:rsidP="00FF3ACF">
      <w:r>
        <w:separator/>
      </w:r>
    </w:p>
  </w:endnote>
  <w:endnote w:type="continuationSeparator" w:id="0">
    <w:p w14:paraId="31F7F522" w14:textId="77777777" w:rsidR="00DD1CE6" w:rsidRDefault="00DD1CE6" w:rsidP="00FF3A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Nyala">
    <w:panose1 w:val="02000504070300020003"/>
    <w:charset w:val="00"/>
    <w:family w:val="auto"/>
    <w:pitch w:val="variable"/>
    <w:sig w:usb0="A000006F" w:usb1="00000000" w:usb2="000008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8B36BA" w14:textId="77777777" w:rsidR="00FF3ACF" w:rsidRDefault="00360E99">
    <w:pPr>
      <w:pStyle w:val="Footer"/>
    </w:pPr>
    <w:r>
      <w:rPr>
        <w:noProof/>
        <w:lang w:eastAsia="en-US"/>
      </w:rPr>
      <mc:AlternateContent>
        <mc:Choice Requires="wps">
          <w:drawing>
            <wp:anchor distT="0" distB="0" distL="114300" distR="114300" simplePos="0" relativeHeight="251659264" behindDoc="0" locked="0" layoutInCell="1" allowOverlap="1" wp14:anchorId="11C3AE3C" wp14:editId="1AFFE986">
              <wp:simplePos x="0" y="0"/>
              <wp:positionH relativeFrom="margin">
                <wp:align>center</wp:align>
              </wp:positionH>
              <wp:positionV relativeFrom="paragraph">
                <wp:posOffset>0</wp:posOffset>
              </wp:positionV>
              <wp:extent cx="58420" cy="139700"/>
              <wp:effectExtent l="0" t="0" r="11430" b="635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420" cy="139700"/>
                      </a:xfrm>
                      <a:prstGeom prst="rect">
                        <a:avLst/>
                      </a:prstGeom>
                      <a:noFill/>
                      <a:ln w="6350">
                        <a:noFill/>
                      </a:ln>
                    </wps:spPr>
                    <wps:txbx>
                      <w:txbxContent>
                        <w:p w14:paraId="6E2A1C24" w14:textId="77777777" w:rsidR="00FF3ACF" w:rsidRDefault="004C3D2D">
                          <w:pPr>
                            <w:pStyle w:val="Footer"/>
                          </w:pPr>
                          <w:r>
                            <w:fldChar w:fldCharType="begin"/>
                          </w:r>
                          <w:r w:rsidR="00AE6032">
                            <w:instrText xml:space="preserve"> PAGE  \* MERGEFORMAT </w:instrText>
                          </w:r>
                          <w:r>
                            <w:fldChar w:fldCharType="separate"/>
                          </w:r>
                          <w:r w:rsidR="00DF37CF">
                            <w:rPr>
                              <w:noProof/>
                            </w:rPr>
                            <w:t>9</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14:sizeRelH relativeFrom="page">
                <wp14:pctWidth>0</wp14:pctWidth>
              </wp14:sizeRelH>
              <wp14:sizeRelV relativeFrom="page">
                <wp14:pctHeight>0</wp14:pctHeight>
              </wp14:sizeRelV>
            </wp:anchor>
          </w:drawing>
        </mc:Choice>
        <mc:Fallback>
          <w:pict>
            <v:shapetype w14:anchorId="11C3AE3C" id="_x0000_t202" coordsize="21600,21600" o:spt="202" path="m,l,21600r21600,l21600,xe">
              <v:stroke joinstyle="miter"/>
              <v:path gradientshapeok="t" o:connecttype="rect"/>
            </v:shapetype>
            <v:shape id="Text Box 1" o:spid="_x0000_s1026" type="#_x0000_t202" style="position:absolute;margin-left:0;margin-top:0;width:4.6pt;height:11pt;z-index:251659264;visibility:visible;mso-wrap-style:non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" filled="f" stroked="f" strokeweight=".5pt">
              <v:textbox style="mso-fit-shape-to-text:t" inset="0,0,0,0">
                <w:txbxContent>
                  <w:p w14:paraId="6E2A1C24" w14:textId="77777777" w:rsidR="00FF3ACF" w:rsidRDefault="004C3D2D">
                    <w:pPr>
                      <w:pStyle w:val="Footer"/>
                    </w:pPr>
                    <w:r>
                      <w:fldChar w:fldCharType="begin"/>
                    </w:r>
                    <w:r w:rsidR="00AE6032">
                      <w:instrText xml:space="preserve"> PAGE  \* MERGEFORMAT </w:instrText>
                    </w:r>
                    <w:r>
                      <w:fldChar w:fldCharType="separate"/>
                    </w:r>
                    <w:r w:rsidR="00DF37CF">
                      <w:rPr>
                        <w:noProof/>
                      </w:rPr>
                      <w:t>9</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45D08F" w14:textId="77777777" w:rsidR="00DD1CE6" w:rsidRDefault="00DD1CE6" w:rsidP="00FF3ACF">
      <w:r>
        <w:separator/>
      </w:r>
    </w:p>
  </w:footnote>
  <w:footnote w:type="continuationSeparator" w:id="0">
    <w:p w14:paraId="4EE1CB84" w14:textId="77777777" w:rsidR="00DD1CE6" w:rsidRDefault="00DD1CE6" w:rsidP="00FF3A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15F46"/>
    <w:multiLevelType w:val="hybridMultilevel"/>
    <w:tmpl w:val="619042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4061A5"/>
    <w:multiLevelType w:val="hybridMultilevel"/>
    <w:tmpl w:val="1AB28446"/>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5D71D8"/>
    <w:multiLevelType w:val="hybridMultilevel"/>
    <w:tmpl w:val="85988F7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92134643">
    <w:abstractNumId w:val="0"/>
  </w:num>
  <w:num w:numId="2" w16cid:durableId="2060589260">
    <w:abstractNumId w:val="2"/>
  </w:num>
  <w:num w:numId="3" w16cid:durableId="5675007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proofState w:spelling="clean" w:grammar="clean"/>
  <w:defaultTabStop w:val="720"/>
  <w:drawingGridVerticalSpacing w:val="156"/>
  <w:noPunctuationKerning/>
  <w:characterSpacingControl w:val="doNotCompress"/>
  <w:hdrShapeDefaults>
    <o:shapedefaults v:ext="edit" spidmax="2050"/>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55wewa9fxp2ated5ew5wvsdx5t2drse9005&quot;&gt;liya 4&lt;record-ids&gt;&lt;item&gt;4&lt;/item&gt;&lt;item&gt;5&lt;/item&gt;&lt;item&gt;9&lt;/item&gt;&lt;/record-ids&gt;&lt;/item&gt;&lt;/Libraries&gt;"/>
  </w:docVars>
  <w:rsids>
    <w:rsidRoot w:val="650B7CBB"/>
    <w:rsid w:val="000007B1"/>
    <w:rsid w:val="000067B3"/>
    <w:rsid w:val="00016190"/>
    <w:rsid w:val="00080FD9"/>
    <w:rsid w:val="000B1C4A"/>
    <w:rsid w:val="000E1D3C"/>
    <w:rsid w:val="0011349E"/>
    <w:rsid w:val="0013641E"/>
    <w:rsid w:val="001D2F1C"/>
    <w:rsid w:val="001F24BC"/>
    <w:rsid w:val="00264721"/>
    <w:rsid w:val="002754A1"/>
    <w:rsid w:val="00285E30"/>
    <w:rsid w:val="002E6855"/>
    <w:rsid w:val="00301090"/>
    <w:rsid w:val="00302EA3"/>
    <w:rsid w:val="00354B3B"/>
    <w:rsid w:val="00360E99"/>
    <w:rsid w:val="003B6ACC"/>
    <w:rsid w:val="003C7395"/>
    <w:rsid w:val="003E76D4"/>
    <w:rsid w:val="003F6254"/>
    <w:rsid w:val="003F67C5"/>
    <w:rsid w:val="0040321E"/>
    <w:rsid w:val="00420B1C"/>
    <w:rsid w:val="00453075"/>
    <w:rsid w:val="00492D17"/>
    <w:rsid w:val="004B1882"/>
    <w:rsid w:val="004B3267"/>
    <w:rsid w:val="004C3D2D"/>
    <w:rsid w:val="004D4CEE"/>
    <w:rsid w:val="004E5094"/>
    <w:rsid w:val="004F3FE7"/>
    <w:rsid w:val="005029F0"/>
    <w:rsid w:val="0052567F"/>
    <w:rsid w:val="005365F4"/>
    <w:rsid w:val="00580B06"/>
    <w:rsid w:val="00582F45"/>
    <w:rsid w:val="00586AC0"/>
    <w:rsid w:val="005A0E58"/>
    <w:rsid w:val="005C398A"/>
    <w:rsid w:val="006142C9"/>
    <w:rsid w:val="00645935"/>
    <w:rsid w:val="00650317"/>
    <w:rsid w:val="0065240A"/>
    <w:rsid w:val="00697527"/>
    <w:rsid w:val="006A1D89"/>
    <w:rsid w:val="006A6135"/>
    <w:rsid w:val="006B34A9"/>
    <w:rsid w:val="006E12BD"/>
    <w:rsid w:val="00721C04"/>
    <w:rsid w:val="00726686"/>
    <w:rsid w:val="007509AE"/>
    <w:rsid w:val="00754165"/>
    <w:rsid w:val="007619BA"/>
    <w:rsid w:val="00772F7A"/>
    <w:rsid w:val="00773724"/>
    <w:rsid w:val="00774510"/>
    <w:rsid w:val="00774E91"/>
    <w:rsid w:val="007754C4"/>
    <w:rsid w:val="0078319C"/>
    <w:rsid w:val="00794031"/>
    <w:rsid w:val="007D18B9"/>
    <w:rsid w:val="007E0D30"/>
    <w:rsid w:val="007E6CE3"/>
    <w:rsid w:val="00855C1C"/>
    <w:rsid w:val="00856610"/>
    <w:rsid w:val="008A09A8"/>
    <w:rsid w:val="008B3A22"/>
    <w:rsid w:val="008B3EA8"/>
    <w:rsid w:val="008D2348"/>
    <w:rsid w:val="008E0115"/>
    <w:rsid w:val="008E1332"/>
    <w:rsid w:val="008E3ED3"/>
    <w:rsid w:val="00921119"/>
    <w:rsid w:val="009224C5"/>
    <w:rsid w:val="009258DE"/>
    <w:rsid w:val="009757D2"/>
    <w:rsid w:val="009B644E"/>
    <w:rsid w:val="009D1AAA"/>
    <w:rsid w:val="00A061C9"/>
    <w:rsid w:val="00AE42BE"/>
    <w:rsid w:val="00AE6032"/>
    <w:rsid w:val="00AE78FA"/>
    <w:rsid w:val="00B00180"/>
    <w:rsid w:val="00B031D1"/>
    <w:rsid w:val="00B17BFB"/>
    <w:rsid w:val="00B344B9"/>
    <w:rsid w:val="00B34E15"/>
    <w:rsid w:val="00B63C46"/>
    <w:rsid w:val="00B64401"/>
    <w:rsid w:val="00BA2E73"/>
    <w:rsid w:val="00BA31E0"/>
    <w:rsid w:val="00BA55D0"/>
    <w:rsid w:val="00BC26A2"/>
    <w:rsid w:val="00BE31FD"/>
    <w:rsid w:val="00BF2F57"/>
    <w:rsid w:val="00C2689C"/>
    <w:rsid w:val="00C71DEF"/>
    <w:rsid w:val="00C8170B"/>
    <w:rsid w:val="00C90656"/>
    <w:rsid w:val="00C96488"/>
    <w:rsid w:val="00CE0478"/>
    <w:rsid w:val="00D127D4"/>
    <w:rsid w:val="00D13DAA"/>
    <w:rsid w:val="00D36FDA"/>
    <w:rsid w:val="00D502AC"/>
    <w:rsid w:val="00D54E48"/>
    <w:rsid w:val="00D64254"/>
    <w:rsid w:val="00D67139"/>
    <w:rsid w:val="00DC3944"/>
    <w:rsid w:val="00DD1121"/>
    <w:rsid w:val="00DD1CE6"/>
    <w:rsid w:val="00DF37CF"/>
    <w:rsid w:val="00E16E3D"/>
    <w:rsid w:val="00E260C3"/>
    <w:rsid w:val="00E40295"/>
    <w:rsid w:val="00E61F22"/>
    <w:rsid w:val="00E77193"/>
    <w:rsid w:val="00E855EE"/>
    <w:rsid w:val="00E860EE"/>
    <w:rsid w:val="00EB1327"/>
    <w:rsid w:val="00EE349E"/>
    <w:rsid w:val="00F33E94"/>
    <w:rsid w:val="00F427E7"/>
    <w:rsid w:val="00F5209B"/>
    <w:rsid w:val="00F82D4B"/>
    <w:rsid w:val="00FA61F1"/>
    <w:rsid w:val="00FF3ACF"/>
    <w:rsid w:val="051E1A8A"/>
    <w:rsid w:val="071A60C8"/>
    <w:rsid w:val="07FB4A01"/>
    <w:rsid w:val="0B4A3765"/>
    <w:rsid w:val="1392370A"/>
    <w:rsid w:val="13FF65A8"/>
    <w:rsid w:val="215D5262"/>
    <w:rsid w:val="289A4CFE"/>
    <w:rsid w:val="28A311AE"/>
    <w:rsid w:val="29804E7F"/>
    <w:rsid w:val="2AA9450A"/>
    <w:rsid w:val="303A1D5E"/>
    <w:rsid w:val="36EE68F2"/>
    <w:rsid w:val="3EBF1CA1"/>
    <w:rsid w:val="43EA3EDE"/>
    <w:rsid w:val="4ACB0C74"/>
    <w:rsid w:val="50E449C6"/>
    <w:rsid w:val="52307BB0"/>
    <w:rsid w:val="55FF6FA9"/>
    <w:rsid w:val="650B7CBB"/>
    <w:rsid w:val="6D2F2F40"/>
    <w:rsid w:val="7A1C39BD"/>
    <w:rsid w:val="7B317F01"/>
    <w:rsid w:val="7F6714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65F5F4"/>
  <w15:docId w15:val="{2C804EE1-AFA7-4952-875A-A81A13B78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lsdException w:name="toc 3"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E0478"/>
    <w:rPr>
      <w:rFonts w:ascii="Arial" w:eastAsiaTheme="minorEastAsia" w:hAnsi="Arial" w:cstheme="minorBidi"/>
      <w:sz w:val="22"/>
      <w:lang w:eastAsia="zh-CN"/>
    </w:rPr>
  </w:style>
  <w:style w:type="paragraph" w:styleId="Heading1">
    <w:name w:val="heading 1"/>
    <w:basedOn w:val="Normal"/>
    <w:next w:val="Normal"/>
    <w:qFormat/>
    <w:rsid w:val="008D2348"/>
    <w:pPr>
      <w:keepNext/>
      <w:keepLines/>
      <w:spacing w:before="340" w:after="330" w:line="578" w:lineRule="auto"/>
      <w:outlineLvl w:val="0"/>
    </w:pPr>
    <w:rPr>
      <w:b/>
      <w:bCs/>
      <w:kern w:val="44"/>
      <w:sz w:val="24"/>
      <w:szCs w:val="44"/>
    </w:rPr>
  </w:style>
  <w:style w:type="paragraph" w:styleId="Heading2">
    <w:name w:val="heading 2"/>
    <w:basedOn w:val="Normal"/>
    <w:next w:val="Normal"/>
    <w:link w:val="Heading2Char"/>
    <w:unhideWhenUsed/>
    <w:qFormat/>
    <w:rsid w:val="00855C1C"/>
    <w:pPr>
      <w:keepNext/>
      <w:keepLines/>
      <w:spacing w:before="200"/>
      <w:outlineLvl w:val="1"/>
    </w:pPr>
    <w:rPr>
      <w:rFonts w:asciiTheme="majorHAnsi" w:eastAsiaTheme="majorEastAsia" w:hAnsiTheme="majorHAnsi" w:cstheme="majorBidi"/>
      <w:b/>
      <w:bCs/>
      <w:sz w:val="26"/>
      <w:szCs w:val="26"/>
    </w:rPr>
  </w:style>
  <w:style w:type="paragraph" w:styleId="Heading3">
    <w:name w:val="heading 3"/>
    <w:next w:val="Normal"/>
    <w:unhideWhenUsed/>
    <w:qFormat/>
    <w:rsid w:val="00FF3ACF"/>
    <w:pPr>
      <w:spacing w:beforeAutospacing="1" w:afterAutospacing="1"/>
      <w:outlineLvl w:val="2"/>
    </w:pPr>
    <w:rPr>
      <w:rFonts w:ascii="SimSun" w:hAnsi="SimSun" w:hint="eastAsia"/>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sid w:val="00FF3ACF"/>
    <w:rPr>
      <w:i/>
      <w:iCs/>
    </w:rPr>
  </w:style>
  <w:style w:type="paragraph" w:styleId="Footer">
    <w:name w:val="footer"/>
    <w:basedOn w:val="Normal"/>
    <w:rsid w:val="00FF3ACF"/>
    <w:pPr>
      <w:tabs>
        <w:tab w:val="center" w:pos="4153"/>
        <w:tab w:val="right" w:pos="8306"/>
      </w:tabs>
      <w:snapToGrid w:val="0"/>
    </w:pPr>
    <w:rPr>
      <w:sz w:val="18"/>
      <w:szCs w:val="18"/>
    </w:rPr>
  </w:style>
  <w:style w:type="paragraph" w:styleId="Header">
    <w:name w:val="header"/>
    <w:basedOn w:val="Normal"/>
    <w:rsid w:val="00FF3ACF"/>
    <w:pPr>
      <w:tabs>
        <w:tab w:val="center" w:pos="4153"/>
        <w:tab w:val="right" w:pos="8306"/>
      </w:tabs>
      <w:snapToGrid w:val="0"/>
    </w:pPr>
    <w:rPr>
      <w:sz w:val="18"/>
      <w:szCs w:val="18"/>
    </w:rPr>
  </w:style>
  <w:style w:type="character" w:styleId="Hyperlink">
    <w:name w:val="Hyperlink"/>
    <w:basedOn w:val="DefaultParagraphFont"/>
    <w:uiPriority w:val="99"/>
    <w:rsid w:val="00FF3ACF"/>
    <w:rPr>
      <w:color w:val="0000FF"/>
      <w:u w:val="single"/>
    </w:rPr>
  </w:style>
  <w:style w:type="paragraph" w:styleId="NormalWeb">
    <w:name w:val="Normal (Web)"/>
    <w:qFormat/>
    <w:rsid w:val="008D2348"/>
    <w:pPr>
      <w:spacing w:beforeAutospacing="1" w:afterAutospacing="1"/>
    </w:pPr>
    <w:rPr>
      <w:rFonts w:ascii="Arial" w:hAnsi="Arial"/>
      <w:sz w:val="22"/>
      <w:szCs w:val="24"/>
      <w:lang w:eastAsia="zh-CN"/>
    </w:rPr>
  </w:style>
  <w:style w:type="character" w:styleId="Strong">
    <w:name w:val="Strong"/>
    <w:basedOn w:val="DefaultParagraphFont"/>
    <w:qFormat/>
    <w:rsid w:val="00FF3ACF"/>
    <w:rPr>
      <w:b/>
      <w:bCs/>
    </w:rPr>
  </w:style>
  <w:style w:type="table" w:styleId="TableGrid">
    <w:name w:val="Table Grid"/>
    <w:basedOn w:val="TableNormal"/>
    <w:qFormat/>
    <w:rsid w:val="00FF3ACF"/>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qFormat/>
    <w:rsid w:val="00FF3ACF"/>
  </w:style>
  <w:style w:type="paragraph" w:customStyle="1" w:styleId="EndNoteBibliographyTitle">
    <w:name w:val="EndNote Bibliography Title"/>
    <w:qFormat/>
    <w:rsid w:val="00FF3ACF"/>
    <w:pPr>
      <w:jc w:val="center"/>
    </w:pPr>
    <w:rPr>
      <w:rFonts w:ascii="Calibri" w:eastAsiaTheme="minorEastAsia" w:hAnsi="Calibri" w:cs="Calibri"/>
      <w:lang w:eastAsia="zh-CN"/>
    </w:rPr>
  </w:style>
  <w:style w:type="paragraph" w:customStyle="1" w:styleId="EndNoteBibliography">
    <w:name w:val="EndNote Bibliography"/>
    <w:qFormat/>
    <w:rsid w:val="00FF3ACF"/>
    <w:rPr>
      <w:rFonts w:ascii="Calibri" w:eastAsiaTheme="minorEastAsia" w:hAnsi="Calibri" w:cs="Calibri"/>
      <w:lang w:eastAsia="zh-CN"/>
    </w:rPr>
  </w:style>
  <w:style w:type="paragraph" w:styleId="BalloonText">
    <w:name w:val="Balloon Text"/>
    <w:basedOn w:val="Normal"/>
    <w:link w:val="BalloonTextChar"/>
    <w:rsid w:val="00360E99"/>
    <w:rPr>
      <w:rFonts w:ascii="Tahoma" w:hAnsi="Tahoma" w:cs="Tahoma"/>
      <w:sz w:val="16"/>
      <w:szCs w:val="16"/>
    </w:rPr>
  </w:style>
  <w:style w:type="character" w:customStyle="1" w:styleId="BalloonTextChar">
    <w:name w:val="Balloon Text Char"/>
    <w:basedOn w:val="DefaultParagraphFont"/>
    <w:link w:val="BalloonText"/>
    <w:rsid w:val="00360E99"/>
    <w:rPr>
      <w:rFonts w:ascii="Tahoma" w:eastAsiaTheme="minorEastAsia" w:hAnsi="Tahoma" w:cs="Tahoma"/>
      <w:sz w:val="16"/>
      <w:szCs w:val="16"/>
      <w:lang w:eastAsia="zh-CN"/>
    </w:rPr>
  </w:style>
  <w:style w:type="character" w:customStyle="1" w:styleId="Heading2Char">
    <w:name w:val="Heading 2 Char"/>
    <w:basedOn w:val="DefaultParagraphFont"/>
    <w:link w:val="Heading2"/>
    <w:rsid w:val="00855C1C"/>
    <w:rPr>
      <w:rFonts w:asciiTheme="majorHAnsi" w:eastAsiaTheme="majorEastAsia" w:hAnsiTheme="majorHAnsi" w:cstheme="majorBidi"/>
      <w:b/>
      <w:bCs/>
      <w:sz w:val="26"/>
      <w:szCs w:val="26"/>
      <w:lang w:eastAsia="zh-CN"/>
    </w:rPr>
  </w:style>
  <w:style w:type="paragraph" w:styleId="TOC2">
    <w:name w:val="toc 2"/>
    <w:basedOn w:val="Normal"/>
    <w:next w:val="Normal"/>
    <w:autoRedefine/>
    <w:uiPriority w:val="39"/>
    <w:rsid w:val="006142C9"/>
    <w:pPr>
      <w:spacing w:after="100"/>
      <w:ind w:left="200"/>
    </w:pPr>
  </w:style>
  <w:style w:type="paragraph" w:styleId="TOC3">
    <w:name w:val="toc 3"/>
    <w:basedOn w:val="Normal"/>
    <w:next w:val="Normal"/>
    <w:autoRedefine/>
    <w:uiPriority w:val="39"/>
    <w:rsid w:val="00E61F22"/>
    <w:pPr>
      <w:spacing w:after="100"/>
      <w:ind w:left="440"/>
    </w:pPr>
  </w:style>
  <w:style w:type="paragraph" w:styleId="ListParagraph">
    <w:name w:val="List Paragraph"/>
    <w:basedOn w:val="Normal"/>
    <w:uiPriority w:val="99"/>
    <w:unhideWhenUsed/>
    <w:rsid w:val="0013641E"/>
    <w:pPr>
      <w:ind w:left="720"/>
      <w:contextualSpacing/>
    </w:pPr>
  </w:style>
  <w:style w:type="character" w:styleId="UnresolvedMention">
    <w:name w:val="Unresolved Mention"/>
    <w:basedOn w:val="DefaultParagraphFont"/>
    <w:uiPriority w:val="99"/>
    <w:semiHidden/>
    <w:unhideWhenUsed/>
    <w:rsid w:val="008A09A8"/>
    <w:rPr>
      <w:color w:val="605E5C"/>
      <w:shd w:val="clear" w:color="auto" w:fill="E1DFDD"/>
    </w:rPr>
  </w:style>
  <w:style w:type="character" w:styleId="FollowedHyperlink">
    <w:name w:val="FollowedHyperlink"/>
    <w:basedOn w:val="DefaultParagraphFont"/>
    <w:rsid w:val="008A09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9189">
      <w:bodyDiv w:val="1"/>
      <w:marLeft w:val="0"/>
      <w:marRight w:val="0"/>
      <w:marTop w:val="0"/>
      <w:marBottom w:val="0"/>
      <w:divBdr>
        <w:top w:val="none" w:sz="0" w:space="0" w:color="auto"/>
        <w:left w:val="none" w:sz="0" w:space="0" w:color="auto"/>
        <w:bottom w:val="none" w:sz="0" w:space="0" w:color="auto"/>
        <w:right w:val="none" w:sz="0" w:space="0" w:color="auto"/>
      </w:divBdr>
    </w:div>
    <w:div w:id="35592862">
      <w:bodyDiv w:val="1"/>
      <w:marLeft w:val="0"/>
      <w:marRight w:val="0"/>
      <w:marTop w:val="0"/>
      <w:marBottom w:val="0"/>
      <w:divBdr>
        <w:top w:val="none" w:sz="0" w:space="0" w:color="auto"/>
        <w:left w:val="none" w:sz="0" w:space="0" w:color="auto"/>
        <w:bottom w:val="none" w:sz="0" w:space="0" w:color="auto"/>
        <w:right w:val="none" w:sz="0" w:space="0" w:color="auto"/>
      </w:divBdr>
    </w:div>
    <w:div w:id="129517054">
      <w:bodyDiv w:val="1"/>
      <w:marLeft w:val="0"/>
      <w:marRight w:val="0"/>
      <w:marTop w:val="0"/>
      <w:marBottom w:val="0"/>
      <w:divBdr>
        <w:top w:val="none" w:sz="0" w:space="0" w:color="auto"/>
        <w:left w:val="none" w:sz="0" w:space="0" w:color="auto"/>
        <w:bottom w:val="none" w:sz="0" w:space="0" w:color="auto"/>
        <w:right w:val="none" w:sz="0" w:space="0" w:color="auto"/>
      </w:divBdr>
    </w:div>
    <w:div w:id="323749571">
      <w:bodyDiv w:val="1"/>
      <w:marLeft w:val="0"/>
      <w:marRight w:val="0"/>
      <w:marTop w:val="0"/>
      <w:marBottom w:val="0"/>
      <w:divBdr>
        <w:top w:val="none" w:sz="0" w:space="0" w:color="auto"/>
        <w:left w:val="none" w:sz="0" w:space="0" w:color="auto"/>
        <w:bottom w:val="none" w:sz="0" w:space="0" w:color="auto"/>
        <w:right w:val="none" w:sz="0" w:space="0" w:color="auto"/>
      </w:divBdr>
    </w:div>
    <w:div w:id="336884148">
      <w:bodyDiv w:val="1"/>
      <w:marLeft w:val="0"/>
      <w:marRight w:val="0"/>
      <w:marTop w:val="0"/>
      <w:marBottom w:val="0"/>
      <w:divBdr>
        <w:top w:val="none" w:sz="0" w:space="0" w:color="auto"/>
        <w:left w:val="none" w:sz="0" w:space="0" w:color="auto"/>
        <w:bottom w:val="none" w:sz="0" w:space="0" w:color="auto"/>
        <w:right w:val="none" w:sz="0" w:space="0" w:color="auto"/>
      </w:divBdr>
    </w:div>
    <w:div w:id="348217286">
      <w:bodyDiv w:val="1"/>
      <w:marLeft w:val="0"/>
      <w:marRight w:val="0"/>
      <w:marTop w:val="0"/>
      <w:marBottom w:val="0"/>
      <w:divBdr>
        <w:top w:val="none" w:sz="0" w:space="0" w:color="auto"/>
        <w:left w:val="none" w:sz="0" w:space="0" w:color="auto"/>
        <w:bottom w:val="none" w:sz="0" w:space="0" w:color="auto"/>
        <w:right w:val="none" w:sz="0" w:space="0" w:color="auto"/>
      </w:divBdr>
    </w:div>
    <w:div w:id="388267844">
      <w:bodyDiv w:val="1"/>
      <w:marLeft w:val="0"/>
      <w:marRight w:val="0"/>
      <w:marTop w:val="0"/>
      <w:marBottom w:val="0"/>
      <w:divBdr>
        <w:top w:val="none" w:sz="0" w:space="0" w:color="auto"/>
        <w:left w:val="none" w:sz="0" w:space="0" w:color="auto"/>
        <w:bottom w:val="none" w:sz="0" w:space="0" w:color="auto"/>
        <w:right w:val="none" w:sz="0" w:space="0" w:color="auto"/>
      </w:divBdr>
    </w:div>
    <w:div w:id="457115127">
      <w:bodyDiv w:val="1"/>
      <w:marLeft w:val="0"/>
      <w:marRight w:val="0"/>
      <w:marTop w:val="0"/>
      <w:marBottom w:val="0"/>
      <w:divBdr>
        <w:top w:val="none" w:sz="0" w:space="0" w:color="auto"/>
        <w:left w:val="none" w:sz="0" w:space="0" w:color="auto"/>
        <w:bottom w:val="none" w:sz="0" w:space="0" w:color="auto"/>
        <w:right w:val="none" w:sz="0" w:space="0" w:color="auto"/>
      </w:divBdr>
    </w:div>
    <w:div w:id="570310328">
      <w:bodyDiv w:val="1"/>
      <w:marLeft w:val="0"/>
      <w:marRight w:val="0"/>
      <w:marTop w:val="0"/>
      <w:marBottom w:val="0"/>
      <w:divBdr>
        <w:top w:val="none" w:sz="0" w:space="0" w:color="auto"/>
        <w:left w:val="none" w:sz="0" w:space="0" w:color="auto"/>
        <w:bottom w:val="none" w:sz="0" w:space="0" w:color="auto"/>
        <w:right w:val="none" w:sz="0" w:space="0" w:color="auto"/>
      </w:divBdr>
    </w:div>
    <w:div w:id="789131418">
      <w:bodyDiv w:val="1"/>
      <w:marLeft w:val="0"/>
      <w:marRight w:val="0"/>
      <w:marTop w:val="0"/>
      <w:marBottom w:val="0"/>
      <w:divBdr>
        <w:top w:val="none" w:sz="0" w:space="0" w:color="auto"/>
        <w:left w:val="none" w:sz="0" w:space="0" w:color="auto"/>
        <w:bottom w:val="none" w:sz="0" w:space="0" w:color="auto"/>
        <w:right w:val="none" w:sz="0" w:space="0" w:color="auto"/>
      </w:divBdr>
    </w:div>
    <w:div w:id="810248507">
      <w:bodyDiv w:val="1"/>
      <w:marLeft w:val="0"/>
      <w:marRight w:val="0"/>
      <w:marTop w:val="0"/>
      <w:marBottom w:val="0"/>
      <w:divBdr>
        <w:top w:val="none" w:sz="0" w:space="0" w:color="auto"/>
        <w:left w:val="none" w:sz="0" w:space="0" w:color="auto"/>
        <w:bottom w:val="none" w:sz="0" w:space="0" w:color="auto"/>
        <w:right w:val="none" w:sz="0" w:space="0" w:color="auto"/>
      </w:divBdr>
    </w:div>
    <w:div w:id="812530470">
      <w:bodyDiv w:val="1"/>
      <w:marLeft w:val="0"/>
      <w:marRight w:val="0"/>
      <w:marTop w:val="0"/>
      <w:marBottom w:val="0"/>
      <w:divBdr>
        <w:top w:val="none" w:sz="0" w:space="0" w:color="auto"/>
        <w:left w:val="none" w:sz="0" w:space="0" w:color="auto"/>
        <w:bottom w:val="none" w:sz="0" w:space="0" w:color="auto"/>
        <w:right w:val="none" w:sz="0" w:space="0" w:color="auto"/>
      </w:divBdr>
    </w:div>
    <w:div w:id="884440290">
      <w:bodyDiv w:val="1"/>
      <w:marLeft w:val="0"/>
      <w:marRight w:val="0"/>
      <w:marTop w:val="0"/>
      <w:marBottom w:val="0"/>
      <w:divBdr>
        <w:top w:val="none" w:sz="0" w:space="0" w:color="auto"/>
        <w:left w:val="none" w:sz="0" w:space="0" w:color="auto"/>
        <w:bottom w:val="none" w:sz="0" w:space="0" w:color="auto"/>
        <w:right w:val="none" w:sz="0" w:space="0" w:color="auto"/>
      </w:divBdr>
    </w:div>
    <w:div w:id="929898821">
      <w:bodyDiv w:val="1"/>
      <w:marLeft w:val="0"/>
      <w:marRight w:val="0"/>
      <w:marTop w:val="0"/>
      <w:marBottom w:val="0"/>
      <w:divBdr>
        <w:top w:val="none" w:sz="0" w:space="0" w:color="auto"/>
        <w:left w:val="none" w:sz="0" w:space="0" w:color="auto"/>
        <w:bottom w:val="none" w:sz="0" w:space="0" w:color="auto"/>
        <w:right w:val="none" w:sz="0" w:space="0" w:color="auto"/>
      </w:divBdr>
    </w:div>
    <w:div w:id="960839167">
      <w:bodyDiv w:val="1"/>
      <w:marLeft w:val="0"/>
      <w:marRight w:val="0"/>
      <w:marTop w:val="0"/>
      <w:marBottom w:val="0"/>
      <w:divBdr>
        <w:top w:val="none" w:sz="0" w:space="0" w:color="auto"/>
        <w:left w:val="none" w:sz="0" w:space="0" w:color="auto"/>
        <w:bottom w:val="none" w:sz="0" w:space="0" w:color="auto"/>
        <w:right w:val="none" w:sz="0" w:space="0" w:color="auto"/>
      </w:divBdr>
    </w:div>
    <w:div w:id="1075591414">
      <w:bodyDiv w:val="1"/>
      <w:marLeft w:val="0"/>
      <w:marRight w:val="0"/>
      <w:marTop w:val="0"/>
      <w:marBottom w:val="0"/>
      <w:divBdr>
        <w:top w:val="none" w:sz="0" w:space="0" w:color="auto"/>
        <w:left w:val="none" w:sz="0" w:space="0" w:color="auto"/>
        <w:bottom w:val="none" w:sz="0" w:space="0" w:color="auto"/>
        <w:right w:val="none" w:sz="0" w:space="0" w:color="auto"/>
      </w:divBdr>
    </w:div>
    <w:div w:id="1197155160">
      <w:bodyDiv w:val="1"/>
      <w:marLeft w:val="0"/>
      <w:marRight w:val="0"/>
      <w:marTop w:val="0"/>
      <w:marBottom w:val="0"/>
      <w:divBdr>
        <w:top w:val="none" w:sz="0" w:space="0" w:color="auto"/>
        <w:left w:val="none" w:sz="0" w:space="0" w:color="auto"/>
        <w:bottom w:val="none" w:sz="0" w:space="0" w:color="auto"/>
        <w:right w:val="none" w:sz="0" w:space="0" w:color="auto"/>
      </w:divBdr>
    </w:div>
    <w:div w:id="1225264204">
      <w:bodyDiv w:val="1"/>
      <w:marLeft w:val="0"/>
      <w:marRight w:val="0"/>
      <w:marTop w:val="0"/>
      <w:marBottom w:val="0"/>
      <w:divBdr>
        <w:top w:val="none" w:sz="0" w:space="0" w:color="auto"/>
        <w:left w:val="none" w:sz="0" w:space="0" w:color="auto"/>
        <w:bottom w:val="none" w:sz="0" w:space="0" w:color="auto"/>
        <w:right w:val="none" w:sz="0" w:space="0" w:color="auto"/>
      </w:divBdr>
    </w:div>
    <w:div w:id="1252281073">
      <w:bodyDiv w:val="1"/>
      <w:marLeft w:val="0"/>
      <w:marRight w:val="0"/>
      <w:marTop w:val="0"/>
      <w:marBottom w:val="0"/>
      <w:divBdr>
        <w:top w:val="none" w:sz="0" w:space="0" w:color="auto"/>
        <w:left w:val="none" w:sz="0" w:space="0" w:color="auto"/>
        <w:bottom w:val="none" w:sz="0" w:space="0" w:color="auto"/>
        <w:right w:val="none" w:sz="0" w:space="0" w:color="auto"/>
      </w:divBdr>
    </w:div>
    <w:div w:id="1332634740">
      <w:bodyDiv w:val="1"/>
      <w:marLeft w:val="0"/>
      <w:marRight w:val="0"/>
      <w:marTop w:val="0"/>
      <w:marBottom w:val="0"/>
      <w:divBdr>
        <w:top w:val="none" w:sz="0" w:space="0" w:color="auto"/>
        <w:left w:val="none" w:sz="0" w:space="0" w:color="auto"/>
        <w:bottom w:val="none" w:sz="0" w:space="0" w:color="auto"/>
        <w:right w:val="none" w:sz="0" w:space="0" w:color="auto"/>
      </w:divBdr>
    </w:div>
    <w:div w:id="1809862568">
      <w:bodyDiv w:val="1"/>
      <w:marLeft w:val="0"/>
      <w:marRight w:val="0"/>
      <w:marTop w:val="0"/>
      <w:marBottom w:val="0"/>
      <w:divBdr>
        <w:top w:val="none" w:sz="0" w:space="0" w:color="auto"/>
        <w:left w:val="none" w:sz="0" w:space="0" w:color="auto"/>
        <w:bottom w:val="none" w:sz="0" w:space="0" w:color="auto"/>
        <w:right w:val="none" w:sz="0" w:space="0" w:color="auto"/>
      </w:divBdr>
    </w:div>
    <w:div w:id="1879588790">
      <w:bodyDiv w:val="1"/>
      <w:marLeft w:val="0"/>
      <w:marRight w:val="0"/>
      <w:marTop w:val="0"/>
      <w:marBottom w:val="0"/>
      <w:divBdr>
        <w:top w:val="none" w:sz="0" w:space="0" w:color="auto"/>
        <w:left w:val="none" w:sz="0" w:space="0" w:color="auto"/>
        <w:bottom w:val="none" w:sz="0" w:space="0" w:color="auto"/>
        <w:right w:val="none" w:sz="0" w:space="0" w:color="auto"/>
      </w:divBdr>
    </w:div>
    <w:div w:id="1938826428">
      <w:bodyDiv w:val="1"/>
      <w:marLeft w:val="0"/>
      <w:marRight w:val="0"/>
      <w:marTop w:val="0"/>
      <w:marBottom w:val="0"/>
      <w:divBdr>
        <w:top w:val="none" w:sz="0" w:space="0" w:color="auto"/>
        <w:left w:val="none" w:sz="0" w:space="0" w:color="auto"/>
        <w:bottom w:val="none" w:sz="0" w:space="0" w:color="auto"/>
        <w:right w:val="none" w:sz="0" w:space="0" w:color="auto"/>
      </w:divBdr>
    </w:div>
    <w:div w:id="1980843465">
      <w:bodyDiv w:val="1"/>
      <w:marLeft w:val="0"/>
      <w:marRight w:val="0"/>
      <w:marTop w:val="0"/>
      <w:marBottom w:val="0"/>
      <w:divBdr>
        <w:top w:val="none" w:sz="0" w:space="0" w:color="auto"/>
        <w:left w:val="none" w:sz="0" w:space="0" w:color="auto"/>
        <w:bottom w:val="none" w:sz="0" w:space="0" w:color="auto"/>
        <w:right w:val="none" w:sz="0" w:space="0" w:color="auto"/>
      </w:divBdr>
    </w:div>
    <w:div w:id="1993562927">
      <w:bodyDiv w:val="1"/>
      <w:marLeft w:val="0"/>
      <w:marRight w:val="0"/>
      <w:marTop w:val="0"/>
      <w:marBottom w:val="0"/>
      <w:divBdr>
        <w:top w:val="none" w:sz="0" w:space="0" w:color="auto"/>
        <w:left w:val="none" w:sz="0" w:space="0" w:color="auto"/>
        <w:bottom w:val="none" w:sz="0" w:space="0" w:color="auto"/>
        <w:right w:val="none" w:sz="0" w:space="0" w:color="auto"/>
      </w:divBdr>
    </w:div>
    <w:div w:id="2041936223">
      <w:bodyDiv w:val="1"/>
      <w:marLeft w:val="0"/>
      <w:marRight w:val="0"/>
      <w:marTop w:val="0"/>
      <w:marBottom w:val="0"/>
      <w:divBdr>
        <w:top w:val="none" w:sz="0" w:space="0" w:color="auto"/>
        <w:left w:val="none" w:sz="0" w:space="0" w:color="auto"/>
        <w:bottom w:val="none" w:sz="0" w:space="0" w:color="auto"/>
        <w:right w:val="none" w:sz="0" w:space="0" w:color="auto"/>
      </w:divBdr>
    </w:div>
    <w:div w:id="20986676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puhe.2020.06.036" TargetMode="External"/><Relationship Id="rId18" Type="http://schemas.openxmlformats.org/officeDocument/2006/relationships/hyperlink" Target="https://doi.org/10.1111/hsc.12311" TargetMode="External"/><Relationship Id="rId26" Type="http://schemas.openxmlformats.org/officeDocument/2006/relationships/hyperlink" Target="https://www.legislation.gov.uk/uksi/2011/2260/contents/made" TargetMode="External"/><Relationship Id="rId39" Type="http://schemas.openxmlformats.org/officeDocument/2006/relationships/hyperlink" Target="https://doi.org/10.7326/M18-0850" TargetMode="External"/><Relationship Id="rId21" Type="http://schemas.openxmlformats.org/officeDocument/2006/relationships/hyperlink" Target="https://doi.org/10.1016/S2215-0366(20)30482-X" TargetMode="External"/><Relationship Id="rId34" Type="http://schemas.openxmlformats.org/officeDocument/2006/relationships/hyperlink" Target="https://search.worldcat.org/title/Bowling-alone-%3A-the-collapse-and-revival-of-American-community/oclc/186434015"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37/0882-7974.21.1.140" TargetMode="External"/><Relationship Id="rId20" Type="http://schemas.openxmlformats.org/officeDocument/2006/relationships/hyperlink" Target="https://www.gov.uk/government/statistics/family-resources-survey-financial-year-201516" TargetMode="External"/><Relationship Id="rId29" Type="http://schemas.openxmlformats.org/officeDocument/2006/relationships/hyperlink" Target="https://doi.org/10.1186/1748-5908-5-69"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dependent-age-assets.s3.eu-west-1.amazonaws.com/s3fs-public/2016-05/isolation-the-emerging-crisis-for-older-men-report.pdf" TargetMode="External"/><Relationship Id="rId24" Type="http://schemas.openxmlformats.org/officeDocument/2006/relationships/hyperlink" Target="https://doi.org/10.1007/s12160-010-9210-8" TargetMode="External"/><Relationship Id="rId32" Type="http://schemas.openxmlformats.org/officeDocument/2006/relationships/hyperlink" Target="https://www.longtermplan.nhs.uk/" TargetMode="External"/><Relationship Id="rId37" Type="http://schemas.openxmlformats.org/officeDocument/2006/relationships/hyperlink" Target="https://doi.org/10.1016/S2468-2667(21)00069-4" TargetMode="External"/><Relationship Id="rId40" Type="http://schemas.openxmlformats.org/officeDocument/2006/relationships/hyperlink" Target="https://doi.org/10.1186/s12889-020-08703-8" TargetMode="External"/><Relationship Id="rId5" Type="http://schemas.openxmlformats.org/officeDocument/2006/relationships/webSettings" Target="webSettings.xml"/><Relationship Id="rId15" Type="http://schemas.openxmlformats.org/officeDocument/2006/relationships/hyperlink" Target="https://search.worldcat.org/title/Loneliness-%3A-human-nature-and-the-need-for-social-connection/oclc/181139570" TargetMode="External"/><Relationship Id="rId23" Type="http://schemas.openxmlformats.org/officeDocument/2006/relationships/hyperlink" Target="https://doi.org/10.1016/j.ssmph.2021.100726" TargetMode="External"/><Relationship Id="rId28" Type="http://schemas.openxmlformats.org/officeDocument/2006/relationships/hyperlink" Target="https://doi.org/10.1177/1745691614568352" TargetMode="External"/><Relationship Id="rId36" Type="http://schemas.openxmlformats.org/officeDocument/2006/relationships/hyperlink" Target="https://doi.org/10.1093/geronb/gbaa098" TargetMode="External"/><Relationship Id="rId10" Type="http://schemas.openxmlformats.org/officeDocument/2006/relationships/hyperlink" Target="https://doi.org/10.1080/1364557032000119616" TargetMode="External"/><Relationship Id="rId19" Type="http://schemas.openxmlformats.org/officeDocument/2006/relationships/hyperlink" Target="https://www.gov.uk/government/publications/a-connected-society-a-strategy-for-tackling-loneliness" TargetMode="External"/><Relationship Id="rId31" Type="http://schemas.openxmlformats.org/officeDocument/2006/relationships/hyperlink" Target="https://doi.org/10.1186/s12874-018-0611-x" TargetMode="External"/><Relationship Id="rId4" Type="http://schemas.openxmlformats.org/officeDocument/2006/relationships/settings" Target="settings.xml"/><Relationship Id="rId9" Type="http://schemas.openxmlformats.org/officeDocument/2006/relationships/hyperlink" Target="https://www.ageuk.org.uk/latest-press/articles/2018/october/all-the-lonely-people-report/" TargetMode="External"/><Relationship Id="rId14" Type="http://schemas.openxmlformats.org/officeDocument/2006/relationships/hyperlink" Target="https://doi.org/10.1007/s10433-019-00506-0" TargetMode="External"/><Relationship Id="rId22" Type="http://schemas.openxmlformats.org/officeDocument/2006/relationships/hyperlink" Target="https://doi.org/10.1111/hsc.12367" TargetMode="External"/><Relationship Id="rId27" Type="http://schemas.openxmlformats.org/officeDocument/2006/relationships/hyperlink" Target="https://www.legislation.gov.uk/ukpga/2014/23/contents" TargetMode="External"/><Relationship Id="rId30" Type="http://schemas.openxmlformats.org/officeDocument/2006/relationships/hyperlink" Target="https://www.instituteofhealthequity.org/resources-reports/marmot-review-10-years-on" TargetMode="External"/><Relationship Id="rId35" Type="http://schemas.openxmlformats.org/officeDocument/2006/relationships/hyperlink" Target="https://doi.org/10.3389/fpsyt.2020.591120"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91/1478088706qp063oa" TargetMode="External"/><Relationship Id="rId17" Type="http://schemas.openxmlformats.org/officeDocument/2006/relationships/hyperlink" Target="https://doi.org/10.1177/07334648211047347" TargetMode="External"/><Relationship Id="rId25" Type="http://schemas.openxmlformats.org/officeDocument/2006/relationships/hyperlink" Target="https://www.legislation.gov.uk/ukpga/2010/15/contents" TargetMode="External"/><Relationship Id="rId33" Type="http://schemas.openxmlformats.org/officeDocument/2006/relationships/hyperlink" Target="https://www.ons.gov.uk/peoplepopulationandcommunity/populationandmigration/populationprojections/bulletins/nationalpopulationprojections/2021basedinterim" TargetMode="External"/><Relationship Id="rId38" Type="http://schemas.openxmlformats.org/officeDocument/2006/relationships/hyperlink" Target="https://doi.org/10.1186/1477-7525-5-63"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5675</Words>
  <Characters>32350</Characters>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2026-08-13T20:31:00Z</dcterms:created>
  <dcterms:modified xsi:type="dcterms:W3CDTF">2026-08-13T22:01:00Z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D102A5CD970043B083062FC0EFE22532_11</vt:lpwstr>
  </property>
</Properties>
</file>