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2587CB3" w14:textId="77777777" w:rsidR="000C3209" w:rsidRDefault="005A2772">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7E9F32D" wp14:editId="3522AD5C">
            <wp:extent cx="3381375" cy="135255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381375" cy="1352550"/>
                    </a:xfrm>
                    <a:prstGeom prst="rect">
                      <a:avLst/>
                    </a:prstGeom>
                    <a:ln/>
                  </pic:spPr>
                </pic:pic>
              </a:graphicData>
            </a:graphic>
          </wp:inline>
        </w:drawing>
      </w:r>
    </w:p>
    <w:p w14:paraId="17B49D98" w14:textId="77777777" w:rsidR="000C3209" w:rsidRDefault="000C3209">
      <w:pPr>
        <w:jc w:val="center"/>
        <w:rPr>
          <w:rFonts w:ascii="Times New Roman" w:eastAsia="Times New Roman" w:hAnsi="Times New Roman" w:cs="Times New Roman"/>
          <w:sz w:val="24"/>
          <w:szCs w:val="24"/>
        </w:rPr>
      </w:pPr>
    </w:p>
    <w:p w14:paraId="070E9D67" w14:textId="77777777" w:rsidR="000C3209" w:rsidRDefault="000C3209">
      <w:pPr>
        <w:jc w:val="center"/>
        <w:rPr>
          <w:rFonts w:ascii="Times New Roman" w:eastAsia="Times New Roman" w:hAnsi="Times New Roman" w:cs="Times New Roman"/>
          <w:sz w:val="24"/>
          <w:szCs w:val="24"/>
        </w:rPr>
      </w:pPr>
    </w:p>
    <w:p w14:paraId="56B91FFB" w14:textId="77777777" w:rsidR="000C3209" w:rsidRDefault="000C3209">
      <w:pPr>
        <w:jc w:val="center"/>
        <w:rPr>
          <w:rFonts w:ascii="Times New Roman" w:eastAsia="Times New Roman" w:hAnsi="Times New Roman" w:cs="Times New Roman"/>
          <w:sz w:val="24"/>
          <w:szCs w:val="24"/>
        </w:rPr>
      </w:pPr>
    </w:p>
    <w:p w14:paraId="170CB66E" w14:textId="77777777" w:rsidR="000C3209" w:rsidRDefault="000C3209">
      <w:pPr>
        <w:jc w:val="center"/>
        <w:rPr>
          <w:rFonts w:ascii="Times New Roman" w:eastAsia="Times New Roman" w:hAnsi="Times New Roman" w:cs="Times New Roman"/>
          <w:sz w:val="24"/>
          <w:szCs w:val="24"/>
        </w:rPr>
      </w:pPr>
    </w:p>
    <w:p w14:paraId="5DBF500F" w14:textId="77777777" w:rsidR="000C3209" w:rsidRDefault="000C3209">
      <w:pPr>
        <w:jc w:val="center"/>
        <w:rPr>
          <w:rFonts w:ascii="Times New Roman" w:eastAsia="Times New Roman" w:hAnsi="Times New Roman" w:cs="Times New Roman"/>
          <w:sz w:val="24"/>
          <w:szCs w:val="24"/>
        </w:rPr>
      </w:pPr>
    </w:p>
    <w:p w14:paraId="0F6F2ED6" w14:textId="5AFECFEA" w:rsidR="000C3209" w:rsidRDefault="005A277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Name: </w:t>
      </w:r>
      <w:proofErr w:type="spellStart"/>
      <w:r>
        <w:rPr>
          <w:rFonts w:ascii="Times New Roman" w:eastAsia="Times New Roman" w:hAnsi="Times New Roman" w:cs="Times New Roman"/>
          <w:b/>
          <w:bCs/>
          <w:sz w:val="24"/>
          <w:szCs w:val="24"/>
        </w:rPr>
        <w:t>Rohan</w:t>
      </w:r>
      <w:r w:rsidR="009A178F">
        <w:rPr>
          <w:rFonts w:ascii="Times New Roman" w:eastAsia="Times New Roman" w:hAnsi="Times New Roman" w:cs="Times New Roman"/>
          <w:b/>
          <w:bCs/>
          <w:sz w:val="24"/>
          <w:szCs w:val="24"/>
        </w:rPr>
        <w:t>kumar</w:t>
      </w:r>
      <w:proofErr w:type="spellEnd"/>
      <w:r w:rsidR="009A178F">
        <w:rPr>
          <w:rFonts w:ascii="Times New Roman" w:eastAsia="Times New Roman" w:hAnsi="Times New Roman" w:cs="Times New Roman"/>
          <w:b/>
          <w:bCs/>
          <w:sz w:val="24"/>
          <w:szCs w:val="24"/>
        </w:rPr>
        <w:t xml:space="preserve"> </w:t>
      </w:r>
      <w:proofErr w:type="spellStart"/>
      <w:r w:rsidR="009A178F">
        <w:rPr>
          <w:rFonts w:ascii="Times New Roman" w:eastAsia="Times New Roman" w:hAnsi="Times New Roman" w:cs="Times New Roman"/>
          <w:b/>
          <w:bCs/>
          <w:sz w:val="24"/>
          <w:szCs w:val="24"/>
        </w:rPr>
        <w:t>Rajeshbhai</w:t>
      </w:r>
      <w:proofErr w:type="spellEnd"/>
      <w:r>
        <w:rPr>
          <w:rFonts w:ascii="Times New Roman" w:eastAsia="Times New Roman" w:hAnsi="Times New Roman" w:cs="Times New Roman"/>
          <w:b/>
          <w:bCs/>
          <w:sz w:val="24"/>
          <w:szCs w:val="24"/>
        </w:rPr>
        <w:t xml:space="preserve"> Patel </w:t>
      </w:r>
    </w:p>
    <w:p w14:paraId="376483FC" w14:textId="77777777" w:rsidR="000C3209" w:rsidRDefault="005A277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262835E3" w14:textId="77777777" w:rsidR="000C3209" w:rsidRDefault="005A277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 2530043</w:t>
      </w:r>
    </w:p>
    <w:p w14:paraId="6FA8090C" w14:textId="77777777" w:rsidR="000C3209" w:rsidRDefault="000C3209">
      <w:pPr>
        <w:jc w:val="center"/>
        <w:rPr>
          <w:rFonts w:ascii="Times New Roman" w:eastAsia="Times New Roman" w:hAnsi="Times New Roman" w:cs="Times New Roman"/>
          <w:sz w:val="24"/>
          <w:szCs w:val="24"/>
        </w:rPr>
      </w:pPr>
    </w:p>
    <w:p w14:paraId="1C700B6C" w14:textId="77777777" w:rsidR="000C3209" w:rsidRDefault="000C3209">
      <w:pPr>
        <w:jc w:val="center"/>
        <w:rPr>
          <w:rFonts w:ascii="Times New Roman" w:eastAsia="Times New Roman" w:hAnsi="Times New Roman" w:cs="Times New Roman"/>
          <w:sz w:val="24"/>
          <w:szCs w:val="24"/>
        </w:rPr>
      </w:pPr>
    </w:p>
    <w:p w14:paraId="1172DDAB" w14:textId="77777777" w:rsidR="000C3209" w:rsidRDefault="005A277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Name: Marketing Management</w:t>
      </w:r>
    </w:p>
    <w:p w14:paraId="7EAE9BC5" w14:textId="77777777" w:rsidR="000C3209" w:rsidRDefault="000C3209">
      <w:pPr>
        <w:jc w:val="center"/>
        <w:rPr>
          <w:rFonts w:ascii="Times New Roman" w:eastAsia="Times New Roman" w:hAnsi="Times New Roman" w:cs="Times New Roman"/>
          <w:b/>
          <w:bCs/>
          <w:sz w:val="24"/>
          <w:szCs w:val="24"/>
        </w:rPr>
      </w:pPr>
    </w:p>
    <w:p w14:paraId="0B9ACCAE" w14:textId="77777777" w:rsidR="000C3209" w:rsidRDefault="005A277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Code: LCMB7024</w:t>
      </w:r>
    </w:p>
    <w:p w14:paraId="4CAAE948" w14:textId="77777777" w:rsidR="000C3209" w:rsidRDefault="000C3209">
      <w:pPr>
        <w:jc w:val="center"/>
        <w:rPr>
          <w:rFonts w:ascii="Times New Roman" w:eastAsia="Times New Roman" w:hAnsi="Times New Roman" w:cs="Times New Roman"/>
          <w:b/>
          <w:bCs/>
          <w:sz w:val="24"/>
          <w:szCs w:val="24"/>
        </w:rPr>
      </w:pPr>
    </w:p>
    <w:p w14:paraId="53C4403A" w14:textId="77777777" w:rsidR="000C3209" w:rsidRDefault="000C3209">
      <w:pPr>
        <w:jc w:val="center"/>
        <w:rPr>
          <w:rFonts w:ascii="Times New Roman" w:eastAsia="Times New Roman" w:hAnsi="Times New Roman" w:cs="Times New Roman"/>
          <w:b/>
          <w:bCs/>
          <w:sz w:val="24"/>
          <w:szCs w:val="24"/>
        </w:rPr>
      </w:pPr>
    </w:p>
    <w:p w14:paraId="2AE0DF71" w14:textId="77777777" w:rsidR="000C3209" w:rsidRDefault="000C3209">
      <w:pPr>
        <w:jc w:val="center"/>
        <w:rPr>
          <w:rFonts w:ascii="Times New Roman" w:eastAsia="Times New Roman" w:hAnsi="Times New Roman" w:cs="Times New Roman"/>
          <w:b/>
          <w:bCs/>
          <w:sz w:val="24"/>
          <w:szCs w:val="24"/>
        </w:rPr>
      </w:pPr>
    </w:p>
    <w:p w14:paraId="0FE8BAE2" w14:textId="77777777" w:rsidR="000C3209" w:rsidRDefault="005A277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Samsung SmartThings </w:t>
      </w:r>
      <w:proofErr w:type="spellStart"/>
      <w:r>
        <w:rPr>
          <w:rFonts w:ascii="Times New Roman" w:eastAsia="Times New Roman" w:hAnsi="Times New Roman" w:cs="Times New Roman"/>
          <w:b/>
          <w:bCs/>
          <w:sz w:val="24"/>
          <w:szCs w:val="24"/>
        </w:rPr>
        <w:t>EcoFit</w:t>
      </w:r>
      <w:proofErr w:type="spellEnd"/>
      <w:r>
        <w:rPr>
          <w:rFonts w:ascii="Times New Roman" w:eastAsia="Times New Roman" w:hAnsi="Times New Roman" w:cs="Times New Roman"/>
          <w:b/>
          <w:bCs/>
          <w:sz w:val="24"/>
          <w:szCs w:val="24"/>
        </w:rPr>
        <w:t>: Market Positioning Map</w:t>
      </w:r>
    </w:p>
    <w:p w14:paraId="6E5638DB" w14:textId="77777777" w:rsidR="000C3209" w:rsidRDefault="000C3209">
      <w:pPr>
        <w:jc w:val="center"/>
        <w:rPr>
          <w:rFonts w:ascii="Times New Roman" w:eastAsia="Times New Roman" w:hAnsi="Times New Roman" w:cs="Times New Roman"/>
          <w:b/>
          <w:bCs/>
          <w:sz w:val="24"/>
          <w:szCs w:val="24"/>
        </w:rPr>
      </w:pPr>
    </w:p>
    <w:p w14:paraId="7CD011B5" w14:textId="77777777" w:rsidR="000C3209" w:rsidRDefault="000C3209">
      <w:pPr>
        <w:jc w:val="center"/>
        <w:rPr>
          <w:rFonts w:ascii="Times New Roman" w:eastAsia="Times New Roman" w:hAnsi="Times New Roman" w:cs="Times New Roman"/>
          <w:b/>
          <w:bCs/>
          <w:sz w:val="24"/>
          <w:szCs w:val="24"/>
        </w:rPr>
      </w:pPr>
    </w:p>
    <w:p w14:paraId="5544392D" w14:textId="77777777" w:rsidR="000C3209" w:rsidRDefault="000C3209">
      <w:pPr>
        <w:jc w:val="center"/>
        <w:rPr>
          <w:rFonts w:ascii="Times New Roman" w:eastAsia="Times New Roman" w:hAnsi="Times New Roman" w:cs="Times New Roman"/>
          <w:b/>
          <w:bCs/>
          <w:sz w:val="24"/>
          <w:szCs w:val="24"/>
        </w:rPr>
      </w:pPr>
    </w:p>
    <w:p w14:paraId="355246E5" w14:textId="6D30B305" w:rsidR="000C3209" w:rsidRDefault="005A277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Lecturer’s Name</w:t>
      </w:r>
      <w:r w:rsidR="009A178F">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w:t>
      </w:r>
      <w:r w:rsidR="009A178F" w:rsidRPr="009A178F">
        <w:rPr>
          <w:rFonts w:ascii="Segoe UI" w:hAnsi="Segoe UI" w:cs="Segoe UI"/>
          <w:color w:val="1D2125"/>
          <w:sz w:val="20"/>
          <w:szCs w:val="20"/>
          <w:shd w:val="clear" w:color="auto" w:fill="FFFFFF"/>
        </w:rPr>
        <w:t xml:space="preserve"> </w:t>
      </w:r>
      <w:r w:rsidR="009A178F" w:rsidRPr="009A178F">
        <w:rPr>
          <w:rFonts w:ascii="Times New Roman" w:eastAsia="Times New Roman" w:hAnsi="Times New Roman" w:cs="Times New Roman"/>
          <w:b/>
          <w:bCs/>
          <w:sz w:val="24"/>
          <w:szCs w:val="24"/>
        </w:rPr>
        <w:t>Laila Maazouz</w:t>
      </w:r>
    </w:p>
    <w:p w14:paraId="307686F9" w14:textId="77777777" w:rsidR="000C3209" w:rsidRDefault="000C3209">
      <w:pPr>
        <w:jc w:val="center"/>
        <w:rPr>
          <w:rFonts w:ascii="Times New Roman" w:eastAsia="Times New Roman" w:hAnsi="Times New Roman" w:cs="Times New Roman"/>
          <w:b/>
          <w:bCs/>
          <w:sz w:val="24"/>
          <w:szCs w:val="24"/>
        </w:rPr>
      </w:pPr>
    </w:p>
    <w:p w14:paraId="4E24D8BF" w14:textId="77777777" w:rsidR="000C3209" w:rsidRDefault="000C3209">
      <w:pPr>
        <w:jc w:val="center"/>
        <w:rPr>
          <w:rFonts w:ascii="Times New Roman" w:eastAsia="Times New Roman" w:hAnsi="Times New Roman" w:cs="Times New Roman"/>
          <w:b/>
          <w:bCs/>
          <w:sz w:val="24"/>
          <w:szCs w:val="24"/>
        </w:rPr>
      </w:pPr>
    </w:p>
    <w:p w14:paraId="769BEC81" w14:textId="77777777" w:rsidR="000C3209" w:rsidRDefault="000C3209">
      <w:pPr>
        <w:rPr>
          <w:rFonts w:ascii="Times New Roman" w:eastAsia="Times New Roman" w:hAnsi="Times New Roman" w:cs="Times New Roman"/>
          <w:b/>
          <w:bCs/>
          <w:sz w:val="24"/>
          <w:szCs w:val="24"/>
        </w:rPr>
      </w:pPr>
    </w:p>
    <w:p w14:paraId="56CCF7E3" w14:textId="77777777" w:rsidR="000C3209" w:rsidRDefault="005A277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Work Count: 3109</w:t>
      </w:r>
    </w:p>
    <w:p w14:paraId="104EB661" w14:textId="77777777" w:rsidR="000C3209" w:rsidRDefault="000C3209">
      <w:pPr>
        <w:jc w:val="center"/>
        <w:rPr>
          <w:rFonts w:ascii="Times New Roman" w:eastAsia="Times New Roman" w:hAnsi="Times New Roman" w:cs="Times New Roman"/>
          <w:b/>
          <w:bCs/>
          <w:sz w:val="24"/>
          <w:szCs w:val="24"/>
        </w:rPr>
      </w:pPr>
    </w:p>
    <w:p w14:paraId="36B764D5" w14:textId="77777777" w:rsidR="000C3209" w:rsidRDefault="000C3209">
      <w:pPr>
        <w:jc w:val="center"/>
        <w:rPr>
          <w:rFonts w:ascii="Times New Roman" w:eastAsia="Times New Roman" w:hAnsi="Times New Roman" w:cs="Times New Roman"/>
          <w:b/>
          <w:bCs/>
          <w:sz w:val="24"/>
          <w:szCs w:val="24"/>
        </w:rPr>
      </w:pPr>
    </w:p>
    <w:p w14:paraId="34A3FEB2" w14:textId="77777777" w:rsidR="000C3209" w:rsidRDefault="000C3209">
      <w:pPr>
        <w:jc w:val="center"/>
        <w:rPr>
          <w:rFonts w:ascii="Times New Roman" w:eastAsia="Times New Roman" w:hAnsi="Times New Roman" w:cs="Times New Roman"/>
          <w:b/>
          <w:bCs/>
          <w:sz w:val="24"/>
          <w:szCs w:val="24"/>
        </w:rPr>
      </w:pPr>
    </w:p>
    <w:p w14:paraId="126EB8CD" w14:textId="77777777" w:rsidR="000C3209" w:rsidRDefault="000C3209">
      <w:pPr>
        <w:jc w:val="center"/>
        <w:rPr>
          <w:rFonts w:ascii="Times New Roman" w:eastAsia="Times New Roman" w:hAnsi="Times New Roman" w:cs="Times New Roman"/>
          <w:b/>
          <w:bCs/>
          <w:sz w:val="24"/>
          <w:szCs w:val="24"/>
        </w:rPr>
      </w:pPr>
    </w:p>
    <w:p w14:paraId="3CB4448C" w14:textId="77777777" w:rsidR="000C3209" w:rsidRDefault="000C3209">
      <w:pPr>
        <w:jc w:val="center"/>
        <w:rPr>
          <w:rFonts w:ascii="Times New Roman" w:eastAsia="Times New Roman" w:hAnsi="Times New Roman" w:cs="Times New Roman"/>
          <w:b/>
          <w:bCs/>
          <w:sz w:val="24"/>
          <w:szCs w:val="24"/>
        </w:rPr>
      </w:pPr>
    </w:p>
    <w:p w14:paraId="6AB691EA" w14:textId="77777777" w:rsidR="000C3209" w:rsidRDefault="005A277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Term 1</w:t>
      </w:r>
    </w:p>
    <w:p w14:paraId="79089CCA" w14:textId="77777777" w:rsidR="000C3209" w:rsidRDefault="000C3209">
      <w:pPr>
        <w:spacing w:before="280"/>
        <w:rPr>
          <w:rFonts w:ascii="Times New Roman" w:eastAsia="Times New Roman" w:hAnsi="Times New Roman" w:cs="Times New Roman"/>
          <w:b/>
          <w:bCs/>
          <w:sz w:val="24"/>
          <w:szCs w:val="24"/>
        </w:rPr>
      </w:pPr>
    </w:p>
    <w:p w14:paraId="5A73E8F8" w14:textId="77777777" w:rsidR="000C3209" w:rsidRDefault="000C3209">
      <w:pPr>
        <w:spacing w:after="80"/>
        <w:jc w:val="both"/>
        <w:rPr>
          <w:rFonts w:ascii="Times New Roman" w:eastAsia="Times New Roman" w:hAnsi="Times New Roman" w:cs="Times New Roman"/>
          <w:b/>
          <w:bCs/>
          <w:sz w:val="24"/>
          <w:szCs w:val="24"/>
        </w:rPr>
      </w:pPr>
    </w:p>
    <w:p w14:paraId="2BBD480A" w14:textId="77777777" w:rsidR="000C3209" w:rsidRDefault="005A2772">
      <w:pPr>
        <w:spacing w:after="8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of Contents:</w:t>
      </w:r>
    </w:p>
    <w:sdt>
      <w:sdtPr>
        <w:id w:val="-1055100646"/>
        <w:docPartObj>
          <w:docPartGallery w:val="Table of Contents"/>
          <w:docPartUnique/>
        </w:docPartObj>
      </w:sdtPr>
      <w:sdtEndPr/>
      <w:sdtContent>
        <w:p w14:paraId="17816839" w14:textId="77777777" w:rsidR="000C3209" w:rsidRDefault="005A2772">
          <w:pPr>
            <w:widowControl w:val="0"/>
            <w:tabs>
              <w:tab w:val="right" w:leader="dot" w:pos="12000"/>
            </w:tabs>
            <w:spacing w:before="60"/>
            <w:jc w:val="both"/>
            <w:rPr>
              <w:rFonts w:ascii="Times New Roman" w:eastAsia="Times New Roman" w:hAnsi="Times New Roman" w:cs="Times New Roman"/>
              <w:b/>
              <w:bCs/>
              <w:sz w:val="24"/>
              <w:szCs w:val="24"/>
            </w:rPr>
          </w:pPr>
          <w:r>
            <w:fldChar w:fldCharType="begin"/>
          </w:r>
          <w:r>
            <w:instrText xml:space="preserve"> TOC \h \u \z \t "Heading 1,1,Heading 2,2,Heading 3,3,Heading 4,4,Heading 5,5,Heading 6,6,"</w:instrText>
          </w:r>
          <w:r>
            <w:fldChar w:fldCharType="separate"/>
          </w:r>
          <w:hyperlink w:anchor="_5mkspet8hkja">
            <w:r>
              <w:rPr>
                <w:rFonts w:ascii="Times New Roman" w:eastAsia="Times New Roman" w:hAnsi="Times New Roman" w:cs="Times New Roman"/>
                <w:b/>
                <w:bCs/>
                <w:sz w:val="24"/>
                <w:szCs w:val="24"/>
              </w:rPr>
              <w:t>Element 1: Canva Poster</w:t>
            </w:r>
            <w:r>
              <w:rPr>
                <w:rFonts w:ascii="Times New Roman" w:eastAsia="Times New Roman" w:hAnsi="Times New Roman" w:cs="Times New Roman"/>
                <w:b/>
                <w:bCs/>
                <w:sz w:val="24"/>
                <w:szCs w:val="24"/>
              </w:rPr>
              <w:tab/>
              <w:t>2</w:t>
            </w:r>
          </w:hyperlink>
        </w:p>
        <w:p w14:paraId="5A881C36" w14:textId="77777777" w:rsidR="000C3209" w:rsidRDefault="005A2772">
          <w:pPr>
            <w:widowControl w:val="0"/>
            <w:tabs>
              <w:tab w:val="right" w:leader="dot" w:pos="12000"/>
            </w:tabs>
            <w:spacing w:before="60"/>
            <w:jc w:val="both"/>
            <w:rPr>
              <w:rFonts w:ascii="Times New Roman" w:eastAsia="Times New Roman" w:hAnsi="Times New Roman" w:cs="Times New Roman"/>
              <w:b/>
              <w:bCs/>
              <w:sz w:val="24"/>
              <w:szCs w:val="24"/>
            </w:rPr>
          </w:pPr>
          <w:hyperlink w:anchor="_iego56r3vt4w">
            <w:r>
              <w:rPr>
                <w:rFonts w:ascii="Times New Roman" w:eastAsia="Times New Roman" w:hAnsi="Times New Roman" w:cs="Times New Roman"/>
                <w:b/>
                <w:bCs/>
                <w:sz w:val="24"/>
                <w:szCs w:val="24"/>
              </w:rPr>
              <w:t>Element 2: STDP Analysis</w:t>
            </w:r>
            <w:r>
              <w:rPr>
                <w:rFonts w:ascii="Times New Roman" w:eastAsia="Times New Roman" w:hAnsi="Times New Roman" w:cs="Times New Roman"/>
                <w:b/>
                <w:bCs/>
                <w:sz w:val="24"/>
                <w:szCs w:val="24"/>
              </w:rPr>
              <w:tab/>
              <w:t>4</w:t>
            </w:r>
          </w:hyperlink>
        </w:p>
        <w:p w14:paraId="32AF24BA"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9nc8nscuvrxl">
            <w:r>
              <w:rPr>
                <w:rFonts w:ascii="Times New Roman" w:eastAsia="Times New Roman" w:hAnsi="Times New Roman" w:cs="Times New Roman"/>
                <w:sz w:val="24"/>
                <w:szCs w:val="24"/>
              </w:rPr>
              <w:t>2.1 Market Segmentation</w:t>
            </w:r>
            <w:r>
              <w:rPr>
                <w:rFonts w:ascii="Times New Roman" w:eastAsia="Times New Roman" w:hAnsi="Times New Roman" w:cs="Times New Roman"/>
                <w:sz w:val="24"/>
                <w:szCs w:val="24"/>
              </w:rPr>
              <w:tab/>
              <w:t>4</w:t>
            </w:r>
          </w:hyperlink>
        </w:p>
        <w:p w14:paraId="0420B6A3"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fygz72v1fqo7">
            <w:r>
              <w:rPr>
                <w:rFonts w:ascii="Times New Roman" w:eastAsia="Times New Roman" w:hAnsi="Times New Roman" w:cs="Times New Roman"/>
                <w:sz w:val="24"/>
                <w:szCs w:val="24"/>
              </w:rPr>
              <w:t>2.2 Target Market</w:t>
            </w:r>
            <w:r>
              <w:rPr>
                <w:rFonts w:ascii="Times New Roman" w:eastAsia="Times New Roman" w:hAnsi="Times New Roman" w:cs="Times New Roman"/>
                <w:sz w:val="24"/>
                <w:szCs w:val="24"/>
              </w:rPr>
              <w:tab/>
              <w:t>5</w:t>
            </w:r>
          </w:hyperlink>
        </w:p>
        <w:p w14:paraId="760B2E21"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kefeqweoai4x">
            <w:r>
              <w:rPr>
                <w:rFonts w:ascii="Times New Roman" w:eastAsia="Times New Roman" w:hAnsi="Times New Roman" w:cs="Times New Roman"/>
                <w:sz w:val="24"/>
                <w:szCs w:val="24"/>
              </w:rPr>
              <w:t>2.3 Differentiation Strategy</w:t>
            </w:r>
            <w:r>
              <w:rPr>
                <w:rFonts w:ascii="Times New Roman" w:eastAsia="Times New Roman" w:hAnsi="Times New Roman" w:cs="Times New Roman"/>
                <w:sz w:val="24"/>
                <w:szCs w:val="24"/>
              </w:rPr>
              <w:tab/>
              <w:t>5</w:t>
            </w:r>
          </w:hyperlink>
        </w:p>
        <w:p w14:paraId="25F59A8E"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nm6xnhnu6i4c">
            <w:r>
              <w:rPr>
                <w:rFonts w:ascii="Times New Roman" w:eastAsia="Times New Roman" w:hAnsi="Times New Roman" w:cs="Times New Roman"/>
                <w:sz w:val="24"/>
                <w:szCs w:val="24"/>
              </w:rPr>
              <w:t>2.4 Positioning Strategy</w:t>
            </w:r>
            <w:r>
              <w:rPr>
                <w:rFonts w:ascii="Times New Roman" w:eastAsia="Times New Roman" w:hAnsi="Times New Roman" w:cs="Times New Roman"/>
                <w:sz w:val="24"/>
                <w:szCs w:val="24"/>
              </w:rPr>
              <w:tab/>
              <w:t>6</w:t>
            </w:r>
          </w:hyperlink>
        </w:p>
        <w:p w14:paraId="5A370915" w14:textId="77777777" w:rsidR="000C3209" w:rsidRDefault="005A2772">
          <w:pPr>
            <w:widowControl w:val="0"/>
            <w:tabs>
              <w:tab w:val="right" w:leader="dot" w:pos="12000"/>
            </w:tabs>
            <w:spacing w:before="60"/>
            <w:jc w:val="both"/>
            <w:rPr>
              <w:rFonts w:ascii="Times New Roman" w:eastAsia="Times New Roman" w:hAnsi="Times New Roman" w:cs="Times New Roman"/>
              <w:b/>
              <w:bCs/>
              <w:sz w:val="24"/>
              <w:szCs w:val="24"/>
            </w:rPr>
          </w:pPr>
          <w:hyperlink w:anchor="_4ewo713r83ih">
            <w:r>
              <w:rPr>
                <w:rFonts w:ascii="Times New Roman" w:eastAsia="Times New Roman" w:hAnsi="Times New Roman" w:cs="Times New Roman"/>
                <w:b/>
                <w:bCs/>
                <w:sz w:val="24"/>
                <w:szCs w:val="24"/>
              </w:rPr>
              <w:t>Element 3: Marketing Mix – 7Ps</w:t>
            </w:r>
            <w:r>
              <w:rPr>
                <w:rFonts w:ascii="Times New Roman" w:eastAsia="Times New Roman" w:hAnsi="Times New Roman" w:cs="Times New Roman"/>
                <w:b/>
                <w:bCs/>
                <w:sz w:val="24"/>
                <w:szCs w:val="24"/>
              </w:rPr>
              <w:tab/>
              <w:t>7</w:t>
            </w:r>
          </w:hyperlink>
        </w:p>
        <w:p w14:paraId="0C64601F"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7w5wdyagdprg">
            <w:r>
              <w:rPr>
                <w:rFonts w:ascii="Times New Roman" w:eastAsia="Times New Roman" w:hAnsi="Times New Roman" w:cs="Times New Roman"/>
                <w:sz w:val="24"/>
                <w:szCs w:val="24"/>
              </w:rPr>
              <w:t>3.1 Product</w:t>
            </w:r>
            <w:r>
              <w:rPr>
                <w:rFonts w:ascii="Times New Roman" w:eastAsia="Times New Roman" w:hAnsi="Times New Roman" w:cs="Times New Roman"/>
                <w:sz w:val="24"/>
                <w:szCs w:val="24"/>
              </w:rPr>
              <w:tab/>
              <w:t>7</w:t>
            </w:r>
          </w:hyperlink>
        </w:p>
        <w:p w14:paraId="01C8318C"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57dyihe8uycu">
            <w:r>
              <w:rPr>
                <w:rFonts w:ascii="Times New Roman" w:eastAsia="Times New Roman" w:hAnsi="Times New Roman" w:cs="Times New Roman"/>
                <w:sz w:val="24"/>
                <w:szCs w:val="24"/>
              </w:rPr>
              <w:t>3.2 Price</w:t>
            </w:r>
            <w:r>
              <w:rPr>
                <w:rFonts w:ascii="Times New Roman" w:eastAsia="Times New Roman" w:hAnsi="Times New Roman" w:cs="Times New Roman"/>
                <w:sz w:val="24"/>
                <w:szCs w:val="24"/>
              </w:rPr>
              <w:tab/>
              <w:t>8</w:t>
            </w:r>
          </w:hyperlink>
        </w:p>
        <w:p w14:paraId="782188BF"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j5pxuohuzusa">
            <w:r>
              <w:rPr>
                <w:rFonts w:ascii="Times New Roman" w:eastAsia="Times New Roman" w:hAnsi="Times New Roman" w:cs="Times New Roman"/>
                <w:sz w:val="24"/>
                <w:szCs w:val="24"/>
              </w:rPr>
              <w:t>3.3 Place</w:t>
            </w:r>
            <w:r>
              <w:rPr>
                <w:rFonts w:ascii="Times New Roman" w:eastAsia="Times New Roman" w:hAnsi="Times New Roman" w:cs="Times New Roman"/>
                <w:sz w:val="24"/>
                <w:szCs w:val="24"/>
              </w:rPr>
              <w:tab/>
              <w:t>9</w:t>
            </w:r>
          </w:hyperlink>
        </w:p>
        <w:p w14:paraId="3987ECC5"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vb62dvratxsw">
            <w:r>
              <w:rPr>
                <w:rFonts w:ascii="Times New Roman" w:eastAsia="Times New Roman" w:hAnsi="Times New Roman" w:cs="Times New Roman"/>
                <w:sz w:val="24"/>
                <w:szCs w:val="24"/>
              </w:rPr>
              <w:t>3.4 Promotion</w:t>
            </w:r>
            <w:r>
              <w:rPr>
                <w:rFonts w:ascii="Times New Roman" w:eastAsia="Times New Roman" w:hAnsi="Times New Roman" w:cs="Times New Roman"/>
                <w:sz w:val="24"/>
                <w:szCs w:val="24"/>
              </w:rPr>
              <w:tab/>
              <w:t>9</w:t>
            </w:r>
          </w:hyperlink>
        </w:p>
        <w:p w14:paraId="2E9302D5"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i7ek5qz3irps">
            <w:r>
              <w:rPr>
                <w:rFonts w:ascii="Times New Roman" w:eastAsia="Times New Roman" w:hAnsi="Times New Roman" w:cs="Times New Roman"/>
                <w:sz w:val="24"/>
                <w:szCs w:val="24"/>
              </w:rPr>
              <w:t>3.5 People</w:t>
            </w:r>
            <w:r>
              <w:rPr>
                <w:rFonts w:ascii="Times New Roman" w:eastAsia="Times New Roman" w:hAnsi="Times New Roman" w:cs="Times New Roman"/>
                <w:sz w:val="24"/>
                <w:szCs w:val="24"/>
              </w:rPr>
              <w:tab/>
              <w:t>10</w:t>
            </w:r>
          </w:hyperlink>
        </w:p>
        <w:p w14:paraId="58E060DF"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8x6pkzgvz1w2">
            <w:r>
              <w:rPr>
                <w:rFonts w:ascii="Times New Roman" w:eastAsia="Times New Roman" w:hAnsi="Times New Roman" w:cs="Times New Roman"/>
                <w:sz w:val="24"/>
                <w:szCs w:val="24"/>
              </w:rPr>
              <w:t>3.6 Process</w:t>
            </w:r>
            <w:r>
              <w:rPr>
                <w:rFonts w:ascii="Times New Roman" w:eastAsia="Times New Roman" w:hAnsi="Times New Roman" w:cs="Times New Roman"/>
                <w:sz w:val="24"/>
                <w:szCs w:val="24"/>
              </w:rPr>
              <w:tab/>
              <w:t>10</w:t>
            </w:r>
          </w:hyperlink>
        </w:p>
        <w:p w14:paraId="32F12D65"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iyjtexap4j85">
            <w:r>
              <w:rPr>
                <w:rFonts w:ascii="Times New Roman" w:eastAsia="Times New Roman" w:hAnsi="Times New Roman" w:cs="Times New Roman"/>
                <w:sz w:val="24"/>
                <w:szCs w:val="24"/>
              </w:rPr>
              <w:t>3.7 Physical Evidence</w:t>
            </w:r>
            <w:r>
              <w:rPr>
                <w:rFonts w:ascii="Times New Roman" w:eastAsia="Times New Roman" w:hAnsi="Times New Roman" w:cs="Times New Roman"/>
                <w:sz w:val="24"/>
                <w:szCs w:val="24"/>
              </w:rPr>
              <w:tab/>
              <w:t>11</w:t>
            </w:r>
          </w:hyperlink>
        </w:p>
        <w:p w14:paraId="6967421F" w14:textId="77777777" w:rsidR="000C3209" w:rsidRDefault="005A2772">
          <w:pPr>
            <w:widowControl w:val="0"/>
            <w:tabs>
              <w:tab w:val="right" w:leader="dot" w:pos="12000"/>
            </w:tabs>
            <w:spacing w:before="60"/>
            <w:jc w:val="both"/>
            <w:rPr>
              <w:rFonts w:ascii="Times New Roman" w:eastAsia="Times New Roman" w:hAnsi="Times New Roman" w:cs="Times New Roman"/>
              <w:b/>
              <w:bCs/>
              <w:sz w:val="24"/>
              <w:szCs w:val="24"/>
            </w:rPr>
          </w:pPr>
          <w:hyperlink w:anchor="_1tvi1dtnnzt4">
            <w:r>
              <w:rPr>
                <w:rFonts w:ascii="Times New Roman" w:eastAsia="Times New Roman" w:hAnsi="Times New Roman" w:cs="Times New Roman"/>
                <w:b/>
                <w:bCs/>
                <w:sz w:val="24"/>
                <w:szCs w:val="24"/>
              </w:rPr>
              <w:t>Element 4: Reflection</w:t>
            </w:r>
            <w:r>
              <w:rPr>
                <w:rFonts w:ascii="Times New Roman" w:eastAsia="Times New Roman" w:hAnsi="Times New Roman" w:cs="Times New Roman"/>
                <w:b/>
                <w:bCs/>
                <w:sz w:val="24"/>
                <w:szCs w:val="24"/>
              </w:rPr>
              <w:tab/>
              <w:t>13</w:t>
            </w:r>
          </w:hyperlink>
        </w:p>
        <w:p w14:paraId="39609593"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8wtkogneq7ai">
            <w:r>
              <w:rPr>
                <w:rFonts w:ascii="Times New Roman" w:eastAsia="Times New Roman" w:hAnsi="Times New Roman" w:cs="Times New Roman"/>
                <w:sz w:val="24"/>
                <w:szCs w:val="24"/>
              </w:rPr>
              <w:t>4.1 Experience Developing the Brand Extension</w:t>
            </w:r>
            <w:r>
              <w:rPr>
                <w:rFonts w:ascii="Times New Roman" w:eastAsia="Times New Roman" w:hAnsi="Times New Roman" w:cs="Times New Roman"/>
                <w:sz w:val="24"/>
                <w:szCs w:val="24"/>
              </w:rPr>
              <w:tab/>
              <w:t>13</w:t>
            </w:r>
          </w:hyperlink>
        </w:p>
        <w:p w14:paraId="4956FAF9"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xqrqs7yrvn0r">
            <w:r>
              <w:rPr>
                <w:rFonts w:ascii="Times New Roman" w:eastAsia="Times New Roman" w:hAnsi="Times New Roman" w:cs="Times New Roman"/>
                <w:sz w:val="24"/>
                <w:szCs w:val="24"/>
              </w:rPr>
              <w:t>4.2 Poster Preparation and Presentation Experience</w:t>
            </w:r>
            <w:r>
              <w:rPr>
                <w:rFonts w:ascii="Times New Roman" w:eastAsia="Times New Roman" w:hAnsi="Times New Roman" w:cs="Times New Roman"/>
                <w:sz w:val="24"/>
                <w:szCs w:val="24"/>
              </w:rPr>
              <w:tab/>
              <w:t>13</w:t>
            </w:r>
          </w:hyperlink>
        </w:p>
        <w:p w14:paraId="28E702BE"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uddd777d01kx">
            <w:r>
              <w:rPr>
                <w:rFonts w:ascii="Times New Roman" w:eastAsia="Times New Roman" w:hAnsi="Times New Roman" w:cs="Times New Roman"/>
                <w:sz w:val="24"/>
                <w:szCs w:val="24"/>
              </w:rPr>
              <w:t>4.3 Skills, Knowledge and Professional Development</w:t>
            </w:r>
            <w:r>
              <w:rPr>
                <w:rFonts w:ascii="Times New Roman" w:eastAsia="Times New Roman" w:hAnsi="Times New Roman" w:cs="Times New Roman"/>
                <w:sz w:val="24"/>
                <w:szCs w:val="24"/>
              </w:rPr>
              <w:tab/>
              <w:t>13</w:t>
            </w:r>
          </w:hyperlink>
        </w:p>
        <w:p w14:paraId="4160F629" w14:textId="77777777" w:rsidR="000C3209" w:rsidRDefault="005A2772">
          <w:pPr>
            <w:widowControl w:val="0"/>
            <w:tabs>
              <w:tab w:val="right" w:leader="dot" w:pos="12000"/>
            </w:tabs>
            <w:spacing w:before="60"/>
            <w:ind w:left="360"/>
            <w:jc w:val="both"/>
            <w:rPr>
              <w:rFonts w:ascii="Times New Roman" w:eastAsia="Times New Roman" w:hAnsi="Times New Roman" w:cs="Times New Roman"/>
              <w:sz w:val="24"/>
              <w:szCs w:val="24"/>
            </w:rPr>
          </w:pPr>
          <w:hyperlink w:anchor="_16p55sjc4hrm">
            <w:r>
              <w:rPr>
                <w:rFonts w:ascii="Times New Roman" w:eastAsia="Times New Roman" w:hAnsi="Times New Roman" w:cs="Times New Roman"/>
                <w:sz w:val="24"/>
                <w:szCs w:val="24"/>
              </w:rPr>
              <w:t>4.4 Areas for Future Improvement</w:t>
            </w:r>
            <w:r>
              <w:rPr>
                <w:rFonts w:ascii="Times New Roman" w:eastAsia="Times New Roman" w:hAnsi="Times New Roman" w:cs="Times New Roman"/>
                <w:sz w:val="24"/>
                <w:szCs w:val="24"/>
              </w:rPr>
              <w:tab/>
              <w:t>14</w:t>
            </w:r>
          </w:hyperlink>
        </w:p>
        <w:p w14:paraId="3FD05325" w14:textId="77777777" w:rsidR="000C3209" w:rsidRDefault="005A2772">
          <w:pPr>
            <w:widowControl w:val="0"/>
            <w:tabs>
              <w:tab w:val="right" w:leader="dot" w:pos="12000"/>
            </w:tabs>
            <w:spacing w:before="60"/>
            <w:jc w:val="both"/>
            <w:rPr>
              <w:rFonts w:ascii="Times New Roman" w:eastAsia="Times New Roman" w:hAnsi="Times New Roman" w:cs="Times New Roman"/>
              <w:b/>
              <w:bCs/>
              <w:sz w:val="24"/>
              <w:szCs w:val="24"/>
            </w:rPr>
          </w:pPr>
          <w:hyperlink w:anchor="_lxtef4uqzvi4">
            <w:r>
              <w:rPr>
                <w:rFonts w:ascii="Times New Roman" w:eastAsia="Times New Roman" w:hAnsi="Times New Roman" w:cs="Times New Roman"/>
                <w:b/>
                <w:bCs/>
                <w:sz w:val="24"/>
                <w:szCs w:val="24"/>
              </w:rPr>
              <w:t>References:</w:t>
            </w:r>
            <w:r>
              <w:rPr>
                <w:rFonts w:ascii="Times New Roman" w:eastAsia="Times New Roman" w:hAnsi="Times New Roman" w:cs="Times New Roman"/>
                <w:b/>
                <w:bCs/>
                <w:sz w:val="24"/>
                <w:szCs w:val="24"/>
              </w:rPr>
              <w:tab/>
              <w:t>15</w:t>
            </w:r>
          </w:hyperlink>
          <w:r>
            <w:fldChar w:fldCharType="end"/>
          </w:r>
        </w:p>
      </w:sdtContent>
    </w:sdt>
    <w:p w14:paraId="36127A86" w14:textId="77777777" w:rsidR="000C3209" w:rsidRDefault="000C3209">
      <w:pPr>
        <w:jc w:val="both"/>
        <w:rPr>
          <w:rFonts w:ascii="Times New Roman" w:eastAsia="Times New Roman" w:hAnsi="Times New Roman" w:cs="Times New Roman"/>
          <w:sz w:val="24"/>
          <w:szCs w:val="24"/>
        </w:rPr>
      </w:pPr>
    </w:p>
    <w:p w14:paraId="7DF3367A" w14:textId="77777777" w:rsidR="000C3209" w:rsidRDefault="000C3209">
      <w:pPr>
        <w:jc w:val="both"/>
        <w:rPr>
          <w:rFonts w:ascii="Times New Roman" w:eastAsia="Times New Roman" w:hAnsi="Times New Roman" w:cs="Times New Roman"/>
          <w:sz w:val="24"/>
          <w:szCs w:val="24"/>
        </w:rPr>
      </w:pPr>
    </w:p>
    <w:p w14:paraId="767DD151" w14:textId="77777777" w:rsidR="000C3209" w:rsidRDefault="000C3209">
      <w:pPr>
        <w:jc w:val="both"/>
        <w:rPr>
          <w:rFonts w:ascii="Times New Roman" w:eastAsia="Times New Roman" w:hAnsi="Times New Roman" w:cs="Times New Roman"/>
          <w:sz w:val="24"/>
          <w:szCs w:val="24"/>
        </w:rPr>
      </w:pPr>
    </w:p>
    <w:p w14:paraId="53D3F8F3" w14:textId="77777777" w:rsidR="000C3209" w:rsidRDefault="000C3209">
      <w:pPr>
        <w:jc w:val="both"/>
        <w:rPr>
          <w:rFonts w:ascii="Times New Roman" w:eastAsia="Times New Roman" w:hAnsi="Times New Roman" w:cs="Times New Roman"/>
          <w:sz w:val="24"/>
          <w:szCs w:val="24"/>
        </w:rPr>
      </w:pPr>
    </w:p>
    <w:p w14:paraId="06026B1B" w14:textId="77777777" w:rsidR="000C3209" w:rsidRDefault="000C3209">
      <w:pPr>
        <w:jc w:val="both"/>
        <w:rPr>
          <w:rFonts w:ascii="Times New Roman" w:eastAsia="Times New Roman" w:hAnsi="Times New Roman" w:cs="Times New Roman"/>
          <w:sz w:val="24"/>
          <w:szCs w:val="24"/>
        </w:rPr>
      </w:pPr>
    </w:p>
    <w:p w14:paraId="25D3A2B5" w14:textId="77777777" w:rsidR="000C3209" w:rsidRDefault="000C3209">
      <w:pPr>
        <w:jc w:val="both"/>
        <w:rPr>
          <w:rFonts w:ascii="Times New Roman" w:eastAsia="Times New Roman" w:hAnsi="Times New Roman" w:cs="Times New Roman"/>
          <w:sz w:val="24"/>
          <w:szCs w:val="24"/>
        </w:rPr>
      </w:pPr>
    </w:p>
    <w:p w14:paraId="4315C090" w14:textId="77777777" w:rsidR="000C3209" w:rsidRDefault="000C3209">
      <w:pPr>
        <w:jc w:val="both"/>
        <w:rPr>
          <w:rFonts w:ascii="Times New Roman" w:eastAsia="Times New Roman" w:hAnsi="Times New Roman" w:cs="Times New Roman"/>
          <w:sz w:val="24"/>
          <w:szCs w:val="24"/>
        </w:rPr>
      </w:pPr>
    </w:p>
    <w:p w14:paraId="348920BE" w14:textId="77777777" w:rsidR="000C3209" w:rsidRDefault="000C3209">
      <w:pPr>
        <w:jc w:val="both"/>
        <w:rPr>
          <w:rFonts w:ascii="Times New Roman" w:eastAsia="Times New Roman" w:hAnsi="Times New Roman" w:cs="Times New Roman"/>
          <w:sz w:val="24"/>
          <w:szCs w:val="24"/>
        </w:rPr>
      </w:pPr>
    </w:p>
    <w:p w14:paraId="0BB9D6FE" w14:textId="77777777" w:rsidR="000C3209" w:rsidRDefault="000C3209">
      <w:pPr>
        <w:jc w:val="both"/>
        <w:rPr>
          <w:rFonts w:ascii="Times New Roman" w:eastAsia="Times New Roman" w:hAnsi="Times New Roman" w:cs="Times New Roman"/>
          <w:sz w:val="24"/>
          <w:szCs w:val="24"/>
        </w:rPr>
      </w:pPr>
    </w:p>
    <w:p w14:paraId="73798A10" w14:textId="77777777" w:rsidR="000C3209" w:rsidRDefault="000C3209">
      <w:pPr>
        <w:jc w:val="both"/>
        <w:rPr>
          <w:rFonts w:ascii="Times New Roman" w:eastAsia="Times New Roman" w:hAnsi="Times New Roman" w:cs="Times New Roman"/>
          <w:sz w:val="24"/>
          <w:szCs w:val="24"/>
        </w:rPr>
      </w:pPr>
    </w:p>
    <w:p w14:paraId="18B28612" w14:textId="77777777" w:rsidR="000C3209" w:rsidRDefault="000C3209">
      <w:pPr>
        <w:jc w:val="both"/>
        <w:rPr>
          <w:rFonts w:ascii="Times New Roman" w:eastAsia="Times New Roman" w:hAnsi="Times New Roman" w:cs="Times New Roman"/>
          <w:sz w:val="24"/>
          <w:szCs w:val="24"/>
        </w:rPr>
      </w:pPr>
    </w:p>
    <w:p w14:paraId="13CE1691" w14:textId="77777777" w:rsidR="000C3209" w:rsidRDefault="000C3209">
      <w:pPr>
        <w:jc w:val="both"/>
        <w:rPr>
          <w:rFonts w:ascii="Times New Roman" w:eastAsia="Times New Roman" w:hAnsi="Times New Roman" w:cs="Times New Roman"/>
          <w:sz w:val="24"/>
          <w:szCs w:val="24"/>
        </w:rPr>
      </w:pPr>
    </w:p>
    <w:p w14:paraId="64446ABA" w14:textId="77777777" w:rsidR="000C3209" w:rsidRDefault="000C3209">
      <w:pPr>
        <w:jc w:val="both"/>
        <w:rPr>
          <w:rFonts w:ascii="Times New Roman" w:eastAsia="Times New Roman" w:hAnsi="Times New Roman" w:cs="Times New Roman"/>
          <w:sz w:val="24"/>
          <w:szCs w:val="24"/>
        </w:rPr>
      </w:pPr>
    </w:p>
    <w:p w14:paraId="2FBF484C" w14:textId="77777777" w:rsidR="000C3209" w:rsidRDefault="000C3209">
      <w:pPr>
        <w:jc w:val="both"/>
        <w:rPr>
          <w:rFonts w:ascii="Times New Roman" w:eastAsia="Times New Roman" w:hAnsi="Times New Roman" w:cs="Times New Roman"/>
          <w:sz w:val="24"/>
          <w:szCs w:val="24"/>
        </w:rPr>
      </w:pPr>
    </w:p>
    <w:p w14:paraId="58456692" w14:textId="77777777" w:rsidR="000C3209" w:rsidRDefault="005A2772">
      <w:pPr>
        <w:pStyle w:val="Heading2"/>
        <w:keepNext w:val="0"/>
        <w:keepLines w:val="0"/>
        <w:spacing w:before="480"/>
        <w:jc w:val="both"/>
        <w:rPr>
          <w:rFonts w:ascii="Times New Roman" w:eastAsia="Times New Roman" w:hAnsi="Times New Roman" w:cs="Times New Roman"/>
          <w:sz w:val="24"/>
          <w:szCs w:val="24"/>
        </w:rPr>
      </w:pPr>
      <w:bookmarkStart w:id="0" w:name="_5mkspet8hkja" w:colFirst="0" w:colLast="0"/>
      <w:bookmarkEnd w:id="0"/>
      <w:r>
        <w:rPr>
          <w:rFonts w:ascii="Times New Roman" w:eastAsia="Times New Roman" w:hAnsi="Times New Roman" w:cs="Times New Roman"/>
          <w:b/>
          <w:bCs/>
          <w:sz w:val="24"/>
          <w:szCs w:val="24"/>
        </w:rPr>
        <w:lastRenderedPageBreak/>
        <w:t>Element 1: Canva Poster</w:t>
      </w:r>
    </w:p>
    <w:p w14:paraId="797CDC82" w14:textId="77777777" w:rsidR="000C3209" w:rsidRDefault="005A2772">
      <w:pPr>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617C1D" wp14:editId="4CE32845">
            <wp:extent cx="6010275" cy="7908244"/>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t="1647" b="2543"/>
                    <a:stretch>
                      <a:fillRect/>
                    </a:stretch>
                  </pic:blipFill>
                  <pic:spPr>
                    <a:xfrm>
                      <a:off x="0" y="0"/>
                      <a:ext cx="6010275" cy="7908244"/>
                    </a:xfrm>
                    <a:prstGeom prst="rect">
                      <a:avLst/>
                    </a:prstGeom>
                    <a:ln/>
                  </pic:spPr>
                </pic:pic>
              </a:graphicData>
            </a:graphic>
          </wp:inline>
        </w:drawing>
      </w:r>
    </w:p>
    <w:p w14:paraId="46244F87" w14:textId="77777777" w:rsidR="000C3209" w:rsidRDefault="005A2772">
      <w:pPr>
        <w:pStyle w:val="Heading2"/>
        <w:keepNext w:val="0"/>
        <w:keepLines w:val="0"/>
        <w:spacing w:before="480"/>
        <w:jc w:val="both"/>
        <w:rPr>
          <w:rFonts w:ascii="Times New Roman" w:eastAsia="Times New Roman" w:hAnsi="Times New Roman" w:cs="Times New Roman"/>
          <w:b/>
          <w:bCs/>
          <w:sz w:val="24"/>
          <w:szCs w:val="24"/>
        </w:rPr>
      </w:pPr>
      <w:bookmarkStart w:id="1" w:name="_iego56r3vt4w" w:colFirst="0" w:colLast="0"/>
      <w:bookmarkEnd w:id="1"/>
      <w:r>
        <w:rPr>
          <w:rFonts w:ascii="Times New Roman" w:eastAsia="Times New Roman" w:hAnsi="Times New Roman" w:cs="Times New Roman"/>
          <w:b/>
          <w:bCs/>
          <w:sz w:val="24"/>
          <w:szCs w:val="24"/>
        </w:rPr>
        <w:lastRenderedPageBreak/>
        <w:t xml:space="preserve">Element 2: STDP Analysis </w:t>
      </w:r>
    </w:p>
    <w:p w14:paraId="7A0BC1E2"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2" w:name="_9nc8nscuvrxl" w:colFirst="0" w:colLast="0"/>
      <w:bookmarkEnd w:id="2"/>
      <w:r>
        <w:rPr>
          <w:rFonts w:ascii="Times New Roman" w:eastAsia="Times New Roman" w:hAnsi="Times New Roman" w:cs="Times New Roman"/>
          <w:b/>
          <w:bCs/>
          <w:color w:val="000000"/>
          <w:sz w:val="24"/>
          <w:szCs w:val="24"/>
        </w:rPr>
        <w:t>2.1 Market Segmentation</w:t>
      </w:r>
    </w:p>
    <w:p w14:paraId="301A051F"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segmentation is the classification of consumers into groups or segments, such that each is accessible with more pertinent value and marketing, as they have more homogeneous needs and characteristics (Kotler, Keller and Chernev, 2022). For Samsung SmartThings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appropriate segmentation would include all relevant aspects of the demographic, psychographic, and behavioral and geographic segmentation. As the adoption of smart-home technology also depends on the perception of the technology as useful and compatible, as well as other factors such as the technology’s cost, ease of use, and reliability, other segments would also be relevant (Valencia-Arias et al, 2023).</w:t>
      </w:r>
    </w:p>
    <w:p w14:paraId="71434037" w14:textId="77777777" w:rsidR="000C3209" w:rsidRDefault="005A2772">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18CC0B3" wp14:editId="4FC96081">
            <wp:extent cx="5980176" cy="2324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80176" cy="2324100"/>
                    </a:xfrm>
                    <a:prstGeom prst="rect">
                      <a:avLst/>
                    </a:prstGeom>
                    <a:ln/>
                  </pic:spPr>
                </pic:pic>
              </a:graphicData>
            </a:graphic>
          </wp:inline>
        </w:drawing>
      </w:r>
    </w:p>
    <w:p w14:paraId="3C036289" w14:textId="77777777" w:rsidR="000C3209" w:rsidRDefault="005A2772">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2.1: Market Segmentation for Samsung SmartThings </w:t>
      </w:r>
      <w:proofErr w:type="spellStart"/>
      <w:r>
        <w:rPr>
          <w:rFonts w:ascii="Times New Roman" w:eastAsia="Times New Roman" w:hAnsi="Times New Roman" w:cs="Times New Roman"/>
          <w:b/>
          <w:bCs/>
          <w:sz w:val="24"/>
          <w:szCs w:val="24"/>
        </w:rPr>
        <w:t>EcoFit</w:t>
      </w:r>
      <w:proofErr w:type="spellEnd"/>
      <w:r>
        <w:rPr>
          <w:rFonts w:ascii="Times New Roman" w:eastAsia="Times New Roman" w:hAnsi="Times New Roman" w:cs="Times New Roman"/>
          <w:b/>
          <w:bCs/>
          <w:sz w:val="24"/>
          <w:szCs w:val="24"/>
        </w:rPr>
        <w:t xml:space="preserve"> Kit</w:t>
      </w:r>
    </w:p>
    <w:p w14:paraId="68E7F29D" w14:textId="77777777" w:rsidR="000C3209" w:rsidRDefault="005A2772">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Made.</w:t>
      </w:r>
    </w:p>
    <w:p w14:paraId="255370DD"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the first target market would be the UK, as they have the most visible household energy expenditure. From July to September of 2026, the average household that pays via Direct Debit would have an annual energy expenditure of £1,862, with an average capped price of 26.11 pence per kWh. These prices strengthen the case for the development of solutions that give consumers increased control and visibility over their energy consumption.</w:t>
      </w:r>
    </w:p>
    <w:p w14:paraId="0D1DA37B"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Combining economic incentive and environmental factors is the most appealing segment. Ferreira, Oliveira and Neves (2023) found that environmental awareness contributed to the use and endorsement of smart-home technologies. This supports the intersection of economic and environmental factors.</w:t>
      </w:r>
    </w:p>
    <w:p w14:paraId="45156D51" w14:textId="77777777" w:rsidR="000C3209" w:rsidRDefault="000C3209">
      <w:pPr>
        <w:pStyle w:val="Heading3"/>
        <w:keepNext w:val="0"/>
        <w:keepLines w:val="0"/>
        <w:jc w:val="both"/>
        <w:rPr>
          <w:rFonts w:ascii="Times New Roman" w:eastAsia="Times New Roman" w:hAnsi="Times New Roman" w:cs="Times New Roman"/>
          <w:b/>
          <w:bCs/>
          <w:color w:val="000000"/>
          <w:sz w:val="24"/>
          <w:szCs w:val="24"/>
        </w:rPr>
      </w:pPr>
      <w:bookmarkStart w:id="3" w:name="_xoz9xtsc9joa" w:colFirst="0" w:colLast="0"/>
      <w:bookmarkEnd w:id="3"/>
    </w:p>
    <w:p w14:paraId="620F88C7"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4" w:name="_fygz72v1fqo7" w:colFirst="0" w:colLast="0"/>
      <w:bookmarkEnd w:id="4"/>
      <w:r>
        <w:rPr>
          <w:rFonts w:ascii="Times New Roman" w:eastAsia="Times New Roman" w:hAnsi="Times New Roman" w:cs="Times New Roman"/>
          <w:b/>
          <w:bCs/>
          <w:color w:val="000000"/>
          <w:sz w:val="24"/>
          <w:szCs w:val="24"/>
        </w:rPr>
        <w:lastRenderedPageBreak/>
        <w:t>2.2 Target Market</w:t>
      </w:r>
    </w:p>
    <w:p w14:paraId="08FF17A8"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target audience includes UK renters and homeowners aged 25 to 55 who are budget and eco-conscious, and who own stand-alone appliances without built-in smart-energy features. They have enough comfort with technology to utilize an app but do not consider themselves smart home users.</w:t>
      </w:r>
    </w:p>
    <w:p w14:paraId="3D3B47F2"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target audience is attractively strategic because the extension resolves a clear compromise that consumers face. The compromise is either to continue using appliances with low visibility on energy consumption, or to replace fully functional appliances, which is costly and has a negative impact on the environment.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adds externally done monitoring and control as a solution to the compromise.</w:t>
      </w:r>
    </w:p>
    <w:p w14:paraId="2643E66F"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early-stage, recent adoption research of smart home features suggests that utility and ease of use are the most critical adoption elements, while other elements of cost, poor compatibility, complexity, and trust may become barriers (Valencia-Arias et al 2023.). Therefore,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should use simple setup, and clear, no-frills pricing, and should focus on the real-world energy implications rather than the energy consumption vs ease of use and complexity of the solution, for the target audience.</w:t>
      </w:r>
    </w:p>
    <w:p w14:paraId="15EBE9CC"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Private renters are a strong subsegment because they often cannot replace larger appliances or install permanent energy solutions. Smart Plugs and sensors are fully portable.</w:t>
      </w:r>
    </w:p>
    <w:p w14:paraId="1674F6CD"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5" w:name="_kefeqweoai4x" w:colFirst="0" w:colLast="0"/>
      <w:bookmarkEnd w:id="5"/>
      <w:r>
        <w:rPr>
          <w:rFonts w:ascii="Times New Roman" w:eastAsia="Times New Roman" w:hAnsi="Times New Roman" w:cs="Times New Roman"/>
          <w:b/>
          <w:bCs/>
          <w:color w:val="000000"/>
          <w:sz w:val="24"/>
          <w:szCs w:val="24"/>
        </w:rPr>
        <w:t>2.3 Differentiation Strategy</w:t>
      </w:r>
    </w:p>
    <w:p w14:paraId="202CD916" w14:textId="77777777" w:rsidR="000C3209" w:rsidRDefault="005A2772">
      <w:pPr>
        <w:spacing w:before="240"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EcoFit’s</w:t>
      </w:r>
      <w:proofErr w:type="spellEnd"/>
      <w:r>
        <w:rPr>
          <w:rFonts w:ascii="Times New Roman" w:eastAsia="Times New Roman" w:hAnsi="Times New Roman" w:cs="Times New Roman"/>
          <w:sz w:val="24"/>
          <w:szCs w:val="24"/>
        </w:rPr>
        <w:t xml:space="preserve"> focus should be on a combination of affordability, ecosystem integration, and sustainability in addition to smart plug functionality, rather than direct competition.</w:t>
      </w:r>
    </w:p>
    <w:p w14:paraId="7390E6D3"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numerous generic smart plugs that can be used for switching, scheduling, or energy measurement and there are comprehensive home energy management systems that can offer advanced management.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would fill the gap in the smart home/energy management market by providing a complete and easily expandable retrofit solution, built upon the Samsung SmartThings ecosystem.</w:t>
      </w:r>
    </w:p>
    <w:p w14:paraId="18F41195"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has publicly stated that SmartThings allows for the integration of non-smart devices via smart plugs. Therefore, the brand extension would be unable to credibly state that connecting a legacy appliance via a smart plug would be an innovative solution. Rather, the innovation would be in the complete customer proposition: a multi-device plug starter kit, appliance entry and control via a retrofit plug and dedicated SmartThings dashboard, consumption notifications and alerts, standby power identificati</w:t>
      </w:r>
      <w:r>
        <w:rPr>
          <w:rFonts w:ascii="Times New Roman" w:eastAsia="Times New Roman" w:hAnsi="Times New Roman" w:cs="Times New Roman"/>
          <w:sz w:val="24"/>
          <w:szCs w:val="24"/>
        </w:rPr>
        <w:t>on and monthly personalized energy reports and recommendations.</w:t>
      </w:r>
    </w:p>
    <w:p w14:paraId="66534E61"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the retrofit-first design would be supported by five differentiation pillars: integrated hardware and software, modularity, Samsung ecosystem connectivity, and sustainability.</w:t>
      </w:r>
    </w:p>
    <w:p w14:paraId="24F2C37F" w14:textId="77777777" w:rsidR="000C3209" w:rsidRDefault="005A2772">
      <w:pPr>
        <w:spacing w:before="240"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EcoFit’s</w:t>
      </w:r>
      <w:proofErr w:type="spellEnd"/>
      <w:r>
        <w:rPr>
          <w:rFonts w:ascii="Times New Roman" w:eastAsia="Times New Roman" w:hAnsi="Times New Roman" w:cs="Times New Roman"/>
          <w:sz w:val="24"/>
          <w:szCs w:val="24"/>
        </w:rPr>
        <w:t xml:space="preserve"> design must focus on established compatible products. Samsung describes SmartThings as a supporting ecosystem for devices beyond Samsung appliances, although the actual interoperability may vary by product and market. The flexibility of </w:t>
      </w:r>
      <w:proofErr w:type="spellStart"/>
      <w:r>
        <w:rPr>
          <w:rFonts w:ascii="Times New Roman" w:eastAsia="Times New Roman" w:hAnsi="Times New Roman" w:cs="Times New Roman"/>
          <w:sz w:val="24"/>
          <w:szCs w:val="24"/>
        </w:rPr>
        <w:t>EcoFit’s</w:t>
      </w:r>
      <w:proofErr w:type="spellEnd"/>
      <w:r>
        <w:rPr>
          <w:rFonts w:ascii="Times New Roman" w:eastAsia="Times New Roman" w:hAnsi="Times New Roman" w:cs="Times New Roman"/>
          <w:sz w:val="24"/>
          <w:szCs w:val="24"/>
        </w:rPr>
        <w:t xml:space="preserve"> system would allow it to be positioned as the first step toward a smart home, rather than a fully closed system that requires the immediate replacement of all Samsung appliances.</w:t>
      </w:r>
    </w:p>
    <w:p w14:paraId="104293F7"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Reliability, along with privacy and security, must also be part of </w:t>
      </w:r>
      <w:proofErr w:type="spellStart"/>
      <w:r>
        <w:rPr>
          <w:rFonts w:ascii="Times New Roman" w:eastAsia="Times New Roman" w:hAnsi="Times New Roman" w:cs="Times New Roman"/>
          <w:sz w:val="24"/>
          <w:szCs w:val="24"/>
        </w:rPr>
        <w:t>EcoFit’s</w:t>
      </w:r>
      <w:proofErr w:type="spellEnd"/>
      <w:r>
        <w:rPr>
          <w:rFonts w:ascii="Times New Roman" w:eastAsia="Times New Roman" w:hAnsi="Times New Roman" w:cs="Times New Roman"/>
          <w:sz w:val="24"/>
          <w:szCs w:val="24"/>
        </w:rPr>
        <w:t xml:space="preserve"> solution. Smart home research indicates that these are all barriers to adoption (Valencia- Aris et al, 2023).</w:t>
      </w:r>
    </w:p>
    <w:p w14:paraId="65332061"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sustainability ‘promises’ have to be credible. Hesse et al (2022) highlight the importance of consumer viewpoints when established brands develop eco-friendly products. In light of this,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will need to focus on the functionality of monitoring and scheduling that promotes extended use of the product and not the claim that a plug will make an inefficient appliance energy efficient.</w:t>
      </w:r>
    </w:p>
    <w:p w14:paraId="756E052C" w14:textId="77777777" w:rsidR="000C3209" w:rsidRDefault="005A2772">
      <w:pPr>
        <w:pStyle w:val="Heading3"/>
        <w:keepNext w:val="0"/>
        <w:keepLines w:val="0"/>
        <w:jc w:val="both"/>
        <w:rPr>
          <w:rFonts w:ascii="Times New Roman" w:eastAsia="Times New Roman" w:hAnsi="Times New Roman" w:cs="Times New Roman"/>
          <w:color w:val="000000"/>
          <w:sz w:val="24"/>
          <w:szCs w:val="24"/>
        </w:rPr>
      </w:pPr>
      <w:bookmarkStart w:id="6" w:name="_nm6xnhnu6i4c" w:colFirst="0" w:colLast="0"/>
      <w:bookmarkEnd w:id="6"/>
      <w:r>
        <w:rPr>
          <w:rFonts w:ascii="Times New Roman" w:eastAsia="Times New Roman" w:hAnsi="Times New Roman" w:cs="Times New Roman"/>
          <w:b/>
          <w:bCs/>
          <w:color w:val="000000"/>
          <w:sz w:val="24"/>
          <w:szCs w:val="24"/>
        </w:rPr>
        <w:t>2.4 Positioning Strategy</w:t>
      </w:r>
    </w:p>
    <w:p w14:paraId="18C96452" w14:textId="77777777" w:rsidR="000C3209" w:rsidRDefault="005A2772">
      <w:pPr>
        <w:spacing w:before="240"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will sit in the market sweet spot between a low cost, individual smart plug and expensive, comprehensive smart home energy management systems. The ‘integrated sustainability’ elements will also support the competitive advantage that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will have.</w:t>
      </w:r>
    </w:p>
    <w:p w14:paraId="011A50AB"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positioning statement is: For environmentally and </w:t>
      </w:r>
      <w:proofErr w:type="gramStart"/>
      <w:r>
        <w:rPr>
          <w:rFonts w:ascii="Times New Roman" w:eastAsia="Times New Roman" w:hAnsi="Times New Roman" w:cs="Times New Roman"/>
          <w:sz w:val="24"/>
          <w:szCs w:val="24"/>
        </w:rPr>
        <w:t>cost conscious</w:t>
      </w:r>
      <w:proofErr w:type="gramEnd"/>
      <w:r>
        <w:rPr>
          <w:rFonts w:ascii="Times New Roman" w:eastAsia="Times New Roman" w:hAnsi="Times New Roman" w:cs="Times New Roman"/>
          <w:sz w:val="24"/>
          <w:szCs w:val="24"/>
        </w:rPr>
        <w:t xml:space="preserve"> UK families with older appliances in the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offers the opportunity to monitor and control household energy use to reduce waste and choose better appliances without a replacement.</w:t>
      </w:r>
    </w:p>
    <w:p w14:paraId="69957068" w14:textId="77777777" w:rsidR="000C3209" w:rsidRDefault="005A2772">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B8807A8" wp14:editId="2C9AAD38">
            <wp:extent cx="3924300" cy="2255181"/>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t="13783" b="7025"/>
                    <a:stretch>
                      <a:fillRect/>
                    </a:stretch>
                  </pic:blipFill>
                  <pic:spPr>
                    <a:xfrm>
                      <a:off x="0" y="0"/>
                      <a:ext cx="3924300" cy="2255181"/>
                    </a:xfrm>
                    <a:prstGeom prst="rect">
                      <a:avLst/>
                    </a:prstGeom>
                    <a:ln/>
                  </pic:spPr>
                </pic:pic>
              </a:graphicData>
            </a:graphic>
          </wp:inline>
        </w:drawing>
      </w:r>
    </w:p>
    <w:p w14:paraId="25064024" w14:textId="77777777" w:rsidR="000C3209" w:rsidRDefault="005A2772">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Figure 2.1: Proposed Market Positioning of Samsung SmartThings </w:t>
      </w:r>
      <w:proofErr w:type="spellStart"/>
      <w:r>
        <w:rPr>
          <w:rFonts w:ascii="Times New Roman" w:eastAsia="Times New Roman" w:hAnsi="Times New Roman" w:cs="Times New Roman"/>
          <w:b/>
          <w:bCs/>
          <w:sz w:val="24"/>
          <w:szCs w:val="24"/>
        </w:rPr>
        <w:t>EcoFit</w:t>
      </w:r>
      <w:proofErr w:type="spellEnd"/>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Source: Self Made.</w:t>
      </w:r>
    </w:p>
    <w:p w14:paraId="7BD77BC4" w14:textId="77777777" w:rsidR="000C3209" w:rsidRDefault="005A2772">
      <w:pPr>
        <w:pStyle w:val="Heading2"/>
        <w:keepNext w:val="0"/>
        <w:keepLines w:val="0"/>
        <w:spacing w:before="480"/>
        <w:jc w:val="both"/>
        <w:rPr>
          <w:rFonts w:ascii="Times New Roman" w:eastAsia="Times New Roman" w:hAnsi="Times New Roman" w:cs="Times New Roman"/>
          <w:b/>
          <w:bCs/>
          <w:sz w:val="24"/>
          <w:szCs w:val="24"/>
        </w:rPr>
      </w:pPr>
      <w:bookmarkStart w:id="7" w:name="_4ewo713r83ih" w:colFirst="0" w:colLast="0"/>
      <w:bookmarkEnd w:id="7"/>
      <w:r>
        <w:rPr>
          <w:rFonts w:ascii="Times New Roman" w:eastAsia="Times New Roman" w:hAnsi="Times New Roman" w:cs="Times New Roman"/>
          <w:b/>
          <w:bCs/>
          <w:sz w:val="24"/>
          <w:szCs w:val="24"/>
        </w:rPr>
        <w:t>Element 3: Marketing Mix – 7Ps</w:t>
      </w:r>
    </w:p>
    <w:p w14:paraId="14B4147A"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8" w:name="_7w5wdyagdprg" w:colFirst="0" w:colLast="0"/>
      <w:bookmarkEnd w:id="8"/>
      <w:r>
        <w:rPr>
          <w:rFonts w:ascii="Times New Roman" w:eastAsia="Times New Roman" w:hAnsi="Times New Roman" w:cs="Times New Roman"/>
          <w:b/>
          <w:bCs/>
          <w:color w:val="000000"/>
          <w:sz w:val="24"/>
          <w:szCs w:val="24"/>
        </w:rPr>
        <w:lastRenderedPageBreak/>
        <w:t>3.1 Product</w:t>
      </w:r>
    </w:p>
    <w:p w14:paraId="5B8252FA"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Samsung SmartThings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Kit is a Modular Home-Energy Retrofit solution that integrates monitoring and controlling functionalities for older appliances—even the non-smart and functional ones. The starter package includes four energy-monitoring smart plugs, two temperature/occupancy sensors, a SmartThings hub, and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dashboard access with automated routines, standby-use detection, consumption alerts, and energy report emails. Additional energy-monitoring smart plugs and smart sensors are available for purchase for later i</w:t>
      </w:r>
      <w:r>
        <w:rPr>
          <w:rFonts w:ascii="Times New Roman" w:eastAsia="Times New Roman" w:hAnsi="Times New Roman" w:cs="Times New Roman"/>
          <w:sz w:val="24"/>
          <w:szCs w:val="24"/>
        </w:rPr>
        <w:t xml:space="preserve">ntegration into the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Kit.</w:t>
      </w:r>
    </w:p>
    <w:p w14:paraId="31B625AD"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Kit is designed as a subsequent step for the current SmartThings ecosystem. For example, SmartThings Energy shows energy usage and predicted costs of electricity along with alerts of appliances using a high amount of electricity. In addition, the framework SmartThings offers explains how some non-smart appliances can be monitored with smart plugs and hubs.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advances the framework by combining hardware and the Retrofit Analytics with an easy integration process.</w:t>
      </w:r>
    </w:p>
    <w:p w14:paraId="33D0240E" w14:textId="77777777" w:rsidR="000C3209" w:rsidRDefault="005A2772">
      <w:pPr>
        <w:spacing w:before="28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4F41A7B" wp14:editId="63A8B20E">
            <wp:extent cx="3248025" cy="5014151"/>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248025" cy="5014151"/>
                    </a:xfrm>
                    <a:prstGeom prst="rect">
                      <a:avLst/>
                    </a:prstGeom>
                    <a:ln/>
                  </pic:spPr>
                </pic:pic>
              </a:graphicData>
            </a:graphic>
          </wp:inline>
        </w:drawing>
      </w:r>
    </w:p>
    <w:p w14:paraId="53040E7E" w14:textId="77777777" w:rsidR="000C3209" w:rsidRDefault="005A2772">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Figure 3.1: Existing Samsung SmartThings Energy platform</w:t>
      </w:r>
      <w:r>
        <w:rPr>
          <w:rFonts w:ascii="Times New Roman" w:eastAsia="Times New Roman" w:hAnsi="Times New Roman" w:cs="Times New Roman"/>
          <w:sz w:val="24"/>
          <w:szCs w:val="24"/>
        </w:rPr>
        <w:br/>
        <w:t>Source: Samsung UK (2026a).</w:t>
      </w:r>
    </w:p>
    <w:p w14:paraId="5DACD6B5"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9" w:name="_57dyihe8uycu" w:colFirst="0" w:colLast="0"/>
      <w:bookmarkEnd w:id="9"/>
      <w:r>
        <w:rPr>
          <w:rFonts w:ascii="Times New Roman" w:eastAsia="Times New Roman" w:hAnsi="Times New Roman" w:cs="Times New Roman"/>
          <w:b/>
          <w:bCs/>
          <w:color w:val="000000"/>
          <w:sz w:val="24"/>
          <w:szCs w:val="24"/>
        </w:rPr>
        <w:t>3.2 Price</w:t>
      </w:r>
    </w:p>
    <w:p w14:paraId="4AB5BCEA"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pricing recommendation is an introductory and value-based pricing strategy. For the offering to be appropriately value-based (vs. production cost), the proposed Starter Kit price of £99 - £129, should be the first available price point for this smart technology from Samsung. The value of additional smart plugs should be approximately £15 - £20 each; smart sensors, £20 - £30 each; and optional advanced analytics, £2.99 per month.</w:t>
      </w:r>
    </w:p>
    <w:p w14:paraId="391D2AB6"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are expected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prices, not their actual prices. Some budget energy-monitoring SmartThings compatible devices are already available in the UK market, meaning </w:t>
      </w:r>
      <w:proofErr w:type="spellStart"/>
      <w:r>
        <w:rPr>
          <w:rFonts w:ascii="Times New Roman" w:eastAsia="Times New Roman" w:hAnsi="Times New Roman" w:cs="Times New Roman"/>
          <w:sz w:val="24"/>
          <w:szCs w:val="24"/>
        </w:rPr>
        <w:t>EcoFit's</w:t>
      </w:r>
      <w:proofErr w:type="spellEnd"/>
      <w:r>
        <w:rPr>
          <w:rFonts w:ascii="Times New Roman" w:eastAsia="Times New Roman" w:hAnsi="Times New Roman" w:cs="Times New Roman"/>
          <w:sz w:val="24"/>
          <w:szCs w:val="24"/>
        </w:rPr>
        <w:t xml:space="preserve"> low margin smart plugs cannot be sold at a premium for only adding smart control features. SmartThings compatible devices are already available in the UK market at low prices. The bundle </w:t>
      </w:r>
      <w:r>
        <w:rPr>
          <w:rFonts w:ascii="Times New Roman" w:eastAsia="Times New Roman" w:hAnsi="Times New Roman" w:cs="Times New Roman"/>
          <w:sz w:val="24"/>
          <w:szCs w:val="24"/>
        </w:rPr>
        <w:lastRenderedPageBreak/>
        <w:t>must offer sensors, ecosystem integration, energy reporting, automation, and Samsung customer support.</w:t>
      </w:r>
    </w:p>
    <w:p w14:paraId="2EFC4975"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paying customers would expect energy monitoring and control features,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would not stand to benefit from charging a subscription. High subscription costs would also stand to negatively impact customer adoption of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(Valencia-Arias et al., 2023).</w:t>
      </w:r>
    </w:p>
    <w:p w14:paraId="1F9ACFF8" w14:textId="77777777" w:rsidR="000C3209" w:rsidRDefault="005A2772">
      <w:pPr>
        <w:pStyle w:val="Heading3"/>
        <w:keepNext w:val="0"/>
        <w:keepLines w:val="0"/>
        <w:jc w:val="both"/>
        <w:rPr>
          <w:rFonts w:ascii="Times New Roman" w:eastAsia="Times New Roman" w:hAnsi="Times New Roman" w:cs="Times New Roman"/>
          <w:color w:val="000000"/>
          <w:sz w:val="24"/>
          <w:szCs w:val="24"/>
        </w:rPr>
      </w:pPr>
      <w:bookmarkStart w:id="10" w:name="_j5pxuohuzusa" w:colFirst="0" w:colLast="0"/>
      <w:bookmarkEnd w:id="10"/>
      <w:r>
        <w:rPr>
          <w:rFonts w:ascii="Times New Roman" w:eastAsia="Times New Roman" w:hAnsi="Times New Roman" w:cs="Times New Roman"/>
          <w:b/>
          <w:bCs/>
          <w:color w:val="000000"/>
          <w:sz w:val="24"/>
          <w:szCs w:val="24"/>
        </w:rPr>
        <w:t>3.3 Place</w:t>
      </w:r>
    </w:p>
    <w:p w14:paraId="112914FE" w14:textId="77777777" w:rsidR="000C3209" w:rsidRDefault="005A2772">
      <w:pPr>
        <w:spacing w:before="240"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will implement a distribution model that relies on a mix of Samsung owned online and bricks and mortar stores, including third party stores. Main focus will be on purchases made via Samsung.com, the Samsung Shop App, Samsung Experience Stores, and established electronics retailers like Currys. Samsung has full control of online sales via the UK site, Shop App, and Experience Stores, with click-and-collect in some locations. Currys has a solid foundation to sell both Samsung's range and SmartThings compatib</w:t>
      </w:r>
      <w:r>
        <w:rPr>
          <w:rFonts w:ascii="Times New Roman" w:eastAsia="Times New Roman" w:hAnsi="Times New Roman" w:cs="Times New Roman"/>
          <w:sz w:val="24"/>
          <w:szCs w:val="24"/>
        </w:rPr>
        <w:t>le smart-home devices.</w:t>
      </w:r>
    </w:p>
    <w:p w14:paraId="70171B14"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comfortable with smart-home systems can complete their purchases online, while customers with less confidence in the systems can receive assistance with their purchase in a store. Research from Yin et al. (2022) shows that effective omnichannel retailing integrates, interacts with, and individualizes, and can bolster the brand experience and customer retention.</w:t>
      </w:r>
    </w:p>
    <w:p w14:paraId="4176C10E"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11" w:name="_vb62dvratxsw" w:colFirst="0" w:colLast="0"/>
      <w:bookmarkEnd w:id="11"/>
      <w:r>
        <w:rPr>
          <w:rFonts w:ascii="Times New Roman" w:eastAsia="Times New Roman" w:hAnsi="Times New Roman" w:cs="Times New Roman"/>
          <w:b/>
          <w:bCs/>
          <w:color w:val="000000"/>
          <w:sz w:val="24"/>
          <w:szCs w:val="24"/>
        </w:rPr>
        <w:t>3.4 Promotion</w:t>
      </w:r>
    </w:p>
    <w:p w14:paraId="03D91A6B"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Reinforce the idea that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Smart can help customers save energy without asking them to buy a bunch of new stuff. Tagline: “Make the home you already own smarter.”</w:t>
      </w:r>
    </w:p>
    <w:p w14:paraId="3AD736AA"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this campaign, use social media, all of Samsung’s digital properties, communications via the SmartThings app, YouTube to show product examples, search ads, point of purchase displays, PR work, and more. In the Customer Journey, digital channels should be used in a coordinated fashion. Separating them and using them for each promotional activity is less effective (Chaffey and Ellis-Chadwick, 2022).</w:t>
      </w:r>
    </w:p>
    <w:p w14:paraId="6D58EFA5"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being “green” is good, stick to the truth and the facts. In the UK, the CMA (2021) says that if companies promote their products as doing something for the environment, there has to be proof and they can’t hide stuff. So instead of saying that all appliances become energy saving, say that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“helps identify and reduce avoidable electricity use.” Show that it is easy to save money and time instead of vague “green” stuff.</w:t>
      </w:r>
    </w:p>
    <w:p w14:paraId="07EE8F9F"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12" w:name="_i7ek5qz3irps" w:colFirst="0" w:colLast="0"/>
      <w:bookmarkEnd w:id="12"/>
      <w:r>
        <w:rPr>
          <w:rFonts w:ascii="Times New Roman" w:eastAsia="Times New Roman" w:hAnsi="Times New Roman" w:cs="Times New Roman"/>
          <w:b/>
          <w:bCs/>
          <w:color w:val="000000"/>
          <w:sz w:val="24"/>
          <w:szCs w:val="24"/>
        </w:rPr>
        <w:t>3.5 People</w:t>
      </w:r>
    </w:p>
    <w:p w14:paraId="660871D8"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is a technology product, the people remain central because the customer may need assistance with the purchase, installation, troubleshooting, and interpreting the energy data. This </w:t>
      </w:r>
      <w:r>
        <w:rPr>
          <w:rFonts w:ascii="Times New Roman" w:eastAsia="Times New Roman" w:hAnsi="Times New Roman" w:cs="Times New Roman"/>
          <w:sz w:val="24"/>
          <w:szCs w:val="24"/>
        </w:rPr>
        <w:lastRenderedPageBreak/>
        <w:t>includes the Samsung customer support teams, Experience Store advisers, retailer staff, technical specialists, and authorized installers.</w:t>
      </w:r>
    </w:p>
    <w:p w14:paraId="6D045650"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Wirtz and Lovelock (2022) indicate that the service quality and the customer’s perception of the organization, to a large extent, depend on the employees that the customer encounters first. For this reason, personnel should be trained about the operation of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the supported appliances, the connections, the privacy and the limitations of the energy report and the sustainability aspect.</w:t>
      </w:r>
    </w:p>
    <w:p w14:paraId="5A703C03"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even more vital, since it is known that SmartThings interoperability may differ between devices, countries, and technical contexts. For this reason, staff should refrain from giving any assurances of complete interoperability. The Samsung Experience Stores, provide both expertise and technical support, and therefore could provide an existing service for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w:t>
      </w:r>
    </w:p>
    <w:p w14:paraId="1EBB3029" w14:textId="77777777" w:rsidR="000C3209" w:rsidRDefault="005A2772">
      <w:pPr>
        <w:pStyle w:val="Heading3"/>
        <w:keepNext w:val="0"/>
        <w:keepLines w:val="0"/>
        <w:jc w:val="both"/>
        <w:rPr>
          <w:rFonts w:ascii="Times New Roman" w:eastAsia="Times New Roman" w:hAnsi="Times New Roman" w:cs="Times New Roman"/>
          <w:color w:val="000000"/>
          <w:sz w:val="24"/>
          <w:szCs w:val="24"/>
        </w:rPr>
      </w:pPr>
      <w:bookmarkStart w:id="13" w:name="_8x6pkzgvz1w2" w:colFirst="0" w:colLast="0"/>
      <w:bookmarkEnd w:id="13"/>
      <w:r>
        <w:rPr>
          <w:rFonts w:ascii="Times New Roman" w:eastAsia="Times New Roman" w:hAnsi="Times New Roman" w:cs="Times New Roman"/>
          <w:b/>
          <w:bCs/>
          <w:color w:val="000000"/>
          <w:sz w:val="24"/>
          <w:szCs w:val="24"/>
        </w:rPr>
        <w:t>3.6 Process</w:t>
      </w:r>
    </w:p>
    <w:p w14:paraId="0E334C0C"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customer process aims to reduce the technical hurdles when using the service.</w:t>
      </w:r>
    </w:p>
    <w:p w14:paraId="60F90FD8" w14:textId="77777777" w:rsidR="000C3209" w:rsidRDefault="005A2772">
      <w:pPr>
        <w:spacing w:before="240" w:after="240"/>
        <w:jc w:val="both"/>
        <w:rPr>
          <w:rFonts w:ascii="Times New Roman" w:eastAsia="Times New Roman" w:hAnsi="Times New Roman" w:cs="Times New Roman"/>
          <w:sz w:val="24"/>
          <w:szCs w:val="24"/>
        </w:rPr>
      </w:pPr>
      <w:r>
        <w:rPr>
          <w:rFonts w:ascii="Cardo" w:eastAsia="Cardo" w:hAnsi="Cardo" w:cs="Cardo"/>
          <w:sz w:val="24"/>
          <w:szCs w:val="24"/>
        </w:rPr>
        <w:t>Purchase → Download / Access SmartThings → Connect Hub → Add Plugs / Sensors → Register Appliances → Monitor Usage → Create Routines → Receive Reports → Optimize Behavior</w:t>
      </w:r>
    </w:p>
    <w:p w14:paraId="4DE1C71B"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Complexity, perceived risk, cost and security concerns are the primary barriers to smart home technology adoption (Valencia-Arias et al., 2023). Strategic importance should be placed on Ease of use for the customer. Smart home device setup instructions should incorporate QR codes, as well as Plain English, with automated device discovery when technically feasible.</w:t>
      </w:r>
    </w:p>
    <w:p w14:paraId="69A03764"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Processes must communicate the limitations of safety and compatibility prior to the activation of automation. Privacy settings must allow users to have an understanding of and control over their energy data. Customers must utilize app-based troubleshooting, online service, and warranty fulfillment if a device fails. The seamless process integrates the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hardware into the energy-management solution and increases the potential for ongoing engagement with SmartThings.</w:t>
      </w:r>
    </w:p>
    <w:p w14:paraId="4279D656"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14" w:name="_iyjtexap4j85" w:colFirst="0" w:colLast="0"/>
      <w:bookmarkEnd w:id="14"/>
      <w:r>
        <w:rPr>
          <w:rFonts w:ascii="Times New Roman" w:eastAsia="Times New Roman" w:hAnsi="Times New Roman" w:cs="Times New Roman"/>
          <w:b/>
          <w:bCs/>
          <w:color w:val="000000"/>
          <w:sz w:val="24"/>
          <w:szCs w:val="24"/>
        </w:rPr>
        <w:t>3.7 Physical Evidence</w:t>
      </w:r>
    </w:p>
    <w:p w14:paraId="5720875E"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Physical evidence must uphold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as an advanced product of Samsung and not as a smart plug collection. This evidence includes Samsung’s understated branding on </w:t>
      </w:r>
      <w:proofErr w:type="spellStart"/>
      <w:r>
        <w:rPr>
          <w:rFonts w:ascii="Times New Roman" w:eastAsia="Times New Roman" w:hAnsi="Times New Roman" w:cs="Times New Roman"/>
          <w:sz w:val="24"/>
          <w:szCs w:val="24"/>
        </w:rPr>
        <w:t>EcoFit’s</w:t>
      </w:r>
      <w:proofErr w:type="spellEnd"/>
      <w:r>
        <w:rPr>
          <w:rFonts w:ascii="Times New Roman" w:eastAsia="Times New Roman" w:hAnsi="Times New Roman" w:cs="Times New Roman"/>
          <w:sz w:val="24"/>
          <w:szCs w:val="24"/>
        </w:rPr>
        <w:t xml:space="preserve"> packaging, along with product design uniformity, setup instructions, warranty documentation, certification, device registration (as evidenced by a device sign-up screen), dashboard user interface, and professional energy reports pluralize.</w:t>
      </w:r>
    </w:p>
    <w:p w14:paraId="15F61118"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 packaging eco-fit to support the wider sustainability stance. The Samsung 2026 Sustainability Report states that the company strives for increased resource circularity and that plastic within </w:t>
      </w:r>
      <w:r>
        <w:rPr>
          <w:rFonts w:ascii="Times New Roman" w:eastAsia="Times New Roman" w:hAnsi="Times New Roman" w:cs="Times New Roman"/>
          <w:sz w:val="24"/>
          <w:szCs w:val="24"/>
        </w:rPr>
        <w:lastRenderedPageBreak/>
        <w:t xml:space="preserve">Samsung’s Device </w:t>
      </w:r>
      <w:proofErr w:type="spellStart"/>
      <w:r>
        <w:rPr>
          <w:rFonts w:ascii="Times New Roman" w:eastAsia="Times New Roman" w:hAnsi="Times New Roman" w:cs="Times New Roman"/>
          <w:sz w:val="24"/>
          <w:szCs w:val="24"/>
        </w:rPr>
        <w:t>eXperience</w:t>
      </w:r>
      <w:proofErr w:type="spellEnd"/>
      <w:r>
        <w:rPr>
          <w:rFonts w:ascii="Times New Roman" w:eastAsia="Times New Roman" w:hAnsi="Times New Roman" w:cs="Times New Roman"/>
          <w:sz w:val="24"/>
          <w:szCs w:val="24"/>
        </w:rPr>
        <w:t xml:space="preserve"> products has become more recycled. Sustainability across a product’s lifespan from sourcing through to use and end-of-life has circularity at the core of Samsung’s product-lifecycle.</w:t>
      </w:r>
    </w:p>
    <w:p w14:paraId="1BFA876F" w14:textId="77777777" w:rsidR="000C3209" w:rsidRDefault="005A2772">
      <w:pPr>
        <w:spacing w:after="80"/>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59C3A6F7" wp14:editId="41E93071">
            <wp:extent cx="5867400" cy="3280383"/>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867400" cy="3280383"/>
                    </a:xfrm>
                    <a:prstGeom prst="rect">
                      <a:avLst/>
                    </a:prstGeom>
                    <a:ln/>
                  </pic:spPr>
                </pic:pic>
              </a:graphicData>
            </a:graphic>
          </wp:inline>
        </w:drawing>
      </w:r>
    </w:p>
    <w:p w14:paraId="752A6C43" w14:textId="77777777" w:rsidR="000C3209" w:rsidRDefault="005A2772">
      <w:pPr>
        <w:spacing w:after="8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3.1: Proposed 7Ps Marketing Mix for SmartThings </w:t>
      </w:r>
      <w:proofErr w:type="spellStart"/>
      <w:r>
        <w:rPr>
          <w:rFonts w:ascii="Times New Roman" w:eastAsia="Times New Roman" w:hAnsi="Times New Roman" w:cs="Times New Roman"/>
          <w:b/>
          <w:bCs/>
          <w:sz w:val="24"/>
          <w:szCs w:val="24"/>
        </w:rPr>
        <w:t>EcoFit</w:t>
      </w:r>
      <w:proofErr w:type="spellEnd"/>
    </w:p>
    <w:p w14:paraId="7788365B" w14:textId="77777777" w:rsidR="000C3209" w:rsidRDefault="005A2772">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Made.</w:t>
      </w:r>
    </w:p>
    <w:p w14:paraId="3F9A302D" w14:textId="77777777" w:rsidR="000C3209" w:rsidRDefault="005A2772">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9F4294E" wp14:editId="16E16F67">
            <wp:extent cx="5100638" cy="2509514"/>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t="15475"/>
                    <a:stretch>
                      <a:fillRect/>
                    </a:stretch>
                  </pic:blipFill>
                  <pic:spPr>
                    <a:xfrm>
                      <a:off x="0" y="0"/>
                      <a:ext cx="5100638" cy="2509514"/>
                    </a:xfrm>
                    <a:prstGeom prst="rect">
                      <a:avLst/>
                    </a:prstGeom>
                    <a:ln/>
                  </pic:spPr>
                </pic:pic>
              </a:graphicData>
            </a:graphic>
          </wp:inline>
        </w:drawing>
      </w:r>
    </w:p>
    <w:p w14:paraId="19371693" w14:textId="77777777" w:rsidR="000C3209" w:rsidRDefault="005A2772">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3.2: Samsung Circular Economy Lifecycle</w:t>
      </w:r>
    </w:p>
    <w:p w14:paraId="7169D247" w14:textId="77777777" w:rsidR="000C3209" w:rsidRDefault="005A2772">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ASamsung</w:t>
      </w:r>
      <w:proofErr w:type="spellEnd"/>
      <w:r>
        <w:rPr>
          <w:rFonts w:ascii="Times New Roman" w:eastAsia="Times New Roman" w:hAnsi="Times New Roman" w:cs="Times New Roman"/>
          <w:sz w:val="24"/>
          <w:szCs w:val="24"/>
        </w:rPr>
        <w:t xml:space="preserve"> Electronics (2026a), </w:t>
      </w:r>
      <w:r>
        <w:rPr>
          <w:rFonts w:ascii="Times New Roman" w:eastAsia="Times New Roman" w:hAnsi="Times New Roman" w:cs="Times New Roman"/>
          <w:i/>
          <w:iCs/>
          <w:sz w:val="24"/>
          <w:szCs w:val="24"/>
        </w:rPr>
        <w:t>Samsung Electronics Sustainability Report 2026</w:t>
      </w:r>
      <w:r>
        <w:rPr>
          <w:rFonts w:ascii="Times New Roman" w:eastAsia="Times New Roman" w:hAnsi="Times New Roman" w:cs="Times New Roman"/>
          <w:sz w:val="24"/>
          <w:szCs w:val="24"/>
        </w:rPr>
        <w:t xml:space="preserve">. </w:t>
      </w:r>
    </w:p>
    <w:p w14:paraId="03B4D593" w14:textId="77777777" w:rsidR="000C3209" w:rsidRDefault="005A2772">
      <w:pPr>
        <w:pStyle w:val="Heading2"/>
        <w:keepNext w:val="0"/>
        <w:keepLines w:val="0"/>
        <w:spacing w:before="480"/>
        <w:jc w:val="both"/>
        <w:rPr>
          <w:rFonts w:ascii="Times New Roman" w:eastAsia="Times New Roman" w:hAnsi="Times New Roman" w:cs="Times New Roman"/>
          <w:b/>
          <w:bCs/>
          <w:sz w:val="24"/>
          <w:szCs w:val="24"/>
        </w:rPr>
      </w:pPr>
      <w:bookmarkStart w:id="15" w:name="_1tvi1dtnnzt4" w:colFirst="0" w:colLast="0"/>
      <w:bookmarkEnd w:id="15"/>
      <w:r>
        <w:rPr>
          <w:rFonts w:ascii="Times New Roman" w:eastAsia="Times New Roman" w:hAnsi="Times New Roman" w:cs="Times New Roman"/>
          <w:b/>
          <w:bCs/>
          <w:sz w:val="24"/>
          <w:szCs w:val="24"/>
        </w:rPr>
        <w:lastRenderedPageBreak/>
        <w:t>Element 4: Reflection</w:t>
      </w:r>
    </w:p>
    <w:p w14:paraId="4B720B8B"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16" w:name="_8wtkogneq7ai" w:colFirst="0" w:colLast="0"/>
      <w:bookmarkEnd w:id="16"/>
      <w:r>
        <w:rPr>
          <w:rFonts w:ascii="Times New Roman" w:eastAsia="Times New Roman" w:hAnsi="Times New Roman" w:cs="Times New Roman"/>
          <w:b/>
          <w:bCs/>
          <w:color w:val="000000"/>
          <w:sz w:val="24"/>
          <w:szCs w:val="24"/>
        </w:rPr>
        <w:t>4.1 Experience Developing the Brand Extension</w:t>
      </w:r>
    </w:p>
    <w:p w14:paraId="7131B49A"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SmartThings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Kit has also developed my understanding of brand development. Sustainable brand development is not only an environmental consideration in product development, but also the creation of customer value, brand fit and solution to a market gap. I found this especially important when I began to understand SmartThings, since Samsung already offered users energy control and automation with SmartThings Energy.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I had to make sure that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was not just a new product for an existing feature. Samsung says t</w:t>
      </w:r>
      <w:r>
        <w:rPr>
          <w:rFonts w:ascii="Times New Roman" w:eastAsia="Times New Roman" w:hAnsi="Times New Roman" w:cs="Times New Roman"/>
          <w:sz w:val="24"/>
          <w:szCs w:val="24"/>
        </w:rPr>
        <w:t>hat SmartThings Energy has the ability to monitor consumption and send alerts, but the feature is dependent on the connected devices and the situation of the SmartThings.</w:t>
      </w:r>
    </w:p>
    <w:p w14:paraId="1AEA615F"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biggest educational opportunity was for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to create a retrofit kit for older, working appliances. This required the assessment of product feasibility and usability and consideration of consumers and sustainability, rather than making unfounded claims about the environment. Research on the adoption of Smart Homes showed me that perceived safety, risk, and usefulness may influence the acceptance of Smart Home solutions (Valencia-Arias et al., 2023).</w:t>
      </w:r>
    </w:p>
    <w:p w14:paraId="2CA642DE"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17" w:name="_xqrqs7yrvn0r" w:colFirst="0" w:colLast="0"/>
      <w:bookmarkEnd w:id="17"/>
      <w:r>
        <w:rPr>
          <w:rFonts w:ascii="Times New Roman" w:eastAsia="Times New Roman" w:hAnsi="Times New Roman" w:cs="Times New Roman"/>
          <w:b/>
          <w:bCs/>
          <w:color w:val="000000"/>
          <w:sz w:val="24"/>
          <w:szCs w:val="24"/>
        </w:rPr>
        <w:t>4.2 Poster Preparation and Presentation Experience</w:t>
      </w:r>
    </w:p>
    <w:p w14:paraId="016011D3"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involved in the preparation of the poster helped me convey detailed marketing analysis in a concise manner through a marketing poster and taught me what the essential elements are. The most difficult part was determining what was essential, since the market problem and the proposed solution with customer value and sustainability had to be included in a clear and concise manner.</w:t>
      </w:r>
    </w:p>
    <w:p w14:paraId="5D987097" w14:textId="77777777" w:rsidR="000C3209" w:rsidRDefault="005A2772">
      <w:pPr>
        <w:pStyle w:val="Heading3"/>
        <w:keepNext w:val="0"/>
        <w:keepLines w:val="0"/>
        <w:jc w:val="both"/>
        <w:rPr>
          <w:rFonts w:ascii="Times New Roman" w:eastAsia="Times New Roman" w:hAnsi="Times New Roman" w:cs="Times New Roman"/>
          <w:color w:val="000000"/>
          <w:sz w:val="24"/>
          <w:szCs w:val="24"/>
        </w:rPr>
      </w:pPr>
      <w:bookmarkStart w:id="18" w:name="_uddd777d01kx" w:colFirst="0" w:colLast="0"/>
      <w:bookmarkEnd w:id="18"/>
      <w:r>
        <w:rPr>
          <w:rFonts w:ascii="Times New Roman" w:eastAsia="Times New Roman" w:hAnsi="Times New Roman" w:cs="Times New Roman"/>
          <w:b/>
          <w:bCs/>
          <w:color w:val="000000"/>
          <w:sz w:val="24"/>
          <w:szCs w:val="24"/>
        </w:rPr>
        <w:t>4.3 Skills, Knowledge and Professional Development</w:t>
      </w:r>
    </w:p>
    <w:p w14:paraId="3C243FC0"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project further developed some skills I will use in my future professional practice. First, this project developed my ability to research and think critically. I had to look at Samsung's capabilities as they currently are and look at what I had suggested and determine if a legitimate market gap existed. This project also developed my ability to use the 7Ps, segmentation, targeting, differentiation, and positioning. These concepts are ideas I have learned as part of my marketing education and have been </w:t>
      </w:r>
      <w:r>
        <w:rPr>
          <w:rFonts w:ascii="Times New Roman" w:eastAsia="Times New Roman" w:hAnsi="Times New Roman" w:cs="Times New Roman"/>
          <w:sz w:val="24"/>
          <w:szCs w:val="24"/>
        </w:rPr>
        <w:t>able to apply to actual concepts in business practice.</w:t>
      </w:r>
    </w:p>
    <w:p w14:paraId="55AE8775"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this project developed my ability to identify what responsible sustainability communication is. Initially, it would have been easy to say that </w:t>
      </w:r>
      <w:proofErr w:type="spellStart"/>
      <w:r>
        <w:rPr>
          <w:rFonts w:ascii="Times New Roman" w:eastAsia="Times New Roman" w:hAnsi="Times New Roman" w:cs="Times New Roman"/>
          <w:sz w:val="24"/>
          <w:szCs w:val="24"/>
        </w:rPr>
        <w:t>EcoFit</w:t>
      </w:r>
      <w:proofErr w:type="spellEnd"/>
      <w:r>
        <w:rPr>
          <w:rFonts w:ascii="Times New Roman" w:eastAsia="Times New Roman" w:hAnsi="Times New Roman" w:cs="Times New Roman"/>
          <w:sz w:val="24"/>
          <w:szCs w:val="24"/>
        </w:rPr>
        <w:t xml:space="preserve"> made older appliances more energy efficient. However, I learned the difference between efficiency and simply reducing the energy consumption and the costs to the user of the older appliances. This is especially pertinent since the CMA expresses that clear, accurate, and evidence supported environmental claims are required of the CMA's standards (CMA, 2021).</w:t>
      </w:r>
    </w:p>
    <w:p w14:paraId="238F8420" w14:textId="77777777" w:rsidR="000C3209" w:rsidRDefault="005A2772">
      <w:pPr>
        <w:pStyle w:val="Heading3"/>
        <w:keepNext w:val="0"/>
        <w:keepLines w:val="0"/>
        <w:jc w:val="both"/>
        <w:rPr>
          <w:rFonts w:ascii="Times New Roman" w:eastAsia="Times New Roman" w:hAnsi="Times New Roman" w:cs="Times New Roman"/>
          <w:b/>
          <w:bCs/>
          <w:color w:val="000000"/>
          <w:sz w:val="24"/>
          <w:szCs w:val="24"/>
        </w:rPr>
      </w:pPr>
      <w:bookmarkStart w:id="19" w:name="_16p55sjc4hrm" w:colFirst="0" w:colLast="0"/>
      <w:bookmarkEnd w:id="19"/>
      <w:r>
        <w:rPr>
          <w:rFonts w:ascii="Times New Roman" w:eastAsia="Times New Roman" w:hAnsi="Times New Roman" w:cs="Times New Roman"/>
          <w:b/>
          <w:bCs/>
          <w:color w:val="000000"/>
          <w:sz w:val="24"/>
          <w:szCs w:val="24"/>
        </w:rPr>
        <w:lastRenderedPageBreak/>
        <w:t>4.4 Areas for Future Improvement</w:t>
      </w:r>
    </w:p>
    <w:p w14:paraId="53CC7353"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my future projects, I will carry out market and competitor analysis early in the design process, rather than relying on the originality test of the product idea to determine the presence of a market gap. This step would streamline the design process and eliminate the unnecessary risks of developing redundant functions.</w:t>
      </w:r>
    </w:p>
    <w:p w14:paraId="65711DBA"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quality of the product offer would benefit from preliminary consumer research. Such research would likely improve the product’s functional utility as well as pricing and offer elements. I would also improve the quality of the pitch through practice and timed peer feedback to improve the delivery and persuasiveness of the presentation.</w:t>
      </w:r>
    </w:p>
    <w:p w14:paraId="3F8E5BF6" w14:textId="77777777" w:rsidR="000C3209" w:rsidRDefault="005A2772">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important addition to my process would be to document all stages of the design process and product development. According to Heymann and colleagues (2022), this type of documentation and structured follow-up of design and learning processes help develop employability skills. After these insights, I would view the documentation and follow-up of a design process as a step to highlight project weaknesses and carry out the necessary adjustments to improve my performance in my future professional roles.</w:t>
      </w:r>
    </w:p>
    <w:p w14:paraId="536ABBB7" w14:textId="77777777" w:rsidR="000C3209" w:rsidRDefault="000C3209">
      <w:pPr>
        <w:spacing w:before="240" w:after="240"/>
        <w:jc w:val="both"/>
        <w:rPr>
          <w:rFonts w:ascii="Times New Roman" w:eastAsia="Times New Roman" w:hAnsi="Times New Roman" w:cs="Times New Roman"/>
          <w:sz w:val="24"/>
          <w:szCs w:val="24"/>
        </w:rPr>
      </w:pPr>
    </w:p>
    <w:p w14:paraId="40B04308" w14:textId="77777777" w:rsidR="000C3209" w:rsidRDefault="000C3209">
      <w:pPr>
        <w:spacing w:before="240" w:after="240"/>
        <w:jc w:val="both"/>
        <w:rPr>
          <w:rFonts w:ascii="Times New Roman" w:eastAsia="Times New Roman" w:hAnsi="Times New Roman" w:cs="Times New Roman"/>
          <w:sz w:val="24"/>
          <w:szCs w:val="24"/>
        </w:rPr>
      </w:pPr>
    </w:p>
    <w:p w14:paraId="450864CB" w14:textId="77777777" w:rsidR="000C3209" w:rsidRDefault="000C3209">
      <w:pPr>
        <w:spacing w:before="240" w:after="240"/>
        <w:jc w:val="both"/>
        <w:rPr>
          <w:rFonts w:ascii="Times New Roman" w:eastAsia="Times New Roman" w:hAnsi="Times New Roman" w:cs="Times New Roman"/>
          <w:sz w:val="24"/>
          <w:szCs w:val="24"/>
        </w:rPr>
      </w:pPr>
    </w:p>
    <w:p w14:paraId="6E0FA63F" w14:textId="77777777" w:rsidR="000C3209" w:rsidRDefault="000C3209">
      <w:pPr>
        <w:spacing w:before="240" w:after="240"/>
        <w:jc w:val="both"/>
        <w:rPr>
          <w:rFonts w:ascii="Times New Roman" w:eastAsia="Times New Roman" w:hAnsi="Times New Roman" w:cs="Times New Roman"/>
          <w:sz w:val="24"/>
          <w:szCs w:val="24"/>
        </w:rPr>
      </w:pPr>
    </w:p>
    <w:p w14:paraId="6969AB4E" w14:textId="77777777" w:rsidR="000C3209" w:rsidRDefault="000C3209">
      <w:pPr>
        <w:spacing w:before="240" w:after="240"/>
        <w:jc w:val="both"/>
        <w:rPr>
          <w:rFonts w:ascii="Times New Roman" w:eastAsia="Times New Roman" w:hAnsi="Times New Roman" w:cs="Times New Roman"/>
          <w:sz w:val="24"/>
          <w:szCs w:val="24"/>
        </w:rPr>
      </w:pPr>
    </w:p>
    <w:p w14:paraId="15DDC93F" w14:textId="77777777" w:rsidR="000C3209" w:rsidRDefault="000C3209">
      <w:pPr>
        <w:spacing w:before="240" w:after="240"/>
        <w:jc w:val="both"/>
        <w:rPr>
          <w:rFonts w:ascii="Times New Roman" w:eastAsia="Times New Roman" w:hAnsi="Times New Roman" w:cs="Times New Roman"/>
          <w:sz w:val="24"/>
          <w:szCs w:val="24"/>
        </w:rPr>
      </w:pPr>
    </w:p>
    <w:p w14:paraId="787E3DAA" w14:textId="77777777" w:rsidR="000C3209" w:rsidRDefault="000C3209">
      <w:pPr>
        <w:spacing w:before="240" w:after="240"/>
        <w:jc w:val="both"/>
        <w:rPr>
          <w:rFonts w:ascii="Times New Roman" w:eastAsia="Times New Roman" w:hAnsi="Times New Roman" w:cs="Times New Roman"/>
          <w:sz w:val="24"/>
          <w:szCs w:val="24"/>
        </w:rPr>
      </w:pPr>
    </w:p>
    <w:p w14:paraId="1E10A369" w14:textId="77777777" w:rsidR="000C3209" w:rsidRDefault="000C3209">
      <w:pPr>
        <w:spacing w:before="240" w:after="240"/>
        <w:jc w:val="both"/>
        <w:rPr>
          <w:rFonts w:ascii="Times New Roman" w:eastAsia="Times New Roman" w:hAnsi="Times New Roman" w:cs="Times New Roman"/>
          <w:sz w:val="24"/>
          <w:szCs w:val="24"/>
        </w:rPr>
      </w:pPr>
    </w:p>
    <w:p w14:paraId="7F59C856" w14:textId="77777777" w:rsidR="000C3209" w:rsidRDefault="000C3209">
      <w:pPr>
        <w:spacing w:before="240" w:after="240"/>
        <w:jc w:val="both"/>
        <w:rPr>
          <w:rFonts w:ascii="Times New Roman" w:eastAsia="Times New Roman" w:hAnsi="Times New Roman" w:cs="Times New Roman"/>
          <w:sz w:val="24"/>
          <w:szCs w:val="24"/>
        </w:rPr>
      </w:pPr>
    </w:p>
    <w:p w14:paraId="3267793D" w14:textId="77777777" w:rsidR="000C3209" w:rsidRDefault="000C3209">
      <w:pPr>
        <w:spacing w:before="240" w:after="240"/>
        <w:jc w:val="both"/>
        <w:rPr>
          <w:rFonts w:ascii="Times New Roman" w:eastAsia="Times New Roman" w:hAnsi="Times New Roman" w:cs="Times New Roman"/>
          <w:sz w:val="24"/>
          <w:szCs w:val="24"/>
        </w:rPr>
      </w:pPr>
    </w:p>
    <w:p w14:paraId="46A2E583" w14:textId="77777777" w:rsidR="000C3209" w:rsidRDefault="000C3209">
      <w:pPr>
        <w:spacing w:before="240" w:after="240"/>
        <w:jc w:val="both"/>
        <w:rPr>
          <w:rFonts w:ascii="Times New Roman" w:eastAsia="Times New Roman" w:hAnsi="Times New Roman" w:cs="Times New Roman"/>
          <w:sz w:val="24"/>
          <w:szCs w:val="24"/>
        </w:rPr>
      </w:pPr>
    </w:p>
    <w:p w14:paraId="724BAFF3" w14:textId="77777777" w:rsidR="000C3209" w:rsidRDefault="000C3209">
      <w:pPr>
        <w:spacing w:before="240" w:after="240"/>
        <w:jc w:val="both"/>
        <w:rPr>
          <w:rFonts w:ascii="Times New Roman" w:eastAsia="Times New Roman" w:hAnsi="Times New Roman" w:cs="Times New Roman"/>
          <w:sz w:val="24"/>
          <w:szCs w:val="24"/>
        </w:rPr>
      </w:pPr>
    </w:p>
    <w:p w14:paraId="5CA9E38E" w14:textId="77777777" w:rsidR="000C3209" w:rsidRDefault="000C3209">
      <w:pPr>
        <w:spacing w:before="240" w:after="240"/>
        <w:jc w:val="both"/>
        <w:rPr>
          <w:rFonts w:ascii="Times New Roman" w:eastAsia="Times New Roman" w:hAnsi="Times New Roman" w:cs="Times New Roman"/>
          <w:sz w:val="24"/>
          <w:szCs w:val="24"/>
        </w:rPr>
      </w:pPr>
    </w:p>
    <w:p w14:paraId="7C8B962C" w14:textId="77777777" w:rsidR="000C3209" w:rsidRDefault="005A2772">
      <w:pPr>
        <w:pStyle w:val="Heading2"/>
        <w:keepNext w:val="0"/>
        <w:keepLines w:val="0"/>
        <w:spacing w:after="80"/>
        <w:jc w:val="both"/>
        <w:rPr>
          <w:rFonts w:ascii="Times New Roman" w:eastAsia="Times New Roman" w:hAnsi="Times New Roman" w:cs="Times New Roman"/>
          <w:b/>
          <w:bCs/>
          <w:sz w:val="24"/>
          <w:szCs w:val="24"/>
        </w:rPr>
      </w:pPr>
      <w:bookmarkStart w:id="20" w:name="_lxtef4uqzvi4" w:colFirst="0" w:colLast="0"/>
      <w:bookmarkEnd w:id="20"/>
      <w:r>
        <w:rPr>
          <w:rFonts w:ascii="Times New Roman" w:eastAsia="Times New Roman" w:hAnsi="Times New Roman" w:cs="Times New Roman"/>
          <w:b/>
          <w:bCs/>
          <w:sz w:val="24"/>
          <w:szCs w:val="24"/>
        </w:rPr>
        <w:lastRenderedPageBreak/>
        <w:t>References:</w:t>
      </w:r>
    </w:p>
    <w:p w14:paraId="120D2327" w14:textId="77777777" w:rsidR="000C3209" w:rsidRDefault="005A2772">
      <w:pPr>
        <w:numPr>
          <w:ilvl w:val="0"/>
          <w:numId w:val="1"/>
        </w:num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Chaffey, D. and Ellis-Chadwick, F. (2022) </w:t>
      </w:r>
      <w:r>
        <w:rPr>
          <w:rFonts w:ascii="Times New Roman" w:eastAsia="Times New Roman" w:hAnsi="Times New Roman" w:cs="Times New Roman"/>
          <w:i/>
          <w:iCs/>
          <w:sz w:val="24"/>
          <w:szCs w:val="24"/>
        </w:rPr>
        <w:t>Digital Marketing: Strategy, Implementation and Practice</w:t>
      </w:r>
      <w:r>
        <w:rPr>
          <w:rFonts w:ascii="Times New Roman" w:eastAsia="Times New Roman" w:hAnsi="Times New Roman" w:cs="Times New Roman"/>
          <w:sz w:val="24"/>
          <w:szCs w:val="24"/>
        </w:rPr>
        <w:t xml:space="preserve">. 8th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Harlow: Pearson.</w:t>
      </w:r>
    </w:p>
    <w:p w14:paraId="1D0A4ABD"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Competition and Markets Authority (CMA) (2021) </w:t>
      </w:r>
      <w:r>
        <w:rPr>
          <w:rFonts w:ascii="Times New Roman" w:eastAsia="Times New Roman" w:hAnsi="Times New Roman" w:cs="Times New Roman"/>
          <w:i/>
          <w:iCs/>
          <w:sz w:val="24"/>
          <w:szCs w:val="24"/>
        </w:rPr>
        <w:t>Green Claims Code: Making Environmental Claims</w:t>
      </w:r>
      <w:r>
        <w:rPr>
          <w:rFonts w:ascii="Times New Roman" w:eastAsia="Times New Roman" w:hAnsi="Times New Roman" w:cs="Times New Roman"/>
          <w:sz w:val="24"/>
          <w:szCs w:val="24"/>
        </w:rPr>
        <w:t>. London: Competition and Markets Authority.</w:t>
      </w:r>
    </w:p>
    <w:p w14:paraId="2EE1F7A6"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Competition and Markets Authority (CMA) (2026) </w:t>
      </w:r>
      <w:r>
        <w:rPr>
          <w:rFonts w:ascii="Times New Roman" w:eastAsia="Times New Roman" w:hAnsi="Times New Roman" w:cs="Times New Roman"/>
          <w:i/>
          <w:iCs/>
          <w:sz w:val="24"/>
          <w:szCs w:val="24"/>
        </w:rPr>
        <w:t>Making Green Claims: Getting It Right, Across the Supply Chain</w:t>
      </w:r>
      <w:r>
        <w:rPr>
          <w:rFonts w:ascii="Times New Roman" w:eastAsia="Times New Roman" w:hAnsi="Times New Roman" w:cs="Times New Roman"/>
          <w:sz w:val="24"/>
          <w:szCs w:val="24"/>
        </w:rPr>
        <w:t>. London: Competition and Markets Authority.</w:t>
      </w:r>
    </w:p>
    <w:p w14:paraId="2DE65D9E"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Currys (2026) </w:t>
      </w:r>
      <w:r>
        <w:rPr>
          <w:rFonts w:ascii="Times New Roman" w:eastAsia="Times New Roman" w:hAnsi="Times New Roman" w:cs="Times New Roman"/>
          <w:i/>
          <w:iCs/>
          <w:sz w:val="24"/>
          <w:szCs w:val="24"/>
        </w:rPr>
        <w:t>Smart Plugs</w:t>
      </w:r>
      <w:r>
        <w:rPr>
          <w:rFonts w:ascii="Times New Roman" w:eastAsia="Times New Roman" w:hAnsi="Times New Roman" w:cs="Times New Roman"/>
          <w:sz w:val="24"/>
          <w:szCs w:val="24"/>
        </w:rPr>
        <w:t>. Currys UK.</w:t>
      </w:r>
    </w:p>
    <w:p w14:paraId="79A246B8"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Ferreira, L., Oliveira, T. and Neves, C. (2023) "Consumers’ intention to use and recommend smart home technologies: The role of environmental awareness", </w:t>
      </w:r>
      <w:r>
        <w:rPr>
          <w:rFonts w:ascii="Times New Roman" w:eastAsia="Times New Roman" w:hAnsi="Times New Roman" w:cs="Times New Roman"/>
          <w:i/>
          <w:iCs/>
          <w:sz w:val="24"/>
          <w:szCs w:val="24"/>
        </w:rPr>
        <w:t>Energy</w:t>
      </w:r>
      <w:r>
        <w:rPr>
          <w:rFonts w:ascii="Times New Roman" w:eastAsia="Times New Roman" w:hAnsi="Times New Roman" w:cs="Times New Roman"/>
          <w:sz w:val="24"/>
          <w:szCs w:val="24"/>
        </w:rPr>
        <w:t xml:space="preserve">, 263, 125814. </w:t>
      </w:r>
      <w:proofErr w:type="gramStart"/>
      <w:r>
        <w:rPr>
          <w:rFonts w:ascii="Times New Roman" w:eastAsia="Times New Roman" w:hAnsi="Times New Roman" w:cs="Times New Roman"/>
          <w:sz w:val="24"/>
          <w:szCs w:val="24"/>
        </w:rPr>
        <w:t>doi:10.1016/j.energy</w:t>
      </w:r>
      <w:proofErr w:type="gramEnd"/>
      <w:r>
        <w:rPr>
          <w:rFonts w:ascii="Times New Roman" w:eastAsia="Times New Roman" w:hAnsi="Times New Roman" w:cs="Times New Roman"/>
          <w:sz w:val="24"/>
          <w:szCs w:val="24"/>
        </w:rPr>
        <w:t>.2022.125814.</w:t>
      </w:r>
    </w:p>
    <w:p w14:paraId="617FF641"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Hesse, A., </w:t>
      </w:r>
      <w:proofErr w:type="spellStart"/>
      <w:r>
        <w:rPr>
          <w:rFonts w:ascii="Times New Roman" w:eastAsia="Times New Roman" w:hAnsi="Times New Roman" w:cs="Times New Roman"/>
          <w:sz w:val="24"/>
          <w:szCs w:val="24"/>
        </w:rPr>
        <w:t>Bündgen</w:t>
      </w:r>
      <w:proofErr w:type="spellEnd"/>
      <w:r>
        <w:rPr>
          <w:rFonts w:ascii="Times New Roman" w:eastAsia="Times New Roman" w:hAnsi="Times New Roman" w:cs="Times New Roman"/>
          <w:sz w:val="24"/>
          <w:szCs w:val="24"/>
        </w:rPr>
        <w:t xml:space="preserve">, K., Claren, S. and Frank, S. (2022) ‘Practices of brand extensions and how consumers respond to FMCG giants’ greening attempts’, </w:t>
      </w:r>
      <w:r>
        <w:rPr>
          <w:rFonts w:ascii="Times New Roman" w:eastAsia="Times New Roman" w:hAnsi="Times New Roman" w:cs="Times New Roman"/>
          <w:i/>
          <w:iCs/>
          <w:sz w:val="24"/>
          <w:szCs w:val="24"/>
        </w:rPr>
        <w:t>Journal of Brand Management</w:t>
      </w:r>
      <w:r>
        <w:rPr>
          <w:rFonts w:ascii="Times New Roman" w:eastAsia="Times New Roman" w:hAnsi="Times New Roman" w:cs="Times New Roman"/>
          <w:sz w:val="24"/>
          <w:szCs w:val="24"/>
        </w:rPr>
        <w:t>, 29(6), pp. 520–537. doi:10.1057/s41262-022-00274-w.</w:t>
      </w:r>
    </w:p>
    <w:p w14:paraId="05170DBC"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Heymann, P., </w:t>
      </w:r>
      <w:proofErr w:type="spellStart"/>
      <w:r>
        <w:rPr>
          <w:rFonts w:ascii="Times New Roman" w:eastAsia="Times New Roman" w:hAnsi="Times New Roman" w:cs="Times New Roman"/>
          <w:sz w:val="24"/>
          <w:szCs w:val="24"/>
        </w:rPr>
        <w:t>Bastiaens</w:t>
      </w:r>
      <w:proofErr w:type="spellEnd"/>
      <w:r>
        <w:rPr>
          <w:rFonts w:ascii="Times New Roman" w:eastAsia="Times New Roman" w:hAnsi="Times New Roman" w:cs="Times New Roman"/>
          <w:sz w:val="24"/>
          <w:szCs w:val="24"/>
        </w:rPr>
        <w:t xml:space="preserve">, E., Jansen, A., van Rosmalen, P. and </w:t>
      </w:r>
      <w:proofErr w:type="spellStart"/>
      <w:r>
        <w:rPr>
          <w:rFonts w:ascii="Times New Roman" w:eastAsia="Times New Roman" w:hAnsi="Times New Roman" w:cs="Times New Roman"/>
          <w:sz w:val="24"/>
          <w:szCs w:val="24"/>
        </w:rPr>
        <w:t>Beausaert</w:t>
      </w:r>
      <w:proofErr w:type="spellEnd"/>
      <w:r>
        <w:rPr>
          <w:rFonts w:ascii="Times New Roman" w:eastAsia="Times New Roman" w:hAnsi="Times New Roman" w:cs="Times New Roman"/>
          <w:sz w:val="24"/>
          <w:szCs w:val="24"/>
        </w:rPr>
        <w:t xml:space="preserve">, S. (2022) ‘A conceptual model of students’ reflective practice for the development of employability competences, supported by an online learning platform’, </w:t>
      </w:r>
      <w:r>
        <w:rPr>
          <w:rFonts w:ascii="Times New Roman" w:eastAsia="Times New Roman" w:hAnsi="Times New Roman" w:cs="Times New Roman"/>
          <w:i/>
          <w:iCs/>
          <w:sz w:val="24"/>
          <w:szCs w:val="24"/>
        </w:rPr>
        <w:t>Education + Training</w:t>
      </w:r>
      <w:r>
        <w:rPr>
          <w:rFonts w:ascii="Times New Roman" w:eastAsia="Times New Roman" w:hAnsi="Times New Roman" w:cs="Times New Roman"/>
          <w:sz w:val="24"/>
          <w:szCs w:val="24"/>
        </w:rPr>
        <w:t>, 64(3), pp. 380–397. doi:10.1108/ET-05-2021-0161.</w:t>
      </w:r>
    </w:p>
    <w:p w14:paraId="60768AE9"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Kotler, P., Keller, K.L. and Chernev, A. (2022) </w:t>
      </w:r>
      <w:r>
        <w:rPr>
          <w:rFonts w:ascii="Times New Roman" w:eastAsia="Times New Roman" w:hAnsi="Times New Roman" w:cs="Times New Roman"/>
          <w:i/>
          <w:iCs/>
          <w:sz w:val="24"/>
          <w:szCs w:val="24"/>
        </w:rPr>
        <w:t>Marketing Management</w:t>
      </w:r>
      <w:r>
        <w:rPr>
          <w:rFonts w:ascii="Times New Roman" w:eastAsia="Times New Roman" w:hAnsi="Times New Roman" w:cs="Times New Roman"/>
          <w:sz w:val="24"/>
          <w:szCs w:val="24"/>
        </w:rPr>
        <w:t xml:space="preserve">. 16th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Harlow: Pearson.</w:t>
      </w:r>
    </w:p>
    <w:p w14:paraId="3EBBED87"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Miller, E. and Konstantinou, I. (2022) ‘Using reflective, authentic assessments to embed employability skills in higher education’, </w:t>
      </w:r>
      <w:r>
        <w:rPr>
          <w:rFonts w:ascii="Times New Roman" w:eastAsia="Times New Roman" w:hAnsi="Times New Roman" w:cs="Times New Roman"/>
          <w:i/>
          <w:iCs/>
          <w:sz w:val="24"/>
          <w:szCs w:val="24"/>
        </w:rPr>
        <w:t>Journal of Work-Applied Management</w:t>
      </w:r>
      <w:r>
        <w:rPr>
          <w:rFonts w:ascii="Times New Roman" w:eastAsia="Times New Roman" w:hAnsi="Times New Roman" w:cs="Times New Roman"/>
          <w:sz w:val="24"/>
          <w:szCs w:val="24"/>
        </w:rPr>
        <w:t>, 14(1), pp. 4–17. doi:10.1108/JWAM-02-2021-0014.</w:t>
      </w:r>
    </w:p>
    <w:p w14:paraId="4A942890"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Ofgem (2026) </w:t>
      </w:r>
      <w:r>
        <w:rPr>
          <w:rFonts w:ascii="Times New Roman" w:eastAsia="Times New Roman" w:hAnsi="Times New Roman" w:cs="Times New Roman"/>
          <w:i/>
          <w:iCs/>
          <w:sz w:val="24"/>
          <w:szCs w:val="24"/>
        </w:rPr>
        <w:t>Energy Price Cap Unit Rates and Standing Charges</w:t>
      </w:r>
      <w:r>
        <w:rPr>
          <w:rFonts w:ascii="Times New Roman" w:eastAsia="Times New Roman" w:hAnsi="Times New Roman" w:cs="Times New Roman"/>
          <w:sz w:val="24"/>
          <w:szCs w:val="24"/>
        </w:rPr>
        <w:t>. London: Office of Gas and Electricity Markets.</w:t>
      </w:r>
    </w:p>
    <w:p w14:paraId="30E4F1F5"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Electronics (2026a) </w:t>
      </w:r>
      <w:r>
        <w:rPr>
          <w:rFonts w:ascii="Times New Roman" w:eastAsia="Times New Roman" w:hAnsi="Times New Roman" w:cs="Times New Roman"/>
          <w:i/>
          <w:iCs/>
          <w:sz w:val="24"/>
          <w:szCs w:val="24"/>
        </w:rPr>
        <w:t>Samsung Electronics Sustainability Report 2026</w:t>
      </w:r>
      <w:r>
        <w:rPr>
          <w:rFonts w:ascii="Times New Roman" w:eastAsia="Times New Roman" w:hAnsi="Times New Roman" w:cs="Times New Roman"/>
          <w:sz w:val="24"/>
          <w:szCs w:val="24"/>
        </w:rPr>
        <w:t>. Suwon: Samsung Electronics.</w:t>
      </w:r>
    </w:p>
    <w:p w14:paraId="5A230F15"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Electronics (2026b) </w:t>
      </w:r>
      <w:r>
        <w:rPr>
          <w:rFonts w:ascii="Times New Roman" w:eastAsia="Times New Roman" w:hAnsi="Times New Roman" w:cs="Times New Roman"/>
          <w:i/>
          <w:iCs/>
          <w:sz w:val="24"/>
          <w:szCs w:val="24"/>
        </w:rPr>
        <w:t>Samsung Electronics Releases 2026 Sustainability Report, Expanding Water Replenishment Efforts</w:t>
      </w:r>
      <w:r>
        <w:rPr>
          <w:rFonts w:ascii="Times New Roman" w:eastAsia="Times New Roman" w:hAnsi="Times New Roman" w:cs="Times New Roman"/>
          <w:sz w:val="24"/>
          <w:szCs w:val="24"/>
        </w:rPr>
        <w:t>. 26 June. Samsung Global Newsroom.</w:t>
      </w:r>
    </w:p>
    <w:p w14:paraId="0E06729F"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UK (2026a) </w:t>
      </w:r>
      <w:r>
        <w:rPr>
          <w:rFonts w:ascii="Times New Roman" w:eastAsia="Times New Roman" w:hAnsi="Times New Roman" w:cs="Times New Roman"/>
          <w:i/>
          <w:iCs/>
          <w:sz w:val="24"/>
          <w:szCs w:val="24"/>
        </w:rPr>
        <w:t>SmartThings Home – Energy</w:t>
      </w:r>
      <w:r>
        <w:rPr>
          <w:rFonts w:ascii="Times New Roman" w:eastAsia="Times New Roman" w:hAnsi="Times New Roman" w:cs="Times New Roman"/>
          <w:sz w:val="24"/>
          <w:szCs w:val="24"/>
        </w:rPr>
        <w:t>. Samsung Electronics UK.</w:t>
      </w:r>
    </w:p>
    <w:p w14:paraId="2867F702"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UK (2026b) </w:t>
      </w:r>
      <w:r>
        <w:rPr>
          <w:rFonts w:ascii="Times New Roman" w:eastAsia="Times New Roman" w:hAnsi="Times New Roman" w:cs="Times New Roman"/>
          <w:i/>
          <w:iCs/>
          <w:sz w:val="24"/>
          <w:szCs w:val="24"/>
        </w:rPr>
        <w:t>SmartThings Compatible Devices</w:t>
      </w:r>
      <w:r>
        <w:rPr>
          <w:rFonts w:ascii="Times New Roman" w:eastAsia="Times New Roman" w:hAnsi="Times New Roman" w:cs="Times New Roman"/>
          <w:sz w:val="24"/>
          <w:szCs w:val="24"/>
        </w:rPr>
        <w:t>. Samsung Electronics UK.</w:t>
      </w:r>
    </w:p>
    <w:p w14:paraId="377BD8E0"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UK (2026c) </w:t>
      </w:r>
      <w:r>
        <w:rPr>
          <w:rFonts w:ascii="Times New Roman" w:eastAsia="Times New Roman" w:hAnsi="Times New Roman" w:cs="Times New Roman"/>
          <w:i/>
          <w:iCs/>
          <w:sz w:val="24"/>
          <w:szCs w:val="24"/>
        </w:rPr>
        <w:t>Samsung Experience Store</w:t>
      </w:r>
      <w:r>
        <w:rPr>
          <w:rFonts w:ascii="Times New Roman" w:eastAsia="Times New Roman" w:hAnsi="Times New Roman" w:cs="Times New Roman"/>
          <w:sz w:val="24"/>
          <w:szCs w:val="24"/>
        </w:rPr>
        <w:t>. Samsung Electronics UK.</w:t>
      </w:r>
    </w:p>
    <w:p w14:paraId="253BD85A"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Valencia-Arias, A., Cardona-Acevedo, S., Gómez-Molina, S., Gonzalez-Ruiz, J.D. and Valencia, J. (2023) ‘Smart home adoption factors: A systematic literature review and research agenda’, </w:t>
      </w:r>
      <w:proofErr w:type="spellStart"/>
      <w:r>
        <w:rPr>
          <w:rFonts w:ascii="Times New Roman" w:eastAsia="Times New Roman" w:hAnsi="Times New Roman" w:cs="Times New Roman"/>
          <w:i/>
          <w:iCs/>
          <w:sz w:val="24"/>
          <w:szCs w:val="24"/>
        </w:rPr>
        <w:t>PLoS</w:t>
      </w:r>
      <w:proofErr w:type="spellEnd"/>
      <w:r>
        <w:rPr>
          <w:rFonts w:ascii="Times New Roman" w:eastAsia="Times New Roman" w:hAnsi="Times New Roman" w:cs="Times New Roman"/>
          <w:i/>
          <w:iCs/>
          <w:sz w:val="24"/>
          <w:szCs w:val="24"/>
        </w:rPr>
        <w:t xml:space="preserve"> ONE</w:t>
      </w:r>
      <w:r>
        <w:rPr>
          <w:rFonts w:ascii="Times New Roman" w:eastAsia="Times New Roman" w:hAnsi="Times New Roman" w:cs="Times New Roman"/>
          <w:sz w:val="24"/>
          <w:szCs w:val="24"/>
        </w:rPr>
        <w:t xml:space="preserve">, 18(10), e0292558. </w:t>
      </w:r>
      <w:proofErr w:type="gramStart"/>
      <w:r>
        <w:rPr>
          <w:rFonts w:ascii="Times New Roman" w:eastAsia="Times New Roman" w:hAnsi="Times New Roman" w:cs="Times New Roman"/>
          <w:sz w:val="24"/>
          <w:szCs w:val="24"/>
        </w:rPr>
        <w:t>doi:10.1371/journal.pone</w:t>
      </w:r>
      <w:proofErr w:type="gramEnd"/>
      <w:r>
        <w:rPr>
          <w:rFonts w:ascii="Times New Roman" w:eastAsia="Times New Roman" w:hAnsi="Times New Roman" w:cs="Times New Roman"/>
          <w:sz w:val="24"/>
          <w:szCs w:val="24"/>
        </w:rPr>
        <w:t>.0292558.</w:t>
      </w:r>
    </w:p>
    <w:p w14:paraId="03E7B969"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Wirtz, J. and Lovelock, C. (2022) </w:t>
      </w:r>
      <w:r>
        <w:rPr>
          <w:rFonts w:ascii="Times New Roman" w:eastAsia="Times New Roman" w:hAnsi="Times New Roman" w:cs="Times New Roman"/>
          <w:i/>
          <w:iCs/>
          <w:sz w:val="24"/>
          <w:szCs w:val="24"/>
        </w:rPr>
        <w:t>Services Marketing: People, Technology, Strategy</w:t>
      </w:r>
      <w:r>
        <w:rPr>
          <w:rFonts w:ascii="Times New Roman" w:eastAsia="Times New Roman" w:hAnsi="Times New Roman" w:cs="Times New Roman"/>
          <w:sz w:val="24"/>
          <w:szCs w:val="24"/>
        </w:rPr>
        <w:t xml:space="preserve">. 9th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Hackensack, NJ: World Scientific.</w:t>
      </w:r>
    </w:p>
    <w:p w14:paraId="6BC093E9" w14:textId="77777777" w:rsidR="000C3209" w:rsidRDefault="005A277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Yin, C.-C., Chiu, H.-C., Hsieh, Y.-C. and Kuo, C.-Y. (2022) ‘How to retain customers in omnichannel retailing: Considering the roles of brand experience and purchase behavior’, </w:t>
      </w:r>
      <w:r>
        <w:rPr>
          <w:rFonts w:ascii="Times New Roman" w:eastAsia="Times New Roman" w:hAnsi="Times New Roman" w:cs="Times New Roman"/>
          <w:i/>
          <w:iCs/>
          <w:sz w:val="24"/>
          <w:szCs w:val="24"/>
        </w:rPr>
        <w:lastRenderedPageBreak/>
        <w:t>Journal of Retailing and Consumer Services</w:t>
      </w:r>
      <w:r>
        <w:rPr>
          <w:rFonts w:ascii="Times New Roman" w:eastAsia="Times New Roman" w:hAnsi="Times New Roman" w:cs="Times New Roman"/>
          <w:sz w:val="24"/>
          <w:szCs w:val="24"/>
        </w:rPr>
        <w:t xml:space="preserve">, 69, 103070. </w:t>
      </w:r>
      <w:proofErr w:type="gramStart"/>
      <w:r>
        <w:rPr>
          <w:rFonts w:ascii="Times New Roman" w:eastAsia="Times New Roman" w:hAnsi="Times New Roman" w:cs="Times New Roman"/>
          <w:sz w:val="24"/>
          <w:szCs w:val="24"/>
        </w:rPr>
        <w:t>doi:10.1016/j.jretconser</w:t>
      </w:r>
      <w:proofErr w:type="gramEnd"/>
      <w:r>
        <w:rPr>
          <w:rFonts w:ascii="Times New Roman" w:eastAsia="Times New Roman" w:hAnsi="Times New Roman" w:cs="Times New Roman"/>
          <w:sz w:val="24"/>
          <w:szCs w:val="24"/>
        </w:rPr>
        <w:t>.2022.103070.</w:t>
      </w:r>
    </w:p>
    <w:p w14:paraId="55F73646" w14:textId="77777777" w:rsidR="000C3209" w:rsidRDefault="005A2772">
      <w:pPr>
        <w:numPr>
          <w:ilvl w:val="0"/>
          <w:numId w:val="1"/>
        </w:numPr>
        <w:spacing w:after="24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Zidehsaraei</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Zidehsaraei</w:t>
      </w:r>
      <w:proofErr w:type="spellEnd"/>
      <w:r>
        <w:rPr>
          <w:rFonts w:ascii="Times New Roman" w:eastAsia="Times New Roman" w:hAnsi="Times New Roman" w:cs="Times New Roman"/>
          <w:sz w:val="24"/>
          <w:szCs w:val="24"/>
        </w:rPr>
        <w:t xml:space="preserve">, M. and Esfandiar, K. (2025) "Do pro-environmental factors lead to customers’ purchase intention of home energy management systems? The moderating effects of energy-efficient habits’, </w:t>
      </w:r>
      <w:r>
        <w:rPr>
          <w:rFonts w:ascii="Times New Roman" w:eastAsia="Times New Roman" w:hAnsi="Times New Roman" w:cs="Times New Roman"/>
          <w:i/>
          <w:iCs/>
          <w:sz w:val="24"/>
          <w:szCs w:val="24"/>
        </w:rPr>
        <w:t>Green and Low-Carbon Economy</w:t>
      </w:r>
      <w:r>
        <w:rPr>
          <w:rFonts w:ascii="Times New Roman" w:eastAsia="Times New Roman" w:hAnsi="Times New Roman" w:cs="Times New Roman"/>
          <w:sz w:val="24"/>
          <w:szCs w:val="24"/>
        </w:rPr>
        <w:t>, 3(2), pp. 193–205. doi:10.47852/bonviewGLCE42022907.</w:t>
      </w:r>
    </w:p>
    <w:sectPr w:rsidR="000C3209">
      <w:footerReference w:type="default" r:id="rId14"/>
      <w:pgSz w:w="12240" w:h="15840"/>
      <w:pgMar w:top="1411" w:right="1411" w:bottom="1411" w:left="1411"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09759" w14:textId="77777777" w:rsidR="005A2772" w:rsidRDefault="005A2772">
      <w:pPr>
        <w:spacing w:line="240" w:lineRule="auto"/>
      </w:pPr>
      <w:r>
        <w:separator/>
      </w:r>
    </w:p>
  </w:endnote>
  <w:endnote w:type="continuationSeparator" w:id="0">
    <w:p w14:paraId="5855FAC3" w14:textId="77777777" w:rsidR="005A2772" w:rsidRDefault="005A27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CAB12825-5B93-4AC8-9482-A4F662D3CD44}"/>
  </w:font>
  <w:font w:name="Cardo">
    <w:charset w:val="00"/>
    <w:family w:val="auto"/>
    <w:pitch w:val="default"/>
    <w:embedRegular r:id="rId2" w:fontKey="{9A2B51D5-D8B0-4430-A52E-896AB227D75F}"/>
  </w:font>
  <w:font w:name="Calibri">
    <w:panose1 w:val="020F0502020204030204"/>
    <w:charset w:val="00"/>
    <w:family w:val="swiss"/>
    <w:pitch w:val="variable"/>
    <w:sig w:usb0="E4002EFF" w:usb1="C200247B" w:usb2="00000009" w:usb3="00000000" w:csb0="000001FF" w:csb1="00000000"/>
    <w:embedRegular r:id="rId3" w:fontKey="{9996AA5A-618E-4157-AC0A-14EFCD17D4CD}"/>
  </w:font>
  <w:font w:name="Mangal">
    <w:panose1 w:val="00000400000000000000"/>
    <w:charset w:val="00"/>
    <w:family w:val="roman"/>
    <w:pitch w:val="variable"/>
    <w:sig w:usb0="00008003" w:usb1="00000000" w:usb2="00000000" w:usb3="00000000" w:csb0="00000001" w:csb1="00000000"/>
    <w:embedRegular r:id="rId4" w:fontKey="{2424E6F7-CB88-4C16-BEE7-F5208684502F}"/>
  </w:font>
  <w:font w:name="Cambria">
    <w:panose1 w:val="02040503050406030204"/>
    <w:charset w:val="00"/>
    <w:family w:val="roman"/>
    <w:pitch w:val="variable"/>
    <w:sig w:usb0="E00006FF" w:usb1="420024FF" w:usb2="02000000" w:usb3="00000000" w:csb0="0000019F" w:csb1="00000000"/>
    <w:embedRegular r:id="rId5" w:fontKey="{DEA4E9B7-BC41-4FFC-91C2-8C346D706C4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F9660D" w14:textId="77777777" w:rsidR="000C3209" w:rsidRDefault="000C320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BF3868" w14:textId="77777777" w:rsidR="005A2772" w:rsidRDefault="005A2772">
      <w:pPr>
        <w:spacing w:line="240" w:lineRule="auto"/>
      </w:pPr>
      <w:r>
        <w:separator/>
      </w:r>
    </w:p>
  </w:footnote>
  <w:footnote w:type="continuationSeparator" w:id="0">
    <w:p w14:paraId="2BD7C91F" w14:textId="77777777" w:rsidR="005A2772" w:rsidRDefault="005A27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D2490D"/>
    <w:multiLevelType w:val="multilevel"/>
    <w:tmpl w:val="A5FC3B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26500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3209"/>
    <w:rsid w:val="000C3209"/>
    <w:rsid w:val="005A2772"/>
    <w:rsid w:val="00771AA8"/>
    <w:rsid w:val="009A178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EA436"/>
  <w15:docId w15:val="{0AB19144-AA4C-4D8F-ACFB-AAF80F8FA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3325</Words>
  <Characters>18955</Characters>
  <Application>Microsoft Office Word</Application>
  <DocSecurity>0</DocSecurity>
  <Lines>157</Lines>
  <Paragraphs>44</Paragraphs>
  <ScaleCrop>false</ScaleCrop>
  <Company/>
  <LinksUpToDate>false</LinksUpToDate>
  <CharactersWithSpaces>22236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Mann Patel</dc:creator>
  <cp:lastModifiedBy>Mann Patel</cp:lastModifiedBy>
  <cp:revision>2</cp:revision>
  <dcterms:created xsi:type="dcterms:W3CDTF">2026-08-12T10:35:00Z</dcterms:created>
  <dcterms:modified xsi:type="dcterms:W3CDTF">2026-08-12T10:35:00Z</dcterms:modified>
</cp:coreProperties>
</file>