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F902F1D" w:rsidR="00986B43" w:rsidRPr="00C44A70" w:rsidRDefault="00986B43" w:rsidP="005D3F07">
            <w:pPr>
              <w:overflowPunct/>
              <w:autoSpaceDE/>
              <w:autoSpaceDN/>
              <w:adjustRightInd/>
              <w:ind w:right="-957"/>
              <w:textAlignment w:val="auto"/>
              <w:rPr>
                <w:rFonts w:ascii="Times New Roman" w:hAnsi="Times New Roman" w:cs="Times New Roman"/>
                <w:b/>
                <w:color w:val="auto"/>
                <w:sz w:val="45"/>
                <w:szCs w:val="45"/>
              </w:rPr>
            </w:pPr>
            <w:r w:rsidRPr="00C44A70">
              <w:rPr>
                <w:rFonts w:ascii="Times New Roman" w:hAnsi="Times New Roman" w:cs="Times New Roman"/>
                <w:b/>
                <w:color w:val="auto"/>
                <w:sz w:val="45"/>
                <w:szCs w:val="45"/>
              </w:rPr>
              <w:t>Learner’s name:</w:t>
            </w:r>
            <w:r w:rsidR="00247265" w:rsidRPr="00C44A70">
              <w:rPr>
                <w:rFonts w:ascii="Times New Roman" w:hAnsi="Times New Roman" w:cs="Times New Roman"/>
                <w:b/>
                <w:color w:val="auto"/>
                <w:sz w:val="45"/>
                <w:szCs w:val="45"/>
              </w:rPr>
              <w:t xml:space="preserve"> </w:t>
            </w:r>
            <w:r w:rsidR="00C44A70" w:rsidRPr="00C44A70">
              <w:rPr>
                <w:rFonts w:ascii="Times New Roman" w:hAnsi="Times New Roman" w:cs="Times New Roman"/>
                <w:b/>
                <w:color w:val="auto"/>
                <w:sz w:val="45"/>
                <w:szCs w:val="45"/>
              </w:rPr>
              <w:t>Lisa Pritchard</w:t>
            </w:r>
          </w:p>
          <w:p w14:paraId="0B6CD0DB" w14:textId="689515B5" w:rsidR="009C337F" w:rsidRPr="00C44A70" w:rsidRDefault="009C337F" w:rsidP="005D3F07">
            <w:pPr>
              <w:overflowPunct/>
              <w:autoSpaceDE/>
              <w:autoSpaceDN/>
              <w:adjustRightInd/>
              <w:ind w:right="-957"/>
              <w:textAlignment w:val="auto"/>
              <w:rPr>
                <w:rFonts w:ascii="Times New Roman" w:hAnsi="Times New Roman" w:cs="Times New Roman"/>
                <w:b/>
                <w:color w:val="auto"/>
                <w:sz w:val="45"/>
                <w:szCs w:val="45"/>
              </w:rPr>
            </w:pPr>
          </w:p>
          <w:p w14:paraId="3A6EAAC7" w14:textId="5BF55FFB" w:rsidR="009C337F" w:rsidRPr="00C44A70" w:rsidRDefault="009C337F" w:rsidP="005D3F07">
            <w:pPr>
              <w:overflowPunct/>
              <w:autoSpaceDE/>
              <w:autoSpaceDN/>
              <w:adjustRightInd/>
              <w:ind w:right="-957"/>
              <w:textAlignment w:val="auto"/>
              <w:rPr>
                <w:rFonts w:ascii="Times New Roman" w:hAnsi="Times New Roman" w:cs="Times New Roman"/>
                <w:b/>
                <w:color w:val="auto"/>
                <w:sz w:val="45"/>
                <w:szCs w:val="45"/>
              </w:rPr>
            </w:pPr>
            <w:r w:rsidRPr="00C44A70">
              <w:rPr>
                <w:rFonts w:ascii="Times New Roman" w:hAnsi="Times New Roman" w:cs="Times New Roman"/>
                <w:b/>
                <w:color w:val="auto"/>
                <w:sz w:val="45"/>
                <w:szCs w:val="45"/>
              </w:rPr>
              <w:t>Email address:</w:t>
            </w:r>
            <w:r w:rsidR="00C44A70" w:rsidRPr="00C44A70">
              <w:rPr>
                <w:rFonts w:ascii="Times New Roman" w:hAnsi="Times New Roman" w:cs="Times New Roman"/>
                <w:b/>
                <w:color w:val="auto"/>
                <w:sz w:val="45"/>
                <w:szCs w:val="45"/>
              </w:rPr>
              <w:t xml:space="preserve"> 2436480@student.uwtsd.ac.uk</w:t>
            </w:r>
          </w:p>
          <w:p w14:paraId="22E38809" w14:textId="77777777" w:rsidR="00986B43" w:rsidRPr="00C44A70" w:rsidRDefault="00986B43" w:rsidP="005D3F07">
            <w:pPr>
              <w:overflowPunct/>
              <w:autoSpaceDE/>
              <w:autoSpaceDN/>
              <w:adjustRightInd/>
              <w:ind w:right="-957"/>
              <w:textAlignment w:val="auto"/>
              <w:rPr>
                <w:rFonts w:ascii="Times New Roman" w:hAnsi="Times New Roman" w:cs="Times New Roman"/>
                <w:b/>
                <w:color w:val="auto"/>
                <w:sz w:val="45"/>
                <w:szCs w:val="45"/>
              </w:rPr>
            </w:pPr>
          </w:p>
          <w:p w14:paraId="0DE696B2" w14:textId="21DE2863" w:rsidR="00F927A1" w:rsidRPr="00C44A70" w:rsidRDefault="0085230E" w:rsidP="005D3F07">
            <w:pPr>
              <w:overflowPunct/>
              <w:autoSpaceDE/>
              <w:autoSpaceDN/>
              <w:adjustRightInd/>
              <w:ind w:right="-957"/>
              <w:textAlignment w:val="auto"/>
              <w:rPr>
                <w:rFonts w:ascii="Times New Roman" w:hAnsi="Times New Roman" w:cs="Times New Roman"/>
                <w:b/>
                <w:color w:val="auto"/>
                <w:sz w:val="45"/>
                <w:szCs w:val="45"/>
              </w:rPr>
            </w:pPr>
            <w:r w:rsidRPr="00C44A70">
              <w:rPr>
                <w:rFonts w:ascii="Times New Roman" w:hAnsi="Times New Roman" w:cs="Times New Roman"/>
                <w:b/>
                <w:color w:val="auto"/>
                <w:sz w:val="45"/>
                <w:szCs w:val="45"/>
              </w:rPr>
              <w:t>Learner’s University Registration</w:t>
            </w:r>
            <w:r w:rsidR="00F927A1" w:rsidRPr="00C44A70">
              <w:rPr>
                <w:rFonts w:ascii="Times New Roman" w:hAnsi="Times New Roman" w:cs="Times New Roman"/>
                <w:b/>
                <w:color w:val="auto"/>
                <w:sz w:val="45"/>
                <w:szCs w:val="45"/>
              </w:rPr>
              <w:t xml:space="preserve"> Number:</w:t>
            </w:r>
            <w:r w:rsidR="00C44A70" w:rsidRPr="00C44A70">
              <w:rPr>
                <w:rFonts w:ascii="Times New Roman" w:hAnsi="Times New Roman" w:cs="Times New Roman"/>
                <w:b/>
                <w:color w:val="auto"/>
                <w:sz w:val="45"/>
                <w:szCs w:val="45"/>
              </w:rPr>
              <w:t xml:space="preserve"> 2436480</w:t>
            </w:r>
          </w:p>
          <w:p w14:paraId="622FD17A" w14:textId="77777777" w:rsidR="0085230E" w:rsidRPr="00C44A70" w:rsidRDefault="0085230E" w:rsidP="005D3F07">
            <w:pPr>
              <w:overflowPunct/>
              <w:autoSpaceDE/>
              <w:autoSpaceDN/>
              <w:adjustRightInd/>
              <w:ind w:right="-957"/>
              <w:textAlignment w:val="auto"/>
              <w:rPr>
                <w:rFonts w:ascii="Times New Roman" w:hAnsi="Times New Roman" w:cs="Times New Roman"/>
                <w:b/>
                <w:color w:val="auto"/>
                <w:sz w:val="45"/>
                <w:szCs w:val="45"/>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C44A70">
              <w:rPr>
                <w:rFonts w:ascii="Times New Roman" w:hAnsi="Times New Roman" w:cs="Times New Roman"/>
                <w:b/>
                <w:color w:val="auto"/>
                <w:sz w:val="45"/>
                <w:szCs w:val="45"/>
              </w:rPr>
              <w:t xml:space="preserve">Cohort: </w:t>
            </w:r>
            <w:r w:rsidR="0049374F" w:rsidRPr="00C44A70">
              <w:rPr>
                <w:rFonts w:ascii="Times New Roman" w:hAnsi="Times New Roman" w:cs="Times New Roman"/>
                <w:b/>
                <w:color w:val="auto"/>
                <w:sz w:val="45"/>
                <w:szCs w:val="45"/>
              </w:rPr>
              <w:t>21</w:t>
            </w:r>
            <w:r w:rsidR="00AE6231" w:rsidRPr="00C44A70">
              <w:rPr>
                <w:rFonts w:ascii="Times New Roman" w:hAnsi="Times New Roman" w:cs="Times New Roman"/>
                <w:b/>
                <w:color w:val="auto"/>
                <w:sz w:val="45"/>
                <w:szCs w:val="45"/>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FAB07BD" w14:textId="77777777" w:rsidR="00D51B5D" w:rsidRDefault="00D51B5D" w:rsidP="00FF7EBB">
            <w:pPr>
              <w:jc w:val="both"/>
              <w:rPr>
                <w:sz w:val="24"/>
                <w:szCs w:val="24"/>
              </w:rPr>
            </w:pPr>
          </w:p>
          <w:p w14:paraId="5ACE1B07" w14:textId="77777777" w:rsidR="00D51B5D" w:rsidRDefault="00D51B5D" w:rsidP="00D51B5D">
            <w:pPr>
              <w:spacing w:line="480" w:lineRule="auto"/>
              <w:rPr>
                <w:rFonts w:ascii="Times New Roman" w:hAnsi="Times New Roman"/>
                <w:sz w:val="24"/>
                <w:szCs w:val="24"/>
              </w:rPr>
            </w:pPr>
          </w:p>
          <w:p w14:paraId="13905A97" w14:textId="013EA1B4"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 xml:space="preserve">The Social Services and Well-being (Wales) Act 2014 (hereafter SSWB Act) establishes, within Part 7, the legal framework for safeguarding both adults and children. The Act emphasises prevention and sets out the procedures and responses that agencies must follow when an individual is identified as being at risk of abuse and/or neglect. Section 126(1) of the SSWB Act defines an adult at risk as a person who is either experiencing, or is at risk of, abuse or neglect (s.126(1)(a)). These individuals must also have care and support needs (s.126(1)(b)) and, because of those needs, be unable to protect themselves from the risk of abuse or neglect. </w:t>
            </w:r>
          </w:p>
          <w:p w14:paraId="23F016D1" w14:textId="77777777" w:rsidR="00D51B5D" w:rsidRPr="00D51B5D" w:rsidRDefault="00D51B5D" w:rsidP="00D51B5D">
            <w:pPr>
              <w:spacing w:line="480" w:lineRule="auto"/>
              <w:rPr>
                <w:rFonts w:ascii="Times New Roman" w:hAnsi="Times New Roman"/>
                <w:sz w:val="24"/>
                <w:szCs w:val="24"/>
              </w:rPr>
            </w:pPr>
          </w:p>
          <w:p w14:paraId="4CA82019" w14:textId="7777777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 xml:space="preserve">The statutory framework in Part 7 of the SSWB act is devised to promote multi-agency collaboration and early intervention to protect adults at risk. The aim is to reduce the risk of abuse or neglect before it happens via coordinated actions from agencies. Section 128 of the SSWB Act is key to a collaborative approach as it places a duty to report on relevant partners of the local authority, such as </w:t>
            </w:r>
            <w:r w:rsidRPr="00D51B5D">
              <w:rPr>
                <w:rFonts w:ascii="Times New Roman" w:hAnsi="Times New Roman"/>
                <w:sz w:val="24"/>
                <w:szCs w:val="24"/>
              </w:rPr>
              <w:lastRenderedPageBreak/>
              <w:t>the police, probation services, and local health boards (s.162(4)(a)(d)(e)), requiring them to inform the local authority when they have reasonable cause to suspect that an adult may be at risk.</w:t>
            </w:r>
          </w:p>
          <w:p w14:paraId="68E4468E" w14:textId="77777777" w:rsidR="00D51B5D" w:rsidRPr="00D51B5D" w:rsidRDefault="00D51B5D" w:rsidP="00D51B5D">
            <w:pPr>
              <w:spacing w:line="480" w:lineRule="auto"/>
              <w:rPr>
                <w:rFonts w:ascii="Times New Roman" w:hAnsi="Times New Roman"/>
                <w:sz w:val="24"/>
                <w:szCs w:val="24"/>
              </w:rPr>
            </w:pPr>
          </w:p>
          <w:p w14:paraId="1873AFDF" w14:textId="5A468C30"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A key principle of the SSWB Act is that professionals adopt a person-centred approach (Welsh Government, 2015</w:t>
            </w:r>
            <w:r w:rsidR="009D325E">
              <w:rPr>
                <w:rFonts w:ascii="Times New Roman" w:hAnsi="Times New Roman"/>
                <w:sz w:val="24"/>
                <w:szCs w:val="24"/>
              </w:rPr>
              <w:t>a</w:t>
            </w:r>
            <w:r w:rsidRPr="00D51B5D">
              <w:rPr>
                <w:rFonts w:ascii="Times New Roman" w:hAnsi="Times New Roman"/>
                <w:sz w:val="24"/>
                <w:szCs w:val="24"/>
              </w:rPr>
              <w:t xml:space="preserve">). When working with adults at risk, it is essential that their voice is heard and that they are involved in decisions about their well-being. Standard 14 of the National Occupational Standards for Social Work (Skills for Care and Development, 2011) stresses collaborating with individuals to plan for their immediate and longer-term needs. Similarly, Section 3 of the Code of Professional Practice for Social Care (Social Care Wales, 2017) emphasises practitioners’ responsibility to promote active participation and partnership working to support the voice, choice, control, and well-being of individuals and their </w:t>
            </w:r>
            <w:proofErr w:type="spellStart"/>
            <w:r w:rsidRPr="00D51B5D">
              <w:rPr>
                <w:rFonts w:ascii="Times New Roman" w:hAnsi="Times New Roman"/>
                <w:sz w:val="24"/>
                <w:szCs w:val="24"/>
              </w:rPr>
              <w:t>carers</w:t>
            </w:r>
            <w:proofErr w:type="spellEnd"/>
            <w:r w:rsidRPr="00D51B5D">
              <w:rPr>
                <w:rFonts w:ascii="Times New Roman" w:hAnsi="Times New Roman"/>
                <w:sz w:val="24"/>
                <w:szCs w:val="24"/>
              </w:rPr>
              <w:t>.</w:t>
            </w:r>
          </w:p>
          <w:p w14:paraId="292EC246" w14:textId="77777777" w:rsidR="00D51B5D" w:rsidRPr="00D51B5D" w:rsidRDefault="00D51B5D" w:rsidP="00D51B5D">
            <w:pPr>
              <w:spacing w:line="480" w:lineRule="auto"/>
              <w:rPr>
                <w:rFonts w:ascii="Times New Roman" w:hAnsi="Times New Roman"/>
                <w:sz w:val="24"/>
                <w:szCs w:val="24"/>
              </w:rPr>
            </w:pPr>
          </w:p>
          <w:p w14:paraId="01DFBD1E" w14:textId="4B6ED68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 xml:space="preserve">The Welsh Government (2022) outlines safeguarding guidance in ‘Working Together to Safeguard People’, emphasising that safeguarding is a shared responsibility. Indicators of harm, neglect, or abuse in adults may include poor physical </w:t>
            </w:r>
            <w:r w:rsidRPr="003F5862">
              <w:rPr>
                <w:rFonts w:ascii="Times New Roman" w:hAnsi="Times New Roman"/>
                <w:sz w:val="24"/>
                <w:szCs w:val="24"/>
              </w:rPr>
              <w:t>appearance, behavioural changes, social withdrawal, financial difficulties, physical injuries, or deteriorating living conditions (Social Care Wales, 2025</w:t>
            </w:r>
            <w:r w:rsidR="003F5862" w:rsidRPr="003F5862">
              <w:rPr>
                <w:rFonts w:ascii="Times New Roman" w:hAnsi="Times New Roman"/>
                <w:sz w:val="24"/>
                <w:szCs w:val="24"/>
              </w:rPr>
              <w:t>b</w:t>
            </w:r>
            <w:r w:rsidRPr="003F5862">
              <w:rPr>
                <w:rFonts w:ascii="Times New Roman" w:hAnsi="Times New Roman"/>
                <w:sz w:val="24"/>
                <w:szCs w:val="24"/>
              </w:rPr>
              <w:t>). These can stem from various forms of abuse such as emotional, physical, psychological, sexual, or financial, which may be perpetrated by individuals within the community, family members, or paid professionals (Social Care Wales, 2025</w:t>
            </w:r>
            <w:r w:rsidR="003F5862" w:rsidRPr="003F5862">
              <w:rPr>
                <w:rFonts w:ascii="Times New Roman" w:hAnsi="Times New Roman"/>
                <w:sz w:val="24"/>
                <w:szCs w:val="24"/>
              </w:rPr>
              <w:t>b</w:t>
            </w:r>
            <w:r w:rsidRPr="003F5862">
              <w:rPr>
                <w:rFonts w:ascii="Times New Roman" w:hAnsi="Times New Roman"/>
                <w:sz w:val="24"/>
                <w:szCs w:val="24"/>
              </w:rPr>
              <w:t>).</w:t>
            </w:r>
          </w:p>
          <w:p w14:paraId="7F66D886" w14:textId="77777777" w:rsidR="00D51B5D" w:rsidRPr="00D51B5D" w:rsidRDefault="00D51B5D" w:rsidP="00D51B5D">
            <w:pPr>
              <w:spacing w:line="480" w:lineRule="auto"/>
              <w:rPr>
                <w:rFonts w:ascii="Times New Roman" w:hAnsi="Times New Roman"/>
                <w:sz w:val="24"/>
                <w:szCs w:val="24"/>
              </w:rPr>
            </w:pPr>
          </w:p>
          <w:p w14:paraId="278D8877" w14:textId="7777777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 xml:space="preserve">When a local authority in Wales receives information indicating that an adult may be at risk, an enquiry must be undertaken in accordance with Section 126 of the SSWB Act. This enquiry is conducted in collaboration with the adult believed to be at risk and should adopt a person-centred </w:t>
            </w:r>
            <w:r w:rsidRPr="00D51B5D">
              <w:rPr>
                <w:rFonts w:ascii="Times New Roman" w:hAnsi="Times New Roman"/>
                <w:sz w:val="24"/>
                <w:szCs w:val="24"/>
              </w:rPr>
              <w:lastRenderedPageBreak/>
              <w:t>approach, prioritising the individual’s views, wishes, and outcomes. Practitioners should consider the individual’s mental capacity throughout the process, as per the Mental Capacity Act 2005. Section 1 of the Act establishes key principles to guide practice, including the presumption of capacity unless proven otherwise (s.1(a)); the requirement to take all practicable steps to support individuals in making their own decisions (s.1(b)); and the recognition that an unwise decision alone does not indicate a lack of capacity (s.1(c)). Adherence to these principles ensures that enquiries are conducted ethically, lawfully, and in a manner that respects the autonomy and rights of the individual involved.</w:t>
            </w:r>
          </w:p>
          <w:p w14:paraId="7BB90A7A" w14:textId="77777777" w:rsidR="00D51B5D" w:rsidRPr="00D51B5D" w:rsidRDefault="00D51B5D" w:rsidP="00D51B5D">
            <w:pPr>
              <w:spacing w:line="480" w:lineRule="auto"/>
              <w:jc w:val="both"/>
              <w:rPr>
                <w:rFonts w:ascii="Times New Roman" w:hAnsi="Times New Roman"/>
                <w:sz w:val="24"/>
                <w:szCs w:val="24"/>
              </w:rPr>
            </w:pPr>
          </w:p>
          <w:p w14:paraId="03BD6D93" w14:textId="2FEFD4EE" w:rsidR="007A628F" w:rsidRPr="00D51B5D" w:rsidRDefault="00D51B5D" w:rsidP="00D51B5D">
            <w:pPr>
              <w:spacing w:line="480" w:lineRule="auto"/>
              <w:jc w:val="both"/>
              <w:rPr>
                <w:rFonts w:ascii="Times New Roman" w:hAnsi="Times New Roman"/>
                <w:b/>
                <w:bCs/>
                <w:sz w:val="24"/>
                <w:szCs w:val="24"/>
              </w:rPr>
            </w:pPr>
            <w:r w:rsidRPr="00D51B5D">
              <w:rPr>
                <w:rFonts w:ascii="Times New Roman" w:hAnsi="Times New Roman"/>
                <w:b/>
                <w:bCs/>
                <w:sz w:val="24"/>
                <w:szCs w:val="24"/>
              </w:rPr>
              <w:t>Word count = 549</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24AE0ED4" w14:textId="77777777" w:rsidR="00D51B5D" w:rsidRDefault="00D51B5D" w:rsidP="00FC0334">
            <w:pPr>
              <w:jc w:val="both"/>
              <w:rPr>
                <w:i/>
                <w:sz w:val="24"/>
                <w:szCs w:val="24"/>
              </w:rPr>
            </w:pPr>
          </w:p>
          <w:p w14:paraId="436E4033" w14:textId="77777777" w:rsidR="00D51B5D" w:rsidRDefault="00D51B5D" w:rsidP="00D51B5D">
            <w:pPr>
              <w:spacing w:line="480" w:lineRule="auto"/>
              <w:rPr>
                <w:rFonts w:ascii="Times New Roman" w:hAnsi="Times New Roman"/>
                <w:sz w:val="24"/>
                <w:szCs w:val="24"/>
              </w:rPr>
            </w:pPr>
          </w:p>
          <w:p w14:paraId="0A65F72F" w14:textId="5B50BCF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While safeguarding procedures for both children and adults share the same fundamental aim, to protect individuals from abuse, neglect, or harm, the legal frameworks and guiding principles differ significantly due to the concepts of consent and capacity.</w:t>
            </w:r>
          </w:p>
          <w:p w14:paraId="04C881F2" w14:textId="77777777" w:rsidR="00D51B5D" w:rsidRPr="00D51B5D" w:rsidRDefault="00D51B5D" w:rsidP="00D51B5D">
            <w:pPr>
              <w:spacing w:line="480" w:lineRule="auto"/>
              <w:rPr>
                <w:rFonts w:ascii="Times New Roman" w:hAnsi="Times New Roman"/>
                <w:sz w:val="24"/>
                <w:szCs w:val="24"/>
              </w:rPr>
            </w:pPr>
          </w:p>
          <w:p w14:paraId="1B2DD96A" w14:textId="7777777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For children, the Children Act 1989, Parts 4 and 5 outline the circumstances in which a local authority must initiate an investigation when there is reasonable cause to suspect that a child is suffering, or is likely to suffer, significant harm. In such cases, the local authority may apply to the Family Court for orders such as Emergency Protection Orders, Care Orders, or Supervision Orders to intervene and protect the child (Law Wales, 2021).</w:t>
            </w:r>
          </w:p>
          <w:p w14:paraId="48FA6956" w14:textId="77777777" w:rsidR="00D51B5D" w:rsidRPr="00D51B5D" w:rsidRDefault="00D51B5D" w:rsidP="00D51B5D">
            <w:pPr>
              <w:spacing w:line="480" w:lineRule="auto"/>
              <w:rPr>
                <w:rFonts w:ascii="Times New Roman" w:hAnsi="Times New Roman"/>
                <w:sz w:val="24"/>
                <w:szCs w:val="24"/>
              </w:rPr>
            </w:pPr>
          </w:p>
          <w:p w14:paraId="49A7DA10" w14:textId="45386419"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These legal interventions are considered measures of last resort. However, removing a child to a place of safety allows Social Workers to undertake assessments of the child’s needs, even without parental consent. Ideally, practitioners should seek to inform parents and obtain their consent wherever possible. A child’s own consent may also be considered if they are deemed to have sufficient capacity, assessed through Gillick competence, which determines whether a child under the age of 16 has the maturity and understanding to make informed decisions about their welfare (Fenton, 2020). Nonetheless, the paramount consideration remains the child’s safety and welfare. If informing the parents is likely to place the child at further risk or compromise an ongoing investigation, practitioners are justified in withholding this information (Social Care Wales</w:t>
            </w:r>
            <w:r w:rsidRPr="003F5862">
              <w:rPr>
                <w:rFonts w:ascii="Times New Roman" w:hAnsi="Times New Roman"/>
                <w:sz w:val="24"/>
                <w:szCs w:val="24"/>
              </w:rPr>
              <w:t>, 2025</w:t>
            </w:r>
            <w:r w:rsidR="00BF78F7">
              <w:rPr>
                <w:rFonts w:ascii="Times New Roman" w:hAnsi="Times New Roman"/>
                <w:sz w:val="24"/>
                <w:szCs w:val="24"/>
              </w:rPr>
              <w:t>d</w:t>
            </w:r>
            <w:r w:rsidRPr="003F5862">
              <w:rPr>
                <w:rFonts w:ascii="Times New Roman" w:hAnsi="Times New Roman"/>
                <w:sz w:val="24"/>
                <w:szCs w:val="24"/>
              </w:rPr>
              <w:t>).</w:t>
            </w:r>
          </w:p>
          <w:p w14:paraId="47657F23" w14:textId="77777777" w:rsidR="00D51B5D" w:rsidRPr="00D51B5D" w:rsidRDefault="00D51B5D" w:rsidP="00D51B5D">
            <w:pPr>
              <w:spacing w:line="480" w:lineRule="auto"/>
              <w:rPr>
                <w:rFonts w:ascii="Times New Roman" w:hAnsi="Times New Roman"/>
                <w:sz w:val="24"/>
                <w:szCs w:val="24"/>
              </w:rPr>
            </w:pPr>
          </w:p>
          <w:p w14:paraId="1BCB4E10" w14:textId="7777777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 xml:space="preserve">The safeguarding of adults in Wales is set out under Part 7 of the SSWB Act. This operates alongside the Mental Capacity Act 2005. The Act outlines how capacity must be assumed unless proven otherwise (s.1(2)), and that an unwise decision by an individual does not mean that they are unable to make a decision (s.1)4)). The choices an adult who has capacity should therefore be respected by practitioners, even when those choices appear risky or unwise, as long as they understand the consequences (NHS, 2024). </w:t>
            </w:r>
          </w:p>
          <w:p w14:paraId="617E8850" w14:textId="77777777" w:rsidR="00D51B5D" w:rsidRPr="00D51B5D" w:rsidRDefault="00D51B5D" w:rsidP="00D51B5D">
            <w:pPr>
              <w:spacing w:line="480" w:lineRule="auto"/>
              <w:rPr>
                <w:rFonts w:ascii="Times New Roman" w:hAnsi="Times New Roman"/>
                <w:sz w:val="24"/>
                <w:szCs w:val="24"/>
              </w:rPr>
            </w:pPr>
          </w:p>
          <w:p w14:paraId="4E40505C" w14:textId="77777777" w:rsidR="00D51B5D" w:rsidRPr="00D51B5D" w:rsidRDefault="00D51B5D" w:rsidP="00D51B5D">
            <w:pPr>
              <w:spacing w:line="480" w:lineRule="auto"/>
              <w:rPr>
                <w:rFonts w:ascii="Times New Roman" w:hAnsi="Times New Roman"/>
                <w:sz w:val="24"/>
                <w:szCs w:val="24"/>
              </w:rPr>
            </w:pPr>
            <w:r w:rsidRPr="00D51B5D">
              <w:rPr>
                <w:rFonts w:ascii="Times New Roman" w:hAnsi="Times New Roman"/>
                <w:sz w:val="24"/>
                <w:szCs w:val="24"/>
              </w:rPr>
              <w:t>While safeguarding children and adults in Wales share preventative and person-centred approaches, the key distinction lies in the balance between protection and autonomy. For adults, the presumption of capacity means that intervention must be proportionate and based on consent, except where an individual lacks capacity or others are at risk. In contrast, for children, their safety and welfare take precedence, allowing professionals to act without consent when necessary to prevent harm.</w:t>
            </w:r>
          </w:p>
          <w:p w14:paraId="1457B776" w14:textId="77777777" w:rsidR="00D51B5D" w:rsidRPr="00D51B5D" w:rsidRDefault="00D51B5D" w:rsidP="00D51B5D">
            <w:pPr>
              <w:spacing w:line="480" w:lineRule="auto"/>
              <w:rPr>
                <w:rFonts w:ascii="Times New Roman" w:hAnsi="Times New Roman"/>
                <w:sz w:val="24"/>
                <w:szCs w:val="24"/>
              </w:rPr>
            </w:pPr>
          </w:p>
          <w:p w14:paraId="08760B3D" w14:textId="77A1B0A7" w:rsidR="00FC0334" w:rsidRPr="00D51B5D" w:rsidRDefault="00D51B5D" w:rsidP="00D51B5D">
            <w:pPr>
              <w:spacing w:line="480" w:lineRule="auto"/>
              <w:rPr>
                <w:rFonts w:ascii="Times New Roman" w:hAnsi="Times New Roman"/>
                <w:b/>
                <w:bCs/>
                <w:sz w:val="24"/>
                <w:szCs w:val="24"/>
              </w:rPr>
            </w:pPr>
            <w:r w:rsidRPr="00D51B5D">
              <w:rPr>
                <w:rFonts w:ascii="Times New Roman" w:hAnsi="Times New Roman"/>
                <w:b/>
                <w:bCs/>
                <w:sz w:val="24"/>
                <w:szCs w:val="24"/>
              </w:rPr>
              <w:t>Word count = 396</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E73DC" w14:textId="77777777" w:rsidR="00957629" w:rsidRDefault="00957629">
      <w:r>
        <w:separator/>
      </w:r>
    </w:p>
  </w:endnote>
  <w:endnote w:type="continuationSeparator" w:id="0">
    <w:p w14:paraId="01AB6CFE" w14:textId="77777777" w:rsidR="00957629" w:rsidRDefault="0095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152D6" w14:textId="77777777" w:rsidR="00957629" w:rsidRDefault="00957629">
      <w:r>
        <w:separator/>
      </w:r>
    </w:p>
  </w:footnote>
  <w:footnote w:type="continuationSeparator" w:id="0">
    <w:p w14:paraId="30E172B3" w14:textId="77777777" w:rsidR="00957629" w:rsidRDefault="00957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1F17"/>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31F"/>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5679"/>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862"/>
    <w:rsid w:val="003F67A4"/>
    <w:rsid w:val="00400786"/>
    <w:rsid w:val="00401FDA"/>
    <w:rsid w:val="00402C2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62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325E"/>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014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8F7"/>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8A9"/>
    <w:rsid w:val="00C44A70"/>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7E9D"/>
    <w:rsid w:val="00D22C8F"/>
    <w:rsid w:val="00D3203C"/>
    <w:rsid w:val="00D33491"/>
    <w:rsid w:val="00D3442D"/>
    <w:rsid w:val="00D36F00"/>
    <w:rsid w:val="00D44B67"/>
    <w:rsid w:val="00D44F8E"/>
    <w:rsid w:val="00D51B5D"/>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BE9"/>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Pritchard</cp:lastModifiedBy>
  <cp:revision>5</cp:revision>
  <cp:lastPrinted>2020-02-11T19:20:00Z</cp:lastPrinted>
  <dcterms:created xsi:type="dcterms:W3CDTF">2026-02-20T11:42:00Z</dcterms:created>
  <dcterms:modified xsi:type="dcterms:W3CDTF">2026-02-20T21:44:00Z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