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F81BD" w:themeColor="accent1"/>
          <w:sz w:val="24"/>
          <w:lang w:val="en-GB"/>
        </w:rPr>
        <w:id w:val="1789775449"/>
        <w:docPartObj>
          <w:docPartGallery w:val="Cover Pages"/>
          <w:docPartUnique/>
        </w:docPartObj>
      </w:sdtPr>
      <w:sdtEndPr>
        <w:rPr>
          <w:b/>
          <w:bCs/>
          <w:color w:val="auto"/>
        </w:rPr>
      </w:sdtEndPr>
      <w:sdtContent>
        <w:p w14:paraId="62094A08" w14:textId="7ED465EC" w:rsidR="00582FBD" w:rsidRDefault="00582FBD">
          <w:pPr>
            <w:pStyle w:val="NoSpacing"/>
            <w:spacing w:before="1540" w:after="240"/>
            <w:jc w:val="center"/>
            <w:rPr>
              <w:color w:val="4F81BD" w:themeColor="accent1"/>
            </w:rPr>
          </w:pPr>
          <w:r>
            <w:rPr>
              <w:noProof/>
              <w:color w:val="4F81BD" w:themeColor="accent1"/>
            </w:rPr>
            <w:drawing>
              <wp:inline distT="0" distB="0" distL="0" distR="0" wp14:anchorId="106F68B5" wp14:editId="3227D404">
                <wp:extent cx="1417320" cy="750898"/>
                <wp:effectExtent l="0" t="0" r="0" b="0"/>
                <wp:docPr id="143" name="Picture 14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a:extLst>
                            <a:ext uri="{C183D7F6-B498-43B3-948B-1728B52AA6E4}">
                              <adec:decorative xmlns:adec="http://schemas.microsoft.com/office/drawing/2017/decorative" val="1"/>
                            </a:ext>
                          </a:extLst>
                        </pic:cNvPr>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50676821E7A14D32B269A35357A6CAF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969F8DD" w14:textId="3DFC75C0" w:rsidR="00582FBD" w:rsidRDefault="00582FBD">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INTERNATIONAL FINANCIAL MANAGEMENT</w:t>
              </w:r>
            </w:p>
          </w:sdtContent>
        </w:sdt>
        <w:sdt>
          <w:sdtPr>
            <w:rPr>
              <w:color w:val="4F81BD" w:themeColor="accent1"/>
              <w:sz w:val="28"/>
              <w:szCs w:val="28"/>
            </w:rPr>
            <w:alias w:val="Subtitle"/>
            <w:tag w:val=""/>
            <w:id w:val="328029620"/>
            <w:placeholder>
              <w:docPart w:val="78DE62E0709E49ACB657F73C6D79D01C"/>
            </w:placeholder>
            <w:dataBinding w:prefixMappings="xmlns:ns0='http://purl.org/dc/elements/1.1/' xmlns:ns1='http://schemas.openxmlformats.org/package/2006/metadata/core-properties' " w:xpath="/ns1:coreProperties[1]/ns0:subject[1]" w:storeItemID="{6C3C8BC8-F283-45AE-878A-BAB7291924A1}"/>
            <w:text/>
          </w:sdtPr>
          <w:sdtEndPr/>
          <w:sdtContent>
            <w:p w14:paraId="117CF59A" w14:textId="00808966" w:rsidR="00582FBD" w:rsidRDefault="00582FBD">
              <w:pPr>
                <w:pStyle w:val="NoSpacing"/>
                <w:jc w:val="center"/>
                <w:rPr>
                  <w:color w:val="4F81BD" w:themeColor="accent1"/>
                  <w:sz w:val="28"/>
                  <w:szCs w:val="28"/>
                </w:rPr>
              </w:pPr>
              <w:r>
                <w:rPr>
                  <w:color w:val="4F81BD" w:themeColor="accent1"/>
                  <w:sz w:val="28"/>
                  <w:szCs w:val="28"/>
                </w:rPr>
                <w:t>BP PLC</w:t>
              </w:r>
            </w:p>
          </w:sdtContent>
        </w:sdt>
        <w:p w14:paraId="01E6DB15" w14:textId="0C65E7FF" w:rsidR="00582FBD" w:rsidRDefault="00582FBD">
          <w:pPr>
            <w:pStyle w:val="NoSpacing"/>
            <w:spacing w:before="480"/>
            <w:jc w:val="center"/>
            <w:rPr>
              <w:color w:val="4F81BD" w:themeColor="accent1"/>
            </w:rPr>
          </w:pPr>
          <w:r>
            <w:rPr>
              <w:noProof/>
              <w:color w:val="4F81BD" w:themeColor="accent1"/>
            </w:rPr>
            <w:drawing>
              <wp:inline distT="0" distB="0" distL="0" distR="0" wp14:anchorId="6A82E120" wp14:editId="3CFD726C">
                <wp:extent cx="758952" cy="478932"/>
                <wp:effectExtent l="0" t="0" r="3175" b="0"/>
                <wp:docPr id="144" name="Picture 14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a:extLst>
                            <a:ext uri="{C183D7F6-B498-43B3-948B-1728B52AA6E4}">
                              <adec:decorative xmlns:adec="http://schemas.microsoft.com/office/drawing/2017/decorative" val="1"/>
                            </a:ext>
                          </a:extLst>
                        </pic:cNvPr>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455D063" w14:textId="77777777" w:rsidR="007840A4" w:rsidRDefault="007840A4">
          <w:pPr>
            <w:spacing w:before="0" w:after="200" w:line="276" w:lineRule="auto"/>
            <w:jc w:val="left"/>
            <w:rPr>
              <w:b/>
              <w:bCs/>
            </w:rPr>
          </w:pPr>
        </w:p>
        <w:p w14:paraId="434F860F" w14:textId="77777777" w:rsidR="007840A4" w:rsidRDefault="007840A4">
          <w:pPr>
            <w:spacing w:before="0" w:after="200" w:line="276" w:lineRule="auto"/>
            <w:jc w:val="left"/>
            <w:rPr>
              <w:b/>
              <w:bCs/>
            </w:rPr>
          </w:pPr>
        </w:p>
        <w:p w14:paraId="6414AE1A" w14:textId="77777777" w:rsidR="007840A4" w:rsidRPr="006F448B" w:rsidRDefault="007840A4" w:rsidP="00B17734">
          <w:pPr>
            <w:pStyle w:val="ListParagraph"/>
            <w:numPr>
              <w:ilvl w:val="0"/>
              <w:numId w:val="3"/>
            </w:numPr>
            <w:spacing w:before="0" w:after="200" w:line="276" w:lineRule="auto"/>
            <w:jc w:val="left"/>
            <w:rPr>
              <w:b/>
              <w:bCs/>
              <w:sz w:val="32"/>
              <w:szCs w:val="32"/>
            </w:rPr>
          </w:pPr>
          <w:r w:rsidRPr="006F448B">
            <w:rPr>
              <w:b/>
              <w:bCs/>
              <w:sz w:val="32"/>
              <w:szCs w:val="32"/>
            </w:rPr>
            <w:t>STUDENT NAME – DANIEL MIHA</w:t>
          </w:r>
          <w:r w:rsidRPr="006F448B">
            <w:rPr>
              <w:b/>
              <w:bCs/>
              <w:sz w:val="32"/>
              <w:szCs w:val="32"/>
            </w:rPr>
            <w:t>I</w:t>
          </w:r>
        </w:p>
        <w:p w14:paraId="48190233" w14:textId="4DE6D3DD" w:rsidR="007840A4" w:rsidRPr="006F448B" w:rsidRDefault="007840A4" w:rsidP="00B17734">
          <w:pPr>
            <w:pStyle w:val="ListParagraph"/>
            <w:numPr>
              <w:ilvl w:val="0"/>
              <w:numId w:val="3"/>
            </w:numPr>
            <w:spacing w:before="0" w:after="200" w:line="276" w:lineRule="auto"/>
            <w:jc w:val="left"/>
            <w:rPr>
              <w:b/>
              <w:bCs/>
              <w:sz w:val="32"/>
              <w:szCs w:val="32"/>
            </w:rPr>
          </w:pPr>
          <w:r w:rsidRPr="006F448B">
            <w:rPr>
              <w:b/>
              <w:bCs/>
              <w:sz w:val="32"/>
              <w:szCs w:val="32"/>
            </w:rPr>
            <w:t xml:space="preserve">STUDENT NUMBER – 1917723 </w:t>
          </w:r>
        </w:p>
        <w:p w14:paraId="0D1257AD" w14:textId="100CC4C5" w:rsidR="007840A4" w:rsidRPr="006F448B" w:rsidRDefault="007840A4" w:rsidP="00B17734">
          <w:pPr>
            <w:pStyle w:val="ListParagraph"/>
            <w:numPr>
              <w:ilvl w:val="0"/>
              <w:numId w:val="3"/>
            </w:numPr>
            <w:spacing w:before="0" w:after="200" w:line="276" w:lineRule="auto"/>
            <w:jc w:val="left"/>
            <w:rPr>
              <w:b/>
              <w:bCs/>
              <w:sz w:val="32"/>
              <w:szCs w:val="32"/>
            </w:rPr>
          </w:pPr>
          <w:r w:rsidRPr="006F448B">
            <w:rPr>
              <w:b/>
              <w:bCs/>
              <w:sz w:val="32"/>
              <w:szCs w:val="32"/>
            </w:rPr>
            <w:t xml:space="preserve">MODULE NAME – </w:t>
          </w:r>
          <w:r w:rsidR="00B17734" w:rsidRPr="006F448B">
            <w:rPr>
              <w:b/>
              <w:bCs/>
              <w:sz w:val="32"/>
              <w:szCs w:val="32"/>
            </w:rPr>
            <w:t>International Financial Management (LCBB6002)</w:t>
          </w:r>
        </w:p>
        <w:p w14:paraId="6BC79934" w14:textId="213F104E" w:rsidR="007840A4" w:rsidRPr="006F448B" w:rsidRDefault="00B17734" w:rsidP="00B17734">
          <w:pPr>
            <w:pStyle w:val="ListParagraph"/>
            <w:numPr>
              <w:ilvl w:val="0"/>
              <w:numId w:val="3"/>
            </w:numPr>
            <w:spacing w:before="0" w:after="200" w:line="276" w:lineRule="auto"/>
            <w:jc w:val="left"/>
            <w:rPr>
              <w:b/>
              <w:bCs/>
              <w:sz w:val="32"/>
              <w:szCs w:val="32"/>
            </w:rPr>
          </w:pPr>
          <w:r w:rsidRPr="006F448B">
            <w:rPr>
              <w:b/>
              <w:bCs/>
              <w:sz w:val="32"/>
              <w:szCs w:val="32"/>
            </w:rPr>
            <w:t xml:space="preserve">ASSESMENT </w:t>
          </w:r>
          <w:r w:rsidR="006F448B" w:rsidRPr="006F448B">
            <w:rPr>
              <w:b/>
              <w:bCs/>
              <w:sz w:val="32"/>
              <w:szCs w:val="32"/>
            </w:rPr>
            <w:t>1 -February 2022(Weekend)</w:t>
          </w:r>
        </w:p>
        <w:p w14:paraId="6FE5F8A6" w14:textId="3BF4AD9E" w:rsidR="00582FBD" w:rsidRDefault="007840A4" w:rsidP="00B17734">
          <w:pPr>
            <w:pStyle w:val="ListParagraph"/>
            <w:numPr>
              <w:ilvl w:val="0"/>
              <w:numId w:val="3"/>
            </w:numPr>
            <w:spacing w:before="0" w:after="200" w:line="276" w:lineRule="auto"/>
            <w:jc w:val="left"/>
          </w:pPr>
          <w:r w:rsidRPr="006F448B">
            <w:rPr>
              <w:b/>
              <w:bCs/>
              <w:sz w:val="32"/>
              <w:szCs w:val="32"/>
            </w:rPr>
            <w:t>LECTURER NAME –</w:t>
          </w:r>
          <w:r w:rsidR="00B17734" w:rsidRPr="006F448B">
            <w:rPr>
              <w:b/>
              <w:bCs/>
              <w:sz w:val="32"/>
              <w:szCs w:val="32"/>
            </w:rPr>
            <w:t>Dr. Taye Timothy Osadiya</w:t>
          </w:r>
          <w:r w:rsidR="00582FBD" w:rsidRPr="00B17734">
            <w:rPr>
              <w:b/>
              <w:bCs/>
            </w:rPr>
            <w:br w:type="page"/>
          </w:r>
        </w:p>
      </w:sdtContent>
    </w:sdt>
    <w:sdt>
      <w:sdtPr>
        <w:rPr>
          <w:rFonts w:asciiTheme="minorHAnsi" w:eastAsiaTheme="minorHAnsi" w:hAnsiTheme="minorHAnsi" w:cstheme="minorBidi"/>
          <w:b w:val="0"/>
          <w:bCs w:val="0"/>
          <w:color w:val="auto"/>
          <w:sz w:val="24"/>
          <w:szCs w:val="22"/>
          <w:lang w:val="en-GB" w:eastAsia="en-US"/>
        </w:rPr>
        <w:id w:val="-989321596"/>
        <w:docPartObj>
          <w:docPartGallery w:val="Table of Contents"/>
          <w:docPartUnique/>
        </w:docPartObj>
      </w:sdtPr>
      <w:sdtEndPr>
        <w:rPr>
          <w:noProof/>
        </w:rPr>
      </w:sdtEndPr>
      <w:sdtContent>
        <w:p w14:paraId="25965A53" w14:textId="3ABC967C" w:rsidR="00D611A9" w:rsidRPr="006F448B" w:rsidRDefault="003F1092" w:rsidP="003F1092">
          <w:pPr>
            <w:pStyle w:val="TOCHeading"/>
            <w:spacing w:line="360" w:lineRule="auto"/>
            <w:rPr>
              <w:color w:val="000000" w:themeColor="text1"/>
            </w:rPr>
          </w:pPr>
          <w:r w:rsidRPr="006F448B">
            <w:rPr>
              <w:color w:val="000000" w:themeColor="text1"/>
            </w:rPr>
            <w:t>CONTENTS</w:t>
          </w:r>
        </w:p>
        <w:p w14:paraId="1413DBB3" w14:textId="77777777" w:rsidR="003F1092" w:rsidRDefault="00C42CFB" w:rsidP="003F1092">
          <w:pPr>
            <w:pStyle w:val="TOC1"/>
            <w:tabs>
              <w:tab w:val="right" w:leader="dot" w:pos="9350"/>
            </w:tabs>
            <w:rPr>
              <w:rFonts w:eastAsiaTheme="minorEastAsia"/>
              <w:noProof/>
              <w:sz w:val="22"/>
              <w:lang w:val="en-US"/>
            </w:rPr>
          </w:pPr>
          <w:r>
            <w:fldChar w:fldCharType="begin"/>
          </w:r>
          <w:r w:rsidR="00310F1A">
            <w:instrText xml:space="preserve"> TOC \o "1-3" \h \z \u </w:instrText>
          </w:r>
          <w:r>
            <w:fldChar w:fldCharType="separate"/>
          </w:r>
          <w:hyperlink w:anchor="_Toc101208188" w:history="1">
            <w:r w:rsidR="003F1092" w:rsidRPr="000874A9">
              <w:rPr>
                <w:rStyle w:val="Hyperlink"/>
                <w:noProof/>
              </w:rPr>
              <w:t>INTRODUCTION</w:t>
            </w:r>
            <w:r w:rsidR="003F1092">
              <w:rPr>
                <w:noProof/>
                <w:webHidden/>
              </w:rPr>
              <w:tab/>
            </w:r>
            <w:r w:rsidR="003F1092">
              <w:rPr>
                <w:noProof/>
                <w:webHidden/>
              </w:rPr>
              <w:fldChar w:fldCharType="begin"/>
            </w:r>
            <w:r w:rsidR="003F1092">
              <w:rPr>
                <w:noProof/>
                <w:webHidden/>
              </w:rPr>
              <w:instrText xml:space="preserve"> PAGEREF _Toc101208188 \h </w:instrText>
            </w:r>
            <w:r w:rsidR="003F1092">
              <w:rPr>
                <w:noProof/>
                <w:webHidden/>
              </w:rPr>
            </w:r>
            <w:r w:rsidR="003F1092">
              <w:rPr>
                <w:noProof/>
                <w:webHidden/>
              </w:rPr>
              <w:fldChar w:fldCharType="separate"/>
            </w:r>
            <w:r w:rsidR="003F1092">
              <w:rPr>
                <w:noProof/>
                <w:webHidden/>
              </w:rPr>
              <w:t>2</w:t>
            </w:r>
            <w:r w:rsidR="003F1092">
              <w:rPr>
                <w:noProof/>
                <w:webHidden/>
              </w:rPr>
              <w:fldChar w:fldCharType="end"/>
            </w:r>
          </w:hyperlink>
        </w:p>
        <w:p w14:paraId="58E028AF" w14:textId="77777777" w:rsidR="003F1092" w:rsidRDefault="003D2C8F" w:rsidP="003F1092">
          <w:pPr>
            <w:pStyle w:val="TOC1"/>
            <w:tabs>
              <w:tab w:val="right" w:leader="dot" w:pos="9350"/>
            </w:tabs>
            <w:rPr>
              <w:rFonts w:eastAsiaTheme="minorEastAsia"/>
              <w:noProof/>
              <w:sz w:val="22"/>
              <w:lang w:val="en-US"/>
            </w:rPr>
          </w:pPr>
          <w:hyperlink w:anchor="_Toc101208189" w:history="1">
            <w:r w:rsidR="003F1092" w:rsidRPr="000874A9">
              <w:rPr>
                <w:rStyle w:val="Hyperlink"/>
                <w:noProof/>
              </w:rPr>
              <w:t>DIVIDEND DISTRIBUTION POLICY</w:t>
            </w:r>
            <w:r w:rsidR="003F1092">
              <w:rPr>
                <w:noProof/>
                <w:webHidden/>
              </w:rPr>
              <w:tab/>
            </w:r>
            <w:r w:rsidR="003F1092">
              <w:rPr>
                <w:noProof/>
                <w:webHidden/>
              </w:rPr>
              <w:fldChar w:fldCharType="begin"/>
            </w:r>
            <w:r w:rsidR="003F1092">
              <w:rPr>
                <w:noProof/>
                <w:webHidden/>
              </w:rPr>
              <w:instrText xml:space="preserve"> PAGEREF _Toc101208189 \h </w:instrText>
            </w:r>
            <w:r w:rsidR="003F1092">
              <w:rPr>
                <w:noProof/>
                <w:webHidden/>
              </w:rPr>
            </w:r>
            <w:r w:rsidR="003F1092">
              <w:rPr>
                <w:noProof/>
                <w:webHidden/>
              </w:rPr>
              <w:fldChar w:fldCharType="separate"/>
            </w:r>
            <w:r w:rsidR="003F1092">
              <w:rPr>
                <w:noProof/>
                <w:webHidden/>
              </w:rPr>
              <w:t>3</w:t>
            </w:r>
            <w:r w:rsidR="003F1092">
              <w:rPr>
                <w:noProof/>
                <w:webHidden/>
              </w:rPr>
              <w:fldChar w:fldCharType="end"/>
            </w:r>
          </w:hyperlink>
        </w:p>
        <w:p w14:paraId="2A85A66E" w14:textId="77777777" w:rsidR="003F1092" w:rsidRDefault="003D2C8F" w:rsidP="003F1092">
          <w:pPr>
            <w:pStyle w:val="TOC1"/>
            <w:tabs>
              <w:tab w:val="right" w:leader="dot" w:pos="9350"/>
            </w:tabs>
            <w:rPr>
              <w:rFonts w:eastAsiaTheme="minorEastAsia"/>
              <w:noProof/>
              <w:sz w:val="22"/>
              <w:lang w:val="en-US"/>
            </w:rPr>
          </w:pPr>
          <w:hyperlink w:anchor="_Toc101208190" w:history="1">
            <w:r w:rsidR="003F1092" w:rsidRPr="000874A9">
              <w:rPr>
                <w:rStyle w:val="Hyperlink"/>
                <w:noProof/>
              </w:rPr>
              <w:t>MARKET HYPOTHESIS THEORY</w:t>
            </w:r>
            <w:r w:rsidR="003F1092">
              <w:rPr>
                <w:noProof/>
                <w:webHidden/>
              </w:rPr>
              <w:tab/>
            </w:r>
            <w:r w:rsidR="003F1092">
              <w:rPr>
                <w:noProof/>
                <w:webHidden/>
              </w:rPr>
              <w:fldChar w:fldCharType="begin"/>
            </w:r>
            <w:r w:rsidR="003F1092">
              <w:rPr>
                <w:noProof/>
                <w:webHidden/>
              </w:rPr>
              <w:instrText xml:space="preserve"> PAGEREF _Toc101208190 \h </w:instrText>
            </w:r>
            <w:r w:rsidR="003F1092">
              <w:rPr>
                <w:noProof/>
                <w:webHidden/>
              </w:rPr>
            </w:r>
            <w:r w:rsidR="003F1092">
              <w:rPr>
                <w:noProof/>
                <w:webHidden/>
              </w:rPr>
              <w:fldChar w:fldCharType="separate"/>
            </w:r>
            <w:r w:rsidR="003F1092">
              <w:rPr>
                <w:noProof/>
                <w:webHidden/>
              </w:rPr>
              <w:t>5</w:t>
            </w:r>
            <w:r w:rsidR="003F1092">
              <w:rPr>
                <w:noProof/>
                <w:webHidden/>
              </w:rPr>
              <w:fldChar w:fldCharType="end"/>
            </w:r>
          </w:hyperlink>
        </w:p>
        <w:p w14:paraId="644E902B" w14:textId="77777777" w:rsidR="003F1092" w:rsidRDefault="003D2C8F" w:rsidP="003F1092">
          <w:pPr>
            <w:pStyle w:val="TOC1"/>
            <w:tabs>
              <w:tab w:val="right" w:leader="dot" w:pos="9350"/>
            </w:tabs>
            <w:rPr>
              <w:rFonts w:eastAsiaTheme="minorEastAsia"/>
              <w:noProof/>
              <w:sz w:val="22"/>
              <w:lang w:val="en-US"/>
            </w:rPr>
          </w:pPr>
          <w:hyperlink w:anchor="_Toc101208191" w:history="1">
            <w:r w:rsidR="003F1092" w:rsidRPr="000874A9">
              <w:rPr>
                <w:rStyle w:val="Hyperlink"/>
                <w:noProof/>
              </w:rPr>
              <w:t>PROJECT APPRAISAL METHODS</w:t>
            </w:r>
            <w:r w:rsidR="003F1092">
              <w:rPr>
                <w:noProof/>
                <w:webHidden/>
              </w:rPr>
              <w:tab/>
            </w:r>
            <w:r w:rsidR="003F1092">
              <w:rPr>
                <w:noProof/>
                <w:webHidden/>
              </w:rPr>
              <w:fldChar w:fldCharType="begin"/>
            </w:r>
            <w:r w:rsidR="003F1092">
              <w:rPr>
                <w:noProof/>
                <w:webHidden/>
              </w:rPr>
              <w:instrText xml:space="preserve"> PAGEREF _Toc101208191 \h </w:instrText>
            </w:r>
            <w:r w:rsidR="003F1092">
              <w:rPr>
                <w:noProof/>
                <w:webHidden/>
              </w:rPr>
            </w:r>
            <w:r w:rsidR="003F1092">
              <w:rPr>
                <w:noProof/>
                <w:webHidden/>
              </w:rPr>
              <w:fldChar w:fldCharType="separate"/>
            </w:r>
            <w:r w:rsidR="003F1092">
              <w:rPr>
                <w:noProof/>
                <w:webHidden/>
              </w:rPr>
              <w:t>6</w:t>
            </w:r>
            <w:r w:rsidR="003F1092">
              <w:rPr>
                <w:noProof/>
                <w:webHidden/>
              </w:rPr>
              <w:fldChar w:fldCharType="end"/>
            </w:r>
          </w:hyperlink>
        </w:p>
        <w:p w14:paraId="34FDA307" w14:textId="77777777" w:rsidR="003F1092" w:rsidRDefault="003D2C8F" w:rsidP="003F1092">
          <w:pPr>
            <w:pStyle w:val="TOC1"/>
            <w:tabs>
              <w:tab w:val="right" w:leader="dot" w:pos="9350"/>
            </w:tabs>
            <w:rPr>
              <w:rFonts w:eastAsiaTheme="minorEastAsia"/>
              <w:noProof/>
              <w:sz w:val="22"/>
              <w:lang w:val="en-US"/>
            </w:rPr>
          </w:pPr>
          <w:hyperlink w:anchor="_Toc101208192" w:history="1">
            <w:r w:rsidR="003F1092" w:rsidRPr="000874A9">
              <w:rPr>
                <w:rStyle w:val="Hyperlink"/>
                <w:iCs/>
                <w:noProof/>
              </w:rPr>
              <w:t>CONCLUSION</w:t>
            </w:r>
            <w:r w:rsidR="003F1092">
              <w:rPr>
                <w:noProof/>
                <w:webHidden/>
              </w:rPr>
              <w:tab/>
            </w:r>
            <w:r w:rsidR="003F1092">
              <w:rPr>
                <w:noProof/>
                <w:webHidden/>
              </w:rPr>
              <w:fldChar w:fldCharType="begin"/>
            </w:r>
            <w:r w:rsidR="003F1092">
              <w:rPr>
                <w:noProof/>
                <w:webHidden/>
              </w:rPr>
              <w:instrText xml:space="preserve"> PAGEREF _Toc101208192 \h </w:instrText>
            </w:r>
            <w:r w:rsidR="003F1092">
              <w:rPr>
                <w:noProof/>
                <w:webHidden/>
              </w:rPr>
            </w:r>
            <w:r w:rsidR="003F1092">
              <w:rPr>
                <w:noProof/>
                <w:webHidden/>
              </w:rPr>
              <w:fldChar w:fldCharType="separate"/>
            </w:r>
            <w:r w:rsidR="003F1092">
              <w:rPr>
                <w:noProof/>
                <w:webHidden/>
              </w:rPr>
              <w:t>8</w:t>
            </w:r>
            <w:r w:rsidR="003F1092">
              <w:rPr>
                <w:noProof/>
                <w:webHidden/>
              </w:rPr>
              <w:fldChar w:fldCharType="end"/>
            </w:r>
          </w:hyperlink>
        </w:p>
        <w:p w14:paraId="0164227B" w14:textId="77777777" w:rsidR="003F1092" w:rsidRDefault="003D2C8F" w:rsidP="003F1092">
          <w:pPr>
            <w:pStyle w:val="TOC1"/>
            <w:tabs>
              <w:tab w:val="right" w:leader="dot" w:pos="9350"/>
            </w:tabs>
            <w:rPr>
              <w:rFonts w:eastAsiaTheme="minorEastAsia"/>
              <w:noProof/>
              <w:sz w:val="22"/>
              <w:lang w:val="en-US"/>
            </w:rPr>
          </w:pPr>
          <w:hyperlink w:anchor="_Toc101208193" w:history="1">
            <w:r w:rsidR="003F1092" w:rsidRPr="000874A9">
              <w:rPr>
                <w:rStyle w:val="Hyperlink"/>
                <w:iCs/>
                <w:noProof/>
              </w:rPr>
              <w:t>REFERENCES</w:t>
            </w:r>
            <w:r w:rsidR="003F1092">
              <w:rPr>
                <w:noProof/>
                <w:webHidden/>
              </w:rPr>
              <w:tab/>
            </w:r>
            <w:r w:rsidR="003F1092">
              <w:rPr>
                <w:noProof/>
                <w:webHidden/>
              </w:rPr>
              <w:fldChar w:fldCharType="begin"/>
            </w:r>
            <w:r w:rsidR="003F1092">
              <w:rPr>
                <w:noProof/>
                <w:webHidden/>
              </w:rPr>
              <w:instrText xml:space="preserve"> PAGEREF _Toc101208193 \h </w:instrText>
            </w:r>
            <w:r w:rsidR="003F1092">
              <w:rPr>
                <w:noProof/>
                <w:webHidden/>
              </w:rPr>
            </w:r>
            <w:r w:rsidR="003F1092">
              <w:rPr>
                <w:noProof/>
                <w:webHidden/>
              </w:rPr>
              <w:fldChar w:fldCharType="separate"/>
            </w:r>
            <w:r w:rsidR="003F1092">
              <w:rPr>
                <w:noProof/>
                <w:webHidden/>
              </w:rPr>
              <w:t>9</w:t>
            </w:r>
            <w:r w:rsidR="003F1092">
              <w:rPr>
                <w:noProof/>
                <w:webHidden/>
              </w:rPr>
              <w:fldChar w:fldCharType="end"/>
            </w:r>
          </w:hyperlink>
        </w:p>
        <w:p w14:paraId="798B817A" w14:textId="77777777" w:rsidR="00D611A9" w:rsidRDefault="00C42CFB" w:rsidP="003F1092">
          <w:r>
            <w:rPr>
              <w:b/>
              <w:bCs/>
              <w:noProof/>
            </w:rPr>
            <w:fldChar w:fldCharType="end"/>
          </w:r>
        </w:p>
      </w:sdtContent>
    </w:sdt>
    <w:p w14:paraId="77F31962" w14:textId="77777777" w:rsidR="00D611A9" w:rsidRDefault="00BF63F9" w:rsidP="003F1092">
      <w:pPr>
        <w:rPr>
          <w:rFonts w:asciiTheme="majorHAnsi" w:eastAsiaTheme="majorEastAsia" w:hAnsiTheme="majorHAnsi" w:cstheme="majorBidi"/>
          <w:color w:val="365F91" w:themeColor="accent1" w:themeShade="BF"/>
          <w:sz w:val="28"/>
          <w:szCs w:val="28"/>
        </w:rPr>
      </w:pPr>
      <w:r>
        <w:br w:type="page"/>
      </w:r>
    </w:p>
    <w:p w14:paraId="4421B7EB" w14:textId="77777777" w:rsidR="00FE04AB" w:rsidRPr="006F448B" w:rsidRDefault="00BF63F9" w:rsidP="003F1092">
      <w:pPr>
        <w:pStyle w:val="Heading1"/>
        <w:rPr>
          <w:color w:val="000000" w:themeColor="text1"/>
        </w:rPr>
      </w:pPr>
      <w:bookmarkStart w:id="0" w:name="_Toc101208188"/>
      <w:r w:rsidRPr="006F448B">
        <w:rPr>
          <w:color w:val="000000" w:themeColor="text1"/>
        </w:rPr>
        <w:lastRenderedPageBreak/>
        <w:t>INTRODUCTION</w:t>
      </w:r>
      <w:bookmarkEnd w:id="0"/>
    </w:p>
    <w:p w14:paraId="5C997AD3" w14:textId="414FE2AA" w:rsidR="00A15E8F" w:rsidRDefault="00BF63F9" w:rsidP="003F1092">
      <w:r>
        <w:t xml:space="preserve">In this essay the details related to the </w:t>
      </w:r>
      <w:r w:rsidR="001C67A9">
        <w:t xml:space="preserve">dividend distribution strategy </w:t>
      </w:r>
      <w:r w:rsidR="00C03479">
        <w:t>and</w:t>
      </w:r>
      <w:r w:rsidR="001C67A9">
        <w:t xml:space="preserve"> with the theory of market hypothesis that BP </w:t>
      </w:r>
      <w:r w:rsidR="003D2C8F">
        <w:t>has</w:t>
      </w:r>
      <w:r w:rsidR="00996A8B">
        <w:t>,</w:t>
      </w:r>
      <w:r w:rsidR="001C67A9">
        <w:t xml:space="preserve"> and </w:t>
      </w:r>
      <w:r w:rsidR="00C03479">
        <w:t>the</w:t>
      </w:r>
      <w:r w:rsidR="001C67A9">
        <w:t xml:space="preserve"> details related to the use of project appraisal techniques to analyse the financial management of the company.</w:t>
      </w:r>
    </w:p>
    <w:p w14:paraId="0709E34C" w14:textId="77777777" w:rsidR="00A15E8F" w:rsidRDefault="00BF63F9" w:rsidP="003F1092">
      <w:pPr>
        <w:spacing w:before="0" w:after="200"/>
        <w:jc w:val="left"/>
      </w:pPr>
      <w:r>
        <w:br w:type="page"/>
      </w:r>
    </w:p>
    <w:p w14:paraId="21618AA4" w14:textId="77777777" w:rsidR="00A07415" w:rsidRPr="006F448B" w:rsidRDefault="00BF63F9" w:rsidP="003F1092">
      <w:pPr>
        <w:pStyle w:val="Heading1"/>
        <w:rPr>
          <w:color w:val="000000" w:themeColor="text1"/>
        </w:rPr>
      </w:pPr>
      <w:bookmarkStart w:id="1" w:name="_Toc101208189"/>
      <w:r w:rsidRPr="006F448B">
        <w:rPr>
          <w:color w:val="000000" w:themeColor="text1"/>
        </w:rPr>
        <w:lastRenderedPageBreak/>
        <w:t>DIVIDEND DISTRIBUTION POLICY</w:t>
      </w:r>
      <w:bookmarkEnd w:id="1"/>
    </w:p>
    <w:p w14:paraId="3610799D" w14:textId="0E74285C" w:rsidR="00842B2D" w:rsidRDefault="00BF63F9" w:rsidP="003F1092">
      <w:r>
        <w:t xml:space="preserve">The dividend distribution policy of any organisation </w:t>
      </w:r>
      <w:r w:rsidR="00996A8B">
        <w:t>is</w:t>
      </w:r>
      <w:r>
        <w:t xml:space="preserve"> an integral part of its funding decisions. </w:t>
      </w:r>
      <w:r w:rsidR="006C05A2">
        <w:t>This policy is framed with respect to the choice of a business concerning the distribution</w:t>
      </w:r>
      <w:r w:rsidR="00943DA9">
        <w:t xml:space="preserve"> and retention</w:t>
      </w:r>
      <w:r w:rsidR="006C05A2">
        <w:t xml:space="preserve"> of its </w:t>
      </w:r>
      <w:r w:rsidR="00943DA9">
        <w:t xml:space="preserve">profits. </w:t>
      </w:r>
      <w:r w:rsidR="002C2091">
        <w:t xml:space="preserve">This choice allows the business to implement the option of sharing the profits earned by it during the year with the shareholders </w:t>
      </w:r>
      <w:r w:rsidR="00087CA2">
        <w:t xml:space="preserve">in the form of dividends or </w:t>
      </w:r>
      <w:r w:rsidR="003D2C8F">
        <w:t>keeping</w:t>
      </w:r>
      <w:r w:rsidR="00087CA2">
        <w:t xml:space="preserve"> the profits to raise its capital and </w:t>
      </w:r>
      <w:r w:rsidR="003D2C8F">
        <w:t>use</w:t>
      </w:r>
      <w:r w:rsidR="00087CA2">
        <w:t xml:space="preserve"> the earnings within the business</w:t>
      </w:r>
      <w:r w:rsidR="00AF2C3B">
        <w:t xml:space="preserve"> (</w:t>
      </w:r>
      <w:r w:rsidR="00AF2C3B" w:rsidRPr="00325822">
        <w:t>Pattiru</w:t>
      </w:r>
      <w:r w:rsidR="00AF2C3B">
        <w:t xml:space="preserve">hu and PAAIS, 2020). The decision making </w:t>
      </w:r>
      <w:r w:rsidR="003D2C8F">
        <w:t>about</w:t>
      </w:r>
      <w:r w:rsidR="00AF2C3B">
        <w:t xml:space="preserve"> choosing the </w:t>
      </w:r>
      <w:r w:rsidR="001F79E2">
        <w:t>right</w:t>
      </w:r>
      <w:r w:rsidR="00AF2C3B">
        <w:t xml:space="preserve"> </w:t>
      </w:r>
      <w:r w:rsidR="003D2C8F">
        <w:t>choice</w:t>
      </w:r>
      <w:r w:rsidR="00AF2C3B">
        <w:t xml:space="preserve"> to be executed is critical as the decision to provide dividends reduces the level of earnings from the business, while the decision of not distributing dividends and </w:t>
      </w:r>
      <w:r w:rsidR="003D2C8F">
        <w:t>keeping</w:t>
      </w:r>
      <w:r w:rsidR="00AF2C3B">
        <w:t xml:space="preserve"> or reinvest</w:t>
      </w:r>
      <w:r w:rsidR="001F79E2">
        <w:t xml:space="preserve">ing profits can trigger a sense of demotivation or </w:t>
      </w:r>
      <w:r w:rsidR="00904D0C">
        <w:t>dissatisfaction with the business.</w:t>
      </w:r>
      <w:r w:rsidR="00AF2C3B">
        <w:t xml:space="preserve"> </w:t>
      </w:r>
      <w:r w:rsidR="0023433F">
        <w:t>The</w:t>
      </w:r>
      <w:r w:rsidR="007B05D5">
        <w:t xml:space="preserve"> dividend policy is framed after addressing the influences caused by the level of leverage, liquidity, and profitability </w:t>
      </w:r>
      <w:r w:rsidR="00325822">
        <w:t>(</w:t>
      </w:r>
      <w:r w:rsidR="00325822" w:rsidRPr="00325822">
        <w:t>Pattiru</w:t>
      </w:r>
      <w:r w:rsidR="00325822">
        <w:t xml:space="preserve">hu and PAAIS, 2020). </w:t>
      </w:r>
    </w:p>
    <w:p w14:paraId="3116532E" w14:textId="77777777" w:rsidR="00F3515E" w:rsidRDefault="00BF63F9" w:rsidP="003F1092">
      <w:r>
        <w:t xml:space="preserve">The dividend distribution is considered one of the most prominent financial decisions of the business which also influences its </w:t>
      </w:r>
      <w:r w:rsidR="00671A6E">
        <w:t>financial performance. The key factors that affect this policy</w:t>
      </w:r>
      <w:r w:rsidR="00414E8A">
        <w:t>, as per KANAKRIYAH</w:t>
      </w:r>
      <w:r w:rsidR="00414E8A" w:rsidRPr="00330B1A">
        <w:t xml:space="preserve"> </w:t>
      </w:r>
      <w:r w:rsidR="00414E8A">
        <w:t>(2020)</w:t>
      </w:r>
      <w:r w:rsidR="00671A6E">
        <w:t xml:space="preserve"> include the following:</w:t>
      </w:r>
    </w:p>
    <w:p w14:paraId="4081C8B4" w14:textId="77777777" w:rsidR="00F3515E" w:rsidRDefault="00BF63F9" w:rsidP="003F1092">
      <w:pPr>
        <w:pStyle w:val="ListParagraph"/>
        <w:numPr>
          <w:ilvl w:val="0"/>
          <w:numId w:val="2"/>
        </w:numPr>
      </w:pPr>
      <w:r>
        <w:t>Legislation prevailing</w:t>
      </w:r>
    </w:p>
    <w:p w14:paraId="4DFD75AF" w14:textId="77777777" w:rsidR="00F3515E" w:rsidRDefault="00BF63F9" w:rsidP="003F1092">
      <w:pPr>
        <w:pStyle w:val="ListParagraph"/>
        <w:numPr>
          <w:ilvl w:val="0"/>
          <w:numId w:val="2"/>
        </w:numPr>
      </w:pPr>
      <w:r>
        <w:t>Availability of cash or sufficient liquidity</w:t>
      </w:r>
    </w:p>
    <w:p w14:paraId="0F98A1AE" w14:textId="77777777" w:rsidR="00F3515E" w:rsidRDefault="00BF63F9" w:rsidP="003F1092">
      <w:pPr>
        <w:pStyle w:val="ListParagraph"/>
        <w:numPr>
          <w:ilvl w:val="0"/>
          <w:numId w:val="2"/>
        </w:numPr>
      </w:pPr>
      <w:r>
        <w:t>Growth and expansion motives of the business</w:t>
      </w:r>
    </w:p>
    <w:p w14:paraId="6D7F4149" w14:textId="77777777" w:rsidR="00BA7BFE" w:rsidRDefault="00BF63F9" w:rsidP="003F1092">
      <w:pPr>
        <w:pStyle w:val="ListParagraph"/>
        <w:numPr>
          <w:ilvl w:val="0"/>
          <w:numId w:val="2"/>
        </w:numPr>
      </w:pPr>
      <w:r>
        <w:lastRenderedPageBreak/>
        <w:t>Investment opportunities before the business</w:t>
      </w:r>
    </w:p>
    <w:p w14:paraId="45F88CBF" w14:textId="77777777" w:rsidR="000A20CE" w:rsidRDefault="00BF63F9" w:rsidP="003F1092">
      <w:pPr>
        <w:pStyle w:val="ListParagraph"/>
        <w:numPr>
          <w:ilvl w:val="0"/>
          <w:numId w:val="2"/>
        </w:numPr>
      </w:pPr>
      <w:r>
        <w:t>Factors associated with capital markets and stakeholders</w:t>
      </w:r>
    </w:p>
    <w:p w14:paraId="6B3C65B5" w14:textId="77777777" w:rsidR="00574C43" w:rsidRDefault="00BF63F9" w:rsidP="003F1092">
      <w:r>
        <w:t>Dividends can be paid in various forms apart from cash such as scrip dividends, new shares, shares split, shares</w:t>
      </w:r>
      <w:r w:rsidR="0023051E">
        <w:t xml:space="preserve"> buyback or reverse stock splits, bond dividends, etc. Any of such dividends can be distributed </w:t>
      </w:r>
      <w:r w:rsidR="00330B1A">
        <w:t>with the agreement to the shareholders (</w:t>
      </w:r>
      <w:r w:rsidR="00330B1A" w:rsidRPr="00330B1A">
        <w:t xml:space="preserve">KANAKRIYAH, </w:t>
      </w:r>
      <w:r w:rsidR="00330B1A">
        <w:t xml:space="preserve">2020). </w:t>
      </w:r>
    </w:p>
    <w:p w14:paraId="0716C74B" w14:textId="619CB98E" w:rsidR="00E84E4E" w:rsidRDefault="00BF63F9" w:rsidP="003F1092">
      <w:r>
        <w:t xml:space="preserve">BP PLC has framed its dividend distribution policy with the aim of maximising the wealth of its shareholders. </w:t>
      </w:r>
      <w:r w:rsidR="00FB3AC2">
        <w:t>It actively pays dividends to the shareholders</w:t>
      </w:r>
      <w:r w:rsidR="0007512C">
        <w:t xml:space="preserve"> every quarter</w:t>
      </w:r>
      <w:r w:rsidR="008812DB">
        <w:t xml:space="preserve"> </w:t>
      </w:r>
      <w:r w:rsidR="003D2C8F">
        <w:t>by</w:t>
      </w:r>
      <w:r w:rsidR="008812DB">
        <w:t xml:space="preserve"> the decision </w:t>
      </w:r>
      <w:r w:rsidR="00832A83">
        <w:t xml:space="preserve">made by the board. </w:t>
      </w:r>
      <w:r w:rsidR="0007512C">
        <w:t xml:space="preserve">It also offers an interim dividend, </w:t>
      </w:r>
      <w:r w:rsidR="00996A8B">
        <w:t>i.e.,</w:t>
      </w:r>
      <w:r w:rsidR="0007512C">
        <w:t xml:space="preserve"> dividend paid during the year, which is paid </w:t>
      </w:r>
      <w:r w:rsidR="00082A0C">
        <w:t xml:space="preserve">around eight weeks </w:t>
      </w:r>
      <w:r w:rsidR="00005699">
        <w:t xml:space="preserve">after it is announced. The organisation holds the right of changing the time or amount of dividend </w:t>
      </w:r>
      <w:r w:rsidR="00C537BD">
        <w:t>payment without any prior notice</w:t>
      </w:r>
      <w:r w:rsidR="00CA57E9">
        <w:t xml:space="preserve"> (BP </w:t>
      </w:r>
      <w:r>
        <w:t>PLC</w:t>
      </w:r>
      <w:r w:rsidR="00CA57E9">
        <w:t xml:space="preserve">, 2022). </w:t>
      </w:r>
      <w:r w:rsidR="00603632">
        <w:t xml:space="preserve">BP </w:t>
      </w:r>
      <w:r>
        <w:t xml:space="preserve">PLC </w:t>
      </w:r>
      <w:r w:rsidR="00603632">
        <w:t xml:space="preserve">announces a </w:t>
      </w:r>
      <w:r w:rsidR="00C1695C">
        <w:t>dividend every quarter with the announcement of its operating results. The</w:t>
      </w:r>
      <w:r w:rsidR="00CB6048">
        <w:t xml:space="preserve"> ordinary shareholders and </w:t>
      </w:r>
      <w:r w:rsidR="00CB6048" w:rsidRPr="00CB6048">
        <w:t>ADS holders</w:t>
      </w:r>
      <w:r w:rsidR="00CB6048">
        <w:t xml:space="preserve"> of the organisation are free to choose their form of dividend which can be availed within cash or reinvested to avail more shares of the organisation in future. </w:t>
      </w:r>
      <w:r w:rsidR="00823542">
        <w:t xml:space="preserve">The preference shareholders of the business </w:t>
      </w:r>
      <w:r w:rsidR="008B1759">
        <w:t>receive dividends twice a year which are paid in the form of cash</w:t>
      </w:r>
      <w:r w:rsidR="006A1975">
        <w:t xml:space="preserve"> (BP </w:t>
      </w:r>
      <w:r>
        <w:t>PLC</w:t>
      </w:r>
      <w:r w:rsidR="006A1975">
        <w:t xml:space="preserve">, 2022). </w:t>
      </w:r>
      <w:r w:rsidR="0038230D">
        <w:t>The organisation paid the latest amount of dividend</w:t>
      </w:r>
      <w:r w:rsidR="00BD3323">
        <w:t xml:space="preserve"> for the fourth quarter of 2021 amounting to 5.46 cents per ordinary share</w:t>
      </w:r>
      <w:r>
        <w:t xml:space="preserve"> (BP, </w:t>
      </w:r>
      <w:r w:rsidR="005C67CF">
        <w:t>2021).</w:t>
      </w:r>
    </w:p>
    <w:p w14:paraId="0FE84983" w14:textId="77777777" w:rsidR="005C67CF" w:rsidRDefault="00BF63F9" w:rsidP="003F1092">
      <w:pPr>
        <w:jc w:val="center"/>
      </w:pPr>
      <w:r>
        <w:rPr>
          <w:noProof/>
          <w:lang w:val="en-US"/>
        </w:rPr>
        <w:lastRenderedPageBreak/>
        <w:drawing>
          <wp:inline distT="0" distB="0" distL="0" distR="0" wp14:anchorId="7F833D34" wp14:editId="621B7253">
            <wp:extent cx="5941018" cy="1714500"/>
            <wp:effectExtent l="19050" t="0" r="2582"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10" cstate="print"/>
                    <a:stretch>
                      <a:fillRect/>
                    </a:stretch>
                  </pic:blipFill>
                  <pic:spPr bwMode="auto">
                    <a:xfrm>
                      <a:off x="0" y="0"/>
                      <a:ext cx="5943600" cy="1715245"/>
                    </a:xfrm>
                    <a:prstGeom prst="rect">
                      <a:avLst/>
                    </a:prstGeom>
                    <a:noFill/>
                    <a:ln w="9525">
                      <a:noFill/>
                      <a:miter lim="800000"/>
                      <a:headEnd/>
                      <a:tailEnd/>
                    </a:ln>
                  </pic:spPr>
                </pic:pic>
              </a:graphicData>
            </a:graphic>
          </wp:inline>
        </w:drawing>
      </w:r>
    </w:p>
    <w:p w14:paraId="5D58E215" w14:textId="77777777" w:rsidR="005C67CF" w:rsidRDefault="00BF63F9" w:rsidP="003F1092">
      <w:pPr>
        <w:jc w:val="center"/>
      </w:pPr>
      <w:r>
        <w:t>Figure: Latest dividend details of BP PLC</w:t>
      </w:r>
    </w:p>
    <w:p w14:paraId="35E62203" w14:textId="77777777" w:rsidR="005C67CF" w:rsidRDefault="00BF63F9" w:rsidP="003F1092">
      <w:pPr>
        <w:jc w:val="center"/>
      </w:pPr>
      <w:r>
        <w:t>Source: BP, 2021.</w:t>
      </w:r>
    </w:p>
    <w:p w14:paraId="58B39385" w14:textId="77777777" w:rsidR="00FE04AB" w:rsidRDefault="00BF63F9" w:rsidP="003F1092">
      <w:r>
        <w:br w:type="page"/>
      </w:r>
    </w:p>
    <w:p w14:paraId="7C2F4BA0" w14:textId="77777777" w:rsidR="00801F3B" w:rsidRPr="006F448B" w:rsidRDefault="00BF63F9" w:rsidP="003F1092">
      <w:pPr>
        <w:pStyle w:val="Heading1"/>
        <w:rPr>
          <w:color w:val="000000" w:themeColor="text1"/>
        </w:rPr>
      </w:pPr>
      <w:bookmarkStart w:id="2" w:name="_Toc101208190"/>
      <w:r w:rsidRPr="006F448B">
        <w:rPr>
          <w:color w:val="000000" w:themeColor="text1"/>
        </w:rPr>
        <w:lastRenderedPageBreak/>
        <w:t>MARKET HYPOTHESIS THEORY</w:t>
      </w:r>
      <w:bookmarkEnd w:id="2"/>
    </w:p>
    <w:p w14:paraId="3D75320F" w14:textId="51C7E5EB" w:rsidR="006573E5" w:rsidRDefault="00BF63F9" w:rsidP="003F1092">
      <w:r>
        <w:t xml:space="preserve">Market hypothesis theory states that the market incorporates all the relevant information in affecting the </w:t>
      </w:r>
      <w:r w:rsidR="00674146">
        <w:t>prices</w:t>
      </w:r>
      <w:r>
        <w:t xml:space="preserve"> of securities and </w:t>
      </w:r>
      <w:r w:rsidR="00674146">
        <w:t>thus</w:t>
      </w:r>
      <w:r>
        <w:t xml:space="preserve"> investors </w:t>
      </w:r>
      <w:r w:rsidR="00674146">
        <w:t>might</w:t>
      </w:r>
      <w:r>
        <w:t xml:space="preserve"> get lucky in getting short ter</w:t>
      </w:r>
      <w:r w:rsidR="00AC6487">
        <w:t>m</w:t>
      </w:r>
      <w:r>
        <w:t xml:space="preserve"> </w:t>
      </w:r>
      <w:r w:rsidR="00AC6487">
        <w:t>profits</w:t>
      </w:r>
      <w:r>
        <w:t xml:space="preserve"> by making the varying decision of buying or selling securities, in long term, it cannot </w:t>
      </w:r>
      <w:r w:rsidR="00AC6487">
        <w:t>sustain</w:t>
      </w:r>
      <w:r>
        <w:t xml:space="preserve"> the </w:t>
      </w:r>
      <w:r w:rsidR="00674146">
        <w:t>profitability</w:t>
      </w:r>
      <w:r>
        <w:t xml:space="preserve"> of investors. </w:t>
      </w:r>
      <w:r w:rsidR="00483707">
        <w:t xml:space="preserve">The market hypothesis theory is suggested in three forms that are weak, </w:t>
      </w:r>
      <w:r w:rsidR="00996A8B">
        <w:t>strong,</w:t>
      </w:r>
      <w:r w:rsidR="00483707">
        <w:t xml:space="preserve"> and semi-strong.</w:t>
      </w:r>
      <w:r w:rsidR="00C54434">
        <w:t xml:space="preserve"> </w:t>
      </w:r>
      <w:r w:rsidR="00762189">
        <w:t>A major co</w:t>
      </w:r>
      <w:r w:rsidR="00614C6F">
        <w:t xml:space="preserve">nclusion of this theory is to always trade at </w:t>
      </w:r>
      <w:r w:rsidR="003D2C8F">
        <w:t>reasonable value</w:t>
      </w:r>
      <w:r w:rsidR="00614C6F">
        <w:t xml:space="preserve"> and thus this </w:t>
      </w:r>
      <w:r w:rsidR="003C77F8">
        <w:t>will make it impossible to buy</w:t>
      </w:r>
      <w:r w:rsidR="00614C6F">
        <w:t xml:space="preserve"> either und</w:t>
      </w:r>
      <w:r w:rsidR="002542E7">
        <w:t xml:space="preserve">ervalued </w:t>
      </w:r>
      <w:r w:rsidR="003C77F8">
        <w:t>or</w:t>
      </w:r>
      <w:r w:rsidR="002542E7">
        <w:t xml:space="preserve"> </w:t>
      </w:r>
      <w:r w:rsidR="003C77F8">
        <w:t xml:space="preserve">sell stocks at </w:t>
      </w:r>
      <w:r w:rsidR="002542E7">
        <w:t>overpriced share pr</w:t>
      </w:r>
      <w:r w:rsidR="00614C6F">
        <w:t>ices</w:t>
      </w:r>
      <w:r w:rsidR="003C77F8">
        <w:t xml:space="preserve"> to increase profits</w:t>
      </w:r>
      <w:r w:rsidR="00614C6F">
        <w:t>.</w:t>
      </w:r>
      <w:r w:rsidR="004A12C8">
        <w:t xml:space="preserve"> The analysis of the stock prices of BP PLC through the market hypothesis theory can be translated to strong from. As in the practical market conditions, </w:t>
      </w:r>
      <w:r w:rsidR="00996A8B">
        <w:t>prices</w:t>
      </w:r>
      <w:r w:rsidR="004A12C8">
        <w:t xml:space="preserve"> fluctuate on the very </w:t>
      </w:r>
      <w:r w:rsidR="003D2C8F">
        <w:t>second news</w:t>
      </w:r>
      <w:r w:rsidR="004A12C8">
        <w:t xml:space="preserve"> comes about the companies. This makes the use of technical and fundamental analysis in making decisions that reflect </w:t>
      </w:r>
      <w:r w:rsidR="005D6058">
        <w:t>better investment decisions</w:t>
      </w:r>
      <w:r w:rsidR="00282668">
        <w:t xml:space="preserve"> (CFI, 2022)</w:t>
      </w:r>
      <w:r w:rsidR="005D6058">
        <w:t xml:space="preserve">. This prevents the </w:t>
      </w:r>
      <w:r w:rsidR="00124AD6">
        <w:t>investors</w:t>
      </w:r>
      <w:r w:rsidR="005D6058">
        <w:t xml:space="preserve"> from buying </w:t>
      </w:r>
      <w:r w:rsidR="00124AD6">
        <w:t>securities</w:t>
      </w:r>
      <w:r w:rsidR="005D6058">
        <w:t xml:space="preserve"> of BP PLC </w:t>
      </w:r>
      <w:r w:rsidR="00124AD6">
        <w:t>at the</w:t>
      </w:r>
      <w:r w:rsidR="005D6058">
        <w:t xml:space="preserve"> </w:t>
      </w:r>
      <w:r w:rsidR="00124AD6">
        <w:t xml:space="preserve">correct market prices to prevent </w:t>
      </w:r>
      <w:r w:rsidR="005D6058">
        <w:t xml:space="preserve">abnormal </w:t>
      </w:r>
      <w:r w:rsidR="00124AD6">
        <w:t>losses</w:t>
      </w:r>
      <w:r w:rsidR="005D6058">
        <w:t xml:space="preserve"> and gains. </w:t>
      </w:r>
      <w:r w:rsidR="00D96374">
        <w:t xml:space="preserve">The information that may not be available to the public also impacts the stock prices of BP plc. Being a public limited company, it </w:t>
      </w:r>
      <w:r w:rsidR="00996A8B">
        <w:t>must</w:t>
      </w:r>
      <w:r w:rsidR="00D96374">
        <w:t xml:space="preserve"> follow the code of corporate governance that directs the display of information that is </w:t>
      </w:r>
      <w:r w:rsidR="00557FB7">
        <w:t>necessary</w:t>
      </w:r>
      <w:r w:rsidR="00D96374">
        <w:t xml:space="preserve"> to be known by the public so that investors can make an enhanced</w:t>
      </w:r>
      <w:r w:rsidR="00723F12">
        <w:t xml:space="preserve"> decision </w:t>
      </w:r>
      <w:r w:rsidR="00557FB7">
        <w:t>related</w:t>
      </w:r>
      <w:r w:rsidR="00723F12">
        <w:t xml:space="preserve"> to the </w:t>
      </w:r>
      <w:r w:rsidR="00557FB7">
        <w:t>buying</w:t>
      </w:r>
      <w:r w:rsidR="00723F12">
        <w:t xml:space="preserve"> </w:t>
      </w:r>
      <w:r w:rsidR="00557FB7">
        <w:t>or selling</w:t>
      </w:r>
      <w:r w:rsidR="00723F12">
        <w:t xml:space="preserve"> of the stocks</w:t>
      </w:r>
      <w:r w:rsidR="00772CBC">
        <w:t xml:space="preserve"> (CFI, 2022)</w:t>
      </w:r>
      <w:r w:rsidR="00723F12">
        <w:t xml:space="preserve">. </w:t>
      </w:r>
      <w:r w:rsidR="00D96374">
        <w:t xml:space="preserve"> </w:t>
      </w:r>
    </w:p>
    <w:p w14:paraId="540E49E2" w14:textId="04E85EC6" w:rsidR="0092665B" w:rsidRDefault="00BF63F9" w:rsidP="003F1092">
      <w:r>
        <w:t xml:space="preserve">As presented by Hurst (2022), the decision of BP PLC from exiting the Russian market has lowered the share prices of the company as the revenues will be decreased and this leads to a fall </w:t>
      </w:r>
      <w:r>
        <w:lastRenderedPageBreak/>
        <w:t xml:space="preserve">in net </w:t>
      </w:r>
      <w:r w:rsidR="00654C7C">
        <w:t>profits</w:t>
      </w:r>
      <w:r>
        <w:t xml:space="preserve"> from the company. </w:t>
      </w:r>
      <w:r w:rsidR="00654C7C">
        <w:t xml:space="preserve">This has </w:t>
      </w:r>
      <w:r w:rsidR="00512EF3">
        <w:t>occurred</w:t>
      </w:r>
      <w:r w:rsidR="00654C7C">
        <w:t xml:space="preserve"> as the result of ending the contract with Russian company Rosneft PJSC. </w:t>
      </w:r>
      <w:r w:rsidR="00512EF3">
        <w:t>Investors</w:t>
      </w:r>
      <w:r w:rsidR="00485171">
        <w:t xml:space="preserve"> weigh the cost of the potential benefit of exiting the Russian market and this correction has taken place in the securities prices of stock of BP plc. </w:t>
      </w:r>
      <w:r w:rsidR="006645C3">
        <w:t xml:space="preserve">One of the main reasons for </w:t>
      </w:r>
      <w:r w:rsidR="00512EF3">
        <w:t>these price fluctuations</w:t>
      </w:r>
      <w:r w:rsidR="006645C3">
        <w:t xml:space="preserve"> is the impact that this decision made on the financial performance of the company, as the </w:t>
      </w:r>
      <w:r w:rsidR="00512EF3">
        <w:t>British</w:t>
      </w:r>
      <w:r w:rsidR="006645C3">
        <w:t xml:space="preserve"> Gas giant will need to write off $25 Billion as the result of ending </w:t>
      </w:r>
      <w:r w:rsidR="00512EF3">
        <w:t>the partnership</w:t>
      </w:r>
      <w:r w:rsidR="006645C3">
        <w:t xml:space="preserve"> between the two companies. </w:t>
      </w:r>
      <w:r w:rsidR="00512EF3">
        <w:t xml:space="preserve">This led to the basis of the strong market hypothesis theory as the </w:t>
      </w:r>
      <w:r w:rsidR="00945B08">
        <w:t>information</w:t>
      </w:r>
      <w:r w:rsidR="00512EF3">
        <w:t xml:space="preserve"> </w:t>
      </w:r>
      <w:r w:rsidR="00945B08">
        <w:t>that</w:t>
      </w:r>
      <w:r w:rsidR="00512EF3">
        <w:t xml:space="preserve"> is publically available to the </w:t>
      </w:r>
      <w:r w:rsidR="00945B08">
        <w:t>investor</w:t>
      </w:r>
      <w:r w:rsidR="00512EF3">
        <w:t xml:space="preserve"> </w:t>
      </w:r>
      <w:r w:rsidR="003D2C8F">
        <w:t>affects</w:t>
      </w:r>
      <w:r w:rsidR="00512EF3">
        <w:t xml:space="preserve"> the share prices of the company. Regulating the </w:t>
      </w:r>
      <w:r w:rsidR="00BE215A">
        <w:t>investors’</w:t>
      </w:r>
      <w:r w:rsidR="00512EF3">
        <w:t xml:space="preserve"> decision through making the use of effective market </w:t>
      </w:r>
      <w:r w:rsidR="00945B08">
        <w:t>hypothesis</w:t>
      </w:r>
      <w:r w:rsidR="00512EF3">
        <w:t xml:space="preserve"> theory, stability in investing activities arrives so that investors can be saved from irregularities of the market</w:t>
      </w:r>
      <w:r w:rsidR="00344F84">
        <w:t xml:space="preserve"> (Hurst, 2022)</w:t>
      </w:r>
      <w:r w:rsidR="00512EF3">
        <w:t xml:space="preserve">. </w:t>
      </w:r>
    </w:p>
    <w:p w14:paraId="4335342D" w14:textId="77777777" w:rsidR="000365AB" w:rsidRPr="006F448B" w:rsidRDefault="00BF63F9" w:rsidP="003F1092">
      <w:pPr>
        <w:pStyle w:val="Heading1"/>
        <w:rPr>
          <w:color w:val="000000" w:themeColor="text1"/>
        </w:rPr>
      </w:pPr>
      <w:bookmarkStart w:id="3" w:name="_Toc101208191"/>
      <w:r w:rsidRPr="006F448B">
        <w:rPr>
          <w:color w:val="000000" w:themeColor="text1"/>
        </w:rPr>
        <w:t>PROJECT APPRAISAL METHODS</w:t>
      </w:r>
      <w:bookmarkEnd w:id="3"/>
    </w:p>
    <w:p w14:paraId="6B1F6A5A" w14:textId="45CC83FE" w:rsidR="006D59A7" w:rsidRDefault="00BF63F9" w:rsidP="003F1092">
      <w:r>
        <w:t xml:space="preserve">As </w:t>
      </w:r>
      <w:r w:rsidR="003D2C8F">
        <w:t>said</w:t>
      </w:r>
      <w:r>
        <w:t xml:space="preserve"> by Ghosh (2021), p</w:t>
      </w:r>
      <w:r w:rsidR="00442464">
        <w:t xml:space="preserve">roject appraisal is the method of making decisions related to the risk and return analysis of the projects. It is important to know the </w:t>
      </w:r>
      <w:r w:rsidR="001B09BE">
        <w:t>potential</w:t>
      </w:r>
      <w:r w:rsidR="00442464">
        <w:t xml:space="preserve"> benefits that can be derived from </w:t>
      </w:r>
      <w:r w:rsidR="002C3331">
        <w:t>the</w:t>
      </w:r>
      <w:r w:rsidR="00442464">
        <w:t xml:space="preserve"> projects to make sure that business organisations implement proper decisions related to the choice of projects.</w:t>
      </w:r>
      <w:r w:rsidR="001B09BE">
        <w:t xml:space="preserve"> There are five types of project appraisal </w:t>
      </w:r>
      <w:r>
        <w:t>methods</w:t>
      </w:r>
      <w:r w:rsidR="001B09BE">
        <w:t xml:space="preserve"> that can be used by companies, but BP </w:t>
      </w:r>
      <w:r w:rsidR="007578A7">
        <w:t>Plc</w:t>
      </w:r>
      <w:r w:rsidR="001B09BE">
        <w:t xml:space="preserve"> makes the u</w:t>
      </w:r>
      <w:r>
        <w:t>s</w:t>
      </w:r>
      <w:r w:rsidR="001B09BE">
        <w:t xml:space="preserve">e of three methods of project appraisal that are financial analysis, technical </w:t>
      </w:r>
      <w:r w:rsidR="00996A8B">
        <w:t>analysis,</w:t>
      </w:r>
      <w:r w:rsidR="001B09BE">
        <w:t xml:space="preserve"> and economic analysis.</w:t>
      </w:r>
    </w:p>
    <w:p w14:paraId="2F3FEDE4" w14:textId="4F332447" w:rsidR="006D59A7" w:rsidRDefault="00BF63F9" w:rsidP="003F1092">
      <w:pPr>
        <w:rPr>
          <w:b/>
        </w:rPr>
      </w:pPr>
      <w:r>
        <w:rPr>
          <w:b/>
        </w:rPr>
        <w:lastRenderedPageBreak/>
        <w:t xml:space="preserve">Economic </w:t>
      </w:r>
      <w:r w:rsidR="00007298">
        <w:rPr>
          <w:b/>
        </w:rPr>
        <w:t>feasibility</w:t>
      </w:r>
      <w:r w:rsidR="00DA209B">
        <w:rPr>
          <w:b/>
        </w:rPr>
        <w:t xml:space="preserve">: </w:t>
      </w:r>
      <w:r w:rsidR="00DA209B" w:rsidRPr="0011588A">
        <w:t>this is related to the</w:t>
      </w:r>
      <w:r w:rsidR="00EC58DD" w:rsidRPr="0011588A">
        <w:t xml:space="preserve"> making analysis rel</w:t>
      </w:r>
      <w:r w:rsidR="00DA209B" w:rsidRPr="0011588A">
        <w:t>ated to the availability of various resources that is important in serving the role of making bette</w:t>
      </w:r>
      <w:r w:rsidR="00944E3E" w:rsidRPr="0011588A">
        <w:t>r project appraisal decisions.</w:t>
      </w:r>
      <w:r w:rsidR="007578A7" w:rsidRPr="0011588A">
        <w:t xml:space="preserve"> It is important to assess the condition of the market so that once the project is taken the resources can be strategically implemented in it</w:t>
      </w:r>
      <w:r w:rsidR="003D2C8F" w:rsidRPr="0011588A">
        <w:t xml:space="preserve">. </w:t>
      </w:r>
      <w:r w:rsidR="00996A8B" w:rsidRPr="0011588A">
        <w:t>Therefore,</w:t>
      </w:r>
      <w:r w:rsidR="000B4812" w:rsidRPr="0011588A">
        <w:t xml:space="preserve"> BP makes use of the economic feasibility technique in analysing the current </w:t>
      </w:r>
      <w:r w:rsidR="0011588A" w:rsidRPr="0011588A">
        <w:t>economic</w:t>
      </w:r>
      <w:r w:rsidR="000B4812" w:rsidRPr="0011588A">
        <w:t xml:space="preserve"> conditions of </w:t>
      </w:r>
      <w:r w:rsidR="0011588A" w:rsidRPr="0011588A">
        <w:t>the</w:t>
      </w:r>
      <w:r w:rsidR="000B4812" w:rsidRPr="0011588A">
        <w:t xml:space="preserve"> market and the </w:t>
      </w:r>
      <w:r w:rsidR="0011588A" w:rsidRPr="0011588A">
        <w:t>potential</w:t>
      </w:r>
      <w:r w:rsidR="000B4812" w:rsidRPr="0011588A">
        <w:t xml:space="preserve"> changes that can </w:t>
      </w:r>
      <w:r w:rsidR="0011588A" w:rsidRPr="0011588A">
        <w:t>be</w:t>
      </w:r>
      <w:r w:rsidR="000B4812" w:rsidRPr="0011588A">
        <w:t xml:space="preserve"> expected of the market so that the performance and productivity can be increased</w:t>
      </w:r>
      <w:r w:rsidR="005D7145">
        <w:t xml:space="preserve"> (Ghosh, 2021)</w:t>
      </w:r>
      <w:r w:rsidR="000B4812" w:rsidRPr="0011588A">
        <w:t xml:space="preserve">. </w:t>
      </w:r>
    </w:p>
    <w:p w14:paraId="42960C95" w14:textId="128A87BA" w:rsidR="00FC3097" w:rsidRPr="00C80B2D" w:rsidRDefault="00BF63F9" w:rsidP="003F1092">
      <w:r>
        <w:rPr>
          <w:b/>
        </w:rPr>
        <w:t xml:space="preserve">Technical </w:t>
      </w:r>
      <w:r w:rsidR="00007298">
        <w:rPr>
          <w:b/>
        </w:rPr>
        <w:t>feasibility</w:t>
      </w:r>
      <w:r w:rsidR="00C80B2D">
        <w:rPr>
          <w:b/>
        </w:rPr>
        <w:t xml:space="preserve">: </w:t>
      </w:r>
      <w:r w:rsidR="00C80B2D" w:rsidRPr="004E234F">
        <w:t xml:space="preserve">it is related </w:t>
      </w:r>
      <w:r w:rsidR="00943FC1" w:rsidRPr="004E234F">
        <w:t>to</w:t>
      </w:r>
      <w:r w:rsidR="00C80B2D" w:rsidRPr="004E234F">
        <w:t xml:space="preserve"> analyzing the technological state of the company and how to advance the operations of a business organisation in terms of technological </w:t>
      </w:r>
      <w:r w:rsidR="00943FC1" w:rsidRPr="004E234F">
        <w:t>feasibility</w:t>
      </w:r>
      <w:r w:rsidR="00C80B2D" w:rsidRPr="004E234F">
        <w:t>.</w:t>
      </w:r>
      <w:r w:rsidR="00B122B4" w:rsidRPr="004E234F">
        <w:t xml:space="preserve"> The decision related top selection of a project </w:t>
      </w:r>
      <w:r w:rsidR="00DC283A" w:rsidRPr="004E234F">
        <w:t>should</w:t>
      </w:r>
      <w:r w:rsidR="00B122B4" w:rsidRPr="004E234F">
        <w:t xml:space="preserve"> be based on the state of technology </w:t>
      </w:r>
      <w:r w:rsidR="001B3F57" w:rsidRPr="004E234F">
        <w:t>that lies</w:t>
      </w:r>
      <w:r w:rsidR="00B122B4" w:rsidRPr="004E234F">
        <w:t xml:space="preserve"> within the company</w:t>
      </w:r>
      <w:r w:rsidR="00DC283A" w:rsidRPr="004E234F">
        <w:t xml:space="preserve"> so that productive results can be</w:t>
      </w:r>
      <w:r w:rsidR="00B122B4" w:rsidRPr="004E234F">
        <w:t xml:space="preserve"> generated. </w:t>
      </w:r>
      <w:r w:rsidR="001B3F57" w:rsidRPr="004E234F">
        <w:t xml:space="preserve">BP </w:t>
      </w:r>
      <w:r w:rsidR="00782127" w:rsidRPr="004E234F">
        <w:t>Plc</w:t>
      </w:r>
      <w:r w:rsidR="001B3F57" w:rsidRPr="004E234F">
        <w:t xml:space="preserve"> is one of the </w:t>
      </w:r>
      <w:r w:rsidR="00DC283A" w:rsidRPr="004E234F">
        <w:t>largest gas and oil companies in the world and has all the relevant technological access that can be implemented in generating results from the project.</w:t>
      </w:r>
      <w:r w:rsidR="00DC283A">
        <w:rPr>
          <w:b/>
        </w:rPr>
        <w:t xml:space="preserve"> </w:t>
      </w:r>
      <w:r w:rsidR="00EF6D4D" w:rsidRPr="00DA209B">
        <w:t xml:space="preserve">BP makes use of this method of project appraisal through its innovation and engineering department which is the home to organisational excellence and innovation generation that sets up technological governance </w:t>
      </w:r>
      <w:r w:rsidR="00996A8B" w:rsidRPr="00DA209B">
        <w:t>and</w:t>
      </w:r>
      <w:r w:rsidR="00EF6D4D" w:rsidRPr="00DA209B">
        <w:t xml:space="preserve"> </w:t>
      </w:r>
      <w:r w:rsidR="003D2C8F" w:rsidRPr="00DA209B">
        <w:t>supplies</w:t>
      </w:r>
      <w:r w:rsidR="00EF6D4D" w:rsidRPr="00DA209B">
        <w:t xml:space="preserve"> guidance on technical </w:t>
      </w:r>
      <w:r w:rsidR="003D2C8F" w:rsidRPr="00DA209B">
        <w:t>ability</w:t>
      </w:r>
      <w:r w:rsidR="00734BDF">
        <w:t xml:space="preserve"> (BP PLC, 2022)</w:t>
      </w:r>
      <w:r w:rsidR="00EF6D4D" w:rsidRPr="00DA209B">
        <w:t>.</w:t>
      </w:r>
    </w:p>
    <w:p w14:paraId="116D9848" w14:textId="1DB89BB1" w:rsidR="00FC3097" w:rsidRPr="00926798" w:rsidRDefault="00BF63F9" w:rsidP="003F1092">
      <w:r>
        <w:rPr>
          <w:b/>
        </w:rPr>
        <w:t xml:space="preserve">Financial feasibility: </w:t>
      </w:r>
      <w:r>
        <w:t xml:space="preserve">it refers to making the use of investment </w:t>
      </w:r>
      <w:r w:rsidR="00BB5A61">
        <w:t>appraisal</w:t>
      </w:r>
      <w:r>
        <w:t xml:space="preserve"> </w:t>
      </w:r>
      <w:r w:rsidR="00BB5A61">
        <w:t>techniques</w:t>
      </w:r>
      <w:r>
        <w:t xml:space="preserve"> that helps in calculating the risk and </w:t>
      </w:r>
      <w:r w:rsidR="00926798">
        <w:t>reward</w:t>
      </w:r>
      <w:r w:rsidR="00BB5A61">
        <w:t xml:space="preserve"> of</w:t>
      </w:r>
      <w:r>
        <w:t xml:space="preserve"> the company so that better investing decision can be </w:t>
      </w:r>
      <w:r>
        <w:lastRenderedPageBreak/>
        <w:t xml:space="preserve">taken. the use of methods like NPV and IRR </w:t>
      </w:r>
      <w:r w:rsidR="003D2C8F">
        <w:t>eases</w:t>
      </w:r>
      <w:r>
        <w:t xml:space="preserve"> to make the use of the time value of money to make the necessary adjustments of inflation and the methods like </w:t>
      </w:r>
      <w:r w:rsidR="0024088D">
        <w:t>payback</w:t>
      </w:r>
      <w:r>
        <w:t xml:space="preserve"> period and discounted </w:t>
      </w:r>
      <w:r w:rsidR="0024088D">
        <w:t>payback</w:t>
      </w:r>
      <w:r>
        <w:t xml:space="preserve"> period will simply make the analysis of how much time will be required by the company in getting its funds back.</w:t>
      </w:r>
      <w:r w:rsidR="00926798">
        <w:t xml:space="preserve"> BP </w:t>
      </w:r>
      <w:r w:rsidR="00F061C8">
        <w:t>Plc</w:t>
      </w:r>
      <w:r w:rsidR="00926798">
        <w:t xml:space="preserve"> makes use of NPV and sensitivity analysis in making investment decisions</w:t>
      </w:r>
      <w:r w:rsidR="003E2609">
        <w:t xml:space="preserve"> (</w:t>
      </w:r>
      <w:r w:rsidR="003E2609" w:rsidRPr="003E2609">
        <w:t>Shrotriya</w:t>
      </w:r>
      <w:r w:rsidR="003E2609">
        <w:t>, 2018)</w:t>
      </w:r>
      <w:r w:rsidR="00926798">
        <w:t>.</w:t>
      </w:r>
    </w:p>
    <w:p w14:paraId="3477C811" w14:textId="77777777" w:rsidR="000365AB" w:rsidRDefault="00BF63F9" w:rsidP="003F1092">
      <w:r>
        <w:br w:type="page"/>
      </w:r>
    </w:p>
    <w:p w14:paraId="7242F9B5" w14:textId="77777777" w:rsidR="00FE04AB" w:rsidRPr="006F448B" w:rsidRDefault="00BF63F9" w:rsidP="003F1092">
      <w:pPr>
        <w:pStyle w:val="Heading1"/>
        <w:rPr>
          <w:rStyle w:val="SubtleEmphasis"/>
          <w:i w:val="0"/>
          <w:color w:val="000000" w:themeColor="text1"/>
        </w:rPr>
      </w:pPr>
      <w:bookmarkStart w:id="4" w:name="_Toc101208192"/>
      <w:r w:rsidRPr="006F448B">
        <w:rPr>
          <w:rStyle w:val="SubtleEmphasis"/>
          <w:i w:val="0"/>
          <w:color w:val="000000" w:themeColor="text1"/>
        </w:rPr>
        <w:lastRenderedPageBreak/>
        <w:t>CONCLUSION</w:t>
      </w:r>
      <w:bookmarkEnd w:id="4"/>
    </w:p>
    <w:p w14:paraId="0E72842D" w14:textId="7F78C146" w:rsidR="00FE04AB" w:rsidRPr="00FE04AB" w:rsidRDefault="00BF63F9" w:rsidP="003F1092">
      <w:r>
        <w:t xml:space="preserve">Through this essay, it can be said that the efficient market hypothesis theory plays </w:t>
      </w:r>
      <w:r w:rsidR="003D2C8F">
        <w:t>a key role</w:t>
      </w:r>
      <w:r>
        <w:t xml:space="preserve"> in </w:t>
      </w:r>
      <w:r w:rsidR="003D2C8F">
        <w:t>deciding</w:t>
      </w:r>
      <w:r>
        <w:t xml:space="preserve"> </w:t>
      </w:r>
      <w:r w:rsidR="0072328F">
        <w:t>the</w:t>
      </w:r>
      <w:r>
        <w:t xml:space="preserve"> market behaviour </w:t>
      </w:r>
      <w:r w:rsidR="0072328F">
        <w:t>towards</w:t>
      </w:r>
      <w:r>
        <w:t xml:space="preserve"> the cha</w:t>
      </w:r>
      <w:r w:rsidR="0072328F">
        <w:t>nges in prices of securities. BP</w:t>
      </w:r>
      <w:r>
        <w:t xml:space="preserve"> </w:t>
      </w:r>
      <w:r w:rsidR="0072328F">
        <w:t>Plc</w:t>
      </w:r>
      <w:r>
        <w:t xml:space="preserve"> </w:t>
      </w:r>
      <w:r w:rsidR="003D2C8F">
        <w:t>has</w:t>
      </w:r>
      <w:r>
        <w:t xml:space="preserve"> a strong form of EMH. Along with that, three project appraisal techniques that are economical, </w:t>
      </w:r>
      <w:r w:rsidR="00996A8B">
        <w:t>technological,</w:t>
      </w:r>
      <w:r>
        <w:t xml:space="preserve"> and financial feasibility are implemented by BP plc in making its </w:t>
      </w:r>
      <w:r w:rsidR="003D2C8F">
        <w:t>fiscal management</w:t>
      </w:r>
      <w:r>
        <w:t xml:space="preserve"> decisions. </w:t>
      </w:r>
    </w:p>
    <w:p w14:paraId="5A4569B8" w14:textId="77777777" w:rsidR="00FE04AB" w:rsidRDefault="00BF63F9" w:rsidP="003F1092">
      <w:pPr>
        <w:rPr>
          <w:rStyle w:val="SubtleEmphasis"/>
          <w:rFonts w:asciiTheme="majorHAnsi" w:eastAsiaTheme="majorEastAsia" w:hAnsiTheme="majorHAnsi" w:cstheme="majorBidi"/>
          <w:b/>
          <w:bCs/>
          <w:i w:val="0"/>
          <w:sz w:val="28"/>
          <w:szCs w:val="28"/>
        </w:rPr>
      </w:pPr>
      <w:r>
        <w:rPr>
          <w:rStyle w:val="SubtleEmphasis"/>
          <w:i w:val="0"/>
        </w:rPr>
        <w:br w:type="page"/>
      </w:r>
    </w:p>
    <w:p w14:paraId="33F59A9A" w14:textId="77777777" w:rsidR="000365AB" w:rsidRPr="006F448B" w:rsidRDefault="00BF63F9" w:rsidP="003F1092">
      <w:pPr>
        <w:pStyle w:val="Heading1"/>
        <w:rPr>
          <w:rStyle w:val="SubtleEmphasis"/>
          <w:i w:val="0"/>
          <w:color w:val="000000" w:themeColor="text1"/>
        </w:rPr>
      </w:pPr>
      <w:bookmarkStart w:id="5" w:name="_Toc101208193"/>
      <w:r w:rsidRPr="006F448B">
        <w:rPr>
          <w:rStyle w:val="SubtleEmphasis"/>
          <w:i w:val="0"/>
          <w:color w:val="000000" w:themeColor="text1"/>
        </w:rPr>
        <w:lastRenderedPageBreak/>
        <w:t>REFERENCES</w:t>
      </w:r>
      <w:bookmarkEnd w:id="5"/>
    </w:p>
    <w:p w14:paraId="7038C8DB" w14:textId="77777777" w:rsidR="00076A45" w:rsidRDefault="00BF63F9" w:rsidP="003F1092">
      <w:pPr>
        <w:pStyle w:val="ListParagraph"/>
        <w:numPr>
          <w:ilvl w:val="0"/>
          <w:numId w:val="1"/>
        </w:numPr>
      </w:pPr>
      <w:r>
        <w:t xml:space="preserve">BP PLC. 2022. </w:t>
      </w:r>
      <w:r w:rsidRPr="006A4441">
        <w:rPr>
          <w:i/>
        </w:rPr>
        <w:t>Dividend payment options</w:t>
      </w:r>
      <w:r>
        <w:t xml:space="preserve">. Online available at </w:t>
      </w:r>
      <w:hyperlink r:id="rId11" w:history="1">
        <w:r w:rsidRPr="00CD0D92">
          <w:rPr>
            <w:rStyle w:val="Hyperlink"/>
          </w:rPr>
          <w:t>https://www.bp.com/en/global/corporate/investors/information-for-shareholders/dividends/dividend-payment-options.html</w:t>
        </w:r>
      </w:hyperlink>
      <w:r>
        <w:t xml:space="preserve"> [Accessed on 18 April 2022].</w:t>
      </w:r>
    </w:p>
    <w:p w14:paraId="4D7E5B44" w14:textId="77777777" w:rsidR="00076A45" w:rsidRDefault="00BF63F9" w:rsidP="003F1092">
      <w:pPr>
        <w:pStyle w:val="ListParagraph"/>
        <w:numPr>
          <w:ilvl w:val="0"/>
          <w:numId w:val="1"/>
        </w:numPr>
      </w:pPr>
      <w:r>
        <w:t xml:space="preserve">BP PLC. 2022. </w:t>
      </w:r>
      <w:r w:rsidRPr="00062C09">
        <w:rPr>
          <w:i/>
        </w:rPr>
        <w:t>Dividend policy</w:t>
      </w:r>
      <w:r>
        <w:t xml:space="preserve">. Online available at </w:t>
      </w:r>
      <w:hyperlink r:id="rId12" w:history="1">
        <w:r w:rsidRPr="00CD0D92">
          <w:rPr>
            <w:rStyle w:val="Hyperlink"/>
          </w:rPr>
          <w:t>https://www.bp.com/en/global/corporate/investors/information-for-shareholders/dividends/dividend-policy.html</w:t>
        </w:r>
      </w:hyperlink>
      <w:r>
        <w:t xml:space="preserve"> </w:t>
      </w:r>
      <w:r w:rsidRPr="00062C09">
        <w:t>[Accessed on 18 April 2022].</w:t>
      </w:r>
    </w:p>
    <w:p w14:paraId="03801427" w14:textId="77777777" w:rsidR="00076A45" w:rsidRDefault="00BF63F9" w:rsidP="003F1092">
      <w:pPr>
        <w:pStyle w:val="ListParagraph"/>
        <w:numPr>
          <w:ilvl w:val="0"/>
          <w:numId w:val="1"/>
        </w:numPr>
      </w:pPr>
      <w:r>
        <w:t xml:space="preserve">BP PLC. 2022. </w:t>
      </w:r>
      <w:r w:rsidRPr="00ED647F">
        <w:rPr>
          <w:i/>
        </w:rPr>
        <w:t xml:space="preserve">Innovation and technology. </w:t>
      </w:r>
      <w:r>
        <w:t xml:space="preserve">Online available at </w:t>
      </w:r>
      <w:hyperlink r:id="rId13" w:history="1">
        <w:r w:rsidRPr="002348BB">
          <w:rPr>
            <w:rStyle w:val="Hyperlink"/>
          </w:rPr>
          <w:t>https://www.bp.com/en/global/corporate/what-we-do/innovation-and-engineering.html</w:t>
        </w:r>
      </w:hyperlink>
      <w:r>
        <w:t xml:space="preserve"> [Accessed on 18 April 2022].</w:t>
      </w:r>
    </w:p>
    <w:p w14:paraId="6391C47A" w14:textId="77777777" w:rsidR="00076A45" w:rsidRDefault="00BF63F9" w:rsidP="003F1092">
      <w:pPr>
        <w:pStyle w:val="ListParagraph"/>
        <w:numPr>
          <w:ilvl w:val="0"/>
          <w:numId w:val="1"/>
        </w:numPr>
      </w:pPr>
      <w:r>
        <w:t xml:space="preserve">BP. 2021. </w:t>
      </w:r>
      <w:r w:rsidRPr="007A0334">
        <w:rPr>
          <w:i/>
        </w:rPr>
        <w:t>bp Annual Report and Form 20-F 2021</w:t>
      </w:r>
      <w:r>
        <w:t xml:space="preserve">. Online available at </w:t>
      </w:r>
      <w:hyperlink r:id="rId14" w:history="1">
        <w:r w:rsidRPr="00CD0D92">
          <w:rPr>
            <w:rStyle w:val="Hyperlink"/>
          </w:rPr>
          <w:t>https://www.bp.com/content/dam/bp/business-sites/en/global/corporate/pdfs/investors/bp-annual-report-and-form-20f-2021.pdf</w:t>
        </w:r>
      </w:hyperlink>
      <w:r>
        <w:t xml:space="preserve"> [Accessed on 18 April 2022].</w:t>
      </w:r>
    </w:p>
    <w:p w14:paraId="6A2B71E1" w14:textId="77777777" w:rsidR="00076A45" w:rsidRDefault="00BF63F9" w:rsidP="003F1092">
      <w:pPr>
        <w:pStyle w:val="ListParagraph"/>
        <w:numPr>
          <w:ilvl w:val="0"/>
          <w:numId w:val="1"/>
        </w:numPr>
      </w:pPr>
      <w:r>
        <w:t xml:space="preserve">CFI. 2022. </w:t>
      </w:r>
      <w:r w:rsidRPr="00ED647F">
        <w:rPr>
          <w:i/>
        </w:rPr>
        <w:t>What is the Efficient Markets Hypothesis?</w:t>
      </w:r>
      <w:r>
        <w:t xml:space="preserve"> Online available at </w:t>
      </w:r>
      <w:hyperlink r:id="rId15" w:history="1">
        <w:r w:rsidRPr="002348BB">
          <w:rPr>
            <w:rStyle w:val="Hyperlink"/>
          </w:rPr>
          <w:t>https://corporatefinanceinstitute.com/resources/knowledge/trading-investing/efficient-markets-hypothesis/</w:t>
        </w:r>
      </w:hyperlink>
      <w:r>
        <w:t xml:space="preserve"> [Accessed on 18 April 2022].</w:t>
      </w:r>
    </w:p>
    <w:p w14:paraId="1FBCC4B8" w14:textId="77777777" w:rsidR="00076A45" w:rsidRDefault="00BF63F9" w:rsidP="003F1092">
      <w:pPr>
        <w:pStyle w:val="ListParagraph"/>
        <w:numPr>
          <w:ilvl w:val="0"/>
          <w:numId w:val="1"/>
        </w:numPr>
      </w:pPr>
      <w:r w:rsidRPr="00006658">
        <w:t>Ghosh, U. K. (2021). </w:t>
      </w:r>
      <w:r w:rsidRPr="00ED647F">
        <w:rPr>
          <w:i/>
          <w:iCs/>
        </w:rPr>
        <w:t>Appraisal and Selection of Projects: A Multi-faceted Approach</w:t>
      </w:r>
      <w:r w:rsidRPr="00006658">
        <w:t>. CRC Press.</w:t>
      </w:r>
    </w:p>
    <w:p w14:paraId="27D3839D" w14:textId="77777777" w:rsidR="00076A45" w:rsidRDefault="00BF63F9" w:rsidP="003F1092">
      <w:pPr>
        <w:pStyle w:val="ListParagraph"/>
        <w:numPr>
          <w:ilvl w:val="0"/>
          <w:numId w:val="1"/>
        </w:numPr>
      </w:pPr>
      <w:r>
        <w:lastRenderedPageBreak/>
        <w:t xml:space="preserve">Hurst, L. 2022. Bloomberg. </w:t>
      </w:r>
      <w:r w:rsidRPr="00ED647F">
        <w:rPr>
          <w:i/>
        </w:rPr>
        <w:t>BP Shares Drop as Investors Weigh Cost of Exit From Russia</w:t>
      </w:r>
      <w:r>
        <w:t xml:space="preserve">. Online available at </w:t>
      </w:r>
      <w:hyperlink r:id="rId16" w:history="1">
        <w:r w:rsidRPr="002348BB">
          <w:rPr>
            <w:rStyle w:val="Hyperlink"/>
          </w:rPr>
          <w:t>https://www.bloomberg.com/news/articles/2022-02-28/bp-drops-as-rosneft-exit-given-little-chance-of-finding-buyer</w:t>
        </w:r>
      </w:hyperlink>
      <w:r>
        <w:t xml:space="preserve"> [Accessed on 18 April 2022].</w:t>
      </w:r>
    </w:p>
    <w:p w14:paraId="786CDD6C" w14:textId="77777777" w:rsidR="00076A45" w:rsidRDefault="00BF63F9" w:rsidP="003F1092">
      <w:pPr>
        <w:pStyle w:val="ListParagraph"/>
        <w:numPr>
          <w:ilvl w:val="0"/>
          <w:numId w:val="1"/>
        </w:numPr>
      </w:pPr>
      <w:r w:rsidRPr="00330B1A">
        <w:t>KANAKRIYAH, R. (2020). Dividend policy and companies' financial performance. </w:t>
      </w:r>
      <w:r w:rsidRPr="00330B1A">
        <w:rPr>
          <w:i/>
          <w:iCs/>
        </w:rPr>
        <w:t>The Journal of Asian Finance, Economics, and Business</w:t>
      </w:r>
      <w:r w:rsidRPr="00330B1A">
        <w:t>, </w:t>
      </w:r>
      <w:r w:rsidRPr="00330B1A">
        <w:rPr>
          <w:i/>
          <w:iCs/>
        </w:rPr>
        <w:t>7</w:t>
      </w:r>
      <w:r w:rsidRPr="00330B1A">
        <w:t>(10), 531-541.</w:t>
      </w:r>
    </w:p>
    <w:p w14:paraId="03776BB4" w14:textId="77777777" w:rsidR="00076A45" w:rsidRDefault="00BF63F9" w:rsidP="003F1092">
      <w:pPr>
        <w:pStyle w:val="ListParagraph"/>
        <w:numPr>
          <w:ilvl w:val="0"/>
          <w:numId w:val="1"/>
        </w:numPr>
      </w:pPr>
      <w:r w:rsidRPr="00325822">
        <w:t>Pattiru</w:t>
      </w:r>
      <w:r>
        <w:t>hu, J.R. and PAAIS, M. (</w:t>
      </w:r>
      <w:r w:rsidRPr="00325822">
        <w:t>2020</w:t>
      </w:r>
      <w:r>
        <w:t>)</w:t>
      </w:r>
      <w:r w:rsidRPr="00325822">
        <w:t>. Effect of liquidity, profitability, leverage, and firm size on dividend policy. </w:t>
      </w:r>
      <w:r w:rsidRPr="00325822">
        <w:rPr>
          <w:i/>
          <w:iCs/>
        </w:rPr>
        <w:t>The Journal of Asian Finance, Economics, and Business</w:t>
      </w:r>
      <w:r w:rsidRPr="00325822">
        <w:t>, </w:t>
      </w:r>
      <w:r w:rsidRPr="00325822">
        <w:rPr>
          <w:i/>
          <w:iCs/>
        </w:rPr>
        <w:t>7</w:t>
      </w:r>
      <w:r w:rsidRPr="00325822">
        <w:t>(10), pp.35-42.</w:t>
      </w:r>
    </w:p>
    <w:p w14:paraId="5C0F1699" w14:textId="697E4A0C" w:rsidR="00582FBD" w:rsidRPr="00582FBD" w:rsidRDefault="00BF63F9" w:rsidP="00582FBD">
      <w:pPr>
        <w:pStyle w:val="ListParagraph"/>
        <w:numPr>
          <w:ilvl w:val="0"/>
          <w:numId w:val="1"/>
        </w:numPr>
      </w:pPr>
      <w:r w:rsidRPr="003E2609">
        <w:t>Shrotriya, V. (2018). Comparison of NDCF and DCF techniques of project appraisal. </w:t>
      </w:r>
      <w:r w:rsidRPr="00ED647F">
        <w:rPr>
          <w:i/>
          <w:iCs/>
        </w:rPr>
        <w:t>International Journal of Research and Analytical Reviews</w:t>
      </w:r>
      <w:r w:rsidRPr="003E2609">
        <w:t>, </w:t>
      </w:r>
      <w:r w:rsidRPr="00ED647F">
        <w:rPr>
          <w:i/>
          <w:iCs/>
        </w:rPr>
        <w:t>5</w:t>
      </w:r>
      <w:r w:rsidRPr="003E2609">
        <w:t>, 2348-1269.</w:t>
      </w:r>
    </w:p>
    <w:sectPr w:rsidR="00582FBD" w:rsidRPr="00582FBD" w:rsidSect="00582FBD">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E2F06" w14:textId="77777777" w:rsidR="007845D2" w:rsidRDefault="007845D2" w:rsidP="00C42CFB">
      <w:pPr>
        <w:spacing w:before="0" w:after="0" w:line="240" w:lineRule="auto"/>
      </w:pPr>
      <w:r>
        <w:separator/>
      </w:r>
    </w:p>
  </w:endnote>
  <w:endnote w:type="continuationSeparator" w:id="0">
    <w:p w14:paraId="5CC025DD" w14:textId="77777777" w:rsidR="007845D2" w:rsidRDefault="007845D2" w:rsidP="00C42CF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4588796"/>
      <w:docPartObj>
        <w:docPartGallery w:val="Page Numbers (Bottom of Page)"/>
        <w:docPartUnique/>
      </w:docPartObj>
    </w:sdtPr>
    <w:sdtEndPr>
      <w:rPr>
        <w:noProof/>
      </w:rPr>
    </w:sdtEndPr>
    <w:sdtContent>
      <w:p w14:paraId="7EC94345" w14:textId="77777777" w:rsidR="0007512C" w:rsidRDefault="00C42CFB">
        <w:pPr>
          <w:pStyle w:val="Footer"/>
          <w:jc w:val="right"/>
        </w:pPr>
        <w:r>
          <w:fldChar w:fldCharType="begin"/>
        </w:r>
        <w:r w:rsidR="00BF63F9">
          <w:instrText xml:space="preserve"> PAGE   \* MERGEFORMAT </w:instrText>
        </w:r>
        <w:r>
          <w:fldChar w:fldCharType="separate"/>
        </w:r>
        <w:r w:rsidR="003F1092">
          <w:rPr>
            <w:noProof/>
          </w:rPr>
          <w:t>1</w:t>
        </w:r>
        <w:r>
          <w:rPr>
            <w:noProof/>
          </w:rPr>
          <w:fldChar w:fldCharType="end"/>
        </w:r>
      </w:p>
    </w:sdtContent>
  </w:sdt>
  <w:p w14:paraId="0A26B192" w14:textId="77777777" w:rsidR="0007512C" w:rsidRDefault="000751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DD48F" w14:textId="77777777" w:rsidR="007845D2" w:rsidRDefault="007845D2" w:rsidP="00C42CFB">
      <w:pPr>
        <w:spacing w:before="0" w:after="0" w:line="240" w:lineRule="auto"/>
      </w:pPr>
      <w:r>
        <w:separator/>
      </w:r>
    </w:p>
  </w:footnote>
  <w:footnote w:type="continuationSeparator" w:id="0">
    <w:p w14:paraId="059AE50F" w14:textId="77777777" w:rsidR="007845D2" w:rsidRDefault="007845D2" w:rsidP="00C42CF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A3E4D"/>
    <w:multiLevelType w:val="hybridMultilevel"/>
    <w:tmpl w:val="938C01E2"/>
    <w:lvl w:ilvl="0" w:tplc="72B64708">
      <w:start w:val="1"/>
      <w:numFmt w:val="bullet"/>
      <w:lvlText w:val=""/>
      <w:lvlJc w:val="left"/>
      <w:pPr>
        <w:ind w:left="720" w:hanging="360"/>
      </w:pPr>
      <w:rPr>
        <w:rFonts w:ascii="Symbol" w:hAnsi="Symbol" w:hint="default"/>
      </w:rPr>
    </w:lvl>
    <w:lvl w:ilvl="1" w:tplc="5BB6B63A" w:tentative="1">
      <w:start w:val="1"/>
      <w:numFmt w:val="bullet"/>
      <w:lvlText w:val="o"/>
      <w:lvlJc w:val="left"/>
      <w:pPr>
        <w:ind w:left="1440" w:hanging="360"/>
      </w:pPr>
      <w:rPr>
        <w:rFonts w:ascii="Courier New" w:hAnsi="Courier New" w:cs="Courier New" w:hint="default"/>
      </w:rPr>
    </w:lvl>
    <w:lvl w:ilvl="2" w:tplc="82C2E6F4" w:tentative="1">
      <w:start w:val="1"/>
      <w:numFmt w:val="bullet"/>
      <w:lvlText w:val=""/>
      <w:lvlJc w:val="left"/>
      <w:pPr>
        <w:ind w:left="2160" w:hanging="360"/>
      </w:pPr>
      <w:rPr>
        <w:rFonts w:ascii="Wingdings" w:hAnsi="Wingdings" w:hint="default"/>
      </w:rPr>
    </w:lvl>
    <w:lvl w:ilvl="3" w:tplc="B31CAAE4" w:tentative="1">
      <w:start w:val="1"/>
      <w:numFmt w:val="bullet"/>
      <w:lvlText w:val=""/>
      <w:lvlJc w:val="left"/>
      <w:pPr>
        <w:ind w:left="2880" w:hanging="360"/>
      </w:pPr>
      <w:rPr>
        <w:rFonts w:ascii="Symbol" w:hAnsi="Symbol" w:hint="default"/>
      </w:rPr>
    </w:lvl>
    <w:lvl w:ilvl="4" w:tplc="6DB0976E" w:tentative="1">
      <w:start w:val="1"/>
      <w:numFmt w:val="bullet"/>
      <w:lvlText w:val="o"/>
      <w:lvlJc w:val="left"/>
      <w:pPr>
        <w:ind w:left="3600" w:hanging="360"/>
      </w:pPr>
      <w:rPr>
        <w:rFonts w:ascii="Courier New" w:hAnsi="Courier New" w:cs="Courier New" w:hint="default"/>
      </w:rPr>
    </w:lvl>
    <w:lvl w:ilvl="5" w:tplc="F3E0989A" w:tentative="1">
      <w:start w:val="1"/>
      <w:numFmt w:val="bullet"/>
      <w:lvlText w:val=""/>
      <w:lvlJc w:val="left"/>
      <w:pPr>
        <w:ind w:left="4320" w:hanging="360"/>
      </w:pPr>
      <w:rPr>
        <w:rFonts w:ascii="Wingdings" w:hAnsi="Wingdings" w:hint="default"/>
      </w:rPr>
    </w:lvl>
    <w:lvl w:ilvl="6" w:tplc="E4682A38" w:tentative="1">
      <w:start w:val="1"/>
      <w:numFmt w:val="bullet"/>
      <w:lvlText w:val=""/>
      <w:lvlJc w:val="left"/>
      <w:pPr>
        <w:ind w:left="5040" w:hanging="360"/>
      </w:pPr>
      <w:rPr>
        <w:rFonts w:ascii="Symbol" w:hAnsi="Symbol" w:hint="default"/>
      </w:rPr>
    </w:lvl>
    <w:lvl w:ilvl="7" w:tplc="13ACFA5E" w:tentative="1">
      <w:start w:val="1"/>
      <w:numFmt w:val="bullet"/>
      <w:lvlText w:val="o"/>
      <w:lvlJc w:val="left"/>
      <w:pPr>
        <w:ind w:left="5760" w:hanging="360"/>
      </w:pPr>
      <w:rPr>
        <w:rFonts w:ascii="Courier New" w:hAnsi="Courier New" w:cs="Courier New" w:hint="default"/>
      </w:rPr>
    </w:lvl>
    <w:lvl w:ilvl="8" w:tplc="6DFE0142" w:tentative="1">
      <w:start w:val="1"/>
      <w:numFmt w:val="bullet"/>
      <w:lvlText w:val=""/>
      <w:lvlJc w:val="left"/>
      <w:pPr>
        <w:ind w:left="6480" w:hanging="360"/>
      </w:pPr>
      <w:rPr>
        <w:rFonts w:ascii="Wingdings" w:hAnsi="Wingdings" w:hint="default"/>
      </w:rPr>
    </w:lvl>
  </w:abstractNum>
  <w:abstractNum w:abstractNumId="1" w15:restartNumberingAfterBreak="0">
    <w:nsid w:val="535B01DE"/>
    <w:multiLevelType w:val="hybridMultilevel"/>
    <w:tmpl w:val="ACFE2614"/>
    <w:lvl w:ilvl="0" w:tplc="AAD420E8">
      <w:start w:val="1"/>
      <w:numFmt w:val="bullet"/>
      <w:lvlText w:val=""/>
      <w:lvlJc w:val="left"/>
      <w:pPr>
        <w:ind w:left="720" w:hanging="360"/>
      </w:pPr>
      <w:rPr>
        <w:rFonts w:ascii="Symbol" w:hAnsi="Symbol" w:hint="default"/>
      </w:rPr>
    </w:lvl>
    <w:lvl w:ilvl="1" w:tplc="B6E85848" w:tentative="1">
      <w:start w:val="1"/>
      <w:numFmt w:val="bullet"/>
      <w:lvlText w:val="o"/>
      <w:lvlJc w:val="left"/>
      <w:pPr>
        <w:ind w:left="1440" w:hanging="360"/>
      </w:pPr>
      <w:rPr>
        <w:rFonts w:ascii="Courier New" w:hAnsi="Courier New" w:cs="Courier New" w:hint="default"/>
      </w:rPr>
    </w:lvl>
    <w:lvl w:ilvl="2" w:tplc="53AAF4D8" w:tentative="1">
      <w:start w:val="1"/>
      <w:numFmt w:val="bullet"/>
      <w:lvlText w:val=""/>
      <w:lvlJc w:val="left"/>
      <w:pPr>
        <w:ind w:left="2160" w:hanging="360"/>
      </w:pPr>
      <w:rPr>
        <w:rFonts w:ascii="Wingdings" w:hAnsi="Wingdings" w:hint="default"/>
      </w:rPr>
    </w:lvl>
    <w:lvl w:ilvl="3" w:tplc="922E5C94" w:tentative="1">
      <w:start w:val="1"/>
      <w:numFmt w:val="bullet"/>
      <w:lvlText w:val=""/>
      <w:lvlJc w:val="left"/>
      <w:pPr>
        <w:ind w:left="2880" w:hanging="360"/>
      </w:pPr>
      <w:rPr>
        <w:rFonts w:ascii="Symbol" w:hAnsi="Symbol" w:hint="default"/>
      </w:rPr>
    </w:lvl>
    <w:lvl w:ilvl="4" w:tplc="34F2B8E0" w:tentative="1">
      <w:start w:val="1"/>
      <w:numFmt w:val="bullet"/>
      <w:lvlText w:val="o"/>
      <w:lvlJc w:val="left"/>
      <w:pPr>
        <w:ind w:left="3600" w:hanging="360"/>
      </w:pPr>
      <w:rPr>
        <w:rFonts w:ascii="Courier New" w:hAnsi="Courier New" w:cs="Courier New" w:hint="default"/>
      </w:rPr>
    </w:lvl>
    <w:lvl w:ilvl="5" w:tplc="00A2BE4A" w:tentative="1">
      <w:start w:val="1"/>
      <w:numFmt w:val="bullet"/>
      <w:lvlText w:val=""/>
      <w:lvlJc w:val="left"/>
      <w:pPr>
        <w:ind w:left="4320" w:hanging="360"/>
      </w:pPr>
      <w:rPr>
        <w:rFonts w:ascii="Wingdings" w:hAnsi="Wingdings" w:hint="default"/>
      </w:rPr>
    </w:lvl>
    <w:lvl w:ilvl="6" w:tplc="A2CA944A" w:tentative="1">
      <w:start w:val="1"/>
      <w:numFmt w:val="bullet"/>
      <w:lvlText w:val=""/>
      <w:lvlJc w:val="left"/>
      <w:pPr>
        <w:ind w:left="5040" w:hanging="360"/>
      </w:pPr>
      <w:rPr>
        <w:rFonts w:ascii="Symbol" w:hAnsi="Symbol" w:hint="default"/>
      </w:rPr>
    </w:lvl>
    <w:lvl w:ilvl="7" w:tplc="77B4CC5C" w:tentative="1">
      <w:start w:val="1"/>
      <w:numFmt w:val="bullet"/>
      <w:lvlText w:val="o"/>
      <w:lvlJc w:val="left"/>
      <w:pPr>
        <w:ind w:left="5760" w:hanging="360"/>
      </w:pPr>
      <w:rPr>
        <w:rFonts w:ascii="Courier New" w:hAnsi="Courier New" w:cs="Courier New" w:hint="default"/>
      </w:rPr>
    </w:lvl>
    <w:lvl w:ilvl="8" w:tplc="608E8550" w:tentative="1">
      <w:start w:val="1"/>
      <w:numFmt w:val="bullet"/>
      <w:lvlText w:val=""/>
      <w:lvlJc w:val="left"/>
      <w:pPr>
        <w:ind w:left="6480" w:hanging="360"/>
      </w:pPr>
      <w:rPr>
        <w:rFonts w:ascii="Wingdings" w:hAnsi="Wingdings" w:hint="default"/>
      </w:rPr>
    </w:lvl>
  </w:abstractNum>
  <w:abstractNum w:abstractNumId="2" w15:restartNumberingAfterBreak="0">
    <w:nsid w:val="56152AFA"/>
    <w:multiLevelType w:val="hybridMultilevel"/>
    <w:tmpl w:val="F1D04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9319558">
    <w:abstractNumId w:val="1"/>
  </w:num>
  <w:num w:numId="2" w16cid:durableId="537351900">
    <w:abstractNumId w:val="0"/>
  </w:num>
  <w:num w:numId="3" w16cid:durableId="10103342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3E5"/>
    <w:rsid w:val="00005699"/>
    <w:rsid w:val="00006658"/>
    <w:rsid w:val="00007298"/>
    <w:rsid w:val="0001230F"/>
    <w:rsid w:val="000365AB"/>
    <w:rsid w:val="00062C09"/>
    <w:rsid w:val="00071A4F"/>
    <w:rsid w:val="0007512C"/>
    <w:rsid w:val="00076A45"/>
    <w:rsid w:val="00082A0C"/>
    <w:rsid w:val="00087CA2"/>
    <w:rsid w:val="000A20CE"/>
    <w:rsid w:val="000A2FBA"/>
    <w:rsid w:val="000B4812"/>
    <w:rsid w:val="000C6E50"/>
    <w:rsid w:val="0011588A"/>
    <w:rsid w:val="00124AD6"/>
    <w:rsid w:val="001B09BE"/>
    <w:rsid w:val="001B3F57"/>
    <w:rsid w:val="001C67A9"/>
    <w:rsid w:val="001D1DFC"/>
    <w:rsid w:val="001E33C6"/>
    <w:rsid w:val="001F79E2"/>
    <w:rsid w:val="0023051E"/>
    <w:rsid w:val="0023433F"/>
    <w:rsid w:val="002348BB"/>
    <w:rsid w:val="0024088D"/>
    <w:rsid w:val="002542E7"/>
    <w:rsid w:val="00256E16"/>
    <w:rsid w:val="00282668"/>
    <w:rsid w:val="002C2091"/>
    <w:rsid w:val="002C3331"/>
    <w:rsid w:val="00310F1A"/>
    <w:rsid w:val="00325822"/>
    <w:rsid w:val="00330B1A"/>
    <w:rsid w:val="00344F84"/>
    <w:rsid w:val="0038230D"/>
    <w:rsid w:val="003C77F8"/>
    <w:rsid w:val="003D2C8F"/>
    <w:rsid w:val="003E2609"/>
    <w:rsid w:val="003F1092"/>
    <w:rsid w:val="003F475F"/>
    <w:rsid w:val="00414E8A"/>
    <w:rsid w:val="00442464"/>
    <w:rsid w:val="00483707"/>
    <w:rsid w:val="00485171"/>
    <w:rsid w:val="004A12C8"/>
    <w:rsid w:val="004E234F"/>
    <w:rsid w:val="004E5AB6"/>
    <w:rsid w:val="00512EF3"/>
    <w:rsid w:val="00557FB7"/>
    <w:rsid w:val="00574C43"/>
    <w:rsid w:val="00582FBD"/>
    <w:rsid w:val="005B0954"/>
    <w:rsid w:val="005C67CF"/>
    <w:rsid w:val="005D6058"/>
    <w:rsid w:val="005D7145"/>
    <w:rsid w:val="00603632"/>
    <w:rsid w:val="00614C6F"/>
    <w:rsid w:val="00654C7C"/>
    <w:rsid w:val="006573E5"/>
    <w:rsid w:val="006645C3"/>
    <w:rsid w:val="006652F1"/>
    <w:rsid w:val="00671A6E"/>
    <w:rsid w:val="00674146"/>
    <w:rsid w:val="006A1975"/>
    <w:rsid w:val="006A4441"/>
    <w:rsid w:val="006C05A2"/>
    <w:rsid w:val="006D59A7"/>
    <w:rsid w:val="006F448B"/>
    <w:rsid w:val="0072328F"/>
    <w:rsid w:val="00723F12"/>
    <w:rsid w:val="00734BDF"/>
    <w:rsid w:val="00737FDA"/>
    <w:rsid w:val="007578A7"/>
    <w:rsid w:val="00762189"/>
    <w:rsid w:val="00772CBC"/>
    <w:rsid w:val="00782127"/>
    <w:rsid w:val="007840A4"/>
    <w:rsid w:val="007845D2"/>
    <w:rsid w:val="007A0334"/>
    <w:rsid w:val="007B05D5"/>
    <w:rsid w:val="007C2186"/>
    <w:rsid w:val="007C2A5F"/>
    <w:rsid w:val="00801F3B"/>
    <w:rsid w:val="00804A08"/>
    <w:rsid w:val="00814C6A"/>
    <w:rsid w:val="00823542"/>
    <w:rsid w:val="00832A83"/>
    <w:rsid w:val="00842B2D"/>
    <w:rsid w:val="00854DDF"/>
    <w:rsid w:val="008812DB"/>
    <w:rsid w:val="008B1759"/>
    <w:rsid w:val="008D130D"/>
    <w:rsid w:val="00904D0C"/>
    <w:rsid w:val="0092665B"/>
    <w:rsid w:val="00926798"/>
    <w:rsid w:val="00943DA9"/>
    <w:rsid w:val="00943FC1"/>
    <w:rsid w:val="00944E3E"/>
    <w:rsid w:val="00945B08"/>
    <w:rsid w:val="00946A3F"/>
    <w:rsid w:val="00970144"/>
    <w:rsid w:val="00970498"/>
    <w:rsid w:val="00986829"/>
    <w:rsid w:val="00996A8B"/>
    <w:rsid w:val="00A07415"/>
    <w:rsid w:val="00A15E8F"/>
    <w:rsid w:val="00AC6487"/>
    <w:rsid w:val="00AE00FC"/>
    <w:rsid w:val="00AF2C3B"/>
    <w:rsid w:val="00B122B4"/>
    <w:rsid w:val="00B17734"/>
    <w:rsid w:val="00B86117"/>
    <w:rsid w:val="00BA7BFE"/>
    <w:rsid w:val="00BB5A61"/>
    <w:rsid w:val="00BD3323"/>
    <w:rsid w:val="00BD649C"/>
    <w:rsid w:val="00BE215A"/>
    <w:rsid w:val="00BF63F9"/>
    <w:rsid w:val="00C03479"/>
    <w:rsid w:val="00C1695C"/>
    <w:rsid w:val="00C42CFB"/>
    <w:rsid w:val="00C537BD"/>
    <w:rsid w:val="00C54434"/>
    <w:rsid w:val="00C60A4E"/>
    <w:rsid w:val="00C80B2D"/>
    <w:rsid w:val="00CA57E9"/>
    <w:rsid w:val="00CA7B67"/>
    <w:rsid w:val="00CB6048"/>
    <w:rsid w:val="00CD0D92"/>
    <w:rsid w:val="00D611A9"/>
    <w:rsid w:val="00D96374"/>
    <w:rsid w:val="00DA209B"/>
    <w:rsid w:val="00DC283A"/>
    <w:rsid w:val="00DE62C4"/>
    <w:rsid w:val="00E34BA4"/>
    <w:rsid w:val="00E819AA"/>
    <w:rsid w:val="00E84E4E"/>
    <w:rsid w:val="00EC58DD"/>
    <w:rsid w:val="00ED647F"/>
    <w:rsid w:val="00EF6D4D"/>
    <w:rsid w:val="00F061C8"/>
    <w:rsid w:val="00F3515E"/>
    <w:rsid w:val="00FA42C7"/>
    <w:rsid w:val="00FB3AC2"/>
    <w:rsid w:val="00FC3097"/>
    <w:rsid w:val="00FE04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7AC79"/>
  <w15:docId w15:val="{1228BE5E-1185-45CA-A22C-AA1342279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A3F"/>
    <w:pPr>
      <w:spacing w:before="120" w:after="320" w:line="360" w:lineRule="auto"/>
      <w:jc w:val="both"/>
    </w:pPr>
    <w:rPr>
      <w:sz w:val="24"/>
      <w:lang w:val="en-GB"/>
    </w:rPr>
  </w:style>
  <w:style w:type="paragraph" w:styleId="Heading1">
    <w:name w:val="heading 1"/>
    <w:basedOn w:val="Normal"/>
    <w:next w:val="Normal"/>
    <w:link w:val="Heading1Char"/>
    <w:uiPriority w:val="9"/>
    <w:qFormat/>
    <w:rsid w:val="00C60A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061C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A4E"/>
    <w:rPr>
      <w:rFonts w:asciiTheme="majorHAnsi" w:eastAsiaTheme="majorEastAsia" w:hAnsiTheme="majorHAnsi" w:cstheme="majorBidi"/>
      <w:b/>
      <w:bCs/>
      <w:color w:val="365F91" w:themeColor="accent1" w:themeShade="BF"/>
      <w:sz w:val="28"/>
      <w:szCs w:val="28"/>
      <w:lang w:val="en-GB"/>
    </w:rPr>
  </w:style>
  <w:style w:type="character" w:styleId="SubtleEmphasis">
    <w:name w:val="Subtle Emphasis"/>
    <w:basedOn w:val="DefaultParagraphFont"/>
    <w:uiPriority w:val="19"/>
    <w:qFormat/>
    <w:rsid w:val="000365AB"/>
    <w:rPr>
      <w:i/>
      <w:iCs/>
      <w:color w:val="808080" w:themeColor="text1" w:themeTint="7F"/>
    </w:rPr>
  </w:style>
  <w:style w:type="character" w:styleId="Hyperlink">
    <w:name w:val="Hyperlink"/>
    <w:basedOn w:val="DefaultParagraphFont"/>
    <w:uiPriority w:val="99"/>
    <w:unhideWhenUsed/>
    <w:rsid w:val="00B86117"/>
    <w:rPr>
      <w:color w:val="0000FF" w:themeColor="hyperlink"/>
      <w:u w:val="single"/>
    </w:rPr>
  </w:style>
  <w:style w:type="character" w:customStyle="1" w:styleId="Heading2Char">
    <w:name w:val="Heading 2 Char"/>
    <w:basedOn w:val="DefaultParagraphFont"/>
    <w:link w:val="Heading2"/>
    <w:uiPriority w:val="9"/>
    <w:semiHidden/>
    <w:rsid w:val="00F061C8"/>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D611A9"/>
    <w:pPr>
      <w:spacing w:line="276" w:lineRule="auto"/>
      <w:jc w:val="left"/>
      <w:outlineLvl w:val="9"/>
    </w:pPr>
    <w:rPr>
      <w:lang w:val="en-US" w:eastAsia="ja-JP"/>
    </w:rPr>
  </w:style>
  <w:style w:type="paragraph" w:styleId="TOC1">
    <w:name w:val="toc 1"/>
    <w:basedOn w:val="Normal"/>
    <w:next w:val="Normal"/>
    <w:autoRedefine/>
    <w:uiPriority w:val="39"/>
    <w:unhideWhenUsed/>
    <w:rsid w:val="00D611A9"/>
    <w:pPr>
      <w:spacing w:after="100"/>
    </w:pPr>
  </w:style>
  <w:style w:type="paragraph" w:styleId="BalloonText">
    <w:name w:val="Balloon Text"/>
    <w:basedOn w:val="Normal"/>
    <w:link w:val="BalloonTextChar"/>
    <w:uiPriority w:val="99"/>
    <w:semiHidden/>
    <w:unhideWhenUsed/>
    <w:rsid w:val="00D611A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11A9"/>
    <w:rPr>
      <w:rFonts w:ascii="Tahoma" w:hAnsi="Tahoma" w:cs="Tahoma"/>
      <w:sz w:val="16"/>
      <w:szCs w:val="16"/>
      <w:lang w:val="en-GB"/>
    </w:rPr>
  </w:style>
  <w:style w:type="paragraph" w:styleId="ListParagraph">
    <w:name w:val="List Paragraph"/>
    <w:basedOn w:val="Normal"/>
    <w:uiPriority w:val="34"/>
    <w:qFormat/>
    <w:rsid w:val="00ED647F"/>
    <w:pPr>
      <w:ind w:left="720"/>
      <w:contextualSpacing/>
    </w:pPr>
  </w:style>
  <w:style w:type="paragraph" w:styleId="Header">
    <w:name w:val="header"/>
    <w:basedOn w:val="Normal"/>
    <w:link w:val="HeaderChar"/>
    <w:uiPriority w:val="99"/>
    <w:unhideWhenUsed/>
    <w:rsid w:val="00ED647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D647F"/>
    <w:rPr>
      <w:sz w:val="24"/>
      <w:lang w:val="en-GB"/>
    </w:rPr>
  </w:style>
  <w:style w:type="paragraph" w:styleId="Footer">
    <w:name w:val="footer"/>
    <w:basedOn w:val="Normal"/>
    <w:link w:val="FooterChar"/>
    <w:uiPriority w:val="99"/>
    <w:unhideWhenUsed/>
    <w:rsid w:val="00ED647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D647F"/>
    <w:rPr>
      <w:sz w:val="24"/>
      <w:lang w:val="en-GB"/>
    </w:rPr>
  </w:style>
  <w:style w:type="paragraph" w:styleId="NoSpacing">
    <w:name w:val="No Spacing"/>
    <w:link w:val="NoSpacingChar"/>
    <w:uiPriority w:val="1"/>
    <w:qFormat/>
    <w:rsid w:val="00582FBD"/>
    <w:pPr>
      <w:spacing w:after="0" w:line="240" w:lineRule="auto"/>
    </w:pPr>
    <w:rPr>
      <w:rFonts w:eastAsiaTheme="minorEastAsia"/>
    </w:rPr>
  </w:style>
  <w:style w:type="character" w:customStyle="1" w:styleId="NoSpacingChar">
    <w:name w:val="No Spacing Char"/>
    <w:basedOn w:val="DefaultParagraphFont"/>
    <w:link w:val="NoSpacing"/>
    <w:uiPriority w:val="1"/>
    <w:rsid w:val="00582FB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p.com/en/global/corporate/what-we-do/innovation-and-engineering.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p.com/en/global/corporate/investors/information-for-shareholders/dividends/dividend-policy.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loomberg.com/news/articles/2022-02-28/bp-drops-as-rosneft-exit-given-little-chance-of-finding-buye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p.com/en/global/corporate/investors/information-for-shareholders/dividends/dividend-payment-options.html" TargetMode="External"/><Relationship Id="rId5" Type="http://schemas.openxmlformats.org/officeDocument/2006/relationships/webSettings" Target="webSettings.xml"/><Relationship Id="rId15" Type="http://schemas.openxmlformats.org/officeDocument/2006/relationships/hyperlink" Target="https://corporatefinanceinstitute.com/resources/knowledge/trading-investing/efficient-markets-hypothesis/" TargetMode="External"/><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p.com/content/dam/bp/business-sites/en/global/corporate/pdfs/investors/bp-annual-report-and-form-20f-2021.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0676821E7A14D32B269A35357A6CAF5"/>
        <w:category>
          <w:name w:val="General"/>
          <w:gallery w:val="placeholder"/>
        </w:category>
        <w:types>
          <w:type w:val="bbPlcHdr"/>
        </w:types>
        <w:behaviors>
          <w:behavior w:val="content"/>
        </w:behaviors>
        <w:guid w:val="{9D974E17-3581-4E6B-A0F7-DBCE92C1023D}"/>
      </w:docPartPr>
      <w:docPartBody>
        <w:p w:rsidR="00181DE4" w:rsidRDefault="001576C0" w:rsidP="001576C0">
          <w:pPr>
            <w:pStyle w:val="50676821E7A14D32B269A35357A6CAF5"/>
          </w:pPr>
          <w:r>
            <w:rPr>
              <w:rFonts w:asciiTheme="majorHAnsi" w:eastAsiaTheme="majorEastAsia" w:hAnsiTheme="majorHAnsi" w:cstheme="majorBidi"/>
              <w:caps/>
              <w:color w:val="4472C4" w:themeColor="accent1"/>
              <w:sz w:val="80"/>
              <w:szCs w:val="80"/>
            </w:rPr>
            <w:t>[Document title]</w:t>
          </w:r>
        </w:p>
      </w:docPartBody>
    </w:docPart>
    <w:docPart>
      <w:docPartPr>
        <w:name w:val="78DE62E0709E49ACB657F73C6D79D01C"/>
        <w:category>
          <w:name w:val="General"/>
          <w:gallery w:val="placeholder"/>
        </w:category>
        <w:types>
          <w:type w:val="bbPlcHdr"/>
        </w:types>
        <w:behaviors>
          <w:behavior w:val="content"/>
        </w:behaviors>
        <w:guid w:val="{A9C6777A-9FF7-4868-AC22-8591757D83E1}"/>
      </w:docPartPr>
      <w:docPartBody>
        <w:p w:rsidR="00181DE4" w:rsidRDefault="001576C0" w:rsidP="001576C0">
          <w:pPr>
            <w:pStyle w:val="78DE62E0709E49ACB657F73C6D79D01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6C0"/>
    <w:rsid w:val="001576C0"/>
    <w:rsid w:val="00181DE4"/>
    <w:rsid w:val="00781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676821E7A14D32B269A35357A6CAF5">
    <w:name w:val="50676821E7A14D32B269A35357A6CAF5"/>
    <w:rsid w:val="001576C0"/>
  </w:style>
  <w:style w:type="paragraph" w:customStyle="1" w:styleId="78DE62E0709E49ACB657F73C6D79D01C">
    <w:name w:val="78DE62E0709E49ACB657F73C6D79D01C"/>
    <w:rsid w:val="001576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93F0EC-4829-4EE8-B5E8-D43E94AF2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1792</Words>
  <Characters>10218</Characters>
  <Application>Microsoft Office Word</Application>
  <DocSecurity>4</DocSecurity>
  <Lines>85</Lines>
  <Paragraphs>23</Paragraphs>
  <ScaleCrop>false</ScaleCrop>
  <HeadingPairs>
    <vt:vector size="2" baseType="variant">
      <vt:variant>
        <vt:lpstr>Title</vt:lpstr>
      </vt:variant>
      <vt:variant>
        <vt:i4>1</vt:i4>
      </vt:variant>
    </vt:vector>
  </HeadingPairs>
  <TitlesOfParts>
    <vt:vector size="1" baseType="lpstr">
      <vt:lpstr>INTERNATIONAL FINANCIAL MANAGEMENT</vt:lpstr>
    </vt:vector>
  </TitlesOfParts>
  <Company/>
  <LinksUpToDate>false</LinksUpToDate>
  <CharactersWithSpaces>11987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dc:title>
  <dc:subject>BP PLC</dc:subject>
  <dc:creator>admin</dc:creator>
  <cp:lastModifiedBy>Daniel Mihai (1917723)</cp:lastModifiedBy>
  <cp:revision>2</cp:revision>
  <dcterms:created xsi:type="dcterms:W3CDTF">2022-05-01T19:44:00Z</dcterms:created>
  <dcterms:modified xsi:type="dcterms:W3CDTF">2022-05-01T19:44:00Z</dcterms:modified>
</cp:coreProperties>
</file>