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10195" w14:textId="0F86AA78" w:rsidR="00411618" w:rsidRDefault="00411618">
      <w:pPr>
        <w:spacing w:before="1600"/>
        <w:jc w:val="center"/>
      </w:pPr>
    </w:p>
    <w:p w14:paraId="506552A5" w14:textId="60D5187F" w:rsidR="00411618" w:rsidRPr="00FE45D4" w:rsidRDefault="00FA28E4">
      <w:pPr>
        <w:spacing w:before="800"/>
        <w:jc w:val="center"/>
        <w:rPr>
          <w:b/>
          <w:bCs/>
          <w:sz w:val="32"/>
          <w:szCs w:val="32"/>
        </w:rPr>
      </w:pPr>
      <w:r w:rsidRPr="00FE45D4">
        <w:rPr>
          <w:b/>
          <w:bCs/>
          <w:sz w:val="32"/>
          <w:szCs w:val="32"/>
        </w:rPr>
        <w:t>Module: ACCA4024 – Networks and Cyber Security Essentials</w:t>
      </w:r>
      <w:r w:rsidR="00FE45D4">
        <w:rPr>
          <w:b/>
          <w:bCs/>
          <w:sz w:val="32"/>
          <w:szCs w:val="32"/>
        </w:rPr>
        <w:t>.</w:t>
      </w:r>
    </w:p>
    <w:p w14:paraId="254AA3E2" w14:textId="6ED9FB37" w:rsidR="00411618" w:rsidRPr="00FE45D4" w:rsidRDefault="00FA28E4">
      <w:pPr>
        <w:spacing w:before="1200"/>
        <w:jc w:val="center"/>
        <w:rPr>
          <w:b/>
          <w:bCs/>
          <w:sz w:val="28"/>
          <w:szCs w:val="28"/>
        </w:rPr>
      </w:pPr>
      <w:r w:rsidRPr="00FE45D4">
        <w:rPr>
          <w:b/>
          <w:bCs/>
          <w:sz w:val="28"/>
          <w:szCs w:val="28"/>
        </w:rPr>
        <w:t>Student Name:</w:t>
      </w:r>
      <w:r w:rsidR="00FE45D4" w:rsidRPr="00FE45D4">
        <w:rPr>
          <w:b/>
          <w:bCs/>
          <w:sz w:val="28"/>
          <w:szCs w:val="28"/>
        </w:rPr>
        <w:t xml:space="preserve"> Kaled Mensur</w:t>
      </w:r>
    </w:p>
    <w:p w14:paraId="3B7DE4E7" w14:textId="165F2188" w:rsidR="00411618" w:rsidRPr="00FE45D4" w:rsidRDefault="00FA28E4">
      <w:pPr>
        <w:spacing w:before="240"/>
        <w:jc w:val="center"/>
        <w:rPr>
          <w:b/>
          <w:bCs/>
          <w:sz w:val="28"/>
          <w:szCs w:val="28"/>
        </w:rPr>
      </w:pPr>
      <w:r w:rsidRPr="00FE45D4">
        <w:rPr>
          <w:b/>
          <w:bCs/>
          <w:sz w:val="28"/>
          <w:szCs w:val="28"/>
        </w:rPr>
        <w:t>Student ID:</w:t>
      </w:r>
      <w:r w:rsidR="00FE45D4" w:rsidRPr="00FE45D4">
        <w:rPr>
          <w:b/>
          <w:bCs/>
          <w:sz w:val="28"/>
          <w:szCs w:val="28"/>
        </w:rPr>
        <w:t>2514975</w:t>
      </w:r>
    </w:p>
    <w:p w14:paraId="67C3368D" w14:textId="77777777" w:rsidR="00411618" w:rsidRDefault="00FA28E4">
      <w:pPr>
        <w:spacing w:before="240"/>
        <w:jc w:val="center"/>
      </w:pPr>
      <w:r>
        <w:t>Module: ACCA4024 – Networks and Cyber Security Essentials</w:t>
      </w:r>
    </w:p>
    <w:p w14:paraId="42276B0C" w14:textId="77777777" w:rsidR="00FE45D4" w:rsidRDefault="00FE45D4">
      <w:pPr>
        <w:pStyle w:val="Heading1"/>
      </w:pPr>
    </w:p>
    <w:p w14:paraId="7BBD8A0B" w14:textId="77777777" w:rsidR="00FE45D4" w:rsidRDefault="00FE45D4">
      <w:pPr>
        <w:pStyle w:val="Heading1"/>
      </w:pPr>
    </w:p>
    <w:p w14:paraId="2503C936" w14:textId="77777777" w:rsidR="00FE45D4" w:rsidRDefault="00FE45D4">
      <w:pPr>
        <w:pStyle w:val="Heading1"/>
      </w:pPr>
    </w:p>
    <w:p w14:paraId="5EE9632B" w14:textId="77777777" w:rsidR="00FE45D4" w:rsidRDefault="00FE45D4">
      <w:pPr>
        <w:pStyle w:val="Heading1"/>
      </w:pPr>
    </w:p>
    <w:p w14:paraId="7F47D2A6" w14:textId="77777777" w:rsidR="00FE45D4" w:rsidRDefault="00FE45D4">
      <w:pPr>
        <w:pStyle w:val="Heading1"/>
      </w:pPr>
    </w:p>
    <w:p w14:paraId="3751D46D" w14:textId="77777777" w:rsidR="00FE45D4" w:rsidRDefault="00FE45D4">
      <w:pPr>
        <w:pStyle w:val="Heading1"/>
      </w:pPr>
    </w:p>
    <w:p w14:paraId="0C9AF4E0" w14:textId="77777777" w:rsidR="00FE45D4" w:rsidRDefault="00FE45D4">
      <w:pPr>
        <w:pStyle w:val="Heading1"/>
      </w:pPr>
    </w:p>
    <w:p w14:paraId="4AFCF4C9" w14:textId="77777777" w:rsidR="00FE45D4" w:rsidRDefault="00FE45D4">
      <w:pPr>
        <w:pStyle w:val="Heading1"/>
      </w:pPr>
    </w:p>
    <w:p w14:paraId="07313768" w14:textId="77777777" w:rsidR="00FE45D4" w:rsidRDefault="00FE45D4">
      <w:pPr>
        <w:pStyle w:val="Heading1"/>
      </w:pPr>
    </w:p>
    <w:p w14:paraId="2E46C90F" w14:textId="77777777" w:rsidR="00FE45D4" w:rsidRDefault="00FE45D4">
      <w:pPr>
        <w:pStyle w:val="Heading1"/>
      </w:pPr>
    </w:p>
    <w:p w14:paraId="3BCA13FD" w14:textId="77777777" w:rsidR="00FE45D4" w:rsidRDefault="00FE45D4">
      <w:pPr>
        <w:pStyle w:val="Heading1"/>
      </w:pPr>
    </w:p>
    <w:sdt>
      <w:sdtPr>
        <w:id w:val="-1443837814"/>
        <w:docPartObj>
          <w:docPartGallery w:val="Table of Contents"/>
          <w:docPartUnique/>
        </w:docPartObj>
      </w:sdtPr>
      <w:sdtEndPr>
        <w:rPr>
          <w:rFonts w:ascii="Calibri" w:eastAsia="Calibri" w:hAnsi="Calibri" w:cs="Calibri"/>
          <w:b/>
          <w:bCs/>
          <w:color w:val="auto"/>
          <w:sz w:val="22"/>
          <w:szCs w:val="22"/>
          <w:lang w:val="en-US" w:eastAsia="en-US"/>
        </w:rPr>
      </w:sdtEndPr>
      <w:sdtContent>
        <w:p w14:paraId="013ED577" w14:textId="5CC2F18A" w:rsidR="00FE45D4" w:rsidRDefault="00FE45D4">
          <w:pPr>
            <w:pStyle w:val="TOCHeading"/>
          </w:pPr>
          <w:r>
            <w:t>Table of Contents</w:t>
          </w:r>
        </w:p>
        <w:p w14:paraId="262341B9" w14:textId="6A4977F7" w:rsidR="00FE45D4" w:rsidRDefault="00FE45D4">
          <w:pPr>
            <w:pStyle w:val="TOC1"/>
            <w:tabs>
              <w:tab w:val="right" w:leader="dot" w:pos="9016"/>
            </w:tabs>
            <w:rPr>
              <w:noProof/>
            </w:rPr>
          </w:pPr>
          <w:r>
            <w:fldChar w:fldCharType="begin"/>
          </w:r>
          <w:r>
            <w:instrText xml:space="preserve"> TOC \o "1-3" \h \z \u </w:instrText>
          </w:r>
          <w:r>
            <w:fldChar w:fldCharType="separate"/>
          </w:r>
          <w:hyperlink w:anchor="_Toc237428252" w:history="1">
            <w:r w:rsidRPr="00A36543">
              <w:rPr>
                <w:rStyle w:val="Hyperlink"/>
                <w:noProof/>
              </w:rPr>
              <w:t>Abstract</w:t>
            </w:r>
            <w:r>
              <w:rPr>
                <w:noProof/>
                <w:webHidden/>
              </w:rPr>
              <w:tab/>
            </w:r>
            <w:r>
              <w:rPr>
                <w:noProof/>
                <w:webHidden/>
              </w:rPr>
              <w:fldChar w:fldCharType="begin"/>
            </w:r>
            <w:r>
              <w:rPr>
                <w:noProof/>
                <w:webHidden/>
              </w:rPr>
              <w:instrText xml:space="preserve"> PAGEREF _Toc237428252 \h </w:instrText>
            </w:r>
            <w:r>
              <w:rPr>
                <w:noProof/>
                <w:webHidden/>
              </w:rPr>
            </w:r>
            <w:r>
              <w:rPr>
                <w:noProof/>
                <w:webHidden/>
              </w:rPr>
              <w:fldChar w:fldCharType="separate"/>
            </w:r>
            <w:r>
              <w:rPr>
                <w:noProof/>
                <w:webHidden/>
              </w:rPr>
              <w:t>2</w:t>
            </w:r>
            <w:r>
              <w:rPr>
                <w:noProof/>
                <w:webHidden/>
              </w:rPr>
              <w:fldChar w:fldCharType="end"/>
            </w:r>
          </w:hyperlink>
        </w:p>
        <w:p w14:paraId="319D16CC" w14:textId="5FD34577" w:rsidR="00FE45D4" w:rsidRDefault="00FE45D4">
          <w:pPr>
            <w:pStyle w:val="TOC1"/>
            <w:tabs>
              <w:tab w:val="right" w:leader="dot" w:pos="9016"/>
            </w:tabs>
            <w:rPr>
              <w:noProof/>
            </w:rPr>
          </w:pPr>
          <w:hyperlink w:anchor="_Toc237428253" w:history="1">
            <w:r w:rsidRPr="00A36543">
              <w:rPr>
                <w:rStyle w:val="Hyperlink"/>
                <w:noProof/>
              </w:rPr>
              <w:t>1. Introduction</w:t>
            </w:r>
            <w:r>
              <w:rPr>
                <w:noProof/>
                <w:webHidden/>
              </w:rPr>
              <w:tab/>
            </w:r>
            <w:r>
              <w:rPr>
                <w:noProof/>
                <w:webHidden/>
              </w:rPr>
              <w:fldChar w:fldCharType="begin"/>
            </w:r>
            <w:r>
              <w:rPr>
                <w:noProof/>
                <w:webHidden/>
              </w:rPr>
              <w:instrText xml:space="preserve"> PAGEREF _Toc237428253 \h </w:instrText>
            </w:r>
            <w:r>
              <w:rPr>
                <w:noProof/>
                <w:webHidden/>
              </w:rPr>
            </w:r>
            <w:r>
              <w:rPr>
                <w:noProof/>
                <w:webHidden/>
              </w:rPr>
              <w:fldChar w:fldCharType="separate"/>
            </w:r>
            <w:r>
              <w:rPr>
                <w:noProof/>
                <w:webHidden/>
              </w:rPr>
              <w:t>2</w:t>
            </w:r>
            <w:r>
              <w:rPr>
                <w:noProof/>
                <w:webHidden/>
              </w:rPr>
              <w:fldChar w:fldCharType="end"/>
            </w:r>
          </w:hyperlink>
        </w:p>
        <w:p w14:paraId="7280599C" w14:textId="354C00D9" w:rsidR="00FE45D4" w:rsidRDefault="00FE45D4">
          <w:pPr>
            <w:pStyle w:val="TOC1"/>
            <w:tabs>
              <w:tab w:val="right" w:leader="dot" w:pos="9016"/>
            </w:tabs>
            <w:rPr>
              <w:noProof/>
            </w:rPr>
          </w:pPr>
          <w:hyperlink w:anchor="_Toc237428254" w:history="1">
            <w:r w:rsidRPr="00A36543">
              <w:rPr>
                <w:rStyle w:val="Hyperlink"/>
                <w:noProof/>
              </w:rPr>
              <w:t>2. Identification of Threats</w:t>
            </w:r>
            <w:r>
              <w:rPr>
                <w:noProof/>
                <w:webHidden/>
              </w:rPr>
              <w:tab/>
            </w:r>
            <w:r>
              <w:rPr>
                <w:noProof/>
                <w:webHidden/>
              </w:rPr>
              <w:fldChar w:fldCharType="begin"/>
            </w:r>
            <w:r>
              <w:rPr>
                <w:noProof/>
                <w:webHidden/>
              </w:rPr>
              <w:instrText xml:space="preserve"> PAGEREF _Toc237428254 \h </w:instrText>
            </w:r>
            <w:r>
              <w:rPr>
                <w:noProof/>
                <w:webHidden/>
              </w:rPr>
            </w:r>
            <w:r>
              <w:rPr>
                <w:noProof/>
                <w:webHidden/>
              </w:rPr>
              <w:fldChar w:fldCharType="separate"/>
            </w:r>
            <w:r>
              <w:rPr>
                <w:noProof/>
                <w:webHidden/>
              </w:rPr>
              <w:t>2</w:t>
            </w:r>
            <w:r>
              <w:rPr>
                <w:noProof/>
                <w:webHidden/>
              </w:rPr>
              <w:fldChar w:fldCharType="end"/>
            </w:r>
          </w:hyperlink>
        </w:p>
        <w:p w14:paraId="40FABD24" w14:textId="2C61313A" w:rsidR="00FE45D4" w:rsidRDefault="00FE45D4">
          <w:pPr>
            <w:pStyle w:val="TOC1"/>
            <w:tabs>
              <w:tab w:val="right" w:leader="dot" w:pos="9016"/>
            </w:tabs>
            <w:rPr>
              <w:noProof/>
            </w:rPr>
          </w:pPr>
          <w:hyperlink w:anchor="_Toc237428255" w:history="1">
            <w:r w:rsidRPr="00A36543">
              <w:rPr>
                <w:rStyle w:val="Hyperlink"/>
                <w:noProof/>
              </w:rPr>
              <w:t>3. Security Policies</w:t>
            </w:r>
            <w:r>
              <w:rPr>
                <w:noProof/>
                <w:webHidden/>
              </w:rPr>
              <w:tab/>
            </w:r>
            <w:r>
              <w:rPr>
                <w:noProof/>
                <w:webHidden/>
              </w:rPr>
              <w:fldChar w:fldCharType="begin"/>
            </w:r>
            <w:r>
              <w:rPr>
                <w:noProof/>
                <w:webHidden/>
              </w:rPr>
              <w:instrText xml:space="preserve"> PAGEREF _Toc237428255 \h </w:instrText>
            </w:r>
            <w:r>
              <w:rPr>
                <w:noProof/>
                <w:webHidden/>
              </w:rPr>
            </w:r>
            <w:r>
              <w:rPr>
                <w:noProof/>
                <w:webHidden/>
              </w:rPr>
              <w:fldChar w:fldCharType="separate"/>
            </w:r>
            <w:r>
              <w:rPr>
                <w:noProof/>
                <w:webHidden/>
              </w:rPr>
              <w:t>3</w:t>
            </w:r>
            <w:r>
              <w:rPr>
                <w:noProof/>
                <w:webHidden/>
              </w:rPr>
              <w:fldChar w:fldCharType="end"/>
            </w:r>
          </w:hyperlink>
        </w:p>
        <w:p w14:paraId="6E36F780" w14:textId="48A5C93C" w:rsidR="00FE45D4" w:rsidRDefault="00FE45D4">
          <w:pPr>
            <w:pStyle w:val="TOC1"/>
            <w:tabs>
              <w:tab w:val="right" w:leader="dot" w:pos="9016"/>
            </w:tabs>
            <w:rPr>
              <w:noProof/>
            </w:rPr>
          </w:pPr>
          <w:hyperlink w:anchor="_Toc237428256" w:history="1">
            <w:r w:rsidRPr="00A36543">
              <w:rPr>
                <w:rStyle w:val="Hyperlink"/>
                <w:noProof/>
              </w:rPr>
              <w:t>4. Mitigation Measures</w:t>
            </w:r>
            <w:r>
              <w:rPr>
                <w:noProof/>
                <w:webHidden/>
              </w:rPr>
              <w:tab/>
            </w:r>
            <w:r>
              <w:rPr>
                <w:noProof/>
                <w:webHidden/>
              </w:rPr>
              <w:fldChar w:fldCharType="begin"/>
            </w:r>
            <w:r>
              <w:rPr>
                <w:noProof/>
                <w:webHidden/>
              </w:rPr>
              <w:instrText xml:space="preserve"> PAGEREF _Toc237428256 \h </w:instrText>
            </w:r>
            <w:r>
              <w:rPr>
                <w:noProof/>
                <w:webHidden/>
              </w:rPr>
            </w:r>
            <w:r>
              <w:rPr>
                <w:noProof/>
                <w:webHidden/>
              </w:rPr>
              <w:fldChar w:fldCharType="separate"/>
            </w:r>
            <w:r>
              <w:rPr>
                <w:noProof/>
                <w:webHidden/>
              </w:rPr>
              <w:t>4</w:t>
            </w:r>
            <w:r>
              <w:rPr>
                <w:noProof/>
                <w:webHidden/>
              </w:rPr>
              <w:fldChar w:fldCharType="end"/>
            </w:r>
          </w:hyperlink>
        </w:p>
        <w:p w14:paraId="4DC1D925" w14:textId="19290CE3" w:rsidR="00FE45D4" w:rsidRDefault="00FE45D4">
          <w:pPr>
            <w:pStyle w:val="TOC1"/>
            <w:tabs>
              <w:tab w:val="right" w:leader="dot" w:pos="9016"/>
            </w:tabs>
            <w:rPr>
              <w:noProof/>
            </w:rPr>
          </w:pPr>
          <w:hyperlink w:anchor="_Toc237428257" w:history="1">
            <w:r w:rsidRPr="00A36543">
              <w:rPr>
                <w:rStyle w:val="Hyperlink"/>
                <w:noProof/>
              </w:rPr>
              <w:t>5. Monitoring and Response</w:t>
            </w:r>
            <w:r>
              <w:rPr>
                <w:noProof/>
                <w:webHidden/>
              </w:rPr>
              <w:tab/>
            </w:r>
            <w:r>
              <w:rPr>
                <w:noProof/>
                <w:webHidden/>
              </w:rPr>
              <w:fldChar w:fldCharType="begin"/>
            </w:r>
            <w:r>
              <w:rPr>
                <w:noProof/>
                <w:webHidden/>
              </w:rPr>
              <w:instrText xml:space="preserve"> PAGEREF _Toc237428257 \h </w:instrText>
            </w:r>
            <w:r>
              <w:rPr>
                <w:noProof/>
                <w:webHidden/>
              </w:rPr>
            </w:r>
            <w:r>
              <w:rPr>
                <w:noProof/>
                <w:webHidden/>
              </w:rPr>
              <w:fldChar w:fldCharType="separate"/>
            </w:r>
            <w:r>
              <w:rPr>
                <w:noProof/>
                <w:webHidden/>
              </w:rPr>
              <w:t>6</w:t>
            </w:r>
            <w:r>
              <w:rPr>
                <w:noProof/>
                <w:webHidden/>
              </w:rPr>
              <w:fldChar w:fldCharType="end"/>
            </w:r>
          </w:hyperlink>
        </w:p>
        <w:p w14:paraId="20B42CCC" w14:textId="6DCB91D3" w:rsidR="00FE45D4" w:rsidRDefault="00FE45D4">
          <w:pPr>
            <w:pStyle w:val="TOC1"/>
            <w:tabs>
              <w:tab w:val="right" w:leader="dot" w:pos="9016"/>
            </w:tabs>
            <w:rPr>
              <w:noProof/>
            </w:rPr>
          </w:pPr>
          <w:hyperlink w:anchor="_Toc237428258" w:history="1">
            <w:r w:rsidRPr="00A36543">
              <w:rPr>
                <w:rStyle w:val="Hyperlink"/>
                <w:noProof/>
              </w:rPr>
              <w:t>6. Training and Awareness</w:t>
            </w:r>
            <w:r>
              <w:rPr>
                <w:noProof/>
                <w:webHidden/>
              </w:rPr>
              <w:tab/>
            </w:r>
            <w:r>
              <w:rPr>
                <w:noProof/>
                <w:webHidden/>
              </w:rPr>
              <w:fldChar w:fldCharType="begin"/>
            </w:r>
            <w:r>
              <w:rPr>
                <w:noProof/>
                <w:webHidden/>
              </w:rPr>
              <w:instrText xml:space="preserve"> PAGEREF _Toc237428258 \h </w:instrText>
            </w:r>
            <w:r>
              <w:rPr>
                <w:noProof/>
                <w:webHidden/>
              </w:rPr>
            </w:r>
            <w:r>
              <w:rPr>
                <w:noProof/>
                <w:webHidden/>
              </w:rPr>
              <w:fldChar w:fldCharType="separate"/>
            </w:r>
            <w:r>
              <w:rPr>
                <w:noProof/>
                <w:webHidden/>
              </w:rPr>
              <w:t>8</w:t>
            </w:r>
            <w:r>
              <w:rPr>
                <w:noProof/>
                <w:webHidden/>
              </w:rPr>
              <w:fldChar w:fldCharType="end"/>
            </w:r>
          </w:hyperlink>
        </w:p>
        <w:p w14:paraId="3B27451B" w14:textId="43E78E47" w:rsidR="00FE45D4" w:rsidRDefault="00FE45D4">
          <w:pPr>
            <w:pStyle w:val="TOC1"/>
            <w:tabs>
              <w:tab w:val="right" w:leader="dot" w:pos="9016"/>
            </w:tabs>
            <w:rPr>
              <w:noProof/>
            </w:rPr>
          </w:pPr>
          <w:hyperlink w:anchor="_Toc237428259" w:history="1">
            <w:r w:rsidRPr="00A36543">
              <w:rPr>
                <w:rStyle w:val="Hyperlink"/>
                <w:noProof/>
              </w:rPr>
              <w:t>7. Conclusion</w:t>
            </w:r>
            <w:r>
              <w:rPr>
                <w:noProof/>
                <w:webHidden/>
              </w:rPr>
              <w:tab/>
            </w:r>
            <w:r>
              <w:rPr>
                <w:noProof/>
                <w:webHidden/>
              </w:rPr>
              <w:fldChar w:fldCharType="begin"/>
            </w:r>
            <w:r>
              <w:rPr>
                <w:noProof/>
                <w:webHidden/>
              </w:rPr>
              <w:instrText xml:space="preserve"> PAGEREF _Toc237428259 \h </w:instrText>
            </w:r>
            <w:r>
              <w:rPr>
                <w:noProof/>
                <w:webHidden/>
              </w:rPr>
            </w:r>
            <w:r>
              <w:rPr>
                <w:noProof/>
                <w:webHidden/>
              </w:rPr>
              <w:fldChar w:fldCharType="separate"/>
            </w:r>
            <w:r>
              <w:rPr>
                <w:noProof/>
                <w:webHidden/>
              </w:rPr>
              <w:t>8</w:t>
            </w:r>
            <w:r>
              <w:rPr>
                <w:noProof/>
                <w:webHidden/>
              </w:rPr>
              <w:fldChar w:fldCharType="end"/>
            </w:r>
          </w:hyperlink>
        </w:p>
        <w:p w14:paraId="6C930315" w14:textId="241CB3D4" w:rsidR="00FE45D4" w:rsidRDefault="00FE45D4">
          <w:pPr>
            <w:pStyle w:val="TOC1"/>
            <w:tabs>
              <w:tab w:val="right" w:leader="dot" w:pos="9016"/>
            </w:tabs>
            <w:rPr>
              <w:noProof/>
            </w:rPr>
          </w:pPr>
          <w:hyperlink w:anchor="_Toc237428260" w:history="1">
            <w:r w:rsidRPr="00A36543">
              <w:rPr>
                <w:rStyle w:val="Hyperlink"/>
                <w:noProof/>
              </w:rPr>
              <w:t>References</w:t>
            </w:r>
            <w:r>
              <w:rPr>
                <w:noProof/>
                <w:webHidden/>
              </w:rPr>
              <w:tab/>
            </w:r>
            <w:r>
              <w:rPr>
                <w:noProof/>
                <w:webHidden/>
              </w:rPr>
              <w:fldChar w:fldCharType="begin"/>
            </w:r>
            <w:r>
              <w:rPr>
                <w:noProof/>
                <w:webHidden/>
              </w:rPr>
              <w:instrText xml:space="preserve"> PAGEREF _Toc237428260 \h </w:instrText>
            </w:r>
            <w:r>
              <w:rPr>
                <w:noProof/>
                <w:webHidden/>
              </w:rPr>
            </w:r>
            <w:r>
              <w:rPr>
                <w:noProof/>
                <w:webHidden/>
              </w:rPr>
              <w:fldChar w:fldCharType="separate"/>
            </w:r>
            <w:r>
              <w:rPr>
                <w:noProof/>
                <w:webHidden/>
              </w:rPr>
              <w:t>9</w:t>
            </w:r>
            <w:r>
              <w:rPr>
                <w:noProof/>
                <w:webHidden/>
              </w:rPr>
              <w:fldChar w:fldCharType="end"/>
            </w:r>
          </w:hyperlink>
        </w:p>
        <w:p w14:paraId="5EEA3A82" w14:textId="30AEFDEE" w:rsidR="00FE45D4" w:rsidRDefault="00FE45D4">
          <w:pPr>
            <w:pStyle w:val="TOC1"/>
            <w:tabs>
              <w:tab w:val="right" w:leader="dot" w:pos="9016"/>
            </w:tabs>
            <w:rPr>
              <w:noProof/>
            </w:rPr>
          </w:pPr>
          <w:hyperlink w:anchor="_Toc237428261" w:history="1">
            <w:r w:rsidRPr="00A36543">
              <w:rPr>
                <w:rStyle w:val="Hyperlink"/>
                <w:noProof/>
              </w:rPr>
              <w:t>Appendix A: Board Presentation Slides</w:t>
            </w:r>
            <w:r>
              <w:rPr>
                <w:noProof/>
                <w:webHidden/>
              </w:rPr>
              <w:tab/>
            </w:r>
            <w:r>
              <w:rPr>
                <w:noProof/>
                <w:webHidden/>
              </w:rPr>
              <w:fldChar w:fldCharType="begin"/>
            </w:r>
            <w:r>
              <w:rPr>
                <w:noProof/>
                <w:webHidden/>
              </w:rPr>
              <w:instrText xml:space="preserve"> PAGEREF _Toc237428261 \h </w:instrText>
            </w:r>
            <w:r>
              <w:rPr>
                <w:noProof/>
                <w:webHidden/>
              </w:rPr>
            </w:r>
            <w:r>
              <w:rPr>
                <w:noProof/>
                <w:webHidden/>
              </w:rPr>
              <w:fldChar w:fldCharType="separate"/>
            </w:r>
            <w:r>
              <w:rPr>
                <w:noProof/>
                <w:webHidden/>
              </w:rPr>
              <w:t>10</w:t>
            </w:r>
            <w:r>
              <w:rPr>
                <w:noProof/>
                <w:webHidden/>
              </w:rPr>
              <w:fldChar w:fldCharType="end"/>
            </w:r>
          </w:hyperlink>
        </w:p>
        <w:p w14:paraId="628FE80E" w14:textId="44506F19" w:rsidR="00FE45D4" w:rsidRDefault="00FE45D4">
          <w:r>
            <w:rPr>
              <w:b/>
              <w:bCs/>
            </w:rPr>
            <w:fldChar w:fldCharType="end"/>
          </w:r>
        </w:p>
      </w:sdtContent>
    </w:sdt>
    <w:p w14:paraId="43053233" w14:textId="77777777" w:rsidR="00FE45D4" w:rsidRDefault="00FE45D4">
      <w:pPr>
        <w:pStyle w:val="Heading1"/>
      </w:pPr>
      <w:bookmarkStart w:id="0" w:name="_Toc237428252"/>
    </w:p>
    <w:p w14:paraId="404A43CB" w14:textId="77777777" w:rsidR="00FE45D4" w:rsidRDefault="00FE45D4">
      <w:pPr>
        <w:pStyle w:val="Heading1"/>
      </w:pPr>
    </w:p>
    <w:p w14:paraId="30DC184B" w14:textId="77777777" w:rsidR="00FE45D4" w:rsidRDefault="00FE45D4">
      <w:pPr>
        <w:pStyle w:val="Heading1"/>
      </w:pPr>
    </w:p>
    <w:p w14:paraId="49510A33" w14:textId="77777777" w:rsidR="00FE45D4" w:rsidRDefault="00FE45D4">
      <w:pPr>
        <w:pStyle w:val="Heading1"/>
      </w:pPr>
    </w:p>
    <w:p w14:paraId="5510212B" w14:textId="77777777" w:rsidR="00FE45D4" w:rsidRDefault="00FE45D4">
      <w:pPr>
        <w:pStyle w:val="Heading1"/>
      </w:pPr>
    </w:p>
    <w:p w14:paraId="1F88E5B2" w14:textId="77777777" w:rsidR="00FE45D4" w:rsidRDefault="00FE45D4">
      <w:pPr>
        <w:pStyle w:val="Heading1"/>
      </w:pPr>
    </w:p>
    <w:p w14:paraId="02C4BA5F" w14:textId="77777777" w:rsidR="00FE45D4" w:rsidRDefault="00FE45D4">
      <w:pPr>
        <w:pStyle w:val="Heading1"/>
      </w:pPr>
    </w:p>
    <w:p w14:paraId="21047231" w14:textId="77777777" w:rsidR="00FE45D4" w:rsidRDefault="00FE45D4">
      <w:pPr>
        <w:pStyle w:val="Heading1"/>
      </w:pPr>
    </w:p>
    <w:p w14:paraId="3296DDB1" w14:textId="77777777" w:rsidR="00FE45D4" w:rsidRDefault="00FE45D4">
      <w:pPr>
        <w:pStyle w:val="Heading1"/>
      </w:pPr>
    </w:p>
    <w:p w14:paraId="4C428700" w14:textId="77777777" w:rsidR="00FE45D4" w:rsidRDefault="00FE45D4">
      <w:pPr>
        <w:pStyle w:val="Heading1"/>
      </w:pPr>
    </w:p>
    <w:p w14:paraId="0FE067AA" w14:textId="77777777" w:rsidR="00FE45D4" w:rsidRDefault="00FE45D4">
      <w:pPr>
        <w:pStyle w:val="Heading1"/>
      </w:pPr>
    </w:p>
    <w:p w14:paraId="226D3E79" w14:textId="77777777" w:rsidR="00FE45D4" w:rsidRDefault="00FE45D4">
      <w:pPr>
        <w:pStyle w:val="Heading1"/>
      </w:pPr>
    </w:p>
    <w:p w14:paraId="7EDB650C" w14:textId="77777777" w:rsidR="00FE45D4" w:rsidRDefault="00FE45D4">
      <w:pPr>
        <w:pStyle w:val="Heading1"/>
      </w:pPr>
    </w:p>
    <w:p w14:paraId="1FB220A8" w14:textId="54027F53" w:rsidR="00411618" w:rsidRDefault="00FA28E4">
      <w:pPr>
        <w:pStyle w:val="Heading1"/>
      </w:pPr>
      <w:r>
        <w:lastRenderedPageBreak/>
        <w:t>Abstract</w:t>
      </w:r>
      <w:bookmarkEnd w:id="0"/>
    </w:p>
    <w:p w14:paraId="0F9B9916" w14:textId="77777777" w:rsidR="00411618" w:rsidRDefault="00FA28E4">
      <w:pPr>
        <w:spacing w:after="160" w:line="276" w:lineRule="auto"/>
        <w:jc w:val="both"/>
      </w:pPr>
      <w:proofErr w:type="spellStart"/>
      <w:r>
        <w:t>SteelForm</w:t>
      </w:r>
      <w:proofErr w:type="spellEnd"/>
      <w:r>
        <w:t xml:space="preserve"> Manufacturing Ltd (SFM) has embraced Internet of Things (IoT) sensors, automated production equipment, and cloud-based systems to boost efficiency. However, this has come with recent incidents including malware infections, targeted phishing on procurement staff, and unauthorized attempts to access the production network. In this report, I present a comprehensive cybersecurity and data governance strategy tailored for SFM. It is organized around key areas including identifying threats, establishing policies, implementing mitigations, setting up monitoring and response protocols, and delivering effective staff training. The proposed solution draws on the NIST Cybersecurity Framework [5] and ISO/IEC 27001 [4] to align policy with </w:t>
      </w:r>
      <w:proofErr w:type="spellStart"/>
      <w:r>
        <w:t>recognised</w:t>
      </w:r>
      <w:proofErr w:type="spellEnd"/>
      <w:r>
        <w:t xml:space="preserve"> international practice, and applies the CIA triad (confidentiality, integrity, availability) to judge the adequacy of each control. The report concludes that SFM's greatest exposure lies at the intersection of its IT and operational technology (OT) environments [2], and that network segmentation, staff awareness and a tested incident response plan together offer the most realistic path to a more resilient security posture.</w:t>
      </w:r>
    </w:p>
    <w:p w14:paraId="5F4CA27A" w14:textId="77777777" w:rsidR="00411618" w:rsidRDefault="00FA28E4">
      <w:pPr>
        <w:pStyle w:val="Heading1"/>
      </w:pPr>
      <w:bookmarkStart w:id="1" w:name="_Toc237428253"/>
      <w:r>
        <w:t>1. Introduction</w:t>
      </w:r>
      <w:bookmarkEnd w:id="1"/>
    </w:p>
    <w:p w14:paraId="1A021916" w14:textId="77777777" w:rsidR="00411618" w:rsidRDefault="00FA28E4">
      <w:pPr>
        <w:spacing w:after="160" w:line="276" w:lineRule="auto"/>
        <w:jc w:val="both"/>
      </w:pPr>
      <w:r>
        <w:t xml:space="preserve">Industry 4.0 has given manufacturers such as SFM real operational benefits: IoT-enabled sensors provide real-time visibility of the production line, automated machinery reduces manual error, and cloud-based production management systems allow remote coordination across sites. However, these technologies also widen the attack surface, connecting equipment that was never designed with modern security controls in mind to networks that are, directly or indirectly, reachable from the internet. Manufacturing has been the most heavily targeted sector for ransomware for several consecutive years, with attacks against the sector rising sharply and average ransom demands more than doubling in recent reporting periods [1]. SFM's recent experience of malware infections, phishing against procurement, and </w:t>
      </w:r>
      <w:proofErr w:type="spellStart"/>
      <w:r>
        <w:t>unauthorised</w:t>
      </w:r>
      <w:proofErr w:type="spellEnd"/>
      <w:r>
        <w:t xml:space="preserve"> access attempts is therefore consistent with a well-documented, sector-wide trend rather than an isolated event. This report identifies SFM's principal internal and external threats, proposes a set of security policies aligned with </w:t>
      </w:r>
      <w:proofErr w:type="spellStart"/>
      <w:r>
        <w:t>recognised</w:t>
      </w:r>
      <w:proofErr w:type="spellEnd"/>
      <w:r>
        <w:t xml:space="preserve"> standards, details specific mitigation measures, outlines a monitoring and incident response plan, and describes a staff training </w:t>
      </w:r>
      <w:proofErr w:type="spellStart"/>
      <w:r>
        <w:t>programme</w:t>
      </w:r>
      <w:proofErr w:type="spellEnd"/>
      <w:r>
        <w:t>, in order to strengthen the company's overall security posture.</w:t>
      </w:r>
    </w:p>
    <w:p w14:paraId="5D8910A5" w14:textId="77777777" w:rsidR="00411618" w:rsidRDefault="00FA28E4">
      <w:pPr>
        <w:pStyle w:val="Heading1"/>
      </w:pPr>
      <w:bookmarkStart w:id="2" w:name="_Toc237428254"/>
      <w:r>
        <w:t>2. Identification of Threats</w:t>
      </w:r>
      <w:bookmarkEnd w:id="2"/>
    </w:p>
    <w:p w14:paraId="6E5077DC" w14:textId="77777777" w:rsidR="00411618" w:rsidRDefault="00FA28E4">
      <w:pPr>
        <w:spacing w:after="160" w:line="276" w:lineRule="auto"/>
        <w:jc w:val="both"/>
      </w:pPr>
      <w:r>
        <w:t xml:space="preserve">Threats to SFM fall into two broad categories. External threats originate outside the </w:t>
      </w:r>
      <w:proofErr w:type="spellStart"/>
      <w:r>
        <w:t>organisation</w:t>
      </w:r>
      <w:proofErr w:type="spellEnd"/>
      <w:r>
        <w:t xml:space="preserve"> and exploit either technical vulnerabilities or human trust; internal threats arise from SFM's own staff, contractors or misconfigured systems. Table 1 </w:t>
      </w:r>
      <w:proofErr w:type="spellStart"/>
      <w:r>
        <w:t>summarises</w:t>
      </w:r>
      <w:proofErr w:type="spellEnd"/>
      <w:r>
        <w:t xml:space="preserve"> the principal threats identified for SFM, drawing on the scenario detail provided and on current sector-wide threat intelligence.</w:t>
      </w:r>
    </w:p>
    <w:p w14:paraId="31B0BB8F" w14:textId="77777777" w:rsidR="00FE45D4" w:rsidRDefault="00FE45D4">
      <w:pPr>
        <w:spacing w:after="160" w:line="276" w:lineRule="auto"/>
        <w:jc w:val="both"/>
      </w:pPr>
    </w:p>
    <w:p w14:paraId="0BB0A676" w14:textId="77777777" w:rsidR="00FE45D4" w:rsidRDefault="00FE45D4">
      <w:pPr>
        <w:spacing w:after="160" w:line="276" w:lineRule="auto"/>
        <w:jc w:val="both"/>
      </w:pPr>
    </w:p>
    <w:p w14:paraId="6A127016" w14:textId="77777777" w:rsidR="00FE45D4" w:rsidRDefault="00FE45D4">
      <w:pPr>
        <w:spacing w:after="160" w:line="276" w:lineRule="auto"/>
        <w:jc w:val="both"/>
      </w:pPr>
    </w:p>
    <w:p w14:paraId="4EB72FC0" w14:textId="77777777" w:rsidR="00FE45D4" w:rsidRDefault="00FE45D4">
      <w:pPr>
        <w:spacing w:after="160" w:line="276" w:lineRule="auto"/>
        <w:jc w:val="both"/>
      </w:pPr>
    </w:p>
    <w:tbl>
      <w:tblPr>
        <w:tblW w:w="942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00"/>
        <w:gridCol w:w="1400"/>
        <w:gridCol w:w="4420"/>
      </w:tblGrid>
      <w:tr w:rsidR="00411618" w14:paraId="720987A6" w14:textId="77777777">
        <w:tc>
          <w:tcPr>
            <w:tcW w:w="3600" w:type="dxa"/>
            <w:shd w:val="clear" w:color="auto" w:fill="990011"/>
            <w:tcMar>
              <w:top w:w="100" w:type="dxa"/>
              <w:left w:w="120" w:type="dxa"/>
              <w:bottom w:w="100" w:type="dxa"/>
              <w:right w:w="120" w:type="dxa"/>
            </w:tcMar>
          </w:tcPr>
          <w:p w14:paraId="20131EAC" w14:textId="77777777" w:rsidR="00411618" w:rsidRDefault="00FA28E4">
            <w:r>
              <w:rPr>
                <w:b/>
                <w:bCs/>
                <w:color w:val="FFFFFF"/>
                <w:sz w:val="20"/>
                <w:szCs w:val="20"/>
              </w:rPr>
              <w:lastRenderedPageBreak/>
              <w:t>Threat</w:t>
            </w:r>
          </w:p>
        </w:tc>
        <w:tc>
          <w:tcPr>
            <w:tcW w:w="1400" w:type="dxa"/>
            <w:shd w:val="clear" w:color="auto" w:fill="990011"/>
            <w:tcMar>
              <w:top w:w="100" w:type="dxa"/>
              <w:left w:w="120" w:type="dxa"/>
              <w:bottom w:w="100" w:type="dxa"/>
              <w:right w:w="120" w:type="dxa"/>
            </w:tcMar>
          </w:tcPr>
          <w:p w14:paraId="188C67C1" w14:textId="77777777" w:rsidR="00411618" w:rsidRDefault="00FA28E4">
            <w:r>
              <w:rPr>
                <w:b/>
                <w:bCs/>
                <w:color w:val="FFFFFF"/>
                <w:sz w:val="20"/>
                <w:szCs w:val="20"/>
              </w:rPr>
              <w:t>Type</w:t>
            </w:r>
          </w:p>
        </w:tc>
        <w:tc>
          <w:tcPr>
            <w:tcW w:w="4420" w:type="dxa"/>
            <w:shd w:val="clear" w:color="auto" w:fill="990011"/>
            <w:tcMar>
              <w:top w:w="100" w:type="dxa"/>
              <w:left w:w="120" w:type="dxa"/>
              <w:bottom w:w="100" w:type="dxa"/>
              <w:right w:w="120" w:type="dxa"/>
            </w:tcMar>
          </w:tcPr>
          <w:p w14:paraId="5D752496" w14:textId="77777777" w:rsidR="00411618" w:rsidRDefault="00FA28E4">
            <w:r>
              <w:rPr>
                <w:b/>
                <w:bCs/>
                <w:color w:val="FFFFFF"/>
                <w:sz w:val="20"/>
                <w:szCs w:val="20"/>
              </w:rPr>
              <w:t>Likely impact on SFM</w:t>
            </w:r>
          </w:p>
        </w:tc>
      </w:tr>
      <w:tr w:rsidR="00411618" w14:paraId="02BF3735" w14:textId="77777777">
        <w:tc>
          <w:tcPr>
            <w:tcW w:w="3600" w:type="dxa"/>
            <w:tcMar>
              <w:top w:w="100" w:type="dxa"/>
              <w:left w:w="120" w:type="dxa"/>
              <w:bottom w:w="100" w:type="dxa"/>
              <w:right w:w="120" w:type="dxa"/>
            </w:tcMar>
          </w:tcPr>
          <w:p w14:paraId="72A5E07D" w14:textId="77777777" w:rsidR="00411618" w:rsidRDefault="00FA28E4">
            <w:r>
              <w:rPr>
                <w:color w:val="000000"/>
                <w:sz w:val="20"/>
                <w:szCs w:val="20"/>
              </w:rPr>
              <w:t>Ransomware via phishing or exposed remote access</w:t>
            </w:r>
          </w:p>
        </w:tc>
        <w:tc>
          <w:tcPr>
            <w:tcW w:w="1400" w:type="dxa"/>
            <w:tcMar>
              <w:top w:w="100" w:type="dxa"/>
              <w:left w:w="120" w:type="dxa"/>
              <w:bottom w:w="100" w:type="dxa"/>
              <w:right w:w="120" w:type="dxa"/>
            </w:tcMar>
          </w:tcPr>
          <w:p w14:paraId="60A21EE8" w14:textId="77777777" w:rsidR="00411618" w:rsidRDefault="00FA28E4">
            <w:r>
              <w:rPr>
                <w:color w:val="000000"/>
                <w:sz w:val="20"/>
                <w:szCs w:val="20"/>
              </w:rPr>
              <w:t>External</w:t>
            </w:r>
          </w:p>
        </w:tc>
        <w:tc>
          <w:tcPr>
            <w:tcW w:w="4420" w:type="dxa"/>
            <w:tcMar>
              <w:top w:w="100" w:type="dxa"/>
              <w:left w:w="120" w:type="dxa"/>
              <w:bottom w:w="100" w:type="dxa"/>
              <w:right w:w="120" w:type="dxa"/>
            </w:tcMar>
          </w:tcPr>
          <w:p w14:paraId="4688A217" w14:textId="77777777" w:rsidR="00411618" w:rsidRDefault="00FA28E4">
            <w:r>
              <w:rPr>
                <w:color w:val="000000"/>
                <w:sz w:val="20"/>
                <w:szCs w:val="20"/>
              </w:rPr>
              <w:t>Production halt, data encryption, extortion demand; manufacturing is the most-targeted sector globally for ransomware [1].</w:t>
            </w:r>
          </w:p>
        </w:tc>
      </w:tr>
      <w:tr w:rsidR="00411618" w14:paraId="3A14EC73" w14:textId="77777777">
        <w:tc>
          <w:tcPr>
            <w:tcW w:w="3600" w:type="dxa"/>
            <w:tcMar>
              <w:top w:w="100" w:type="dxa"/>
              <w:left w:w="120" w:type="dxa"/>
              <w:bottom w:w="100" w:type="dxa"/>
              <w:right w:w="120" w:type="dxa"/>
            </w:tcMar>
          </w:tcPr>
          <w:p w14:paraId="7CB5A07A" w14:textId="77777777" w:rsidR="00411618" w:rsidRDefault="00FA28E4">
            <w:r>
              <w:rPr>
                <w:color w:val="000000"/>
                <w:sz w:val="20"/>
                <w:szCs w:val="20"/>
              </w:rPr>
              <w:t>Phishing / business email compromise targeting procurement</w:t>
            </w:r>
          </w:p>
        </w:tc>
        <w:tc>
          <w:tcPr>
            <w:tcW w:w="1400" w:type="dxa"/>
            <w:tcMar>
              <w:top w:w="100" w:type="dxa"/>
              <w:left w:w="120" w:type="dxa"/>
              <w:bottom w:w="100" w:type="dxa"/>
              <w:right w:w="120" w:type="dxa"/>
            </w:tcMar>
          </w:tcPr>
          <w:p w14:paraId="5EDA5950" w14:textId="77777777" w:rsidR="00411618" w:rsidRDefault="00FA28E4">
            <w:r>
              <w:rPr>
                <w:color w:val="000000"/>
                <w:sz w:val="20"/>
                <w:szCs w:val="20"/>
              </w:rPr>
              <w:t>External</w:t>
            </w:r>
          </w:p>
        </w:tc>
        <w:tc>
          <w:tcPr>
            <w:tcW w:w="4420" w:type="dxa"/>
            <w:tcMar>
              <w:top w:w="100" w:type="dxa"/>
              <w:left w:w="120" w:type="dxa"/>
              <w:bottom w:w="100" w:type="dxa"/>
              <w:right w:w="120" w:type="dxa"/>
            </w:tcMar>
          </w:tcPr>
          <w:p w14:paraId="79A13FAE" w14:textId="77777777" w:rsidR="00411618" w:rsidRDefault="00FA28E4">
            <w:r>
              <w:rPr>
                <w:color w:val="000000"/>
                <w:sz w:val="20"/>
                <w:szCs w:val="20"/>
              </w:rPr>
              <w:t>Fraudulent payments, credential theft, initial foothold for wider compromise, matching SFM's reported incidents.</w:t>
            </w:r>
          </w:p>
        </w:tc>
      </w:tr>
      <w:tr w:rsidR="00411618" w14:paraId="01DEDD92" w14:textId="77777777">
        <w:tc>
          <w:tcPr>
            <w:tcW w:w="3600" w:type="dxa"/>
            <w:tcMar>
              <w:top w:w="100" w:type="dxa"/>
              <w:left w:w="120" w:type="dxa"/>
              <w:bottom w:w="100" w:type="dxa"/>
              <w:right w:w="120" w:type="dxa"/>
            </w:tcMar>
          </w:tcPr>
          <w:p w14:paraId="4FBFC387" w14:textId="77777777" w:rsidR="00411618" w:rsidRDefault="00FA28E4">
            <w:r>
              <w:rPr>
                <w:color w:val="000000"/>
                <w:sz w:val="20"/>
                <w:szCs w:val="20"/>
              </w:rPr>
              <w:t>Exploitation of legacy, unpatched OT devices (PLCs, SCADA)</w:t>
            </w:r>
          </w:p>
        </w:tc>
        <w:tc>
          <w:tcPr>
            <w:tcW w:w="1400" w:type="dxa"/>
            <w:tcMar>
              <w:top w:w="100" w:type="dxa"/>
              <w:left w:w="120" w:type="dxa"/>
              <w:bottom w:w="100" w:type="dxa"/>
              <w:right w:w="120" w:type="dxa"/>
            </w:tcMar>
          </w:tcPr>
          <w:p w14:paraId="0ABD0463" w14:textId="77777777" w:rsidR="00411618" w:rsidRDefault="00FA28E4">
            <w:r>
              <w:rPr>
                <w:color w:val="000000"/>
                <w:sz w:val="20"/>
                <w:szCs w:val="20"/>
              </w:rPr>
              <w:t>External</w:t>
            </w:r>
          </w:p>
        </w:tc>
        <w:tc>
          <w:tcPr>
            <w:tcW w:w="4420" w:type="dxa"/>
            <w:tcMar>
              <w:top w:w="100" w:type="dxa"/>
              <w:left w:w="120" w:type="dxa"/>
              <w:bottom w:w="100" w:type="dxa"/>
              <w:right w:w="120" w:type="dxa"/>
            </w:tcMar>
          </w:tcPr>
          <w:p w14:paraId="105E047D" w14:textId="77777777" w:rsidR="00411618" w:rsidRDefault="00FA28E4">
            <w:r>
              <w:rPr>
                <w:color w:val="000000"/>
                <w:sz w:val="20"/>
                <w:szCs w:val="20"/>
              </w:rPr>
              <w:t>Loss of production control; many manufacturers still run OT with known vulnerabilities [2].</w:t>
            </w:r>
          </w:p>
        </w:tc>
      </w:tr>
      <w:tr w:rsidR="00411618" w14:paraId="174B9C20" w14:textId="77777777">
        <w:tc>
          <w:tcPr>
            <w:tcW w:w="3600" w:type="dxa"/>
            <w:tcMar>
              <w:top w:w="100" w:type="dxa"/>
              <w:left w:w="120" w:type="dxa"/>
              <w:bottom w:w="100" w:type="dxa"/>
              <w:right w:w="120" w:type="dxa"/>
            </w:tcMar>
          </w:tcPr>
          <w:p w14:paraId="5DE6D951" w14:textId="77777777" w:rsidR="00411618" w:rsidRDefault="00FA28E4">
            <w:r>
              <w:rPr>
                <w:color w:val="000000"/>
                <w:sz w:val="20"/>
                <w:szCs w:val="20"/>
              </w:rPr>
              <w:t>Third-party / supply-chain compromise</w:t>
            </w:r>
          </w:p>
        </w:tc>
        <w:tc>
          <w:tcPr>
            <w:tcW w:w="1400" w:type="dxa"/>
            <w:tcMar>
              <w:top w:w="100" w:type="dxa"/>
              <w:left w:w="120" w:type="dxa"/>
              <w:bottom w:w="100" w:type="dxa"/>
              <w:right w:w="120" w:type="dxa"/>
            </w:tcMar>
          </w:tcPr>
          <w:p w14:paraId="7C2BE9DE" w14:textId="77777777" w:rsidR="00411618" w:rsidRDefault="00FA28E4">
            <w:r>
              <w:rPr>
                <w:color w:val="000000"/>
                <w:sz w:val="20"/>
                <w:szCs w:val="20"/>
              </w:rPr>
              <w:t>External</w:t>
            </w:r>
          </w:p>
        </w:tc>
        <w:tc>
          <w:tcPr>
            <w:tcW w:w="4420" w:type="dxa"/>
            <w:tcMar>
              <w:top w:w="100" w:type="dxa"/>
              <w:left w:w="120" w:type="dxa"/>
              <w:bottom w:w="100" w:type="dxa"/>
              <w:right w:w="120" w:type="dxa"/>
            </w:tcMar>
          </w:tcPr>
          <w:p w14:paraId="3BB7DAA4" w14:textId="77777777" w:rsidR="00411618" w:rsidRDefault="00FA28E4">
            <w:r>
              <w:rPr>
                <w:color w:val="000000"/>
                <w:sz w:val="20"/>
                <w:szCs w:val="20"/>
              </w:rPr>
              <w:t>Attackers pivot in through a vendor or supplier with weaker security, a growing share of manufacturing breaches [3].</w:t>
            </w:r>
          </w:p>
        </w:tc>
      </w:tr>
      <w:tr w:rsidR="00411618" w14:paraId="19707DD2" w14:textId="77777777">
        <w:tc>
          <w:tcPr>
            <w:tcW w:w="3600" w:type="dxa"/>
            <w:tcMar>
              <w:top w:w="100" w:type="dxa"/>
              <w:left w:w="120" w:type="dxa"/>
              <w:bottom w:w="100" w:type="dxa"/>
              <w:right w:w="120" w:type="dxa"/>
            </w:tcMar>
          </w:tcPr>
          <w:p w14:paraId="4AB1233C" w14:textId="77777777" w:rsidR="00411618" w:rsidRDefault="00FA28E4">
            <w:r>
              <w:rPr>
                <w:color w:val="000000"/>
                <w:sz w:val="20"/>
                <w:szCs w:val="20"/>
              </w:rPr>
              <w:t>Industrial espionage targeting engineering designs</w:t>
            </w:r>
          </w:p>
        </w:tc>
        <w:tc>
          <w:tcPr>
            <w:tcW w:w="1400" w:type="dxa"/>
            <w:tcMar>
              <w:top w:w="100" w:type="dxa"/>
              <w:left w:w="120" w:type="dxa"/>
              <w:bottom w:w="100" w:type="dxa"/>
              <w:right w:w="120" w:type="dxa"/>
            </w:tcMar>
          </w:tcPr>
          <w:p w14:paraId="08A183B3" w14:textId="77777777" w:rsidR="00411618" w:rsidRDefault="00FA28E4">
            <w:r>
              <w:rPr>
                <w:color w:val="000000"/>
                <w:sz w:val="20"/>
                <w:szCs w:val="20"/>
              </w:rPr>
              <w:t>External</w:t>
            </w:r>
          </w:p>
        </w:tc>
        <w:tc>
          <w:tcPr>
            <w:tcW w:w="4420" w:type="dxa"/>
            <w:tcMar>
              <w:top w:w="100" w:type="dxa"/>
              <w:left w:w="120" w:type="dxa"/>
              <w:bottom w:w="100" w:type="dxa"/>
              <w:right w:w="120" w:type="dxa"/>
            </w:tcMar>
          </w:tcPr>
          <w:p w14:paraId="374627C5" w14:textId="77777777" w:rsidR="00411618" w:rsidRDefault="00FA28E4">
            <w:r>
              <w:rPr>
                <w:color w:val="000000"/>
                <w:sz w:val="20"/>
                <w:szCs w:val="20"/>
              </w:rPr>
              <w:t>Loss of competitive advantage in the automotive/aerospace component market.</w:t>
            </w:r>
          </w:p>
        </w:tc>
      </w:tr>
      <w:tr w:rsidR="00411618" w14:paraId="1457CF9E" w14:textId="77777777">
        <w:tc>
          <w:tcPr>
            <w:tcW w:w="3600" w:type="dxa"/>
            <w:tcMar>
              <w:top w:w="100" w:type="dxa"/>
              <w:left w:w="120" w:type="dxa"/>
              <w:bottom w:w="100" w:type="dxa"/>
              <w:right w:w="120" w:type="dxa"/>
            </w:tcMar>
          </w:tcPr>
          <w:p w14:paraId="0B979F2F" w14:textId="77777777" w:rsidR="00411618" w:rsidRDefault="00FA28E4">
            <w:r>
              <w:rPr>
                <w:color w:val="000000"/>
                <w:sz w:val="20"/>
                <w:szCs w:val="20"/>
              </w:rPr>
              <w:t>Insider negligence (weak passwords, USB use, misconfiguration)</w:t>
            </w:r>
          </w:p>
        </w:tc>
        <w:tc>
          <w:tcPr>
            <w:tcW w:w="1400" w:type="dxa"/>
            <w:tcMar>
              <w:top w:w="100" w:type="dxa"/>
              <w:left w:w="120" w:type="dxa"/>
              <w:bottom w:w="100" w:type="dxa"/>
              <w:right w:w="120" w:type="dxa"/>
            </w:tcMar>
          </w:tcPr>
          <w:p w14:paraId="52C282E6" w14:textId="77777777" w:rsidR="00411618" w:rsidRDefault="00FA28E4">
            <w:r>
              <w:rPr>
                <w:color w:val="000000"/>
                <w:sz w:val="20"/>
                <w:szCs w:val="20"/>
              </w:rPr>
              <w:t>Internal</w:t>
            </w:r>
          </w:p>
        </w:tc>
        <w:tc>
          <w:tcPr>
            <w:tcW w:w="4420" w:type="dxa"/>
            <w:tcMar>
              <w:top w:w="100" w:type="dxa"/>
              <w:left w:w="120" w:type="dxa"/>
              <w:bottom w:w="100" w:type="dxa"/>
              <w:right w:w="120" w:type="dxa"/>
            </w:tcMar>
          </w:tcPr>
          <w:p w14:paraId="0B248D92" w14:textId="77777777" w:rsidR="00411618" w:rsidRDefault="00FA28E4">
            <w:r>
              <w:rPr>
                <w:color w:val="000000"/>
                <w:sz w:val="20"/>
                <w:szCs w:val="20"/>
              </w:rPr>
              <w:t>Unintentional exposure of production or customer data.</w:t>
            </w:r>
          </w:p>
        </w:tc>
      </w:tr>
      <w:tr w:rsidR="00411618" w14:paraId="1BCAC1CC" w14:textId="77777777">
        <w:tc>
          <w:tcPr>
            <w:tcW w:w="3600" w:type="dxa"/>
            <w:tcMar>
              <w:top w:w="100" w:type="dxa"/>
              <w:left w:w="120" w:type="dxa"/>
              <w:bottom w:w="100" w:type="dxa"/>
              <w:right w:w="120" w:type="dxa"/>
            </w:tcMar>
          </w:tcPr>
          <w:p w14:paraId="07C48F02" w14:textId="77777777" w:rsidR="00411618" w:rsidRDefault="00FA28E4">
            <w:r>
              <w:rPr>
                <w:color w:val="000000"/>
                <w:sz w:val="20"/>
                <w:szCs w:val="20"/>
              </w:rPr>
              <w:t>Insider misuse or disgruntled employee</w:t>
            </w:r>
          </w:p>
        </w:tc>
        <w:tc>
          <w:tcPr>
            <w:tcW w:w="1400" w:type="dxa"/>
            <w:tcMar>
              <w:top w:w="100" w:type="dxa"/>
              <w:left w:w="120" w:type="dxa"/>
              <w:bottom w:w="100" w:type="dxa"/>
              <w:right w:w="120" w:type="dxa"/>
            </w:tcMar>
          </w:tcPr>
          <w:p w14:paraId="1AAEF275" w14:textId="77777777" w:rsidR="00411618" w:rsidRDefault="00FA28E4">
            <w:r>
              <w:rPr>
                <w:color w:val="000000"/>
                <w:sz w:val="20"/>
                <w:szCs w:val="20"/>
              </w:rPr>
              <w:t>Internal</w:t>
            </w:r>
          </w:p>
        </w:tc>
        <w:tc>
          <w:tcPr>
            <w:tcW w:w="4420" w:type="dxa"/>
            <w:tcMar>
              <w:top w:w="100" w:type="dxa"/>
              <w:left w:w="120" w:type="dxa"/>
              <w:bottom w:w="100" w:type="dxa"/>
              <w:right w:w="120" w:type="dxa"/>
            </w:tcMar>
          </w:tcPr>
          <w:p w14:paraId="449824DB" w14:textId="77777777" w:rsidR="00411618" w:rsidRDefault="00FA28E4">
            <w:r>
              <w:rPr>
                <w:color w:val="000000"/>
                <w:sz w:val="20"/>
                <w:szCs w:val="20"/>
              </w:rPr>
              <w:t>Deliberate data theft or sabotage, harder to detect than external attacks.</w:t>
            </w:r>
          </w:p>
        </w:tc>
      </w:tr>
      <w:tr w:rsidR="00411618" w14:paraId="67B786C7" w14:textId="77777777">
        <w:tc>
          <w:tcPr>
            <w:tcW w:w="3600" w:type="dxa"/>
            <w:tcMar>
              <w:top w:w="100" w:type="dxa"/>
              <w:left w:w="120" w:type="dxa"/>
              <w:bottom w:w="100" w:type="dxa"/>
              <w:right w:w="120" w:type="dxa"/>
            </w:tcMar>
          </w:tcPr>
          <w:p w14:paraId="4C797996" w14:textId="77777777" w:rsidR="00411618" w:rsidRDefault="00FA28E4">
            <w:r>
              <w:rPr>
                <w:color w:val="000000"/>
                <w:sz w:val="20"/>
                <w:szCs w:val="20"/>
              </w:rPr>
              <w:t xml:space="preserve">Shadow IT / </w:t>
            </w:r>
            <w:proofErr w:type="spellStart"/>
            <w:r>
              <w:rPr>
                <w:color w:val="000000"/>
                <w:sz w:val="20"/>
                <w:szCs w:val="20"/>
              </w:rPr>
              <w:t>unauthorised</w:t>
            </w:r>
            <w:proofErr w:type="spellEnd"/>
            <w:r>
              <w:rPr>
                <w:color w:val="000000"/>
                <w:sz w:val="20"/>
                <w:szCs w:val="20"/>
              </w:rPr>
              <w:t xml:space="preserve"> IoT devices on the network</w:t>
            </w:r>
          </w:p>
        </w:tc>
        <w:tc>
          <w:tcPr>
            <w:tcW w:w="1400" w:type="dxa"/>
            <w:tcMar>
              <w:top w:w="100" w:type="dxa"/>
              <w:left w:w="120" w:type="dxa"/>
              <w:bottom w:w="100" w:type="dxa"/>
              <w:right w:w="120" w:type="dxa"/>
            </w:tcMar>
          </w:tcPr>
          <w:p w14:paraId="6B3A5E75" w14:textId="77777777" w:rsidR="00411618" w:rsidRDefault="00FA28E4">
            <w:r>
              <w:rPr>
                <w:color w:val="000000"/>
                <w:sz w:val="20"/>
                <w:szCs w:val="20"/>
              </w:rPr>
              <w:t>Internal</w:t>
            </w:r>
          </w:p>
        </w:tc>
        <w:tc>
          <w:tcPr>
            <w:tcW w:w="4420" w:type="dxa"/>
            <w:tcMar>
              <w:top w:w="100" w:type="dxa"/>
              <w:left w:w="120" w:type="dxa"/>
              <w:bottom w:w="100" w:type="dxa"/>
              <w:right w:w="120" w:type="dxa"/>
            </w:tcMar>
          </w:tcPr>
          <w:p w14:paraId="3946AF15" w14:textId="77777777" w:rsidR="00411618" w:rsidRDefault="00FA28E4">
            <w:r>
              <w:rPr>
                <w:color w:val="000000"/>
                <w:sz w:val="20"/>
                <w:szCs w:val="20"/>
              </w:rPr>
              <w:t>Expands the attack surface without security team visibility.</w:t>
            </w:r>
          </w:p>
        </w:tc>
      </w:tr>
    </w:tbl>
    <w:p w14:paraId="06BA6B72" w14:textId="77777777" w:rsidR="00411618" w:rsidRDefault="00FA28E4">
      <w:pPr>
        <w:spacing w:before="80" w:after="300"/>
        <w:jc w:val="center"/>
      </w:pPr>
      <w:r>
        <w:rPr>
          <w:i/>
          <w:iCs/>
          <w:color w:val="444444"/>
          <w:sz w:val="20"/>
          <w:szCs w:val="20"/>
        </w:rPr>
        <w:t>Table 1. Principal internal and external threats facing SFM.</w:t>
      </w:r>
    </w:p>
    <w:p w14:paraId="38B89E26" w14:textId="77777777" w:rsidR="00411618" w:rsidRDefault="00FA28E4">
      <w:pPr>
        <w:spacing w:after="160" w:line="276" w:lineRule="auto"/>
        <w:jc w:val="both"/>
      </w:pPr>
      <w:r>
        <w:t xml:space="preserve">The most significant single risk is the convergence of IT and OT: because SFM's cloud-based production management system connects to shop-floor equipment, a compromise that begins as a conventional IT incident, such as a phishing email opened by a procurement employee, can cascade into a production-halting OT incident. Industrial cybersecurity researchers have documented this exact pattern repeatedly across the sector, noting that </w:t>
      </w:r>
      <w:proofErr w:type="spellStart"/>
      <w:r>
        <w:t>organisations</w:t>
      </w:r>
      <w:proofErr w:type="spellEnd"/>
      <w:r>
        <w:t xml:space="preserve"> frequently underestimate how far a ransomware infection can reach into OT once it is inside the IT network [2].</w:t>
      </w:r>
    </w:p>
    <w:p w14:paraId="1D97F851" w14:textId="77777777" w:rsidR="00411618" w:rsidRDefault="00FA28E4">
      <w:pPr>
        <w:pStyle w:val="Heading1"/>
      </w:pPr>
      <w:bookmarkStart w:id="3" w:name="_Toc237428255"/>
      <w:r>
        <w:t>3. Security Policies</w:t>
      </w:r>
      <w:bookmarkEnd w:id="3"/>
    </w:p>
    <w:p w14:paraId="6A1DED1A" w14:textId="77777777" w:rsidR="00411618" w:rsidRDefault="00FA28E4">
      <w:pPr>
        <w:spacing w:after="160" w:line="276" w:lineRule="auto"/>
        <w:jc w:val="both"/>
      </w:pPr>
      <w:r>
        <w:t xml:space="preserve">SFM's policies should be built around two complementary frameworks rather than invented from scratch. The NIST Cybersecurity Framework (CSF) 2.0 </w:t>
      </w:r>
      <w:proofErr w:type="spellStart"/>
      <w:r>
        <w:t>organises</w:t>
      </w:r>
      <w:proofErr w:type="spellEnd"/>
      <w:r>
        <w:t xml:space="preserve"> cybersecurity activity into six functions: Govern, Identify, Protect, Detect, Respond and Recover, providing an accessible structure that senior management, including the Board, can use to track investment and progress without needing deep technical detail [5]. ISO/IEC 27001:2022 complements this with a certifiable Information Security Management System (ISMS) and a menu of 93 Annex A controls, grouped into </w:t>
      </w:r>
      <w:proofErr w:type="spellStart"/>
      <w:r>
        <w:t>organisational</w:t>
      </w:r>
      <w:proofErr w:type="spellEnd"/>
      <w:r>
        <w:t>, people, physical and technological themes, from which SFM can select those relevant to its risk profile and document exclusions in a Statement of Applicability [4]. Table 2 sets out the core policy areas recommended for SFM and how each maps to these standards.</w:t>
      </w:r>
    </w:p>
    <w:tbl>
      <w:tblPr>
        <w:tblW w:w="942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4400"/>
        <w:gridCol w:w="2820"/>
      </w:tblGrid>
      <w:tr w:rsidR="00411618" w14:paraId="272F196F" w14:textId="77777777">
        <w:tc>
          <w:tcPr>
            <w:tcW w:w="2200" w:type="dxa"/>
            <w:shd w:val="clear" w:color="auto" w:fill="990011"/>
            <w:tcMar>
              <w:top w:w="100" w:type="dxa"/>
              <w:left w:w="120" w:type="dxa"/>
              <w:bottom w:w="100" w:type="dxa"/>
              <w:right w:w="120" w:type="dxa"/>
            </w:tcMar>
          </w:tcPr>
          <w:p w14:paraId="191DE8B2" w14:textId="77777777" w:rsidR="00411618" w:rsidRDefault="00FA28E4">
            <w:r>
              <w:rPr>
                <w:b/>
                <w:bCs/>
                <w:color w:val="FFFFFF"/>
                <w:sz w:val="20"/>
                <w:szCs w:val="20"/>
              </w:rPr>
              <w:t>Policy area</w:t>
            </w:r>
          </w:p>
        </w:tc>
        <w:tc>
          <w:tcPr>
            <w:tcW w:w="4400" w:type="dxa"/>
            <w:shd w:val="clear" w:color="auto" w:fill="990011"/>
            <w:tcMar>
              <w:top w:w="100" w:type="dxa"/>
              <w:left w:w="120" w:type="dxa"/>
              <w:bottom w:w="100" w:type="dxa"/>
              <w:right w:w="120" w:type="dxa"/>
            </w:tcMar>
          </w:tcPr>
          <w:p w14:paraId="2B74BDDF" w14:textId="77777777" w:rsidR="00411618" w:rsidRDefault="00FA28E4">
            <w:r>
              <w:rPr>
                <w:b/>
                <w:bCs/>
                <w:color w:val="FFFFFF"/>
                <w:sz w:val="20"/>
                <w:szCs w:val="20"/>
              </w:rPr>
              <w:t>Core requirement</w:t>
            </w:r>
          </w:p>
        </w:tc>
        <w:tc>
          <w:tcPr>
            <w:tcW w:w="2820" w:type="dxa"/>
            <w:shd w:val="clear" w:color="auto" w:fill="990011"/>
            <w:tcMar>
              <w:top w:w="100" w:type="dxa"/>
              <w:left w:w="120" w:type="dxa"/>
              <w:bottom w:w="100" w:type="dxa"/>
              <w:right w:w="120" w:type="dxa"/>
            </w:tcMar>
          </w:tcPr>
          <w:p w14:paraId="38A4D93F" w14:textId="77777777" w:rsidR="00411618" w:rsidRDefault="00FA28E4">
            <w:r>
              <w:rPr>
                <w:b/>
                <w:bCs/>
                <w:color w:val="FFFFFF"/>
                <w:sz w:val="20"/>
                <w:szCs w:val="20"/>
              </w:rPr>
              <w:t>Standard alignment</w:t>
            </w:r>
          </w:p>
        </w:tc>
      </w:tr>
      <w:tr w:rsidR="00411618" w14:paraId="2B0A608F" w14:textId="77777777">
        <w:tc>
          <w:tcPr>
            <w:tcW w:w="2200" w:type="dxa"/>
            <w:tcMar>
              <w:top w:w="100" w:type="dxa"/>
              <w:left w:w="120" w:type="dxa"/>
              <w:bottom w:w="100" w:type="dxa"/>
              <w:right w:w="120" w:type="dxa"/>
            </w:tcMar>
          </w:tcPr>
          <w:p w14:paraId="54EF7F1B" w14:textId="77777777" w:rsidR="00411618" w:rsidRDefault="00FA28E4">
            <w:r>
              <w:rPr>
                <w:color w:val="000000"/>
                <w:sz w:val="20"/>
                <w:szCs w:val="20"/>
              </w:rPr>
              <w:lastRenderedPageBreak/>
              <w:t>Access control</w:t>
            </w:r>
          </w:p>
        </w:tc>
        <w:tc>
          <w:tcPr>
            <w:tcW w:w="4400" w:type="dxa"/>
            <w:tcMar>
              <w:top w:w="100" w:type="dxa"/>
              <w:left w:w="120" w:type="dxa"/>
              <w:bottom w:w="100" w:type="dxa"/>
              <w:right w:w="120" w:type="dxa"/>
            </w:tcMar>
          </w:tcPr>
          <w:p w14:paraId="02EC091A" w14:textId="77777777" w:rsidR="00411618" w:rsidRDefault="00FA28E4">
            <w:r>
              <w:rPr>
                <w:color w:val="000000"/>
                <w:sz w:val="20"/>
                <w:szCs w:val="20"/>
              </w:rPr>
              <w:t>Role-based access, least privilege, mandatory MFA for remote and privileged access</w:t>
            </w:r>
          </w:p>
        </w:tc>
        <w:tc>
          <w:tcPr>
            <w:tcW w:w="2820" w:type="dxa"/>
            <w:tcMar>
              <w:top w:w="100" w:type="dxa"/>
              <w:left w:w="120" w:type="dxa"/>
              <w:bottom w:w="100" w:type="dxa"/>
              <w:right w:w="120" w:type="dxa"/>
            </w:tcMar>
          </w:tcPr>
          <w:p w14:paraId="3425D934" w14:textId="77777777" w:rsidR="00411618" w:rsidRDefault="00FA28E4">
            <w:r>
              <w:rPr>
                <w:color w:val="000000"/>
                <w:sz w:val="20"/>
                <w:szCs w:val="20"/>
              </w:rPr>
              <w:t>ISO 27001 Annex A (Access control); NIST CSF Protect [4][5]</w:t>
            </w:r>
          </w:p>
        </w:tc>
      </w:tr>
      <w:tr w:rsidR="00411618" w14:paraId="59256FA2" w14:textId="77777777">
        <w:tc>
          <w:tcPr>
            <w:tcW w:w="2200" w:type="dxa"/>
            <w:tcMar>
              <w:top w:w="100" w:type="dxa"/>
              <w:left w:w="120" w:type="dxa"/>
              <w:bottom w:w="100" w:type="dxa"/>
              <w:right w:w="120" w:type="dxa"/>
            </w:tcMar>
          </w:tcPr>
          <w:p w14:paraId="48270F10" w14:textId="77777777" w:rsidR="00411618" w:rsidRDefault="00FA28E4">
            <w:r>
              <w:rPr>
                <w:color w:val="000000"/>
                <w:sz w:val="20"/>
                <w:szCs w:val="20"/>
              </w:rPr>
              <w:t>Asset &amp; risk management</w:t>
            </w:r>
          </w:p>
        </w:tc>
        <w:tc>
          <w:tcPr>
            <w:tcW w:w="4400" w:type="dxa"/>
            <w:tcMar>
              <w:top w:w="100" w:type="dxa"/>
              <w:left w:w="120" w:type="dxa"/>
              <w:bottom w:w="100" w:type="dxa"/>
              <w:right w:w="120" w:type="dxa"/>
            </w:tcMar>
          </w:tcPr>
          <w:p w14:paraId="1D79ACBC" w14:textId="77777777" w:rsidR="00411618" w:rsidRDefault="00FA28E4">
            <w:r>
              <w:rPr>
                <w:color w:val="000000"/>
                <w:sz w:val="20"/>
                <w:szCs w:val="20"/>
              </w:rPr>
              <w:t>Maintain an inventory of IT and OT assets; risk-assess new IoT devices before connection</w:t>
            </w:r>
          </w:p>
        </w:tc>
        <w:tc>
          <w:tcPr>
            <w:tcW w:w="2820" w:type="dxa"/>
            <w:tcMar>
              <w:top w:w="100" w:type="dxa"/>
              <w:left w:w="120" w:type="dxa"/>
              <w:bottom w:w="100" w:type="dxa"/>
              <w:right w:w="120" w:type="dxa"/>
            </w:tcMar>
          </w:tcPr>
          <w:p w14:paraId="5FE46C8E" w14:textId="77777777" w:rsidR="00411618" w:rsidRDefault="00FA28E4">
            <w:r>
              <w:rPr>
                <w:color w:val="000000"/>
                <w:sz w:val="20"/>
                <w:szCs w:val="20"/>
              </w:rPr>
              <w:t>ISO 27001 Annex A (Asset management); NIST CSF Identify [4][5]</w:t>
            </w:r>
          </w:p>
        </w:tc>
      </w:tr>
      <w:tr w:rsidR="00411618" w14:paraId="5738DE6D" w14:textId="77777777">
        <w:tc>
          <w:tcPr>
            <w:tcW w:w="2200" w:type="dxa"/>
            <w:tcMar>
              <w:top w:w="100" w:type="dxa"/>
              <w:left w:w="120" w:type="dxa"/>
              <w:bottom w:w="100" w:type="dxa"/>
              <w:right w:w="120" w:type="dxa"/>
            </w:tcMar>
          </w:tcPr>
          <w:p w14:paraId="0C3870D9" w14:textId="77777777" w:rsidR="00411618" w:rsidRDefault="00FA28E4">
            <w:r>
              <w:rPr>
                <w:color w:val="000000"/>
                <w:sz w:val="20"/>
                <w:szCs w:val="20"/>
              </w:rPr>
              <w:t>Network segmentation</w:t>
            </w:r>
          </w:p>
        </w:tc>
        <w:tc>
          <w:tcPr>
            <w:tcW w:w="4400" w:type="dxa"/>
            <w:tcMar>
              <w:top w:w="100" w:type="dxa"/>
              <w:left w:w="120" w:type="dxa"/>
              <w:bottom w:w="100" w:type="dxa"/>
              <w:right w:w="120" w:type="dxa"/>
            </w:tcMar>
          </w:tcPr>
          <w:p w14:paraId="6C4DE3E2" w14:textId="77777777" w:rsidR="00411618" w:rsidRDefault="00FA28E4">
            <w:r>
              <w:rPr>
                <w:color w:val="000000"/>
                <w:sz w:val="20"/>
                <w:szCs w:val="20"/>
              </w:rPr>
              <w:t>Separate IT, DMZ and OT/plant-floor networks with an industrial firewall or data diode</w:t>
            </w:r>
          </w:p>
        </w:tc>
        <w:tc>
          <w:tcPr>
            <w:tcW w:w="2820" w:type="dxa"/>
            <w:tcMar>
              <w:top w:w="100" w:type="dxa"/>
              <w:left w:w="120" w:type="dxa"/>
              <w:bottom w:w="100" w:type="dxa"/>
              <w:right w:w="120" w:type="dxa"/>
            </w:tcMar>
          </w:tcPr>
          <w:p w14:paraId="032C5801" w14:textId="77777777" w:rsidR="00411618" w:rsidRDefault="00FA28E4">
            <w:r>
              <w:rPr>
                <w:color w:val="000000"/>
                <w:sz w:val="20"/>
                <w:szCs w:val="20"/>
              </w:rPr>
              <w:t>NIST CSF Protect; IEC 62443 zoning principles</w:t>
            </w:r>
          </w:p>
        </w:tc>
      </w:tr>
      <w:tr w:rsidR="00411618" w14:paraId="188372A7" w14:textId="77777777">
        <w:tc>
          <w:tcPr>
            <w:tcW w:w="2200" w:type="dxa"/>
            <w:tcMar>
              <w:top w:w="100" w:type="dxa"/>
              <w:left w:w="120" w:type="dxa"/>
              <w:bottom w:w="100" w:type="dxa"/>
              <w:right w:w="120" w:type="dxa"/>
            </w:tcMar>
          </w:tcPr>
          <w:p w14:paraId="3BB9E10E" w14:textId="77777777" w:rsidR="00411618" w:rsidRDefault="00FA28E4">
            <w:r>
              <w:rPr>
                <w:color w:val="000000"/>
                <w:sz w:val="20"/>
                <w:szCs w:val="20"/>
              </w:rPr>
              <w:t>Data protection</w:t>
            </w:r>
          </w:p>
        </w:tc>
        <w:tc>
          <w:tcPr>
            <w:tcW w:w="4400" w:type="dxa"/>
            <w:tcMar>
              <w:top w:w="100" w:type="dxa"/>
              <w:left w:w="120" w:type="dxa"/>
              <w:bottom w:w="100" w:type="dxa"/>
              <w:right w:w="120" w:type="dxa"/>
            </w:tcMar>
          </w:tcPr>
          <w:p w14:paraId="64FB9E51" w14:textId="77777777" w:rsidR="00411618" w:rsidRDefault="00FA28E4">
            <w:r>
              <w:rPr>
                <w:color w:val="000000"/>
                <w:sz w:val="20"/>
                <w:szCs w:val="20"/>
              </w:rPr>
              <w:t>Classify data by sensitivity; encrypt data in transit and at rest; apply GDPR-equivalent handling to any personal data</w:t>
            </w:r>
          </w:p>
        </w:tc>
        <w:tc>
          <w:tcPr>
            <w:tcW w:w="2820" w:type="dxa"/>
            <w:tcMar>
              <w:top w:w="100" w:type="dxa"/>
              <w:left w:w="120" w:type="dxa"/>
              <w:bottom w:w="100" w:type="dxa"/>
              <w:right w:w="120" w:type="dxa"/>
            </w:tcMar>
          </w:tcPr>
          <w:p w14:paraId="23F5672A" w14:textId="77777777" w:rsidR="00411618" w:rsidRDefault="00FA28E4">
            <w:r>
              <w:rPr>
                <w:color w:val="000000"/>
                <w:sz w:val="20"/>
                <w:szCs w:val="20"/>
              </w:rPr>
              <w:t>GDPR Art. 32; ISO 27001 Annex A (Cryptography) [4]</w:t>
            </w:r>
          </w:p>
        </w:tc>
      </w:tr>
      <w:tr w:rsidR="00411618" w14:paraId="4D6C622B" w14:textId="77777777">
        <w:tc>
          <w:tcPr>
            <w:tcW w:w="2200" w:type="dxa"/>
            <w:tcMar>
              <w:top w:w="100" w:type="dxa"/>
              <w:left w:w="120" w:type="dxa"/>
              <w:bottom w:w="100" w:type="dxa"/>
              <w:right w:w="120" w:type="dxa"/>
            </w:tcMar>
          </w:tcPr>
          <w:p w14:paraId="05D23395" w14:textId="77777777" w:rsidR="00411618" w:rsidRDefault="00FA28E4">
            <w:r>
              <w:rPr>
                <w:color w:val="000000"/>
                <w:sz w:val="20"/>
                <w:szCs w:val="20"/>
              </w:rPr>
              <w:t>Incident response</w:t>
            </w:r>
          </w:p>
        </w:tc>
        <w:tc>
          <w:tcPr>
            <w:tcW w:w="4400" w:type="dxa"/>
            <w:tcMar>
              <w:top w:w="100" w:type="dxa"/>
              <w:left w:w="120" w:type="dxa"/>
              <w:bottom w:w="100" w:type="dxa"/>
              <w:right w:w="120" w:type="dxa"/>
            </w:tcMar>
          </w:tcPr>
          <w:p w14:paraId="6C119678" w14:textId="77777777" w:rsidR="00411618" w:rsidRDefault="00FA28E4">
            <w:r>
              <w:rPr>
                <w:color w:val="000000"/>
                <w:sz w:val="20"/>
                <w:szCs w:val="20"/>
              </w:rPr>
              <w:t>Maintain a documented, tested incident response plan with defined severity levels and escalation paths</w:t>
            </w:r>
          </w:p>
        </w:tc>
        <w:tc>
          <w:tcPr>
            <w:tcW w:w="2820" w:type="dxa"/>
            <w:tcMar>
              <w:top w:w="100" w:type="dxa"/>
              <w:left w:w="120" w:type="dxa"/>
              <w:bottom w:w="100" w:type="dxa"/>
              <w:right w:w="120" w:type="dxa"/>
            </w:tcMar>
          </w:tcPr>
          <w:p w14:paraId="79C67466" w14:textId="77777777" w:rsidR="00411618" w:rsidRDefault="00FA28E4">
            <w:r>
              <w:rPr>
                <w:color w:val="000000"/>
                <w:sz w:val="20"/>
                <w:szCs w:val="20"/>
              </w:rPr>
              <w:t>NIST CSF Respond/Recover [5]</w:t>
            </w:r>
          </w:p>
        </w:tc>
      </w:tr>
      <w:tr w:rsidR="00411618" w14:paraId="1D5EDD2D" w14:textId="77777777">
        <w:tc>
          <w:tcPr>
            <w:tcW w:w="2200" w:type="dxa"/>
            <w:tcMar>
              <w:top w:w="100" w:type="dxa"/>
              <w:left w:w="120" w:type="dxa"/>
              <w:bottom w:w="100" w:type="dxa"/>
              <w:right w:w="120" w:type="dxa"/>
            </w:tcMar>
          </w:tcPr>
          <w:p w14:paraId="51FEE1DD" w14:textId="77777777" w:rsidR="00411618" w:rsidRDefault="00FA28E4">
            <w:r>
              <w:rPr>
                <w:color w:val="000000"/>
                <w:sz w:val="20"/>
                <w:szCs w:val="20"/>
              </w:rPr>
              <w:t>Third-party/supplier security</w:t>
            </w:r>
          </w:p>
        </w:tc>
        <w:tc>
          <w:tcPr>
            <w:tcW w:w="4400" w:type="dxa"/>
            <w:tcMar>
              <w:top w:w="100" w:type="dxa"/>
              <w:left w:w="120" w:type="dxa"/>
              <w:bottom w:w="100" w:type="dxa"/>
              <w:right w:w="120" w:type="dxa"/>
            </w:tcMar>
          </w:tcPr>
          <w:p w14:paraId="3A2BB7BF" w14:textId="77777777" w:rsidR="00411618" w:rsidRDefault="00FA28E4">
            <w:r>
              <w:rPr>
                <w:color w:val="000000"/>
                <w:sz w:val="20"/>
                <w:szCs w:val="20"/>
              </w:rPr>
              <w:t>Security clauses and minimum control requirements in supplier contracts; periodic vendor review</w:t>
            </w:r>
          </w:p>
        </w:tc>
        <w:tc>
          <w:tcPr>
            <w:tcW w:w="2820" w:type="dxa"/>
            <w:tcMar>
              <w:top w:w="100" w:type="dxa"/>
              <w:left w:w="120" w:type="dxa"/>
              <w:bottom w:w="100" w:type="dxa"/>
              <w:right w:w="120" w:type="dxa"/>
            </w:tcMar>
          </w:tcPr>
          <w:p w14:paraId="3A34F9C5" w14:textId="77777777" w:rsidR="00411618" w:rsidRDefault="00FA28E4">
            <w:r>
              <w:rPr>
                <w:color w:val="000000"/>
                <w:sz w:val="20"/>
                <w:szCs w:val="20"/>
              </w:rPr>
              <w:t>ISO 27001 Annex A (Supplier relationships) [4]</w:t>
            </w:r>
          </w:p>
        </w:tc>
      </w:tr>
      <w:tr w:rsidR="00411618" w14:paraId="4AB7FDC7" w14:textId="77777777">
        <w:tc>
          <w:tcPr>
            <w:tcW w:w="2200" w:type="dxa"/>
            <w:tcMar>
              <w:top w:w="100" w:type="dxa"/>
              <w:left w:w="120" w:type="dxa"/>
              <w:bottom w:w="100" w:type="dxa"/>
              <w:right w:w="120" w:type="dxa"/>
            </w:tcMar>
          </w:tcPr>
          <w:p w14:paraId="5B57BC52" w14:textId="77777777" w:rsidR="00411618" w:rsidRDefault="00FA28E4">
            <w:r>
              <w:rPr>
                <w:color w:val="000000"/>
                <w:sz w:val="20"/>
                <w:szCs w:val="20"/>
              </w:rPr>
              <w:t>Security awareness</w:t>
            </w:r>
          </w:p>
        </w:tc>
        <w:tc>
          <w:tcPr>
            <w:tcW w:w="4400" w:type="dxa"/>
            <w:tcMar>
              <w:top w:w="100" w:type="dxa"/>
              <w:left w:w="120" w:type="dxa"/>
              <w:bottom w:w="100" w:type="dxa"/>
              <w:right w:w="120" w:type="dxa"/>
            </w:tcMar>
          </w:tcPr>
          <w:p w14:paraId="4FE07FBD" w14:textId="77777777" w:rsidR="00411618" w:rsidRDefault="00FA28E4">
            <w:r>
              <w:rPr>
                <w:color w:val="000000"/>
                <w:sz w:val="20"/>
                <w:szCs w:val="20"/>
              </w:rPr>
              <w:t>Mandatory induction and refresher training, phishing simulations, role-based modules</w:t>
            </w:r>
          </w:p>
        </w:tc>
        <w:tc>
          <w:tcPr>
            <w:tcW w:w="2820" w:type="dxa"/>
            <w:tcMar>
              <w:top w:w="100" w:type="dxa"/>
              <w:left w:w="120" w:type="dxa"/>
              <w:bottom w:w="100" w:type="dxa"/>
              <w:right w:w="120" w:type="dxa"/>
            </w:tcMar>
          </w:tcPr>
          <w:p w14:paraId="7291495A" w14:textId="77777777" w:rsidR="00411618" w:rsidRDefault="00FA28E4">
            <w:r>
              <w:rPr>
                <w:color w:val="000000"/>
                <w:sz w:val="20"/>
                <w:szCs w:val="20"/>
              </w:rPr>
              <w:t>ISO 27001 Annex A (People controls) [4]</w:t>
            </w:r>
          </w:p>
        </w:tc>
      </w:tr>
    </w:tbl>
    <w:p w14:paraId="0F8F8D58" w14:textId="77777777" w:rsidR="00411618" w:rsidRDefault="00FA28E4">
      <w:pPr>
        <w:spacing w:before="80" w:after="300"/>
        <w:jc w:val="center"/>
      </w:pPr>
      <w:r>
        <w:rPr>
          <w:i/>
          <w:iCs/>
          <w:color w:val="444444"/>
          <w:sz w:val="20"/>
          <w:szCs w:val="20"/>
        </w:rPr>
        <w:t>Table 2. Recommended security policy areas and their standards alignment.</w:t>
      </w:r>
    </w:p>
    <w:p w14:paraId="112E187A" w14:textId="77777777" w:rsidR="00411618" w:rsidRDefault="00FA28E4">
      <w:pPr>
        <w:spacing w:after="160" w:line="276" w:lineRule="auto"/>
        <w:jc w:val="both"/>
      </w:pPr>
      <w:r>
        <w:t xml:space="preserve">Each policy should be assessed for its effect on the CIA triad. For example, mandatory multi-factor authentication primarily protects confidentiality and integrity by preventing </w:t>
      </w:r>
      <w:proofErr w:type="spellStart"/>
      <w:r>
        <w:t>unauthorised</w:t>
      </w:r>
      <w:proofErr w:type="spellEnd"/>
      <w:r>
        <w:t xml:space="preserve"> account use, while offline backups protect availability by ensuring production data can be restored even if primary systems are encrypted by ransomware. Where SFM processes personal data, for example employee records or customer contact details tied to component orders, policies must also satisfy GDPR's requirement for “appropriate technical and </w:t>
      </w:r>
      <w:proofErr w:type="spellStart"/>
      <w:r>
        <w:t>organisational</w:t>
      </w:r>
      <w:proofErr w:type="spellEnd"/>
      <w:r>
        <w:t xml:space="preserve"> measures” to secure that data, which in practice is largely delivered by the same ISO 27001 controls used for general information security.</w:t>
      </w:r>
    </w:p>
    <w:p w14:paraId="306DB9F1" w14:textId="77777777" w:rsidR="00411618" w:rsidRDefault="00FA28E4">
      <w:pPr>
        <w:pStyle w:val="Heading1"/>
      </w:pPr>
      <w:bookmarkStart w:id="4" w:name="_Toc237428256"/>
      <w:r>
        <w:t>4. Mitigation Measures</w:t>
      </w:r>
      <w:bookmarkEnd w:id="4"/>
    </w:p>
    <w:p w14:paraId="7C83202C" w14:textId="77777777" w:rsidR="00411618" w:rsidRDefault="00FA28E4">
      <w:pPr>
        <w:spacing w:after="160" w:line="276" w:lineRule="auto"/>
        <w:jc w:val="both"/>
      </w:pPr>
      <w:r>
        <w:t>Mitigation measures translate policy into concrete technical and procedural controls. Table 3 links each priority threat identified in Section 2 to a specific, realistically implementable measure for a medium-sized manufacturer such as SFM.</w:t>
      </w:r>
    </w:p>
    <w:tbl>
      <w:tblPr>
        <w:tblW w:w="942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4200"/>
        <w:gridCol w:w="2620"/>
      </w:tblGrid>
      <w:tr w:rsidR="00411618" w14:paraId="62A51115" w14:textId="77777777">
        <w:tc>
          <w:tcPr>
            <w:tcW w:w="2600" w:type="dxa"/>
            <w:shd w:val="clear" w:color="auto" w:fill="990011"/>
            <w:tcMar>
              <w:top w:w="100" w:type="dxa"/>
              <w:left w:w="120" w:type="dxa"/>
              <w:bottom w:w="100" w:type="dxa"/>
              <w:right w:w="120" w:type="dxa"/>
            </w:tcMar>
          </w:tcPr>
          <w:p w14:paraId="4D763F14" w14:textId="77777777" w:rsidR="00411618" w:rsidRDefault="00FA28E4">
            <w:r>
              <w:rPr>
                <w:b/>
                <w:bCs/>
                <w:color w:val="FFFFFF"/>
                <w:sz w:val="20"/>
                <w:szCs w:val="20"/>
              </w:rPr>
              <w:t>Threat addressed</w:t>
            </w:r>
          </w:p>
        </w:tc>
        <w:tc>
          <w:tcPr>
            <w:tcW w:w="4200" w:type="dxa"/>
            <w:shd w:val="clear" w:color="auto" w:fill="990011"/>
            <w:tcMar>
              <w:top w:w="100" w:type="dxa"/>
              <w:left w:w="120" w:type="dxa"/>
              <w:bottom w:w="100" w:type="dxa"/>
              <w:right w:w="120" w:type="dxa"/>
            </w:tcMar>
          </w:tcPr>
          <w:p w14:paraId="4C5ECF49" w14:textId="77777777" w:rsidR="00411618" w:rsidRDefault="00FA28E4">
            <w:r>
              <w:rPr>
                <w:b/>
                <w:bCs/>
                <w:color w:val="FFFFFF"/>
                <w:sz w:val="20"/>
                <w:szCs w:val="20"/>
              </w:rPr>
              <w:t>Mitigation measure</w:t>
            </w:r>
          </w:p>
        </w:tc>
        <w:tc>
          <w:tcPr>
            <w:tcW w:w="2620" w:type="dxa"/>
            <w:shd w:val="clear" w:color="auto" w:fill="990011"/>
            <w:tcMar>
              <w:top w:w="100" w:type="dxa"/>
              <w:left w:w="120" w:type="dxa"/>
              <w:bottom w:w="100" w:type="dxa"/>
              <w:right w:w="120" w:type="dxa"/>
            </w:tcMar>
          </w:tcPr>
          <w:p w14:paraId="6C43085F" w14:textId="77777777" w:rsidR="00411618" w:rsidRDefault="00FA28E4">
            <w:r>
              <w:rPr>
                <w:b/>
                <w:bCs/>
                <w:color w:val="FFFFFF"/>
                <w:sz w:val="20"/>
                <w:szCs w:val="20"/>
              </w:rPr>
              <w:t>Implementation note</w:t>
            </w:r>
          </w:p>
        </w:tc>
      </w:tr>
      <w:tr w:rsidR="00411618" w14:paraId="6FFCCEA0" w14:textId="77777777">
        <w:tc>
          <w:tcPr>
            <w:tcW w:w="2600" w:type="dxa"/>
            <w:tcMar>
              <w:top w:w="100" w:type="dxa"/>
              <w:left w:w="120" w:type="dxa"/>
              <w:bottom w:w="100" w:type="dxa"/>
              <w:right w:w="120" w:type="dxa"/>
            </w:tcMar>
          </w:tcPr>
          <w:p w14:paraId="718D341C" w14:textId="77777777" w:rsidR="00411618" w:rsidRDefault="00FA28E4">
            <w:r>
              <w:rPr>
                <w:color w:val="000000"/>
                <w:sz w:val="20"/>
                <w:szCs w:val="20"/>
              </w:rPr>
              <w:t>Phishing / BEC targeting procurement</w:t>
            </w:r>
          </w:p>
        </w:tc>
        <w:tc>
          <w:tcPr>
            <w:tcW w:w="4200" w:type="dxa"/>
            <w:tcMar>
              <w:top w:w="100" w:type="dxa"/>
              <w:left w:w="120" w:type="dxa"/>
              <w:bottom w:w="100" w:type="dxa"/>
              <w:right w:w="120" w:type="dxa"/>
            </w:tcMar>
          </w:tcPr>
          <w:p w14:paraId="5114FC13" w14:textId="77777777" w:rsidR="00411618" w:rsidRDefault="00FA28E4">
            <w:r>
              <w:rPr>
                <w:color w:val="000000"/>
                <w:sz w:val="20"/>
                <w:szCs w:val="20"/>
              </w:rPr>
              <w:t>Email filtering with sandboxing, DMARC/SPF/DKIM enforcement, mandatory MFA on finance systems</w:t>
            </w:r>
          </w:p>
        </w:tc>
        <w:tc>
          <w:tcPr>
            <w:tcW w:w="2620" w:type="dxa"/>
            <w:tcMar>
              <w:top w:w="100" w:type="dxa"/>
              <w:left w:w="120" w:type="dxa"/>
              <w:bottom w:w="100" w:type="dxa"/>
              <w:right w:w="120" w:type="dxa"/>
            </w:tcMar>
          </w:tcPr>
          <w:p w14:paraId="2D173FF1" w14:textId="77777777" w:rsidR="00411618" w:rsidRDefault="00FA28E4">
            <w:r>
              <w:rPr>
                <w:color w:val="000000"/>
                <w:sz w:val="20"/>
                <w:szCs w:val="20"/>
              </w:rPr>
              <w:t>Reduces the initial-access vector reported in SFM's recent incidents; low cost, fast to deploy.</w:t>
            </w:r>
          </w:p>
        </w:tc>
      </w:tr>
      <w:tr w:rsidR="00411618" w14:paraId="05C32B4D" w14:textId="77777777">
        <w:tc>
          <w:tcPr>
            <w:tcW w:w="2600" w:type="dxa"/>
            <w:tcMar>
              <w:top w:w="100" w:type="dxa"/>
              <w:left w:w="120" w:type="dxa"/>
              <w:bottom w:w="100" w:type="dxa"/>
              <w:right w:w="120" w:type="dxa"/>
            </w:tcMar>
          </w:tcPr>
          <w:p w14:paraId="508FB44E" w14:textId="77777777" w:rsidR="00411618" w:rsidRDefault="00FA28E4">
            <w:r>
              <w:rPr>
                <w:color w:val="000000"/>
                <w:sz w:val="20"/>
                <w:szCs w:val="20"/>
              </w:rPr>
              <w:t>Ransomware</w:t>
            </w:r>
          </w:p>
        </w:tc>
        <w:tc>
          <w:tcPr>
            <w:tcW w:w="4200" w:type="dxa"/>
            <w:tcMar>
              <w:top w:w="100" w:type="dxa"/>
              <w:left w:w="120" w:type="dxa"/>
              <w:bottom w:w="100" w:type="dxa"/>
              <w:right w:w="120" w:type="dxa"/>
            </w:tcMar>
          </w:tcPr>
          <w:p w14:paraId="3404E8A2" w14:textId="77777777" w:rsidR="00411618" w:rsidRDefault="00FA28E4">
            <w:r>
              <w:rPr>
                <w:color w:val="000000"/>
                <w:sz w:val="20"/>
                <w:szCs w:val="20"/>
              </w:rPr>
              <w:t>Endpoint detection and response (EDR), offline/immutable backups tested quarterly, network segmentation</w:t>
            </w:r>
          </w:p>
        </w:tc>
        <w:tc>
          <w:tcPr>
            <w:tcW w:w="2620" w:type="dxa"/>
            <w:tcMar>
              <w:top w:w="100" w:type="dxa"/>
              <w:left w:w="120" w:type="dxa"/>
              <w:bottom w:w="100" w:type="dxa"/>
              <w:right w:w="120" w:type="dxa"/>
            </w:tcMar>
          </w:tcPr>
          <w:p w14:paraId="3B5D4F97" w14:textId="77777777" w:rsidR="00411618" w:rsidRDefault="00FA28E4">
            <w:proofErr w:type="spellStart"/>
            <w:r>
              <w:rPr>
                <w:color w:val="000000"/>
                <w:sz w:val="20"/>
                <w:szCs w:val="20"/>
              </w:rPr>
              <w:t>Organisations</w:t>
            </w:r>
            <w:proofErr w:type="spellEnd"/>
            <w:r>
              <w:rPr>
                <w:color w:val="000000"/>
                <w:sz w:val="20"/>
                <w:szCs w:val="20"/>
              </w:rPr>
              <w:t xml:space="preserve"> with tested backups recover without paying and avoid the high re-</w:t>
            </w:r>
            <w:r>
              <w:rPr>
                <w:color w:val="000000"/>
                <w:sz w:val="20"/>
                <w:szCs w:val="20"/>
              </w:rPr>
              <w:lastRenderedPageBreak/>
              <w:t>attack rate linked to ransom payment [1].</w:t>
            </w:r>
          </w:p>
        </w:tc>
      </w:tr>
      <w:tr w:rsidR="00411618" w14:paraId="47344F36" w14:textId="77777777">
        <w:tc>
          <w:tcPr>
            <w:tcW w:w="2600" w:type="dxa"/>
            <w:tcMar>
              <w:top w:w="100" w:type="dxa"/>
              <w:left w:w="120" w:type="dxa"/>
              <w:bottom w:w="100" w:type="dxa"/>
              <w:right w:w="120" w:type="dxa"/>
            </w:tcMar>
          </w:tcPr>
          <w:p w14:paraId="2B60DB7A" w14:textId="77777777" w:rsidR="00411618" w:rsidRDefault="00FA28E4">
            <w:r>
              <w:rPr>
                <w:color w:val="000000"/>
                <w:sz w:val="20"/>
                <w:szCs w:val="20"/>
              </w:rPr>
              <w:lastRenderedPageBreak/>
              <w:t>Legacy/unpatched OT devices</w:t>
            </w:r>
          </w:p>
        </w:tc>
        <w:tc>
          <w:tcPr>
            <w:tcW w:w="4200" w:type="dxa"/>
            <w:tcMar>
              <w:top w:w="100" w:type="dxa"/>
              <w:left w:w="120" w:type="dxa"/>
              <w:bottom w:w="100" w:type="dxa"/>
              <w:right w:w="120" w:type="dxa"/>
            </w:tcMar>
          </w:tcPr>
          <w:p w14:paraId="3DD09B22" w14:textId="77777777" w:rsidR="00411618" w:rsidRDefault="00FA28E4">
            <w:r>
              <w:rPr>
                <w:color w:val="000000"/>
                <w:sz w:val="20"/>
                <w:szCs w:val="20"/>
              </w:rPr>
              <w:t>Virtual patching via industrial firewall where devices cannot be updated directly; scheduled maintenance windows for firmware updates</w:t>
            </w:r>
          </w:p>
        </w:tc>
        <w:tc>
          <w:tcPr>
            <w:tcW w:w="2620" w:type="dxa"/>
            <w:tcMar>
              <w:top w:w="100" w:type="dxa"/>
              <w:left w:w="120" w:type="dxa"/>
              <w:bottom w:w="100" w:type="dxa"/>
              <w:right w:w="120" w:type="dxa"/>
            </w:tcMar>
          </w:tcPr>
          <w:p w14:paraId="06DC2998" w14:textId="77777777" w:rsidR="00411618" w:rsidRDefault="00FA28E4">
            <w:r>
              <w:rPr>
                <w:color w:val="000000"/>
                <w:sz w:val="20"/>
                <w:szCs w:val="20"/>
              </w:rPr>
              <w:t>Avoids unplanned production downtime while reducing exposure window.</w:t>
            </w:r>
          </w:p>
        </w:tc>
      </w:tr>
      <w:tr w:rsidR="00411618" w14:paraId="219DF7D7" w14:textId="77777777">
        <w:tc>
          <w:tcPr>
            <w:tcW w:w="2600" w:type="dxa"/>
            <w:tcMar>
              <w:top w:w="100" w:type="dxa"/>
              <w:left w:w="120" w:type="dxa"/>
              <w:bottom w:w="100" w:type="dxa"/>
              <w:right w:w="120" w:type="dxa"/>
            </w:tcMar>
          </w:tcPr>
          <w:p w14:paraId="3CCF9DCA" w14:textId="77777777" w:rsidR="00411618" w:rsidRDefault="00FA28E4">
            <w:proofErr w:type="spellStart"/>
            <w:r>
              <w:rPr>
                <w:color w:val="000000"/>
                <w:sz w:val="20"/>
                <w:szCs w:val="20"/>
              </w:rPr>
              <w:t>Unauthorised</w:t>
            </w:r>
            <w:proofErr w:type="spellEnd"/>
            <w:r>
              <w:rPr>
                <w:color w:val="000000"/>
                <w:sz w:val="20"/>
                <w:szCs w:val="20"/>
              </w:rPr>
              <w:t xml:space="preserve"> network access</w:t>
            </w:r>
          </w:p>
        </w:tc>
        <w:tc>
          <w:tcPr>
            <w:tcW w:w="4200" w:type="dxa"/>
            <w:tcMar>
              <w:top w:w="100" w:type="dxa"/>
              <w:left w:w="120" w:type="dxa"/>
              <w:bottom w:w="100" w:type="dxa"/>
              <w:right w:w="120" w:type="dxa"/>
            </w:tcMar>
          </w:tcPr>
          <w:p w14:paraId="03E519B1" w14:textId="77777777" w:rsidR="00411618" w:rsidRDefault="00FA28E4">
            <w:r>
              <w:rPr>
                <w:color w:val="000000"/>
                <w:sz w:val="20"/>
                <w:szCs w:val="20"/>
              </w:rPr>
              <w:t>Network access control (NAC), segmented VLANs for IoT sensors, disabling unused ports</w:t>
            </w:r>
          </w:p>
        </w:tc>
        <w:tc>
          <w:tcPr>
            <w:tcW w:w="2620" w:type="dxa"/>
            <w:tcMar>
              <w:top w:w="100" w:type="dxa"/>
              <w:left w:w="120" w:type="dxa"/>
              <w:bottom w:w="100" w:type="dxa"/>
              <w:right w:w="120" w:type="dxa"/>
            </w:tcMar>
          </w:tcPr>
          <w:p w14:paraId="07173D79" w14:textId="77777777" w:rsidR="00411618" w:rsidRDefault="00FA28E4">
            <w:r>
              <w:rPr>
                <w:color w:val="000000"/>
                <w:sz w:val="20"/>
                <w:szCs w:val="20"/>
              </w:rPr>
              <w:t>Limits lateral movement if one device is compromised.</w:t>
            </w:r>
          </w:p>
        </w:tc>
      </w:tr>
      <w:tr w:rsidR="00411618" w14:paraId="49C5A7D9" w14:textId="77777777">
        <w:tc>
          <w:tcPr>
            <w:tcW w:w="2600" w:type="dxa"/>
            <w:tcMar>
              <w:top w:w="100" w:type="dxa"/>
              <w:left w:w="120" w:type="dxa"/>
              <w:bottom w:w="100" w:type="dxa"/>
              <w:right w:w="120" w:type="dxa"/>
            </w:tcMar>
          </w:tcPr>
          <w:p w14:paraId="4439C560" w14:textId="77777777" w:rsidR="00411618" w:rsidRDefault="00FA28E4">
            <w:r>
              <w:rPr>
                <w:color w:val="000000"/>
                <w:sz w:val="20"/>
                <w:szCs w:val="20"/>
              </w:rPr>
              <w:t>Supply-chain compromise</w:t>
            </w:r>
          </w:p>
        </w:tc>
        <w:tc>
          <w:tcPr>
            <w:tcW w:w="4200" w:type="dxa"/>
            <w:tcMar>
              <w:top w:w="100" w:type="dxa"/>
              <w:left w:w="120" w:type="dxa"/>
              <w:bottom w:w="100" w:type="dxa"/>
              <w:right w:w="120" w:type="dxa"/>
            </w:tcMar>
          </w:tcPr>
          <w:p w14:paraId="7755DEA5" w14:textId="77777777" w:rsidR="00411618" w:rsidRDefault="00FA28E4">
            <w:r>
              <w:rPr>
                <w:color w:val="000000"/>
                <w:sz w:val="20"/>
                <w:szCs w:val="20"/>
              </w:rPr>
              <w:t>Vendor risk assessment before onboarding, contractual security requirements, restricted supplier network access</w:t>
            </w:r>
          </w:p>
        </w:tc>
        <w:tc>
          <w:tcPr>
            <w:tcW w:w="2620" w:type="dxa"/>
            <w:tcMar>
              <w:top w:w="100" w:type="dxa"/>
              <w:left w:w="120" w:type="dxa"/>
              <w:bottom w:w="100" w:type="dxa"/>
              <w:right w:w="120" w:type="dxa"/>
            </w:tcMar>
          </w:tcPr>
          <w:p w14:paraId="344B59ED" w14:textId="77777777" w:rsidR="00411618" w:rsidRDefault="00FA28E4">
            <w:r>
              <w:rPr>
                <w:color w:val="000000"/>
                <w:sz w:val="20"/>
                <w:szCs w:val="20"/>
              </w:rPr>
              <w:t>Addresses the growing share of manufacturing breaches linked to third parties [3].</w:t>
            </w:r>
          </w:p>
        </w:tc>
      </w:tr>
      <w:tr w:rsidR="00411618" w14:paraId="66BD7206" w14:textId="77777777">
        <w:tc>
          <w:tcPr>
            <w:tcW w:w="2600" w:type="dxa"/>
            <w:tcMar>
              <w:top w:w="100" w:type="dxa"/>
              <w:left w:w="120" w:type="dxa"/>
              <w:bottom w:w="100" w:type="dxa"/>
              <w:right w:w="120" w:type="dxa"/>
            </w:tcMar>
          </w:tcPr>
          <w:p w14:paraId="3EC50600" w14:textId="77777777" w:rsidR="00411618" w:rsidRDefault="00FA28E4">
            <w:r>
              <w:rPr>
                <w:color w:val="000000"/>
                <w:sz w:val="20"/>
                <w:szCs w:val="20"/>
              </w:rPr>
              <w:t>Insider risk</w:t>
            </w:r>
          </w:p>
        </w:tc>
        <w:tc>
          <w:tcPr>
            <w:tcW w:w="4200" w:type="dxa"/>
            <w:tcMar>
              <w:top w:w="100" w:type="dxa"/>
              <w:left w:w="120" w:type="dxa"/>
              <w:bottom w:w="100" w:type="dxa"/>
              <w:right w:w="120" w:type="dxa"/>
            </w:tcMar>
          </w:tcPr>
          <w:p w14:paraId="2784037F" w14:textId="77777777" w:rsidR="00411618" w:rsidRDefault="00FA28E4">
            <w:r>
              <w:rPr>
                <w:color w:val="000000"/>
                <w:sz w:val="20"/>
                <w:szCs w:val="20"/>
              </w:rPr>
              <w:t>Least-privilege access reviews, activity logging on sensitive systems, clear acceptable-use policy</w:t>
            </w:r>
          </w:p>
        </w:tc>
        <w:tc>
          <w:tcPr>
            <w:tcW w:w="2620" w:type="dxa"/>
            <w:tcMar>
              <w:top w:w="100" w:type="dxa"/>
              <w:left w:w="120" w:type="dxa"/>
              <w:bottom w:w="100" w:type="dxa"/>
              <w:right w:w="120" w:type="dxa"/>
            </w:tcMar>
          </w:tcPr>
          <w:p w14:paraId="0E86DC48" w14:textId="77777777" w:rsidR="00411618" w:rsidRDefault="00FA28E4">
            <w:r>
              <w:rPr>
                <w:color w:val="000000"/>
                <w:sz w:val="20"/>
                <w:szCs w:val="20"/>
              </w:rPr>
              <w:t>Balances trust with accountability without treating staff as suspects by default.</w:t>
            </w:r>
          </w:p>
        </w:tc>
      </w:tr>
    </w:tbl>
    <w:p w14:paraId="0CCC2F0B" w14:textId="77777777" w:rsidR="00411618" w:rsidRDefault="00FA28E4">
      <w:pPr>
        <w:spacing w:before="80" w:after="300"/>
        <w:jc w:val="center"/>
        <w:rPr>
          <w:i/>
          <w:iCs/>
          <w:color w:val="444444"/>
          <w:sz w:val="20"/>
          <w:szCs w:val="20"/>
        </w:rPr>
      </w:pPr>
      <w:r>
        <w:rPr>
          <w:i/>
          <w:iCs/>
          <w:color w:val="444444"/>
          <w:sz w:val="20"/>
          <w:szCs w:val="20"/>
        </w:rPr>
        <w:t>Table 3. Mitigation measures mapped to priority threats.</w:t>
      </w:r>
    </w:p>
    <w:p w14:paraId="4670F95A" w14:textId="77777777" w:rsidR="00FE45D4" w:rsidRDefault="00FE45D4">
      <w:pPr>
        <w:spacing w:before="80" w:after="300"/>
        <w:jc w:val="center"/>
        <w:rPr>
          <w:i/>
          <w:iCs/>
          <w:color w:val="444444"/>
          <w:sz w:val="20"/>
          <w:szCs w:val="20"/>
        </w:rPr>
      </w:pPr>
    </w:p>
    <w:p w14:paraId="58ABE7B3" w14:textId="77777777" w:rsidR="00FE45D4" w:rsidRDefault="00FE45D4">
      <w:pPr>
        <w:spacing w:before="80" w:after="300"/>
        <w:jc w:val="center"/>
      </w:pPr>
    </w:p>
    <w:p w14:paraId="10356AD4" w14:textId="77777777" w:rsidR="00411618" w:rsidRDefault="00FA28E4">
      <w:pPr>
        <w:spacing w:after="160" w:line="276" w:lineRule="auto"/>
        <w:jc w:val="both"/>
      </w:pPr>
      <w:r>
        <w:t xml:space="preserve">Network segmentation deserves particular emphasis given SFM's IT/OT convergence risk. Figure 1 illustrates a recommended architecture in which the corporate IT network, a </w:t>
      </w:r>
      <w:proofErr w:type="spellStart"/>
      <w:r>
        <w:t>demilitarised</w:t>
      </w:r>
      <w:proofErr w:type="spellEnd"/>
      <w:r>
        <w:t xml:space="preserve"> zone (DMZ) for internet-facing services, and the OT/plant-floor network are separated by an industrial firewall or data diode, broadly following the layered zoning principle used in the Purdue reference model for industrial control systems. This ensures that a compromise of, for example, a procurement employee's laptop on the IT network cannot directly reach PLCs or SCADA systems on the plant floor.</w:t>
      </w:r>
    </w:p>
    <w:p w14:paraId="6C4FF279" w14:textId="77777777" w:rsidR="00411618" w:rsidRDefault="00FA28E4">
      <w:pPr>
        <w:spacing w:before="200" w:after="80"/>
        <w:jc w:val="center"/>
      </w:pPr>
      <w:r>
        <w:rPr>
          <w:noProof/>
        </w:rPr>
        <w:lastRenderedPageBreak/>
        <w:drawing>
          <wp:inline distT="0" distB="0" distL="0" distR="0" wp14:anchorId="2FA8E84E" wp14:editId="7DE4B985">
            <wp:extent cx="2476500" cy="544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476500" cy="5448300"/>
                    </a:xfrm>
                    <a:prstGeom prst="rect">
                      <a:avLst/>
                    </a:prstGeom>
                  </pic:spPr>
                </pic:pic>
              </a:graphicData>
            </a:graphic>
          </wp:inline>
        </w:drawing>
      </w:r>
    </w:p>
    <w:p w14:paraId="5215F348" w14:textId="77777777" w:rsidR="00411618" w:rsidRDefault="00FA28E4">
      <w:pPr>
        <w:spacing w:before="80" w:after="300"/>
        <w:jc w:val="center"/>
      </w:pPr>
      <w:r>
        <w:rPr>
          <w:i/>
          <w:iCs/>
          <w:color w:val="444444"/>
          <w:sz w:val="20"/>
          <w:szCs w:val="20"/>
        </w:rPr>
        <w:t>Figure 1. Recommended IT/OT network segmentation for SFM.</w:t>
      </w:r>
    </w:p>
    <w:p w14:paraId="2F22FD94" w14:textId="77777777" w:rsidR="00411618" w:rsidRDefault="00FA28E4">
      <w:pPr>
        <w:pStyle w:val="Heading1"/>
      </w:pPr>
      <w:bookmarkStart w:id="5" w:name="_Toc237428257"/>
      <w:r>
        <w:t>5. Monitoring and Response</w:t>
      </w:r>
      <w:bookmarkEnd w:id="5"/>
    </w:p>
    <w:p w14:paraId="6C66EA3C" w14:textId="77777777" w:rsidR="00411618" w:rsidRDefault="00FA28E4">
      <w:pPr>
        <w:spacing w:after="160" w:line="276" w:lineRule="auto"/>
        <w:jc w:val="both"/>
      </w:pPr>
      <w:r>
        <w:t>Continuous monitoring is what allows SFM to move from a reactive to a proactive security posture. A Security Information and Event Management (SIEM) system should aggregate logs from IT systems, while dedicated OT network sensors provide visibility into the plant-floor segment without disrupting sensitive control traffic. Figure 2 sets out the proposed incident response workflow, from initial detection through triage, containment, eradication, recovery and post-incident review, aligned with the Detect, Respond and Recover functions of the NIST CSF [5].</w:t>
      </w:r>
    </w:p>
    <w:p w14:paraId="4334E6F9" w14:textId="77777777" w:rsidR="00411618" w:rsidRDefault="00FA28E4">
      <w:pPr>
        <w:spacing w:before="200" w:after="80"/>
        <w:jc w:val="center"/>
      </w:pPr>
      <w:r>
        <w:rPr>
          <w:noProof/>
        </w:rPr>
        <w:lastRenderedPageBreak/>
        <w:drawing>
          <wp:inline distT="0" distB="0" distL="0" distR="0" wp14:anchorId="4AAE2491" wp14:editId="15BDB541">
            <wp:extent cx="3048000" cy="7305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048000" cy="7305675"/>
                    </a:xfrm>
                    <a:prstGeom prst="rect">
                      <a:avLst/>
                    </a:prstGeom>
                  </pic:spPr>
                </pic:pic>
              </a:graphicData>
            </a:graphic>
          </wp:inline>
        </w:drawing>
      </w:r>
    </w:p>
    <w:p w14:paraId="5F8DBCF1" w14:textId="77777777" w:rsidR="00411618" w:rsidRDefault="00FA28E4">
      <w:pPr>
        <w:spacing w:before="80" w:after="300"/>
        <w:jc w:val="center"/>
      </w:pPr>
      <w:r>
        <w:rPr>
          <w:i/>
          <w:iCs/>
          <w:color w:val="444444"/>
          <w:sz w:val="20"/>
          <w:szCs w:val="20"/>
        </w:rPr>
        <w:t>Figure 2. Security monitoring and incident response workflow for SFM.</w:t>
      </w:r>
    </w:p>
    <w:p w14:paraId="5B964543" w14:textId="77777777" w:rsidR="00411618" w:rsidRDefault="00FA28E4">
      <w:pPr>
        <w:spacing w:after="160" w:line="276" w:lineRule="auto"/>
        <w:jc w:val="both"/>
      </w:pPr>
      <w:r>
        <w:t>Two design choices in this workflow reflect SFM's manufacturing context specifically. First, containment for OT incidents is defined as failing equipment to a safe state rather than an abrupt shutdown, reflecting the physical safety consequences that do not apply to a pure IT incident. Second, severity classification explicitly separates IT-only incidents from those touching OT, since an OT-affecting incident escalates directly to the Board given its potential production and safety impact, consistent with the scenario's description of Board-level concern about downtime.</w:t>
      </w:r>
    </w:p>
    <w:p w14:paraId="2EEC01C5" w14:textId="77777777" w:rsidR="00411618" w:rsidRDefault="00FA28E4">
      <w:pPr>
        <w:pStyle w:val="Heading1"/>
      </w:pPr>
      <w:bookmarkStart w:id="6" w:name="_Toc237428258"/>
      <w:r>
        <w:lastRenderedPageBreak/>
        <w:t>6. Training and Awareness</w:t>
      </w:r>
      <w:bookmarkEnd w:id="6"/>
    </w:p>
    <w:p w14:paraId="2F0CA1A8" w14:textId="77777777" w:rsidR="00411618" w:rsidRDefault="002800F2">
      <w:pPr>
        <w:spacing w:after="160" w:line="276" w:lineRule="auto"/>
        <w:jc w:val="both"/>
      </w:pPr>
      <w:r>
        <w:t xml:space="preserve">Because phishing against procurement staff has already been observed at SFM, staff training is not optional groundwork but a direct response to a demonstrated weakness. The training </w:t>
      </w:r>
      <w:proofErr w:type="spellStart"/>
      <w:r>
        <w:t>programme</w:t>
      </w:r>
      <w:proofErr w:type="spellEnd"/>
      <w:r>
        <w:t xml:space="preserve"> should include a mandatory induction module covering acceptable use, password hygiene and how to report suspected phishing; quarterly simulated phishing exercises with individual feedback rather than public blame, so staff learn without being discouraged from reporting mistakes; role-based modules, so procurement and finance staff receive deeper training on invoice fraud and business email compromise while shop-floor staff receive training focused on safe use of IoT devices and USB media; and a short annual refresher for all staff, tied to policy updates. Embedding security awareness as an ISO 27001 people control, rather than a one-off event, is what keeps the </w:t>
      </w:r>
      <w:proofErr w:type="spellStart"/>
      <w:r>
        <w:t>programme</w:t>
      </w:r>
      <w:proofErr w:type="spellEnd"/>
      <w:r>
        <w:t xml:space="preserve"> active as staff, threats and technology change [4].</w:t>
      </w:r>
    </w:p>
    <w:p w14:paraId="12A281A0" w14:textId="77777777" w:rsidR="00411618" w:rsidRDefault="00FA28E4">
      <w:pPr>
        <w:pStyle w:val="Heading1"/>
      </w:pPr>
      <w:bookmarkStart w:id="7" w:name="_Toc237428259"/>
      <w:r>
        <w:t>7. Conclusion</w:t>
      </w:r>
      <w:bookmarkEnd w:id="7"/>
    </w:p>
    <w:p w14:paraId="7F53978F" w14:textId="77777777" w:rsidR="00411618" w:rsidRDefault="00FA28E4">
      <w:pPr>
        <w:spacing w:after="160" w:line="276" w:lineRule="auto"/>
        <w:jc w:val="both"/>
      </w:pPr>
      <w:r>
        <w:t xml:space="preserve">SFM's exposure is best understood as the product of a widening attack surface, created by IoT adoption and cloud connectivity, meeting a workforce and control environment that has not yet caught up with the associated risks. The measures proposed in this report, threat-led policy aligned with NIST CSF and ISO 27001 [4][5], targeted technical mitigations, IT/OT network segmentation, a monitoring and incident response plan tailored to manufacturing's safety and downtime concerns, and a training </w:t>
      </w:r>
      <w:proofErr w:type="spellStart"/>
      <w:r>
        <w:t>programme</w:t>
      </w:r>
      <w:proofErr w:type="spellEnd"/>
      <w:r>
        <w:t xml:space="preserve"> that directly addresses the phishing risk already observed, together give SFM a realistic and proportionate path toward a stronger security posture. None of these measures is effective in isolation; their value lies in being implemented and reviewed as a coherent, governed </w:t>
      </w:r>
      <w:proofErr w:type="spellStart"/>
      <w:r>
        <w:t>programme</w:t>
      </w:r>
      <w:proofErr w:type="spellEnd"/>
      <w:r>
        <w:t xml:space="preserve"> rather than as a set of standalone purchases.</w:t>
      </w:r>
    </w:p>
    <w:p w14:paraId="44EA513E" w14:textId="77777777" w:rsidR="00411618" w:rsidRDefault="00FA28E4">
      <w:r>
        <w:br w:type="page"/>
      </w:r>
    </w:p>
    <w:p w14:paraId="6C3BA0F2" w14:textId="77777777" w:rsidR="00411618" w:rsidRDefault="00FA28E4">
      <w:pPr>
        <w:pStyle w:val="Heading1"/>
      </w:pPr>
      <w:bookmarkStart w:id="8" w:name="_Toc237428260"/>
      <w:r>
        <w:lastRenderedPageBreak/>
        <w:t>References</w:t>
      </w:r>
      <w:bookmarkEnd w:id="8"/>
    </w:p>
    <w:p w14:paraId="469A538F" w14:textId="77777777" w:rsidR="00411618" w:rsidRDefault="00FA28E4">
      <w:pPr>
        <w:spacing w:after="160" w:line="276" w:lineRule="auto"/>
        <w:jc w:val="both"/>
      </w:pPr>
      <w:r>
        <w:t xml:space="preserve">[1] </w:t>
      </w:r>
      <w:proofErr w:type="spellStart"/>
      <w:r>
        <w:t>Comparitech</w:t>
      </w:r>
      <w:proofErr w:type="spellEnd"/>
      <w:r>
        <w:t xml:space="preserve">, “Global ransomware attacks rose 32% in 2025, as manufacturers emerged as top target,” Industrial Cyber, Jan. 2026. Available: </w:t>
      </w:r>
      <w:hyperlink r:id="rId10" w:history="1">
        <w:r>
          <w:rPr>
            <w:rStyle w:val="Hyperlink"/>
          </w:rPr>
          <w:t>https://industrialcyber.co/reports/global-ransomware-attacks-rose-32-in-2025-as-manufacturers-emerged-as-top-target/</w:t>
        </w:r>
      </w:hyperlink>
    </w:p>
    <w:p w14:paraId="2984614E" w14:textId="77777777" w:rsidR="00411618" w:rsidRDefault="00FA28E4">
      <w:pPr>
        <w:spacing w:after="160" w:line="276" w:lineRule="auto"/>
        <w:jc w:val="both"/>
      </w:pPr>
      <w:r>
        <w:t xml:space="preserve">[2] Halcyon, “Manufacturing Is the Most Targeted Sector in Ransomware. By a Wide Margin,” Apr. 2026. Available: </w:t>
      </w:r>
      <w:hyperlink r:id="rId11" w:history="1">
        <w:r>
          <w:rPr>
            <w:rStyle w:val="Hyperlink"/>
          </w:rPr>
          <w:t>https://www.halcyon.ai/blog/manufacturing-is-the-most-targeted-sector-in-ransomware</w:t>
        </w:r>
      </w:hyperlink>
    </w:p>
    <w:p w14:paraId="5695A455" w14:textId="77777777" w:rsidR="00411618" w:rsidRDefault="00FA28E4">
      <w:pPr>
        <w:spacing w:after="160" w:line="276" w:lineRule="auto"/>
        <w:jc w:val="both"/>
      </w:pPr>
      <w:r>
        <w:t xml:space="preserve">[3] Total Assure, “Manufacturing Cyber Attack Statistics 2026: Data-Driven Insights on Industrial Security Threats,” Mar. 2026. Available: </w:t>
      </w:r>
      <w:hyperlink r:id="rId12" w:history="1">
        <w:r>
          <w:rPr>
            <w:rStyle w:val="Hyperlink"/>
          </w:rPr>
          <w:t>https://www.totalassure.com/blog/manufacturing-cyber-attack-statistics-2026</w:t>
        </w:r>
      </w:hyperlink>
    </w:p>
    <w:p w14:paraId="45CE3728" w14:textId="77777777" w:rsidR="00411618" w:rsidRDefault="00FA28E4">
      <w:pPr>
        <w:spacing w:after="160" w:line="276" w:lineRule="auto"/>
        <w:jc w:val="both"/>
      </w:pPr>
      <w:r>
        <w:t xml:space="preserve">[4] International Organization for Standardization, ISO/IEC 27001:2022 – Information Security Management Systems, ISO, 2022. Available: </w:t>
      </w:r>
      <w:hyperlink r:id="rId13" w:history="1">
        <w:r>
          <w:rPr>
            <w:rStyle w:val="Hyperlink"/>
          </w:rPr>
          <w:t>https://www.iso.org/standard/27001</w:t>
        </w:r>
      </w:hyperlink>
    </w:p>
    <w:p w14:paraId="1326D10D" w14:textId="77777777" w:rsidR="00411618" w:rsidRDefault="00FA28E4">
      <w:pPr>
        <w:spacing w:after="160" w:line="276" w:lineRule="auto"/>
        <w:jc w:val="both"/>
      </w:pPr>
      <w:r>
        <w:t xml:space="preserve">[5] National Institute of Standards and Technology, The NIST Cybersecurity Framework (CSF) 2.0, NIST CSWP 29, Feb. 2024. Available: </w:t>
      </w:r>
      <w:hyperlink r:id="rId14" w:history="1">
        <w:r>
          <w:rPr>
            <w:rStyle w:val="Hyperlink"/>
          </w:rPr>
          <w:t>https://doi.org/10.6028/NIST.CSWP.29</w:t>
        </w:r>
      </w:hyperlink>
    </w:p>
    <w:p w14:paraId="532E9931" w14:textId="77777777" w:rsidR="00411618" w:rsidRDefault="00FA28E4">
      <w:r>
        <w:br w:type="page"/>
      </w:r>
    </w:p>
    <w:p w14:paraId="3DB7D2DB" w14:textId="77777777" w:rsidR="00411618" w:rsidRDefault="00FA28E4">
      <w:pPr>
        <w:pStyle w:val="Heading1"/>
      </w:pPr>
      <w:bookmarkStart w:id="9" w:name="_Toc237428261"/>
      <w:r>
        <w:lastRenderedPageBreak/>
        <w:t>Appendix A: Board Presentation Slides</w:t>
      </w:r>
      <w:bookmarkEnd w:id="9"/>
    </w:p>
    <w:p w14:paraId="17F803D2" w14:textId="55E4B157" w:rsidR="00411618" w:rsidRDefault="00FA28E4" w:rsidP="00FE45D4">
      <w:pPr>
        <w:spacing w:after="160" w:line="276" w:lineRule="auto"/>
        <w:jc w:val="both"/>
      </w:pPr>
      <w:r>
        <w:t xml:space="preserve">The following pages reproduce, in full, the slides from the accompanying 10-minute board presentation </w:t>
      </w:r>
      <w:proofErr w:type="spellStart"/>
      <w:r>
        <w:t>summarising</w:t>
      </w:r>
      <w:proofErr w:type="spellEnd"/>
      <w:r>
        <w:t xml:space="preserve"> this report's findings and recommendations.</w:t>
      </w:r>
      <w:r>
        <w:br w:type="page"/>
      </w:r>
    </w:p>
    <w:p w14:paraId="20B74DDB" w14:textId="77777777" w:rsidR="00411618" w:rsidRDefault="00FA28E4">
      <w:pPr>
        <w:spacing w:after="60"/>
        <w:jc w:val="center"/>
      </w:pPr>
      <w:r>
        <w:rPr>
          <w:b/>
          <w:bCs/>
          <w:color w:val="1E2761"/>
          <w:sz w:val="18"/>
          <w:szCs w:val="18"/>
        </w:rPr>
        <w:lastRenderedPageBreak/>
        <w:t>Slide 1 — Title</w:t>
      </w:r>
    </w:p>
    <w:p w14:paraId="333297BC" w14:textId="77777777" w:rsidR="00411618" w:rsidRDefault="00FA28E4">
      <w:pPr>
        <w:spacing w:after="300"/>
        <w:jc w:val="center"/>
      </w:pPr>
      <w:r>
        <w:rPr>
          <w:noProof/>
        </w:rPr>
        <w:drawing>
          <wp:inline distT="0" distB="0" distL="0" distR="0" wp14:anchorId="29DF4BA4" wp14:editId="7665A1ED">
            <wp:extent cx="5486400" cy="30883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486400" cy="3088312"/>
                    </a:xfrm>
                    <a:prstGeom prst="rect">
                      <a:avLst/>
                    </a:prstGeom>
                  </pic:spPr>
                </pic:pic>
              </a:graphicData>
            </a:graphic>
          </wp:inline>
        </w:drawing>
      </w:r>
    </w:p>
    <w:p w14:paraId="36F3E495" w14:textId="77777777" w:rsidR="00411618" w:rsidRDefault="00FA28E4">
      <w:pPr>
        <w:spacing w:before="500" w:after="60"/>
        <w:jc w:val="center"/>
      </w:pPr>
      <w:r>
        <w:rPr>
          <w:b/>
          <w:bCs/>
          <w:color w:val="1E2761"/>
          <w:sz w:val="18"/>
          <w:szCs w:val="18"/>
        </w:rPr>
        <w:t>Slide 2 — Why this matters now</w:t>
      </w:r>
    </w:p>
    <w:p w14:paraId="45950770" w14:textId="77777777" w:rsidR="00411618" w:rsidRDefault="00FA28E4">
      <w:pPr>
        <w:spacing w:after="80"/>
        <w:jc w:val="center"/>
      </w:pPr>
      <w:r>
        <w:rPr>
          <w:noProof/>
        </w:rPr>
        <w:drawing>
          <wp:inline distT="0" distB="0" distL="0" distR="0" wp14:anchorId="3401E8A6" wp14:editId="48470358">
            <wp:extent cx="5486400" cy="308831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486400" cy="3088312"/>
                    </a:xfrm>
                    <a:prstGeom prst="rect">
                      <a:avLst/>
                    </a:prstGeom>
                  </pic:spPr>
                </pic:pic>
              </a:graphicData>
            </a:graphic>
          </wp:inline>
        </w:drawing>
      </w:r>
    </w:p>
    <w:p w14:paraId="014B2F54" w14:textId="77777777" w:rsidR="00411618" w:rsidRDefault="00FA28E4">
      <w:r>
        <w:br w:type="page"/>
      </w:r>
    </w:p>
    <w:p w14:paraId="3C63629D" w14:textId="77777777" w:rsidR="00411618" w:rsidRDefault="00FA28E4">
      <w:pPr>
        <w:spacing w:after="60"/>
        <w:jc w:val="center"/>
      </w:pPr>
      <w:r>
        <w:rPr>
          <w:b/>
          <w:bCs/>
          <w:color w:val="1E2761"/>
          <w:sz w:val="18"/>
          <w:szCs w:val="18"/>
        </w:rPr>
        <w:lastRenderedPageBreak/>
        <w:t>Slide 3 — The sector-wide picture</w:t>
      </w:r>
    </w:p>
    <w:p w14:paraId="4BCAE43F" w14:textId="77777777" w:rsidR="00411618" w:rsidRDefault="00FA28E4">
      <w:pPr>
        <w:spacing w:after="300"/>
        <w:jc w:val="center"/>
      </w:pPr>
      <w:r>
        <w:rPr>
          <w:noProof/>
        </w:rPr>
        <w:drawing>
          <wp:inline distT="0" distB="0" distL="0" distR="0" wp14:anchorId="6758150B" wp14:editId="392C2B2D">
            <wp:extent cx="5486400" cy="30883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486400" cy="3088312"/>
                    </a:xfrm>
                    <a:prstGeom prst="rect">
                      <a:avLst/>
                    </a:prstGeom>
                  </pic:spPr>
                </pic:pic>
              </a:graphicData>
            </a:graphic>
          </wp:inline>
        </w:drawing>
      </w:r>
    </w:p>
    <w:p w14:paraId="41A32791" w14:textId="77777777" w:rsidR="00411618" w:rsidRDefault="00FA28E4">
      <w:pPr>
        <w:spacing w:before="500" w:after="60"/>
        <w:jc w:val="center"/>
      </w:pPr>
      <w:r>
        <w:rPr>
          <w:b/>
          <w:bCs/>
          <w:color w:val="1E2761"/>
          <w:sz w:val="18"/>
          <w:szCs w:val="18"/>
        </w:rPr>
        <w:t>Slide 4 — Threats facing SFM</w:t>
      </w:r>
    </w:p>
    <w:p w14:paraId="2B31C7FC" w14:textId="77777777" w:rsidR="00411618" w:rsidRDefault="00FA28E4">
      <w:pPr>
        <w:spacing w:after="80"/>
        <w:jc w:val="center"/>
      </w:pPr>
      <w:r>
        <w:rPr>
          <w:noProof/>
        </w:rPr>
        <w:drawing>
          <wp:inline distT="0" distB="0" distL="0" distR="0" wp14:anchorId="6E813191" wp14:editId="6D5767CE">
            <wp:extent cx="5486400" cy="30883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486400" cy="3088312"/>
                    </a:xfrm>
                    <a:prstGeom prst="rect">
                      <a:avLst/>
                    </a:prstGeom>
                  </pic:spPr>
                </pic:pic>
              </a:graphicData>
            </a:graphic>
          </wp:inline>
        </w:drawing>
      </w:r>
    </w:p>
    <w:p w14:paraId="2FD1CE03" w14:textId="77777777" w:rsidR="00411618" w:rsidRDefault="00FA28E4">
      <w:r>
        <w:br w:type="page"/>
      </w:r>
    </w:p>
    <w:p w14:paraId="1ED91D29" w14:textId="77777777" w:rsidR="00411618" w:rsidRDefault="00FA28E4">
      <w:pPr>
        <w:spacing w:after="60"/>
        <w:jc w:val="center"/>
      </w:pPr>
      <w:r>
        <w:rPr>
          <w:b/>
          <w:bCs/>
          <w:color w:val="1E2761"/>
          <w:sz w:val="18"/>
          <w:szCs w:val="18"/>
        </w:rPr>
        <w:lastRenderedPageBreak/>
        <w:t>Slide 5 — Our policy framework</w:t>
      </w:r>
    </w:p>
    <w:p w14:paraId="0A408018" w14:textId="77777777" w:rsidR="00411618" w:rsidRDefault="00FA28E4">
      <w:pPr>
        <w:spacing w:after="300"/>
        <w:jc w:val="center"/>
      </w:pPr>
      <w:r>
        <w:rPr>
          <w:noProof/>
        </w:rPr>
        <w:drawing>
          <wp:inline distT="0" distB="0" distL="0" distR="0" wp14:anchorId="4D364BD6" wp14:editId="37083047">
            <wp:extent cx="5486400" cy="30883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486400" cy="3088312"/>
                    </a:xfrm>
                    <a:prstGeom prst="rect">
                      <a:avLst/>
                    </a:prstGeom>
                  </pic:spPr>
                </pic:pic>
              </a:graphicData>
            </a:graphic>
          </wp:inline>
        </w:drawing>
      </w:r>
    </w:p>
    <w:p w14:paraId="677ED628" w14:textId="77777777" w:rsidR="00411618" w:rsidRDefault="00FA28E4">
      <w:pPr>
        <w:spacing w:before="500" w:after="60"/>
        <w:jc w:val="center"/>
      </w:pPr>
      <w:r>
        <w:rPr>
          <w:b/>
          <w:bCs/>
          <w:color w:val="1E2761"/>
          <w:sz w:val="18"/>
          <w:szCs w:val="18"/>
        </w:rPr>
        <w:t>Slide 6 — Separating IT from the plant floor</w:t>
      </w:r>
    </w:p>
    <w:p w14:paraId="07EABAA4" w14:textId="77777777" w:rsidR="00411618" w:rsidRDefault="00FA28E4">
      <w:pPr>
        <w:spacing w:after="80"/>
        <w:jc w:val="center"/>
      </w:pPr>
      <w:r>
        <w:rPr>
          <w:noProof/>
        </w:rPr>
        <w:drawing>
          <wp:inline distT="0" distB="0" distL="0" distR="0" wp14:anchorId="5030DDF9" wp14:editId="7DC06C8D">
            <wp:extent cx="5486400" cy="30883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486400" cy="3088312"/>
                    </a:xfrm>
                    <a:prstGeom prst="rect">
                      <a:avLst/>
                    </a:prstGeom>
                  </pic:spPr>
                </pic:pic>
              </a:graphicData>
            </a:graphic>
          </wp:inline>
        </w:drawing>
      </w:r>
    </w:p>
    <w:p w14:paraId="5306CD97" w14:textId="77777777" w:rsidR="00411618" w:rsidRDefault="00FA28E4">
      <w:r>
        <w:br w:type="page"/>
      </w:r>
    </w:p>
    <w:p w14:paraId="4709F38B" w14:textId="77777777" w:rsidR="00411618" w:rsidRDefault="00FA28E4">
      <w:pPr>
        <w:spacing w:after="60"/>
        <w:jc w:val="center"/>
      </w:pPr>
      <w:r>
        <w:rPr>
          <w:b/>
          <w:bCs/>
          <w:color w:val="1E2761"/>
          <w:sz w:val="18"/>
          <w:szCs w:val="18"/>
        </w:rPr>
        <w:lastRenderedPageBreak/>
        <w:t>Slide 7 — Priority mitigation measures</w:t>
      </w:r>
    </w:p>
    <w:p w14:paraId="63D10598" w14:textId="77777777" w:rsidR="00411618" w:rsidRDefault="00FA28E4">
      <w:pPr>
        <w:spacing w:after="300"/>
        <w:jc w:val="center"/>
      </w:pPr>
      <w:r>
        <w:rPr>
          <w:noProof/>
        </w:rPr>
        <w:drawing>
          <wp:inline distT="0" distB="0" distL="0" distR="0" wp14:anchorId="5A1147EB" wp14:editId="6400F562">
            <wp:extent cx="5486400" cy="308831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486400" cy="3088312"/>
                    </a:xfrm>
                    <a:prstGeom prst="rect">
                      <a:avLst/>
                    </a:prstGeom>
                  </pic:spPr>
                </pic:pic>
              </a:graphicData>
            </a:graphic>
          </wp:inline>
        </w:drawing>
      </w:r>
    </w:p>
    <w:p w14:paraId="64D079D9" w14:textId="77777777" w:rsidR="00411618" w:rsidRDefault="00FA28E4">
      <w:pPr>
        <w:spacing w:before="500" w:after="60"/>
        <w:jc w:val="center"/>
      </w:pPr>
      <w:r>
        <w:rPr>
          <w:b/>
          <w:bCs/>
          <w:color w:val="1E2761"/>
          <w:sz w:val="18"/>
          <w:szCs w:val="18"/>
        </w:rPr>
        <w:t>Slide 8 — From detection to recovery</w:t>
      </w:r>
    </w:p>
    <w:p w14:paraId="2CDF6DAC" w14:textId="77777777" w:rsidR="00411618" w:rsidRDefault="00FA28E4">
      <w:pPr>
        <w:spacing w:after="80"/>
        <w:jc w:val="center"/>
      </w:pPr>
      <w:r>
        <w:rPr>
          <w:noProof/>
        </w:rPr>
        <w:drawing>
          <wp:inline distT="0" distB="0" distL="0" distR="0" wp14:anchorId="13D2A9D7" wp14:editId="13CA4C8A">
            <wp:extent cx="5486400" cy="308831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486400" cy="3088312"/>
                    </a:xfrm>
                    <a:prstGeom prst="rect">
                      <a:avLst/>
                    </a:prstGeom>
                  </pic:spPr>
                </pic:pic>
              </a:graphicData>
            </a:graphic>
          </wp:inline>
        </w:drawing>
      </w:r>
    </w:p>
    <w:p w14:paraId="127F3249" w14:textId="77777777" w:rsidR="00411618" w:rsidRDefault="00FA28E4">
      <w:r>
        <w:br w:type="page"/>
      </w:r>
    </w:p>
    <w:p w14:paraId="34B8C2FB" w14:textId="77777777" w:rsidR="00411618" w:rsidRDefault="00FA28E4">
      <w:pPr>
        <w:spacing w:after="60"/>
        <w:jc w:val="center"/>
      </w:pPr>
      <w:r>
        <w:rPr>
          <w:b/>
          <w:bCs/>
          <w:color w:val="1E2761"/>
          <w:sz w:val="18"/>
          <w:szCs w:val="18"/>
        </w:rPr>
        <w:lastRenderedPageBreak/>
        <w:t>Slide 9 — Building a security-aware workforce</w:t>
      </w:r>
    </w:p>
    <w:p w14:paraId="2F1CF452" w14:textId="77777777" w:rsidR="00411618" w:rsidRDefault="00FA28E4">
      <w:pPr>
        <w:spacing w:after="300"/>
        <w:jc w:val="center"/>
      </w:pPr>
      <w:r>
        <w:rPr>
          <w:noProof/>
        </w:rPr>
        <w:drawing>
          <wp:inline distT="0" distB="0" distL="0" distR="0" wp14:anchorId="52E6FCC9" wp14:editId="027C7CC5">
            <wp:extent cx="5486400" cy="308831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486400" cy="3088312"/>
                    </a:xfrm>
                    <a:prstGeom prst="rect">
                      <a:avLst/>
                    </a:prstGeom>
                  </pic:spPr>
                </pic:pic>
              </a:graphicData>
            </a:graphic>
          </wp:inline>
        </w:drawing>
      </w:r>
    </w:p>
    <w:p w14:paraId="04D5BF2A" w14:textId="77777777" w:rsidR="00411618" w:rsidRDefault="00FA28E4">
      <w:pPr>
        <w:spacing w:before="500" w:after="60"/>
        <w:jc w:val="center"/>
      </w:pPr>
      <w:r>
        <w:rPr>
          <w:b/>
          <w:bCs/>
          <w:color w:val="1E2761"/>
          <w:sz w:val="18"/>
          <w:szCs w:val="18"/>
        </w:rPr>
        <w:t>Slide 10 — Recommended rollout</w:t>
      </w:r>
    </w:p>
    <w:p w14:paraId="17136BC7" w14:textId="77777777" w:rsidR="00411618" w:rsidRDefault="00FA28E4">
      <w:pPr>
        <w:spacing w:after="80"/>
        <w:jc w:val="center"/>
      </w:pPr>
      <w:r>
        <w:rPr>
          <w:noProof/>
        </w:rPr>
        <w:drawing>
          <wp:inline distT="0" distB="0" distL="0" distR="0" wp14:anchorId="7CCB4B8F" wp14:editId="1E1E9D6C">
            <wp:extent cx="5486400" cy="308831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486400" cy="3088312"/>
                    </a:xfrm>
                    <a:prstGeom prst="rect">
                      <a:avLst/>
                    </a:prstGeom>
                  </pic:spPr>
                </pic:pic>
              </a:graphicData>
            </a:graphic>
          </wp:inline>
        </w:drawing>
      </w:r>
    </w:p>
    <w:p w14:paraId="5F1A69A3" w14:textId="77777777" w:rsidR="00411618" w:rsidRDefault="00FA28E4">
      <w:r>
        <w:br w:type="page"/>
      </w:r>
    </w:p>
    <w:p w14:paraId="135382D6" w14:textId="77777777" w:rsidR="00411618" w:rsidRDefault="00FA28E4">
      <w:pPr>
        <w:spacing w:after="60"/>
        <w:jc w:val="center"/>
      </w:pPr>
      <w:r>
        <w:rPr>
          <w:b/>
          <w:bCs/>
          <w:color w:val="1E2761"/>
          <w:sz w:val="18"/>
          <w:szCs w:val="18"/>
        </w:rPr>
        <w:lastRenderedPageBreak/>
        <w:t>Slide 11 — What we're asking of the Board</w:t>
      </w:r>
    </w:p>
    <w:p w14:paraId="05CEFF72" w14:textId="77777777" w:rsidR="00411618" w:rsidRDefault="00FA28E4">
      <w:pPr>
        <w:spacing w:after="300"/>
        <w:jc w:val="center"/>
      </w:pPr>
      <w:r>
        <w:rPr>
          <w:noProof/>
        </w:rPr>
        <w:drawing>
          <wp:inline distT="0" distB="0" distL="0" distR="0" wp14:anchorId="1789F501" wp14:editId="2288E6C1">
            <wp:extent cx="5486400" cy="30883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486400" cy="3088312"/>
                    </a:xfrm>
                    <a:prstGeom prst="rect">
                      <a:avLst/>
                    </a:prstGeom>
                  </pic:spPr>
                </pic:pic>
              </a:graphicData>
            </a:graphic>
          </wp:inline>
        </w:drawing>
      </w:r>
    </w:p>
    <w:p w14:paraId="712A78A0" w14:textId="77777777" w:rsidR="00411618" w:rsidRDefault="00FA28E4">
      <w:pPr>
        <w:spacing w:before="500" w:after="60"/>
        <w:jc w:val="center"/>
      </w:pPr>
      <w:r>
        <w:rPr>
          <w:b/>
          <w:bCs/>
          <w:color w:val="1E2761"/>
          <w:sz w:val="18"/>
          <w:szCs w:val="18"/>
        </w:rPr>
        <w:t>Slide 12 — Thank you</w:t>
      </w:r>
    </w:p>
    <w:p w14:paraId="05628585" w14:textId="77777777" w:rsidR="00411618" w:rsidRDefault="00FA28E4">
      <w:pPr>
        <w:spacing w:after="80"/>
        <w:jc w:val="center"/>
      </w:pPr>
      <w:r>
        <w:rPr>
          <w:noProof/>
        </w:rPr>
        <w:drawing>
          <wp:inline distT="0" distB="0" distL="0" distR="0" wp14:anchorId="79094736" wp14:editId="73FDDF4C">
            <wp:extent cx="5486400" cy="308831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486400" cy="3088312"/>
                    </a:xfrm>
                    <a:prstGeom prst="rect">
                      <a:avLst/>
                    </a:prstGeom>
                  </pic:spPr>
                </pic:pic>
              </a:graphicData>
            </a:graphic>
          </wp:inline>
        </w:drawing>
      </w:r>
    </w:p>
    <w:sectPr w:rsidR="00411618">
      <w:headerReference w:type="default" r:id="rId27"/>
      <w:footerReference w:type="default" r:id="rId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F3541" w14:textId="77777777" w:rsidR="00FD13B1" w:rsidRDefault="00FD13B1">
      <w:r>
        <w:separator/>
      </w:r>
    </w:p>
  </w:endnote>
  <w:endnote w:type="continuationSeparator" w:id="0">
    <w:p w14:paraId="3E30A7BB" w14:textId="77777777" w:rsidR="00FD13B1" w:rsidRDefault="00FD1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0C30DD" w14:textId="77777777" w:rsidR="00411618" w:rsidRDefault="00FA28E4">
    <w:pPr>
      <w:jc w:val="center"/>
    </w:pPr>
    <w:r>
      <w:rPr>
        <w:color w:val="777777"/>
        <w:sz w:val="18"/>
        <w:szCs w:val="18"/>
      </w:rPr>
      <w:t xml:space="preserve">Page </w:t>
    </w:r>
    <w:r>
      <w:rPr>
        <w:color w:val="777777"/>
        <w:sz w:val="18"/>
        <w:szCs w:val="18"/>
      </w:rPr>
      <w:fldChar w:fldCharType="begin"/>
    </w:r>
    <w:r>
      <w:rPr>
        <w:color w:val="777777"/>
        <w:sz w:val="18"/>
        <w:szCs w:val="18"/>
      </w:rPr>
      <w:instrText>PAGE</w:instrText>
    </w:r>
    <w:r>
      <w:rPr>
        <w:color w:val="777777"/>
        <w:sz w:val="18"/>
        <w:szCs w:val="18"/>
      </w:rPr>
      <w:fldChar w:fldCharType="separate"/>
    </w:r>
    <w:r w:rsidR="006E0D7C">
      <w:rPr>
        <w:noProof/>
        <w:color w:val="777777"/>
        <w:sz w:val="18"/>
        <w:szCs w:val="18"/>
      </w:rPr>
      <w:t>1</w:t>
    </w:r>
    <w:r>
      <w:rPr>
        <w:color w:val="777777"/>
        <w:sz w:val="18"/>
        <w:szCs w:val="18"/>
      </w:rPr>
      <w:fldChar w:fldCharType="end"/>
    </w:r>
    <w:r>
      <w:rPr>
        <w:color w:val="777777"/>
        <w:sz w:val="18"/>
        <w:szCs w:val="18"/>
      </w:rPr>
      <w:t xml:space="preserve"> of </w:t>
    </w:r>
    <w:r>
      <w:rPr>
        <w:color w:val="777777"/>
        <w:sz w:val="18"/>
        <w:szCs w:val="18"/>
      </w:rPr>
      <w:fldChar w:fldCharType="begin"/>
    </w:r>
    <w:r>
      <w:rPr>
        <w:color w:val="777777"/>
        <w:sz w:val="18"/>
        <w:szCs w:val="18"/>
      </w:rPr>
      <w:instrText>NUMPAGES</w:instrText>
    </w:r>
    <w:r>
      <w:rPr>
        <w:color w:val="777777"/>
        <w:sz w:val="18"/>
        <w:szCs w:val="18"/>
      </w:rPr>
      <w:fldChar w:fldCharType="separate"/>
    </w:r>
    <w:r w:rsidR="006E0D7C">
      <w:rPr>
        <w:noProof/>
        <w:color w:val="777777"/>
        <w:sz w:val="18"/>
        <w:szCs w:val="18"/>
      </w:rPr>
      <w:t>16</w:t>
    </w:r>
    <w:r>
      <w:rPr>
        <w:color w:val="777777"/>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E10C3" w14:textId="77777777" w:rsidR="00FD13B1" w:rsidRDefault="00FD13B1">
      <w:r>
        <w:separator/>
      </w:r>
    </w:p>
  </w:footnote>
  <w:footnote w:type="continuationSeparator" w:id="0">
    <w:p w14:paraId="3BD2D44C" w14:textId="77777777" w:rsidR="00FD13B1" w:rsidRDefault="00FD13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6A48E" w14:textId="6ED86C54" w:rsidR="00411618" w:rsidRDefault="0041161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B610AF"/>
    <w:multiLevelType w:val="hybridMultilevel"/>
    <w:tmpl w:val="6206F468"/>
    <w:lvl w:ilvl="0" w:tplc="E966B51A">
      <w:start w:val="1"/>
      <w:numFmt w:val="bullet"/>
      <w:lvlText w:val="●"/>
      <w:lvlJc w:val="left"/>
      <w:pPr>
        <w:ind w:left="720" w:hanging="360"/>
      </w:pPr>
    </w:lvl>
    <w:lvl w:ilvl="1" w:tplc="4D6C7F8A">
      <w:start w:val="1"/>
      <w:numFmt w:val="bullet"/>
      <w:lvlText w:val="○"/>
      <w:lvlJc w:val="left"/>
      <w:pPr>
        <w:ind w:left="1440" w:hanging="360"/>
      </w:pPr>
    </w:lvl>
    <w:lvl w:ilvl="2" w:tplc="4F0253FC">
      <w:start w:val="1"/>
      <w:numFmt w:val="bullet"/>
      <w:lvlText w:val="■"/>
      <w:lvlJc w:val="left"/>
      <w:pPr>
        <w:ind w:left="2160" w:hanging="360"/>
      </w:pPr>
    </w:lvl>
    <w:lvl w:ilvl="3" w:tplc="7DE4072E">
      <w:start w:val="1"/>
      <w:numFmt w:val="bullet"/>
      <w:lvlText w:val="●"/>
      <w:lvlJc w:val="left"/>
      <w:pPr>
        <w:ind w:left="2880" w:hanging="360"/>
      </w:pPr>
    </w:lvl>
    <w:lvl w:ilvl="4" w:tplc="B7860216">
      <w:start w:val="1"/>
      <w:numFmt w:val="bullet"/>
      <w:lvlText w:val="○"/>
      <w:lvlJc w:val="left"/>
      <w:pPr>
        <w:ind w:left="3600" w:hanging="360"/>
      </w:pPr>
    </w:lvl>
    <w:lvl w:ilvl="5" w:tplc="830AA790">
      <w:start w:val="1"/>
      <w:numFmt w:val="bullet"/>
      <w:lvlText w:val="■"/>
      <w:lvlJc w:val="left"/>
      <w:pPr>
        <w:ind w:left="4320" w:hanging="360"/>
      </w:pPr>
    </w:lvl>
    <w:lvl w:ilvl="6" w:tplc="C66E02EA">
      <w:start w:val="1"/>
      <w:numFmt w:val="bullet"/>
      <w:lvlText w:val="●"/>
      <w:lvlJc w:val="left"/>
      <w:pPr>
        <w:ind w:left="5040" w:hanging="360"/>
      </w:pPr>
    </w:lvl>
    <w:lvl w:ilvl="7" w:tplc="364089EE">
      <w:start w:val="1"/>
      <w:numFmt w:val="bullet"/>
      <w:lvlText w:val="●"/>
      <w:lvlJc w:val="left"/>
      <w:pPr>
        <w:ind w:left="5760" w:hanging="360"/>
      </w:pPr>
    </w:lvl>
    <w:lvl w:ilvl="8" w:tplc="0B948E60">
      <w:start w:val="1"/>
      <w:numFmt w:val="bullet"/>
      <w:lvlText w:val="●"/>
      <w:lvlJc w:val="left"/>
      <w:pPr>
        <w:ind w:left="6480" w:hanging="360"/>
      </w:pPr>
    </w:lvl>
  </w:abstractNum>
  <w:abstractNum w:abstractNumId="1" w15:restartNumberingAfterBreak="0">
    <w:nsid w:val="48605E53"/>
    <w:multiLevelType w:val="hybridMultilevel"/>
    <w:tmpl w:val="D5047C72"/>
    <w:lvl w:ilvl="0" w:tplc="820A3996">
      <w:start w:val="1"/>
      <w:numFmt w:val="bullet"/>
      <w:lvlText w:val="•"/>
      <w:lvlJc w:val="left"/>
      <w:pPr>
        <w:ind w:left="460" w:hanging="260"/>
      </w:pPr>
    </w:lvl>
    <w:lvl w:ilvl="1" w:tplc="BAAAA102">
      <w:numFmt w:val="decimal"/>
      <w:lvlText w:val=""/>
      <w:lvlJc w:val="left"/>
    </w:lvl>
    <w:lvl w:ilvl="2" w:tplc="7B4A4D92">
      <w:numFmt w:val="decimal"/>
      <w:lvlText w:val=""/>
      <w:lvlJc w:val="left"/>
    </w:lvl>
    <w:lvl w:ilvl="3" w:tplc="665425CA">
      <w:numFmt w:val="decimal"/>
      <w:lvlText w:val=""/>
      <w:lvlJc w:val="left"/>
    </w:lvl>
    <w:lvl w:ilvl="4" w:tplc="255EDE54">
      <w:numFmt w:val="decimal"/>
      <w:lvlText w:val=""/>
      <w:lvlJc w:val="left"/>
    </w:lvl>
    <w:lvl w:ilvl="5" w:tplc="F0F20C5A">
      <w:numFmt w:val="decimal"/>
      <w:lvlText w:val=""/>
      <w:lvlJc w:val="left"/>
    </w:lvl>
    <w:lvl w:ilvl="6" w:tplc="39829076">
      <w:numFmt w:val="decimal"/>
      <w:lvlText w:val=""/>
      <w:lvlJc w:val="left"/>
    </w:lvl>
    <w:lvl w:ilvl="7" w:tplc="8D14DE98">
      <w:numFmt w:val="decimal"/>
      <w:lvlText w:val=""/>
      <w:lvlJc w:val="left"/>
    </w:lvl>
    <w:lvl w:ilvl="8" w:tplc="1B3AF8BC">
      <w:numFmt w:val="decimal"/>
      <w:lvlText w:val=""/>
      <w:lvlJc w:val="left"/>
    </w:lvl>
  </w:abstractNum>
  <w:num w:numId="1" w16cid:durableId="41120446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618"/>
    <w:rsid w:val="002800F2"/>
    <w:rsid w:val="00411618"/>
    <w:rsid w:val="006E0D7C"/>
    <w:rsid w:val="007E6E20"/>
    <w:rsid w:val="008979D0"/>
    <w:rsid w:val="00AC2A9D"/>
    <w:rsid w:val="00FA28E4"/>
    <w:rsid w:val="00FD13B1"/>
    <w:rsid w:val="00FE4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A44FC"/>
  <w15:docId w15:val="{020BD321-D8A2-4BC0-B11F-5DFC7A977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360" w:after="180"/>
      <w:outlineLvl w:val="0"/>
    </w:pPr>
    <w:rPr>
      <w:b/>
      <w:bCs/>
      <w:color w:val="990011"/>
      <w:sz w:val="28"/>
      <w:szCs w:val="28"/>
    </w:rPr>
  </w:style>
  <w:style w:type="paragraph" w:styleId="Heading2">
    <w:name w:val="heading 2"/>
    <w:qFormat/>
    <w:pPr>
      <w:spacing w:before="260" w:after="140"/>
      <w:outlineLvl w:val="1"/>
    </w:pPr>
    <w:rPr>
      <w:b/>
      <w:bCs/>
      <w:color w:val="990011"/>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FE45D4"/>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lang w:val="en-GB" w:eastAsia="en-GB"/>
    </w:rPr>
  </w:style>
  <w:style w:type="paragraph" w:styleId="TOC1">
    <w:name w:val="toc 1"/>
    <w:basedOn w:val="Normal"/>
    <w:next w:val="Normal"/>
    <w:autoRedefine/>
    <w:uiPriority w:val="39"/>
    <w:unhideWhenUsed/>
    <w:rsid w:val="00FE45D4"/>
    <w:pPr>
      <w:spacing w:after="100"/>
    </w:pPr>
  </w:style>
  <w:style w:type="paragraph" w:styleId="Header">
    <w:name w:val="header"/>
    <w:basedOn w:val="Normal"/>
    <w:link w:val="HeaderChar"/>
    <w:uiPriority w:val="99"/>
    <w:unhideWhenUsed/>
    <w:rsid w:val="00FE45D4"/>
    <w:pPr>
      <w:tabs>
        <w:tab w:val="center" w:pos="4513"/>
        <w:tab w:val="right" w:pos="9026"/>
      </w:tabs>
    </w:pPr>
  </w:style>
  <w:style w:type="character" w:customStyle="1" w:styleId="HeaderChar">
    <w:name w:val="Header Char"/>
    <w:basedOn w:val="DefaultParagraphFont"/>
    <w:link w:val="Header"/>
    <w:uiPriority w:val="99"/>
    <w:rsid w:val="00FE45D4"/>
  </w:style>
  <w:style w:type="paragraph" w:styleId="Footer">
    <w:name w:val="footer"/>
    <w:basedOn w:val="Normal"/>
    <w:link w:val="FooterChar"/>
    <w:uiPriority w:val="99"/>
    <w:unhideWhenUsed/>
    <w:rsid w:val="00FE45D4"/>
    <w:pPr>
      <w:tabs>
        <w:tab w:val="center" w:pos="4513"/>
        <w:tab w:val="right" w:pos="9026"/>
      </w:tabs>
    </w:pPr>
  </w:style>
  <w:style w:type="character" w:customStyle="1" w:styleId="FooterChar">
    <w:name w:val="Footer Char"/>
    <w:basedOn w:val="DefaultParagraphFont"/>
    <w:link w:val="Footer"/>
    <w:uiPriority w:val="99"/>
    <w:rsid w:val="00FE4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so.org/standard/27001" TargetMode="External"/><Relationship Id="rId18" Type="http://schemas.openxmlformats.org/officeDocument/2006/relationships/image" Target="media/image6.jpg"/><Relationship Id="rId26" Type="http://schemas.openxmlformats.org/officeDocument/2006/relationships/image" Target="media/image14.jpg"/><Relationship Id="rId3" Type="http://schemas.openxmlformats.org/officeDocument/2006/relationships/styles" Target="styles.xml"/><Relationship Id="rId21" Type="http://schemas.openxmlformats.org/officeDocument/2006/relationships/image" Target="media/image9.jpg"/><Relationship Id="rId7" Type="http://schemas.openxmlformats.org/officeDocument/2006/relationships/endnotes" Target="endnotes.xml"/><Relationship Id="rId12" Type="http://schemas.openxmlformats.org/officeDocument/2006/relationships/hyperlink" Target="https://www.totalassure.com/blog/manufacturing-cyber-attack-statistics-2026-data-driven-insights-on-industrial-security-threats" TargetMode="External"/><Relationship Id="rId17" Type="http://schemas.openxmlformats.org/officeDocument/2006/relationships/image" Target="media/image5.jpg"/><Relationship Id="rId25" Type="http://schemas.openxmlformats.org/officeDocument/2006/relationships/image" Target="media/image13.jp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image" Target="media/image8.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lcyon.ai/blog/manufacturing-is-the-most-targeted-sector-in-ransomware" TargetMode="External"/><Relationship Id="rId24" Type="http://schemas.openxmlformats.org/officeDocument/2006/relationships/image" Target="media/image12.jpg"/><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image" Target="media/image11.jpg"/><Relationship Id="rId28" Type="http://schemas.openxmlformats.org/officeDocument/2006/relationships/footer" Target="footer1.xml"/><Relationship Id="rId10" Type="http://schemas.openxmlformats.org/officeDocument/2006/relationships/hyperlink" Target="https://industrialcyber.co/reports/global-ransomware-attacks-rose-32-in-2025-as-manufacturers-emerged-as-top-target/" TargetMode="External"/><Relationship Id="rId19" Type="http://schemas.openxmlformats.org/officeDocument/2006/relationships/image" Target="media/image7.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6028/NIST.CSWP.29" TargetMode="External"/><Relationship Id="rId22" Type="http://schemas.openxmlformats.org/officeDocument/2006/relationships/image" Target="media/image10.jp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C03D83-CCAD-4718-B4ED-8263F4E7F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Mohammad Mukitur Rahman Adnan (2517206)</cp:lastModifiedBy>
  <cp:revision>3</cp:revision>
  <dcterms:created xsi:type="dcterms:W3CDTF">2026-07-20T20:35:00Z</dcterms:created>
  <dcterms:modified xsi:type="dcterms:W3CDTF">2026-08-12T10:58:00Z</dcterms:modified>
</cp:coreProperties>
</file>