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334F62" w:rsidR="00986B43" w:rsidRPr="00DB5B93"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DB5B93">
              <w:rPr>
                <w:rFonts w:ascii="Times New Roman" w:hAnsi="Times New Roman" w:cs="Times New Roman"/>
                <w:b/>
                <w:color w:val="auto"/>
                <w:sz w:val="40"/>
                <w:szCs w:val="40"/>
              </w:rPr>
              <w:t>Learner’s name:</w:t>
            </w:r>
            <w:r w:rsidR="00247265" w:rsidRPr="00DB5B93">
              <w:rPr>
                <w:rFonts w:ascii="Times New Roman" w:hAnsi="Times New Roman" w:cs="Times New Roman"/>
                <w:b/>
                <w:color w:val="auto"/>
                <w:sz w:val="40"/>
                <w:szCs w:val="40"/>
              </w:rPr>
              <w:t xml:space="preserve"> </w:t>
            </w:r>
            <w:r w:rsidR="00DB5B93" w:rsidRPr="00DB5B93">
              <w:rPr>
                <w:rFonts w:ascii="Times New Roman" w:hAnsi="Times New Roman" w:cs="Times New Roman"/>
                <w:b/>
                <w:color w:val="auto"/>
                <w:sz w:val="40"/>
                <w:szCs w:val="40"/>
              </w:rPr>
              <w:t xml:space="preserve"> Emily Griffiths</w:t>
            </w:r>
          </w:p>
          <w:p w14:paraId="0B6CD0DB" w14:textId="689515B5" w:rsidR="009C337F" w:rsidRPr="00DB5B93"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69734186" w14:textId="16220468" w:rsidR="0066664A" w:rsidRPr="00DB5B93"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DB5B93">
              <w:rPr>
                <w:rFonts w:ascii="Times New Roman" w:hAnsi="Times New Roman" w:cs="Times New Roman"/>
                <w:b/>
                <w:color w:val="auto"/>
                <w:sz w:val="40"/>
                <w:szCs w:val="40"/>
              </w:rPr>
              <w:t>Email address:</w:t>
            </w:r>
            <w:r w:rsidR="0066664A" w:rsidRPr="00DB5B93">
              <w:rPr>
                <w:rFonts w:ascii="Times New Roman" w:hAnsi="Times New Roman" w:cs="Times New Roman"/>
                <w:b/>
                <w:color w:val="auto"/>
                <w:sz w:val="40"/>
                <w:szCs w:val="40"/>
              </w:rPr>
              <w:t xml:space="preserve"> </w:t>
            </w:r>
            <w:r w:rsidR="00DB5B93" w:rsidRPr="00DB5B93">
              <w:rPr>
                <w:rFonts w:ascii="Times New Roman" w:hAnsi="Times New Roman" w:cs="Times New Roman"/>
                <w:b/>
                <w:color w:val="auto"/>
                <w:sz w:val="40"/>
                <w:szCs w:val="40"/>
              </w:rPr>
              <w:t>EmGriffiths@carmarthenshire.gov.uk</w:t>
            </w:r>
          </w:p>
          <w:p w14:paraId="22E38809" w14:textId="77777777" w:rsidR="00986B43" w:rsidRPr="00DB5B93"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491410F0" w:rsidR="00F927A1" w:rsidRPr="00DB5B93"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DB5B93">
              <w:rPr>
                <w:rFonts w:ascii="Times New Roman" w:hAnsi="Times New Roman" w:cs="Times New Roman"/>
                <w:b/>
                <w:color w:val="auto"/>
                <w:sz w:val="40"/>
                <w:szCs w:val="40"/>
              </w:rPr>
              <w:t>Learner’s University Registration</w:t>
            </w:r>
            <w:r w:rsidR="00F927A1" w:rsidRPr="00DB5B93">
              <w:rPr>
                <w:rFonts w:ascii="Times New Roman" w:hAnsi="Times New Roman" w:cs="Times New Roman"/>
                <w:b/>
                <w:color w:val="auto"/>
                <w:sz w:val="40"/>
                <w:szCs w:val="40"/>
              </w:rPr>
              <w:t xml:space="preserve"> Number:</w:t>
            </w:r>
            <w:r w:rsidR="00322FFB">
              <w:rPr>
                <w:rFonts w:ascii="Times New Roman" w:hAnsi="Times New Roman" w:cs="Times New Roman"/>
                <w:b/>
                <w:color w:val="auto"/>
                <w:sz w:val="40"/>
                <w:szCs w:val="40"/>
              </w:rPr>
              <w:t xml:space="preserve"> </w:t>
            </w:r>
            <w:r w:rsidR="009D6775" w:rsidRPr="009D6775">
              <w:rPr>
                <w:b/>
                <w:bCs/>
                <w:sz w:val="40"/>
                <w:szCs w:val="40"/>
              </w:rPr>
              <w:t>0550942</w:t>
            </w:r>
          </w:p>
          <w:p w14:paraId="622FD17A" w14:textId="77777777" w:rsidR="0085230E" w:rsidRPr="00DB5B93"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B5B93">
              <w:rPr>
                <w:rFonts w:ascii="Times New Roman" w:hAnsi="Times New Roman" w:cs="Times New Roman"/>
                <w:b/>
                <w:color w:val="auto"/>
                <w:sz w:val="40"/>
                <w:szCs w:val="40"/>
              </w:rPr>
              <w:t>Cohort: 1</w:t>
            </w:r>
            <w:r w:rsidR="000F1A97" w:rsidRPr="00DB5B93">
              <w:rPr>
                <w:rFonts w:ascii="Times New Roman" w:hAnsi="Times New Roman" w:cs="Times New Roman"/>
                <w:b/>
                <w:color w:val="auto"/>
                <w:sz w:val="40"/>
                <w:szCs w:val="40"/>
              </w:rPr>
              <w:t>8</w:t>
            </w:r>
            <w:r w:rsidR="00AE6231" w:rsidRPr="00DB5B93">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20A5906F" w14:textId="78F7A502" w:rsidR="008D5999" w:rsidRDefault="000A584A" w:rsidP="00064063">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512FF4FC" w14:textId="77777777" w:rsidR="0067165A" w:rsidRDefault="0067165A"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34BA9B59" w14:textId="77777777" w:rsidR="00422BAE" w:rsidRDefault="00422BAE" w:rsidP="00422BAE">
            <w:pPr>
              <w:jc w:val="both"/>
              <w:rPr>
                <w:color w:val="auto"/>
                <w:sz w:val="24"/>
                <w:szCs w:val="24"/>
              </w:rPr>
            </w:pPr>
            <w:r w:rsidRPr="00CF45B5">
              <w:rPr>
                <w:color w:val="auto"/>
                <w:sz w:val="24"/>
                <w:szCs w:val="24"/>
              </w:rPr>
              <w:t xml:space="preserve">This critical account of Client 2's case, looks into the complexities of safeguarding within the frameworks of legislation, policy, and social work theory. It highlights the vulnerabilities of Client 2 due to his cognitive decline and fluctuating mental capacity, which made him susceptible to grooming, coercive control, and financial exploitation. The involvement of multiple professionals, including the police, nurses, </w:t>
            </w:r>
            <w:r>
              <w:rPr>
                <w:sz w:val="24"/>
                <w:szCs w:val="24"/>
              </w:rPr>
              <w:t>General Practitioner (GP)</w:t>
            </w:r>
            <w:r w:rsidRPr="00CF45B5">
              <w:rPr>
                <w:color w:val="auto"/>
                <w:sz w:val="24"/>
                <w:szCs w:val="24"/>
              </w:rPr>
              <w:t>, social worker, and care home manager, highlight the complexities of safeguarding vulnerable individuals in a rural setting from exploitation and harm.</w:t>
            </w:r>
          </w:p>
          <w:p w14:paraId="75E67162" w14:textId="77777777" w:rsidR="00422BAE" w:rsidRPr="00CF45B5" w:rsidRDefault="00422BAE" w:rsidP="00422BAE">
            <w:pPr>
              <w:jc w:val="both"/>
              <w:rPr>
                <w:color w:val="auto"/>
                <w:sz w:val="24"/>
                <w:szCs w:val="24"/>
              </w:rPr>
            </w:pPr>
          </w:p>
          <w:p w14:paraId="2498A474" w14:textId="77777777" w:rsidR="00422BAE" w:rsidRDefault="00422BAE" w:rsidP="00422BAE">
            <w:pPr>
              <w:jc w:val="both"/>
              <w:rPr>
                <w:sz w:val="24"/>
                <w:szCs w:val="24"/>
              </w:rPr>
            </w:pPr>
            <w:r w:rsidRPr="00BF423C">
              <w:rPr>
                <w:color w:val="auto"/>
                <w:sz w:val="24"/>
                <w:szCs w:val="24"/>
              </w:rPr>
              <w:t xml:space="preserve">Client 2, a vulnerable adult facing significant challenges following his wife's passing, experienced a marked decline in his self-care and home management abilities. This situation was exacerbated by his strong sense of independence, leading him to initially decline any care and support. However, as his condition worsened—evidenced by recurring falls, dehydration, and increasing confusion—intervention became necessary. The case highlights the importance of the role of the Mental Capacity Act </w:t>
            </w:r>
            <w:r>
              <w:rPr>
                <w:sz w:val="24"/>
                <w:szCs w:val="24"/>
              </w:rPr>
              <w:t xml:space="preserve">2005 </w:t>
            </w:r>
            <w:r w:rsidRPr="00BF423C">
              <w:rPr>
                <w:color w:val="auto"/>
                <w:sz w:val="24"/>
                <w:szCs w:val="24"/>
              </w:rPr>
              <w:t>(MCA</w:t>
            </w:r>
            <w:r>
              <w:rPr>
                <w:sz w:val="24"/>
                <w:szCs w:val="24"/>
              </w:rPr>
              <w:t>, 2005</w:t>
            </w:r>
            <w:r w:rsidRPr="00BF423C">
              <w:rPr>
                <w:color w:val="auto"/>
                <w:sz w:val="24"/>
                <w:szCs w:val="24"/>
              </w:rPr>
              <w:t>) and the Social Services and Well-being (Wales) Act 2014 (SSWB(W)A 2014), emphasising the presumption of capacity and the need for the least restrictive care options.</w:t>
            </w:r>
            <w:r>
              <w:rPr>
                <w:sz w:val="24"/>
                <w:szCs w:val="24"/>
              </w:rPr>
              <w:t xml:space="preserve"> </w:t>
            </w:r>
          </w:p>
          <w:p w14:paraId="0EE9C6B1" w14:textId="77777777" w:rsidR="00422BAE" w:rsidRDefault="00422BAE" w:rsidP="00422BAE">
            <w:pPr>
              <w:jc w:val="both"/>
              <w:rPr>
                <w:sz w:val="24"/>
                <w:szCs w:val="24"/>
              </w:rPr>
            </w:pPr>
          </w:p>
          <w:p w14:paraId="397831E4" w14:textId="77777777" w:rsidR="00422BAE" w:rsidRDefault="00422BAE" w:rsidP="00422BAE">
            <w:pPr>
              <w:jc w:val="both"/>
              <w:rPr>
                <w:color w:val="auto"/>
                <w:sz w:val="24"/>
                <w:szCs w:val="24"/>
              </w:rPr>
            </w:pPr>
            <w:r w:rsidRPr="00BF423C">
              <w:rPr>
                <w:color w:val="auto"/>
                <w:sz w:val="24"/>
                <w:szCs w:val="24"/>
              </w:rPr>
              <w:t xml:space="preserve">The multidisciplinary approach to safeguarding Client 2 not only demonstrates my ability to work collaboratively with professionals, but demonstrates the importance of collaboration among police, healthcare professionals, and social workers. This collective effort aimed to balance Client 2's rights with his protection needs, demonstrating the complexities of decision-making in cases of fluctuating mental capacity and financial exploitation. The involvement of </w:t>
            </w:r>
            <w:r w:rsidRPr="00BF423C">
              <w:rPr>
                <w:color w:val="auto"/>
                <w:sz w:val="24"/>
                <w:szCs w:val="24"/>
              </w:rPr>
              <w:lastRenderedPageBreak/>
              <w:t>professionals from various fields facilitated a comprehensive strategy that prioritised Client 2's safety and well-being while respecting his autonomy and cultural preferences.</w:t>
            </w:r>
          </w:p>
          <w:p w14:paraId="531EDD81" w14:textId="77777777" w:rsidR="00422BAE" w:rsidRPr="00BF423C" w:rsidRDefault="00422BAE" w:rsidP="00422BAE">
            <w:pPr>
              <w:jc w:val="both"/>
              <w:rPr>
                <w:color w:val="auto"/>
                <w:sz w:val="24"/>
                <w:szCs w:val="24"/>
              </w:rPr>
            </w:pPr>
          </w:p>
          <w:p w14:paraId="62248A5C" w14:textId="77777777" w:rsidR="00422BAE" w:rsidRDefault="00422BAE" w:rsidP="00422BAE">
            <w:pPr>
              <w:jc w:val="both"/>
              <w:rPr>
                <w:color w:val="auto"/>
                <w:sz w:val="24"/>
                <w:szCs w:val="24"/>
              </w:rPr>
            </w:pPr>
            <w:r w:rsidRPr="00BF423C">
              <w:rPr>
                <w:color w:val="auto"/>
                <w:sz w:val="24"/>
                <w:szCs w:val="24"/>
              </w:rPr>
              <w:t>Systems Theory and the Strengths-Based Approach</w:t>
            </w:r>
            <w:r>
              <w:rPr>
                <w:sz w:val="24"/>
                <w:szCs w:val="24"/>
              </w:rPr>
              <w:t xml:space="preserve"> </w:t>
            </w:r>
            <w:r w:rsidRPr="00BF423C">
              <w:rPr>
                <w:color w:val="auto"/>
                <w:sz w:val="24"/>
                <w:szCs w:val="24"/>
              </w:rPr>
              <w:t>provided the theoretical foundation for understanding Client 2's situation, focusing on his interactions with an exploitative network posing as friends. These theories helped assess the incongruence between Client 2's capacities and his environment, guiding interventions to enhance his safety and quality of life.</w:t>
            </w:r>
          </w:p>
          <w:p w14:paraId="2EDCC5DD" w14:textId="77777777" w:rsidR="00422BAE" w:rsidRPr="00BF423C" w:rsidRDefault="00422BAE" w:rsidP="00422BAE">
            <w:pPr>
              <w:jc w:val="both"/>
              <w:rPr>
                <w:color w:val="auto"/>
                <w:sz w:val="24"/>
                <w:szCs w:val="24"/>
              </w:rPr>
            </w:pPr>
          </w:p>
          <w:p w14:paraId="669F6BFA" w14:textId="77777777" w:rsidR="00422BAE" w:rsidRDefault="00422BAE" w:rsidP="00422BAE">
            <w:pPr>
              <w:jc w:val="both"/>
              <w:rPr>
                <w:color w:val="auto"/>
                <w:sz w:val="24"/>
                <w:szCs w:val="24"/>
              </w:rPr>
            </w:pPr>
            <w:r w:rsidRPr="00BF423C">
              <w:rPr>
                <w:color w:val="auto"/>
                <w:sz w:val="24"/>
                <w:szCs w:val="24"/>
              </w:rPr>
              <w:t>This account considers working within the legislative and policy framework in Wales, the broader UK context, and the interface with EU and international perspectives on adult safeguarding. The application of Welsh policies and strategies, particularly the emphasis on person-centred approaches and rural cultural sensitivity, played a significant role in shaping the response to Client 2's needs.</w:t>
            </w:r>
          </w:p>
          <w:p w14:paraId="0CFE349C" w14:textId="77777777" w:rsidR="00422BAE" w:rsidRPr="00BF423C" w:rsidRDefault="00422BAE" w:rsidP="00422BAE">
            <w:pPr>
              <w:jc w:val="both"/>
              <w:rPr>
                <w:color w:val="auto"/>
                <w:sz w:val="24"/>
                <w:szCs w:val="24"/>
              </w:rPr>
            </w:pPr>
          </w:p>
          <w:p w14:paraId="0F34EF89" w14:textId="77777777" w:rsidR="00422BAE" w:rsidRPr="00BF423C" w:rsidRDefault="00422BAE" w:rsidP="00422BAE">
            <w:pPr>
              <w:jc w:val="both"/>
              <w:rPr>
                <w:color w:val="auto"/>
                <w:sz w:val="24"/>
                <w:szCs w:val="24"/>
              </w:rPr>
            </w:pPr>
            <w:r w:rsidRPr="00BF423C">
              <w:rPr>
                <w:color w:val="auto"/>
                <w:sz w:val="24"/>
                <w:szCs w:val="24"/>
              </w:rPr>
              <w:t>This account also considers communication skills in managing complex safeguarding concerns and in doing so highlight</w:t>
            </w:r>
            <w:r>
              <w:rPr>
                <w:sz w:val="24"/>
                <w:szCs w:val="24"/>
              </w:rPr>
              <w:t>s</w:t>
            </w:r>
            <w:r w:rsidRPr="00BF423C">
              <w:rPr>
                <w:color w:val="auto"/>
                <w:sz w:val="24"/>
                <w:szCs w:val="24"/>
              </w:rPr>
              <w:t xml:space="preserve"> the importance of developing good working relationships with multiple agencies to ensure a coordinated and effective response. This reflective account aims to provide insights into the dynamic and adaptive nature of social work practice and reflects on lessons learned and the ongoing need for professional development with regards to safeguarding adults.</w:t>
            </w:r>
          </w:p>
          <w:p w14:paraId="7CD60A58" w14:textId="77777777" w:rsidR="00422BAE" w:rsidRDefault="00422BAE" w:rsidP="00422BAE">
            <w:pPr>
              <w:jc w:val="both"/>
              <w:rPr>
                <w:color w:val="auto"/>
                <w:sz w:val="24"/>
                <w:szCs w:val="24"/>
              </w:rPr>
            </w:pPr>
            <w:r w:rsidRPr="00BF423C">
              <w:rPr>
                <w:color w:val="auto"/>
                <w:sz w:val="24"/>
                <w:szCs w:val="24"/>
              </w:rPr>
              <w:t xml:space="preserve">Following the passing of his wife, Client 2 experienced a notable decline in his ability to care for himself and his home, which was compounded by recurring falls, dehydration and malnutrition leading to constipation, increased confusion, and subsequent hospital admissions. This situation drew the attention of both the hospital and his stepson, who resides overseas. They raised concerns regarding the deteriorating condition of his property and his declining health and cognitive function. Despite previously declining any support due to his fierce sense of independence, Client 2's confused presentation required a mental capacity assessment at the hospital to determine his ability to make decisions regarding his care and residence. The assessment's findings were inconclusive, possibly reflecting his fluctuating mental capacity.  This then required my further analysis to feed into my assessment and utilised my professional judgment.  Client 2 made the choice to return home without care, </w:t>
            </w:r>
            <w:r w:rsidRPr="00BF423C">
              <w:rPr>
                <w:sz w:val="24"/>
                <w:szCs w:val="24"/>
              </w:rPr>
              <w:t>in</w:t>
            </w:r>
            <w:r w:rsidRPr="00BF423C">
              <w:rPr>
                <w:color w:val="auto"/>
                <w:sz w:val="24"/>
                <w:szCs w:val="24"/>
              </w:rPr>
              <w:t xml:space="preserve"> response, I employed my communication skills to build rapport with Client 2, whereby I successfully convinced him to accept a short-term reablement care package. He agreed, </w:t>
            </w:r>
            <w:r>
              <w:rPr>
                <w:sz w:val="24"/>
                <w:szCs w:val="24"/>
              </w:rPr>
              <w:t xml:space="preserve">with the </w:t>
            </w:r>
            <w:r w:rsidRPr="00BF423C">
              <w:rPr>
                <w:color w:val="auto"/>
                <w:sz w:val="24"/>
                <w:szCs w:val="24"/>
              </w:rPr>
              <w:t>understanding</w:t>
            </w:r>
            <w:r>
              <w:rPr>
                <w:sz w:val="24"/>
                <w:szCs w:val="24"/>
              </w:rPr>
              <w:t xml:space="preserve">, </w:t>
            </w:r>
            <w:r w:rsidRPr="00BF423C">
              <w:rPr>
                <w:color w:val="auto"/>
                <w:sz w:val="24"/>
                <w:szCs w:val="24"/>
              </w:rPr>
              <w:t xml:space="preserve">the service was temporary and </w:t>
            </w:r>
            <w:r>
              <w:rPr>
                <w:sz w:val="24"/>
                <w:szCs w:val="24"/>
              </w:rPr>
              <w:t xml:space="preserve">would accrue no </w:t>
            </w:r>
            <w:r w:rsidRPr="00BF423C">
              <w:rPr>
                <w:color w:val="auto"/>
                <w:sz w:val="24"/>
                <w:szCs w:val="24"/>
              </w:rPr>
              <w:t>cost to him</w:t>
            </w:r>
            <w:r>
              <w:rPr>
                <w:sz w:val="24"/>
                <w:szCs w:val="24"/>
              </w:rPr>
              <w:t xml:space="preserve"> (</w:t>
            </w:r>
            <w:r w:rsidRPr="00BF423C">
              <w:rPr>
                <w:color w:val="auto"/>
                <w:sz w:val="24"/>
                <w:szCs w:val="24"/>
              </w:rPr>
              <w:t>he was averse to incurring expenses</w:t>
            </w:r>
            <w:r>
              <w:rPr>
                <w:sz w:val="24"/>
                <w:szCs w:val="24"/>
              </w:rPr>
              <w:t>)</w:t>
            </w:r>
            <w:r w:rsidRPr="00BF423C">
              <w:rPr>
                <w:color w:val="auto"/>
                <w:sz w:val="24"/>
                <w:szCs w:val="24"/>
              </w:rPr>
              <w:t xml:space="preserve">. </w:t>
            </w:r>
            <w:r>
              <w:rPr>
                <w:sz w:val="24"/>
                <w:szCs w:val="24"/>
              </w:rPr>
              <w:t xml:space="preserve">Client 2 </w:t>
            </w:r>
            <w:r w:rsidRPr="00BF423C">
              <w:rPr>
                <w:color w:val="auto"/>
                <w:sz w:val="24"/>
                <w:szCs w:val="24"/>
              </w:rPr>
              <w:t xml:space="preserve">was persuaded by the prospect of regaining his independence and returning home, recognising the need for support to overcome </w:t>
            </w:r>
            <w:r>
              <w:rPr>
                <w:sz w:val="24"/>
                <w:szCs w:val="24"/>
              </w:rPr>
              <w:t>his</w:t>
            </w:r>
            <w:r w:rsidRPr="00BF423C">
              <w:rPr>
                <w:color w:val="auto"/>
                <w:sz w:val="24"/>
                <w:szCs w:val="24"/>
              </w:rPr>
              <w:t xml:space="preserve"> deconditioning experienced during his hospital stay.</w:t>
            </w:r>
          </w:p>
          <w:p w14:paraId="3A57DF49" w14:textId="77777777" w:rsidR="00422BAE" w:rsidRPr="00BF423C" w:rsidRDefault="00422BAE" w:rsidP="00422BAE">
            <w:pPr>
              <w:jc w:val="both"/>
              <w:rPr>
                <w:color w:val="auto"/>
                <w:sz w:val="24"/>
                <w:szCs w:val="24"/>
              </w:rPr>
            </w:pPr>
          </w:p>
          <w:p w14:paraId="581DBD2C" w14:textId="660BB49F" w:rsidR="00422BAE" w:rsidRDefault="00422BAE" w:rsidP="00422BAE">
            <w:pPr>
              <w:jc w:val="both"/>
              <w:rPr>
                <w:color w:val="auto"/>
                <w:sz w:val="24"/>
                <w:szCs w:val="24"/>
                <w:shd w:val="clear" w:color="auto" w:fill="FFFFFF"/>
              </w:rPr>
            </w:pPr>
            <w:r w:rsidRPr="00BF423C">
              <w:rPr>
                <w:color w:val="auto"/>
                <w:sz w:val="24"/>
                <w:szCs w:val="24"/>
              </w:rPr>
              <w:t>Client 2's home environment had severely deteriorated, posing significant risks due to issues</w:t>
            </w:r>
            <w:r>
              <w:rPr>
                <w:sz w:val="24"/>
                <w:szCs w:val="24"/>
              </w:rPr>
              <w:t xml:space="preserve"> </w:t>
            </w:r>
            <w:r w:rsidRPr="00BF423C">
              <w:rPr>
                <w:color w:val="auto"/>
                <w:sz w:val="24"/>
                <w:szCs w:val="24"/>
              </w:rPr>
              <w:t xml:space="preserve">such as water leaks, faulty electrics, rat infestation, and inadequate sanitation. Over time, he had become increasingly reliant on two male acquaintances for support with his finances and home maintenance. However, further investigation revealed that one of these individuals had a history of fraud. It was later revealed that these 2 men were potentially exploiting Client 2 for financial gain and access to fuel, </w:t>
            </w:r>
            <w:r w:rsidRPr="00BF423C">
              <w:rPr>
                <w:sz w:val="24"/>
                <w:szCs w:val="24"/>
              </w:rPr>
              <w:t>land,</w:t>
            </w:r>
            <w:r w:rsidRPr="00BF423C">
              <w:rPr>
                <w:color w:val="auto"/>
                <w:sz w:val="24"/>
                <w:szCs w:val="24"/>
              </w:rPr>
              <w:t xml:space="preserve"> and property, it quickly became apparent that it was likely there was grooming/coercive control taking place (and financial exploitation), straining the relationship between Client 2, his stepson, and another trusted friend (isolating from </w:t>
            </w:r>
            <w:r w:rsidRPr="00BF423C">
              <w:rPr>
                <w:color w:val="auto"/>
                <w:sz w:val="24"/>
                <w:szCs w:val="24"/>
              </w:rPr>
              <w:lastRenderedPageBreak/>
              <w:t xml:space="preserve">trusted family members, leading to a system breakdown).  Resources were used from a regional (Local) safeguarding board website to increase awareness and understanding of clients 2’s vulnerabilities and situation ‘Coercion and control in financial </w:t>
            </w:r>
            <w:r w:rsidRPr="00BF423C">
              <w:rPr>
                <w:sz w:val="24"/>
                <w:szCs w:val="24"/>
              </w:rPr>
              <w:t>abuse,</w:t>
            </w:r>
            <w:r w:rsidRPr="00BF423C">
              <w:rPr>
                <w:color w:val="auto"/>
                <w:sz w:val="24"/>
                <w:szCs w:val="24"/>
              </w:rPr>
              <w:t xml:space="preserve"> learning from domestic abuse (Hawkswood, Carter and Brown, 2022).  In addition to the flow chart of referral and action pathway</w:t>
            </w:r>
            <w:r>
              <w:rPr>
                <w:sz w:val="24"/>
                <w:szCs w:val="24"/>
              </w:rPr>
              <w:t xml:space="preserve">, </w:t>
            </w:r>
            <w:r w:rsidRPr="00BF423C">
              <w:rPr>
                <w:color w:val="auto"/>
                <w:sz w:val="24"/>
                <w:szCs w:val="24"/>
              </w:rPr>
              <w:t xml:space="preserve">which gave a greater understanding of the safeguarding process.   For relevance here, </w:t>
            </w:r>
            <w:r w:rsidRPr="00BF423C">
              <w:rPr>
                <w:color w:val="auto"/>
                <w:sz w:val="24"/>
                <w:szCs w:val="24"/>
                <w:shd w:val="clear" w:color="auto" w:fill="FFFFFF"/>
              </w:rPr>
              <w:t xml:space="preserve">the regional procedures were created to meet the standards set out by </w:t>
            </w:r>
            <w:r w:rsidRPr="00BF423C">
              <w:rPr>
                <w:color w:val="auto"/>
                <w:sz w:val="24"/>
                <w:szCs w:val="24"/>
              </w:rPr>
              <w:t xml:space="preserve">(SSWB(W)A 2014), </w:t>
            </w:r>
            <w:r w:rsidRPr="00BF423C">
              <w:rPr>
                <w:color w:val="auto"/>
                <w:sz w:val="24"/>
                <w:szCs w:val="24"/>
                <w:shd w:val="clear" w:color="auto" w:fill="FFFFFF"/>
              </w:rPr>
              <w:t xml:space="preserve">and its aim is to ensure effective local arrangements to </w:t>
            </w:r>
            <w:r w:rsidR="00FE7B1E">
              <w:rPr>
                <w:color w:val="auto"/>
                <w:sz w:val="24"/>
                <w:szCs w:val="24"/>
                <w:shd w:val="clear" w:color="auto" w:fill="FFFFFF"/>
              </w:rPr>
              <w:t xml:space="preserve">ensure </w:t>
            </w:r>
            <w:r w:rsidRPr="00BF423C">
              <w:rPr>
                <w:color w:val="auto"/>
                <w:sz w:val="24"/>
                <w:szCs w:val="24"/>
                <w:shd w:val="clear" w:color="auto" w:fill="FFFFFF"/>
              </w:rPr>
              <w:t xml:space="preserve">the wellbeing </w:t>
            </w:r>
            <w:r w:rsidR="00343986">
              <w:rPr>
                <w:color w:val="auto"/>
                <w:sz w:val="24"/>
                <w:szCs w:val="24"/>
                <w:shd w:val="clear" w:color="auto" w:fill="FFFFFF"/>
              </w:rPr>
              <w:t xml:space="preserve">and protect </w:t>
            </w:r>
            <w:r w:rsidRPr="00BF423C">
              <w:rPr>
                <w:color w:val="auto"/>
                <w:sz w:val="24"/>
                <w:szCs w:val="24"/>
                <w:shd w:val="clear" w:color="auto" w:fill="FFFFFF"/>
              </w:rPr>
              <w:t>adults at risk (CYSUR, 2019).</w:t>
            </w:r>
          </w:p>
          <w:p w14:paraId="07EF3008" w14:textId="77777777" w:rsidR="00422BAE" w:rsidRPr="00BF423C" w:rsidRDefault="00422BAE" w:rsidP="00422BAE">
            <w:pPr>
              <w:jc w:val="both"/>
              <w:rPr>
                <w:color w:val="auto"/>
                <w:sz w:val="24"/>
                <w:szCs w:val="24"/>
              </w:rPr>
            </w:pPr>
          </w:p>
          <w:p w14:paraId="7E125DB9" w14:textId="77777777" w:rsidR="00422BAE" w:rsidRDefault="00422BAE" w:rsidP="00422BAE">
            <w:pPr>
              <w:jc w:val="both"/>
              <w:rPr>
                <w:color w:val="auto"/>
                <w:sz w:val="24"/>
                <w:szCs w:val="24"/>
              </w:rPr>
            </w:pPr>
            <w:r w:rsidRPr="00BF423C">
              <w:rPr>
                <w:color w:val="auto"/>
                <w:sz w:val="24"/>
                <w:szCs w:val="24"/>
              </w:rPr>
              <w:t>This exploitation involved the 2 acquaintances storing their belongings on Client 2's property without payment, under the pretence that they would support and assist Client 2. It was established that one of the 2 male acquaintances falsely claimed to be Client 2's long-lost son, further manipulating him into signing a power of attorney revocation document altering/his financial arrangements to their advantage.  In addition to this the perpetrators physically escorted client 2 to the bank to remove his overseas family as third party from his bank account, meaning that the family were no longer able to support him directly with his finances. Important to note here is that in fact, the so-called ‘friends’ neglected Client 2's basic needs, leaving him in a hazardous living condition, without adequate food, heating, and in amongst a rat infestation, meanwhile planning to benefit from his resources.</w:t>
            </w:r>
          </w:p>
          <w:p w14:paraId="21A2729A" w14:textId="77777777" w:rsidR="00422BAE" w:rsidRPr="00BF423C" w:rsidRDefault="00422BAE" w:rsidP="00422BAE">
            <w:pPr>
              <w:jc w:val="both"/>
              <w:rPr>
                <w:color w:val="auto"/>
                <w:sz w:val="24"/>
                <w:szCs w:val="24"/>
              </w:rPr>
            </w:pPr>
          </w:p>
          <w:p w14:paraId="7013431A" w14:textId="77777777" w:rsidR="00422BAE" w:rsidRPr="00BF423C" w:rsidRDefault="00422BAE" w:rsidP="00422BAE">
            <w:pPr>
              <w:jc w:val="both"/>
              <w:rPr>
                <w:color w:val="auto"/>
                <w:sz w:val="24"/>
                <w:szCs w:val="24"/>
              </w:rPr>
            </w:pPr>
            <w:r w:rsidRPr="00BF423C">
              <w:rPr>
                <w:color w:val="auto"/>
                <w:sz w:val="24"/>
                <w:szCs w:val="24"/>
              </w:rPr>
              <w:t xml:space="preserve">The </w:t>
            </w:r>
            <w:r>
              <w:rPr>
                <w:sz w:val="24"/>
                <w:szCs w:val="24"/>
              </w:rPr>
              <w:t>MCA 2005</w:t>
            </w:r>
            <w:r w:rsidRPr="00BF423C">
              <w:rPr>
                <w:color w:val="auto"/>
                <w:sz w:val="24"/>
                <w:szCs w:val="24"/>
              </w:rPr>
              <w:t xml:space="preserve"> and SSWB(W)A 2014 </w:t>
            </w:r>
            <w:r>
              <w:rPr>
                <w:sz w:val="24"/>
                <w:szCs w:val="24"/>
              </w:rPr>
              <w:t xml:space="preserve">were </w:t>
            </w:r>
            <w:r w:rsidRPr="00BF423C">
              <w:rPr>
                <w:color w:val="auto"/>
                <w:sz w:val="24"/>
                <w:szCs w:val="24"/>
              </w:rPr>
              <w:t>key in shaping the safeguarding and care approach for Client 2, and in emphasising the importance of assuming decision-making capacity unless evidence shows otherwise, and then need to advocate for the least restrictive options, specifically around finance, property, care, and residence (Department for Constitutional Affairs, 2007; Brown &amp; Barber, 2008; NHS, 2024).</w:t>
            </w:r>
          </w:p>
          <w:p w14:paraId="2E022F63" w14:textId="518E6EAF" w:rsidR="00422BAE" w:rsidRDefault="00422BAE" w:rsidP="00422BAE">
            <w:pPr>
              <w:jc w:val="both"/>
              <w:rPr>
                <w:color w:val="auto"/>
                <w:sz w:val="24"/>
                <w:szCs w:val="24"/>
              </w:rPr>
            </w:pPr>
            <w:r w:rsidRPr="00BF423C">
              <w:rPr>
                <w:color w:val="auto"/>
                <w:sz w:val="24"/>
                <w:szCs w:val="24"/>
              </w:rPr>
              <w:t xml:space="preserve">Further in terms of least restrictive principle, to consider client 2’s wishes and feelings prior to his fluctuating capacity (Department for Constitutional Affairs, 2007; NHS, 2024). Client 2 had previously expressed that he wanted to remain at home, but he reported to the professionals that his wishes had changed due to his dog passing away and having nobody. This was prior to the exploiters becoming heavily involved. The Department for Constitutional Affairs (2007) posits it is important to establish previous wishes and feelings when a person had capacity in preparation for times when he loses mental capacity due to a deterioration in his cognition. Moreover, the social work Codes of Professional Practice </w:t>
            </w:r>
            <w:r w:rsidR="00754F5C">
              <w:rPr>
                <w:color w:val="auto"/>
                <w:sz w:val="24"/>
                <w:szCs w:val="24"/>
              </w:rPr>
              <w:t xml:space="preserve">requires </w:t>
            </w:r>
            <w:r w:rsidRPr="00BF423C">
              <w:rPr>
                <w:color w:val="auto"/>
                <w:sz w:val="24"/>
                <w:szCs w:val="24"/>
              </w:rPr>
              <w:t xml:space="preserve">a person-centred approach, </w:t>
            </w:r>
            <w:r w:rsidR="00C54A22">
              <w:rPr>
                <w:color w:val="auto"/>
                <w:sz w:val="24"/>
                <w:szCs w:val="24"/>
              </w:rPr>
              <w:t xml:space="preserve">that </w:t>
            </w:r>
            <w:r w:rsidRPr="00BF423C">
              <w:rPr>
                <w:color w:val="auto"/>
                <w:sz w:val="24"/>
                <w:szCs w:val="24"/>
              </w:rPr>
              <w:t>integrat</w:t>
            </w:r>
            <w:r w:rsidR="00C54A22">
              <w:rPr>
                <w:color w:val="auto"/>
                <w:sz w:val="24"/>
                <w:szCs w:val="24"/>
              </w:rPr>
              <w:t xml:space="preserve">es </w:t>
            </w:r>
            <w:r w:rsidRPr="00BF423C">
              <w:rPr>
                <w:color w:val="auto"/>
                <w:sz w:val="24"/>
                <w:szCs w:val="24"/>
              </w:rPr>
              <w:t>culturally sensitive practices, including the provision of services in Welsh as part of the "Active Offer", ensuring that interventions are not only legally compliant but also respect the individual's cultural and linguistic preferences (Social Care Wales, 2017).</w:t>
            </w:r>
          </w:p>
          <w:p w14:paraId="24E0B505" w14:textId="77777777" w:rsidR="00422BAE" w:rsidRPr="00BF423C" w:rsidRDefault="00422BAE" w:rsidP="00422BAE">
            <w:pPr>
              <w:jc w:val="both"/>
              <w:rPr>
                <w:color w:val="auto"/>
                <w:sz w:val="24"/>
                <w:szCs w:val="24"/>
              </w:rPr>
            </w:pPr>
          </w:p>
          <w:p w14:paraId="5B8D424D" w14:textId="080DEF29" w:rsidR="00422BAE" w:rsidRPr="00BF423C" w:rsidRDefault="00422BAE" w:rsidP="00422BAE">
            <w:pPr>
              <w:jc w:val="both"/>
              <w:rPr>
                <w:color w:val="auto"/>
                <w:sz w:val="24"/>
                <w:szCs w:val="24"/>
              </w:rPr>
            </w:pPr>
            <w:r w:rsidRPr="00BF423C">
              <w:rPr>
                <w:color w:val="auto"/>
                <w:sz w:val="24"/>
                <w:szCs w:val="24"/>
              </w:rPr>
              <w:t xml:space="preserve">The </w:t>
            </w:r>
            <w:r w:rsidR="002A0C24">
              <w:rPr>
                <w:color w:val="auto"/>
                <w:sz w:val="24"/>
                <w:szCs w:val="24"/>
              </w:rPr>
              <w:t>M</w:t>
            </w:r>
            <w:r w:rsidRPr="00BF423C">
              <w:rPr>
                <w:color w:val="auto"/>
                <w:sz w:val="24"/>
                <w:szCs w:val="24"/>
              </w:rPr>
              <w:t xml:space="preserve">ental </w:t>
            </w:r>
            <w:r w:rsidR="002A0C24">
              <w:rPr>
                <w:color w:val="auto"/>
                <w:sz w:val="24"/>
                <w:szCs w:val="24"/>
              </w:rPr>
              <w:t>C</w:t>
            </w:r>
            <w:r w:rsidRPr="00BF423C">
              <w:rPr>
                <w:color w:val="auto"/>
                <w:sz w:val="24"/>
                <w:szCs w:val="24"/>
              </w:rPr>
              <w:t xml:space="preserve">apacity </w:t>
            </w:r>
            <w:r w:rsidR="002A0C24">
              <w:rPr>
                <w:color w:val="auto"/>
                <w:sz w:val="24"/>
                <w:szCs w:val="24"/>
              </w:rPr>
              <w:t>A</w:t>
            </w:r>
            <w:r w:rsidRPr="00BF423C">
              <w:rPr>
                <w:color w:val="auto"/>
                <w:sz w:val="24"/>
                <w:szCs w:val="24"/>
              </w:rPr>
              <w:t xml:space="preserve">ct (2005) code of practice principles are clear, individuals are to be presumed capable of making their own decisions unless proven otherwise, and efforts should be made to support individuals in decision-making before concluding a lack of capacity (The Department for Constitutional Affairs, 2007). This principle is critical in cases like Client 2's, where fluctuating mental capacity presents complex challenges. When an individual's ability to make decisions changes over time, a dynamic and flexible approach is required in assessment and support (Logan &amp; Johnstone, 2013; Department for Constitutional Affairs, 2007; NHS, 2024). Therefore, this required frequent visits/ongoing assessment and a tailored intervention strategy that could adapt to the changing needs and capabilities of client 2. </w:t>
            </w:r>
            <w:r w:rsidRPr="00BF423C">
              <w:rPr>
                <w:color w:val="auto"/>
                <w:sz w:val="24"/>
                <w:szCs w:val="24"/>
              </w:rPr>
              <w:lastRenderedPageBreak/>
              <w:t xml:space="preserve">Moreover, it was essential to distinguish between temporary cognitive impairments caused by factors, such as medication or acute medical conditions, or more permanent impairments. All of this required my analysis to feed into my assessment and utilised my professional judgment, as well as working collaboratively to ensure an integrated approach between health and social care. </w:t>
            </w:r>
          </w:p>
          <w:p w14:paraId="55357ABC" w14:textId="77777777" w:rsidR="00422BAE" w:rsidRDefault="00422BAE" w:rsidP="00422BAE">
            <w:pPr>
              <w:jc w:val="both"/>
              <w:rPr>
                <w:color w:val="auto"/>
                <w:sz w:val="24"/>
                <w:szCs w:val="24"/>
              </w:rPr>
            </w:pPr>
            <w:r w:rsidRPr="00BF423C">
              <w:rPr>
                <w:color w:val="auto"/>
                <w:sz w:val="24"/>
                <w:szCs w:val="24"/>
              </w:rPr>
              <w:t>The involvement of social services in Wales, within the broader context of UK and EU regulations, and considering international perspectives on adult safeguarding, provided a comprehensive framework for action</w:t>
            </w:r>
            <w:r>
              <w:rPr>
                <w:sz w:val="24"/>
                <w:szCs w:val="24"/>
              </w:rPr>
              <w:t xml:space="preserve"> (Welsh Government, 2011)</w:t>
            </w:r>
            <w:r w:rsidRPr="00BF423C">
              <w:rPr>
                <w:color w:val="auto"/>
                <w:sz w:val="24"/>
                <w:szCs w:val="24"/>
              </w:rPr>
              <w:t>. Welsh policies and strategies, with their emphasis on safeguarding the rights and welfare of adults at risk, guided the multidisciplinary team in planning interventions that were both protective and empowering for Client 2, addressing specific risks posed by financial exploitation and the manipulation by those presenting themselves as friends or even family</w:t>
            </w:r>
            <w:r>
              <w:rPr>
                <w:sz w:val="24"/>
                <w:szCs w:val="24"/>
              </w:rPr>
              <w:t xml:space="preserve"> (Welsh Government, 2022)</w:t>
            </w:r>
            <w:r w:rsidRPr="00BF423C">
              <w:rPr>
                <w:color w:val="auto"/>
                <w:sz w:val="24"/>
                <w:szCs w:val="24"/>
              </w:rPr>
              <w:t>.</w:t>
            </w:r>
          </w:p>
          <w:p w14:paraId="7FB25450" w14:textId="77777777" w:rsidR="00422BAE" w:rsidRPr="00BF423C" w:rsidRDefault="00422BAE" w:rsidP="00422BAE">
            <w:pPr>
              <w:jc w:val="both"/>
              <w:rPr>
                <w:color w:val="auto"/>
                <w:sz w:val="24"/>
                <w:szCs w:val="24"/>
              </w:rPr>
            </w:pPr>
          </w:p>
          <w:p w14:paraId="77596EFB" w14:textId="77777777" w:rsidR="00422BAE" w:rsidRDefault="00422BAE" w:rsidP="00422BAE">
            <w:pPr>
              <w:jc w:val="both"/>
              <w:rPr>
                <w:color w:val="auto"/>
                <w:sz w:val="24"/>
                <w:szCs w:val="24"/>
              </w:rPr>
            </w:pPr>
            <w:r w:rsidRPr="00BF423C">
              <w:rPr>
                <w:color w:val="auto"/>
                <w:sz w:val="24"/>
                <w:szCs w:val="24"/>
              </w:rPr>
              <w:t>To apply social work theory, Client 2's well-being was significantly compromised by a breakdown in family relationships, by isolating him from his loved ones, and exploitation by a network of so-called friends. These individuals, under the guise of support, neglected Client 2's needs whilst exploiting him financially and using his property to store what were alleged to be stolen vehicles. Furthermore, they manipulated him into signing documents that revoked his power of attorney concerning finances. One particularly deceitful individual convinced Client 2 that he was his long-lost son, further establishing a web of exploitation.</w:t>
            </w:r>
          </w:p>
          <w:p w14:paraId="3D037F02" w14:textId="77777777" w:rsidR="00422BAE" w:rsidRPr="00BF423C" w:rsidRDefault="00422BAE" w:rsidP="00422BAE">
            <w:pPr>
              <w:jc w:val="both"/>
              <w:rPr>
                <w:color w:val="auto"/>
                <w:sz w:val="24"/>
                <w:szCs w:val="24"/>
              </w:rPr>
            </w:pPr>
          </w:p>
          <w:p w14:paraId="4A2C31E3" w14:textId="77777777" w:rsidR="00422BAE" w:rsidRDefault="00422BAE" w:rsidP="00422BAE">
            <w:pPr>
              <w:jc w:val="both"/>
              <w:rPr>
                <w:color w:val="auto"/>
                <w:sz w:val="24"/>
                <w:szCs w:val="24"/>
              </w:rPr>
            </w:pPr>
            <w:r w:rsidRPr="00BF423C">
              <w:rPr>
                <w:color w:val="auto"/>
                <w:sz w:val="24"/>
                <w:szCs w:val="24"/>
              </w:rPr>
              <w:t>Moreover, Systems Theory, helped examine client 2 situation within his network of relationships and environmental context (Schirmer &amp; Dimitris, 2019; Payne; 2021). By employing this perspective, we gain insight into how Client 2's interactions with these exploitative individuals and his environment adversely affected his well-being. The Strengths-Based Approach further enriched our understanding, focusing on Client 2's remaining capacities and motivations to craft a more empowering and supportive intervention strategy. This approach recognises the importance of harnessing an individual's inherent strengths for their recovery and well-being (Schirmer &amp; Dimitris, 2019; Payne; 2021).</w:t>
            </w:r>
          </w:p>
          <w:p w14:paraId="1C82BA38" w14:textId="77777777" w:rsidR="00422BAE" w:rsidRPr="00BF423C" w:rsidRDefault="00422BAE" w:rsidP="00422BAE">
            <w:pPr>
              <w:jc w:val="both"/>
              <w:rPr>
                <w:color w:val="auto"/>
                <w:sz w:val="24"/>
                <w:szCs w:val="24"/>
              </w:rPr>
            </w:pPr>
          </w:p>
          <w:p w14:paraId="5E2EA745" w14:textId="77777777" w:rsidR="00422BAE" w:rsidRDefault="00422BAE" w:rsidP="00422BAE">
            <w:pPr>
              <w:jc w:val="both"/>
              <w:rPr>
                <w:color w:val="auto"/>
                <w:sz w:val="24"/>
                <w:szCs w:val="24"/>
              </w:rPr>
            </w:pPr>
            <w:r w:rsidRPr="00BF423C">
              <w:rPr>
                <w:color w:val="auto"/>
                <w:sz w:val="24"/>
                <w:szCs w:val="24"/>
              </w:rPr>
              <w:t>The manipulation and exploitation by the acquaintances demonstrated a power imbalance, however their aggressive reactions upon discovery indicating a loss of control. In contrast, empowerment and advocacy efforts led to Client 2 reclaiming his autonomy, illustrating the importance of power</w:t>
            </w:r>
            <w:r>
              <w:rPr>
                <w:sz w:val="24"/>
                <w:szCs w:val="24"/>
              </w:rPr>
              <w:t>-</w:t>
            </w:r>
            <w:r w:rsidRPr="00BF423C">
              <w:rPr>
                <w:color w:val="auto"/>
                <w:sz w:val="24"/>
                <w:szCs w:val="24"/>
              </w:rPr>
              <w:t>dynamics in safeguarding work practice (Bell &amp; Hafford-</w:t>
            </w:r>
            <w:proofErr w:type="spellStart"/>
            <w:r w:rsidRPr="00BF423C">
              <w:rPr>
                <w:color w:val="auto"/>
                <w:sz w:val="24"/>
                <w:szCs w:val="24"/>
              </w:rPr>
              <w:t>Letchfield</w:t>
            </w:r>
            <w:proofErr w:type="spellEnd"/>
            <w:r w:rsidRPr="00BF423C">
              <w:rPr>
                <w:color w:val="auto"/>
                <w:sz w:val="24"/>
                <w:szCs w:val="24"/>
              </w:rPr>
              <w:t>, 2015). This aligns with Empowerment Theory, advocating for the empowerment of vulnerable individuals through social work practice (Bell &amp; Hafford-</w:t>
            </w:r>
            <w:proofErr w:type="spellStart"/>
            <w:r w:rsidRPr="00BF423C">
              <w:rPr>
                <w:color w:val="auto"/>
                <w:sz w:val="24"/>
                <w:szCs w:val="24"/>
              </w:rPr>
              <w:t>Letchfield</w:t>
            </w:r>
            <w:proofErr w:type="spellEnd"/>
            <w:r w:rsidRPr="00BF423C">
              <w:rPr>
                <w:color w:val="auto"/>
                <w:sz w:val="24"/>
                <w:szCs w:val="24"/>
              </w:rPr>
              <w:t>, 2015; Payne, 2021).</w:t>
            </w:r>
          </w:p>
          <w:p w14:paraId="3ED3F35C" w14:textId="77777777" w:rsidR="00422BAE" w:rsidRPr="00BF423C" w:rsidRDefault="00422BAE" w:rsidP="00422BAE">
            <w:pPr>
              <w:jc w:val="both"/>
              <w:rPr>
                <w:color w:val="auto"/>
                <w:sz w:val="24"/>
                <w:szCs w:val="24"/>
              </w:rPr>
            </w:pPr>
          </w:p>
          <w:p w14:paraId="642BDC79" w14:textId="4A717439" w:rsidR="00422BAE" w:rsidRPr="001063E5" w:rsidRDefault="00422BAE" w:rsidP="00422BAE">
            <w:pPr>
              <w:jc w:val="both"/>
              <w:rPr>
                <w:i/>
                <w:iCs/>
                <w:color w:val="auto"/>
                <w:sz w:val="24"/>
                <w:szCs w:val="24"/>
              </w:rPr>
            </w:pPr>
            <w:r w:rsidRPr="00BF423C">
              <w:rPr>
                <w:color w:val="auto"/>
                <w:sz w:val="24"/>
                <w:szCs w:val="24"/>
              </w:rPr>
              <w:t>Additionally, the Person-Environment (P-E) Fit Theory played a critical role in assessing the incongruence between Client 2's capabilities and the demands of his environment</w:t>
            </w:r>
            <w:r>
              <w:rPr>
                <w:sz w:val="24"/>
                <w:szCs w:val="24"/>
              </w:rPr>
              <w:t xml:space="preserve"> (</w:t>
            </w:r>
            <w:r w:rsidRPr="00E7063F">
              <w:rPr>
                <w:sz w:val="24"/>
                <w:szCs w:val="24"/>
              </w:rPr>
              <w:t>Martin</w:t>
            </w:r>
            <w:r>
              <w:rPr>
                <w:sz w:val="24"/>
                <w:szCs w:val="24"/>
              </w:rPr>
              <w:t xml:space="preserve"> &amp; </w:t>
            </w:r>
            <w:r w:rsidRPr="00E7063F">
              <w:rPr>
                <w:sz w:val="24"/>
                <w:szCs w:val="24"/>
              </w:rPr>
              <w:t>Swartz-Kulstad,</w:t>
            </w:r>
            <w:r>
              <w:rPr>
                <w:sz w:val="24"/>
                <w:szCs w:val="24"/>
              </w:rPr>
              <w:t xml:space="preserve"> </w:t>
            </w:r>
            <w:r w:rsidRPr="00E7063F">
              <w:rPr>
                <w:sz w:val="24"/>
                <w:szCs w:val="24"/>
              </w:rPr>
              <w:t>2000</w:t>
            </w:r>
            <w:r>
              <w:rPr>
                <w:sz w:val="24"/>
                <w:szCs w:val="24"/>
              </w:rPr>
              <w:t xml:space="preserve">; </w:t>
            </w:r>
            <w:proofErr w:type="spellStart"/>
            <w:r w:rsidRPr="00E7063F">
              <w:rPr>
                <w:sz w:val="24"/>
                <w:szCs w:val="24"/>
              </w:rPr>
              <w:t>Rauthmann</w:t>
            </w:r>
            <w:proofErr w:type="spellEnd"/>
            <w:r w:rsidRPr="00E7063F">
              <w:rPr>
                <w:sz w:val="24"/>
                <w:szCs w:val="24"/>
              </w:rPr>
              <w:t>,</w:t>
            </w:r>
            <w:r>
              <w:rPr>
                <w:sz w:val="24"/>
                <w:szCs w:val="24"/>
              </w:rPr>
              <w:t xml:space="preserve"> </w:t>
            </w:r>
            <w:r w:rsidRPr="00E7063F">
              <w:rPr>
                <w:sz w:val="24"/>
                <w:szCs w:val="24"/>
              </w:rPr>
              <w:t>2021)</w:t>
            </w:r>
            <w:r w:rsidRPr="00BF423C">
              <w:rPr>
                <w:color w:val="auto"/>
                <w:sz w:val="24"/>
                <w:szCs w:val="24"/>
              </w:rPr>
              <w:t>. This misfit highlighted the need for interventions aimed at improving his safety and quality of life, ensuring that the environment better accommodated his needs and capacities</w:t>
            </w:r>
            <w:r>
              <w:rPr>
                <w:sz w:val="24"/>
                <w:szCs w:val="24"/>
              </w:rPr>
              <w:t xml:space="preserve"> (</w:t>
            </w:r>
            <w:r w:rsidRPr="00E7063F">
              <w:rPr>
                <w:sz w:val="24"/>
                <w:szCs w:val="24"/>
              </w:rPr>
              <w:t>Martin</w:t>
            </w:r>
            <w:r>
              <w:rPr>
                <w:sz w:val="24"/>
                <w:szCs w:val="24"/>
              </w:rPr>
              <w:t xml:space="preserve"> &amp; </w:t>
            </w:r>
            <w:r w:rsidRPr="00E7063F">
              <w:rPr>
                <w:sz w:val="24"/>
                <w:szCs w:val="24"/>
              </w:rPr>
              <w:t>Swartz-Kulstad,</w:t>
            </w:r>
            <w:r>
              <w:rPr>
                <w:sz w:val="24"/>
                <w:szCs w:val="24"/>
              </w:rPr>
              <w:t xml:space="preserve"> </w:t>
            </w:r>
            <w:r w:rsidRPr="00E7063F">
              <w:rPr>
                <w:sz w:val="24"/>
                <w:szCs w:val="24"/>
              </w:rPr>
              <w:t>2000</w:t>
            </w:r>
            <w:r>
              <w:rPr>
                <w:sz w:val="24"/>
                <w:szCs w:val="24"/>
              </w:rPr>
              <w:t xml:space="preserve">; </w:t>
            </w:r>
            <w:proofErr w:type="spellStart"/>
            <w:r w:rsidRPr="00E7063F">
              <w:rPr>
                <w:sz w:val="24"/>
                <w:szCs w:val="24"/>
              </w:rPr>
              <w:t>Rauthmann</w:t>
            </w:r>
            <w:proofErr w:type="spellEnd"/>
            <w:r w:rsidRPr="00E7063F">
              <w:rPr>
                <w:sz w:val="24"/>
                <w:szCs w:val="24"/>
              </w:rPr>
              <w:t>,</w:t>
            </w:r>
            <w:r>
              <w:rPr>
                <w:sz w:val="24"/>
                <w:szCs w:val="24"/>
              </w:rPr>
              <w:t xml:space="preserve"> </w:t>
            </w:r>
            <w:r w:rsidRPr="00E7063F">
              <w:rPr>
                <w:sz w:val="24"/>
                <w:szCs w:val="24"/>
              </w:rPr>
              <w:t>2021)</w:t>
            </w:r>
            <w:r w:rsidRPr="00BF423C">
              <w:rPr>
                <w:color w:val="auto"/>
                <w:sz w:val="24"/>
                <w:szCs w:val="24"/>
              </w:rPr>
              <w:t xml:space="preserve">. By integrating Systems Theory with the Strengths-Based and P-E Fit approaches, we developed a comprehensive understanding of Client 2's situation. This holistic view informed our efforts to prioritise his needs and preferences, ensuring a person-centred approach that emphasised his well-being and autonomy throughout the intervention process.  To be critical </w:t>
            </w:r>
            <w:r w:rsidRPr="00BF423C">
              <w:rPr>
                <w:color w:val="auto"/>
                <w:sz w:val="24"/>
                <w:szCs w:val="24"/>
              </w:rPr>
              <w:lastRenderedPageBreak/>
              <w:t xml:space="preserve">here, social work in North America emphasise </w:t>
            </w:r>
            <w:r w:rsidRPr="001063E5">
              <w:rPr>
                <w:color w:val="auto"/>
                <w:sz w:val="24"/>
                <w:szCs w:val="24"/>
              </w:rPr>
              <w:t>the need to respect an older person in their own right</w:t>
            </w:r>
            <w:r w:rsidRPr="009B54C1">
              <w:rPr>
                <w:i/>
                <w:iCs/>
                <w:color w:val="auto"/>
                <w:sz w:val="24"/>
                <w:szCs w:val="24"/>
              </w:rPr>
              <w:t xml:space="preserve"> and</w:t>
            </w:r>
            <w:r w:rsidR="001063E5">
              <w:rPr>
                <w:i/>
                <w:iCs/>
                <w:color w:val="auto"/>
                <w:sz w:val="24"/>
                <w:szCs w:val="24"/>
              </w:rPr>
              <w:t xml:space="preserve"> </w:t>
            </w:r>
            <w:r w:rsidR="001063E5">
              <w:rPr>
                <w:i/>
                <w:iCs/>
                <w:color w:val="auto"/>
                <w:sz w:val="24"/>
                <w:szCs w:val="24"/>
              </w:rPr>
              <w:tab/>
            </w:r>
            <w:r w:rsidRPr="009B54C1">
              <w:rPr>
                <w:i/>
                <w:iCs/>
                <w:color w:val="auto"/>
                <w:sz w:val="24"/>
                <w:szCs w:val="24"/>
              </w:rPr>
              <w:t xml:space="preserve"> </w:t>
            </w:r>
            <w:r w:rsidR="001063E5">
              <w:rPr>
                <w:i/>
                <w:iCs/>
                <w:color w:val="auto"/>
                <w:sz w:val="24"/>
                <w:szCs w:val="24"/>
              </w:rPr>
              <w:t>‘</w:t>
            </w:r>
            <w:r w:rsidRPr="009B54C1">
              <w:rPr>
                <w:i/>
                <w:iCs/>
                <w:color w:val="auto"/>
                <w:sz w:val="24"/>
                <w:szCs w:val="24"/>
              </w:rPr>
              <w:t>that their subjective reality must be restored as a focus of social work practice if the profession is to play a significant and much-needed role in community-based services to a growing future population of older persons living in their own homes and directing their lives but in need of support</w:t>
            </w:r>
            <w:r w:rsidR="009B54C1">
              <w:rPr>
                <w:color w:val="auto"/>
                <w:sz w:val="24"/>
                <w:szCs w:val="24"/>
              </w:rPr>
              <w:t xml:space="preserve">’ </w:t>
            </w:r>
            <w:r w:rsidRPr="00BF423C">
              <w:rPr>
                <w:color w:val="auto"/>
                <w:sz w:val="24"/>
                <w:szCs w:val="24"/>
              </w:rPr>
              <w:t>(Silverstone, 2005</w:t>
            </w:r>
            <w:r w:rsidR="00181D8B">
              <w:rPr>
                <w:color w:val="auto"/>
                <w:sz w:val="24"/>
                <w:szCs w:val="24"/>
              </w:rPr>
              <w:t>, p. 309</w:t>
            </w:r>
            <w:r w:rsidR="001063E5">
              <w:rPr>
                <w:color w:val="auto"/>
                <w:sz w:val="24"/>
                <w:szCs w:val="24"/>
              </w:rPr>
              <w:t xml:space="preserve">; </w:t>
            </w:r>
            <w:r w:rsidR="00F52C32" w:rsidRPr="00B07BEE">
              <w:rPr>
                <w:color w:val="333333"/>
                <w:sz w:val="24"/>
                <w:szCs w:val="24"/>
                <w:shd w:val="clear" w:color="auto" w:fill="FFFFFF"/>
              </w:rPr>
              <w:t>Martin</w:t>
            </w:r>
            <w:r w:rsidR="00F52C32">
              <w:rPr>
                <w:color w:val="333333"/>
                <w:sz w:val="24"/>
                <w:szCs w:val="24"/>
                <w:shd w:val="clear" w:color="auto" w:fill="FFFFFF"/>
              </w:rPr>
              <w:t xml:space="preserve"> </w:t>
            </w:r>
            <w:r w:rsidR="00F52C32" w:rsidRPr="00B07BEE">
              <w:rPr>
                <w:color w:val="333333"/>
                <w:sz w:val="24"/>
                <w:szCs w:val="24"/>
                <w:shd w:val="clear" w:color="auto" w:fill="FFFFFF"/>
              </w:rPr>
              <w:t>&amp; Swartz-Kulstad</w:t>
            </w:r>
            <w:r w:rsidR="00F52C32">
              <w:rPr>
                <w:color w:val="333333"/>
                <w:sz w:val="24"/>
                <w:szCs w:val="24"/>
                <w:shd w:val="clear" w:color="auto" w:fill="FFFFFF"/>
              </w:rPr>
              <w:t>, 2000</w:t>
            </w:r>
            <w:r w:rsidR="00DA19CD">
              <w:rPr>
                <w:color w:val="auto"/>
                <w:sz w:val="24"/>
                <w:szCs w:val="24"/>
              </w:rPr>
              <w:t>)</w:t>
            </w:r>
          </w:p>
          <w:p w14:paraId="24392A83" w14:textId="77777777" w:rsidR="001063E5" w:rsidRDefault="001063E5" w:rsidP="00422BAE">
            <w:pPr>
              <w:jc w:val="both"/>
              <w:rPr>
                <w:color w:val="auto"/>
                <w:sz w:val="24"/>
                <w:szCs w:val="24"/>
              </w:rPr>
            </w:pPr>
          </w:p>
          <w:p w14:paraId="3CA3D699" w14:textId="76653899" w:rsidR="00422BAE" w:rsidRDefault="00422BAE" w:rsidP="00422BAE">
            <w:pPr>
              <w:jc w:val="both"/>
              <w:rPr>
                <w:color w:val="auto"/>
                <w:sz w:val="24"/>
                <w:szCs w:val="24"/>
              </w:rPr>
            </w:pPr>
            <w:r w:rsidRPr="00BF423C">
              <w:rPr>
                <w:color w:val="auto"/>
                <w:sz w:val="24"/>
                <w:szCs w:val="24"/>
              </w:rPr>
              <w:t xml:space="preserve">In considering safeguarding concerns, when conducting enquiries under section 126 part 7 of the SSWB(W)A 2014 it's essential to consider several key factors and guidance from Wales Safeguarding procedures (Social Care Wales, 2014). Such as, to make their own decisions. Aswell as, involve an advocate to support the individual.  A referral to advocate was made immediately to ensure that client 2 had his independent voice heard.   </w:t>
            </w:r>
          </w:p>
          <w:p w14:paraId="746C8199" w14:textId="77777777" w:rsidR="00422BAE" w:rsidRPr="00BF423C" w:rsidRDefault="00422BAE" w:rsidP="00422BAE">
            <w:pPr>
              <w:jc w:val="both"/>
              <w:rPr>
                <w:color w:val="auto"/>
                <w:sz w:val="24"/>
                <w:szCs w:val="24"/>
              </w:rPr>
            </w:pPr>
          </w:p>
          <w:p w14:paraId="01B4CF82" w14:textId="77777777" w:rsidR="00422BAE" w:rsidRDefault="00422BAE" w:rsidP="00422BAE">
            <w:pPr>
              <w:jc w:val="both"/>
              <w:rPr>
                <w:color w:val="auto"/>
                <w:sz w:val="24"/>
                <w:szCs w:val="24"/>
              </w:rPr>
            </w:pPr>
            <w:r w:rsidRPr="00BF423C">
              <w:rPr>
                <w:color w:val="auto"/>
                <w:sz w:val="24"/>
                <w:szCs w:val="24"/>
              </w:rPr>
              <w:t xml:space="preserve">The exploitation, driven by the perpetrators’ manipulative tactics and Client 2's vulnerability due to dementia, highlights the need for a robust safeguarding strategy meeting. This strategy was to be informed by an intricate understanding of coercion and control dynamics, especially in the context of cognitive impairments. Ordinarily if there was more time a mental capacity assessment around care and residence would have taken place prior to his admission to the care home. However, the safeguarding strategy meeting concluded he should be placed as a matter of urgency and no contact from the alleged perpetrator. Therefore, at this stage the case primarily focused on protecting Client 2 from financial exploitation and neglect by individuals who feigned friendship and support.  It is felt that the restrictions were proportionate to maintaining his safety (Social Care Wales, 2024). </w:t>
            </w:r>
          </w:p>
          <w:p w14:paraId="10896AB2" w14:textId="77777777" w:rsidR="00422BAE" w:rsidRPr="00BF423C" w:rsidRDefault="00422BAE" w:rsidP="00422BAE">
            <w:pPr>
              <w:jc w:val="both"/>
              <w:rPr>
                <w:color w:val="auto"/>
                <w:sz w:val="24"/>
                <w:szCs w:val="24"/>
              </w:rPr>
            </w:pPr>
          </w:p>
          <w:p w14:paraId="02CEF88D" w14:textId="77777777" w:rsidR="00422BAE" w:rsidRDefault="00422BAE" w:rsidP="00422BAE">
            <w:pPr>
              <w:jc w:val="both"/>
              <w:rPr>
                <w:color w:val="auto"/>
                <w:sz w:val="24"/>
                <w:szCs w:val="24"/>
              </w:rPr>
            </w:pPr>
            <w:r w:rsidRPr="00BF423C">
              <w:rPr>
                <w:color w:val="auto"/>
                <w:sz w:val="24"/>
                <w:szCs w:val="24"/>
              </w:rPr>
              <w:t xml:space="preserve">There are instances where the preferences of the adult at risk may need to be overridden for their protection or the safety of others (Social Care Wales, 2024). These instances include scenarios where there is a significant risk to the health or safety of the individual, when others (including children or other vulnerable adults) are at risk, suspicion, or evidence of a crime against the adult, issues arising from care failures or professional misconduct, and situations where the adult at risk is believed to be causing harm to another vulnerable individual (Social Care Wales, 2024). </w:t>
            </w:r>
          </w:p>
          <w:p w14:paraId="5921E115" w14:textId="77777777" w:rsidR="00422BAE" w:rsidRPr="00BF423C" w:rsidRDefault="00422BAE" w:rsidP="00422BAE">
            <w:pPr>
              <w:jc w:val="both"/>
              <w:rPr>
                <w:color w:val="auto"/>
                <w:sz w:val="24"/>
                <w:szCs w:val="24"/>
              </w:rPr>
            </w:pPr>
          </w:p>
          <w:p w14:paraId="03C4D4C0" w14:textId="77777777" w:rsidR="00422BAE" w:rsidRPr="00BF423C" w:rsidRDefault="00422BAE" w:rsidP="00422BAE">
            <w:pPr>
              <w:jc w:val="both"/>
              <w:rPr>
                <w:color w:val="auto"/>
                <w:sz w:val="24"/>
                <w:szCs w:val="24"/>
              </w:rPr>
            </w:pPr>
            <w:r w:rsidRPr="00BF423C">
              <w:rPr>
                <w:color w:val="auto"/>
                <w:sz w:val="24"/>
                <w:szCs w:val="24"/>
              </w:rPr>
              <w:t xml:space="preserve">Therefore, in response to the challenges faced by Client 2, a safeguarding strategy meeting was convened, resulting in a unanimous decision to relocate Client 2 to a safe environment, away from the coercive influence of the so-called friends. This decision was partly due to concerns that these individuals had coerced Client 2 into signing documents that would revoke an existing power of attorney concerning his property and finances. As part of our safeguarding efforts, we planned to conduct a mental capacity assessment focusing on financial and property decisions to ensure Client 2’s interests were protected. My immediate priority was ensuring Client 2's temporary relocation to a secure setting where he would be safe from further exploitation and manipulation. Adhering also, to the Social Work Codes of Professional Practice (Social Care Wales, 2017), my approach focused on dignity, respect, and empowerment, aligning with the commitment to prevent abuse and neglect. This combined with the Wales Safeguarding Procedures (Social care Wales, 2024) and Working Together to Safeguard People (Welsh Government, 2019) provided a procedural framework for a holistic and person-centred intervention, ensuring Client 2's complex needs were thoroughly met. Further In terms of policy in a local and rural Context, the local Safeguarding </w:t>
            </w:r>
            <w:r w:rsidRPr="00BF423C">
              <w:rPr>
                <w:color w:val="auto"/>
                <w:sz w:val="24"/>
                <w:szCs w:val="24"/>
              </w:rPr>
              <w:lastRenderedPageBreak/>
              <w:t>Board CYSUR/CWMPAS tailored my response to rural Wales, where Client 2's exploitation occurred and is their function under Part 7 of the Social Services and Wellbeing (Wales) Act 2014</w:t>
            </w:r>
            <w:r>
              <w:rPr>
                <w:sz w:val="24"/>
                <w:szCs w:val="24"/>
              </w:rPr>
              <w:t>.</w:t>
            </w:r>
          </w:p>
          <w:p w14:paraId="3122865E" w14:textId="77777777" w:rsidR="00422BAE" w:rsidRDefault="00422BAE" w:rsidP="00422BAE">
            <w:pPr>
              <w:jc w:val="both"/>
              <w:rPr>
                <w:color w:val="auto"/>
                <w:sz w:val="24"/>
                <w:szCs w:val="24"/>
              </w:rPr>
            </w:pPr>
          </w:p>
          <w:p w14:paraId="14899BF8" w14:textId="77777777" w:rsidR="00422BAE" w:rsidRDefault="00422BAE" w:rsidP="00422BAE">
            <w:pPr>
              <w:jc w:val="both"/>
              <w:rPr>
                <w:color w:val="auto"/>
                <w:sz w:val="24"/>
                <w:szCs w:val="24"/>
              </w:rPr>
            </w:pPr>
            <w:r w:rsidRPr="002932CC">
              <w:rPr>
                <w:color w:val="auto"/>
                <w:sz w:val="24"/>
                <w:szCs w:val="24"/>
              </w:rPr>
              <w:t xml:space="preserve">To compare the difference between safeguarding thresholds in England and Wales in Wales self-neglect is not considered to be a safeguarding issue in itself (Ann Craft Trust, 2024). However, this case had distinct rurality which increased vulnerabilities, including isolation and limited access to services, which are exacerbated in rural settings (National Independent Safeguarding Board Wales, 2022). This can be further compared to Scotland where the raising rural crime especially vehicle and </w:t>
            </w:r>
            <w:r w:rsidRPr="002932CC">
              <w:rPr>
                <w:color w:val="auto"/>
                <w:sz w:val="24"/>
                <w:szCs w:val="24"/>
                <w:shd w:val="clear" w:color="auto" w:fill="FFFFFF"/>
              </w:rPr>
              <w:t>fuel theft, is becoming a major concern (</w:t>
            </w:r>
            <w:r w:rsidRPr="002932CC">
              <w:rPr>
                <w:color w:val="auto"/>
                <w:sz w:val="24"/>
                <w:szCs w:val="24"/>
              </w:rPr>
              <w:t xml:space="preserve">Raphael, 2024). </w:t>
            </w:r>
          </w:p>
          <w:p w14:paraId="7E312812" w14:textId="77777777" w:rsidR="00422BAE" w:rsidRPr="002932CC" w:rsidRDefault="00422BAE" w:rsidP="00422BAE">
            <w:pPr>
              <w:jc w:val="both"/>
              <w:rPr>
                <w:color w:val="auto"/>
                <w:sz w:val="24"/>
                <w:szCs w:val="24"/>
              </w:rPr>
            </w:pPr>
          </w:p>
          <w:p w14:paraId="3EDB3679" w14:textId="77777777" w:rsidR="00422BAE" w:rsidRDefault="00422BAE" w:rsidP="00422BAE">
            <w:pPr>
              <w:jc w:val="both"/>
              <w:rPr>
                <w:color w:val="auto"/>
                <w:sz w:val="24"/>
                <w:szCs w:val="24"/>
              </w:rPr>
            </w:pPr>
            <w:bookmarkStart w:id="0" w:name="_Hlk158711320"/>
            <w:r w:rsidRPr="002932CC">
              <w:rPr>
                <w:color w:val="auto"/>
                <w:sz w:val="24"/>
                <w:szCs w:val="24"/>
              </w:rPr>
              <w:t xml:space="preserve">Internationally, The Human Rights Act 1998, especially Articles 5 (right to liberty) and 8 (right to a private and family life), framed my understanding of his rights, revealing the exploitation under a false guise of support and familial connection. </w:t>
            </w:r>
            <w:r>
              <w:rPr>
                <w:sz w:val="24"/>
                <w:szCs w:val="24"/>
              </w:rPr>
              <w:t xml:space="preserve"> </w:t>
            </w:r>
            <w:r w:rsidRPr="002932CC">
              <w:rPr>
                <w:color w:val="auto"/>
                <w:sz w:val="24"/>
                <w:szCs w:val="24"/>
              </w:rPr>
              <w:t xml:space="preserve">Similarly, under the 2000 Hague Convention, the European framework defines vulnerable adults as those over 18 with mental or physical disabilities that impair their ability to protect their interests, affecting decision-making and understanding of financial consequences (European Justice Portal, 2023). To safeguard their rights, legal measures can be taken for personal and property protection through court or authority decisions (European Justice Portal, 2023). Additionally, future arrangements for representation can be made in advance to manage affairs upon becoming vulnerable. This protection is reinforced by the 2000 Adults Convention, ratified by ten EU countries </w:t>
            </w:r>
            <w:bookmarkStart w:id="1" w:name="_Hlk158711778"/>
            <w:r w:rsidRPr="002932CC">
              <w:rPr>
                <w:color w:val="auto"/>
                <w:sz w:val="24"/>
                <w:szCs w:val="24"/>
              </w:rPr>
              <w:t xml:space="preserve">(European </w:t>
            </w:r>
            <w:r w:rsidRPr="00F16EDC">
              <w:rPr>
                <w:color w:val="auto"/>
                <w:sz w:val="24"/>
                <w:szCs w:val="24"/>
              </w:rPr>
              <w:t>Justice Portal, 2023).</w:t>
            </w:r>
            <w:bookmarkEnd w:id="1"/>
          </w:p>
          <w:p w14:paraId="7AC58437" w14:textId="77777777" w:rsidR="00422BAE" w:rsidRPr="00F16EDC" w:rsidRDefault="00422BAE" w:rsidP="00422BAE">
            <w:pPr>
              <w:jc w:val="both"/>
              <w:rPr>
                <w:rFonts w:eastAsiaTheme="minorEastAsia"/>
                <w:color w:val="auto"/>
                <w:kern w:val="2"/>
                <w:sz w:val="24"/>
                <w:szCs w:val="24"/>
                <w:lang w:eastAsia="zh-CN"/>
                <w14:ligatures w14:val="standardContextual"/>
              </w:rPr>
            </w:pPr>
          </w:p>
          <w:bookmarkEnd w:id="0"/>
          <w:p w14:paraId="066E1E08" w14:textId="77777777" w:rsidR="00422BAE" w:rsidRDefault="00422BAE" w:rsidP="00422BAE">
            <w:pPr>
              <w:jc w:val="both"/>
              <w:rPr>
                <w:color w:val="auto"/>
                <w:sz w:val="24"/>
                <w:szCs w:val="24"/>
              </w:rPr>
            </w:pPr>
            <w:r w:rsidRPr="00F16EDC">
              <w:rPr>
                <w:color w:val="auto"/>
                <w:sz w:val="24"/>
                <w:szCs w:val="24"/>
              </w:rPr>
              <w:t>A multidisciplinary approach was essential to ensure a comprehensive safeguarding strategy. This strategy involved collaboration between police, healthcare professionals, social workers, and legal advisors, each bringing a unique set of skills and perspectives to address the complexities of Client 2's situation (Department of Health</w:t>
            </w:r>
            <w:r>
              <w:rPr>
                <w:sz w:val="24"/>
                <w:szCs w:val="24"/>
              </w:rPr>
              <w:t xml:space="preserve"> (DOH)</w:t>
            </w:r>
            <w:r w:rsidRPr="00F16EDC">
              <w:rPr>
                <w:color w:val="auto"/>
                <w:sz w:val="24"/>
                <w:szCs w:val="24"/>
              </w:rPr>
              <w:t>, 2011). The decision to remove Client 2 from his potentially exploitative environment, though challenging, was made with the paramount goal of ensuring his safety and well-being. This decision highlights the delicate balance between respecting Client 2's autonomy and the imperative to protect him from harm, a core principle in safeguarding vulnerable adults (</w:t>
            </w:r>
            <w:r>
              <w:rPr>
                <w:sz w:val="24"/>
                <w:szCs w:val="24"/>
              </w:rPr>
              <w:t>DOH</w:t>
            </w:r>
            <w:r w:rsidRPr="00F16EDC">
              <w:rPr>
                <w:color w:val="auto"/>
                <w:sz w:val="24"/>
                <w:szCs w:val="24"/>
              </w:rPr>
              <w:t>, 2011; National Independent Safeguarding Board Wales</w:t>
            </w:r>
            <w:r>
              <w:rPr>
                <w:sz w:val="24"/>
                <w:szCs w:val="24"/>
              </w:rPr>
              <w:t xml:space="preserve"> (NISBW)</w:t>
            </w:r>
            <w:r w:rsidRPr="00F16EDC">
              <w:rPr>
                <w:color w:val="auto"/>
                <w:sz w:val="24"/>
                <w:szCs w:val="24"/>
              </w:rPr>
              <w:t>, 2022).</w:t>
            </w:r>
          </w:p>
          <w:p w14:paraId="4982C9AF" w14:textId="77777777" w:rsidR="00422BAE" w:rsidRPr="00F16EDC" w:rsidRDefault="00422BAE" w:rsidP="00422BAE">
            <w:pPr>
              <w:jc w:val="both"/>
              <w:rPr>
                <w:color w:val="auto"/>
                <w:sz w:val="24"/>
                <w:szCs w:val="24"/>
              </w:rPr>
            </w:pPr>
          </w:p>
          <w:p w14:paraId="398021EE" w14:textId="77777777" w:rsidR="00422BAE" w:rsidRDefault="00422BAE" w:rsidP="00422BAE">
            <w:pPr>
              <w:jc w:val="both"/>
              <w:rPr>
                <w:color w:val="auto"/>
                <w:sz w:val="24"/>
                <w:szCs w:val="24"/>
              </w:rPr>
            </w:pPr>
            <w:r w:rsidRPr="00E21003">
              <w:rPr>
                <w:color w:val="auto"/>
                <w:sz w:val="24"/>
                <w:szCs w:val="24"/>
              </w:rPr>
              <w:t>The involvement of police was crucial in investigating the potential financial exploitation and ensuring that any criminal aspects of the case were addressed promptly. Healthcare professionals, including nurses and general practitioners, played a vital role in assessing Client 2's physical health and providing evidence of the impact of neglect on his well-being (DOH, 2011; NISBW, 2022). Social workers brought expertise in navigating the legal and social complexities of safeguarding, coordinating the intervention, and advocating for Client 2's rights and needs (Hothersall &amp; Maas-</w:t>
            </w:r>
            <w:proofErr w:type="spellStart"/>
            <w:r w:rsidRPr="00E21003">
              <w:rPr>
                <w:color w:val="auto"/>
                <w:sz w:val="24"/>
                <w:szCs w:val="24"/>
              </w:rPr>
              <w:t>Lowit</w:t>
            </w:r>
            <w:proofErr w:type="spellEnd"/>
            <w:r w:rsidRPr="00E21003">
              <w:rPr>
                <w:color w:val="auto"/>
                <w:sz w:val="24"/>
                <w:szCs w:val="24"/>
              </w:rPr>
              <w:t xml:space="preserve">, 2010). Office of public Guardian safeguarding legal advisor were also instrumental in addressing the legal ramifications of the situation, particularly in relation to the revocation of power of attorney and the protection of Client 2's assets. </w:t>
            </w:r>
          </w:p>
          <w:p w14:paraId="03A27BC2" w14:textId="77777777" w:rsidR="00422BAE" w:rsidRPr="00E21003" w:rsidRDefault="00422BAE" w:rsidP="00422BAE">
            <w:pPr>
              <w:jc w:val="both"/>
              <w:rPr>
                <w:color w:val="auto"/>
                <w:sz w:val="24"/>
                <w:szCs w:val="24"/>
              </w:rPr>
            </w:pPr>
          </w:p>
          <w:p w14:paraId="0B728238" w14:textId="77777777" w:rsidR="00422BAE" w:rsidRDefault="00422BAE" w:rsidP="00422BAE">
            <w:pPr>
              <w:jc w:val="both"/>
              <w:rPr>
                <w:color w:val="auto"/>
                <w:sz w:val="24"/>
                <w:szCs w:val="24"/>
              </w:rPr>
            </w:pPr>
            <w:r w:rsidRPr="00D1435F">
              <w:rPr>
                <w:color w:val="auto"/>
                <w:sz w:val="24"/>
                <w:szCs w:val="24"/>
              </w:rPr>
              <w:lastRenderedPageBreak/>
              <w:t>The collaborative effort also emphasised the importance of partnership working in safeguarding practice. By pooling resources and expertise, the team was able to develop a more robust understanding of the risks involved and formulate a more effective response strategy (Wate &amp; Boulton 2015; Welsh Government, 2022). This multidisciplinary approach highlighted the value of diverse professional perspectives in addressing complex safeguarding cases, ensuring that all aspects of Client 2's health, safety, and well-being were considered (Wate &amp; Boulton 2015; Welsh Government, 2022). Furthermore, the case illustrated the significance of early intervention and the need for a proactive response to signs of exploitation and neglect (Wate &amp; Boulton 2015; Welsh Government, 2022). By acting swiftly and decisively, the team was able to mitigate further harm to Client 2 and begin the process of restoring his independence and quality of life. This approach reinforced the critical role of safeguarding practices in protecting vulnerable adults from abuse and exploitation, demonstrating the impact of collaborative, multidisciplinary efforts in achieving positive outcomes for individuals at risk (Wate &amp; Boulton 2015; Welsh Government, 2022).</w:t>
            </w:r>
          </w:p>
          <w:p w14:paraId="14AEFD87" w14:textId="77777777" w:rsidR="003B5C1D" w:rsidRPr="00D1435F" w:rsidRDefault="003B5C1D" w:rsidP="00422BAE">
            <w:pPr>
              <w:jc w:val="both"/>
              <w:rPr>
                <w:color w:val="auto"/>
                <w:sz w:val="24"/>
                <w:szCs w:val="24"/>
              </w:rPr>
            </w:pPr>
          </w:p>
          <w:p w14:paraId="42FA4F6C" w14:textId="77777777" w:rsidR="00422BAE" w:rsidRDefault="00422BAE" w:rsidP="00422BAE">
            <w:pPr>
              <w:jc w:val="both"/>
              <w:rPr>
                <w:color w:val="auto"/>
                <w:sz w:val="24"/>
                <w:szCs w:val="24"/>
              </w:rPr>
            </w:pPr>
            <w:r w:rsidRPr="009A2496">
              <w:rPr>
                <w:color w:val="auto"/>
                <w:sz w:val="24"/>
                <w:szCs w:val="24"/>
              </w:rPr>
              <w:t>The assessment and management of Client 2's case involved a dynamic and evolving strategy, with constant updates and adjustments based on new insights and developments.  This all required further analysis to feed into my assessment and utilised my professional judgment. This approach was essential for dealing with the complexities presented, ensuring that interventions were both timely and tailored to the changing needs and circumstances of Client 2. The focus was on a holistic understanding of his situation, incorporating aspects of his mental capacity, daily living environment, and the influence of those around him.</w:t>
            </w:r>
          </w:p>
          <w:p w14:paraId="17C5BB1A" w14:textId="77777777" w:rsidR="00422BAE" w:rsidRPr="009A2496" w:rsidRDefault="00422BAE" w:rsidP="00422BAE">
            <w:pPr>
              <w:jc w:val="both"/>
              <w:rPr>
                <w:color w:val="auto"/>
                <w:sz w:val="24"/>
                <w:szCs w:val="24"/>
              </w:rPr>
            </w:pPr>
          </w:p>
          <w:p w14:paraId="17A79842" w14:textId="77777777" w:rsidR="00422BAE" w:rsidRDefault="00422BAE" w:rsidP="00422BAE">
            <w:pPr>
              <w:jc w:val="both"/>
              <w:rPr>
                <w:color w:val="auto"/>
                <w:sz w:val="24"/>
                <w:szCs w:val="24"/>
              </w:rPr>
            </w:pPr>
            <w:r w:rsidRPr="009A2496">
              <w:rPr>
                <w:color w:val="auto"/>
                <w:sz w:val="24"/>
                <w:szCs w:val="24"/>
              </w:rPr>
              <w:t>Continuous engagement and reassessment were fundamental components of the strategy. Regular visits to Client 2's home allowed for direct observation of the individuals frequenting the property and the level of care being provided. These visits were crucial for building a comprehensive picture of Client 2's daily life, including his routine, the nature of interactions with potential perpetrators, and the impact of these interactions on his well-being. The involvement of formal carers offered additional insights into his daily needs and the effectiveness of the support he was receiving.</w:t>
            </w:r>
          </w:p>
          <w:p w14:paraId="1388DE37" w14:textId="77777777" w:rsidR="00422BAE" w:rsidRPr="009A2496" w:rsidRDefault="00422BAE" w:rsidP="00422BAE">
            <w:pPr>
              <w:jc w:val="both"/>
              <w:rPr>
                <w:color w:val="auto"/>
                <w:sz w:val="24"/>
                <w:szCs w:val="24"/>
              </w:rPr>
            </w:pPr>
          </w:p>
          <w:p w14:paraId="04C1AD57" w14:textId="77777777" w:rsidR="00422BAE" w:rsidRDefault="00422BAE" w:rsidP="00422BAE">
            <w:pPr>
              <w:jc w:val="both"/>
              <w:rPr>
                <w:color w:val="auto"/>
                <w:sz w:val="24"/>
                <w:szCs w:val="24"/>
              </w:rPr>
            </w:pPr>
            <w:r w:rsidRPr="009A2496">
              <w:rPr>
                <w:color w:val="auto"/>
                <w:sz w:val="24"/>
                <w:szCs w:val="24"/>
              </w:rPr>
              <w:t xml:space="preserve">Information gathering extended beyond direct observations, incorporating input from family members, healthcare professionals, and other relevant professionals and formal carers. This assessment was ongoing and aimed to gain a full understanding of Client 2's fluctuating mental capacity, his lifestyle, and presenting environmental risks. Gathering and synthesising information from various sources, this approach facilitated a more informed understanding of the risks and needs, enabling the development of a care plan that was both specific to Client 2's circumstances and adaptable to changes in his situation or environment.  This also fed into the safeguarding strategy meeting and enabled quick action to keep him safe. </w:t>
            </w:r>
            <w:r>
              <w:rPr>
                <w:color w:val="auto"/>
                <w:sz w:val="24"/>
                <w:szCs w:val="24"/>
              </w:rPr>
              <w:t xml:space="preserve"> </w:t>
            </w:r>
            <w:r w:rsidRPr="009A2496">
              <w:rPr>
                <w:color w:val="auto"/>
                <w:sz w:val="24"/>
                <w:szCs w:val="24"/>
              </w:rPr>
              <w:t xml:space="preserve">Keeping him safe highlighted the importance of continuous monitoring and revaluation in safeguarding cases. It highlighted the need for a flexible approach that can respond to new information or shifts in the client's condition or circumstances, ensuring that safeguarding measures remain effective and relevant. I felt that this required my analysis to feed into my assessment and utilised my professional judgment. </w:t>
            </w:r>
          </w:p>
          <w:p w14:paraId="15238F6A" w14:textId="77777777" w:rsidR="00422BAE" w:rsidRPr="009A2496" w:rsidRDefault="00422BAE" w:rsidP="00422BAE">
            <w:pPr>
              <w:jc w:val="both"/>
              <w:rPr>
                <w:color w:val="auto"/>
                <w:sz w:val="24"/>
                <w:szCs w:val="24"/>
              </w:rPr>
            </w:pPr>
          </w:p>
          <w:p w14:paraId="1041A0D0" w14:textId="77777777" w:rsidR="00422BAE" w:rsidRPr="009A2496" w:rsidRDefault="00422BAE" w:rsidP="00422BAE">
            <w:pPr>
              <w:jc w:val="both"/>
              <w:rPr>
                <w:color w:val="auto"/>
                <w:sz w:val="24"/>
                <w:szCs w:val="24"/>
              </w:rPr>
            </w:pPr>
            <w:r w:rsidRPr="009A2496">
              <w:rPr>
                <w:color w:val="auto"/>
                <w:sz w:val="24"/>
                <w:szCs w:val="24"/>
              </w:rPr>
              <w:lastRenderedPageBreak/>
              <w:t xml:space="preserve">The application of communication skills such as, empathy, advocacy, and conflict resolution were instrumental in addressing the complexities of working with Client 2 (Koprowska, 2010), his family, and managing the risks posed by external perpetrators. My approach combined empathy with respect for his dignity and his previous wishes, in line with least restrictive principle of the mental health Act code of practice (Brown &amp; Barber, 2008), while also recognising the need to protect against financial exploitation and further neglect. All of this is in line with the social work Codes of Professional Practice (Social Care Wales, 2017). Effective communication was crucial, not only in building trust with Client 2 but also in coordinating with multiple agencies involved in his care (Morris, 2010; Koprowska, 2010). This multidisciplinary collaboration highlighted the importance of establishing strong working relationships across various sectors, including healthcare, police, and social services, to ensure a cohesive response to the safeguarding concerns. </w:t>
            </w:r>
          </w:p>
          <w:p w14:paraId="40C31418" w14:textId="77777777" w:rsidR="00422BAE" w:rsidRPr="009A2496" w:rsidRDefault="00422BAE" w:rsidP="00422BAE">
            <w:pPr>
              <w:jc w:val="both"/>
              <w:rPr>
                <w:color w:val="auto"/>
                <w:sz w:val="24"/>
                <w:szCs w:val="24"/>
              </w:rPr>
            </w:pPr>
            <w:r w:rsidRPr="009A2496">
              <w:rPr>
                <w:color w:val="auto"/>
                <w:sz w:val="24"/>
                <w:szCs w:val="24"/>
              </w:rPr>
              <w:t>As per the</w:t>
            </w:r>
            <w:r w:rsidRPr="009A2496">
              <w:rPr>
                <w:b/>
                <w:bCs/>
                <w:color w:val="auto"/>
                <w:sz w:val="24"/>
                <w:szCs w:val="24"/>
                <w:u w:val="single"/>
              </w:rPr>
              <w:t xml:space="preserve"> </w:t>
            </w:r>
            <w:r w:rsidRPr="009A2496">
              <w:rPr>
                <w:color w:val="auto"/>
                <w:sz w:val="24"/>
                <w:szCs w:val="24"/>
              </w:rPr>
              <w:t>SSWB(W)A 2014 advocacy played a pivotal role in representing Client 2's interests, especially in situations where his capacity to make informed decisions was compromised. By advocating for his rights and well-being, we were able support him to face the challenges of conflicting interests and the coercive control employed by those seeking to exploit him. My conflict resolution skills were strained when met with the aggressive and threatening behaviour of the perpetrators who were against the safeguarding measures (place of safety) being implemented. Managing these confrontations required a delicate balance between asserting the legal and ethical grounds for our actions while ensuring the safety and security of all involved, including the staff and Client 2.</w:t>
            </w:r>
          </w:p>
          <w:p w14:paraId="16E6AFF8" w14:textId="77777777" w:rsidR="00422BAE" w:rsidRDefault="00422BAE" w:rsidP="00422BAE">
            <w:pPr>
              <w:jc w:val="both"/>
              <w:rPr>
                <w:color w:val="auto"/>
                <w:sz w:val="24"/>
                <w:szCs w:val="24"/>
              </w:rPr>
            </w:pPr>
          </w:p>
          <w:p w14:paraId="2AF96901" w14:textId="77777777" w:rsidR="00422BAE" w:rsidRPr="009A2496" w:rsidRDefault="00422BAE" w:rsidP="00422BAE">
            <w:pPr>
              <w:jc w:val="both"/>
              <w:rPr>
                <w:color w:val="auto"/>
                <w:sz w:val="24"/>
                <w:szCs w:val="24"/>
              </w:rPr>
            </w:pPr>
            <w:r w:rsidRPr="009A2496">
              <w:rPr>
                <w:color w:val="auto"/>
                <w:sz w:val="24"/>
                <w:szCs w:val="24"/>
              </w:rPr>
              <w:t xml:space="preserve">As mentioned, the aftermath of Client 2's removal to a safer environment elicited a hostile response from the perpetrators, who resorted to abusive phone calls and threats. This scenario highlighted the significance of having robust safety protocols and lone working policies in place, not only for the protection of the client but also for the welfare of the professionals involved. Collaborative efforts with safeguarding and social work management were essential in formulating strategies to mitigate risks to staff and secure the premises, demonstrating the critical nature of preparedness and proactive measures in high-risk situations.  The case was eventually closed to safeguarding once they established that client 2 was in a safe place. He remained there under best interests’ decision as it was deemed it would not be safe for him to return home. Crimes of fraud continued after he had been placed and police investigations continued. </w:t>
            </w:r>
          </w:p>
          <w:p w14:paraId="3D3E0FC6" w14:textId="77777777" w:rsidR="00422BAE" w:rsidRDefault="00422BAE" w:rsidP="00422BAE">
            <w:pPr>
              <w:jc w:val="both"/>
              <w:rPr>
                <w:color w:val="auto"/>
                <w:sz w:val="24"/>
                <w:szCs w:val="24"/>
              </w:rPr>
            </w:pPr>
          </w:p>
          <w:p w14:paraId="10EFF28E" w14:textId="77777777" w:rsidR="00422BAE" w:rsidRPr="009A2496" w:rsidRDefault="00422BAE" w:rsidP="00422BAE">
            <w:pPr>
              <w:jc w:val="both"/>
              <w:rPr>
                <w:color w:val="auto"/>
                <w:sz w:val="24"/>
                <w:szCs w:val="24"/>
              </w:rPr>
            </w:pPr>
            <w:r w:rsidRPr="009A2496">
              <w:rPr>
                <w:color w:val="auto"/>
                <w:sz w:val="24"/>
                <w:szCs w:val="24"/>
              </w:rPr>
              <w:t>Reflecting on this case, the challenges faced highlight the value of professional practice in safeguarding vulnerable individuals. It demonstrated the requirement for continuous learning and adaptation, the strength found in multidisciplinary teamwork, and the impact of social work skills in navigating complex and sensitive situations. The experience reinforced the importance of resilience, professional judgment, and the ability to maintain empathy and ethical integrity in the face of adversity, providing valuable insights for future practice.</w:t>
            </w:r>
          </w:p>
          <w:p w14:paraId="6038D9F8" w14:textId="77777777" w:rsidR="00422BAE" w:rsidRDefault="00422BAE" w:rsidP="00422BAE">
            <w:pPr>
              <w:jc w:val="both"/>
              <w:rPr>
                <w:color w:val="auto"/>
                <w:sz w:val="24"/>
                <w:szCs w:val="24"/>
              </w:rPr>
            </w:pPr>
          </w:p>
          <w:p w14:paraId="000EFBA1" w14:textId="77777777" w:rsidR="00422BAE" w:rsidRPr="009A2496" w:rsidRDefault="00422BAE" w:rsidP="00422BAE">
            <w:pPr>
              <w:jc w:val="both"/>
              <w:rPr>
                <w:color w:val="auto"/>
                <w:sz w:val="24"/>
                <w:szCs w:val="24"/>
              </w:rPr>
            </w:pPr>
            <w:r w:rsidRPr="009A2496">
              <w:rPr>
                <w:color w:val="auto"/>
                <w:sz w:val="24"/>
                <w:szCs w:val="24"/>
              </w:rPr>
              <w:t xml:space="preserve">Reflecting also on the complex safeguarding journey of Client 2, this critical account reinforces the paramount importance of a multidisciplinary, holistic approach in addressing the complexities of adult safeguarding within the legislative and theoretical frameworks of Wales. The coordination between social services, healthcare professionals, police, and legal advisors showed the essence and reason for collaborative practice, each discipline perspectives and </w:t>
            </w:r>
            <w:r w:rsidRPr="009A2496">
              <w:rPr>
                <w:color w:val="auto"/>
                <w:sz w:val="24"/>
                <w:szCs w:val="24"/>
              </w:rPr>
              <w:lastRenderedPageBreak/>
              <w:t>expertise combined to ensure a robust safeguarding strategy could be employed. This collaboration was instrumental in navigating the complex challenges presented by Client 2's situation, from his vulnerability due to cognitive decline to the threats posed by those who sought to exploit him.</w:t>
            </w:r>
          </w:p>
          <w:p w14:paraId="59D7FE9E" w14:textId="77777777" w:rsidR="00422BAE" w:rsidRDefault="00422BAE" w:rsidP="00422BAE">
            <w:pPr>
              <w:jc w:val="both"/>
              <w:rPr>
                <w:color w:val="auto"/>
                <w:sz w:val="24"/>
                <w:szCs w:val="24"/>
              </w:rPr>
            </w:pPr>
          </w:p>
          <w:p w14:paraId="4E4FD6E7" w14:textId="77777777" w:rsidR="00422BAE" w:rsidRPr="009A2496" w:rsidRDefault="00422BAE" w:rsidP="00422BAE">
            <w:pPr>
              <w:jc w:val="both"/>
              <w:rPr>
                <w:color w:val="auto"/>
                <w:sz w:val="24"/>
                <w:szCs w:val="24"/>
              </w:rPr>
            </w:pPr>
            <w:r w:rsidRPr="009A2496">
              <w:rPr>
                <w:color w:val="auto"/>
                <w:sz w:val="24"/>
                <w:szCs w:val="24"/>
              </w:rPr>
              <w:t>The application of the Mental Capacity Act 2005 and the SSWB(W)A 2014 highlighted the delicate balance between respecting individual autonomy and ensuring necessary protection for those at risk. The case of Client 2 brought to the forefront the critical need for regular assessments of mental capacity, particularly in instances of fluctuating cognitive abilities, to inform ongoing interventions and support. The principles of person-centred care and the presumption of capacity, unless proven otherwise, guided our interventions, ensuring they were not only legally sound but also ethically grounded.</w:t>
            </w:r>
          </w:p>
          <w:p w14:paraId="67F44BC9" w14:textId="77777777" w:rsidR="00422BAE" w:rsidRDefault="00422BAE" w:rsidP="00422BAE">
            <w:pPr>
              <w:jc w:val="both"/>
              <w:rPr>
                <w:color w:val="auto"/>
                <w:sz w:val="24"/>
                <w:szCs w:val="24"/>
              </w:rPr>
            </w:pPr>
          </w:p>
          <w:p w14:paraId="220C3F21" w14:textId="77777777" w:rsidR="00422BAE" w:rsidRPr="009A2496" w:rsidRDefault="00422BAE" w:rsidP="00422BAE">
            <w:pPr>
              <w:jc w:val="both"/>
              <w:rPr>
                <w:color w:val="auto"/>
                <w:sz w:val="24"/>
                <w:szCs w:val="24"/>
              </w:rPr>
            </w:pPr>
            <w:r w:rsidRPr="009A2496">
              <w:rPr>
                <w:color w:val="auto"/>
                <w:sz w:val="24"/>
                <w:szCs w:val="24"/>
              </w:rPr>
              <w:t>Systems Theory, the Strengths-Based Approach, and Person-Environment Fit Theory provided a theoretical foundation for understanding and intervening in Client 2's circumstances. These perspectives helped illuminate the impact of Client 2's interactions with his environment and so-called friends on his well-being, while also identifying and leveraging his inherent strengths to support his journey towards recovery and independence.</w:t>
            </w:r>
          </w:p>
          <w:p w14:paraId="4ADE980C" w14:textId="77777777" w:rsidR="00422BAE" w:rsidRDefault="00422BAE" w:rsidP="00422BAE">
            <w:pPr>
              <w:jc w:val="both"/>
              <w:rPr>
                <w:color w:val="auto"/>
                <w:sz w:val="24"/>
                <w:szCs w:val="24"/>
              </w:rPr>
            </w:pPr>
          </w:p>
          <w:p w14:paraId="587BF400" w14:textId="77777777" w:rsidR="00422BAE" w:rsidRDefault="00422BAE" w:rsidP="00422BAE">
            <w:pPr>
              <w:jc w:val="both"/>
              <w:rPr>
                <w:color w:val="auto"/>
                <w:sz w:val="24"/>
                <w:szCs w:val="24"/>
              </w:rPr>
            </w:pPr>
            <w:r w:rsidRPr="009A2496">
              <w:rPr>
                <w:color w:val="auto"/>
                <w:sz w:val="24"/>
                <w:szCs w:val="24"/>
              </w:rPr>
              <w:t xml:space="preserve">The challenges I encountered throughout this case, from managing the aggressive behaviour of the perpetrators to addressing the complex needs of Client 2, highlighted the importance of skills such as communication, empathy, advocacy, and conflict resolution. These skills were key to developing and maintaining effective working relationships with Client 2, his family, and the wider multidisciplinary team, ensuring that interventions were both responsive and respectful of Client 2's needs and preferences whilst keeping him safe and adhering to the least restrictive principle and safeguarding action proportionate to the risks involved, the safeguarding of Client 2 not only required a deep understanding of legal frameworks, (and within rural Welsh contexts) and social work theories but also a compassionate, skilled approach to practice. It reinforced the value of empathy, resilience, and professional judgment in the face of adversity, highlighting the profound impact social workers and their colleagues in allied professions can have on the lives of vulnerable individuals. </w:t>
            </w:r>
          </w:p>
          <w:p w14:paraId="264C9691" w14:textId="77777777" w:rsidR="00422BAE" w:rsidRPr="009A2496" w:rsidRDefault="00422BAE" w:rsidP="00422BAE">
            <w:pPr>
              <w:jc w:val="both"/>
              <w:rPr>
                <w:color w:val="auto"/>
                <w:sz w:val="24"/>
                <w:szCs w:val="24"/>
              </w:rPr>
            </w:pPr>
          </w:p>
          <w:p w14:paraId="43E399BF" w14:textId="6A7070B9" w:rsidR="00322FFB" w:rsidRDefault="00422BAE" w:rsidP="00422BAE">
            <w:pPr>
              <w:jc w:val="both"/>
              <w:rPr>
                <w:color w:val="auto"/>
                <w:sz w:val="24"/>
                <w:szCs w:val="24"/>
              </w:rPr>
            </w:pPr>
            <w:r w:rsidRPr="009A2496">
              <w:rPr>
                <w:color w:val="auto"/>
                <w:sz w:val="24"/>
                <w:szCs w:val="24"/>
              </w:rPr>
              <w:t>This case highlights the essential role of multidisciplinary efforts and the critical role of legislative frameworks in safeguarding vulnerable adults, demonstrating the necessity of a detailed and planned approach to mental capacity that accommodates the complexities of fluctuating conditions and the imperative of integrating legal, social, and cultural considerations in safeguarding practices. This case also serves as a reminder of the complexities inherent in safeguarding work, the necessity for ongoing professional development, and the importance of placing the well-being of those we serve at the heart of what we do</w:t>
            </w:r>
            <w:r w:rsidR="00322FFB">
              <w:rPr>
                <w:color w:val="auto"/>
                <w:sz w:val="24"/>
                <w:szCs w:val="24"/>
              </w:rPr>
              <w:t xml:space="preserve">. </w:t>
            </w:r>
          </w:p>
          <w:p w14:paraId="1E8AEFD2" w14:textId="77777777" w:rsidR="00322FFB" w:rsidRDefault="00322FFB" w:rsidP="00422BAE">
            <w:pPr>
              <w:jc w:val="both"/>
              <w:rPr>
                <w:color w:val="auto"/>
                <w:sz w:val="24"/>
                <w:szCs w:val="24"/>
              </w:rPr>
            </w:pPr>
          </w:p>
          <w:p w14:paraId="1DF8959B" w14:textId="0D8E1366" w:rsidR="00422BAE" w:rsidRPr="00322FFB" w:rsidRDefault="00422BAE" w:rsidP="00422BAE">
            <w:pPr>
              <w:jc w:val="both"/>
              <w:rPr>
                <w:sz w:val="24"/>
                <w:szCs w:val="24"/>
              </w:rPr>
            </w:pPr>
            <w:r>
              <w:rPr>
                <w:sz w:val="24"/>
                <w:szCs w:val="24"/>
              </w:rPr>
              <w:t>Word count: 439</w:t>
            </w:r>
            <w:r w:rsidR="00322FFB">
              <w:rPr>
                <w:sz w:val="24"/>
                <w:szCs w:val="24"/>
              </w:rPr>
              <w:t>4</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EFC97" w14:textId="77777777" w:rsidR="008604B0" w:rsidRDefault="008604B0">
      <w:r>
        <w:separator/>
      </w:r>
    </w:p>
  </w:endnote>
  <w:endnote w:type="continuationSeparator" w:id="0">
    <w:p w14:paraId="5FF8CF83" w14:textId="77777777" w:rsidR="008604B0" w:rsidRDefault="0086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FDAB0" w14:textId="77777777" w:rsidR="008604B0" w:rsidRDefault="008604B0">
      <w:r>
        <w:separator/>
      </w:r>
    </w:p>
  </w:footnote>
  <w:footnote w:type="continuationSeparator" w:id="0">
    <w:p w14:paraId="4B5E4CFF" w14:textId="77777777" w:rsidR="008604B0" w:rsidRDefault="00860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3E5"/>
    <w:rsid w:val="0010662B"/>
    <w:rsid w:val="00106DC7"/>
    <w:rsid w:val="00112391"/>
    <w:rsid w:val="00114F52"/>
    <w:rsid w:val="00127D6A"/>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1D8B"/>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C24"/>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2FFB"/>
    <w:rsid w:val="00330881"/>
    <w:rsid w:val="00331CD2"/>
    <w:rsid w:val="00332426"/>
    <w:rsid w:val="00335C41"/>
    <w:rsid w:val="00335FC5"/>
    <w:rsid w:val="0033771E"/>
    <w:rsid w:val="00337FEF"/>
    <w:rsid w:val="00343986"/>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5C1D"/>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2BAE"/>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21BD"/>
    <w:rsid w:val="006635E3"/>
    <w:rsid w:val="0066664A"/>
    <w:rsid w:val="006669F3"/>
    <w:rsid w:val="006712A7"/>
    <w:rsid w:val="0067165A"/>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4F5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4B0"/>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4C1"/>
    <w:rsid w:val="009B7136"/>
    <w:rsid w:val="009C337F"/>
    <w:rsid w:val="009C53E7"/>
    <w:rsid w:val="009C6092"/>
    <w:rsid w:val="009C7342"/>
    <w:rsid w:val="009D4365"/>
    <w:rsid w:val="009D477B"/>
    <w:rsid w:val="009D4E3B"/>
    <w:rsid w:val="009D59C2"/>
    <w:rsid w:val="009D6775"/>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FC5"/>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22"/>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19CD"/>
    <w:rsid w:val="00DA22EC"/>
    <w:rsid w:val="00DA5682"/>
    <w:rsid w:val="00DA5860"/>
    <w:rsid w:val="00DA5C0C"/>
    <w:rsid w:val="00DB2767"/>
    <w:rsid w:val="00DB5B93"/>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2C32"/>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B1E"/>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5" ma:contentTypeDescription="Create a new document." ma:contentTypeScope="" ma:versionID="12046d914cc732769964a9024ccc7fe7">
  <xsd:schema xmlns:xsd="http://www.w3.org/2001/XMLSchema" xmlns:xs="http://www.w3.org/2001/XMLSchema" xmlns:p="http://schemas.microsoft.com/office/2006/metadata/properties" xmlns:ns2="2ec872c3-85f8-4ccc-9e70-3076f9915f1c" xmlns:ns3="9fb3ffdb-f042-4b65-88d0-d8453cdfe7db" targetNamespace="http://schemas.microsoft.com/office/2006/metadata/properties" ma:root="true" ma:fieldsID="995e0469e3828983b471133d616515e6" ns2:_="" ns3:_="">
    <xsd:import namespace="2ec872c3-85f8-4ccc-9e70-3076f9915f1c"/>
    <xsd:import namespace="9fb3ffdb-f042-4b65-88d0-d8453cdfe7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3ffdb-f042-4b65-88d0-d8453cdfe7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D8AE68-CE1C-4337-9B82-384FCF13A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9fb3ffdb-f042-4b65-88d0-d8453cdfe7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7CD00886-2633-4921-9E8A-692B49423138}">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fb3ffdb-f042-4b65-88d0-d8453cdfe7db"/>
    <ds:schemaRef ds:uri="http://schemas.microsoft.com/office/2006/metadata/properties"/>
    <ds:schemaRef ds:uri="http://purl.org/dc/terms/"/>
    <ds:schemaRef ds:uri="2ec872c3-85f8-4ccc-9e70-3076f9915f1c"/>
    <ds:schemaRef ds:uri="http://www.w3.org/XML/1998/namespace"/>
    <ds:schemaRef ds:uri="http://purl.org/dc/dcmitype/"/>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4601</Words>
  <Characters>27287</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Griffiths</cp:lastModifiedBy>
  <cp:revision>19</cp:revision>
  <cp:lastPrinted>2020-02-11T19:20:00Z</cp:lastPrinted>
  <dcterms:created xsi:type="dcterms:W3CDTF">2024-02-13T14:22:00Z</dcterms:created>
  <dcterms:modified xsi:type="dcterms:W3CDTF">2024-02-14T22:47:00Z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