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610F3333" w:rsidR="00F33783" w:rsidRPr="001B7AD4" w:rsidRDefault="00F33783" w:rsidP="00F33783">
      <w:pPr>
        <w:jc w:val="center"/>
        <w:rPr>
          <w:rFonts w:ascii="Arial" w:hAnsi="Arial" w:cs="Arial"/>
          <w:b/>
          <w:bCs/>
        </w:rPr>
      </w:pPr>
    </w:p>
    <w:p w14:paraId="7E989557" w14:textId="3693E807" w:rsidR="00F33783" w:rsidRPr="001B7AD4" w:rsidRDefault="00F63D1A" w:rsidP="00F33783">
      <w:pPr>
        <w:jc w:val="center"/>
        <w:rPr>
          <w:rFonts w:ascii="Arial" w:hAnsi="Arial" w:cs="Arial"/>
          <w:b/>
          <w:bCs/>
        </w:rPr>
      </w:pPr>
      <w:r>
        <w:rPr>
          <w:rFonts w:ascii="Arial" w:hAnsi="Arial" w:cs="Arial"/>
          <w:b/>
          <w:bCs/>
          <w:noProof/>
        </w:rPr>
        <w:drawing>
          <wp:inline distT="0" distB="0" distL="0" distR="0" wp14:anchorId="6339264A" wp14:editId="5D51666C">
            <wp:extent cx="5600700" cy="1993900"/>
            <wp:effectExtent l="0" t="0" r="0" b="6350"/>
            <wp:docPr id="7" name="Picture 7"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0700" cy="1993900"/>
                    </a:xfrm>
                    <a:prstGeom prst="rect">
                      <a:avLst/>
                    </a:prstGeom>
                    <a:noFill/>
                    <a:ln>
                      <a:noFill/>
                    </a:ln>
                  </pic:spPr>
                </pic:pic>
              </a:graphicData>
            </a:graphic>
          </wp:inline>
        </w:drawing>
      </w:r>
    </w:p>
    <w:p w14:paraId="09ADC2F7" w14:textId="06011FB1" w:rsidR="00F33783" w:rsidRPr="001B7AD4" w:rsidRDefault="00F33783" w:rsidP="00F33783">
      <w:pPr>
        <w:jc w:val="center"/>
        <w:rPr>
          <w:rFonts w:ascii="Arial" w:hAnsi="Arial" w:cs="Arial"/>
          <w:b/>
          <w:bCs/>
        </w:rPr>
      </w:pPr>
    </w:p>
    <w:p w14:paraId="6334D8CA" w14:textId="3E64E054" w:rsidR="00F33783" w:rsidRPr="00F63D1A" w:rsidRDefault="00F33783" w:rsidP="00F63D1A">
      <w:pPr>
        <w:rPr>
          <w:rFonts w:ascii="Arial" w:hAnsi="Arial" w:cs="Arial"/>
          <w:b/>
          <w:bCs/>
          <w:sz w:val="48"/>
          <w:szCs w:val="48"/>
        </w:rPr>
      </w:pPr>
      <w:r w:rsidRPr="00F63D1A">
        <w:rPr>
          <w:rFonts w:ascii="Arial" w:hAnsi="Arial" w:cs="Arial"/>
          <w:b/>
          <w:bCs/>
          <w:sz w:val="48"/>
          <w:szCs w:val="48"/>
        </w:rPr>
        <w:t>Assessment Component 2</w:t>
      </w:r>
    </w:p>
    <w:p w14:paraId="73883242" w14:textId="3EFED24E" w:rsidR="00F33783" w:rsidRPr="00F63D1A" w:rsidRDefault="00F63D1A" w:rsidP="00F63D1A">
      <w:pPr>
        <w:rPr>
          <w:rFonts w:ascii="Arial" w:hAnsi="Arial" w:cs="Arial"/>
          <w:b/>
          <w:bCs/>
          <w:sz w:val="48"/>
          <w:szCs w:val="48"/>
        </w:rPr>
      </w:pPr>
      <w:r>
        <w:rPr>
          <w:rFonts w:ascii="Arial" w:hAnsi="Arial" w:cs="Arial"/>
          <w:b/>
          <w:bCs/>
          <w:sz w:val="48"/>
          <w:szCs w:val="48"/>
        </w:rPr>
        <w:t xml:space="preserve"> </w:t>
      </w:r>
      <w:r w:rsidR="00F33783" w:rsidRPr="00F63D1A">
        <w:rPr>
          <w:rFonts w:ascii="Arial" w:hAnsi="Arial" w:cs="Arial"/>
          <w:b/>
          <w:bCs/>
          <w:sz w:val="48"/>
          <w:szCs w:val="48"/>
        </w:rPr>
        <w:t>Written Essay</w:t>
      </w:r>
      <w:r w:rsidR="000835CC" w:rsidRPr="00F63D1A">
        <w:rPr>
          <w:rFonts w:ascii="Arial" w:hAnsi="Arial" w:cs="Arial"/>
          <w:b/>
          <w:bCs/>
          <w:sz w:val="48"/>
          <w:szCs w:val="48"/>
        </w:rPr>
        <w:t xml:space="preserve"> (2,500 words)</w:t>
      </w:r>
    </w:p>
    <w:p w14:paraId="0351FA41" w14:textId="520AA488" w:rsidR="00F33783" w:rsidRPr="001B7AD4" w:rsidRDefault="00F33783" w:rsidP="00F33783">
      <w:pPr>
        <w:rPr>
          <w:rFonts w:ascii="Arial" w:hAnsi="Arial" w:cs="Arial"/>
          <w:b/>
          <w:bCs/>
        </w:rPr>
      </w:pPr>
      <w:r w:rsidRPr="001B7AD4">
        <w:rPr>
          <w:rFonts w:ascii="Arial" w:hAnsi="Arial" w:cs="Arial"/>
          <w:b/>
          <w:bCs/>
        </w:rPr>
        <w:t xml:space="preserve">                                               </w:t>
      </w:r>
    </w:p>
    <w:p w14:paraId="759E0C3A" w14:textId="77777777" w:rsidR="00F33783" w:rsidRPr="001B7AD4" w:rsidRDefault="00F33783" w:rsidP="00F33783">
      <w:pPr>
        <w:rPr>
          <w:rFonts w:ascii="Arial" w:hAnsi="Arial" w:cs="Arial"/>
          <w:b/>
          <w:bCs/>
        </w:rPr>
      </w:pPr>
    </w:p>
    <w:p w14:paraId="4B481630" w14:textId="78AF8AA5" w:rsidR="00F33783" w:rsidRPr="00F63D1A" w:rsidRDefault="00F33783" w:rsidP="00F33783">
      <w:pPr>
        <w:rPr>
          <w:rFonts w:ascii="Arial" w:hAnsi="Arial" w:cs="Arial"/>
          <w:b/>
          <w:bCs/>
          <w:sz w:val="48"/>
          <w:szCs w:val="48"/>
          <w:lang w:val="de-DE"/>
        </w:rPr>
      </w:pPr>
      <w:r w:rsidRPr="00F63D1A">
        <w:rPr>
          <w:rFonts w:ascii="Arial" w:hAnsi="Arial" w:cs="Arial"/>
          <w:b/>
          <w:bCs/>
          <w:sz w:val="48"/>
          <w:szCs w:val="48"/>
          <w:lang w:val="de-DE"/>
        </w:rPr>
        <w:t xml:space="preserve">Student </w:t>
      </w:r>
      <w:r w:rsidR="00F63D1A" w:rsidRPr="00F63D1A">
        <w:rPr>
          <w:rFonts w:ascii="Arial" w:hAnsi="Arial" w:cs="Arial"/>
          <w:b/>
          <w:bCs/>
          <w:sz w:val="48"/>
          <w:szCs w:val="48"/>
          <w:lang w:val="de-DE"/>
        </w:rPr>
        <w:t>Name</w:t>
      </w:r>
      <w:r w:rsidRPr="00F63D1A">
        <w:rPr>
          <w:rFonts w:ascii="Arial" w:hAnsi="Arial" w:cs="Arial"/>
          <w:b/>
          <w:bCs/>
          <w:sz w:val="48"/>
          <w:szCs w:val="48"/>
          <w:lang w:val="de-DE"/>
        </w:rPr>
        <w:t>:</w:t>
      </w:r>
      <w:r w:rsidR="00F63D1A">
        <w:rPr>
          <w:rFonts w:ascii="Arial" w:hAnsi="Arial" w:cs="Arial"/>
          <w:b/>
          <w:bCs/>
          <w:sz w:val="48"/>
          <w:szCs w:val="48"/>
          <w:lang w:val="de-DE"/>
        </w:rPr>
        <w:t xml:space="preserve"> </w:t>
      </w:r>
      <w:r w:rsidR="00F63D1A" w:rsidRPr="00F63D1A">
        <w:rPr>
          <w:rFonts w:ascii="Arial" w:hAnsi="Arial" w:cs="Arial"/>
          <w:sz w:val="48"/>
          <w:szCs w:val="48"/>
          <w:lang w:val="de-DE"/>
        </w:rPr>
        <w:t>Esther Efe Gomugor</w:t>
      </w:r>
    </w:p>
    <w:p w14:paraId="278818DD" w14:textId="22A30D35" w:rsidR="00F33783" w:rsidRPr="00F63D1A" w:rsidRDefault="00F33783" w:rsidP="00F33783">
      <w:pPr>
        <w:rPr>
          <w:rFonts w:ascii="Arial" w:hAnsi="Arial" w:cs="Arial"/>
          <w:sz w:val="48"/>
          <w:szCs w:val="48"/>
          <w:lang w:val="nl-NL"/>
        </w:rPr>
      </w:pPr>
      <w:r w:rsidRPr="00F63D1A">
        <w:rPr>
          <w:rFonts w:ascii="Arial" w:hAnsi="Arial" w:cs="Arial"/>
          <w:b/>
          <w:bCs/>
          <w:sz w:val="48"/>
          <w:szCs w:val="48"/>
          <w:lang w:val="nl-NL"/>
        </w:rPr>
        <w:t>Student ID:</w:t>
      </w:r>
      <w:r w:rsidR="00F63D1A" w:rsidRPr="00F63D1A">
        <w:rPr>
          <w:rFonts w:ascii="Arial" w:hAnsi="Arial" w:cs="Arial"/>
          <w:sz w:val="48"/>
          <w:szCs w:val="48"/>
          <w:lang w:val="nl-NL"/>
        </w:rPr>
        <w:t>2022275</w:t>
      </w:r>
    </w:p>
    <w:p w14:paraId="2B2E9F91" w14:textId="77777777" w:rsidR="00F33783" w:rsidRPr="00F63D1A" w:rsidRDefault="00F33783" w:rsidP="00F33783">
      <w:pPr>
        <w:rPr>
          <w:rFonts w:ascii="Arial" w:hAnsi="Arial" w:cs="Arial"/>
          <w:b/>
          <w:bCs/>
          <w:sz w:val="48"/>
          <w:szCs w:val="48"/>
          <w:lang w:val="nl-NL"/>
        </w:rPr>
      </w:pPr>
    </w:p>
    <w:p w14:paraId="36AC49E1" w14:textId="77777777" w:rsidR="00F33783" w:rsidRPr="00F63D1A" w:rsidRDefault="00F33783" w:rsidP="00F33783">
      <w:pPr>
        <w:rPr>
          <w:rFonts w:ascii="Arial" w:hAnsi="Arial" w:cs="Arial"/>
          <w:b/>
          <w:bCs/>
          <w:sz w:val="48"/>
          <w:szCs w:val="48"/>
        </w:rPr>
      </w:pPr>
      <w:r w:rsidRPr="00F63D1A">
        <w:rPr>
          <w:rFonts w:ascii="Arial" w:hAnsi="Arial" w:cs="Arial"/>
          <w:b/>
          <w:bCs/>
          <w:sz w:val="48"/>
          <w:szCs w:val="48"/>
        </w:rPr>
        <w:t xml:space="preserve">Module name: </w:t>
      </w:r>
      <w:r w:rsidRPr="00F63D1A">
        <w:rPr>
          <w:rFonts w:ascii="Arial" w:hAnsi="Arial" w:cs="Arial"/>
          <w:sz w:val="48"/>
          <w:szCs w:val="48"/>
        </w:rPr>
        <w:t>Children, Young People and Families</w:t>
      </w:r>
    </w:p>
    <w:p w14:paraId="0A9B0C2A" w14:textId="77777777" w:rsidR="00F33783" w:rsidRPr="00F63D1A" w:rsidRDefault="00F33783" w:rsidP="00F33783">
      <w:pPr>
        <w:rPr>
          <w:rFonts w:ascii="Arial" w:hAnsi="Arial" w:cs="Arial"/>
          <w:b/>
          <w:bCs/>
          <w:sz w:val="48"/>
          <w:szCs w:val="48"/>
          <w:lang w:val="fr-FR"/>
        </w:rPr>
      </w:pPr>
      <w:r w:rsidRPr="00F63D1A">
        <w:rPr>
          <w:rFonts w:ascii="Arial" w:hAnsi="Arial" w:cs="Arial"/>
          <w:b/>
          <w:bCs/>
          <w:sz w:val="48"/>
          <w:szCs w:val="48"/>
          <w:lang w:val="fr-FR"/>
        </w:rPr>
        <w:t xml:space="preserve">Module code: </w:t>
      </w:r>
      <w:r w:rsidRPr="00F63D1A">
        <w:rPr>
          <w:rFonts w:ascii="Arial" w:hAnsi="Arial" w:cs="Arial"/>
          <w:sz w:val="48"/>
          <w:szCs w:val="48"/>
          <w:lang w:val="fr-FR"/>
        </w:rPr>
        <w:t>(BMHP5004_LON)</w:t>
      </w:r>
    </w:p>
    <w:p w14:paraId="05750C47" w14:textId="2C71B7FB" w:rsidR="00F33783" w:rsidRPr="00553B46" w:rsidRDefault="00F63D1A" w:rsidP="00F33783">
      <w:pPr>
        <w:rPr>
          <w:rFonts w:ascii="Arial" w:hAnsi="Arial" w:cs="Arial"/>
          <w:sz w:val="48"/>
          <w:szCs w:val="48"/>
        </w:rPr>
      </w:pPr>
      <w:r w:rsidRPr="00F63D1A">
        <w:rPr>
          <w:rFonts w:ascii="Arial" w:hAnsi="Arial" w:cs="Arial"/>
          <w:b/>
          <w:bCs/>
          <w:sz w:val="48"/>
          <w:szCs w:val="48"/>
        </w:rPr>
        <w:t>Lecture</w:t>
      </w:r>
      <w:r w:rsidR="00F33783" w:rsidRPr="00F63D1A">
        <w:rPr>
          <w:rFonts w:ascii="Arial" w:hAnsi="Arial" w:cs="Arial"/>
          <w:b/>
          <w:bCs/>
          <w:sz w:val="48"/>
          <w:szCs w:val="48"/>
        </w:rPr>
        <w:t xml:space="preserve"> </w:t>
      </w:r>
      <w:r w:rsidRPr="00F63D1A">
        <w:rPr>
          <w:rFonts w:ascii="Arial" w:hAnsi="Arial" w:cs="Arial"/>
          <w:b/>
          <w:bCs/>
          <w:sz w:val="48"/>
          <w:szCs w:val="48"/>
        </w:rPr>
        <w:t>Name</w:t>
      </w:r>
      <w:r w:rsidR="00F33783" w:rsidRPr="00F63D1A">
        <w:rPr>
          <w:rFonts w:ascii="Arial" w:hAnsi="Arial" w:cs="Arial"/>
          <w:b/>
          <w:bCs/>
          <w:sz w:val="48"/>
          <w:szCs w:val="48"/>
        </w:rPr>
        <w:t xml:space="preserve">: </w:t>
      </w:r>
      <w:r w:rsidRPr="00F63D1A">
        <w:rPr>
          <w:rFonts w:ascii="Arial" w:hAnsi="Arial" w:cs="Arial"/>
          <w:sz w:val="48"/>
          <w:szCs w:val="48"/>
        </w:rPr>
        <w:t>Jolly</w:t>
      </w:r>
      <w:r w:rsidR="00553B46">
        <w:rPr>
          <w:rFonts w:ascii="Arial" w:hAnsi="Arial" w:cs="Arial"/>
          <w:sz w:val="48"/>
          <w:szCs w:val="48"/>
        </w:rPr>
        <w:t xml:space="preserve"> Nwankwo</w:t>
      </w:r>
      <w:r w:rsidR="00F33783" w:rsidRPr="00F63D1A">
        <w:rPr>
          <w:rFonts w:ascii="Arial" w:hAnsi="Arial" w:cs="Arial"/>
          <w:b/>
          <w:bCs/>
          <w:sz w:val="48"/>
          <w:szCs w:val="48"/>
        </w:rPr>
        <w:t xml:space="preserve"> </w:t>
      </w:r>
    </w:p>
    <w:p w14:paraId="7664C074" w14:textId="77777777" w:rsidR="00F33783" w:rsidRPr="00F63D1A" w:rsidRDefault="00F33783" w:rsidP="00F33783">
      <w:pPr>
        <w:rPr>
          <w:rFonts w:ascii="Arial" w:hAnsi="Arial" w:cs="Arial"/>
          <w:b/>
          <w:bCs/>
          <w:sz w:val="48"/>
          <w:szCs w:val="48"/>
        </w:rPr>
      </w:pPr>
    </w:p>
    <w:p w14:paraId="123818FB" w14:textId="77777777" w:rsidR="00F33783" w:rsidRPr="001B7AD4" w:rsidRDefault="00F33783" w:rsidP="00F33783">
      <w:pPr>
        <w:rPr>
          <w:rFonts w:ascii="Arial" w:hAnsi="Arial" w:cs="Arial"/>
          <w:b/>
          <w:bCs/>
        </w:rPr>
      </w:pPr>
    </w:p>
    <w:p w14:paraId="0D230BF6" w14:textId="71D0C481" w:rsidR="00F33783" w:rsidRPr="001B7AD4" w:rsidRDefault="00F33783" w:rsidP="00F33783">
      <w:pPr>
        <w:rPr>
          <w:rFonts w:ascii="Arial" w:hAnsi="Arial" w:cs="Arial"/>
          <w:b/>
          <w:bCs/>
        </w:rPr>
      </w:pPr>
    </w:p>
    <w:p w14:paraId="710F8FE2" w14:textId="77777777" w:rsidR="003A29D8" w:rsidRPr="001B7AD4" w:rsidRDefault="003A29D8" w:rsidP="00F33783">
      <w:pPr>
        <w:rPr>
          <w:rFonts w:ascii="Arial" w:hAnsi="Arial" w:cs="Arial"/>
          <w:b/>
          <w:bCs/>
        </w:rPr>
      </w:pPr>
    </w:p>
    <w:p w14:paraId="148E8761" w14:textId="77777777" w:rsidR="00F33783" w:rsidRPr="001B7AD4" w:rsidRDefault="00F33783" w:rsidP="00F33783">
      <w:pPr>
        <w:rPr>
          <w:rFonts w:ascii="Arial" w:hAnsi="Arial" w:cs="Arial"/>
          <w:b/>
          <w:bCs/>
        </w:rPr>
      </w:pPr>
    </w:p>
    <w:p w14:paraId="4E3E472A" w14:textId="77777777" w:rsidR="00F33783" w:rsidRPr="001B7AD4" w:rsidRDefault="00F33783">
      <w:pPr>
        <w:rPr>
          <w:rFonts w:ascii="Arial" w:hAnsi="Arial" w:cs="Arial"/>
          <w:b/>
          <w:bCs/>
        </w:rPr>
      </w:pPr>
    </w:p>
    <w:p w14:paraId="4D7993EF" w14:textId="183553AF" w:rsidR="00463AB1" w:rsidRPr="001B7AD4" w:rsidRDefault="00EA1E91" w:rsidP="00F36B90">
      <w:pPr>
        <w:pStyle w:val="Heading1"/>
      </w:pPr>
      <w:r w:rsidRPr="001B7AD4">
        <w:t xml:space="preserve">Introduction </w:t>
      </w:r>
    </w:p>
    <w:p w14:paraId="50D81E3D" w14:textId="7124AC10" w:rsidR="00463AB1" w:rsidRDefault="00F36B90" w:rsidP="00F36B90">
      <w:pPr>
        <w:spacing w:after="0" w:line="360" w:lineRule="auto"/>
        <w:rPr>
          <w:rFonts w:ascii="Arial" w:hAnsi="Arial" w:cs="Arial"/>
        </w:rPr>
      </w:pPr>
      <w:r w:rsidRPr="00F36B90">
        <w:rPr>
          <w:rFonts w:ascii="Arial" w:hAnsi="Arial" w:cs="Arial"/>
        </w:rPr>
        <w:t>Although being a child is what childhood commonly refers to, there are many other ways to define it (Jenks 2015). The purpose of the following essay is to investigate the definitions from the cognitive and socialisation perspectives, the social construction of childhood, the changes that have occurred in children and their families over time and how they have affected the lives of children, young people, and families with regard to health and social inequalities, as well as interventions that support the vulnerable. It is clear from this that attitudes towards children have changed through time, which has necessitated the implementation of legislation to safeguard them. However, greater investment in the quality of childhood is crucial.</w:t>
      </w:r>
    </w:p>
    <w:p w14:paraId="632D8F7D" w14:textId="77777777" w:rsidR="001B7AD4" w:rsidRDefault="001B7AD4" w:rsidP="001B7AD4">
      <w:pPr>
        <w:spacing w:after="0" w:line="360" w:lineRule="auto"/>
        <w:rPr>
          <w:rFonts w:ascii="Arial" w:hAnsi="Arial" w:cs="Arial"/>
        </w:rPr>
      </w:pPr>
    </w:p>
    <w:p w14:paraId="27C8EDEF" w14:textId="0EE2E12C" w:rsidR="008E21DE" w:rsidRPr="00F36B90" w:rsidRDefault="008E21DE" w:rsidP="00F36B90">
      <w:pPr>
        <w:pStyle w:val="Heading1"/>
      </w:pPr>
      <w:bookmarkStart w:id="0" w:name="_Hlk144982447"/>
      <w:r w:rsidRPr="00F36B90">
        <w:t>Definitions of childhood and discuss key elements of family life and childhood</w:t>
      </w:r>
    </w:p>
    <w:p w14:paraId="2BDDF108" w14:textId="05B96A34" w:rsidR="002604EF" w:rsidRDefault="002604EF" w:rsidP="002604EF">
      <w:pPr>
        <w:spacing w:line="360" w:lineRule="auto"/>
        <w:rPr>
          <w:rFonts w:ascii="Arial" w:hAnsi="Arial" w:cs="Arial"/>
        </w:rPr>
      </w:pPr>
      <w:r w:rsidRPr="002604EF">
        <w:rPr>
          <w:rFonts w:ascii="Arial" w:hAnsi="Arial" w:cs="Arial"/>
        </w:rPr>
        <w:t>Childhood is a separate stage of human existence that normally lasts from infancy through puberty and is characterised by a time of dependency, growth, and maturation. It is characterised by considerable changes in an individual's physical, cognitive, emotional, and social makeup and has a major impact on how that person develops throughout their lifetime. Childhood and a number of important aspects of family life are interwoven.</w:t>
      </w:r>
    </w:p>
    <w:p w14:paraId="31C8EA11" w14:textId="0F243A1C" w:rsidR="00F36B90" w:rsidRPr="00F36B90" w:rsidRDefault="00F36B90" w:rsidP="00F36B90">
      <w:pPr>
        <w:spacing w:line="360" w:lineRule="auto"/>
        <w:rPr>
          <w:rFonts w:ascii="Arial" w:hAnsi="Arial" w:cs="Arial"/>
        </w:rPr>
      </w:pPr>
      <w:r w:rsidRPr="00603F21">
        <w:rPr>
          <w:rFonts w:ascii="Arial" w:hAnsi="Arial" w:cs="Arial"/>
          <w:b/>
          <w:bCs/>
        </w:rPr>
        <w:t>Dependence and Care:</w:t>
      </w:r>
      <w:r w:rsidRPr="00F36B90">
        <w:rPr>
          <w:rFonts w:ascii="Arial" w:hAnsi="Arial" w:cs="Arial"/>
        </w:rPr>
        <w:t xml:space="preserve"> From the time a child is born, their fundamental needs—such as food, housing, and protection—are entirely dependent upon the carers who are typically their parents or legal guardians. Families are the primary source of love, care, and support for infants and early children.</w:t>
      </w:r>
    </w:p>
    <w:p w14:paraId="03C86B9E" w14:textId="5E11773E" w:rsidR="00F36B90" w:rsidRPr="00F36B90" w:rsidRDefault="00F36B90" w:rsidP="00F36B90">
      <w:pPr>
        <w:spacing w:line="360" w:lineRule="auto"/>
        <w:rPr>
          <w:rFonts w:ascii="Arial" w:hAnsi="Arial" w:cs="Arial"/>
        </w:rPr>
      </w:pPr>
      <w:r w:rsidRPr="00603F21">
        <w:rPr>
          <w:rFonts w:ascii="Arial" w:hAnsi="Arial" w:cs="Arial"/>
          <w:b/>
          <w:bCs/>
        </w:rPr>
        <w:t>Socialisation:</w:t>
      </w:r>
      <w:r w:rsidRPr="00F36B90">
        <w:rPr>
          <w:rFonts w:ascii="Arial" w:hAnsi="Arial" w:cs="Arial"/>
        </w:rPr>
        <w:t xml:space="preserve"> During childhood, families serve as the main socialisation force. From their families, children pick up cultural norms, values, and behaviours. Through their encounters with family members, they develop language abilities, societal expectations, and interpersonal relationships.</w:t>
      </w:r>
    </w:p>
    <w:p w14:paraId="7E40308D" w14:textId="4DE59003" w:rsidR="00F36B90" w:rsidRDefault="00F36B90" w:rsidP="00F36B90">
      <w:pPr>
        <w:spacing w:line="360" w:lineRule="auto"/>
        <w:rPr>
          <w:rFonts w:ascii="Arial" w:hAnsi="Arial" w:cs="Arial"/>
        </w:rPr>
      </w:pPr>
      <w:r w:rsidRPr="00603F21">
        <w:rPr>
          <w:rFonts w:ascii="Arial" w:hAnsi="Arial" w:cs="Arial"/>
          <w:b/>
          <w:bCs/>
        </w:rPr>
        <w:t>Education and Cognitive Development:</w:t>
      </w:r>
      <w:r w:rsidRPr="00F36B90">
        <w:rPr>
          <w:rFonts w:ascii="Arial" w:hAnsi="Arial" w:cs="Arial"/>
        </w:rPr>
        <w:t xml:space="preserve"> Children's brains develop quickly throughout this stage of life. Families frequently play a key role in facilitating intellectual development and offering educational chances. The family's reading, storytelling, and educational games help children's cognitive growth.</w:t>
      </w:r>
    </w:p>
    <w:p w14:paraId="553E5594" w14:textId="048C4016" w:rsidR="00603F21" w:rsidRPr="00603F21" w:rsidRDefault="00603F21" w:rsidP="00603F21">
      <w:pPr>
        <w:spacing w:line="360" w:lineRule="auto"/>
        <w:rPr>
          <w:rFonts w:ascii="Arial" w:hAnsi="Arial" w:cs="Arial"/>
        </w:rPr>
      </w:pPr>
      <w:r w:rsidRPr="00603F21">
        <w:rPr>
          <w:rFonts w:ascii="Arial" w:hAnsi="Arial" w:cs="Arial"/>
          <w:b/>
          <w:bCs/>
        </w:rPr>
        <w:lastRenderedPageBreak/>
        <w:t>Emotional Development:</w:t>
      </w:r>
      <w:r w:rsidRPr="00603F21">
        <w:rPr>
          <w:rFonts w:ascii="Arial" w:hAnsi="Arial" w:cs="Arial"/>
        </w:rPr>
        <w:t xml:space="preserve"> Emotional intelligence develops during childhood. For kids to learn about and express their emotions, families offer a secure and supportive atmosphere. The development of emotional ties and attachments depends heavily on this time period.</w:t>
      </w:r>
    </w:p>
    <w:p w14:paraId="5365F62A" w14:textId="2576D81F" w:rsidR="00603F21" w:rsidRPr="00603F21" w:rsidRDefault="00603F21" w:rsidP="00603F21">
      <w:pPr>
        <w:spacing w:line="360" w:lineRule="auto"/>
        <w:rPr>
          <w:rFonts w:ascii="Arial" w:hAnsi="Arial" w:cs="Arial"/>
        </w:rPr>
      </w:pPr>
      <w:r w:rsidRPr="00603F21">
        <w:rPr>
          <w:rFonts w:ascii="Arial" w:hAnsi="Arial" w:cs="Arial"/>
          <w:b/>
          <w:bCs/>
        </w:rPr>
        <w:t>Play and Creativity:</w:t>
      </w:r>
      <w:r w:rsidRPr="00603F21">
        <w:rPr>
          <w:rFonts w:ascii="Arial" w:hAnsi="Arial" w:cs="Arial"/>
        </w:rPr>
        <w:t xml:space="preserve"> Children should always be encouraged to play. A child's physical, social, and cognitive development is supported when families provide places and opportunity for play. Children develop problem-solving, creativity, and social skills through play.</w:t>
      </w:r>
    </w:p>
    <w:p w14:paraId="3F712FA2" w14:textId="58C61DA7" w:rsidR="00603F21" w:rsidRPr="00603F21" w:rsidRDefault="00603F21" w:rsidP="00603F21">
      <w:pPr>
        <w:spacing w:line="360" w:lineRule="auto"/>
        <w:rPr>
          <w:rFonts w:ascii="Arial" w:hAnsi="Arial" w:cs="Arial"/>
        </w:rPr>
      </w:pPr>
      <w:r w:rsidRPr="00603F21">
        <w:rPr>
          <w:rFonts w:ascii="Arial" w:hAnsi="Arial" w:cs="Arial"/>
        </w:rPr>
        <w:t xml:space="preserve"> </w:t>
      </w:r>
      <w:r w:rsidRPr="00603F21">
        <w:rPr>
          <w:rFonts w:ascii="Arial" w:hAnsi="Arial" w:cs="Arial"/>
          <w:b/>
          <w:bCs/>
        </w:rPr>
        <w:t>Safety and Security:</w:t>
      </w:r>
      <w:r w:rsidRPr="00603F21">
        <w:rPr>
          <w:rFonts w:ascii="Arial" w:hAnsi="Arial" w:cs="Arial"/>
        </w:rPr>
        <w:t xml:space="preserve"> Families are in charge of making sure that children are safe and secure. This covers both physical and psychological as well as emotional safety. The total wellbeing of a child is influenced by a stable and supportive familial environment.</w:t>
      </w:r>
      <w:r w:rsidRPr="00603F21">
        <w:t xml:space="preserve"> </w:t>
      </w:r>
      <w:r w:rsidRPr="00603F21">
        <w:rPr>
          <w:rFonts w:ascii="Arial" w:hAnsi="Arial" w:cs="Arial"/>
        </w:rPr>
        <w:t>7. Identity Formation: Children begin to form their sense of self and identity during their formative years. Family influences—including cultural and religious beliefs—have a big impact on how an identity develops in a child.</w:t>
      </w:r>
    </w:p>
    <w:p w14:paraId="743D2E4B" w14:textId="013E5427" w:rsidR="00603F21" w:rsidRPr="00603F21" w:rsidRDefault="00603F21" w:rsidP="00603F21">
      <w:pPr>
        <w:spacing w:line="360" w:lineRule="auto"/>
        <w:rPr>
          <w:rFonts w:ascii="Arial" w:hAnsi="Arial" w:cs="Arial"/>
        </w:rPr>
      </w:pPr>
      <w:r w:rsidRPr="00603F21">
        <w:rPr>
          <w:rFonts w:ascii="Arial" w:hAnsi="Arial" w:cs="Arial"/>
        </w:rPr>
        <w:t xml:space="preserve"> </w:t>
      </w:r>
      <w:r w:rsidRPr="00603F21">
        <w:rPr>
          <w:rFonts w:ascii="Arial" w:hAnsi="Arial" w:cs="Arial"/>
          <w:b/>
          <w:bCs/>
        </w:rPr>
        <w:t>Social Bonds and Relationships:</w:t>
      </w:r>
      <w:r w:rsidRPr="00603F21">
        <w:rPr>
          <w:rFonts w:ascii="Arial" w:hAnsi="Arial" w:cs="Arial"/>
        </w:rPr>
        <w:t xml:space="preserve"> Children learn about several types of relationships through family life, such as sibling relationships, parent-child relationships, and ties to the extended family. A child's capacity to establish and maintain relationships throughout their life is shaped by these early experiences.</w:t>
      </w:r>
    </w:p>
    <w:p w14:paraId="6A25E848" w14:textId="6CC939E5" w:rsidR="00603F21" w:rsidRPr="00603F21" w:rsidRDefault="00603F21" w:rsidP="00603F21">
      <w:pPr>
        <w:spacing w:line="360" w:lineRule="auto"/>
        <w:rPr>
          <w:rFonts w:ascii="Arial" w:hAnsi="Arial" w:cs="Arial"/>
        </w:rPr>
      </w:pPr>
      <w:r w:rsidRPr="00603F21">
        <w:rPr>
          <w:rFonts w:ascii="Arial" w:hAnsi="Arial" w:cs="Arial"/>
          <w:b/>
          <w:bCs/>
        </w:rPr>
        <w:t>Families</w:t>
      </w:r>
      <w:r w:rsidRPr="00603F21">
        <w:rPr>
          <w:rFonts w:ascii="Arial" w:hAnsi="Arial" w:cs="Arial"/>
        </w:rPr>
        <w:t xml:space="preserve"> are in charge of ensuring that children receive sufficient healthcare and nutrition. Children's health is a priority for families because childhood is a crucial time for physical development and growth.</w:t>
      </w:r>
    </w:p>
    <w:p w14:paraId="2CE07834" w14:textId="3F71856E" w:rsidR="00F36B90" w:rsidRDefault="00603F21" w:rsidP="00603F21">
      <w:pPr>
        <w:spacing w:line="360" w:lineRule="auto"/>
        <w:rPr>
          <w:rFonts w:ascii="Arial" w:hAnsi="Arial" w:cs="Arial"/>
        </w:rPr>
      </w:pPr>
      <w:r w:rsidRPr="00603F21">
        <w:rPr>
          <w:rFonts w:ascii="Arial" w:hAnsi="Arial" w:cs="Arial"/>
          <w:b/>
          <w:bCs/>
        </w:rPr>
        <w:t>Transition to Adulthood:</w:t>
      </w:r>
      <w:r w:rsidRPr="00603F21">
        <w:rPr>
          <w:rFonts w:ascii="Arial" w:hAnsi="Arial" w:cs="Arial"/>
        </w:rPr>
        <w:t xml:space="preserve"> Growing up helps people prepare for adulthood. Families assist youngsters in adjusting to this change by imparting life skills,</w:t>
      </w:r>
      <w:r>
        <w:rPr>
          <w:rFonts w:ascii="Arial" w:hAnsi="Arial" w:cs="Arial"/>
        </w:rPr>
        <w:t xml:space="preserve"> </w:t>
      </w:r>
      <w:r w:rsidRPr="00603F21">
        <w:rPr>
          <w:rFonts w:ascii="Arial" w:hAnsi="Arial" w:cs="Arial"/>
        </w:rPr>
        <w:t>responsibilities and ideals. They aid in determining professional paths and objectives for the future.</w:t>
      </w:r>
    </w:p>
    <w:p w14:paraId="56A95A34" w14:textId="21CBD649" w:rsidR="00603F21" w:rsidRPr="002604EF" w:rsidRDefault="003C290F" w:rsidP="003C290F">
      <w:pPr>
        <w:spacing w:line="360" w:lineRule="auto"/>
        <w:rPr>
          <w:rFonts w:ascii="Arial" w:hAnsi="Arial" w:cs="Arial"/>
        </w:rPr>
      </w:pPr>
      <w:r w:rsidRPr="003C290F">
        <w:rPr>
          <w:rFonts w:ascii="Arial" w:hAnsi="Arial" w:cs="Arial"/>
        </w:rPr>
        <w:t>According to scientific definitions, early childhood includes people between the ages of one and eight, and late childhood includes those between the ages of eight and twelve. According to Maree (2021), the psychosocial developmental theory, which was widely used in the 20th century, is one of the theories that handle children. It recognises eight developmental phases in children that are related to social development. According to the article, there are crises at different stages of development. The first is the trust vs. mistrust phase, when the child discovers how important the people in their environment and those who look after them are. Since the child transfers the trust to subsequent relationships, it is the parents' duty as the child's primary carer to foster trust. the transition from childhood to</w:t>
      </w:r>
      <w:r>
        <w:rPr>
          <w:rFonts w:ascii="Arial" w:hAnsi="Arial" w:cs="Arial"/>
        </w:rPr>
        <w:t xml:space="preserve"> t</w:t>
      </w:r>
      <w:r w:rsidRPr="003C290F">
        <w:rPr>
          <w:rFonts w:ascii="Arial" w:hAnsi="Arial" w:cs="Arial"/>
        </w:rPr>
        <w:t xml:space="preserve">he autonomy vs. shame and doubt conflict pits the child's growing self-awareness against doubt and guilt, which has an impact on how they interact with others (Scheck 2014). As a </w:t>
      </w:r>
      <w:r w:rsidRPr="003C290F">
        <w:rPr>
          <w:rFonts w:ascii="Arial" w:hAnsi="Arial" w:cs="Arial"/>
        </w:rPr>
        <w:lastRenderedPageBreak/>
        <w:t>result, they try to fit in with societal norms, which suggests that how society views the kids is a crucial factor in determining who they are.</w:t>
      </w:r>
    </w:p>
    <w:p w14:paraId="1F71CF1D" w14:textId="77777777" w:rsidR="002604EF" w:rsidRPr="002604EF" w:rsidRDefault="002604EF" w:rsidP="002604EF"/>
    <w:bookmarkEnd w:id="0"/>
    <w:p w14:paraId="14934005" w14:textId="20FAC53D" w:rsidR="008E21DE" w:rsidRDefault="008E21DE" w:rsidP="00F36B90">
      <w:pPr>
        <w:pStyle w:val="Heading1"/>
      </w:pPr>
      <w:r w:rsidRPr="001B7AD4">
        <w:t>Historical construction of childhood</w:t>
      </w:r>
    </w:p>
    <w:p w14:paraId="587C5CCA" w14:textId="77777777" w:rsidR="008F533F" w:rsidRPr="00E949C4" w:rsidRDefault="008F533F" w:rsidP="008F533F">
      <w:pPr>
        <w:rPr>
          <w:rFonts w:ascii="Arial" w:hAnsi="Arial" w:cs="Arial"/>
        </w:rPr>
      </w:pPr>
      <w:r w:rsidRPr="00E949C4">
        <w:rPr>
          <w:rFonts w:ascii="Arial" w:hAnsi="Arial" w:cs="Arial"/>
        </w:rPr>
        <w:t>Over time, a number of complicated interrelated elements, such as changes in legislation and policy, have influenced how society constructs children and families. Examining different historical eras and the major factors that have changed society beliefs and structures about families and childhood is necessary to comprehend these changes.</w:t>
      </w:r>
    </w:p>
    <w:p w14:paraId="509E9C36" w14:textId="77777777" w:rsidR="008F533F" w:rsidRPr="00E949C4" w:rsidRDefault="008F533F" w:rsidP="008F533F">
      <w:pPr>
        <w:rPr>
          <w:rFonts w:ascii="Arial" w:hAnsi="Arial" w:cs="Arial"/>
          <w:b/>
          <w:bCs/>
        </w:rPr>
      </w:pPr>
      <w:r w:rsidRPr="00E949C4">
        <w:rPr>
          <w:rFonts w:ascii="Arial" w:hAnsi="Arial" w:cs="Arial"/>
          <w:b/>
          <w:bCs/>
        </w:rPr>
        <w:t>Historical perspectives on youth</w:t>
      </w:r>
    </w:p>
    <w:p w14:paraId="57C6FC94" w14:textId="77777777" w:rsidR="008F533F" w:rsidRPr="00E949C4" w:rsidRDefault="008F533F" w:rsidP="008F533F">
      <w:pPr>
        <w:rPr>
          <w:rFonts w:ascii="Arial" w:hAnsi="Arial" w:cs="Arial"/>
        </w:rPr>
      </w:pPr>
      <w:r w:rsidRPr="00E949C4">
        <w:rPr>
          <w:rFonts w:ascii="Arial" w:hAnsi="Arial" w:cs="Arial"/>
        </w:rPr>
        <w:t>Childhood was frequently viewed differently than it is today in ancient times. Children were frequently viewed as little grownups who should make early financial contributions to the household.</w:t>
      </w:r>
    </w:p>
    <w:p w14:paraId="7AA1046B" w14:textId="5361DF3F" w:rsidR="00E949C4" w:rsidRPr="00E949C4" w:rsidRDefault="008F533F" w:rsidP="00E949C4">
      <w:pPr>
        <w:rPr>
          <w:rFonts w:ascii="Arial" w:hAnsi="Arial" w:cs="Arial"/>
          <w:b/>
          <w:bCs/>
        </w:rPr>
      </w:pPr>
      <w:r w:rsidRPr="00E949C4">
        <w:rPr>
          <w:rFonts w:ascii="Arial" w:hAnsi="Arial" w:cs="Arial"/>
          <w:b/>
          <w:bCs/>
        </w:rPr>
        <w:t>Economic Revolution:</w:t>
      </w:r>
      <w:r w:rsidR="00E949C4">
        <w:rPr>
          <w:rFonts w:ascii="Arial" w:hAnsi="Arial" w:cs="Arial"/>
          <w:b/>
          <w:bCs/>
        </w:rPr>
        <w:t xml:space="preserve"> </w:t>
      </w:r>
      <w:r w:rsidRPr="00E949C4">
        <w:rPr>
          <w:rFonts w:ascii="Arial" w:hAnsi="Arial" w:cs="Arial"/>
        </w:rPr>
        <w:t xml:space="preserve">Family dynamics underwent a dramatic transformation as a result of the Industrial Revolution. Work and home life became segregated as a result of families moving from rural to urban areas to work in factories. There were more </w:t>
      </w:r>
      <w:r w:rsidRPr="00E949C4">
        <w:rPr>
          <w:rFonts w:ascii="Arial" w:hAnsi="Arial" w:cs="Arial"/>
        </w:rPr>
        <w:t xml:space="preserve"> children </w:t>
      </w:r>
      <w:r w:rsidRPr="00E949C4">
        <w:rPr>
          <w:rFonts w:ascii="Arial" w:hAnsi="Arial" w:cs="Arial"/>
        </w:rPr>
        <w:t>now</w:t>
      </w:r>
      <w:r w:rsidR="00E949C4" w:rsidRPr="00E949C4">
        <w:rPr>
          <w:rFonts w:ascii="Arial" w:hAnsi="Arial" w:cs="Arial"/>
        </w:rPr>
        <w:t xml:space="preserve"> </w:t>
      </w:r>
      <w:r w:rsidR="00E949C4" w:rsidRPr="00E949C4">
        <w:rPr>
          <w:rFonts w:ascii="Arial" w:hAnsi="Arial" w:cs="Arial"/>
        </w:rPr>
        <w:t>likely to go to school and stay out of the workforce.</w:t>
      </w:r>
    </w:p>
    <w:p w14:paraId="79125897" w14:textId="2CBC5363" w:rsidR="00E949C4" w:rsidRPr="00E949C4" w:rsidRDefault="00E949C4" w:rsidP="00E949C4">
      <w:pPr>
        <w:spacing w:line="360" w:lineRule="auto"/>
        <w:rPr>
          <w:rFonts w:ascii="Arial" w:hAnsi="Arial" w:cs="Arial"/>
          <w:b/>
          <w:bCs/>
        </w:rPr>
      </w:pPr>
      <w:r w:rsidRPr="00E949C4">
        <w:rPr>
          <w:rFonts w:ascii="Arial" w:hAnsi="Arial" w:cs="Arial"/>
          <w:b/>
          <w:bCs/>
        </w:rPr>
        <w:t>Regulation of Child Labour:</w:t>
      </w:r>
      <w:r>
        <w:rPr>
          <w:rFonts w:ascii="Arial" w:hAnsi="Arial" w:cs="Arial"/>
          <w:b/>
          <w:bCs/>
        </w:rPr>
        <w:t xml:space="preserve"> </w:t>
      </w:r>
      <w:r w:rsidRPr="00E949C4">
        <w:rPr>
          <w:rFonts w:ascii="Arial" w:hAnsi="Arial" w:cs="Arial"/>
        </w:rPr>
        <w:t>In many nations during the late 19th and early 20th centuries, child labour laws were passed in response to worries about child exploitation. These rules established minimum ages and limited the types of employment that minors might perform.</w:t>
      </w:r>
    </w:p>
    <w:p w14:paraId="345AD42B" w14:textId="443EAA33" w:rsidR="00E949C4" w:rsidRPr="00E949C4" w:rsidRDefault="00E949C4" w:rsidP="00E949C4">
      <w:pPr>
        <w:spacing w:line="360" w:lineRule="auto"/>
        <w:rPr>
          <w:rFonts w:ascii="Arial" w:hAnsi="Arial" w:cs="Arial"/>
          <w:b/>
          <w:bCs/>
        </w:rPr>
      </w:pPr>
      <w:r w:rsidRPr="00E949C4">
        <w:rPr>
          <w:rFonts w:ascii="Arial" w:hAnsi="Arial" w:cs="Arial"/>
          <w:b/>
          <w:bCs/>
        </w:rPr>
        <w:t>Psychology's Influence</w:t>
      </w:r>
      <w:r>
        <w:rPr>
          <w:rFonts w:ascii="Arial" w:hAnsi="Arial" w:cs="Arial"/>
          <w:b/>
          <w:bCs/>
        </w:rPr>
        <w:t xml:space="preserve"> </w:t>
      </w:r>
      <w:r w:rsidRPr="00E949C4">
        <w:rPr>
          <w:rFonts w:ascii="Arial" w:hAnsi="Arial" w:cs="Arial"/>
        </w:rPr>
        <w:t>The acknowledgment of childhood as a separate stage of life was made possible by the development of psychology as a field of study in the late 19th century. The developmental phases of children are clarified by the writings of scholars like Jean Piaget and Sigmund Freud.</w:t>
      </w:r>
    </w:p>
    <w:p w14:paraId="064CED2C" w14:textId="37865742" w:rsidR="0043731C" w:rsidRPr="0043731C" w:rsidRDefault="00E949C4" w:rsidP="0043731C">
      <w:pPr>
        <w:spacing w:line="360" w:lineRule="auto"/>
        <w:rPr>
          <w:rFonts w:ascii="Arial" w:hAnsi="Arial" w:cs="Arial"/>
          <w:b/>
          <w:bCs/>
        </w:rPr>
      </w:pPr>
      <w:r w:rsidRPr="00E949C4">
        <w:rPr>
          <w:rFonts w:ascii="Arial" w:hAnsi="Arial" w:cs="Arial"/>
          <w:b/>
          <w:bCs/>
        </w:rPr>
        <w:t>School Reforms:</w:t>
      </w:r>
      <w:r>
        <w:rPr>
          <w:rFonts w:ascii="Arial" w:hAnsi="Arial" w:cs="Arial"/>
          <w:b/>
          <w:bCs/>
        </w:rPr>
        <w:t xml:space="preserve"> </w:t>
      </w:r>
      <w:r w:rsidRPr="00E949C4">
        <w:rPr>
          <w:rFonts w:ascii="Arial" w:hAnsi="Arial" w:cs="Arial"/>
        </w:rPr>
        <w:t>Children now have more access to education thanks to changes made during the 19th and 20th centuries, such as regulations requiring attendance at school. This change highlighted the significance of</w:t>
      </w:r>
      <w:r w:rsidR="0043731C">
        <w:rPr>
          <w:rFonts w:ascii="Arial" w:hAnsi="Arial" w:cs="Arial"/>
        </w:rPr>
        <w:t xml:space="preserve"> </w:t>
      </w:r>
      <w:r w:rsidR="0043731C" w:rsidRPr="0043731C">
        <w:rPr>
          <w:rFonts w:ascii="Arial" w:hAnsi="Arial" w:cs="Arial"/>
        </w:rPr>
        <w:t>fostering a child's intellectual growth.</w:t>
      </w:r>
    </w:p>
    <w:p w14:paraId="503371F2" w14:textId="77777777" w:rsidR="0043731C" w:rsidRPr="0043731C" w:rsidRDefault="0043731C" w:rsidP="0043731C">
      <w:pPr>
        <w:spacing w:line="360" w:lineRule="auto"/>
        <w:rPr>
          <w:rFonts w:ascii="Arial" w:hAnsi="Arial" w:cs="Arial"/>
        </w:rPr>
      </w:pPr>
      <w:r w:rsidRPr="0043731C">
        <w:rPr>
          <w:rFonts w:ascii="Arial" w:hAnsi="Arial" w:cs="Arial"/>
        </w:rPr>
        <w:t>The Baby Boom and the Post-World War II Era</w:t>
      </w:r>
    </w:p>
    <w:p w14:paraId="0AE5FFD8" w14:textId="77777777" w:rsidR="0043731C" w:rsidRPr="0043731C" w:rsidRDefault="0043731C" w:rsidP="0043731C">
      <w:pPr>
        <w:spacing w:line="360" w:lineRule="auto"/>
        <w:rPr>
          <w:rFonts w:ascii="Arial" w:hAnsi="Arial" w:cs="Arial"/>
        </w:rPr>
      </w:pPr>
      <w:r w:rsidRPr="0043731C">
        <w:rPr>
          <w:rFonts w:ascii="Arial" w:hAnsi="Arial" w:cs="Arial"/>
        </w:rPr>
        <w:t>The "baby boom" era after World War II saw a considerable increase in the birth rate, which affected family dynamics. The nuclear family model, with a focus on suburban home life and domesticity, became the prevalent one.</w:t>
      </w:r>
    </w:p>
    <w:p w14:paraId="00D1A969" w14:textId="039AB054" w:rsidR="0043731C" w:rsidRPr="0043731C" w:rsidRDefault="0043731C" w:rsidP="0043731C">
      <w:pPr>
        <w:spacing w:line="360" w:lineRule="auto"/>
        <w:rPr>
          <w:rFonts w:ascii="Arial" w:hAnsi="Arial" w:cs="Arial"/>
        </w:rPr>
      </w:pPr>
      <w:r w:rsidRPr="0043731C">
        <w:rPr>
          <w:rFonts w:ascii="Arial" w:hAnsi="Arial" w:cs="Arial"/>
          <w:b/>
          <w:bCs/>
        </w:rPr>
        <w:t>Movement for Women's Liberation</w:t>
      </w:r>
      <w:r w:rsidRPr="0043731C">
        <w:rPr>
          <w:rFonts w:ascii="Arial" w:hAnsi="Arial" w:cs="Arial"/>
          <w:b/>
          <w:bCs/>
        </w:rPr>
        <w:t>:</w:t>
      </w:r>
      <w:r>
        <w:rPr>
          <w:rFonts w:ascii="Arial" w:hAnsi="Arial" w:cs="Arial"/>
        </w:rPr>
        <w:t xml:space="preserve"> </w:t>
      </w:r>
      <w:r w:rsidRPr="0043731C">
        <w:rPr>
          <w:rFonts w:ascii="Arial" w:hAnsi="Arial" w:cs="Arial"/>
        </w:rPr>
        <w:t>The 1960s and 1970s women's liberation movement questioned traditional gender roles in households. Family structures and childcare obligations were altered as a result of women's growing participation in the workforce.</w:t>
      </w:r>
    </w:p>
    <w:p w14:paraId="137821BF" w14:textId="1E0DEBA8" w:rsidR="0043731C" w:rsidRPr="0043731C" w:rsidRDefault="0043731C" w:rsidP="0043731C">
      <w:pPr>
        <w:spacing w:line="360" w:lineRule="auto"/>
        <w:rPr>
          <w:rFonts w:ascii="Arial" w:hAnsi="Arial" w:cs="Arial"/>
        </w:rPr>
      </w:pPr>
      <w:r w:rsidRPr="0043731C">
        <w:rPr>
          <w:rFonts w:ascii="Arial" w:hAnsi="Arial" w:cs="Arial"/>
        </w:rPr>
        <w:lastRenderedPageBreak/>
        <w:t>Same-Sex Parenting and LGBTQ+ Rights</w:t>
      </w:r>
      <w:r>
        <w:rPr>
          <w:rFonts w:ascii="Arial" w:hAnsi="Arial" w:cs="Arial"/>
        </w:rPr>
        <w:t xml:space="preserve"> </w:t>
      </w:r>
      <w:r w:rsidRPr="0043731C">
        <w:rPr>
          <w:rFonts w:ascii="Arial" w:hAnsi="Arial" w:cs="Arial"/>
        </w:rPr>
        <w:t>Recent strides in LGBTQ+ rights have increased acceptance of many family types, including same-sex couples with children. Many countries now support these families due to legal reforms.</w:t>
      </w:r>
    </w:p>
    <w:p w14:paraId="02B34603" w14:textId="77777777" w:rsidR="0043731C" w:rsidRPr="0043731C" w:rsidRDefault="0043731C" w:rsidP="0043731C">
      <w:pPr>
        <w:spacing w:line="360" w:lineRule="auto"/>
        <w:rPr>
          <w:rFonts w:ascii="Arial" w:hAnsi="Arial" w:cs="Arial"/>
          <w:b/>
          <w:bCs/>
        </w:rPr>
      </w:pPr>
      <w:r w:rsidRPr="0043731C">
        <w:rPr>
          <w:rFonts w:ascii="Arial" w:hAnsi="Arial" w:cs="Arial"/>
          <w:b/>
          <w:bCs/>
        </w:rPr>
        <w:t>Laws relating to child welfare and protection</w:t>
      </w:r>
    </w:p>
    <w:p w14:paraId="50D3621D" w14:textId="77777777" w:rsidR="00954AB0" w:rsidRPr="00954AB0" w:rsidRDefault="0043731C" w:rsidP="00954AB0">
      <w:pPr>
        <w:spacing w:line="360" w:lineRule="auto"/>
        <w:rPr>
          <w:rFonts w:ascii="Arial" w:hAnsi="Arial" w:cs="Arial"/>
        </w:rPr>
      </w:pPr>
      <w:r w:rsidRPr="0043731C">
        <w:rPr>
          <w:rFonts w:ascii="Arial" w:hAnsi="Arial" w:cs="Arial"/>
        </w:rPr>
        <w:t xml:space="preserve">ongoing initiatives to safeguard </w:t>
      </w:r>
      <w:r>
        <w:rPr>
          <w:rFonts w:ascii="Arial" w:hAnsi="Arial" w:cs="Arial"/>
        </w:rPr>
        <w:t>children</w:t>
      </w:r>
      <w:r w:rsidRPr="0043731C">
        <w:rPr>
          <w:rFonts w:ascii="Arial" w:hAnsi="Arial" w:cs="Arial"/>
        </w:rPr>
        <w:t xml:space="preserve"> from abuse</w:t>
      </w:r>
      <w:r w:rsidR="00954AB0">
        <w:rPr>
          <w:rFonts w:ascii="Arial" w:hAnsi="Arial" w:cs="Arial"/>
        </w:rPr>
        <w:t xml:space="preserve">  </w:t>
      </w:r>
      <w:r w:rsidR="00954AB0" w:rsidRPr="00954AB0">
        <w:rPr>
          <w:rFonts w:ascii="Arial" w:hAnsi="Arial" w:cs="Arial"/>
        </w:rPr>
        <w:t>and abuse have prompted the founding of child protection agencies and the development of child welfare systems. The protection and welfare of children are given top priority by these programmes.</w:t>
      </w:r>
    </w:p>
    <w:p w14:paraId="2AA0D9B7" w14:textId="358C7CB4" w:rsidR="00954AB0" w:rsidRPr="00954AB0" w:rsidRDefault="00954AB0" w:rsidP="00954AB0">
      <w:pPr>
        <w:spacing w:line="360" w:lineRule="auto"/>
        <w:rPr>
          <w:rFonts w:ascii="Arial" w:hAnsi="Arial" w:cs="Arial"/>
        </w:rPr>
      </w:pPr>
      <w:r w:rsidRPr="00954AB0">
        <w:rPr>
          <w:rFonts w:ascii="Arial" w:hAnsi="Arial" w:cs="Arial"/>
          <w:b/>
          <w:bCs/>
        </w:rPr>
        <w:t xml:space="preserve">The digital age and </w:t>
      </w:r>
      <w:r w:rsidRPr="00954AB0">
        <w:rPr>
          <w:rFonts w:ascii="Arial" w:hAnsi="Arial" w:cs="Arial"/>
          <w:b/>
          <w:bCs/>
        </w:rPr>
        <w:t>technology:</w:t>
      </w:r>
      <w:r w:rsidRPr="00954AB0">
        <w:rPr>
          <w:rFonts w:ascii="Arial" w:hAnsi="Arial" w:cs="Arial"/>
        </w:rPr>
        <w:t xml:space="preserve"> Technology’s</w:t>
      </w:r>
      <w:r w:rsidRPr="00954AB0">
        <w:rPr>
          <w:rFonts w:ascii="Arial" w:hAnsi="Arial" w:cs="Arial"/>
        </w:rPr>
        <w:t xml:space="preserve"> ubiquity and the advent of the digital age have altered childhood activities and affected how kids learn, interact with others, and communicate. For parents and legislators, the introduction of smartphones and the internet has created new difficulties.</w:t>
      </w:r>
    </w:p>
    <w:p w14:paraId="090CE077" w14:textId="62F94024" w:rsidR="00954AB0" w:rsidRPr="00954AB0" w:rsidRDefault="00954AB0" w:rsidP="00954AB0">
      <w:pPr>
        <w:spacing w:line="360" w:lineRule="auto"/>
        <w:rPr>
          <w:rFonts w:ascii="Arial" w:hAnsi="Arial" w:cs="Arial"/>
        </w:rPr>
      </w:pPr>
      <w:r w:rsidRPr="00954AB0">
        <w:rPr>
          <w:rFonts w:ascii="Arial" w:hAnsi="Arial" w:cs="Arial"/>
          <w:b/>
          <w:bCs/>
        </w:rPr>
        <w:t>Migration and globalisation</w:t>
      </w:r>
      <w:r w:rsidRPr="00954AB0">
        <w:rPr>
          <w:rFonts w:ascii="Arial" w:hAnsi="Arial" w:cs="Arial"/>
          <w:b/>
          <w:bCs/>
        </w:rPr>
        <w:t>:</w:t>
      </w:r>
      <w:r>
        <w:rPr>
          <w:rFonts w:ascii="Arial" w:hAnsi="Arial" w:cs="Arial"/>
        </w:rPr>
        <w:t xml:space="preserve"> </w:t>
      </w:r>
      <w:r w:rsidRPr="00954AB0">
        <w:rPr>
          <w:rFonts w:ascii="Arial" w:hAnsi="Arial" w:cs="Arial"/>
        </w:rPr>
        <w:t>Due to increased migration and mobility brought on by globalisation, there are now more different family structures and cultural impacts on how children and families are built.</w:t>
      </w:r>
    </w:p>
    <w:p w14:paraId="1FD99609" w14:textId="0685A530" w:rsidR="00954AB0" w:rsidRDefault="00954AB0" w:rsidP="00954AB0">
      <w:pPr>
        <w:spacing w:line="360" w:lineRule="auto"/>
        <w:rPr>
          <w:rFonts w:ascii="Arial" w:hAnsi="Arial" w:cs="Arial"/>
        </w:rPr>
      </w:pPr>
      <w:r w:rsidRPr="00954AB0">
        <w:rPr>
          <w:rFonts w:ascii="Arial" w:hAnsi="Arial" w:cs="Arial"/>
          <w:b/>
          <w:bCs/>
        </w:rPr>
        <w:t>Pandemic of COVID-19:</w:t>
      </w:r>
      <w:r>
        <w:rPr>
          <w:rFonts w:ascii="Arial" w:hAnsi="Arial" w:cs="Arial"/>
          <w:b/>
          <w:bCs/>
        </w:rPr>
        <w:t xml:space="preserve"> </w:t>
      </w:r>
      <w:r w:rsidRPr="00954AB0">
        <w:rPr>
          <w:rFonts w:ascii="Arial" w:hAnsi="Arial" w:cs="Arial"/>
        </w:rPr>
        <w:t>Traditional family and childhood routines have been disturbed by the COVID-19 pandemic, which started in 2019. Remote learning, lockdowns, and health concerns have an impact on children's and families' wellbeing around the world.</w:t>
      </w:r>
    </w:p>
    <w:p w14:paraId="0B5A58AE" w14:textId="5C4C3E63" w:rsidR="009F3D74" w:rsidRDefault="009F3D74" w:rsidP="00954AB0">
      <w:pPr>
        <w:spacing w:line="360" w:lineRule="auto"/>
        <w:rPr>
          <w:rFonts w:ascii="Arial" w:hAnsi="Arial" w:cs="Arial"/>
        </w:rPr>
      </w:pPr>
      <w:r w:rsidRPr="009F3D74">
        <w:rPr>
          <w:rFonts w:ascii="Arial" w:hAnsi="Arial" w:cs="Arial"/>
        </w:rPr>
        <w:t>Education shows the historical evolution of childhood as a social construct (</w:t>
      </w:r>
      <w:proofErr w:type="spellStart"/>
      <w:r w:rsidRPr="009F3D74">
        <w:rPr>
          <w:rFonts w:ascii="Arial" w:hAnsi="Arial" w:cs="Arial"/>
        </w:rPr>
        <w:t>Nandrajog</w:t>
      </w:r>
      <w:proofErr w:type="spellEnd"/>
      <w:r w:rsidRPr="009F3D74">
        <w:rPr>
          <w:rFonts w:ascii="Arial" w:hAnsi="Arial" w:cs="Arial"/>
        </w:rPr>
        <w:t xml:space="preserve"> 2021). After the 1870 Education Act, kids between the ages of 5 and 12 could enrol willingly, but it wasn't until 1880 that it became compulsory. Additionally, the school-leaving ages were raised to 14, 15, and 16 in 1918, 1944, and 1973, respectively. As of 2013, children must remain in school, employment, or both until they are 18 years old. To ensure their attendance, the educational progress is continuously monitored, and the required assistance is given. It is clear that educating the kids had a positive impact on their ability to take advantage of opportunities, such as job and business opportunities (Fink &amp; Rockers 2014). Consequently, they would</w:t>
      </w:r>
      <w:r w:rsidR="00B32D64">
        <w:rPr>
          <w:rFonts w:ascii="Arial" w:hAnsi="Arial" w:cs="Arial"/>
        </w:rPr>
        <w:t xml:space="preserve"> </w:t>
      </w:r>
      <w:r w:rsidR="00B32D64" w:rsidRPr="00B32D64">
        <w:rPr>
          <w:rFonts w:ascii="Arial" w:hAnsi="Arial" w:cs="Arial"/>
        </w:rPr>
        <w:t>achieve financial security and, in doing so, lessen the inequity that emerged from poverty. They might also be able to learn about healthy habits, acquire social awareness, and become aware of health trends that have helped to reduce the incidence of preventable diseases.</w:t>
      </w:r>
    </w:p>
    <w:p w14:paraId="7EA4F650" w14:textId="77777777" w:rsidR="009F3D74" w:rsidRDefault="009F3D74" w:rsidP="00954AB0">
      <w:pPr>
        <w:spacing w:line="360" w:lineRule="auto"/>
        <w:rPr>
          <w:rFonts w:ascii="Arial" w:hAnsi="Arial" w:cs="Arial"/>
        </w:rPr>
      </w:pPr>
    </w:p>
    <w:p w14:paraId="3328E8D4" w14:textId="4077D566" w:rsidR="008E21DE" w:rsidRPr="001A332C" w:rsidRDefault="008E21DE" w:rsidP="001A332C">
      <w:pPr>
        <w:spacing w:line="360" w:lineRule="auto"/>
        <w:rPr>
          <w:rFonts w:ascii="Arial" w:hAnsi="Arial" w:cs="Arial"/>
        </w:rPr>
      </w:pPr>
      <w:bookmarkStart w:id="1" w:name="_Hlk145066107"/>
    </w:p>
    <w:bookmarkEnd w:id="1"/>
    <w:p w14:paraId="4B0ECD1E" w14:textId="77777777" w:rsidR="001B7AD4" w:rsidRPr="001B7AD4" w:rsidRDefault="001B7AD4" w:rsidP="001B7AD4">
      <w:pPr>
        <w:spacing w:after="0" w:line="360" w:lineRule="auto"/>
        <w:rPr>
          <w:rFonts w:ascii="Arial" w:hAnsi="Arial" w:cs="Arial"/>
        </w:rPr>
      </w:pPr>
    </w:p>
    <w:p w14:paraId="3DD3D2EE" w14:textId="77777777" w:rsidR="001B7AD4" w:rsidRPr="001B7AD4" w:rsidRDefault="001B7AD4" w:rsidP="001B7AD4">
      <w:pPr>
        <w:spacing w:after="0" w:line="360" w:lineRule="auto"/>
        <w:rPr>
          <w:rFonts w:ascii="Arial" w:hAnsi="Arial" w:cs="Arial"/>
        </w:rPr>
      </w:pPr>
    </w:p>
    <w:p w14:paraId="1CFC7609" w14:textId="187542A5" w:rsidR="008E21DE" w:rsidRPr="001B7AD4" w:rsidRDefault="008E21DE" w:rsidP="00F36B90">
      <w:pPr>
        <w:pStyle w:val="Heading1"/>
      </w:pPr>
      <w:r w:rsidRPr="001B7AD4">
        <w:lastRenderedPageBreak/>
        <w:t>Impact of the factors on children, young people, and families</w:t>
      </w:r>
    </w:p>
    <w:p w14:paraId="3E0BAB64" w14:textId="77777777" w:rsidR="00B32D64" w:rsidRDefault="00B32D64" w:rsidP="001B7AD4">
      <w:pPr>
        <w:spacing w:after="0" w:line="360" w:lineRule="auto"/>
        <w:rPr>
          <w:rFonts w:ascii="Arial" w:hAnsi="Arial" w:cs="Arial"/>
          <w:color w:val="2F5496" w:themeColor="accent1" w:themeShade="BF"/>
        </w:rPr>
      </w:pPr>
    </w:p>
    <w:p w14:paraId="3811FA3A" w14:textId="77777777" w:rsidR="00C27E55" w:rsidRPr="00C27E55" w:rsidRDefault="00C27E55" w:rsidP="00C27E55">
      <w:pPr>
        <w:spacing w:after="0" w:line="360" w:lineRule="auto"/>
        <w:rPr>
          <w:rFonts w:ascii="Arial" w:hAnsi="Arial" w:cs="Arial"/>
        </w:rPr>
      </w:pPr>
      <w:r w:rsidRPr="00C27E55">
        <w:rPr>
          <w:rFonts w:ascii="Arial" w:hAnsi="Arial" w:cs="Arial"/>
        </w:rPr>
        <w:t>It is a difficult and diverse task to improve children's, young people's, and families' quality of life while lowering disparities in the delivery of health and social care services. A number of reasons have helped this field advance, and their effects can be seen in a variety of ways:</w:t>
      </w:r>
    </w:p>
    <w:p w14:paraId="24B958CA" w14:textId="131F1894" w:rsidR="00C27E55" w:rsidRPr="00C27E55" w:rsidRDefault="00C27E55" w:rsidP="00C27E55">
      <w:pPr>
        <w:spacing w:after="0" w:line="360" w:lineRule="auto"/>
        <w:rPr>
          <w:rFonts w:ascii="Arial" w:hAnsi="Arial" w:cs="Arial"/>
        </w:rPr>
      </w:pPr>
      <w:r w:rsidRPr="00C27E55">
        <w:rPr>
          <w:rFonts w:ascii="Arial" w:hAnsi="Arial" w:cs="Arial"/>
          <w:b/>
          <w:bCs/>
        </w:rPr>
        <w:t xml:space="preserve">Changes in Law and Policy: </w:t>
      </w:r>
      <w:r w:rsidRPr="00C27E55">
        <w:rPr>
          <w:rFonts w:ascii="Arial" w:hAnsi="Arial" w:cs="Arial"/>
        </w:rPr>
        <w:t>The adoption of laws and policies intended to uphold children's rights and advance their wellbeing has had a substantial effect. For instance, measures encouraging family-friendly workplaces, school improvements, and child safety laws can all improve the general standard of living for kids and families.</w:t>
      </w:r>
    </w:p>
    <w:p w14:paraId="73232CC3" w14:textId="41225EB0" w:rsidR="00C27E55" w:rsidRDefault="00C27E55" w:rsidP="00C27E55">
      <w:pPr>
        <w:spacing w:after="0" w:line="360" w:lineRule="auto"/>
      </w:pPr>
      <w:r w:rsidRPr="00C27E55">
        <w:rPr>
          <w:rFonts w:ascii="Arial" w:hAnsi="Arial" w:cs="Arial"/>
          <w:b/>
          <w:bCs/>
        </w:rPr>
        <w:t>Quality Education Access:</w:t>
      </w:r>
      <w:r w:rsidRPr="00C27E55">
        <w:rPr>
          <w:rFonts w:ascii="Arial" w:hAnsi="Arial" w:cs="Arial"/>
        </w:rPr>
        <w:t xml:space="preserve"> Access to a high-quality education is essential for children's growth. Better outcomes for children can result from spending money on early childhood education, upgrading school infrastructure, and reducing educational disparities.</w:t>
      </w:r>
      <w:r w:rsidRPr="00C27E55">
        <w:t xml:space="preserve"> </w:t>
      </w:r>
    </w:p>
    <w:p w14:paraId="7B8020BE" w14:textId="77777777" w:rsidR="007C5BD6" w:rsidRDefault="00C27E55" w:rsidP="007C5BD6">
      <w:pPr>
        <w:spacing w:after="0" w:line="360" w:lineRule="auto"/>
      </w:pPr>
      <w:r w:rsidRPr="00C27E55">
        <w:rPr>
          <w:rFonts w:ascii="Arial" w:hAnsi="Arial" w:cs="Arial"/>
          <w:b/>
          <w:bCs/>
        </w:rPr>
        <w:t>Healthcare Services:</w:t>
      </w:r>
      <w:r w:rsidRPr="00C27E55">
        <w:rPr>
          <w:rFonts w:ascii="Arial" w:hAnsi="Arial" w:cs="Arial"/>
        </w:rPr>
        <w:t xml:space="preserve"> Improving access to healthcare services, such as immunisations, preventive care, and mental health support, can have a significant impact on children's and adolescents' wellbeing. Improving the health of children and families has benefited greatly from public health campaigns and attempts to minimise health inequities.</w:t>
      </w:r>
      <w:r w:rsidR="007C5BD6" w:rsidRPr="007C5BD6">
        <w:t xml:space="preserve"> </w:t>
      </w:r>
    </w:p>
    <w:p w14:paraId="2D092BE5" w14:textId="4E208AC4" w:rsidR="007C5BD6" w:rsidRPr="007C5BD6" w:rsidRDefault="007C5BD6" w:rsidP="007C5BD6">
      <w:pPr>
        <w:spacing w:after="0" w:line="360" w:lineRule="auto"/>
        <w:rPr>
          <w:rFonts w:ascii="Arial" w:hAnsi="Arial" w:cs="Arial"/>
        </w:rPr>
      </w:pPr>
      <w:r w:rsidRPr="007C5BD6">
        <w:rPr>
          <w:rFonts w:ascii="Arial" w:hAnsi="Arial" w:cs="Arial"/>
        </w:rPr>
        <w:t xml:space="preserve"> </w:t>
      </w:r>
      <w:r w:rsidRPr="007C5BD6">
        <w:rPr>
          <w:rFonts w:ascii="Arial" w:hAnsi="Arial" w:cs="Arial"/>
          <w:b/>
          <w:bCs/>
        </w:rPr>
        <w:t>Child Welfare Services:</w:t>
      </w:r>
      <w:r w:rsidRPr="007C5BD6">
        <w:rPr>
          <w:rFonts w:ascii="Arial" w:hAnsi="Arial" w:cs="Arial"/>
        </w:rPr>
        <w:t xml:space="preserve"> Investments in foster care and adoption systems, as well as other child welfare services, can act as safety nets for children who are at risk. By guaranteeing that all children have access to secure and nurturing surroundings, these services seek to lessen inequality.</w:t>
      </w:r>
    </w:p>
    <w:p w14:paraId="53E5B400" w14:textId="0DBD959F" w:rsidR="007C5BD6" w:rsidRPr="007C5BD6" w:rsidRDefault="007C5BD6" w:rsidP="007C5BD6">
      <w:pPr>
        <w:spacing w:after="0" w:line="360" w:lineRule="auto"/>
        <w:rPr>
          <w:rFonts w:ascii="Arial" w:hAnsi="Arial" w:cs="Arial"/>
        </w:rPr>
      </w:pPr>
      <w:r w:rsidRPr="007C5BD6">
        <w:rPr>
          <w:rFonts w:ascii="Arial" w:hAnsi="Arial" w:cs="Arial"/>
          <w:b/>
          <w:bCs/>
        </w:rPr>
        <w:t xml:space="preserve"> Poverty Alleviation Programmes:</w:t>
      </w:r>
      <w:r w:rsidRPr="007C5BD6">
        <w:rPr>
          <w:rFonts w:ascii="Arial" w:hAnsi="Arial" w:cs="Arial"/>
        </w:rPr>
        <w:t xml:space="preserve"> Families and children are significantly impacted by poverty. Social programmes can lessen the effects of poverty and enhance the standard of living for low-income families. Examples include food assistance, housing support, and income assistance.</w:t>
      </w:r>
    </w:p>
    <w:p w14:paraId="7CCCE1C7" w14:textId="5ACB1299" w:rsidR="00B32D64" w:rsidRDefault="007C5BD6" w:rsidP="007C5BD6">
      <w:pPr>
        <w:spacing w:after="0" w:line="360" w:lineRule="auto"/>
        <w:rPr>
          <w:rFonts w:ascii="Arial" w:hAnsi="Arial" w:cs="Arial"/>
        </w:rPr>
      </w:pPr>
      <w:r w:rsidRPr="007C5BD6">
        <w:rPr>
          <w:rFonts w:ascii="Arial" w:hAnsi="Arial" w:cs="Arial"/>
          <w:b/>
          <w:bCs/>
        </w:rPr>
        <w:t>Mental Health Support:</w:t>
      </w:r>
      <w:r w:rsidRPr="007C5BD6">
        <w:rPr>
          <w:rFonts w:ascii="Arial" w:hAnsi="Arial" w:cs="Arial"/>
        </w:rPr>
        <w:t xml:space="preserve"> Better mental health services and support systems have been created as a result of growing public awareness of concerns related to young people's mental health. Better wellbeing can result from early intervention and the elimination of stigma surrounding mental health issues.</w:t>
      </w:r>
    </w:p>
    <w:p w14:paraId="51FE4119" w14:textId="77777777" w:rsidR="007C5BD6" w:rsidRDefault="007C5BD6" w:rsidP="007C5BD6">
      <w:pPr>
        <w:spacing w:after="0" w:line="360" w:lineRule="auto"/>
        <w:rPr>
          <w:rFonts w:ascii="Arial" w:hAnsi="Arial" w:cs="Arial"/>
        </w:rPr>
      </w:pPr>
    </w:p>
    <w:p w14:paraId="7EF4D2EB" w14:textId="3E20D9CD" w:rsidR="007C5BD6" w:rsidRDefault="007C5BD6" w:rsidP="007C5BD6">
      <w:pPr>
        <w:spacing w:after="0" w:line="360" w:lineRule="auto"/>
        <w:rPr>
          <w:rFonts w:ascii="Arial" w:hAnsi="Arial" w:cs="Arial"/>
        </w:rPr>
      </w:pPr>
      <w:r w:rsidRPr="007C5BD6">
        <w:rPr>
          <w:rFonts w:ascii="Arial" w:hAnsi="Arial" w:cs="Arial"/>
        </w:rPr>
        <w:t xml:space="preserve">From the Victorian era, the emphasis on children's healthcare has also evolved. Given that the children were exposed to a variety of risks, as indicated above, and the study into the problems they faced was insufficient, the mortality rates of youngsters were notably high. With the belief that their survival was extremely unsure, the infant mortality had caused the neglect of their health, to the point that they were individually referred to as "it" rather than by their names or gender (Power 2022). Additionally, the medical institutions lacked the </w:t>
      </w:r>
      <w:r w:rsidRPr="007C5BD6">
        <w:rPr>
          <w:rFonts w:ascii="Arial" w:hAnsi="Arial" w:cs="Arial"/>
        </w:rPr>
        <w:lastRenderedPageBreak/>
        <w:t>necessary tools and staffing to effectively treat the diseases that plagued youngsters. To address the need for specific care for children, the medical community recognised paediatrics in the middle of the 19th century. It suggested that</w:t>
      </w:r>
      <w:r w:rsidR="00522A9B">
        <w:rPr>
          <w:rFonts w:ascii="Arial" w:hAnsi="Arial" w:cs="Arial"/>
        </w:rPr>
        <w:t xml:space="preserve"> </w:t>
      </w:r>
      <w:r w:rsidR="00522A9B" w:rsidRPr="00522A9B">
        <w:rPr>
          <w:rFonts w:ascii="Arial" w:hAnsi="Arial" w:cs="Arial"/>
        </w:rPr>
        <w:t>It is possible to effectively control the disorders and illnesses that mostly affect youngsters.</w:t>
      </w:r>
    </w:p>
    <w:p w14:paraId="0DEFEBBF" w14:textId="143CC7BA" w:rsidR="008E21DE" w:rsidRPr="001B7AD4" w:rsidRDefault="008E21DE" w:rsidP="001B7AD4">
      <w:pPr>
        <w:spacing w:after="0" w:line="360" w:lineRule="auto"/>
        <w:rPr>
          <w:rFonts w:ascii="Arial" w:hAnsi="Arial" w:cs="Arial"/>
          <w:color w:val="2F5496" w:themeColor="accent1" w:themeShade="BF"/>
        </w:rPr>
      </w:pPr>
    </w:p>
    <w:p w14:paraId="573FB596" w14:textId="77777777" w:rsidR="008E21DE" w:rsidRPr="001B7AD4" w:rsidRDefault="008E21DE" w:rsidP="001B7AD4">
      <w:pPr>
        <w:spacing w:after="0" w:line="360" w:lineRule="auto"/>
        <w:rPr>
          <w:rFonts w:ascii="Arial" w:hAnsi="Arial" w:cs="Arial"/>
        </w:rPr>
      </w:pPr>
    </w:p>
    <w:p w14:paraId="096F0864" w14:textId="77777777" w:rsidR="008E21DE" w:rsidRDefault="008E21DE" w:rsidP="001B7AD4">
      <w:pPr>
        <w:spacing w:after="0" w:line="360" w:lineRule="auto"/>
        <w:rPr>
          <w:rFonts w:ascii="Arial" w:hAnsi="Arial" w:cs="Arial"/>
        </w:rPr>
      </w:pPr>
    </w:p>
    <w:p w14:paraId="748E2417" w14:textId="1F15A6C4" w:rsidR="001B7AD4" w:rsidRPr="001B7AD4" w:rsidRDefault="001B7AD4" w:rsidP="001B7AD4">
      <w:pPr>
        <w:spacing w:after="0" w:line="360" w:lineRule="auto"/>
        <w:rPr>
          <w:rFonts w:ascii="Arial" w:hAnsi="Arial" w:cs="Arial"/>
        </w:rPr>
      </w:pPr>
    </w:p>
    <w:p w14:paraId="5C997A5D" w14:textId="1E0C1AE3" w:rsidR="008E21DE" w:rsidRPr="001B7AD4" w:rsidRDefault="008E21DE" w:rsidP="00F36B90">
      <w:pPr>
        <w:pStyle w:val="Heading1"/>
      </w:pPr>
      <w:r w:rsidRPr="001B7AD4">
        <w:t>Approaches and Interventions to support vulnerable children, young people, and families</w:t>
      </w:r>
    </w:p>
    <w:p w14:paraId="49D565EE" w14:textId="77777777" w:rsidR="009B0332" w:rsidRDefault="009B0332" w:rsidP="001B7AD4">
      <w:pPr>
        <w:spacing w:after="0" w:line="360" w:lineRule="auto"/>
        <w:rPr>
          <w:rFonts w:ascii="Arial" w:hAnsi="Arial" w:cs="Arial"/>
          <w:color w:val="2F5496" w:themeColor="accent1" w:themeShade="BF"/>
        </w:rPr>
      </w:pPr>
    </w:p>
    <w:p w14:paraId="33B2CC8A" w14:textId="64E546D6" w:rsidR="00B93CC9" w:rsidRPr="00B93CC9" w:rsidRDefault="00B93CC9" w:rsidP="00B93CC9">
      <w:pPr>
        <w:spacing w:after="0" w:line="360" w:lineRule="auto"/>
        <w:rPr>
          <w:rFonts w:ascii="Arial" w:hAnsi="Arial" w:cs="Arial"/>
        </w:rPr>
      </w:pPr>
      <w:r w:rsidRPr="00B93CC9">
        <w:rPr>
          <w:rFonts w:ascii="Arial" w:hAnsi="Arial" w:cs="Arial"/>
        </w:rPr>
        <w:t xml:space="preserve">It is a difficult and diverse task to improve children's, young people's, and families' quality of life while lowering disparities in the delivery of health and social care services. A number of reasons have helped this field advance, and their effects can be seen in a variety of ways: </w:t>
      </w:r>
      <w:r w:rsidRPr="00B93CC9">
        <w:rPr>
          <w:rFonts w:ascii="Arial" w:hAnsi="Arial" w:cs="Arial"/>
          <w:b/>
          <w:bCs/>
        </w:rPr>
        <w:t>Changes in Law and Policy:</w:t>
      </w:r>
      <w:r w:rsidRPr="00B93CC9">
        <w:rPr>
          <w:rFonts w:ascii="Arial" w:hAnsi="Arial" w:cs="Arial"/>
        </w:rPr>
        <w:t xml:space="preserve"> The adoption of laws and policies intended to uphold children's rights and advance their wellbeing has had a substantial effect. For instance, measures encouraging family-friendly workplaces, school improvements, and child safety laws can all improve the general standard of living for kids and families.</w:t>
      </w:r>
    </w:p>
    <w:p w14:paraId="27FB21A0" w14:textId="77777777" w:rsidR="007F5F17" w:rsidRDefault="00B93CC9" w:rsidP="00B93CC9">
      <w:pPr>
        <w:spacing w:after="0" w:line="360" w:lineRule="auto"/>
        <w:rPr>
          <w:rFonts w:ascii="Arial" w:hAnsi="Arial" w:cs="Arial"/>
        </w:rPr>
      </w:pPr>
      <w:r w:rsidRPr="00B93CC9">
        <w:rPr>
          <w:rFonts w:ascii="Arial" w:hAnsi="Arial" w:cs="Arial"/>
          <w:b/>
          <w:bCs/>
        </w:rPr>
        <w:t xml:space="preserve">Quality Education Access: </w:t>
      </w:r>
      <w:r w:rsidRPr="00B93CC9">
        <w:rPr>
          <w:rFonts w:ascii="Arial" w:hAnsi="Arial" w:cs="Arial"/>
        </w:rPr>
        <w:t>Access to a high-quality education is essential for children's growth. Better outcomes for children can result from spending money on early childhood education, upgrading school infrastructure, and reducing educational disparities</w:t>
      </w:r>
      <w:r w:rsidR="007F5F17">
        <w:rPr>
          <w:rFonts w:ascii="Arial" w:hAnsi="Arial" w:cs="Arial"/>
        </w:rPr>
        <w:t xml:space="preserve"> for young children.</w:t>
      </w:r>
    </w:p>
    <w:p w14:paraId="6F662FE2" w14:textId="77777777" w:rsidR="007F5F17" w:rsidRDefault="007F5F17" w:rsidP="00B93CC9">
      <w:pPr>
        <w:spacing w:after="0" w:line="360" w:lineRule="auto"/>
        <w:rPr>
          <w:rFonts w:ascii="Arial" w:hAnsi="Arial" w:cs="Arial"/>
        </w:rPr>
      </w:pPr>
    </w:p>
    <w:p w14:paraId="673243FA" w14:textId="1C09A93B" w:rsidR="007F5F17" w:rsidRDefault="007F5F17" w:rsidP="007F5F17">
      <w:pPr>
        <w:spacing w:after="0" w:line="360" w:lineRule="auto"/>
        <w:rPr>
          <w:rFonts w:ascii="Arial" w:hAnsi="Arial" w:cs="Arial"/>
        </w:rPr>
      </w:pPr>
      <w:r w:rsidRPr="007F5F17">
        <w:rPr>
          <w:rFonts w:ascii="Arial" w:hAnsi="Arial" w:cs="Arial"/>
        </w:rPr>
        <w:t>To ensure their attendance, the educational progress is continuously monitored, and the required assistance is given. It is clear that educating the kids had a positive impact on their ability to take advantage of opportunities, such as job and business opportunities (Fink &amp; Rockers 2014). As a result, they would have a sustainable income and therefore lessen the inequity brought on by poverty. They might also be able to learn about healthy habits, acquire social awareness, and become aware of health trends that have helped to reduce the incidence of preventable diseases.</w:t>
      </w:r>
    </w:p>
    <w:p w14:paraId="72DB7A0C" w14:textId="62EDCB32" w:rsidR="007F5F17" w:rsidRDefault="007F5F17" w:rsidP="007F5F17">
      <w:pPr>
        <w:spacing w:after="0" w:line="360" w:lineRule="auto"/>
        <w:rPr>
          <w:rFonts w:ascii="Arial" w:hAnsi="Arial" w:cs="Arial"/>
        </w:rPr>
      </w:pPr>
      <w:r w:rsidRPr="007F5F17">
        <w:rPr>
          <w:rFonts w:ascii="Arial" w:hAnsi="Arial" w:cs="Arial"/>
        </w:rPr>
        <w:t xml:space="preserve">From the Victorian era, the emphasis on children's healthcare has also evolved. Given that the children were exposed to a variety of risks, as indicated above, and the study into the problems they faced was insufficient, the mortality rates of youngsters were notably high. With the belief that their survival was extremely unsure, the infant mortality had caused the neglect of their health, to the point that they were individually referred to as "it" rather than by </w:t>
      </w:r>
      <w:r w:rsidRPr="007F5F17">
        <w:rPr>
          <w:rFonts w:ascii="Arial" w:hAnsi="Arial" w:cs="Arial"/>
        </w:rPr>
        <w:lastRenderedPageBreak/>
        <w:t>their names or gender (Power 2022). Additionally, the medical institutions lacked the necessary tools and staffing to effectively treat the diseases that plagued youngsters. To address the need for specific care for children, the medical community recognised paediatrics in the middle of the 19th century. It suggested that</w:t>
      </w:r>
      <w:r w:rsidR="003D7CE9">
        <w:rPr>
          <w:rFonts w:ascii="Arial" w:hAnsi="Arial" w:cs="Arial"/>
        </w:rPr>
        <w:t xml:space="preserve"> </w:t>
      </w:r>
      <w:r w:rsidR="003D7CE9" w:rsidRPr="003D7CE9">
        <w:rPr>
          <w:rFonts w:ascii="Arial" w:hAnsi="Arial" w:cs="Arial"/>
        </w:rPr>
        <w:t>It is possible to effectively control the disorders and illnesses that mostly affect youngsters.</w:t>
      </w:r>
    </w:p>
    <w:p w14:paraId="4FC6C43B" w14:textId="16BA5107" w:rsidR="003D7CE9" w:rsidRPr="003D7CE9" w:rsidRDefault="003D7CE9" w:rsidP="003D7CE9">
      <w:pPr>
        <w:spacing w:after="0" w:line="360" w:lineRule="auto"/>
        <w:rPr>
          <w:rFonts w:ascii="Arial" w:hAnsi="Arial" w:cs="Arial"/>
        </w:rPr>
      </w:pPr>
      <w:r w:rsidRPr="003D7CE9">
        <w:rPr>
          <w:rFonts w:ascii="Arial" w:hAnsi="Arial" w:cs="Arial"/>
          <w:b/>
          <w:bCs/>
        </w:rPr>
        <w:t>Early Childhood Development Programmes: •</w:t>
      </w:r>
      <w:r w:rsidRPr="003D7CE9">
        <w:rPr>
          <w:rFonts w:ascii="Arial" w:hAnsi="Arial" w:cs="Arial"/>
        </w:rPr>
        <w:t xml:space="preserve"> Identification: Many governments and organisations have invested in early childhood development programmes because they understand the value of the formative years.</w:t>
      </w:r>
    </w:p>
    <w:p w14:paraId="1762E7AC" w14:textId="77777777" w:rsidR="003D7CE9" w:rsidRPr="003D7CE9" w:rsidRDefault="003D7CE9" w:rsidP="003D7CE9">
      <w:pPr>
        <w:spacing w:after="0" w:line="360" w:lineRule="auto"/>
        <w:rPr>
          <w:rFonts w:ascii="Arial" w:hAnsi="Arial" w:cs="Arial"/>
        </w:rPr>
      </w:pPr>
      <w:r w:rsidRPr="003D7CE9">
        <w:rPr>
          <w:rFonts w:ascii="Arial" w:hAnsi="Arial" w:cs="Arial"/>
        </w:rPr>
        <w:t xml:space="preserve">• </w:t>
      </w:r>
      <w:r w:rsidRPr="003D7CE9">
        <w:rPr>
          <w:rFonts w:ascii="Arial" w:hAnsi="Arial" w:cs="Arial"/>
          <w:b/>
          <w:bCs/>
        </w:rPr>
        <w:t>Analysis:</w:t>
      </w:r>
      <w:r w:rsidRPr="003D7CE9">
        <w:rPr>
          <w:rFonts w:ascii="Arial" w:hAnsi="Arial" w:cs="Arial"/>
        </w:rPr>
        <w:t xml:space="preserve"> The goal of these initiatives, which include parenting assistance, preschool instruction, and home visiting programmes, is to give disadvantaged families the skills and materials they need to promote their child's growth from conception onward.</w:t>
      </w:r>
    </w:p>
    <w:p w14:paraId="485E7BF7" w14:textId="31856712" w:rsidR="003D7CE9" w:rsidRPr="003D7CE9" w:rsidRDefault="003D7CE9" w:rsidP="003D7CE9">
      <w:pPr>
        <w:spacing w:after="0" w:line="360" w:lineRule="auto"/>
        <w:rPr>
          <w:rFonts w:ascii="Arial" w:hAnsi="Arial" w:cs="Arial"/>
        </w:rPr>
      </w:pPr>
      <w:r w:rsidRPr="003D7CE9">
        <w:rPr>
          <w:rFonts w:ascii="Arial" w:hAnsi="Arial" w:cs="Arial"/>
          <w:b/>
          <w:bCs/>
        </w:rPr>
        <w:t>Programmes for family strengthening</w:t>
      </w:r>
    </w:p>
    <w:p w14:paraId="6BC67B55" w14:textId="77777777" w:rsidR="003D7CE9" w:rsidRPr="003D7CE9" w:rsidRDefault="003D7CE9" w:rsidP="003D7CE9">
      <w:pPr>
        <w:spacing w:after="0" w:line="360" w:lineRule="auto"/>
        <w:rPr>
          <w:rFonts w:ascii="Arial" w:hAnsi="Arial" w:cs="Arial"/>
        </w:rPr>
      </w:pPr>
      <w:r w:rsidRPr="003D7CE9">
        <w:rPr>
          <w:rFonts w:ascii="Arial" w:hAnsi="Arial" w:cs="Arial"/>
        </w:rPr>
        <w:t xml:space="preserve">• </w:t>
      </w:r>
      <w:r w:rsidRPr="003D7CE9">
        <w:rPr>
          <w:rFonts w:ascii="Arial" w:hAnsi="Arial" w:cs="Arial"/>
          <w:b/>
          <w:bCs/>
        </w:rPr>
        <w:t>Recognition:</w:t>
      </w:r>
      <w:r w:rsidRPr="003D7CE9">
        <w:rPr>
          <w:rFonts w:ascii="Arial" w:hAnsi="Arial" w:cs="Arial"/>
        </w:rPr>
        <w:t xml:space="preserve"> Family strengthening programmes have been created as a result of the recognition of the value of parental assistance in a child's development.</w:t>
      </w:r>
    </w:p>
    <w:p w14:paraId="44BE6B62" w14:textId="10CD5131" w:rsidR="001A6AEE" w:rsidRPr="00970F53" w:rsidRDefault="003D7CE9" w:rsidP="001A6AEE">
      <w:pPr>
        <w:spacing w:after="0" w:line="360" w:lineRule="auto"/>
      </w:pPr>
      <w:r w:rsidRPr="003D7CE9">
        <w:rPr>
          <w:rFonts w:ascii="Arial" w:hAnsi="Arial" w:cs="Arial"/>
        </w:rPr>
        <w:t xml:space="preserve">• </w:t>
      </w:r>
      <w:r w:rsidRPr="003D7CE9">
        <w:rPr>
          <w:rFonts w:ascii="Arial" w:hAnsi="Arial" w:cs="Arial"/>
          <w:b/>
          <w:bCs/>
        </w:rPr>
        <w:t>Analysis:</w:t>
      </w:r>
      <w:r w:rsidRPr="003D7CE9">
        <w:rPr>
          <w:rFonts w:ascii="Arial" w:hAnsi="Arial" w:cs="Arial"/>
        </w:rPr>
        <w:t xml:space="preserve"> These initiatives provide vulnerable families with parenting workshops, lessons in financial literacy, and housing support. They seek to stop child abuse and support family harmony by addressing the core causes of susceptibility.</w:t>
      </w:r>
    </w:p>
    <w:p w14:paraId="09DF49CE" w14:textId="77777777" w:rsidR="003D7CE9" w:rsidRDefault="003D7CE9" w:rsidP="003D7CE9">
      <w:pPr>
        <w:spacing w:after="0" w:line="360" w:lineRule="auto"/>
        <w:rPr>
          <w:rFonts w:ascii="Arial" w:hAnsi="Arial" w:cs="Arial"/>
        </w:rPr>
      </w:pPr>
    </w:p>
    <w:p w14:paraId="0E38FDA4" w14:textId="5068E710" w:rsidR="000835CC" w:rsidRPr="001B7AD4" w:rsidRDefault="000835CC" w:rsidP="00F36B90">
      <w:pPr>
        <w:pStyle w:val="Heading1"/>
      </w:pPr>
      <w:r w:rsidRPr="001B7AD4">
        <w:t xml:space="preserve">Evaluation and Recommendations </w:t>
      </w:r>
    </w:p>
    <w:p w14:paraId="21B32AF7" w14:textId="54B43151" w:rsidR="00DB24E8" w:rsidRDefault="00DB24E8" w:rsidP="001B7AD4">
      <w:pPr>
        <w:spacing w:after="0" w:line="360" w:lineRule="auto"/>
        <w:rPr>
          <w:rFonts w:ascii="Arial" w:hAnsi="Arial" w:cs="Arial"/>
        </w:rPr>
      </w:pPr>
      <w:r w:rsidRPr="00DB24E8">
        <w:rPr>
          <w:rFonts w:ascii="Arial" w:hAnsi="Arial" w:cs="Arial"/>
        </w:rPr>
        <w:t>Over time and between cultures, the idea of childhood has evolved. In order to improve their wellbeing, governments have increased their expenditure in welfare, education, and health, and a number of organisations are currently pushing for extra protection for kids. It has been recognised, nonetheless, that current trends have significantly altered childhood, depending on the culture, period, ethnicity, and social status. In light of children's gullibility, it is hereby advised that parents balance their schedules to spend time with their charges (Beheshti 2020). The majority of the parents' day is typically taken up by caring for their families and achieving other goals in life (</w:t>
      </w:r>
      <w:proofErr w:type="spellStart"/>
      <w:r w:rsidRPr="00DB24E8">
        <w:rPr>
          <w:rFonts w:ascii="Arial" w:hAnsi="Arial" w:cs="Arial"/>
        </w:rPr>
        <w:t>Gual</w:t>
      </w:r>
      <w:proofErr w:type="spellEnd"/>
      <w:r w:rsidRPr="00DB24E8">
        <w:rPr>
          <w:rFonts w:ascii="Arial" w:hAnsi="Arial" w:cs="Arial"/>
        </w:rPr>
        <w:t xml:space="preserve"> et al. 2018). However, now that it's been acknowledged that observing the</w:t>
      </w:r>
      <w:r>
        <w:rPr>
          <w:rFonts w:ascii="Arial" w:hAnsi="Arial" w:cs="Arial"/>
        </w:rPr>
        <w:t xml:space="preserve"> </w:t>
      </w:r>
      <w:r w:rsidRPr="00DB24E8">
        <w:rPr>
          <w:rFonts w:ascii="Arial" w:hAnsi="Arial" w:cs="Arial"/>
        </w:rPr>
        <w:t>Children are an important way for them to be protected, so they should make sure to set aside time for the kids. Additionally, it will enhance children's social interactions since, in accordance with the psychosocial developmental theory, they will learn interpersonal skills in a realistic setting from adults they can trust.</w:t>
      </w:r>
    </w:p>
    <w:p w14:paraId="3FF074EE" w14:textId="77777777" w:rsidR="00DB24E8" w:rsidRDefault="00DB24E8" w:rsidP="001B7AD4">
      <w:pPr>
        <w:spacing w:after="0" w:line="360" w:lineRule="auto"/>
        <w:rPr>
          <w:rFonts w:ascii="Arial" w:hAnsi="Arial" w:cs="Arial"/>
        </w:rPr>
      </w:pPr>
    </w:p>
    <w:p w14:paraId="733E34F9" w14:textId="2CB2D2D0" w:rsidR="00DB24E8" w:rsidRPr="00DB24E8" w:rsidRDefault="004E03BB" w:rsidP="001B7AD4">
      <w:pPr>
        <w:spacing w:after="0" w:line="360" w:lineRule="auto"/>
        <w:rPr>
          <w:rFonts w:ascii="Arial" w:hAnsi="Arial" w:cs="Arial"/>
        </w:rPr>
      </w:pPr>
      <w:r w:rsidRPr="004E03BB">
        <w:rPr>
          <w:rFonts w:ascii="Arial" w:hAnsi="Arial" w:cs="Arial"/>
        </w:rPr>
        <w:t xml:space="preserve">The government should step up its efforts to address the issues that were found to have an impact on kids, teens, and families. One of them includes regulating the content provided in the media that not only contributed to the disappearance of childhood, but also considered children as target customers (Roberts 2012). To prevent children from accessing websites </w:t>
      </w:r>
      <w:r w:rsidRPr="004E03BB">
        <w:rPr>
          <w:rFonts w:ascii="Arial" w:hAnsi="Arial" w:cs="Arial"/>
        </w:rPr>
        <w:lastRenderedPageBreak/>
        <w:t>with explicit content, website developers may, for example, demand age verification before granting access. Additionally, labour laws may establish methods for modifying working conditions to allow carers to spend enough time with the kids. This will be reinforced by educating people about the idea of childhood and how important it is in forming society.</w:t>
      </w:r>
    </w:p>
    <w:p w14:paraId="7786D8EC" w14:textId="322607C5" w:rsidR="00970F53" w:rsidRPr="00970F53" w:rsidRDefault="00970F53" w:rsidP="00970F53">
      <w:pPr>
        <w:spacing w:after="0" w:line="360" w:lineRule="auto"/>
        <w:rPr>
          <w:rFonts w:ascii="Arial" w:hAnsi="Arial" w:cs="Arial"/>
        </w:rPr>
      </w:pPr>
      <w:r w:rsidRPr="00970F53">
        <w:rPr>
          <w:rFonts w:ascii="Arial" w:hAnsi="Arial" w:cs="Arial"/>
        </w:rPr>
        <w:t xml:space="preserve">These interventions can give </w:t>
      </w:r>
      <w:r>
        <w:rPr>
          <w:rFonts w:ascii="Arial" w:hAnsi="Arial" w:cs="Arial"/>
        </w:rPr>
        <w:t xml:space="preserve">children </w:t>
      </w:r>
      <w:r w:rsidRPr="00970F53">
        <w:rPr>
          <w:rFonts w:ascii="Arial" w:hAnsi="Arial" w:cs="Arial"/>
        </w:rPr>
        <w:t>a better start in life, better access to education, and less exposure to poverty, improving long-term results.</w:t>
      </w:r>
    </w:p>
    <w:p w14:paraId="0B3CD544" w14:textId="78DE3336" w:rsidR="00970F53" w:rsidRPr="00970F53" w:rsidRDefault="00970F53" w:rsidP="00970F53">
      <w:pPr>
        <w:spacing w:after="0" w:line="360" w:lineRule="auto"/>
        <w:rPr>
          <w:rFonts w:ascii="Arial" w:hAnsi="Arial" w:cs="Arial"/>
        </w:rPr>
      </w:pPr>
      <w:r w:rsidRPr="00970F53">
        <w:rPr>
          <w:rFonts w:ascii="Arial" w:hAnsi="Arial" w:cs="Arial"/>
        </w:rPr>
        <w:t>Young People</w:t>
      </w:r>
      <w:r>
        <w:rPr>
          <w:rFonts w:ascii="Arial" w:hAnsi="Arial" w:cs="Arial"/>
        </w:rPr>
        <w:t xml:space="preserve"> </w:t>
      </w:r>
      <w:r w:rsidRPr="00970F53">
        <w:rPr>
          <w:rFonts w:ascii="Arial" w:hAnsi="Arial" w:cs="Arial"/>
        </w:rPr>
        <w:t>Education- and employment-focused programmes can improve young people's chances of getting a better job and accessing higher education.</w:t>
      </w:r>
    </w:p>
    <w:p w14:paraId="6B4EF43A" w14:textId="785C8F7A" w:rsidR="008E21DE" w:rsidRPr="00970F53" w:rsidRDefault="00970F53" w:rsidP="001B7AD4">
      <w:pPr>
        <w:spacing w:after="0" w:line="360" w:lineRule="auto"/>
        <w:rPr>
          <w:rFonts w:ascii="Arial" w:hAnsi="Arial" w:cs="Arial"/>
        </w:rPr>
      </w:pPr>
      <w:r w:rsidRPr="00970F53">
        <w:rPr>
          <w:rFonts w:ascii="Arial" w:hAnsi="Arial" w:cs="Arial"/>
        </w:rPr>
        <w:t>Families</w:t>
      </w:r>
      <w:r>
        <w:rPr>
          <w:rFonts w:ascii="Arial" w:hAnsi="Arial" w:cs="Arial"/>
        </w:rPr>
        <w:t xml:space="preserve"> </w:t>
      </w:r>
      <w:r w:rsidRPr="00970F53">
        <w:rPr>
          <w:rFonts w:ascii="Arial" w:hAnsi="Arial" w:cs="Arial"/>
        </w:rPr>
        <w:t>Housing, financial support, and access to healthcare programmes all have a direct impact on the stability and well-being of families. Better possibilities for parents may benefit kids in the long run.</w:t>
      </w:r>
    </w:p>
    <w:p w14:paraId="737EF356" w14:textId="77777777" w:rsidR="000835CC" w:rsidRDefault="000835CC" w:rsidP="001B7AD4">
      <w:pPr>
        <w:spacing w:line="360" w:lineRule="auto"/>
        <w:rPr>
          <w:rFonts w:ascii="Arial" w:hAnsi="Arial" w:cs="Arial"/>
          <w:noProof/>
        </w:rPr>
      </w:pPr>
    </w:p>
    <w:p w14:paraId="67703B67" w14:textId="77777777" w:rsidR="001B7AD4" w:rsidRPr="001B7AD4" w:rsidRDefault="001B7AD4" w:rsidP="001B7AD4">
      <w:pPr>
        <w:spacing w:line="360" w:lineRule="auto"/>
        <w:rPr>
          <w:rFonts w:ascii="Arial" w:hAnsi="Arial" w:cs="Arial"/>
          <w:noProof/>
        </w:rPr>
      </w:pPr>
    </w:p>
    <w:p w14:paraId="7EA49C18" w14:textId="77777777" w:rsidR="000835CC" w:rsidRPr="001B7AD4" w:rsidRDefault="000835CC" w:rsidP="001B7AD4">
      <w:pPr>
        <w:spacing w:line="360" w:lineRule="auto"/>
        <w:rPr>
          <w:rFonts w:ascii="Arial" w:hAnsi="Arial" w:cs="Arial"/>
          <w:noProof/>
        </w:rPr>
      </w:pPr>
    </w:p>
    <w:p w14:paraId="3321B3A8" w14:textId="77777777" w:rsidR="003A7AA2" w:rsidRDefault="003A7AA2" w:rsidP="00F36B90">
      <w:pPr>
        <w:pStyle w:val="Heading1"/>
        <w:rPr>
          <w:noProof/>
        </w:rPr>
      </w:pPr>
    </w:p>
    <w:p w14:paraId="740DCC70" w14:textId="77777777" w:rsidR="002942EF" w:rsidRDefault="002942EF" w:rsidP="00F36B90">
      <w:pPr>
        <w:pStyle w:val="Heading1"/>
        <w:rPr>
          <w:noProof/>
        </w:rPr>
      </w:pPr>
    </w:p>
    <w:p w14:paraId="5DFC58F0" w14:textId="1B4D0036" w:rsidR="00986A84" w:rsidRPr="001B7AD4" w:rsidRDefault="0052499C" w:rsidP="00F36B90">
      <w:pPr>
        <w:pStyle w:val="Heading1"/>
        <w:rPr>
          <w:noProof/>
        </w:rPr>
      </w:pPr>
      <w:r w:rsidRPr="001B7AD4">
        <w:rPr>
          <w:noProof/>
        </w:rPr>
        <w:t xml:space="preserve">Conclusion </w:t>
      </w:r>
    </w:p>
    <w:p w14:paraId="024CE06A" w14:textId="442AD852" w:rsidR="00970F53" w:rsidRPr="00DB24E8" w:rsidRDefault="00986A0F" w:rsidP="00986A0F">
      <w:pPr>
        <w:spacing w:line="360" w:lineRule="auto"/>
        <w:rPr>
          <w:rFonts w:ascii="Arial" w:hAnsi="Arial" w:cs="Arial"/>
        </w:rPr>
      </w:pPr>
      <w:r>
        <w:rPr>
          <w:rFonts w:ascii="Arial" w:hAnsi="Arial" w:cs="Arial"/>
        </w:rPr>
        <w:t>T</w:t>
      </w:r>
      <w:r w:rsidRPr="001A332C">
        <w:rPr>
          <w:rFonts w:ascii="Arial" w:hAnsi="Arial" w:cs="Arial"/>
        </w:rPr>
        <w:t>he social construction of children and families has changed over time as a result of a variety of circumstances, including changes in legislation and policy, the economy, psychological research, and cultural movements. Because of these dynamics, we continue to interpret childhood and family life differently today, which reflects the continual complexity of our dynamic environment</w:t>
      </w:r>
      <w:r>
        <w:rPr>
          <w:rFonts w:ascii="Arial" w:hAnsi="Arial" w:cs="Arial"/>
        </w:rPr>
        <w:t xml:space="preserve">, </w:t>
      </w:r>
      <w:r w:rsidR="00970F53" w:rsidRPr="00970F53">
        <w:rPr>
          <w:rFonts w:ascii="Arial" w:hAnsi="Arial" w:cs="Arial"/>
        </w:rPr>
        <w:t>even though the UK has improved in reducing disparities through a variety of strategies and interventions, there is still opportunity for development. In order to further reduce inequities and enhance the wellbeing of children, young people, and families, these policies must be continually evaluated and modified with an emphasis on early intervention and long-term effects.</w:t>
      </w:r>
    </w:p>
    <w:p w14:paraId="723FE562" w14:textId="581B975A" w:rsidR="0052499C" w:rsidRPr="001B7AD4" w:rsidRDefault="0052499C" w:rsidP="001B7AD4">
      <w:pPr>
        <w:spacing w:line="360" w:lineRule="auto"/>
        <w:rPr>
          <w:rFonts w:ascii="Arial" w:hAnsi="Arial" w:cs="Arial"/>
          <w:noProof/>
        </w:rPr>
      </w:pPr>
    </w:p>
    <w:p w14:paraId="7B1B57AB" w14:textId="3899878C" w:rsidR="00BA7495" w:rsidRPr="001B7AD4" w:rsidRDefault="00BA7495" w:rsidP="001B7AD4">
      <w:pPr>
        <w:spacing w:line="360" w:lineRule="auto"/>
        <w:rPr>
          <w:rFonts w:ascii="Arial" w:hAnsi="Arial" w:cs="Arial"/>
          <w:noProof/>
        </w:rPr>
      </w:pPr>
    </w:p>
    <w:p w14:paraId="74F1E34B" w14:textId="7EA9A17D" w:rsidR="00463AB1" w:rsidRPr="001B7AD4" w:rsidRDefault="00463AB1" w:rsidP="001B7AD4">
      <w:pPr>
        <w:spacing w:line="360" w:lineRule="auto"/>
        <w:rPr>
          <w:rFonts w:ascii="Arial" w:hAnsi="Arial" w:cs="Arial"/>
          <w:noProof/>
        </w:rPr>
      </w:pPr>
    </w:p>
    <w:p w14:paraId="4CA53251" w14:textId="78883BA4" w:rsidR="00463AB1" w:rsidRPr="001B7AD4" w:rsidRDefault="00463AB1" w:rsidP="001B7AD4">
      <w:pPr>
        <w:spacing w:line="360" w:lineRule="auto"/>
        <w:rPr>
          <w:rFonts w:ascii="Arial" w:hAnsi="Arial" w:cs="Arial"/>
          <w:noProof/>
        </w:rPr>
      </w:pPr>
    </w:p>
    <w:p w14:paraId="1D650A33" w14:textId="484517AD" w:rsidR="00463AB1" w:rsidRPr="001B7AD4" w:rsidRDefault="00463AB1" w:rsidP="001B7AD4">
      <w:pPr>
        <w:spacing w:line="360" w:lineRule="auto"/>
        <w:rPr>
          <w:rFonts w:ascii="Arial" w:hAnsi="Arial" w:cs="Arial"/>
          <w:noProof/>
        </w:rPr>
      </w:pPr>
    </w:p>
    <w:p w14:paraId="5E51C385" w14:textId="5DC21E90" w:rsidR="00A35F25" w:rsidRPr="000A7084" w:rsidRDefault="00A35F25" w:rsidP="00F36B90">
      <w:pPr>
        <w:pStyle w:val="Heading1"/>
        <w:rPr>
          <w:noProof/>
          <w:lang w:val="pl-PL"/>
        </w:rPr>
      </w:pPr>
      <w:r w:rsidRPr="000A7084">
        <w:rPr>
          <w:noProof/>
          <w:lang w:val="pl-PL"/>
        </w:rPr>
        <w:t>References</w:t>
      </w:r>
    </w:p>
    <w:p w14:paraId="096DBB80" w14:textId="77777777" w:rsidR="000A7084" w:rsidRPr="0016572A" w:rsidRDefault="000A7084" w:rsidP="000A7084">
      <w:pPr>
        <w:spacing w:line="480" w:lineRule="auto"/>
        <w:ind w:left="720" w:hanging="720"/>
        <w:rPr>
          <w:rFonts w:ascii="Times New Roman" w:hAnsi="Times New Roman" w:cs="Times New Roman"/>
          <w:sz w:val="24"/>
          <w:szCs w:val="24"/>
        </w:rPr>
      </w:pPr>
      <w:r w:rsidRPr="000A7084">
        <w:rPr>
          <w:rFonts w:ascii="Times New Roman" w:hAnsi="Times New Roman" w:cs="Times New Roman"/>
          <w:sz w:val="24"/>
          <w:szCs w:val="24"/>
          <w:lang w:val="pl-PL"/>
        </w:rPr>
        <w:t xml:space="preserve">Ali </w:t>
      </w:r>
      <w:proofErr w:type="spellStart"/>
      <w:r w:rsidRPr="000A7084">
        <w:rPr>
          <w:rFonts w:ascii="Times New Roman" w:hAnsi="Times New Roman" w:cs="Times New Roman"/>
          <w:sz w:val="24"/>
          <w:szCs w:val="24"/>
          <w:lang w:val="pl-PL"/>
        </w:rPr>
        <w:t>Norozi</w:t>
      </w:r>
      <w:proofErr w:type="spellEnd"/>
      <w:r w:rsidRPr="000A7084">
        <w:rPr>
          <w:rFonts w:ascii="Times New Roman" w:hAnsi="Times New Roman" w:cs="Times New Roman"/>
          <w:sz w:val="24"/>
          <w:szCs w:val="24"/>
          <w:lang w:val="pl-PL"/>
        </w:rPr>
        <w:t xml:space="preserve">, S., &amp; </w:t>
      </w:r>
      <w:proofErr w:type="spellStart"/>
      <w:r w:rsidRPr="000A7084">
        <w:rPr>
          <w:rFonts w:ascii="Times New Roman" w:hAnsi="Times New Roman" w:cs="Times New Roman"/>
          <w:sz w:val="24"/>
          <w:szCs w:val="24"/>
          <w:lang w:val="pl-PL"/>
        </w:rPr>
        <w:t>Moen</w:t>
      </w:r>
      <w:proofErr w:type="spellEnd"/>
      <w:r w:rsidRPr="000A7084">
        <w:rPr>
          <w:rFonts w:ascii="Times New Roman" w:hAnsi="Times New Roman" w:cs="Times New Roman"/>
          <w:sz w:val="24"/>
          <w:szCs w:val="24"/>
          <w:lang w:val="pl-PL"/>
        </w:rPr>
        <w:t xml:space="preserve">, T. (2016). </w:t>
      </w:r>
      <w:r w:rsidRPr="0016572A">
        <w:rPr>
          <w:rFonts w:ascii="Times New Roman" w:hAnsi="Times New Roman" w:cs="Times New Roman"/>
          <w:sz w:val="24"/>
          <w:szCs w:val="24"/>
        </w:rPr>
        <w:t xml:space="preserve">Childhood as a Social Construction. </w:t>
      </w:r>
      <w:r w:rsidRPr="0016572A">
        <w:rPr>
          <w:rFonts w:ascii="Times New Roman" w:hAnsi="Times New Roman" w:cs="Times New Roman"/>
          <w:i/>
          <w:iCs/>
          <w:sz w:val="24"/>
          <w:szCs w:val="24"/>
        </w:rPr>
        <w:t>Journal of Educational and Social Research</w:t>
      </w:r>
      <w:r w:rsidRPr="0016572A">
        <w:rPr>
          <w:rFonts w:ascii="Times New Roman" w:hAnsi="Times New Roman" w:cs="Times New Roman"/>
          <w:sz w:val="24"/>
          <w:szCs w:val="24"/>
        </w:rPr>
        <w:t>.</w:t>
      </w:r>
    </w:p>
    <w:p w14:paraId="51BED1CD" w14:textId="77777777" w:rsidR="000A7084" w:rsidRPr="0016572A" w:rsidRDefault="000A7084" w:rsidP="000A7084">
      <w:pPr>
        <w:spacing w:line="480" w:lineRule="auto"/>
        <w:ind w:left="720" w:hanging="720"/>
        <w:rPr>
          <w:rFonts w:ascii="Times New Roman" w:hAnsi="Times New Roman" w:cs="Times New Roman"/>
          <w:sz w:val="24"/>
          <w:szCs w:val="24"/>
        </w:rPr>
      </w:pPr>
      <w:proofErr w:type="spellStart"/>
      <w:r w:rsidRPr="0016572A">
        <w:rPr>
          <w:rFonts w:ascii="Times New Roman" w:hAnsi="Times New Roman" w:cs="Times New Roman"/>
          <w:sz w:val="24"/>
          <w:szCs w:val="24"/>
        </w:rPr>
        <w:t>Babakr</w:t>
      </w:r>
      <w:proofErr w:type="spellEnd"/>
      <w:r w:rsidRPr="0016572A">
        <w:rPr>
          <w:rFonts w:ascii="Times New Roman" w:hAnsi="Times New Roman" w:cs="Times New Roman"/>
          <w:sz w:val="24"/>
          <w:szCs w:val="24"/>
        </w:rPr>
        <w:t xml:space="preserve">, Z. H., </w:t>
      </w:r>
      <w:proofErr w:type="spellStart"/>
      <w:r w:rsidRPr="0016572A">
        <w:rPr>
          <w:rFonts w:ascii="Times New Roman" w:hAnsi="Times New Roman" w:cs="Times New Roman"/>
          <w:sz w:val="24"/>
          <w:szCs w:val="24"/>
        </w:rPr>
        <w:t>Mohamedamin</w:t>
      </w:r>
      <w:proofErr w:type="spellEnd"/>
      <w:r w:rsidRPr="0016572A">
        <w:rPr>
          <w:rFonts w:ascii="Times New Roman" w:hAnsi="Times New Roman" w:cs="Times New Roman"/>
          <w:sz w:val="24"/>
          <w:szCs w:val="24"/>
        </w:rPr>
        <w:t xml:space="preserve">, P., &amp; </w:t>
      </w:r>
      <w:proofErr w:type="spellStart"/>
      <w:r w:rsidRPr="0016572A">
        <w:rPr>
          <w:rFonts w:ascii="Times New Roman" w:hAnsi="Times New Roman" w:cs="Times New Roman"/>
          <w:sz w:val="24"/>
          <w:szCs w:val="24"/>
        </w:rPr>
        <w:t>Kakamad</w:t>
      </w:r>
      <w:proofErr w:type="spellEnd"/>
      <w:r w:rsidRPr="0016572A">
        <w:rPr>
          <w:rFonts w:ascii="Times New Roman" w:hAnsi="Times New Roman" w:cs="Times New Roman"/>
          <w:sz w:val="24"/>
          <w:szCs w:val="24"/>
        </w:rPr>
        <w:t xml:space="preserve">, K. (2019). Piaget’s Cognitive Developmental Theory: Critical Review. </w:t>
      </w:r>
      <w:r w:rsidRPr="0016572A">
        <w:rPr>
          <w:rFonts w:ascii="Times New Roman" w:hAnsi="Times New Roman" w:cs="Times New Roman"/>
          <w:i/>
          <w:iCs/>
          <w:sz w:val="24"/>
          <w:szCs w:val="24"/>
        </w:rPr>
        <w:t>Education Quarterly Reviews</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2</w:t>
      </w:r>
      <w:r w:rsidRPr="0016572A">
        <w:rPr>
          <w:rFonts w:ascii="Times New Roman" w:hAnsi="Times New Roman" w:cs="Times New Roman"/>
          <w:sz w:val="24"/>
          <w:szCs w:val="24"/>
        </w:rPr>
        <w:t>(3).</w:t>
      </w:r>
    </w:p>
    <w:p w14:paraId="20837712"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Bann, D., Johnson, W., Li, L., </w:t>
      </w:r>
      <w:proofErr w:type="spellStart"/>
      <w:r w:rsidRPr="0016572A">
        <w:rPr>
          <w:rFonts w:ascii="Times New Roman" w:hAnsi="Times New Roman" w:cs="Times New Roman"/>
          <w:sz w:val="24"/>
          <w:szCs w:val="24"/>
        </w:rPr>
        <w:t>Kuh</w:t>
      </w:r>
      <w:proofErr w:type="spellEnd"/>
      <w:r w:rsidRPr="0016572A">
        <w:rPr>
          <w:rFonts w:ascii="Times New Roman" w:hAnsi="Times New Roman" w:cs="Times New Roman"/>
          <w:sz w:val="24"/>
          <w:szCs w:val="24"/>
        </w:rPr>
        <w:t xml:space="preserve">, D., &amp; Hardy, R. (2018). Socioeconomic inequalities in childhood and adolescent body-mass index, weight, and height from 1953 to 2015: an analysis of four longitudinal, observational, British birth cohort studies. </w:t>
      </w:r>
      <w:r w:rsidRPr="0016572A">
        <w:rPr>
          <w:rFonts w:ascii="Times New Roman" w:hAnsi="Times New Roman" w:cs="Times New Roman"/>
          <w:i/>
          <w:iCs/>
          <w:sz w:val="24"/>
          <w:szCs w:val="24"/>
        </w:rPr>
        <w:t>The Lancet Public Health</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3</w:t>
      </w:r>
      <w:r w:rsidRPr="0016572A">
        <w:rPr>
          <w:rFonts w:ascii="Times New Roman" w:hAnsi="Times New Roman" w:cs="Times New Roman"/>
          <w:sz w:val="24"/>
          <w:szCs w:val="24"/>
        </w:rPr>
        <w:t>(4), e194–e203.</w:t>
      </w:r>
    </w:p>
    <w:p w14:paraId="6E7BBFF5"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Beheshti, N. (2020). Is Remote Work Good or Bad For Employee Engagement? Your Leadership Holds the Answer. </w:t>
      </w:r>
      <w:r w:rsidRPr="0016572A">
        <w:rPr>
          <w:rFonts w:ascii="Times New Roman" w:hAnsi="Times New Roman" w:cs="Times New Roman"/>
          <w:i/>
          <w:iCs/>
          <w:sz w:val="24"/>
          <w:szCs w:val="24"/>
        </w:rPr>
        <w:t>Forbes</w:t>
      </w:r>
      <w:r w:rsidRPr="0016572A">
        <w:rPr>
          <w:rFonts w:ascii="Times New Roman" w:hAnsi="Times New Roman" w:cs="Times New Roman"/>
          <w:sz w:val="24"/>
          <w:szCs w:val="24"/>
        </w:rPr>
        <w:t>.</w:t>
      </w:r>
    </w:p>
    <w:p w14:paraId="1C8012B7"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Fan, W., &amp; Porter, C. (2020). Reinforcement or compensation? Parental responses to children revealed human capital levels. </w:t>
      </w:r>
      <w:r w:rsidRPr="0016572A">
        <w:rPr>
          <w:rFonts w:ascii="Times New Roman" w:hAnsi="Times New Roman" w:cs="Times New Roman"/>
          <w:i/>
          <w:iCs/>
          <w:sz w:val="24"/>
          <w:szCs w:val="24"/>
        </w:rPr>
        <w:t>Journal of Population Economics</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33</w:t>
      </w:r>
      <w:r w:rsidRPr="0016572A">
        <w:rPr>
          <w:rFonts w:ascii="Times New Roman" w:hAnsi="Times New Roman" w:cs="Times New Roman"/>
          <w:sz w:val="24"/>
          <w:szCs w:val="24"/>
        </w:rPr>
        <w:t>(1), 233–270.</w:t>
      </w:r>
    </w:p>
    <w:p w14:paraId="785AC1EE"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Fink, G., &amp; Rockers, P. C. (2014). Childhood growth, schooling, and cognitive development: Further evidence from the Young Lives study. </w:t>
      </w:r>
      <w:r w:rsidRPr="0016572A">
        <w:rPr>
          <w:rFonts w:ascii="Times New Roman" w:hAnsi="Times New Roman" w:cs="Times New Roman"/>
          <w:i/>
          <w:iCs/>
          <w:sz w:val="24"/>
          <w:szCs w:val="24"/>
        </w:rPr>
        <w:t>American Journal of Clinical Nutrition</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100</w:t>
      </w:r>
      <w:r w:rsidRPr="0016572A">
        <w:rPr>
          <w:rFonts w:ascii="Times New Roman" w:hAnsi="Times New Roman" w:cs="Times New Roman"/>
          <w:sz w:val="24"/>
          <w:szCs w:val="24"/>
        </w:rPr>
        <w:t>(1), 182–188.</w:t>
      </w:r>
    </w:p>
    <w:p w14:paraId="4CCEC44B" w14:textId="77777777" w:rsidR="000A7084" w:rsidRPr="0016572A" w:rsidRDefault="000A7084" w:rsidP="000A7084">
      <w:pPr>
        <w:spacing w:line="480" w:lineRule="auto"/>
        <w:ind w:left="720" w:hanging="720"/>
        <w:rPr>
          <w:rFonts w:ascii="Times New Roman" w:hAnsi="Times New Roman" w:cs="Times New Roman"/>
          <w:sz w:val="24"/>
          <w:szCs w:val="24"/>
        </w:rPr>
      </w:pPr>
      <w:proofErr w:type="spellStart"/>
      <w:r w:rsidRPr="0016572A">
        <w:rPr>
          <w:rFonts w:ascii="Times New Roman" w:hAnsi="Times New Roman" w:cs="Times New Roman"/>
          <w:sz w:val="24"/>
          <w:szCs w:val="24"/>
        </w:rPr>
        <w:t>Firinci</w:t>
      </w:r>
      <w:proofErr w:type="spellEnd"/>
      <w:r w:rsidRPr="0016572A">
        <w:rPr>
          <w:rFonts w:ascii="Times New Roman" w:hAnsi="Times New Roman" w:cs="Times New Roman"/>
          <w:sz w:val="24"/>
          <w:szCs w:val="24"/>
        </w:rPr>
        <w:t xml:space="preserve"> Orman, T. (2020). Adultization and blurring the boundaries of childhood in the late modern era. </w:t>
      </w:r>
      <w:r w:rsidRPr="0016572A">
        <w:rPr>
          <w:rFonts w:ascii="Times New Roman" w:hAnsi="Times New Roman" w:cs="Times New Roman"/>
          <w:i/>
          <w:iCs/>
          <w:sz w:val="24"/>
          <w:szCs w:val="24"/>
        </w:rPr>
        <w:t>Global Studies of Childhood</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10</w:t>
      </w:r>
      <w:r w:rsidRPr="0016572A">
        <w:rPr>
          <w:rFonts w:ascii="Times New Roman" w:hAnsi="Times New Roman" w:cs="Times New Roman"/>
          <w:sz w:val="24"/>
          <w:szCs w:val="24"/>
        </w:rPr>
        <w:t>(2), 106–119.</w:t>
      </w:r>
    </w:p>
    <w:p w14:paraId="334D3C66"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Foster, D. (2020). An Overview of Child Protection Legislation in England. Retrieved from https://researchbriefings.files.parliament.uk/documents/SN06787/SN06787.pdf</w:t>
      </w:r>
    </w:p>
    <w:p w14:paraId="3512F603" w14:textId="77777777" w:rsidR="000A7084" w:rsidRPr="0016572A" w:rsidRDefault="000A7084" w:rsidP="000A7084">
      <w:pPr>
        <w:spacing w:line="480" w:lineRule="auto"/>
        <w:ind w:left="720" w:hanging="720"/>
        <w:rPr>
          <w:rFonts w:ascii="Times New Roman" w:eastAsia="Arial Unicode MS" w:hAnsi="Times New Roman" w:cs="Times New Roman"/>
          <w:color w:val="000000"/>
          <w:sz w:val="24"/>
          <w:szCs w:val="24"/>
          <w:shd w:val="clear" w:color="auto" w:fill="FFFFFF"/>
        </w:rPr>
      </w:pPr>
      <w:r w:rsidRPr="0016572A">
        <w:rPr>
          <w:rFonts w:ascii="Times New Roman" w:hAnsi="Times New Roman" w:cs="Times New Roman"/>
          <w:sz w:val="24"/>
          <w:szCs w:val="24"/>
        </w:rPr>
        <w:lastRenderedPageBreak/>
        <w:t xml:space="preserve">Guan, Y., Wang, Z., Gong, Q., Cai, Z., Xu, S. L., Xiang, Q., … Tian, L. (2018). Parents’ Career Values, Adaptability, Career-Specific Parenting </w:t>
      </w:r>
      <w:proofErr w:type="spellStart"/>
      <w:r w:rsidRPr="0016572A">
        <w:rPr>
          <w:rFonts w:ascii="Times New Roman" w:hAnsi="Times New Roman" w:cs="Times New Roman"/>
          <w:sz w:val="24"/>
          <w:szCs w:val="24"/>
        </w:rPr>
        <w:t>Behaviors</w:t>
      </w:r>
      <w:proofErr w:type="spellEnd"/>
      <w:r w:rsidRPr="0016572A">
        <w:rPr>
          <w:rFonts w:ascii="Times New Roman" w:hAnsi="Times New Roman" w:cs="Times New Roman"/>
          <w:sz w:val="24"/>
          <w:szCs w:val="24"/>
        </w:rPr>
        <w:t xml:space="preserve">, and Undergraduates’ Career Adaptability. </w:t>
      </w:r>
      <w:proofErr w:type="spellStart"/>
      <w:r w:rsidRPr="0016572A">
        <w:rPr>
          <w:rFonts w:ascii="Times New Roman" w:hAnsi="Times New Roman" w:cs="Times New Roman"/>
          <w:i/>
          <w:iCs/>
          <w:sz w:val="24"/>
          <w:szCs w:val="24"/>
        </w:rPr>
        <w:t>Counseling</w:t>
      </w:r>
      <w:proofErr w:type="spellEnd"/>
      <w:r w:rsidRPr="0016572A">
        <w:rPr>
          <w:rFonts w:ascii="Times New Roman" w:hAnsi="Times New Roman" w:cs="Times New Roman"/>
          <w:i/>
          <w:iCs/>
          <w:sz w:val="24"/>
          <w:szCs w:val="24"/>
        </w:rPr>
        <w:t xml:space="preserve"> Psychologist</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46</w:t>
      </w:r>
      <w:r w:rsidRPr="0016572A">
        <w:rPr>
          <w:rFonts w:ascii="Times New Roman" w:hAnsi="Times New Roman" w:cs="Times New Roman"/>
          <w:sz w:val="24"/>
          <w:szCs w:val="24"/>
        </w:rPr>
        <w:t>(7), 922–946.</w:t>
      </w:r>
    </w:p>
    <w:p w14:paraId="1E0D7B4A" w14:textId="0B75836A" w:rsidR="000A7084" w:rsidRPr="003A7AA2" w:rsidRDefault="000A7084" w:rsidP="003A7AA2">
      <w:pPr>
        <w:spacing w:line="480" w:lineRule="auto"/>
        <w:rPr>
          <w:rFonts w:ascii="Times New Roman" w:eastAsia="Arial Unicode MS" w:hAnsi="Times New Roman" w:cs="Times New Roman"/>
          <w:color w:val="000000"/>
          <w:sz w:val="24"/>
          <w:szCs w:val="24"/>
          <w:shd w:val="clear" w:color="auto" w:fill="FFFFFF"/>
        </w:rPr>
      </w:pPr>
    </w:p>
    <w:p w14:paraId="063F9157" w14:textId="77777777" w:rsidR="000A7084" w:rsidRPr="0016572A" w:rsidRDefault="000A7084" w:rsidP="000A7084">
      <w:pPr>
        <w:spacing w:line="480" w:lineRule="auto"/>
        <w:ind w:left="720" w:hanging="720"/>
        <w:rPr>
          <w:rFonts w:ascii="Times New Roman" w:eastAsia="Arial Unicode MS" w:hAnsi="Times New Roman" w:cs="Times New Roman"/>
          <w:color w:val="000000"/>
          <w:sz w:val="24"/>
          <w:szCs w:val="24"/>
          <w:shd w:val="clear" w:color="auto" w:fill="FFFFFF"/>
        </w:rPr>
      </w:pPr>
      <w:r w:rsidRPr="0016572A">
        <w:rPr>
          <w:rFonts w:ascii="Times New Roman" w:eastAsia="Arial Unicode MS" w:hAnsi="Times New Roman" w:cs="Times New Roman"/>
          <w:color w:val="000000"/>
          <w:sz w:val="24"/>
          <w:szCs w:val="24"/>
          <w:shd w:val="clear" w:color="auto" w:fill="FFFFFF"/>
        </w:rPr>
        <w:t>Jenks, C. (2015). </w:t>
      </w:r>
      <w:r w:rsidRPr="0016572A">
        <w:rPr>
          <w:rFonts w:ascii="Times New Roman" w:eastAsia="Arial Unicode MS" w:hAnsi="Times New Roman" w:cs="Times New Roman"/>
          <w:i/>
          <w:iCs/>
          <w:color w:val="000000"/>
          <w:sz w:val="24"/>
          <w:szCs w:val="24"/>
          <w:shd w:val="clear" w:color="auto" w:fill="FFFFFF"/>
        </w:rPr>
        <w:t>Childhood</w:t>
      </w:r>
      <w:r w:rsidRPr="0016572A">
        <w:rPr>
          <w:rFonts w:ascii="Times New Roman" w:eastAsia="Arial Unicode MS" w:hAnsi="Times New Roman" w:cs="Times New Roman"/>
          <w:color w:val="000000"/>
          <w:sz w:val="24"/>
          <w:szCs w:val="24"/>
          <w:shd w:val="clear" w:color="auto" w:fill="FFFFFF"/>
        </w:rPr>
        <w:t>. London: Routledge.</w:t>
      </w:r>
    </w:p>
    <w:p w14:paraId="4FB766B5" w14:textId="77777777" w:rsidR="000A7084" w:rsidRPr="003A7AA2" w:rsidRDefault="000A7084" w:rsidP="000A7084">
      <w:pPr>
        <w:spacing w:line="480" w:lineRule="auto"/>
        <w:ind w:left="720" w:hanging="720"/>
        <w:rPr>
          <w:rFonts w:ascii="Times New Roman" w:hAnsi="Times New Roman" w:cs="Times New Roman"/>
          <w:sz w:val="24"/>
          <w:szCs w:val="24"/>
        </w:rPr>
      </w:pPr>
      <w:r w:rsidRPr="003A7AA2">
        <w:rPr>
          <w:rFonts w:ascii="Times New Roman" w:hAnsi="Times New Roman" w:cs="Times New Roman"/>
          <w:sz w:val="24"/>
          <w:szCs w:val="24"/>
        </w:rPr>
        <w:t>Kruk, K</w:t>
      </w:r>
      <w:r w:rsidRPr="0016572A">
        <w:rPr>
          <w:rFonts w:ascii="Times New Roman" w:hAnsi="Times New Roman" w:cs="Times New Roman"/>
          <w:sz w:val="24"/>
          <w:szCs w:val="24"/>
        </w:rPr>
        <w:t xml:space="preserve">. E. (2013). Parental income and the dynamics of health inequality in early childhood - Evidence from the UK. </w:t>
      </w:r>
      <w:r w:rsidRPr="0016572A">
        <w:rPr>
          <w:rFonts w:ascii="Times New Roman" w:hAnsi="Times New Roman" w:cs="Times New Roman"/>
          <w:i/>
          <w:iCs/>
          <w:sz w:val="24"/>
          <w:szCs w:val="24"/>
        </w:rPr>
        <w:t>Health Economics (United Kingdom)</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22</w:t>
      </w:r>
      <w:r w:rsidRPr="0016572A">
        <w:rPr>
          <w:rFonts w:ascii="Times New Roman" w:hAnsi="Times New Roman" w:cs="Times New Roman"/>
          <w:sz w:val="24"/>
          <w:szCs w:val="24"/>
        </w:rPr>
        <w:t>(10), 1199–1214.</w:t>
      </w:r>
    </w:p>
    <w:p w14:paraId="0272BB49" w14:textId="617B5C4B" w:rsidR="000A7084" w:rsidRPr="0016572A" w:rsidRDefault="000A7084" w:rsidP="003A7AA2">
      <w:pPr>
        <w:spacing w:line="480" w:lineRule="auto"/>
        <w:ind w:left="720" w:hanging="720"/>
        <w:rPr>
          <w:rFonts w:ascii="Times New Roman" w:hAnsi="Times New Roman" w:cs="Times New Roman"/>
          <w:sz w:val="24"/>
          <w:szCs w:val="24"/>
        </w:rPr>
      </w:pPr>
      <w:proofErr w:type="spellStart"/>
      <w:r w:rsidRPr="003A7AA2">
        <w:rPr>
          <w:rFonts w:ascii="Times New Roman" w:hAnsi="Times New Roman" w:cs="Times New Roman"/>
          <w:sz w:val="24"/>
          <w:szCs w:val="24"/>
          <w:lang w:val="nl-NL"/>
        </w:rPr>
        <w:t>Maree</w:t>
      </w:r>
      <w:proofErr w:type="spellEnd"/>
      <w:r w:rsidRPr="003A7AA2">
        <w:rPr>
          <w:rFonts w:ascii="Times New Roman" w:hAnsi="Times New Roman" w:cs="Times New Roman"/>
          <w:sz w:val="24"/>
          <w:szCs w:val="24"/>
          <w:lang w:val="nl-NL"/>
        </w:rPr>
        <w:t xml:space="preserve">, J. G. (2021). </w:t>
      </w:r>
      <w:r w:rsidRPr="0016572A">
        <w:rPr>
          <w:rFonts w:ascii="Times New Roman" w:hAnsi="Times New Roman" w:cs="Times New Roman"/>
          <w:sz w:val="24"/>
          <w:szCs w:val="24"/>
        </w:rPr>
        <w:t xml:space="preserve">The psychosocial development theory of Erik Erikson: critical overview. </w:t>
      </w:r>
      <w:r w:rsidRPr="0016572A">
        <w:rPr>
          <w:rFonts w:ascii="Times New Roman" w:hAnsi="Times New Roman" w:cs="Times New Roman"/>
          <w:i/>
          <w:iCs/>
          <w:sz w:val="24"/>
          <w:szCs w:val="24"/>
        </w:rPr>
        <w:t>Early Child Development and Care</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191</w:t>
      </w:r>
      <w:r w:rsidRPr="0016572A">
        <w:rPr>
          <w:rFonts w:ascii="Times New Roman" w:hAnsi="Times New Roman" w:cs="Times New Roman"/>
          <w:sz w:val="24"/>
          <w:szCs w:val="24"/>
        </w:rPr>
        <w:t>(7–8), 1107–1121.</w:t>
      </w:r>
    </w:p>
    <w:p w14:paraId="06879CE4" w14:textId="77777777" w:rsidR="000A7084" w:rsidRPr="0016572A" w:rsidRDefault="000A7084" w:rsidP="000A7084">
      <w:pPr>
        <w:spacing w:line="480" w:lineRule="auto"/>
        <w:ind w:left="720" w:hanging="720"/>
        <w:rPr>
          <w:rFonts w:ascii="Times New Roman" w:hAnsi="Times New Roman" w:cs="Times New Roman"/>
          <w:sz w:val="24"/>
          <w:szCs w:val="24"/>
        </w:rPr>
      </w:pPr>
      <w:proofErr w:type="spellStart"/>
      <w:r w:rsidRPr="0016572A">
        <w:rPr>
          <w:rFonts w:ascii="Times New Roman" w:hAnsi="Times New Roman" w:cs="Times New Roman"/>
          <w:sz w:val="24"/>
          <w:szCs w:val="24"/>
        </w:rPr>
        <w:t>Nandrajog</w:t>
      </w:r>
      <w:proofErr w:type="spellEnd"/>
      <w:r w:rsidRPr="0016572A">
        <w:rPr>
          <w:rFonts w:ascii="Times New Roman" w:hAnsi="Times New Roman" w:cs="Times New Roman"/>
          <w:sz w:val="24"/>
          <w:szCs w:val="24"/>
        </w:rPr>
        <w:t xml:space="preserve">, M. (2021). Experiences of Childhood in the Victorian Cultural and Literary World of Carroll’s Alice in Through the Looking Glass. </w:t>
      </w:r>
      <w:r w:rsidRPr="0016572A">
        <w:rPr>
          <w:rFonts w:ascii="Times New Roman" w:hAnsi="Times New Roman" w:cs="Times New Roman"/>
          <w:i/>
          <w:iCs/>
          <w:sz w:val="24"/>
          <w:szCs w:val="24"/>
        </w:rPr>
        <w:t xml:space="preserve">New </w:t>
      </w:r>
      <w:proofErr w:type="spellStart"/>
      <w:r w:rsidRPr="0016572A">
        <w:rPr>
          <w:rFonts w:ascii="Times New Roman" w:hAnsi="Times New Roman" w:cs="Times New Roman"/>
          <w:i/>
          <w:iCs/>
          <w:sz w:val="24"/>
          <w:szCs w:val="24"/>
        </w:rPr>
        <w:t>Literaria</w:t>
      </w:r>
      <w:proofErr w:type="spellEnd"/>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2</w:t>
      </w:r>
      <w:r w:rsidRPr="0016572A">
        <w:rPr>
          <w:rFonts w:ascii="Times New Roman" w:hAnsi="Times New Roman" w:cs="Times New Roman"/>
          <w:sz w:val="24"/>
          <w:szCs w:val="24"/>
        </w:rPr>
        <w:t>(1), 80–86.</w:t>
      </w:r>
    </w:p>
    <w:p w14:paraId="1B9A813E"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Power, K. (2022). The influence of changing discourses of childhood on 1860s educational policy. </w:t>
      </w:r>
      <w:r w:rsidRPr="0016572A">
        <w:rPr>
          <w:rFonts w:ascii="Times New Roman" w:hAnsi="Times New Roman" w:cs="Times New Roman"/>
          <w:i/>
          <w:iCs/>
          <w:sz w:val="24"/>
          <w:szCs w:val="24"/>
        </w:rPr>
        <w:t>History of Education</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51</w:t>
      </w:r>
      <w:r w:rsidRPr="0016572A">
        <w:rPr>
          <w:rFonts w:ascii="Times New Roman" w:hAnsi="Times New Roman" w:cs="Times New Roman"/>
          <w:sz w:val="24"/>
          <w:szCs w:val="24"/>
        </w:rPr>
        <w:t>(1), 1–21.</w:t>
      </w:r>
    </w:p>
    <w:p w14:paraId="115CEAA7" w14:textId="77777777" w:rsidR="000A7084" w:rsidRPr="0016572A" w:rsidRDefault="000A7084" w:rsidP="000A7084">
      <w:pPr>
        <w:spacing w:line="480" w:lineRule="auto"/>
        <w:ind w:left="720" w:hanging="720"/>
        <w:rPr>
          <w:rFonts w:ascii="Times New Roman" w:eastAsia="Arial Unicode MS" w:hAnsi="Times New Roman" w:cs="Times New Roman"/>
          <w:color w:val="000000"/>
          <w:sz w:val="24"/>
          <w:szCs w:val="24"/>
          <w:shd w:val="clear" w:color="auto" w:fill="FFFFFF"/>
        </w:rPr>
      </w:pPr>
      <w:r w:rsidRPr="0016572A">
        <w:rPr>
          <w:rFonts w:ascii="Times New Roman" w:eastAsia="Arial Unicode MS" w:hAnsi="Times New Roman" w:cs="Times New Roman"/>
          <w:color w:val="000000"/>
          <w:sz w:val="24"/>
          <w:szCs w:val="24"/>
          <w:shd w:val="clear" w:color="auto" w:fill="FFFFFF"/>
        </w:rPr>
        <w:t>Roberts, H. (2012). </w:t>
      </w:r>
      <w:r w:rsidRPr="0016572A">
        <w:rPr>
          <w:rFonts w:ascii="Times New Roman" w:eastAsia="Arial Unicode MS" w:hAnsi="Times New Roman" w:cs="Times New Roman"/>
          <w:i/>
          <w:iCs/>
          <w:color w:val="000000"/>
          <w:sz w:val="24"/>
          <w:szCs w:val="24"/>
          <w:shd w:val="clear" w:color="auto" w:fill="FFFFFF"/>
        </w:rPr>
        <w:t>What works in reducing inequalities in child health?</w:t>
      </w:r>
      <w:r w:rsidRPr="0016572A">
        <w:rPr>
          <w:rFonts w:ascii="Times New Roman" w:eastAsia="Arial Unicode MS" w:hAnsi="Times New Roman" w:cs="Times New Roman"/>
          <w:color w:val="000000"/>
          <w:sz w:val="24"/>
          <w:szCs w:val="24"/>
          <w:shd w:val="clear" w:color="auto" w:fill="FFFFFF"/>
        </w:rPr>
        <w:t>.</w:t>
      </w:r>
    </w:p>
    <w:p w14:paraId="34A2C9AB"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Robson, A. H. (2019). The Factory Act of 1833. In </w:t>
      </w:r>
      <w:r w:rsidRPr="0016572A">
        <w:rPr>
          <w:rFonts w:ascii="Times New Roman" w:hAnsi="Times New Roman" w:cs="Times New Roman"/>
          <w:i/>
          <w:iCs/>
          <w:sz w:val="24"/>
          <w:szCs w:val="24"/>
        </w:rPr>
        <w:t>The Education of Children Engaged in Industry in England 1833-1876</w:t>
      </w:r>
      <w:r w:rsidRPr="0016572A">
        <w:rPr>
          <w:rFonts w:ascii="Times New Roman" w:hAnsi="Times New Roman" w:cs="Times New Roman"/>
          <w:sz w:val="24"/>
          <w:szCs w:val="24"/>
        </w:rPr>
        <w:t xml:space="preserve"> (pp. 15–55). Routledge.</w:t>
      </w:r>
    </w:p>
    <w:p w14:paraId="641F81C5" w14:textId="77777777" w:rsidR="000A7084" w:rsidRPr="0016572A" w:rsidRDefault="000A7084" w:rsidP="000A7084">
      <w:pPr>
        <w:spacing w:line="480" w:lineRule="auto"/>
        <w:ind w:left="720" w:hanging="720"/>
        <w:rPr>
          <w:rFonts w:ascii="Times New Roman" w:eastAsia="Arial Unicode MS" w:hAnsi="Times New Roman" w:cs="Times New Roman"/>
          <w:color w:val="000000"/>
          <w:sz w:val="24"/>
          <w:szCs w:val="24"/>
          <w:shd w:val="clear" w:color="auto" w:fill="FFFFFF"/>
        </w:rPr>
      </w:pPr>
      <w:r w:rsidRPr="0016572A">
        <w:rPr>
          <w:rFonts w:ascii="Times New Roman" w:eastAsia="Arial Unicode MS" w:hAnsi="Times New Roman" w:cs="Times New Roman"/>
          <w:color w:val="000000"/>
          <w:sz w:val="24"/>
          <w:szCs w:val="24"/>
          <w:shd w:val="clear" w:color="auto" w:fill="FFFFFF"/>
        </w:rPr>
        <w:t>Scheck, S. (2014). </w:t>
      </w:r>
      <w:r w:rsidRPr="0016572A">
        <w:rPr>
          <w:rFonts w:ascii="Times New Roman" w:eastAsia="Arial Unicode MS" w:hAnsi="Times New Roman" w:cs="Times New Roman"/>
          <w:i/>
          <w:iCs/>
          <w:color w:val="000000"/>
          <w:sz w:val="24"/>
          <w:szCs w:val="24"/>
          <w:shd w:val="clear" w:color="auto" w:fill="FFFFFF"/>
        </w:rPr>
        <w:t>The Stages of Psychosocial Development According to Erik H. Erikson</w:t>
      </w:r>
      <w:r w:rsidRPr="0016572A">
        <w:rPr>
          <w:rFonts w:ascii="Times New Roman" w:eastAsia="Arial Unicode MS" w:hAnsi="Times New Roman" w:cs="Times New Roman"/>
          <w:color w:val="000000"/>
          <w:sz w:val="24"/>
          <w:szCs w:val="24"/>
          <w:shd w:val="clear" w:color="auto" w:fill="FFFFFF"/>
        </w:rPr>
        <w:t>.</w:t>
      </w:r>
    </w:p>
    <w:p w14:paraId="62255CE2" w14:textId="4ABA870D" w:rsidR="000A7084" w:rsidRPr="000A7084"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Schenk, K. D. (2009). Community interventions providing care and support to orphans and vulnerable children: A review of evaluation evidence. </w:t>
      </w:r>
      <w:r w:rsidRPr="0016572A">
        <w:rPr>
          <w:rFonts w:ascii="Times New Roman" w:hAnsi="Times New Roman" w:cs="Times New Roman"/>
          <w:i/>
          <w:iCs/>
          <w:sz w:val="24"/>
          <w:szCs w:val="24"/>
        </w:rPr>
        <w:t>AIDS Care - Psychological and Socio-Medical Aspects of AIDS/HIV</w:t>
      </w:r>
      <w:r w:rsidRPr="0016572A">
        <w:rPr>
          <w:rFonts w:ascii="Times New Roman" w:hAnsi="Times New Roman" w:cs="Times New Roman"/>
          <w:sz w:val="24"/>
          <w:szCs w:val="24"/>
        </w:rPr>
        <w:t xml:space="preserve">, </w:t>
      </w:r>
      <w:r w:rsidRPr="0016572A">
        <w:rPr>
          <w:rFonts w:ascii="Times New Roman" w:hAnsi="Times New Roman" w:cs="Times New Roman"/>
          <w:i/>
          <w:iCs/>
          <w:sz w:val="24"/>
          <w:szCs w:val="24"/>
        </w:rPr>
        <w:t>21</w:t>
      </w:r>
      <w:r w:rsidRPr="0016572A">
        <w:rPr>
          <w:rFonts w:ascii="Times New Roman" w:hAnsi="Times New Roman" w:cs="Times New Roman"/>
          <w:sz w:val="24"/>
          <w:szCs w:val="24"/>
        </w:rPr>
        <w:t>(7), 918–942.</w:t>
      </w:r>
    </w:p>
    <w:p w14:paraId="4E693613" w14:textId="77777777" w:rsidR="000A7084" w:rsidRPr="0016572A" w:rsidRDefault="000A7084" w:rsidP="000A7084">
      <w:pPr>
        <w:spacing w:line="480" w:lineRule="auto"/>
        <w:ind w:left="720" w:hanging="720"/>
        <w:rPr>
          <w:rFonts w:ascii="Times New Roman" w:hAnsi="Times New Roman" w:cs="Times New Roman"/>
          <w:sz w:val="24"/>
          <w:szCs w:val="24"/>
        </w:rPr>
      </w:pPr>
      <w:r w:rsidRPr="0016572A">
        <w:rPr>
          <w:rFonts w:ascii="Times New Roman" w:hAnsi="Times New Roman" w:cs="Times New Roman"/>
          <w:sz w:val="24"/>
          <w:szCs w:val="24"/>
        </w:rPr>
        <w:t xml:space="preserve">Yuan, B., </w:t>
      </w:r>
      <w:proofErr w:type="spellStart"/>
      <w:r w:rsidRPr="0016572A">
        <w:rPr>
          <w:rFonts w:ascii="Times New Roman" w:hAnsi="Times New Roman" w:cs="Times New Roman"/>
          <w:sz w:val="24"/>
          <w:szCs w:val="24"/>
        </w:rPr>
        <w:t>Målqvist</w:t>
      </w:r>
      <w:proofErr w:type="spellEnd"/>
      <w:r w:rsidRPr="0016572A">
        <w:rPr>
          <w:rFonts w:ascii="Times New Roman" w:hAnsi="Times New Roman" w:cs="Times New Roman"/>
          <w:sz w:val="24"/>
          <w:szCs w:val="24"/>
        </w:rPr>
        <w:t xml:space="preserve">, M., </w:t>
      </w:r>
      <w:proofErr w:type="spellStart"/>
      <w:r w:rsidRPr="0016572A">
        <w:rPr>
          <w:rFonts w:ascii="Times New Roman" w:hAnsi="Times New Roman" w:cs="Times New Roman"/>
          <w:sz w:val="24"/>
          <w:szCs w:val="24"/>
        </w:rPr>
        <w:t>Trygg</w:t>
      </w:r>
      <w:proofErr w:type="spellEnd"/>
      <w:r w:rsidRPr="0016572A">
        <w:rPr>
          <w:rFonts w:ascii="Times New Roman" w:hAnsi="Times New Roman" w:cs="Times New Roman"/>
          <w:sz w:val="24"/>
          <w:szCs w:val="24"/>
        </w:rPr>
        <w:t xml:space="preserve">, N., Qian, X., Ng, N., &amp; Thomsen, S. (2014, June 21). What interventions are effective on reducing inequalities in maternal and child health in </w:t>
      </w:r>
      <w:r w:rsidRPr="0016572A">
        <w:rPr>
          <w:rFonts w:ascii="Times New Roman" w:hAnsi="Times New Roman" w:cs="Times New Roman"/>
          <w:sz w:val="24"/>
          <w:szCs w:val="24"/>
        </w:rPr>
        <w:lastRenderedPageBreak/>
        <w:t xml:space="preserve">low- and middle-income settings? A systematic review. </w:t>
      </w:r>
      <w:r w:rsidRPr="0016572A">
        <w:rPr>
          <w:rFonts w:ascii="Times New Roman" w:hAnsi="Times New Roman" w:cs="Times New Roman"/>
          <w:i/>
          <w:iCs/>
          <w:sz w:val="24"/>
          <w:szCs w:val="24"/>
        </w:rPr>
        <w:t>BMC Public Health</w:t>
      </w:r>
      <w:r w:rsidRPr="0016572A">
        <w:rPr>
          <w:rFonts w:ascii="Times New Roman" w:hAnsi="Times New Roman" w:cs="Times New Roman"/>
          <w:sz w:val="24"/>
          <w:szCs w:val="24"/>
        </w:rPr>
        <w:t>. BioMed Central Ltd.</w:t>
      </w:r>
    </w:p>
    <w:p w14:paraId="28BD5C55" w14:textId="49585F6D" w:rsidR="0098796F" w:rsidRPr="001B7AD4" w:rsidRDefault="0098796F" w:rsidP="001B7AD4">
      <w:pPr>
        <w:spacing w:line="360" w:lineRule="auto"/>
        <w:rPr>
          <w:rFonts w:ascii="Arial" w:hAnsi="Arial" w:cs="Arial"/>
        </w:rPr>
      </w:pPr>
    </w:p>
    <w:sectPr w:rsidR="0098796F" w:rsidRPr="001B7A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89544" w14:textId="77777777" w:rsidR="002E42E3" w:rsidRDefault="002E42E3" w:rsidP="007A6C6D">
      <w:pPr>
        <w:spacing w:after="0" w:line="240" w:lineRule="auto"/>
      </w:pPr>
      <w:r>
        <w:separator/>
      </w:r>
    </w:p>
  </w:endnote>
  <w:endnote w:type="continuationSeparator" w:id="0">
    <w:p w14:paraId="37A2D43A" w14:textId="77777777" w:rsidR="002E42E3" w:rsidRDefault="002E42E3" w:rsidP="007A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6C085" w14:textId="77777777" w:rsidR="002E42E3" w:rsidRDefault="002E42E3" w:rsidP="007A6C6D">
      <w:pPr>
        <w:spacing w:after="0" w:line="240" w:lineRule="auto"/>
      </w:pPr>
      <w:r>
        <w:separator/>
      </w:r>
    </w:p>
  </w:footnote>
  <w:footnote w:type="continuationSeparator" w:id="0">
    <w:p w14:paraId="71FA406C" w14:textId="77777777" w:rsidR="002E42E3" w:rsidRDefault="002E42E3" w:rsidP="007A6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64595"/>
    <w:multiLevelType w:val="hybridMultilevel"/>
    <w:tmpl w:val="3D58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FD2FB7"/>
    <w:multiLevelType w:val="hybridMultilevel"/>
    <w:tmpl w:val="C7907C54"/>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47CD1"/>
    <w:multiLevelType w:val="hybridMultilevel"/>
    <w:tmpl w:val="F536C360"/>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11950"/>
    <w:multiLevelType w:val="hybridMultilevel"/>
    <w:tmpl w:val="8A3A4F3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B0F65"/>
    <w:multiLevelType w:val="hybridMultilevel"/>
    <w:tmpl w:val="4FEC787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522642">
    <w:abstractNumId w:val="0"/>
  </w:num>
  <w:num w:numId="2" w16cid:durableId="1591770800">
    <w:abstractNumId w:val="3"/>
  </w:num>
  <w:num w:numId="3" w16cid:durableId="1073703871">
    <w:abstractNumId w:val="1"/>
  </w:num>
  <w:num w:numId="4" w16cid:durableId="902057984">
    <w:abstractNumId w:val="5"/>
  </w:num>
  <w:num w:numId="5" w16cid:durableId="2035811331">
    <w:abstractNumId w:val="2"/>
  </w:num>
  <w:num w:numId="6" w16cid:durableId="628629104">
    <w:abstractNumId w:val="7"/>
  </w:num>
  <w:num w:numId="7" w16cid:durableId="1550144916">
    <w:abstractNumId w:val="6"/>
  </w:num>
  <w:num w:numId="8" w16cid:durableId="11746868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329FF"/>
    <w:rsid w:val="00045051"/>
    <w:rsid w:val="0006377E"/>
    <w:rsid w:val="00072725"/>
    <w:rsid w:val="000835CC"/>
    <w:rsid w:val="000906F0"/>
    <w:rsid w:val="000A7084"/>
    <w:rsid w:val="001111E4"/>
    <w:rsid w:val="00112973"/>
    <w:rsid w:val="001341B9"/>
    <w:rsid w:val="00135959"/>
    <w:rsid w:val="00146D24"/>
    <w:rsid w:val="00183C99"/>
    <w:rsid w:val="00187D25"/>
    <w:rsid w:val="001A332C"/>
    <w:rsid w:val="001A6AEE"/>
    <w:rsid w:val="001B7AD4"/>
    <w:rsid w:val="001D5C34"/>
    <w:rsid w:val="001F76A4"/>
    <w:rsid w:val="00206C11"/>
    <w:rsid w:val="002156C6"/>
    <w:rsid w:val="002604EF"/>
    <w:rsid w:val="00292BFA"/>
    <w:rsid w:val="002942EF"/>
    <w:rsid w:val="00294F37"/>
    <w:rsid w:val="002E42E3"/>
    <w:rsid w:val="002F6E37"/>
    <w:rsid w:val="00321CDF"/>
    <w:rsid w:val="00337233"/>
    <w:rsid w:val="00341ABF"/>
    <w:rsid w:val="00342652"/>
    <w:rsid w:val="003562D5"/>
    <w:rsid w:val="00371490"/>
    <w:rsid w:val="00373E5A"/>
    <w:rsid w:val="003A29D8"/>
    <w:rsid w:val="003A7AA2"/>
    <w:rsid w:val="003C290F"/>
    <w:rsid w:val="003D7CE9"/>
    <w:rsid w:val="00420B92"/>
    <w:rsid w:val="0043731C"/>
    <w:rsid w:val="00442050"/>
    <w:rsid w:val="00463AB1"/>
    <w:rsid w:val="00486077"/>
    <w:rsid w:val="004E03BB"/>
    <w:rsid w:val="005174BD"/>
    <w:rsid w:val="00522A9B"/>
    <w:rsid w:val="005241DC"/>
    <w:rsid w:val="0052499C"/>
    <w:rsid w:val="00553B46"/>
    <w:rsid w:val="00572764"/>
    <w:rsid w:val="005B2356"/>
    <w:rsid w:val="005E2292"/>
    <w:rsid w:val="00603F21"/>
    <w:rsid w:val="00651B9F"/>
    <w:rsid w:val="00697BCE"/>
    <w:rsid w:val="006B06C3"/>
    <w:rsid w:val="00744988"/>
    <w:rsid w:val="00756411"/>
    <w:rsid w:val="007A6C6D"/>
    <w:rsid w:val="007B25DF"/>
    <w:rsid w:val="007C5BD6"/>
    <w:rsid w:val="007F5F17"/>
    <w:rsid w:val="0080449F"/>
    <w:rsid w:val="00807872"/>
    <w:rsid w:val="008A0CA2"/>
    <w:rsid w:val="008B3CDE"/>
    <w:rsid w:val="008B4DAE"/>
    <w:rsid w:val="008B7B3A"/>
    <w:rsid w:val="008E21DE"/>
    <w:rsid w:val="008E2858"/>
    <w:rsid w:val="008F3C1D"/>
    <w:rsid w:val="008F4A9B"/>
    <w:rsid w:val="008F533F"/>
    <w:rsid w:val="00954AB0"/>
    <w:rsid w:val="00970F53"/>
    <w:rsid w:val="00986A0F"/>
    <w:rsid w:val="00986A84"/>
    <w:rsid w:val="0098796F"/>
    <w:rsid w:val="009B0332"/>
    <w:rsid w:val="009B786D"/>
    <w:rsid w:val="009E5B42"/>
    <w:rsid w:val="009F3D74"/>
    <w:rsid w:val="00A07DDA"/>
    <w:rsid w:val="00A35F25"/>
    <w:rsid w:val="00A83837"/>
    <w:rsid w:val="00A840B0"/>
    <w:rsid w:val="00A860A7"/>
    <w:rsid w:val="00AE067B"/>
    <w:rsid w:val="00B25A62"/>
    <w:rsid w:val="00B32D64"/>
    <w:rsid w:val="00B420B8"/>
    <w:rsid w:val="00B70AE1"/>
    <w:rsid w:val="00B80B65"/>
    <w:rsid w:val="00B93CC9"/>
    <w:rsid w:val="00BA7495"/>
    <w:rsid w:val="00BB7D9A"/>
    <w:rsid w:val="00BD29EF"/>
    <w:rsid w:val="00BF7C8F"/>
    <w:rsid w:val="00C038D8"/>
    <w:rsid w:val="00C164CC"/>
    <w:rsid w:val="00C2191F"/>
    <w:rsid w:val="00C27E55"/>
    <w:rsid w:val="00C60977"/>
    <w:rsid w:val="00C9330A"/>
    <w:rsid w:val="00D16579"/>
    <w:rsid w:val="00D74F10"/>
    <w:rsid w:val="00D759C7"/>
    <w:rsid w:val="00DB24E8"/>
    <w:rsid w:val="00E06FA3"/>
    <w:rsid w:val="00E82CC4"/>
    <w:rsid w:val="00E949C4"/>
    <w:rsid w:val="00E95CD5"/>
    <w:rsid w:val="00EA1E91"/>
    <w:rsid w:val="00F20AE0"/>
    <w:rsid w:val="00F33783"/>
    <w:rsid w:val="00F35020"/>
    <w:rsid w:val="00F36B90"/>
    <w:rsid w:val="00F5291E"/>
    <w:rsid w:val="00F63D1A"/>
    <w:rsid w:val="00FB31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36B90"/>
    <w:pPr>
      <w:keepNext/>
      <w:keepLines/>
      <w:spacing w:before="240" w:after="0" w:line="360" w:lineRule="auto"/>
      <w:outlineLvl w:val="0"/>
    </w:pPr>
    <w:rPr>
      <w:rFonts w:ascii="Arial" w:eastAsiaTheme="majorEastAsia" w:hAnsi="Arial" w:cstheme="majorBidi"/>
      <w:b/>
      <w:color w:val="0070C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ind w:left="720"/>
      <w:contextualSpacing/>
    </w:p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C6D"/>
  </w:style>
  <w:style w:type="character" w:customStyle="1" w:styleId="Heading1Char">
    <w:name w:val="Heading 1 Char"/>
    <w:basedOn w:val="DefaultParagraphFont"/>
    <w:link w:val="Heading1"/>
    <w:uiPriority w:val="9"/>
    <w:rsid w:val="00F36B90"/>
    <w:rPr>
      <w:rFonts w:ascii="Arial" w:eastAsiaTheme="majorEastAsia" w:hAnsi="Arial" w:cstheme="majorBidi"/>
      <w:b/>
      <w:color w:val="0070C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3366</Words>
  <Characters>19188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Esther Gomugor (2022275)</cp:lastModifiedBy>
  <cp:revision>2</cp:revision>
  <dcterms:created xsi:type="dcterms:W3CDTF">2023-09-08T11:18:00Z</dcterms:created>
  <dcterms:modified xsi:type="dcterms:W3CDTF">2023-09-08T11:18:00Z</dcterms:modified>
</cp:coreProperties>
</file>