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8BAD5" w14:textId="77777777" w:rsidR="002F2CD6" w:rsidRPr="00210888" w:rsidRDefault="002F2CD6" w:rsidP="008E7212">
      <w:pPr>
        <w:spacing w:line="480" w:lineRule="auto"/>
        <w:rPr>
          <w:b/>
          <w:bCs/>
        </w:rPr>
      </w:pPr>
      <w:r w:rsidRPr="00210888">
        <w:rPr>
          <w:b/>
          <w:bCs/>
        </w:rPr>
        <w:t>Abstract</w:t>
      </w:r>
    </w:p>
    <w:p w14:paraId="63EBF592" w14:textId="513AF292" w:rsidR="00216D53" w:rsidRDefault="002C4C68" w:rsidP="008E7212">
      <w:pPr>
        <w:spacing w:line="480" w:lineRule="auto"/>
        <w:ind w:firstLine="720"/>
      </w:pPr>
      <w:r>
        <w:t xml:space="preserve">This report presents a thematic analysis exploring how </w:t>
      </w:r>
      <w:r w:rsidR="00524813">
        <w:t xml:space="preserve">counsellors understand and experience professional boundaries in their counselling practice. </w:t>
      </w:r>
      <w:r w:rsidR="00E77472">
        <w:t xml:space="preserve">Using qualitative data from semi-structured </w:t>
      </w:r>
      <w:r w:rsidR="0008352F">
        <w:t xml:space="preserve">interviews, the analysis </w:t>
      </w:r>
      <w:r w:rsidR="00E72FDF">
        <w:t>shows</w:t>
      </w:r>
      <w:r w:rsidR="0008352F">
        <w:t xml:space="preserve"> key themes that reveal boundaries as fluid and context dependent </w:t>
      </w:r>
      <w:r w:rsidR="00E72FDF">
        <w:t xml:space="preserve">rather than rigid or universally defined. </w:t>
      </w:r>
      <w:r w:rsidR="00450ABE">
        <w:t>Counsellors de</w:t>
      </w:r>
      <w:r w:rsidR="008131D8">
        <w:t xml:space="preserve">scribe boundaries as essential for </w:t>
      </w:r>
      <w:bookmarkStart w:id="0" w:name="_Int_T50rz3IS"/>
      <w:r w:rsidR="008131D8">
        <w:t>maintaining</w:t>
      </w:r>
      <w:bookmarkEnd w:id="0"/>
      <w:r w:rsidR="008131D8">
        <w:t xml:space="preserve"> </w:t>
      </w:r>
      <w:r w:rsidR="00676F9F">
        <w:t xml:space="preserve">ethical practice, client safety, and </w:t>
      </w:r>
      <w:r w:rsidR="001662AD">
        <w:t xml:space="preserve">professional identity, while also recognising the emotional and </w:t>
      </w:r>
      <w:r w:rsidR="001D0F30">
        <w:t xml:space="preserve">relational complexities involved in boundary management. </w:t>
      </w:r>
      <w:bookmarkStart w:id="1" w:name="_Int_dc5QBxsS"/>
      <w:r w:rsidR="001D0F30">
        <w:t>A number of</w:t>
      </w:r>
      <w:bookmarkEnd w:id="1"/>
      <w:r w:rsidR="001D0F30">
        <w:t xml:space="preserve"> recurring ideas </w:t>
      </w:r>
      <w:bookmarkStart w:id="2" w:name="_Int_241OvJSs"/>
      <w:r w:rsidR="001D0F30">
        <w:t>emerged</w:t>
      </w:r>
      <w:bookmarkEnd w:id="2"/>
      <w:r w:rsidR="001D0F30">
        <w:t xml:space="preserve"> </w:t>
      </w:r>
      <w:r w:rsidR="00014AD7">
        <w:t xml:space="preserve">around the ethical and relational dimensions of practice. The findings suggest </w:t>
      </w:r>
      <w:r w:rsidR="00C6210F">
        <w:t xml:space="preserve">that counsellors </w:t>
      </w:r>
      <w:r w:rsidR="005A045C">
        <w:t xml:space="preserve">view boundaries as complex and often challenging to </w:t>
      </w:r>
      <w:bookmarkStart w:id="3" w:name="_Int_SiIApoaG"/>
      <w:r w:rsidR="005A045C">
        <w:t>maintain</w:t>
      </w:r>
      <w:bookmarkEnd w:id="3"/>
      <w:r w:rsidR="005A045C">
        <w:t xml:space="preserve">, particularly when personal </w:t>
      </w:r>
      <w:r w:rsidR="001A3106">
        <w:t xml:space="preserve">and professional roles intersect. Participants </w:t>
      </w:r>
      <w:r w:rsidR="008D25EF">
        <w:t xml:space="preserve">also highlighted the value of support, reflection, and ongoing professional development </w:t>
      </w:r>
      <w:r w:rsidR="00FA3734">
        <w:t xml:space="preserve">in managing these challenges. Overall, the study suggests </w:t>
      </w:r>
      <w:r w:rsidR="00216D53">
        <w:t xml:space="preserve">that </w:t>
      </w:r>
      <w:bookmarkStart w:id="4" w:name="_Int_gLlkt0N5"/>
      <w:r w:rsidR="00216D53">
        <w:t>maintaining</w:t>
      </w:r>
      <w:bookmarkEnd w:id="4"/>
      <w:r w:rsidR="00216D53">
        <w:t xml:space="preserve"> professional boundaries is an evolving and reflective process that </w:t>
      </w:r>
      <w:r w:rsidR="002F2CD6">
        <w:t xml:space="preserve">underpins ethical and effective counselling work. </w:t>
      </w:r>
    </w:p>
    <w:p w14:paraId="6ABE507F" w14:textId="77777777" w:rsidR="002F2CD6" w:rsidRDefault="002F2CD6" w:rsidP="008E7212">
      <w:pPr>
        <w:spacing w:line="480" w:lineRule="auto"/>
      </w:pPr>
    </w:p>
    <w:p w14:paraId="34DFF082" w14:textId="3DA4E2F3" w:rsidR="002F2CD6" w:rsidRPr="00210888" w:rsidRDefault="002F2CD6" w:rsidP="008E7212">
      <w:pPr>
        <w:spacing w:line="480" w:lineRule="auto"/>
        <w:rPr>
          <w:b/>
          <w:bCs/>
        </w:rPr>
      </w:pPr>
      <w:r w:rsidRPr="00210888">
        <w:rPr>
          <w:b/>
          <w:bCs/>
        </w:rPr>
        <w:t>Introduction</w:t>
      </w:r>
    </w:p>
    <w:p w14:paraId="7EF5FF53" w14:textId="703F4EE6" w:rsidR="00094821" w:rsidRDefault="00653CDE" w:rsidP="008E7212">
      <w:pPr>
        <w:spacing w:line="480" w:lineRule="auto"/>
        <w:ind w:firstLine="720"/>
      </w:pPr>
      <w:r>
        <w:t xml:space="preserve">Professional boundaries </w:t>
      </w:r>
      <w:bookmarkStart w:id="5" w:name="_Int_90pYVLc3"/>
      <w:r>
        <w:t>are widely recognised</w:t>
      </w:r>
      <w:bookmarkEnd w:id="5"/>
      <w:r>
        <w:t xml:space="preserve"> as central to ethical, safe, and effective counselling. They serve as the structure that allows </w:t>
      </w:r>
      <w:r w:rsidR="00C8643C">
        <w:t>the counselling relationship to develop while safeguarding both client and practitioner</w:t>
      </w:r>
      <w:r w:rsidR="00A17745">
        <w:t xml:space="preserve"> (Bond, 2015; British Association for Counselling </w:t>
      </w:r>
      <w:r w:rsidR="00BB7ACE">
        <w:t xml:space="preserve">and Psychotherapy [BACP], 2018). Boundaries regulate </w:t>
      </w:r>
      <w:r w:rsidR="000C4F02">
        <w:t xml:space="preserve">expectations and create predictability, contributing to </w:t>
      </w:r>
      <w:r w:rsidR="00013641">
        <w:t xml:space="preserve">a secure therapeutic frame in which clients can explore emotional difficulties without confusion or role ambiguity </w:t>
      </w:r>
      <w:r w:rsidR="002A70AE">
        <w:t xml:space="preserve">(Proctor 2017). Across modalities, boundaries around time, space, </w:t>
      </w:r>
      <w:r w:rsidR="002A70AE">
        <w:lastRenderedPageBreak/>
        <w:t xml:space="preserve">confidentiality, touch, </w:t>
      </w:r>
      <w:r w:rsidR="00094821">
        <w:t>communication,</w:t>
      </w:r>
      <w:r w:rsidR="002A70AE">
        <w:t xml:space="preserve"> and dual relationships </w:t>
      </w:r>
      <w:bookmarkStart w:id="6" w:name="_Int_epiF2rb0"/>
      <w:r w:rsidR="002A70AE">
        <w:t>are considered</w:t>
      </w:r>
      <w:bookmarkEnd w:id="6"/>
      <w:r w:rsidR="002A70AE">
        <w:t xml:space="preserve"> essential for </w:t>
      </w:r>
      <w:bookmarkStart w:id="7" w:name="_Int_4y4W8Hbg"/>
      <w:r w:rsidR="002A70AE">
        <w:t>maintaining</w:t>
      </w:r>
      <w:bookmarkEnd w:id="7"/>
      <w:r w:rsidR="002A70AE">
        <w:t xml:space="preserve"> professional integrity and client safety (Feltham and Dryden, 2012; McLeod, 2013).</w:t>
      </w:r>
    </w:p>
    <w:p w14:paraId="7228A4DE" w14:textId="3DBCAFE9" w:rsidR="00C75F0B" w:rsidRDefault="00EA64FB" w:rsidP="008E7212">
      <w:pPr>
        <w:spacing w:line="480" w:lineRule="auto"/>
        <w:ind w:firstLine="720"/>
      </w:pPr>
      <w:r>
        <w:t xml:space="preserve">This report presents a thematic analysis </w:t>
      </w:r>
      <w:r w:rsidR="00490EE7">
        <w:t>of an interview with “Chris,” a humanistic integrative counsellor working in wales. The purpose of the analysis is to address the research question</w:t>
      </w:r>
      <w:r w:rsidR="00206AA2">
        <w:t xml:space="preserve">: </w:t>
      </w:r>
      <w:r w:rsidR="004204BC">
        <w:t xml:space="preserve">How </w:t>
      </w:r>
      <w:r w:rsidR="00206AA2">
        <w:t xml:space="preserve">do counsellors understand and experience professional boundaries in their counselling practice? </w:t>
      </w:r>
      <w:r w:rsidR="004204BC">
        <w:t>Humanistic practitioners emphasise relational depth, empathy</w:t>
      </w:r>
      <w:r w:rsidR="00FA632D">
        <w:t xml:space="preserve">, unconditional positive regard, and congruence (Mearns and Thorne, </w:t>
      </w:r>
      <w:r w:rsidR="00C75F0B">
        <w:t xml:space="preserve">2013, Mearns and cooper, 2017); therefore, boundary work </w:t>
      </w:r>
      <w:bookmarkStart w:id="8" w:name="_Int_MLtN5Qax"/>
      <w:r w:rsidR="00C75F0B">
        <w:t>is often experienced</w:t>
      </w:r>
      <w:bookmarkEnd w:id="8"/>
      <w:r w:rsidR="00C75F0B">
        <w:t xml:space="preserve"> as relational </w:t>
      </w:r>
      <w:r w:rsidR="00D70CFA">
        <w:t xml:space="preserve">process rather than a set of rigid rules. Chris’s reflections offer an opportunity </w:t>
      </w:r>
      <w:r w:rsidR="00A64B8D">
        <w:t xml:space="preserve">to explore this relational framing of boundaries. </w:t>
      </w:r>
    </w:p>
    <w:p w14:paraId="593FA5E8" w14:textId="498C44B7" w:rsidR="00452ED4" w:rsidRDefault="00452ED4" w:rsidP="008E7212">
      <w:pPr>
        <w:spacing w:line="480" w:lineRule="auto"/>
        <w:ind w:firstLine="720"/>
      </w:pPr>
      <w:r>
        <w:t xml:space="preserve">Thematic analysis is well suited to this inquiry because it </w:t>
      </w:r>
      <w:bookmarkStart w:id="9" w:name="_Int_I4HCKYmI"/>
      <w:r>
        <w:t>provides</w:t>
      </w:r>
      <w:bookmarkEnd w:id="9"/>
      <w:r>
        <w:t xml:space="preserve"> a systematic get flexible way to examine meaning-making, experience, and values within qualitative data (Braun and Clarke, 2006, 2021). In line with reflexive thematic analysis, meaning </w:t>
      </w:r>
      <w:bookmarkStart w:id="10" w:name="_Int_VqkF1Qcc"/>
      <w:r>
        <w:t>is understood</w:t>
      </w:r>
      <w:bookmarkEnd w:id="10"/>
      <w:r>
        <w:t xml:space="preserve"> to arise </w:t>
      </w:r>
      <w:r w:rsidR="00F8597A">
        <w:t xml:space="preserve">through the </w:t>
      </w:r>
      <w:r w:rsidR="00B2050C">
        <w:t>researcher's</w:t>
      </w:r>
      <w:r w:rsidR="00F8597A">
        <w:t xml:space="preserve"> engagement with the data rather than as an objective truth waiting to </w:t>
      </w:r>
      <w:bookmarkStart w:id="11" w:name="_Int_bMhO3Yt6"/>
      <w:r w:rsidR="00F8597A">
        <w:t xml:space="preserve">be </w:t>
      </w:r>
      <w:r w:rsidR="00D37890">
        <w:t>“</w:t>
      </w:r>
      <w:r w:rsidR="00F8597A">
        <w:t>discovered</w:t>
      </w:r>
      <w:r w:rsidR="00D37890">
        <w:t>”</w:t>
      </w:r>
      <w:bookmarkEnd w:id="11"/>
      <w:r w:rsidR="00D37890">
        <w:t xml:space="preserve"> (Braun and Clarke, 2019)</w:t>
      </w:r>
      <w:r w:rsidR="00B2050C">
        <w:t xml:space="preserve">. The present analysis looks to illuminate the relational, ethical, and personal dimensions of boundary work that appear throughout Chris’s narrative. </w:t>
      </w:r>
    </w:p>
    <w:p w14:paraId="0365A3A8" w14:textId="481823F1" w:rsidR="00652D3F" w:rsidRDefault="00652D3F" w:rsidP="008E7212">
      <w:pPr>
        <w:spacing w:line="480" w:lineRule="auto"/>
      </w:pPr>
    </w:p>
    <w:p w14:paraId="497F8DD4" w14:textId="00573B76" w:rsidR="00652D3F" w:rsidRPr="00210888" w:rsidRDefault="00652D3F" w:rsidP="008E7212">
      <w:pPr>
        <w:spacing w:line="480" w:lineRule="auto"/>
        <w:rPr>
          <w:b/>
          <w:bCs/>
        </w:rPr>
      </w:pPr>
      <w:r w:rsidRPr="00210888">
        <w:rPr>
          <w:b/>
          <w:bCs/>
        </w:rPr>
        <w:t xml:space="preserve">Methodology </w:t>
      </w:r>
    </w:p>
    <w:p w14:paraId="15166749" w14:textId="77777777" w:rsidR="007D5A75" w:rsidRDefault="007D5A75" w:rsidP="008E7212">
      <w:pPr>
        <w:spacing w:line="480" w:lineRule="auto"/>
      </w:pPr>
      <w:r>
        <w:t>Research design</w:t>
      </w:r>
    </w:p>
    <w:p w14:paraId="28BBC322" w14:textId="35839C78" w:rsidR="00652D3F" w:rsidRDefault="00652D3F" w:rsidP="008E7212">
      <w:pPr>
        <w:spacing w:line="480" w:lineRule="auto"/>
      </w:pPr>
      <w:r>
        <w:lastRenderedPageBreak/>
        <w:tab/>
        <w:t>Reflexive thematic analysis (Braun and Clarke, 2006</w:t>
      </w:r>
      <w:r w:rsidR="00F57B2F">
        <w:t xml:space="preserve">, 2019, 2021) </w:t>
      </w:r>
      <w:bookmarkStart w:id="12" w:name="_Int_3tN7mdyH"/>
      <w:r w:rsidR="00F57B2F">
        <w:t>was used</w:t>
      </w:r>
      <w:bookmarkEnd w:id="12"/>
      <w:r w:rsidR="00F57B2F">
        <w:t xml:space="preserve"> because it enabled detailed exploration of subjective experiences while allowing the researcher to play an interpretive rol</w:t>
      </w:r>
      <w:r w:rsidR="000D06FA">
        <w:t>e. Themes are conceptualised as patterns of shared meaning</w:t>
      </w:r>
      <w:r w:rsidR="004D6965">
        <w:t xml:space="preserve"> that address the research question and reflect the </w:t>
      </w:r>
      <w:bookmarkStart w:id="13" w:name="_Int_Iw8sNdmv"/>
      <w:r w:rsidR="004D6965">
        <w:t>counsellors</w:t>
      </w:r>
      <w:bookmarkEnd w:id="13"/>
      <w:r w:rsidR="004D6965">
        <w:t xml:space="preserve"> </w:t>
      </w:r>
      <w:r w:rsidR="00895481">
        <w:t xml:space="preserve">underlying assumptions and values. This approach is inductive, although informed by the researchers theoretical understanding of counselling ethics and humanistic practice. </w:t>
      </w:r>
    </w:p>
    <w:p w14:paraId="68E1C42F" w14:textId="130958B5" w:rsidR="007D5A75" w:rsidRPr="00210888" w:rsidRDefault="007D5A75" w:rsidP="008E7212">
      <w:pPr>
        <w:spacing w:line="480" w:lineRule="auto"/>
        <w:rPr>
          <w:b/>
          <w:bCs/>
        </w:rPr>
      </w:pPr>
      <w:r w:rsidRPr="00210888">
        <w:rPr>
          <w:b/>
          <w:bCs/>
        </w:rPr>
        <w:t>Data source</w:t>
      </w:r>
    </w:p>
    <w:p w14:paraId="15101F6B" w14:textId="73C3C4DD" w:rsidR="0084527B" w:rsidRDefault="007D5A75" w:rsidP="008E7212">
      <w:pPr>
        <w:spacing w:line="480" w:lineRule="auto"/>
      </w:pPr>
      <w:r>
        <w:tab/>
        <w:t>This data consists of a single anonymised interview transcript with an experienced counsellor</w:t>
      </w:r>
      <w:r w:rsidR="002757BB">
        <w:t>. Although this limits generalisability, single-participant qualita</w:t>
      </w:r>
      <w:r w:rsidR="00FF3A29">
        <w:t xml:space="preserve">tive studies are valuable for exploring depth, nuance, and the lived complexity of clinics, practice (Levitt, 2021). Chris’s </w:t>
      </w:r>
      <w:r w:rsidR="0084527B">
        <w:t xml:space="preserve">detailed, reflective responses provide insight across multiple dimensions of boundary work - including time, endings, touch, self-disclosure, digital communication, cultural sensitivity, dual relationships, and supervision. </w:t>
      </w:r>
    </w:p>
    <w:p w14:paraId="3307D238" w14:textId="028590AF" w:rsidR="0099277B" w:rsidRPr="00210888" w:rsidRDefault="0099277B" w:rsidP="008E7212">
      <w:pPr>
        <w:spacing w:line="480" w:lineRule="auto"/>
        <w:rPr>
          <w:b/>
          <w:bCs/>
        </w:rPr>
      </w:pPr>
      <w:r w:rsidRPr="00210888">
        <w:rPr>
          <w:b/>
          <w:bCs/>
        </w:rPr>
        <w:t xml:space="preserve">Procedure </w:t>
      </w:r>
    </w:p>
    <w:p w14:paraId="47A87536" w14:textId="69F1262C" w:rsidR="0099277B" w:rsidRDefault="0099277B" w:rsidP="008E7212">
      <w:pPr>
        <w:spacing w:line="480" w:lineRule="auto"/>
      </w:pPr>
      <w:r>
        <w:tab/>
        <w:t xml:space="preserve">The analysis followed Braun and Clarke’s (2021) </w:t>
      </w:r>
      <w:bookmarkStart w:id="14" w:name="_Int_uHbD0bC8"/>
      <w:r>
        <w:t>six page</w:t>
      </w:r>
      <w:bookmarkEnd w:id="14"/>
      <w:r>
        <w:t xml:space="preserve"> structure. First, familiarisation involved close reading and annotation</w:t>
      </w:r>
      <w:r w:rsidR="0055674F">
        <w:t xml:space="preserve">. Initial coding </w:t>
      </w:r>
      <w:r w:rsidR="004D7857">
        <w:t>found</w:t>
      </w:r>
      <w:r w:rsidR="0055674F">
        <w:t xml:space="preserve"> meaningful features such as clarity, safety, collaboration, consistency, </w:t>
      </w:r>
      <w:r w:rsidR="006A0225">
        <w:t xml:space="preserve">and flexibility. </w:t>
      </w:r>
      <w:r w:rsidR="00766841">
        <w:t xml:space="preserve">Codes </w:t>
      </w:r>
      <w:bookmarkStart w:id="15" w:name="_Int_olwO4c3X"/>
      <w:r w:rsidR="00766841">
        <w:t>were then grouped</w:t>
      </w:r>
      <w:bookmarkEnd w:id="15"/>
      <w:r w:rsidR="00766841">
        <w:t xml:space="preserve"> into potential themes, which </w:t>
      </w:r>
      <w:bookmarkStart w:id="16" w:name="_Int_lg2FE6OA"/>
      <w:r w:rsidR="00766841">
        <w:t>were refined</w:t>
      </w:r>
      <w:bookmarkEnd w:id="16"/>
      <w:r w:rsidR="00766841">
        <w:t xml:space="preserve"> for coherence and relevance</w:t>
      </w:r>
      <w:r w:rsidR="00A74031">
        <w:t xml:space="preserve"> before </w:t>
      </w:r>
      <w:bookmarkStart w:id="17" w:name="_Int_UmGuwD6s"/>
      <w:r w:rsidR="00A74031">
        <w:t>being named</w:t>
      </w:r>
      <w:bookmarkEnd w:id="17"/>
      <w:r w:rsidR="00A74031">
        <w:t xml:space="preserve"> and defined. Reflexive notes </w:t>
      </w:r>
      <w:bookmarkStart w:id="18" w:name="_Int_f1Wn6f4P"/>
      <w:r w:rsidR="00A74031">
        <w:t>were kept</w:t>
      </w:r>
      <w:bookmarkEnd w:id="18"/>
      <w:r w:rsidR="00A74031">
        <w:t xml:space="preserve"> acknowledging interpretive choices. </w:t>
      </w:r>
    </w:p>
    <w:p w14:paraId="73D06C04" w14:textId="31F5242E" w:rsidR="003107F9" w:rsidRPr="00210888" w:rsidRDefault="003107F9" w:rsidP="008E7212">
      <w:pPr>
        <w:spacing w:line="480" w:lineRule="auto"/>
        <w:rPr>
          <w:b/>
          <w:bCs/>
        </w:rPr>
      </w:pPr>
      <w:r w:rsidRPr="00210888">
        <w:rPr>
          <w:b/>
          <w:bCs/>
        </w:rPr>
        <w:lastRenderedPageBreak/>
        <w:t>Findings</w:t>
      </w:r>
    </w:p>
    <w:p w14:paraId="70D159EB" w14:textId="0A483408" w:rsidR="003107F9" w:rsidRDefault="003107F9" w:rsidP="008E7212">
      <w:pPr>
        <w:spacing w:line="480" w:lineRule="auto"/>
        <w:ind w:firstLine="360"/>
      </w:pPr>
      <w:r>
        <w:t>Four t</w:t>
      </w:r>
      <w:r w:rsidR="007339BE">
        <w:t xml:space="preserve">hemes </w:t>
      </w:r>
      <w:bookmarkStart w:id="19" w:name="_Int_tJNxjawE"/>
      <w:r w:rsidR="007339BE">
        <w:t>were generated</w:t>
      </w:r>
      <w:bookmarkEnd w:id="19"/>
      <w:r w:rsidR="007339BE">
        <w:t xml:space="preserve"> that collectively articulate </w:t>
      </w:r>
      <w:r w:rsidR="00120D5A">
        <w:t xml:space="preserve">Chris’s understanding </w:t>
      </w:r>
      <w:r w:rsidR="00BF0EF0">
        <w:t>and practice of professional boundaries:</w:t>
      </w:r>
    </w:p>
    <w:p w14:paraId="2D6397A3" w14:textId="7997FE0C" w:rsidR="00BF0EF0" w:rsidRDefault="000673A3" w:rsidP="008E7212">
      <w:pPr>
        <w:pStyle w:val="ListParagraph"/>
        <w:numPr>
          <w:ilvl w:val="0"/>
          <w:numId w:val="1"/>
        </w:numPr>
        <w:spacing w:line="480" w:lineRule="auto"/>
      </w:pPr>
      <w:r>
        <w:t>Boundaries as the relational container</w:t>
      </w:r>
    </w:p>
    <w:p w14:paraId="52FD2C2E" w14:textId="2DB6F09E" w:rsidR="000673A3" w:rsidRDefault="000673A3" w:rsidP="008E7212">
      <w:pPr>
        <w:pStyle w:val="ListParagraph"/>
        <w:numPr>
          <w:ilvl w:val="0"/>
          <w:numId w:val="1"/>
        </w:numPr>
        <w:spacing w:line="480" w:lineRule="auto"/>
      </w:pPr>
      <w:r>
        <w:t xml:space="preserve">Boundaries as </w:t>
      </w:r>
      <w:r w:rsidR="00905CBE">
        <w:t>dynamic and co-created</w:t>
      </w:r>
    </w:p>
    <w:p w14:paraId="66099E69" w14:textId="01145AA8" w:rsidR="00905CBE" w:rsidRDefault="00905CBE" w:rsidP="008E7212">
      <w:pPr>
        <w:pStyle w:val="ListParagraph"/>
        <w:numPr>
          <w:ilvl w:val="0"/>
          <w:numId w:val="1"/>
        </w:numPr>
        <w:spacing w:line="480" w:lineRule="auto"/>
      </w:pPr>
      <w:r>
        <w:t>Boundary challenges as material for therapeutic wo</w:t>
      </w:r>
      <w:r w:rsidR="00A02AC9">
        <w:t>rk</w:t>
      </w:r>
    </w:p>
    <w:p w14:paraId="51D75457" w14:textId="4834578E" w:rsidR="00011C83" w:rsidRDefault="00A02AC9" w:rsidP="008E7212">
      <w:pPr>
        <w:pStyle w:val="ListParagraph"/>
        <w:numPr>
          <w:ilvl w:val="0"/>
          <w:numId w:val="1"/>
        </w:numPr>
        <w:spacing w:line="480" w:lineRule="auto"/>
      </w:pPr>
      <w:r>
        <w:t>Self-awareness and professional integrity as foundations for ethical boundaries</w:t>
      </w:r>
      <w:r w:rsidR="00011C83">
        <w:t>.</w:t>
      </w:r>
    </w:p>
    <w:p w14:paraId="01FB0CF2" w14:textId="7901DBA7" w:rsidR="00011C83" w:rsidRPr="00210888" w:rsidRDefault="00846573" w:rsidP="008E7212">
      <w:pPr>
        <w:spacing w:line="480" w:lineRule="auto"/>
        <w:rPr>
          <w:b/>
          <w:bCs/>
        </w:rPr>
      </w:pPr>
      <w:r w:rsidRPr="00210888">
        <w:rPr>
          <w:b/>
          <w:bCs/>
        </w:rPr>
        <w:t>Theme 1: bound</w:t>
      </w:r>
      <w:r w:rsidR="00413297" w:rsidRPr="00210888">
        <w:rPr>
          <w:b/>
          <w:bCs/>
        </w:rPr>
        <w:t>aries as the relational container</w:t>
      </w:r>
    </w:p>
    <w:p w14:paraId="60FB354B" w14:textId="6F62D94F" w:rsidR="00413297" w:rsidRDefault="00413297" w:rsidP="008E7212">
      <w:pPr>
        <w:spacing w:line="480" w:lineRule="auto"/>
      </w:pPr>
      <w:r>
        <w:tab/>
        <w:t>A dominan</w:t>
      </w:r>
      <w:r w:rsidR="005C257F">
        <w:t>t theme is Chris’s conceptualisation of boundaries as the frame that enables relational depth</w:t>
      </w:r>
      <w:r w:rsidR="00431535">
        <w:t>. This aligns with humanistic literature emphasising the structure and predictability</w:t>
      </w:r>
      <w:r w:rsidR="00E3135C">
        <w:t xml:space="preserve"> support psychological safety (Mearns and cooper, 2017). Chris explains that boundaries are </w:t>
      </w:r>
      <w:r w:rsidR="00A7035F">
        <w:t xml:space="preserve">“not rigid fences” but conditions that allow trust to </w:t>
      </w:r>
      <w:r w:rsidR="00A77242">
        <w:t>develop. Clear limits around time, session structure, and confidentiality reduce anxiety and create a secure base from which clients can explore vulnerable material. This reflects the view that reliable boundaries are integral to building a strong therapeutic alliance (McLeod, 2013</w:t>
      </w:r>
      <w:r w:rsidR="003648D8">
        <w:t>; Gill 2015).</w:t>
      </w:r>
    </w:p>
    <w:p w14:paraId="4CA8228D" w14:textId="56D609F7" w:rsidR="00961446" w:rsidRDefault="00961446" w:rsidP="008E7212">
      <w:pPr>
        <w:spacing w:line="480" w:lineRule="auto"/>
      </w:pPr>
      <w:r>
        <w:tab/>
        <w:t xml:space="preserve">Consistent timekeeping, a five-minute ending signal, and predictable communication routines </w:t>
      </w:r>
      <w:bookmarkStart w:id="20" w:name="_Int_hITxFSLV"/>
      <w:r>
        <w:t>are described</w:t>
      </w:r>
      <w:bookmarkEnd w:id="20"/>
      <w:r>
        <w:t xml:space="preserve"> as </w:t>
      </w:r>
      <w:r w:rsidR="00232CE6">
        <w:t xml:space="preserve">relational practices rather than administrative tasks. Chris’s stance echoes the BACP </w:t>
      </w:r>
      <w:r w:rsidR="00104572">
        <w:t xml:space="preserve">Ethical framework (BACP, 2018), which positions boundaries as essential to </w:t>
      </w:r>
      <w:r w:rsidR="0059444B">
        <w:t>supporting</w:t>
      </w:r>
      <w:r w:rsidR="00104572">
        <w:t xml:space="preserve"> safety </w:t>
      </w:r>
      <w:r w:rsidR="0059444B">
        <w:t>and professionalism. He suggests that “clear limits expand freedom</w:t>
      </w:r>
      <w:r w:rsidR="004D7857">
        <w:t>,”</w:t>
      </w:r>
      <w:r w:rsidR="0059444B">
        <w:t xml:space="preserve"> conveying the paradox </w:t>
      </w:r>
      <w:r w:rsidR="00FB7270">
        <w:t xml:space="preserve">that structure enables emotional risk-taking. </w:t>
      </w:r>
    </w:p>
    <w:p w14:paraId="5FF3D887" w14:textId="28C6A5E9" w:rsidR="00EC38A7" w:rsidRDefault="00FB7270" w:rsidP="008E7212">
      <w:pPr>
        <w:spacing w:line="480" w:lineRule="auto"/>
      </w:pPr>
      <w:r>
        <w:lastRenderedPageBreak/>
        <w:tab/>
        <w:t xml:space="preserve">This theme highlights boundaries as supportive scaffolding, not constraints. They provide containment, orient clients psychologically, and reinforce reliability-core tenets of ethical and humanistic therapy. </w:t>
      </w:r>
    </w:p>
    <w:p w14:paraId="30353E74" w14:textId="7C4F5C95" w:rsidR="00EC38A7" w:rsidRDefault="00EC38A7" w:rsidP="008E7212">
      <w:pPr>
        <w:spacing w:line="480" w:lineRule="auto"/>
        <w:rPr>
          <w:b/>
          <w:bCs/>
        </w:rPr>
      </w:pPr>
      <w:r w:rsidRPr="00EC38A7">
        <w:rPr>
          <w:b/>
          <w:bCs/>
        </w:rPr>
        <w:t xml:space="preserve">Theme 2: boundaries as dynamic and co-created </w:t>
      </w:r>
    </w:p>
    <w:p w14:paraId="08BF645B" w14:textId="13D711C3" w:rsidR="00EC38A7" w:rsidRDefault="00BA424B" w:rsidP="008E7212">
      <w:pPr>
        <w:spacing w:line="480" w:lineRule="auto"/>
      </w:pPr>
      <w:r>
        <w:tab/>
        <w:t xml:space="preserve">Chris frames boundary work as inherently relational and negotiated collaboratively. Contracting </w:t>
      </w:r>
      <w:bookmarkStart w:id="21" w:name="_Int_SlrfMOfK"/>
      <w:r>
        <w:t>is described</w:t>
      </w:r>
      <w:bookmarkEnd w:id="21"/>
      <w:r>
        <w:t xml:space="preserve"> as something</w:t>
      </w:r>
      <w:r w:rsidR="00A977C5">
        <w:t xml:space="preserve"> “co-created” with clients </w:t>
      </w:r>
      <w:r w:rsidR="004631F8">
        <w:t>and “revisited as needed</w:t>
      </w:r>
      <w:r w:rsidR="00D23746">
        <w:t xml:space="preserve">,” positioning the contract as a living part of the relationship rather than a static formality. This reflects person-centred principles of shared power, collaboration, and </w:t>
      </w:r>
      <w:r w:rsidR="00CD02D4">
        <w:t>respect for client autonomy (Mearns and Thorne, 2013; Murphy and Joseph, 2016).</w:t>
      </w:r>
    </w:p>
    <w:p w14:paraId="3CF8C7C5" w14:textId="5A3E3C0B" w:rsidR="004679D0" w:rsidRDefault="004679D0" w:rsidP="008E7212">
      <w:pPr>
        <w:spacing w:line="480" w:lineRule="auto"/>
      </w:pPr>
      <w:r>
        <w:tab/>
      </w:r>
      <w:r w:rsidR="00EE7A21">
        <w:t xml:space="preserve">Cultural sensitivity also shaped this co-creation. Chris intentionally avoids assuming that his personal boundary </w:t>
      </w:r>
      <w:r w:rsidR="00556401">
        <w:t>norms are universal</w:t>
      </w:r>
      <w:r w:rsidR="00E45156">
        <w:t xml:space="preserve">. Instead, he invites clients to articulate </w:t>
      </w:r>
      <w:r w:rsidR="00F44B3F">
        <w:t xml:space="preserve">what feels “too close or too distant,” aligning with culturally responsive practice literature </w:t>
      </w:r>
      <w:r w:rsidR="006B5E2A">
        <w:t xml:space="preserve">(Feltham and Dryden, 2012). This </w:t>
      </w:r>
      <w:bookmarkStart w:id="22" w:name="_Int_BnhYlabT"/>
      <w:r w:rsidR="006B5E2A">
        <w:t>demonstrates</w:t>
      </w:r>
      <w:bookmarkEnd w:id="22"/>
      <w:r w:rsidR="006B5E2A">
        <w:t xml:space="preserve"> awareness that boundaries </w:t>
      </w:r>
      <w:bookmarkStart w:id="23" w:name="_Int_FwwBr3Nd"/>
      <w:r w:rsidR="006B5E2A">
        <w:t>are influenced</w:t>
      </w:r>
      <w:bookmarkEnd w:id="23"/>
      <w:r w:rsidR="006B5E2A">
        <w:t xml:space="preserve"> </w:t>
      </w:r>
      <w:r w:rsidR="001A1AD8">
        <w:t xml:space="preserve">by cultural expectations, relational histories, and preferences. </w:t>
      </w:r>
    </w:p>
    <w:p w14:paraId="2750C97B" w14:textId="1C11733E" w:rsidR="002D120E" w:rsidRDefault="002D120E" w:rsidP="008E7212">
      <w:pPr>
        <w:spacing w:line="480" w:lineRule="auto"/>
      </w:pPr>
      <w:r>
        <w:tab/>
        <w:t xml:space="preserve">Flexibility </w:t>
      </w:r>
      <w:bookmarkStart w:id="24" w:name="_Int_PcBvDU5H"/>
      <w:r>
        <w:t xml:space="preserve">is </w:t>
      </w:r>
      <w:r w:rsidR="00741137">
        <w:t>allowed</w:t>
      </w:r>
      <w:bookmarkEnd w:id="24"/>
      <w:r>
        <w:t xml:space="preserve"> where it enhances safety</w:t>
      </w:r>
      <w:r w:rsidR="00D80B97">
        <w:t>. For example, adjusting the manner of time signalling. However, Chris holds clear nonnegotiable boundaries</w:t>
      </w:r>
      <w:r w:rsidR="00741137">
        <w:t xml:space="preserve">, including confidentiality </w:t>
      </w:r>
      <w:r w:rsidR="00304CB9">
        <w:t xml:space="preserve">limits, dual-relationship avoidance, and safe communication practices, consistent </w:t>
      </w:r>
      <w:r w:rsidR="000C4B1F">
        <w:t xml:space="preserve">with ethical guidelines (BACP, 2018). </w:t>
      </w:r>
    </w:p>
    <w:p w14:paraId="6F01FB0A" w14:textId="1C3872AF" w:rsidR="000C4B1F" w:rsidRDefault="000C4B1F" w:rsidP="008E7212">
      <w:pPr>
        <w:spacing w:line="480" w:lineRule="auto"/>
      </w:pPr>
      <w:r>
        <w:lastRenderedPageBreak/>
        <w:tab/>
        <w:t xml:space="preserve">This theme highlights that boundaries are contextual, relational, and adaptive. While anchored </w:t>
      </w:r>
      <w:r w:rsidR="005A1FC1">
        <w:t>in ethical standards</w:t>
      </w:r>
      <w:r w:rsidR="00637E77">
        <w:t xml:space="preserve">, Chris’s boundaries </w:t>
      </w:r>
      <w:bookmarkStart w:id="25" w:name="_Int_2NHx4IxI"/>
      <w:r w:rsidR="00637E77">
        <w:t>are shaped</w:t>
      </w:r>
      <w:bookmarkEnd w:id="25"/>
      <w:r w:rsidR="00637E77">
        <w:t xml:space="preserve"> in dialogue with each client, acknowledging their needs and backgrounds. </w:t>
      </w:r>
    </w:p>
    <w:p w14:paraId="23496EF9" w14:textId="6684FD94" w:rsidR="00637E77" w:rsidRDefault="00637E77" w:rsidP="008E7212">
      <w:pPr>
        <w:spacing w:line="480" w:lineRule="auto"/>
        <w:rPr>
          <w:b/>
          <w:bCs/>
        </w:rPr>
      </w:pPr>
      <w:r w:rsidRPr="003F3CFC">
        <w:rPr>
          <w:b/>
          <w:bCs/>
        </w:rPr>
        <w:t>Theme 3</w:t>
      </w:r>
      <w:r w:rsidR="003F3CFC" w:rsidRPr="003F3CFC">
        <w:rPr>
          <w:b/>
          <w:bCs/>
        </w:rPr>
        <w:t>: boundary challenges as material for therapeutic work</w:t>
      </w:r>
    </w:p>
    <w:p w14:paraId="1CF27B43" w14:textId="681AEA67" w:rsidR="003F3CFC" w:rsidRDefault="003F3CFC" w:rsidP="008E7212">
      <w:pPr>
        <w:spacing w:line="480" w:lineRule="auto"/>
      </w:pPr>
      <w:r>
        <w:tab/>
        <w:t>Rather than viewing boundary dilemmas as disruptions, Chris frames them as opportunities for therapeutic exploration. When clients test boundarie</w:t>
      </w:r>
      <w:r w:rsidR="002B1024">
        <w:t xml:space="preserve">s… by arriving late, </w:t>
      </w:r>
      <w:r w:rsidR="004D7857">
        <w:t>showing</w:t>
      </w:r>
      <w:r w:rsidR="002B1024">
        <w:t xml:space="preserve"> significant material at the end of sessions, or </w:t>
      </w:r>
      <w:r w:rsidR="004D7857">
        <w:t>looking for</w:t>
      </w:r>
      <w:r w:rsidR="002B1024">
        <w:t xml:space="preserve"> between session reassurance</w:t>
      </w:r>
      <w:r w:rsidR="00842D71">
        <w:t xml:space="preserve">, Chris </w:t>
      </w:r>
      <w:r w:rsidR="004D7857">
        <w:t>looks for</w:t>
      </w:r>
      <w:r w:rsidR="00842D71">
        <w:t xml:space="preserve"> meaning rather than reacting punitively. This perspective aligns with </w:t>
      </w:r>
      <w:r w:rsidR="00DC1024">
        <w:t>relational depth theory, which emphasises curiosity and collaborative exploration in moments of interpersonal strain (Mearns and Cooper, 2017).</w:t>
      </w:r>
    </w:p>
    <w:p w14:paraId="00B53993" w14:textId="0559896E" w:rsidR="00DC1024" w:rsidRDefault="00355630" w:rsidP="008E7212">
      <w:pPr>
        <w:spacing w:line="480" w:lineRule="auto"/>
      </w:pPr>
      <w:r>
        <w:tab/>
        <w:t xml:space="preserve">For example, when a client repeatedly </w:t>
      </w:r>
      <w:r w:rsidR="002334C1">
        <w:t xml:space="preserve">shared important material as the session ended, Chris explored their history with endings. This revealed </w:t>
      </w:r>
      <w:r w:rsidR="007E2A00">
        <w:t>patterns linked to abandonment, transforming the time boundary into a therapeutic resource</w:t>
      </w:r>
      <w:r w:rsidR="00A31AB2">
        <w:t xml:space="preserve">. Similarly, frequent messaging </w:t>
      </w:r>
      <w:bookmarkStart w:id="26" w:name="_Int_xR94EXeK"/>
      <w:r w:rsidR="00A31AB2">
        <w:t>is explored</w:t>
      </w:r>
      <w:bookmarkEnd w:id="26"/>
      <w:r w:rsidR="00A31AB2">
        <w:t xml:space="preserve"> as a </w:t>
      </w:r>
      <w:r w:rsidR="00D16061">
        <w:t>regulation</w:t>
      </w:r>
      <w:r w:rsidR="00A31AB2">
        <w:t xml:space="preserve"> strategy rather than simply discouraged. This aligns with the view that boundary negotiations often tap into attachment dynamics </w:t>
      </w:r>
      <w:r w:rsidR="00A24926">
        <w:t>(</w:t>
      </w:r>
      <w:r w:rsidR="00D16061">
        <w:t>Wosket</w:t>
      </w:r>
      <w:r w:rsidR="00D57EBA">
        <w:t>, 2016)</w:t>
      </w:r>
    </w:p>
    <w:p w14:paraId="7A2A28DB" w14:textId="5C12219D" w:rsidR="00D57EBA" w:rsidRDefault="00D57EBA" w:rsidP="008E7212">
      <w:pPr>
        <w:spacing w:line="480" w:lineRule="auto"/>
      </w:pPr>
      <w:r>
        <w:tab/>
        <w:t>Chris also emphasises the role of rupture and repair</w:t>
      </w:r>
      <w:r w:rsidR="003D5F52">
        <w:t>, echoing Gesalt</w:t>
      </w:r>
      <w:r w:rsidR="005D4E28">
        <w:t xml:space="preserve"> and relational models that view repair</w:t>
      </w:r>
      <w:r>
        <w:t xml:space="preserve"> </w:t>
      </w:r>
      <w:r w:rsidR="00D16061">
        <w:t xml:space="preserve">as essential to strengthening the therapeutic relationship </w:t>
      </w:r>
      <w:r w:rsidR="005175BD">
        <w:t xml:space="preserve">(Spinelli, 2015). He invites clients to discuss boundary-related </w:t>
      </w:r>
      <w:r w:rsidR="00781F9D">
        <w:t xml:space="preserve">ruptures, </w:t>
      </w:r>
      <w:r w:rsidR="009B2BD7">
        <w:t>confirms</w:t>
      </w:r>
      <w:r w:rsidR="00781F9D">
        <w:t xml:space="preserve"> their feelings, </w:t>
      </w:r>
      <w:r w:rsidR="00370CC2">
        <w:t xml:space="preserve">and uses the conversation to reinforce safety. </w:t>
      </w:r>
    </w:p>
    <w:p w14:paraId="7E9E4F19" w14:textId="6A08A909" w:rsidR="00370CC2" w:rsidRDefault="00370CC2" w:rsidP="008E7212">
      <w:pPr>
        <w:spacing w:line="480" w:lineRule="auto"/>
      </w:pPr>
      <w:r>
        <w:tab/>
        <w:t xml:space="preserve">This theme </w:t>
      </w:r>
      <w:r w:rsidR="00F82BF8">
        <w:t xml:space="preserve">shows boundaries not merely as protective </w:t>
      </w:r>
      <w:r w:rsidR="00B72F91">
        <w:t xml:space="preserve">devices but as relational events rich with emotion and psychological meaning. </w:t>
      </w:r>
    </w:p>
    <w:p w14:paraId="4CCF5D1F" w14:textId="5787D341" w:rsidR="00B72F91" w:rsidRPr="00971141" w:rsidRDefault="00B72F91" w:rsidP="008E7212">
      <w:pPr>
        <w:spacing w:line="480" w:lineRule="auto"/>
        <w:rPr>
          <w:b/>
          <w:bCs/>
        </w:rPr>
      </w:pPr>
      <w:r w:rsidRPr="00971141">
        <w:rPr>
          <w:b/>
          <w:bCs/>
        </w:rPr>
        <w:lastRenderedPageBreak/>
        <w:t xml:space="preserve">Theme 4: self-awareness </w:t>
      </w:r>
      <w:r w:rsidR="00971141" w:rsidRPr="00971141">
        <w:rPr>
          <w:b/>
          <w:bCs/>
        </w:rPr>
        <w:t>and professional integrity as foundations for ethical boundaries</w:t>
      </w:r>
    </w:p>
    <w:p w14:paraId="3B1D0ED2" w14:textId="50A2FA74" w:rsidR="00971141" w:rsidRDefault="00971141" w:rsidP="008E7212">
      <w:pPr>
        <w:spacing w:line="480" w:lineRule="auto"/>
      </w:pPr>
      <w:r>
        <w:tab/>
        <w:t xml:space="preserve">The final theme captures the significance of self-reflection, </w:t>
      </w:r>
      <w:r w:rsidR="00760F71">
        <w:t xml:space="preserve">supervision, and professional identity in boundary work. Chris repeatedly acknowledges </w:t>
      </w:r>
      <w:r w:rsidR="00046F0D">
        <w:t xml:space="preserve">that a </w:t>
      </w:r>
      <w:r w:rsidR="009B2BD7">
        <w:t>counsellor's</w:t>
      </w:r>
      <w:r w:rsidR="00046F0D">
        <w:t xml:space="preserve"> emotional state, personal history, and vulnerabilities </w:t>
      </w:r>
      <w:r w:rsidR="00E45A2F">
        <w:t xml:space="preserve">influence boundary decisions. This aligns with counselling literature that emphasises self-awareness as central to ethical practice </w:t>
      </w:r>
      <w:r w:rsidR="00BD2F39">
        <w:t>(Carroll, 20</w:t>
      </w:r>
      <w:r w:rsidR="004D7857">
        <w:t>0</w:t>
      </w:r>
      <w:r w:rsidR="00BD2F39">
        <w:t>9; Wosket, 2016).</w:t>
      </w:r>
    </w:p>
    <w:p w14:paraId="6E72FC70" w14:textId="4BF3E0B3" w:rsidR="00BD2F39" w:rsidRDefault="006B204F" w:rsidP="008E7212">
      <w:pPr>
        <w:spacing w:line="480" w:lineRule="auto"/>
      </w:pPr>
      <w:r>
        <w:tab/>
      </w:r>
      <w:r w:rsidR="00643749">
        <w:t>Chris describes early experiences of “over giving,” driv</w:t>
      </w:r>
      <w:r w:rsidR="00C91E9A">
        <w:t xml:space="preserve">en by imposter anxiety, which resulted in burnout. This reflects Bonds (2015) assertion that compromised boundaries often stem from unmet practitioner needs rather than client needs. Over time, Chris learned to “protect my evenings” and </w:t>
      </w:r>
      <w:r w:rsidR="004D7857">
        <w:t>keep</w:t>
      </w:r>
      <w:r w:rsidR="00C91E9A">
        <w:t xml:space="preserve"> clear availability limits, recognising that counsellor </w:t>
      </w:r>
      <w:r w:rsidR="00E87EE3">
        <w:t xml:space="preserve">self care is essential for client wellbeing (BACP, 2018J. </w:t>
      </w:r>
    </w:p>
    <w:p w14:paraId="659B2F68" w14:textId="741C5E25" w:rsidR="00E87EE3" w:rsidRDefault="00E87EE3" w:rsidP="008E7212">
      <w:pPr>
        <w:spacing w:line="480" w:lineRule="auto"/>
      </w:pPr>
      <w:r>
        <w:tab/>
        <w:t xml:space="preserve">Supervision plays a key role in examining the motivations behind boundary flexibility or firmness. This echoes Carroll’s (2009) view of supervision as a </w:t>
      </w:r>
      <w:r w:rsidR="00E65A92">
        <w:t xml:space="preserve">site for reflective dialogue that supports ethical decision making. Chris also uses bodily queues </w:t>
      </w:r>
      <w:r w:rsidR="000012A9">
        <w:t>such as tension or resentment as signals that a boundary needs re-evaluation</w:t>
      </w:r>
      <w:r w:rsidR="002149AD">
        <w:t xml:space="preserve">, aligning with somatic approaches to therapist self-awareness (Gill, 2015). </w:t>
      </w:r>
    </w:p>
    <w:p w14:paraId="6BB7A093" w14:textId="5907D7CD" w:rsidR="002149AD" w:rsidRDefault="00890506" w:rsidP="008E7212">
      <w:pPr>
        <w:spacing w:line="480" w:lineRule="auto"/>
      </w:pPr>
      <w:r>
        <w:t xml:space="preserve">This theme highlights that ethical boundary practice rests on ongoing reflection, emotional regulation, and adherence </w:t>
      </w:r>
      <w:r w:rsidR="003747C5">
        <w:t xml:space="preserve">to professional principles, rather than rigid rule following. </w:t>
      </w:r>
    </w:p>
    <w:p w14:paraId="0D55F266" w14:textId="77777777" w:rsidR="003747C5" w:rsidRDefault="003747C5" w:rsidP="008E7212">
      <w:pPr>
        <w:spacing w:line="480" w:lineRule="auto"/>
      </w:pPr>
    </w:p>
    <w:p w14:paraId="2080BA0C" w14:textId="557CED10" w:rsidR="003747C5" w:rsidRDefault="003747C5" w:rsidP="008E7212">
      <w:pPr>
        <w:spacing w:line="480" w:lineRule="auto"/>
        <w:rPr>
          <w:b/>
          <w:bCs/>
        </w:rPr>
      </w:pPr>
      <w:r w:rsidRPr="003747C5">
        <w:rPr>
          <w:b/>
          <w:bCs/>
        </w:rPr>
        <w:t xml:space="preserve">Discussion </w:t>
      </w:r>
    </w:p>
    <w:p w14:paraId="629CB35E" w14:textId="33344BE6" w:rsidR="003747C5" w:rsidRDefault="003747C5" w:rsidP="008E7212">
      <w:pPr>
        <w:spacing w:line="480" w:lineRule="auto"/>
      </w:pPr>
      <w:r>
        <w:lastRenderedPageBreak/>
        <w:t xml:space="preserve">Across the four themes, boundaries appear not as restrictive rules but as relational structures that </w:t>
      </w:r>
      <w:r w:rsidR="00872B3D">
        <w:t xml:space="preserve">foster safety, clarity, and therapeutic depth. Chris’s humanistic lens frames boundaries as an enabling </w:t>
      </w:r>
      <w:r w:rsidR="00196761">
        <w:t xml:space="preserve">frame that supports authentic encounter. </w:t>
      </w:r>
      <w:r w:rsidR="005E1EA4">
        <w:t xml:space="preserve">This echoes </w:t>
      </w:r>
      <w:r w:rsidR="005F44DD">
        <w:t xml:space="preserve">humanistic theory, which sees the therapeutic relationship as the primary agent of change (Mearns and Thorne, </w:t>
      </w:r>
      <w:bookmarkStart w:id="27" w:name="_Int_PwgVxPMl"/>
      <w:r w:rsidR="00896EA4">
        <w:t>2013;</w:t>
      </w:r>
      <w:bookmarkEnd w:id="27"/>
      <w:r w:rsidR="00896EA4">
        <w:t xml:space="preserve"> Mearns and Cooper ,2017). Boundaries in this view help </w:t>
      </w:r>
      <w:bookmarkStart w:id="28" w:name="_Int_2nHZZFJe"/>
      <w:r w:rsidR="00896EA4">
        <w:t>maintain</w:t>
      </w:r>
      <w:bookmarkEnd w:id="28"/>
      <w:r w:rsidR="00896EA4">
        <w:t xml:space="preserve"> the quality of relational presence. </w:t>
      </w:r>
    </w:p>
    <w:p w14:paraId="133DC5A4" w14:textId="02331329" w:rsidR="004B6677" w:rsidRDefault="00896EA4" w:rsidP="008E7212">
      <w:pPr>
        <w:spacing w:line="480" w:lineRule="auto"/>
      </w:pPr>
      <w:r>
        <w:tab/>
      </w:r>
      <w:r w:rsidR="00EE2BF9">
        <w:t>The themes also reso</w:t>
      </w:r>
      <w:r w:rsidR="004B6677">
        <w:t>nate with the BACP Ethical Framework (BACP, 2018)</w:t>
      </w:r>
      <w:r w:rsidR="0069207C">
        <w:t>, which emphasises clarity, client autonomy, collaboration, and professional integrity. Chris’s approach integrates these ethical responsibilities with a compassionate relational stance, reflecting broader professional discussions about balancing consistency with relational responsiveness (Bond, 2015; Proctor, 2017).</w:t>
      </w:r>
    </w:p>
    <w:p w14:paraId="5AE7BCE1" w14:textId="591AC05E" w:rsidR="0069207C" w:rsidRDefault="0069207C" w:rsidP="008E7212">
      <w:pPr>
        <w:spacing w:line="480" w:lineRule="auto"/>
      </w:pPr>
      <w:r>
        <w:tab/>
        <w:t xml:space="preserve">Boundary challenges, such as late arrivals, intense endings, or digital communication </w:t>
      </w:r>
      <w:bookmarkStart w:id="29" w:name="_Int_seg1fDW8"/>
      <w:r>
        <w:t>are understood</w:t>
      </w:r>
      <w:bookmarkEnd w:id="29"/>
      <w:r>
        <w:t xml:space="preserve"> as opportunities for insight, not obstacles. This is consistent with relational and attachment informed perspectives, which emphasise working with relational </w:t>
      </w:r>
      <w:r w:rsidR="00D84BE5">
        <w:t xml:space="preserve">and attachment informed perspectives, which emphasise </w:t>
      </w:r>
      <w:r w:rsidR="006C679A">
        <w:t xml:space="preserve">working with relational patterns as they </w:t>
      </w:r>
      <w:r w:rsidR="004D7857">
        <w:t>appear</w:t>
      </w:r>
      <w:r w:rsidR="006C679A">
        <w:t xml:space="preserve"> within the therapeutic frame (Wosket, 2016).</w:t>
      </w:r>
    </w:p>
    <w:p w14:paraId="4E4B238F" w14:textId="5E310CB2" w:rsidR="006C679A" w:rsidRDefault="006C679A" w:rsidP="008E7212">
      <w:pPr>
        <w:spacing w:line="480" w:lineRule="auto"/>
      </w:pPr>
      <w:r>
        <w:tab/>
        <w:t xml:space="preserve">Finally, the analysis underscores that effective boundary practice requires </w:t>
      </w:r>
      <w:r w:rsidR="00C53B06">
        <w:t xml:space="preserve">ongoing self awareness and reflexivity. Chris’s reflections align with literature emphasising therapist </w:t>
      </w:r>
      <w:r w:rsidR="00895939">
        <w:t>wellbeing,</w:t>
      </w:r>
      <w:r w:rsidR="00C53B06">
        <w:t xml:space="preserve"> supervision, and </w:t>
      </w:r>
      <w:r w:rsidR="009534A0">
        <w:t>emotional competence as essential ethical components (Carroll, 20</w:t>
      </w:r>
      <w:r w:rsidR="00677535">
        <w:t>0</w:t>
      </w:r>
      <w:r w:rsidR="009534A0">
        <w:t>9; Gill</w:t>
      </w:r>
      <w:r w:rsidR="00895939">
        <w:t>, 2015; Levitt, 2021).</w:t>
      </w:r>
    </w:p>
    <w:p w14:paraId="4FC01EF4" w14:textId="7F8D453D" w:rsidR="00895939" w:rsidRDefault="00895939" w:rsidP="008E7212">
      <w:pPr>
        <w:spacing w:line="480" w:lineRule="auto"/>
        <w:rPr>
          <w:b/>
          <w:bCs/>
        </w:rPr>
      </w:pPr>
      <w:r w:rsidRPr="00895939">
        <w:rPr>
          <w:b/>
          <w:bCs/>
        </w:rPr>
        <w:t>Strengths and limitations</w:t>
      </w:r>
    </w:p>
    <w:p w14:paraId="0605ED97" w14:textId="18BFD574" w:rsidR="00895939" w:rsidRDefault="00827059" w:rsidP="008E7212">
      <w:pPr>
        <w:spacing w:line="480" w:lineRule="auto"/>
      </w:pPr>
      <w:r>
        <w:lastRenderedPageBreak/>
        <w:tab/>
        <w:t xml:space="preserve">A </w:t>
      </w:r>
      <w:r w:rsidR="004A19C8">
        <w:t xml:space="preserve">key </w:t>
      </w:r>
      <w:r>
        <w:t>strength of this study</w:t>
      </w:r>
      <w:r w:rsidR="004A19C8">
        <w:t xml:space="preserve"> lies in the richness and depth of the interview data. Chris provides detailed </w:t>
      </w:r>
      <w:r w:rsidR="00401B87">
        <w:t xml:space="preserve">reflections on multiple dimensions of boundary work… time, touch, digital communication, endings, and cultural considerations, allowing for a nuanced </w:t>
      </w:r>
      <w:r w:rsidR="005C7B34">
        <w:t>thematic analysis. The data offers insight into the complex relational and ethical reasoning underpinning boundary decisions</w:t>
      </w:r>
      <w:r w:rsidR="00E63011">
        <w:t xml:space="preserve">, illustrating how boundaries </w:t>
      </w:r>
      <w:bookmarkStart w:id="30" w:name="_Int_JnZfCGQg"/>
      <w:r w:rsidR="00E63011">
        <w:t>are shaped</w:t>
      </w:r>
      <w:bookmarkEnd w:id="30"/>
      <w:r w:rsidR="00E63011">
        <w:t xml:space="preserve"> by theoretical orientation, practitioner </w:t>
      </w:r>
      <w:r w:rsidR="004D7857">
        <w:t>identity,</w:t>
      </w:r>
      <w:r w:rsidR="00E63011">
        <w:t xml:space="preserve"> and client need. This aligns well with qualitative methodologies that seek to understand meaning making within context</w:t>
      </w:r>
      <w:r w:rsidR="0025494E">
        <w:t xml:space="preserve"> (Braun and Clarke, 2021; Levitt, 2021). Another strength is the use of reflective thematic analysis, which explicitly acknowledges researcher interpretation and encourages transparency about analytic decision making. </w:t>
      </w:r>
      <w:r w:rsidR="00677535">
        <w:t xml:space="preserve">This </w:t>
      </w:r>
      <w:r w:rsidR="0025494E">
        <w:t>approach supports depth rather than</w:t>
      </w:r>
      <w:r w:rsidR="00D45DAD">
        <w:t xml:space="preserve"> breadth and is suited to exploring the experimental subtleties </w:t>
      </w:r>
      <w:r w:rsidR="00677535">
        <w:t>clear</w:t>
      </w:r>
      <w:r w:rsidR="00D45DAD">
        <w:t xml:space="preserve"> in humanistic practice. </w:t>
      </w:r>
    </w:p>
    <w:p w14:paraId="2FD795EF" w14:textId="2904AEA3" w:rsidR="00161557" w:rsidRDefault="00D45DAD" w:rsidP="008E7212">
      <w:pPr>
        <w:spacing w:line="480" w:lineRule="auto"/>
      </w:pPr>
      <w:r>
        <w:tab/>
        <w:t>However, the study also had notable limitations. First, the analysis is based on a single participant, which constraints transferability</w:t>
      </w:r>
      <w:r w:rsidR="00E802F3">
        <w:t xml:space="preserve">. Chris’s humanistic integrative stance, professional experience, and practice contact may differ </w:t>
      </w:r>
      <w:r w:rsidR="009B2BD7">
        <w:t>from</w:t>
      </w:r>
      <w:r w:rsidR="00F73A44">
        <w:t xml:space="preserve"> counsellors in other modalities, settings, or cultural environments. The findings therefore cannot be generalised across the profession, though they may offer</w:t>
      </w:r>
      <w:r w:rsidR="007C276D">
        <w:t xml:space="preserve"> resonant insights (Morrow, 2005). Second, the interview format means that the data reflect self reported perspectives, which may not fully capture in the moment boundary practices or challenges. Observational </w:t>
      </w:r>
      <w:r w:rsidR="004D4E6B">
        <w:t>or multi method designs could provide a more triangulated understanding. Additionally, researcher interpretation inevitably shapes theme development</w:t>
      </w:r>
      <w:r w:rsidR="00161557">
        <w:t xml:space="preserve">; while this is consistent with reflective qualitative paradigms, it introduces subjectivity. Finally, the lack of client voices limits the ability to explore how boundaries </w:t>
      </w:r>
      <w:bookmarkStart w:id="31" w:name="_Int_1QYmbKwW"/>
      <w:r w:rsidR="00161557">
        <w:t>are experienced</w:t>
      </w:r>
      <w:bookmarkEnd w:id="31"/>
      <w:r w:rsidR="00161557">
        <w:t xml:space="preserve"> </w:t>
      </w:r>
      <w:r w:rsidR="00156EF5">
        <w:t xml:space="preserve">reciprocally within the therapeutic relationship. </w:t>
      </w:r>
    </w:p>
    <w:p w14:paraId="7E4132BC" w14:textId="313906CB" w:rsidR="004B126C" w:rsidRDefault="004B126C" w:rsidP="008E7212">
      <w:pPr>
        <w:spacing w:line="480" w:lineRule="auto"/>
        <w:rPr>
          <w:b/>
          <w:bCs/>
        </w:rPr>
      </w:pPr>
      <w:r w:rsidRPr="004B126C">
        <w:rPr>
          <w:b/>
          <w:bCs/>
        </w:rPr>
        <w:lastRenderedPageBreak/>
        <w:t xml:space="preserve">Conclusion </w:t>
      </w:r>
    </w:p>
    <w:p w14:paraId="204727EA" w14:textId="1AEB22AF" w:rsidR="004B126C" w:rsidRDefault="002C1359" w:rsidP="008E7212">
      <w:pPr>
        <w:spacing w:line="480" w:lineRule="auto"/>
      </w:pPr>
      <w:r>
        <w:t xml:space="preserve">This analysis highlights how professional boundaries function as both ethical requirements and relational tools within humanistic counselling </w:t>
      </w:r>
      <w:r w:rsidR="00946568">
        <w:t xml:space="preserve">practice. Chris’s reflections illustrate that boundaries are not fixed rules but dynamic, co-created processes that support </w:t>
      </w:r>
      <w:r w:rsidR="00D5303E">
        <w:t xml:space="preserve">psychological safety, </w:t>
      </w:r>
      <w:r w:rsidR="00E80E73">
        <w:t>autonomy,</w:t>
      </w:r>
      <w:r w:rsidR="00D5303E">
        <w:t xml:space="preserve"> and depth. Consistent structures such as clear contracting</w:t>
      </w:r>
      <w:r w:rsidR="00553ADD">
        <w:t xml:space="preserve">, time limits, and transparent communication agreements help clients to feel held whilst also providing opportunities to explore </w:t>
      </w:r>
      <w:r w:rsidR="0091724D">
        <w:t xml:space="preserve">relational patterns, particularly around endings and attachment. The findings reinforce literature, suggesting that warm, predictable boundaries strengthen rather than restrict the therapeutic alliance (BACP, 2018); Mearns and Thorne, 2013). The analysis also emphasises the essential role of counsellor self awareness; Chris’s attention to personal responses and the use of supervision </w:t>
      </w:r>
      <w:r w:rsidR="00E634C5">
        <w:t xml:space="preserve">reflect the relational nature nature of boundary work and align with the ethical practice standards (Bond, 2015). Overall, boundaries </w:t>
      </w:r>
      <w:r w:rsidR="009B2BD7">
        <w:t>appear</w:t>
      </w:r>
      <w:r w:rsidR="00E634C5">
        <w:t xml:space="preserve"> as compassionate containers that enable authentic </w:t>
      </w:r>
      <w:r w:rsidR="006F4C2E">
        <w:t xml:space="preserve">therapeutic engagement, supporting both client growth and counsellor wellbeing. </w:t>
      </w:r>
    </w:p>
    <w:p w14:paraId="4A58E995" w14:textId="77777777" w:rsidR="005C562E" w:rsidRDefault="005C562E" w:rsidP="00413297"/>
    <w:p w14:paraId="0BFF544F" w14:textId="77777777" w:rsidR="005C562E" w:rsidRDefault="005C562E" w:rsidP="00413297"/>
    <w:p w14:paraId="411167E2" w14:textId="77777777" w:rsidR="00CA79BF" w:rsidRDefault="00CA79BF" w:rsidP="00413297"/>
    <w:p w14:paraId="40E8CE3A" w14:textId="77777777" w:rsidR="007A7774" w:rsidRDefault="007A7774" w:rsidP="00413297"/>
    <w:p w14:paraId="7B876C2B" w14:textId="77777777" w:rsidR="00BC21B4" w:rsidRDefault="00BC21B4" w:rsidP="00413297"/>
    <w:p w14:paraId="2EF6F5B9" w14:textId="77777777" w:rsidR="00E80E73" w:rsidRDefault="00E80E73" w:rsidP="00413297"/>
    <w:p w14:paraId="6100BA4A" w14:textId="77777777" w:rsidR="00353848" w:rsidRDefault="00353848" w:rsidP="00413297"/>
    <w:p w14:paraId="7BE587C7" w14:textId="77777777" w:rsidR="00353848" w:rsidRDefault="00353848" w:rsidP="00413297"/>
    <w:p w14:paraId="48B3AEC8" w14:textId="77777777" w:rsidR="00353848" w:rsidRDefault="00353848" w:rsidP="00413297"/>
    <w:p w14:paraId="63B15E51" w14:textId="77777777" w:rsidR="00353848" w:rsidRDefault="00353848" w:rsidP="00413297"/>
    <w:p w14:paraId="1741B3B6" w14:textId="198F4BDA" w:rsidR="00BC21B4" w:rsidRPr="00BC21B4" w:rsidRDefault="00BC21B4" w:rsidP="00F24D20">
      <w:pPr>
        <w:rPr>
          <w:b/>
          <w:bCs/>
        </w:rPr>
      </w:pPr>
      <w:r w:rsidRPr="00BC21B4">
        <w:rPr>
          <w:b/>
          <w:bCs/>
        </w:rPr>
        <w:lastRenderedPageBreak/>
        <w:t>References</w:t>
      </w:r>
    </w:p>
    <w:p w14:paraId="4E981499"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BACP. (2018). Ethical framework for the counselling professions. British Association for Counselling and Psychotherapy.</w:t>
      </w:r>
    </w:p>
    <w:p w14:paraId="3B5B165C"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3075AD07"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BACP. (2021). Good practice in action 047: Working with professional boundaries. British Association for Counselling and Psychotherapy.</w:t>
      </w:r>
    </w:p>
    <w:p w14:paraId="2D7BA4B5"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7B6A924F"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Bond, T. (2015). Standards and ethics for counselling in action (4th ed.). Sage.</w:t>
      </w:r>
    </w:p>
    <w:p w14:paraId="427BE9BE"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26C30068"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Braun, V., &amp; Clarke, V. (2006). Using thematic analysis in psychology. Qualitative Research in Psychology, 3(2), 77–101. https://doi.org/10.1191/1478088706qp063oa</w:t>
      </w:r>
    </w:p>
    <w:p w14:paraId="21F35C37"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102579EF"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Braun, V., &amp; Clarke, V. (2019). Reflecting on reflexive thematic analysis. Qualitative Research in Sport, Exercise and Health, 11(4), 589–597. https://doi.org/10.1080/2159676X.2019.1628806</w:t>
      </w:r>
    </w:p>
    <w:p w14:paraId="08C37209"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4CFA7D30"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Braun, V., &amp; Clarke, V. (2021). Thematic analysis: A practical guide. Sage.</w:t>
      </w:r>
    </w:p>
    <w:p w14:paraId="40A183F0"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0F4F5E70"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Carroll, M. (2009). Supervision: Critical reflection for transformational learning. Karnac.</w:t>
      </w:r>
    </w:p>
    <w:p w14:paraId="72E6B6C4"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17FE735E"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Feltham, C., &amp; Dryden, W. (Eds.). (2012). The handbook of counselling and psychotherapy (3rd ed.). Sage.</w:t>
      </w:r>
    </w:p>
    <w:p w14:paraId="179CA1DC"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6EFA3E0D"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Gill, R. (2015). The counsellor–client relationship: A humanistic perspective. In G. McLeod (Ed.), Counselling skills for working with trauma (pp. 19–38). Open University Press.</w:t>
      </w:r>
    </w:p>
    <w:p w14:paraId="112B5D5B"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47A91D70"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Levitt, H. M. (2021). Essentials of qualitative research: A guide to descriptive–interpretive approaches. American Psychological Association.</w:t>
      </w:r>
    </w:p>
    <w:p w14:paraId="3DDB2010"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1A69DF81"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lastRenderedPageBreak/>
        <w:t>McLeod, J. (2013). An introduction to counselling (5th ed.). Open University Press.</w:t>
      </w:r>
    </w:p>
    <w:p w14:paraId="6AB01B99"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011F9E38"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Mearns, D., &amp; Cooper, M. (2017). Working at relational depth in counselling and psychotherapy (2nd ed.). Sage.</w:t>
      </w:r>
    </w:p>
    <w:p w14:paraId="35057175"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2CDE684D"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Mearns, D., &amp; Thorne, B. (2013). Person-centred counselling in action (4th ed.). Sage.</w:t>
      </w:r>
    </w:p>
    <w:p w14:paraId="6B542C4C"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17344B66"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Morrow, S. L. (2005). Quality and trustworthiness in qualitative research in counselling psychology. Journal of Counselling Psychology, 52(2), 250–260. https://doi.org/10.1037/0022-0167.52.2.250</w:t>
      </w:r>
    </w:p>
    <w:p w14:paraId="4C3D3370"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62EB300B"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Murphy, D., &amp; Joseph, S. (2016). Person-centred theory and practice: The Birkbeck course. Palgrave Macmillan.</w:t>
      </w:r>
    </w:p>
    <w:p w14:paraId="739F0676"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36C7CF5C"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Proctor, G. (2017). Building safety and trust: Boundaries and ethical practice. In R. House &amp; D. Loewenthal (Eds.), Against and for CBT (pp. 162–176). PCCS Books.</w:t>
      </w:r>
    </w:p>
    <w:p w14:paraId="2A6AC4E1"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5D0FB804"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Spinelli, E. (2015). Demystifying therapy. Sheldon Press.</w:t>
      </w:r>
    </w:p>
    <w:p w14:paraId="3F1347D9"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61B813DD"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Timulak, L., &amp; Elliott, R. (2019). Essentials of descriptive–interpretive qualitative research: A generic approach. American Psychological Association.</w:t>
      </w:r>
    </w:p>
    <w:p w14:paraId="6DDF02CA"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p>
    <w:p w14:paraId="1F7AE2BD" w14:textId="77777777" w:rsidR="00BC21B4" w:rsidRPr="00BC21B4" w:rsidRDefault="00BC21B4" w:rsidP="00BC21B4">
      <w:pPr>
        <w:spacing w:before="100" w:beforeAutospacing="1" w:after="100" w:afterAutospacing="1" w:line="240" w:lineRule="auto"/>
        <w:rPr>
          <w:rFonts w:ascii="Times New Roman" w:hAnsi="Times New Roman" w:cs="Times New Roman"/>
          <w:kern w:val="0"/>
          <w14:ligatures w14:val="none"/>
        </w:rPr>
      </w:pPr>
      <w:r w:rsidRPr="00BC21B4">
        <w:rPr>
          <w:rFonts w:ascii="Times New Roman" w:hAnsi="Times New Roman" w:cs="Times New Roman"/>
          <w:kern w:val="0"/>
          <w14:ligatures w14:val="none"/>
        </w:rPr>
        <w:t xml:space="preserve">Wosket, V. (2016). The therapeutic use of self: Counselling practice, </w:t>
      </w:r>
      <w:bookmarkStart w:id="32" w:name="_Int_Tg4T5gAy"/>
      <w:r w:rsidRPr="00BC21B4">
        <w:rPr>
          <w:rFonts w:ascii="Times New Roman" w:hAnsi="Times New Roman" w:cs="Times New Roman"/>
          <w:kern w:val="0"/>
          <w14:ligatures w14:val="none"/>
        </w:rPr>
        <w:t>research</w:t>
      </w:r>
      <w:bookmarkEnd w:id="32"/>
      <w:r w:rsidRPr="00BC21B4">
        <w:rPr>
          <w:rFonts w:ascii="Times New Roman" w:hAnsi="Times New Roman" w:cs="Times New Roman"/>
          <w:kern w:val="0"/>
          <w14:ligatures w14:val="none"/>
        </w:rPr>
        <w:t xml:space="preserve"> and supervision. Routledge.</w:t>
      </w:r>
    </w:p>
    <w:p w14:paraId="71F90965" w14:textId="00D0D4F0" w:rsidR="00210888" w:rsidRDefault="00210888" w:rsidP="00BC21B4">
      <w:pPr>
        <w:spacing w:after="0" w:line="240" w:lineRule="auto"/>
        <w:rPr>
          <w:rFonts w:ascii="Times New Roman" w:eastAsia="Times New Roman" w:hAnsi="Times New Roman" w:cs="Times New Roman"/>
          <w:kern w:val="0"/>
          <w14:ligatures w14:val="none"/>
        </w:rPr>
      </w:pPr>
    </w:p>
    <w:p w14:paraId="0E1200F1" w14:textId="77777777" w:rsidR="006209F7" w:rsidRDefault="006209F7" w:rsidP="00BC21B4">
      <w:pPr>
        <w:spacing w:after="0" w:line="240" w:lineRule="auto"/>
        <w:rPr>
          <w:rFonts w:ascii="Times New Roman" w:eastAsia="Times New Roman" w:hAnsi="Times New Roman" w:cs="Times New Roman"/>
          <w:kern w:val="0"/>
          <w14:ligatures w14:val="none"/>
        </w:rPr>
      </w:pPr>
    </w:p>
    <w:p w14:paraId="10C0ED6B" w14:textId="77777777" w:rsidR="006209F7" w:rsidRDefault="006209F7" w:rsidP="00BC21B4">
      <w:pPr>
        <w:spacing w:after="0" w:line="240" w:lineRule="auto"/>
        <w:rPr>
          <w:rFonts w:ascii="Times New Roman" w:eastAsia="Times New Roman" w:hAnsi="Times New Roman" w:cs="Times New Roman"/>
          <w:kern w:val="0"/>
          <w14:ligatures w14:val="none"/>
        </w:rPr>
      </w:pPr>
    </w:p>
    <w:p w14:paraId="20D4754B" w14:textId="77777777" w:rsidR="006209F7" w:rsidRDefault="006209F7" w:rsidP="00BC21B4">
      <w:pPr>
        <w:spacing w:after="0" w:line="240" w:lineRule="auto"/>
        <w:rPr>
          <w:rFonts w:ascii="Times New Roman" w:eastAsia="Times New Roman" w:hAnsi="Times New Roman" w:cs="Times New Roman"/>
          <w:kern w:val="0"/>
          <w14:ligatures w14:val="none"/>
        </w:rPr>
      </w:pPr>
    </w:p>
    <w:p w14:paraId="6DC82B13" w14:textId="77777777" w:rsidR="006209F7" w:rsidRDefault="006209F7" w:rsidP="00BC21B4">
      <w:pPr>
        <w:spacing w:after="0" w:line="240" w:lineRule="auto"/>
        <w:rPr>
          <w:rFonts w:ascii="Times New Roman" w:eastAsia="Times New Roman" w:hAnsi="Times New Roman" w:cs="Times New Roman"/>
          <w:kern w:val="0"/>
          <w14:ligatures w14:val="none"/>
        </w:rPr>
      </w:pPr>
    </w:p>
    <w:p w14:paraId="553A0049" w14:textId="77777777" w:rsidR="006209F7" w:rsidRDefault="006209F7" w:rsidP="00BC21B4">
      <w:pPr>
        <w:spacing w:after="0" w:line="240" w:lineRule="auto"/>
        <w:rPr>
          <w:rFonts w:ascii="Times New Roman" w:eastAsia="Times New Roman" w:hAnsi="Times New Roman" w:cs="Times New Roman"/>
          <w:kern w:val="0"/>
          <w14:ligatures w14:val="none"/>
        </w:rPr>
      </w:pPr>
    </w:p>
    <w:p w14:paraId="3A66F903" w14:textId="77777777" w:rsidR="006209F7" w:rsidRDefault="006209F7" w:rsidP="00BC21B4">
      <w:pPr>
        <w:spacing w:after="0" w:line="240" w:lineRule="auto"/>
        <w:rPr>
          <w:rFonts w:ascii="Times New Roman" w:eastAsia="Times New Roman" w:hAnsi="Times New Roman" w:cs="Times New Roman"/>
          <w:kern w:val="0"/>
          <w14:ligatures w14:val="none"/>
        </w:rPr>
      </w:pPr>
    </w:p>
    <w:p w14:paraId="101577F9" w14:textId="77777777" w:rsidR="006209F7" w:rsidRDefault="006209F7" w:rsidP="00BC21B4">
      <w:pPr>
        <w:spacing w:after="0" w:line="240" w:lineRule="auto"/>
        <w:rPr>
          <w:rFonts w:ascii="Times New Roman" w:eastAsia="Times New Roman" w:hAnsi="Times New Roman" w:cs="Times New Roman"/>
          <w:kern w:val="0"/>
          <w14:ligatures w14:val="none"/>
        </w:rPr>
      </w:pPr>
    </w:p>
    <w:p w14:paraId="1555862B" w14:textId="77777777" w:rsidR="006209F7" w:rsidRDefault="006209F7" w:rsidP="00BC21B4">
      <w:pPr>
        <w:spacing w:after="0" w:line="240" w:lineRule="auto"/>
        <w:rPr>
          <w:rFonts w:ascii="Times New Roman" w:eastAsia="Times New Roman" w:hAnsi="Times New Roman" w:cs="Times New Roman"/>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gridCol w:w="2116"/>
        <w:gridCol w:w="1855"/>
        <w:gridCol w:w="1776"/>
        <w:gridCol w:w="1579"/>
      </w:tblGrid>
      <w:tr w:rsidR="006209F7" w:rsidRPr="006209F7" w14:paraId="2985695F" w14:textId="77777777">
        <w:trPr>
          <w:tblHeader/>
          <w:tblCellSpacing w:w="15" w:type="dxa"/>
        </w:trPr>
        <w:tc>
          <w:tcPr>
            <w:tcW w:w="0" w:type="auto"/>
            <w:vAlign w:val="center"/>
            <w:hideMark/>
          </w:tcPr>
          <w:p w14:paraId="545031DC" w14:textId="77777777" w:rsidR="006209F7" w:rsidRPr="006209F7" w:rsidRDefault="006209F7" w:rsidP="006209F7">
            <w:pPr>
              <w:spacing w:before="100" w:beforeAutospacing="1" w:after="100" w:afterAutospacing="1" w:line="240" w:lineRule="auto"/>
              <w:jc w:val="center"/>
              <w:rPr>
                <w:rFonts w:ascii="Times New Roman" w:hAnsi="Times New Roman" w:cs="Times New Roman"/>
                <w:b/>
                <w:bCs/>
                <w:kern w:val="0"/>
                <w14:ligatures w14:val="none"/>
              </w:rPr>
            </w:pPr>
            <w:r w:rsidRPr="006209F7">
              <w:rPr>
                <w:rFonts w:ascii="Times New Roman" w:hAnsi="Times New Roman" w:cs="Times New Roman"/>
                <w:b/>
                <w:bCs/>
                <w:kern w:val="0"/>
                <w14:ligatures w14:val="none"/>
              </w:rPr>
              <w:lastRenderedPageBreak/>
              <w:t>Theme</w:t>
            </w:r>
          </w:p>
        </w:tc>
        <w:tc>
          <w:tcPr>
            <w:tcW w:w="0" w:type="auto"/>
            <w:vAlign w:val="center"/>
            <w:hideMark/>
          </w:tcPr>
          <w:p w14:paraId="2395A55B" w14:textId="77777777" w:rsidR="006209F7" w:rsidRPr="006209F7" w:rsidRDefault="006209F7" w:rsidP="006209F7">
            <w:pPr>
              <w:spacing w:before="100" w:beforeAutospacing="1" w:after="100" w:afterAutospacing="1" w:line="240" w:lineRule="auto"/>
              <w:jc w:val="center"/>
              <w:rPr>
                <w:rFonts w:ascii="Times New Roman" w:hAnsi="Times New Roman" w:cs="Times New Roman"/>
                <w:b/>
                <w:bCs/>
                <w:kern w:val="0"/>
                <w14:ligatures w14:val="none"/>
              </w:rPr>
            </w:pPr>
            <w:r w:rsidRPr="006209F7">
              <w:rPr>
                <w:rFonts w:ascii="Times New Roman" w:hAnsi="Times New Roman" w:cs="Times New Roman"/>
                <w:b/>
                <w:bCs/>
                <w:kern w:val="0"/>
                <w14:ligatures w14:val="none"/>
              </w:rPr>
              <w:t>Description</w:t>
            </w:r>
          </w:p>
        </w:tc>
        <w:tc>
          <w:tcPr>
            <w:tcW w:w="0" w:type="auto"/>
            <w:vAlign w:val="center"/>
            <w:hideMark/>
          </w:tcPr>
          <w:p w14:paraId="3EF56522" w14:textId="77777777" w:rsidR="006209F7" w:rsidRPr="006209F7" w:rsidRDefault="006209F7" w:rsidP="006209F7">
            <w:pPr>
              <w:spacing w:before="100" w:beforeAutospacing="1" w:after="100" w:afterAutospacing="1" w:line="240" w:lineRule="auto"/>
              <w:jc w:val="center"/>
              <w:rPr>
                <w:rFonts w:ascii="Times New Roman" w:hAnsi="Times New Roman" w:cs="Times New Roman"/>
                <w:b/>
                <w:bCs/>
                <w:kern w:val="0"/>
                <w14:ligatures w14:val="none"/>
              </w:rPr>
            </w:pPr>
            <w:r w:rsidRPr="006209F7">
              <w:rPr>
                <w:rFonts w:ascii="Times New Roman" w:hAnsi="Times New Roman" w:cs="Times New Roman"/>
                <w:b/>
                <w:bCs/>
                <w:kern w:val="0"/>
                <w14:ligatures w14:val="none"/>
              </w:rPr>
              <w:t>Example Codes</w:t>
            </w:r>
          </w:p>
        </w:tc>
        <w:tc>
          <w:tcPr>
            <w:tcW w:w="0" w:type="auto"/>
            <w:vAlign w:val="center"/>
            <w:hideMark/>
          </w:tcPr>
          <w:p w14:paraId="6735915B" w14:textId="77777777" w:rsidR="006209F7" w:rsidRPr="006209F7" w:rsidRDefault="006209F7" w:rsidP="006209F7">
            <w:pPr>
              <w:spacing w:before="100" w:beforeAutospacing="1" w:after="100" w:afterAutospacing="1" w:line="240" w:lineRule="auto"/>
              <w:jc w:val="center"/>
              <w:rPr>
                <w:rFonts w:ascii="Times New Roman" w:hAnsi="Times New Roman" w:cs="Times New Roman"/>
                <w:b/>
                <w:bCs/>
                <w:kern w:val="0"/>
                <w14:ligatures w14:val="none"/>
              </w:rPr>
            </w:pPr>
            <w:r w:rsidRPr="006209F7">
              <w:rPr>
                <w:rFonts w:ascii="Times New Roman" w:hAnsi="Times New Roman" w:cs="Times New Roman"/>
                <w:b/>
                <w:bCs/>
                <w:kern w:val="0"/>
                <w14:ligatures w14:val="none"/>
              </w:rPr>
              <w:t>Illustrative Data Extracts (Paraphrased)</w:t>
            </w:r>
          </w:p>
        </w:tc>
        <w:tc>
          <w:tcPr>
            <w:tcW w:w="0" w:type="auto"/>
            <w:vAlign w:val="center"/>
            <w:hideMark/>
          </w:tcPr>
          <w:p w14:paraId="0D163F41" w14:textId="77777777" w:rsidR="006209F7" w:rsidRPr="006209F7" w:rsidRDefault="006209F7" w:rsidP="006209F7">
            <w:pPr>
              <w:spacing w:before="100" w:beforeAutospacing="1" w:after="100" w:afterAutospacing="1" w:line="240" w:lineRule="auto"/>
              <w:jc w:val="center"/>
              <w:rPr>
                <w:rFonts w:ascii="Times New Roman" w:hAnsi="Times New Roman" w:cs="Times New Roman"/>
                <w:b/>
                <w:bCs/>
                <w:kern w:val="0"/>
                <w14:ligatures w14:val="none"/>
              </w:rPr>
            </w:pPr>
            <w:r w:rsidRPr="006209F7">
              <w:rPr>
                <w:rFonts w:ascii="Times New Roman" w:hAnsi="Times New Roman" w:cs="Times New Roman"/>
                <w:b/>
                <w:bCs/>
                <w:kern w:val="0"/>
                <w14:ligatures w14:val="none"/>
              </w:rPr>
              <w:t>Interpretation / Meaning</w:t>
            </w:r>
          </w:p>
        </w:tc>
      </w:tr>
      <w:tr w:rsidR="006209F7" w:rsidRPr="006209F7" w14:paraId="206F6A90" w14:textId="77777777">
        <w:trPr>
          <w:tblCellSpacing w:w="15" w:type="dxa"/>
        </w:trPr>
        <w:tc>
          <w:tcPr>
            <w:tcW w:w="0" w:type="auto"/>
            <w:vAlign w:val="center"/>
            <w:hideMark/>
          </w:tcPr>
          <w:p w14:paraId="7E28234C"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1. Boundaries as the Relational Container</w:t>
            </w:r>
          </w:p>
        </w:tc>
        <w:tc>
          <w:tcPr>
            <w:tcW w:w="0" w:type="auto"/>
            <w:vAlign w:val="center"/>
            <w:hideMark/>
          </w:tcPr>
          <w:p w14:paraId="64DF06E1"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Boundaries function as the therapeutic frame that enables safety, trust, and relational depth. They are experienced as supportive scaffolding rather than rigid restrictions.</w:t>
            </w:r>
          </w:p>
        </w:tc>
        <w:tc>
          <w:tcPr>
            <w:tcW w:w="0" w:type="auto"/>
            <w:vAlign w:val="center"/>
            <w:hideMark/>
          </w:tcPr>
          <w:p w14:paraId="5B17D1B5"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 Structure and safety • Predictability • Timekeeping • Confidentiality • Trust-building</w:t>
            </w:r>
          </w:p>
        </w:tc>
        <w:tc>
          <w:tcPr>
            <w:tcW w:w="0" w:type="auto"/>
            <w:vAlign w:val="center"/>
            <w:hideMark/>
          </w:tcPr>
          <w:p w14:paraId="3BD50324"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“Boundaries aren’t rigid fences; they create the safety clients need to go deeper.”</w:t>
            </w:r>
          </w:p>
        </w:tc>
        <w:tc>
          <w:tcPr>
            <w:tcW w:w="0" w:type="auto"/>
            <w:vAlign w:val="center"/>
            <w:hideMark/>
          </w:tcPr>
          <w:p w14:paraId="75E6559D"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069A0AFF" w14:textId="77777777">
        <w:trPr>
          <w:tblCellSpacing w:w="15" w:type="dxa"/>
        </w:trPr>
        <w:tc>
          <w:tcPr>
            <w:tcW w:w="0" w:type="auto"/>
            <w:vAlign w:val="center"/>
            <w:hideMark/>
          </w:tcPr>
          <w:p w14:paraId="6D57D9D2"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“Clear limits around timing and confidentiality reduce anxiety.”</w:t>
            </w:r>
          </w:p>
        </w:tc>
        <w:tc>
          <w:tcPr>
            <w:tcW w:w="0" w:type="auto"/>
            <w:vAlign w:val="center"/>
            <w:hideMark/>
          </w:tcPr>
          <w:p w14:paraId="5E4C4061"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Boundaries act as a stable container, allowing vulnerability and emotional exploration. Structure is experienced as enhancing—not limiting—the therapeutic relationship.</w:t>
            </w:r>
          </w:p>
        </w:tc>
        <w:tc>
          <w:tcPr>
            <w:tcW w:w="0" w:type="auto"/>
            <w:vAlign w:val="center"/>
            <w:hideMark/>
          </w:tcPr>
          <w:p w14:paraId="2E4EA314"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19D307F1"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4FE45B94"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4033D571" w14:textId="77777777">
        <w:trPr>
          <w:tblCellSpacing w:w="15" w:type="dxa"/>
        </w:trPr>
        <w:tc>
          <w:tcPr>
            <w:tcW w:w="0" w:type="auto"/>
            <w:vAlign w:val="center"/>
            <w:hideMark/>
          </w:tcPr>
          <w:p w14:paraId="5EA47E06"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2. Boundaries as Dynamic and Co-Created</w:t>
            </w:r>
          </w:p>
        </w:tc>
        <w:tc>
          <w:tcPr>
            <w:tcW w:w="0" w:type="auto"/>
            <w:vAlign w:val="center"/>
            <w:hideMark/>
          </w:tcPr>
          <w:p w14:paraId="67839E85"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Boundaries are negotiated collaboratively with clients and adapted where appropriate. Contracts are treated as living documents shaped by relational context and cultural sensitivity.</w:t>
            </w:r>
          </w:p>
        </w:tc>
        <w:tc>
          <w:tcPr>
            <w:tcW w:w="0" w:type="auto"/>
            <w:vAlign w:val="center"/>
            <w:hideMark/>
          </w:tcPr>
          <w:p w14:paraId="3F653533"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 Collaboration • Contracting • Re-negotiation • Cultural awareness • Flexibility</w:t>
            </w:r>
          </w:p>
        </w:tc>
        <w:tc>
          <w:tcPr>
            <w:tcW w:w="0" w:type="auto"/>
            <w:vAlign w:val="center"/>
            <w:hideMark/>
          </w:tcPr>
          <w:p w14:paraId="28B6BA0C"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“We create the contract together and revisit it when needed.”</w:t>
            </w:r>
          </w:p>
        </w:tc>
        <w:tc>
          <w:tcPr>
            <w:tcW w:w="0" w:type="auto"/>
            <w:vAlign w:val="center"/>
            <w:hideMark/>
          </w:tcPr>
          <w:p w14:paraId="050C3402"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50A11CC9" w14:textId="77777777">
        <w:trPr>
          <w:tblCellSpacing w:w="15" w:type="dxa"/>
        </w:trPr>
        <w:tc>
          <w:tcPr>
            <w:tcW w:w="0" w:type="auto"/>
            <w:vAlign w:val="center"/>
            <w:hideMark/>
          </w:tcPr>
          <w:p w14:paraId="1F902A0B"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“I check what feels too close or too distant for clients from different backgrounds.”</w:t>
            </w:r>
          </w:p>
        </w:tc>
        <w:tc>
          <w:tcPr>
            <w:tcW w:w="0" w:type="auto"/>
            <w:vAlign w:val="center"/>
            <w:hideMark/>
          </w:tcPr>
          <w:p w14:paraId="78A9A13D"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Boundaries are relationally constructed rather than imposed. This approach respects autonomy, cultural difference, and shared power.</w:t>
            </w:r>
          </w:p>
        </w:tc>
        <w:tc>
          <w:tcPr>
            <w:tcW w:w="0" w:type="auto"/>
            <w:vAlign w:val="center"/>
            <w:hideMark/>
          </w:tcPr>
          <w:p w14:paraId="1E9B98AC"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523CCD88"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01A5CC74"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02488962" w14:textId="77777777">
        <w:trPr>
          <w:tblCellSpacing w:w="15" w:type="dxa"/>
        </w:trPr>
        <w:tc>
          <w:tcPr>
            <w:tcW w:w="0" w:type="auto"/>
            <w:vAlign w:val="center"/>
            <w:hideMark/>
          </w:tcPr>
          <w:p w14:paraId="4FDA3006"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3. Boundary Challenges as Material for Therapeutic Work</w:t>
            </w:r>
          </w:p>
        </w:tc>
        <w:tc>
          <w:tcPr>
            <w:tcW w:w="0" w:type="auto"/>
            <w:vAlign w:val="center"/>
            <w:hideMark/>
          </w:tcPr>
          <w:p w14:paraId="007135CB"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 xml:space="preserve">Boundary dilemmas are treated not as obstacles but as opportunities to explore relational </w:t>
            </w:r>
            <w:r w:rsidRPr="006209F7">
              <w:rPr>
                <w:rFonts w:ascii="Times New Roman" w:hAnsi="Times New Roman" w:cs="Times New Roman"/>
                <w:kern w:val="0"/>
                <w14:ligatures w14:val="none"/>
              </w:rPr>
              <w:lastRenderedPageBreak/>
              <w:t>patterns, attachment needs, and ruptures.</w:t>
            </w:r>
          </w:p>
        </w:tc>
        <w:tc>
          <w:tcPr>
            <w:tcW w:w="0" w:type="auto"/>
            <w:vAlign w:val="center"/>
            <w:hideMark/>
          </w:tcPr>
          <w:p w14:paraId="12295789"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lastRenderedPageBreak/>
              <w:t xml:space="preserve">• Late arrivals • Emotional disclosure at endings • Between-session </w:t>
            </w:r>
            <w:r w:rsidRPr="006209F7">
              <w:rPr>
                <w:rFonts w:ascii="Times New Roman" w:hAnsi="Times New Roman" w:cs="Times New Roman"/>
                <w:kern w:val="0"/>
                <w14:ligatures w14:val="none"/>
              </w:rPr>
              <w:lastRenderedPageBreak/>
              <w:t>contact • Attachment dynamics • Rupture and repair</w:t>
            </w:r>
          </w:p>
        </w:tc>
        <w:tc>
          <w:tcPr>
            <w:tcW w:w="0" w:type="auto"/>
            <w:vAlign w:val="center"/>
            <w:hideMark/>
          </w:tcPr>
          <w:p w14:paraId="570FCB61"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lastRenderedPageBreak/>
              <w:t xml:space="preserve">“When a client shares big things at the end, we talk about their </w:t>
            </w:r>
            <w:r w:rsidRPr="006209F7">
              <w:rPr>
                <w:rFonts w:ascii="Times New Roman" w:hAnsi="Times New Roman" w:cs="Times New Roman"/>
                <w:kern w:val="0"/>
                <w14:ligatures w14:val="none"/>
              </w:rPr>
              <w:lastRenderedPageBreak/>
              <w:t>experiences of endings.”</w:t>
            </w:r>
          </w:p>
        </w:tc>
        <w:tc>
          <w:tcPr>
            <w:tcW w:w="0" w:type="auto"/>
            <w:vAlign w:val="center"/>
            <w:hideMark/>
          </w:tcPr>
          <w:p w14:paraId="13FA3ED1"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50061F41" w14:textId="77777777">
        <w:trPr>
          <w:tblCellSpacing w:w="15" w:type="dxa"/>
        </w:trPr>
        <w:tc>
          <w:tcPr>
            <w:tcW w:w="0" w:type="auto"/>
            <w:vAlign w:val="center"/>
            <w:hideMark/>
          </w:tcPr>
          <w:p w14:paraId="33CB2395"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“Frequent messaging tells me something about their regulation needs.”</w:t>
            </w:r>
          </w:p>
        </w:tc>
        <w:tc>
          <w:tcPr>
            <w:tcW w:w="0" w:type="auto"/>
            <w:vAlign w:val="center"/>
            <w:hideMark/>
          </w:tcPr>
          <w:p w14:paraId="1320E0B4"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 xml:space="preserve">Boundary moments are emotionally and psychologically meaningful. Exploring them deepens insight and strengthens the therapeutic relationship through repair and </w:t>
            </w:r>
            <w:proofErr w:type="spellStart"/>
            <w:r w:rsidRPr="006209F7">
              <w:rPr>
                <w:rFonts w:ascii="Times New Roman" w:hAnsi="Times New Roman" w:cs="Times New Roman"/>
                <w:kern w:val="0"/>
                <w14:ligatures w14:val="none"/>
              </w:rPr>
              <w:t>attunement</w:t>
            </w:r>
            <w:proofErr w:type="spellEnd"/>
            <w:r w:rsidRPr="006209F7">
              <w:rPr>
                <w:rFonts w:ascii="Times New Roman" w:hAnsi="Times New Roman" w:cs="Times New Roman"/>
                <w:kern w:val="0"/>
                <w14:ligatures w14:val="none"/>
              </w:rPr>
              <w:t>.</w:t>
            </w:r>
          </w:p>
        </w:tc>
        <w:tc>
          <w:tcPr>
            <w:tcW w:w="0" w:type="auto"/>
            <w:vAlign w:val="center"/>
            <w:hideMark/>
          </w:tcPr>
          <w:p w14:paraId="6F590E23"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4680501F"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438E9565"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3AEFAE14" w14:textId="77777777">
        <w:trPr>
          <w:tblCellSpacing w:w="15" w:type="dxa"/>
        </w:trPr>
        <w:tc>
          <w:tcPr>
            <w:tcW w:w="0" w:type="auto"/>
            <w:vAlign w:val="center"/>
            <w:hideMark/>
          </w:tcPr>
          <w:p w14:paraId="15E9D91B"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4. Self-Awareness and Professional Integrity as Foundations for Ethical Boundaries</w:t>
            </w:r>
          </w:p>
        </w:tc>
        <w:tc>
          <w:tcPr>
            <w:tcW w:w="0" w:type="auto"/>
            <w:vAlign w:val="center"/>
            <w:hideMark/>
          </w:tcPr>
          <w:p w14:paraId="473AA824"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Ethical boundary practice requires reflective self-awareness, supervision, emotional regulation, and protection of the therapist’s wellbeing.</w:t>
            </w:r>
          </w:p>
        </w:tc>
        <w:tc>
          <w:tcPr>
            <w:tcW w:w="0" w:type="auto"/>
            <w:vAlign w:val="center"/>
            <w:hideMark/>
          </w:tcPr>
          <w:p w14:paraId="305143EC"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 Self-reflection • Supervision • Burnout • Emotional cues • Professional identity</w:t>
            </w:r>
          </w:p>
        </w:tc>
        <w:tc>
          <w:tcPr>
            <w:tcW w:w="0" w:type="auto"/>
            <w:vAlign w:val="center"/>
            <w:hideMark/>
          </w:tcPr>
          <w:p w14:paraId="38A77C37"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“I used to over-give from imposter anxiety, but it led to burnout.”</w:t>
            </w:r>
          </w:p>
        </w:tc>
        <w:tc>
          <w:tcPr>
            <w:tcW w:w="0" w:type="auto"/>
            <w:vAlign w:val="center"/>
            <w:hideMark/>
          </w:tcPr>
          <w:p w14:paraId="0C552EC3"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r w:rsidR="006209F7" w:rsidRPr="006209F7" w14:paraId="7CEA8A67" w14:textId="77777777">
        <w:trPr>
          <w:tblCellSpacing w:w="15" w:type="dxa"/>
        </w:trPr>
        <w:tc>
          <w:tcPr>
            <w:tcW w:w="0" w:type="auto"/>
            <w:vAlign w:val="center"/>
            <w:hideMark/>
          </w:tcPr>
          <w:p w14:paraId="17F61ACC" w14:textId="77777777" w:rsidR="006209F7" w:rsidRPr="006209F7" w:rsidRDefault="006209F7" w:rsidP="006209F7">
            <w:pPr>
              <w:spacing w:before="100" w:beforeAutospacing="1" w:after="100" w:afterAutospacing="1" w:line="240" w:lineRule="auto"/>
              <w:rPr>
                <w:rFonts w:ascii="Times New Roman" w:hAnsi="Times New Roman" w:cs="Times New Roman"/>
                <w:kern w:val="0"/>
                <w14:ligatures w14:val="none"/>
              </w:rPr>
            </w:pPr>
            <w:r w:rsidRPr="006209F7">
              <w:rPr>
                <w:rFonts w:ascii="Times New Roman" w:hAnsi="Times New Roman" w:cs="Times New Roman"/>
                <w:kern w:val="0"/>
                <w14:ligatures w14:val="none"/>
              </w:rPr>
              <w:t>“Tension in my body tells me a boundary needs</w:t>
            </w:r>
          </w:p>
        </w:tc>
        <w:tc>
          <w:tcPr>
            <w:tcW w:w="0" w:type="auto"/>
            <w:vAlign w:val="center"/>
            <w:hideMark/>
          </w:tcPr>
          <w:p w14:paraId="576EBC4E"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4E3ADF04"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438A7EC2"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332DBE4E" w14:textId="77777777" w:rsidR="006209F7" w:rsidRPr="006209F7" w:rsidRDefault="006209F7" w:rsidP="006209F7">
            <w:pPr>
              <w:spacing w:after="0" w:line="240" w:lineRule="auto"/>
              <w:rPr>
                <w:rFonts w:ascii="Times New Roman" w:eastAsia="Times New Roman" w:hAnsi="Times New Roman" w:cs="Times New Roman"/>
                <w:kern w:val="0"/>
                <w:sz w:val="20"/>
                <w:szCs w:val="20"/>
                <w14:ligatures w14:val="none"/>
              </w:rPr>
            </w:pPr>
          </w:p>
        </w:tc>
      </w:tr>
    </w:tbl>
    <w:p w14:paraId="2899C09B" w14:textId="77777777" w:rsidR="006209F7" w:rsidRPr="00BC21B4" w:rsidRDefault="006209F7" w:rsidP="00BC21B4">
      <w:pPr>
        <w:spacing w:after="0" w:line="240" w:lineRule="auto"/>
        <w:rPr>
          <w:rFonts w:ascii="Times New Roman" w:eastAsia="Times New Roman" w:hAnsi="Times New Roman" w:cs="Times New Roman"/>
          <w:kern w:val="0"/>
          <w14:ligatures w14:val="none"/>
        </w:rPr>
      </w:pPr>
    </w:p>
    <w:sectPr w:rsidR="006209F7" w:rsidRPr="00BC21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98566" w14:textId="77777777" w:rsidR="009208C2" w:rsidRDefault="009208C2" w:rsidP="00DD70FF">
      <w:pPr>
        <w:spacing w:after="0" w:line="240" w:lineRule="auto"/>
      </w:pPr>
      <w:r>
        <w:separator/>
      </w:r>
    </w:p>
  </w:endnote>
  <w:endnote w:type="continuationSeparator" w:id="0">
    <w:p w14:paraId="482B3581" w14:textId="77777777" w:rsidR="009208C2" w:rsidRDefault="009208C2" w:rsidP="00DD7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72B" w14:textId="77777777" w:rsidR="009208C2" w:rsidRDefault="009208C2" w:rsidP="00DD70FF">
      <w:pPr>
        <w:spacing w:after="0" w:line="240" w:lineRule="auto"/>
      </w:pPr>
      <w:r>
        <w:separator/>
      </w:r>
    </w:p>
  </w:footnote>
  <w:footnote w:type="continuationSeparator" w:id="0">
    <w:p w14:paraId="59B45CE5" w14:textId="77777777" w:rsidR="009208C2" w:rsidRDefault="009208C2" w:rsidP="00DD70F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50rz3IS" int2:invalidationBookmarkName="" int2:hashCode="051uur3qTsy1Ie" int2:id="SJbE7IKN">
      <int2:state int2:value="Rejected" int2:type="style"/>
    </int2:bookmark>
    <int2:bookmark int2:bookmarkName="_Int_dc5QBxsS" int2:invalidationBookmarkName="" int2:hashCode="WnZTP6IPvFw6Ut" int2:id="7SiokoKe">
      <int2:state int2:value="Rejected" int2:type="style"/>
    </int2:bookmark>
    <int2:bookmark int2:bookmarkName="_Int_241OvJSs" int2:invalidationBookmarkName="" int2:hashCode="6KwxCWAoDwtvI+" int2:id="HrfOCuMu">
      <int2:state int2:value="Rejected" int2:type="style"/>
    </int2:bookmark>
    <int2:bookmark int2:bookmarkName="_Int_SiIApoaG" int2:invalidationBookmarkName="" int2:hashCode="6xX40Nbu8SUY24" int2:id="VBJ5GTSm">
      <int2:state int2:value="Rejected" int2:type="style"/>
    </int2:bookmark>
    <int2:bookmark int2:bookmarkName="_Int_gLlkt0N5" int2:invalidationBookmarkName="" int2:hashCode="051uur3qTsy1Ie" int2:id="hjRzMZdm">
      <int2:state int2:value="Rejected" int2:type="style"/>
    </int2:bookmark>
    <int2:bookmark int2:bookmarkName="_Int_90pYVLc3" int2:invalidationBookmarkName="" int2:hashCode="Z+CyGRFxBwv9lG" int2:id="zOHclwYR">
      <int2:state int2:value="Rejected" int2:type="style"/>
    </int2:bookmark>
    <int2:bookmark int2:bookmarkName="_Int_epiF2rb0" int2:invalidationBookmarkName="" int2:hashCode="hw5nyYTrGbyb6F" int2:id="LVFIjXMu">
      <int2:state int2:value="Rejected" int2:type="style"/>
    </int2:bookmark>
    <int2:bookmark int2:bookmarkName="_Int_4y4W8Hbg" int2:invalidationBookmarkName="" int2:hashCode="051uur3qTsy1Ie" int2:id="TK6ZgnuL">
      <int2:state int2:value="Rejected" int2:type="style"/>
    </int2:bookmark>
    <int2:bookmark int2:bookmarkName="_Int_MLtN5Qax" int2:invalidationBookmarkName="" int2:hashCode="ngbXzAPgdBGsnV" int2:id="UGu5yhp4">
      <int2:state int2:value="Rejected" int2:type="style"/>
    </int2:bookmark>
    <int2:bookmark int2:bookmarkName="_Int_bMhO3Yt6" int2:invalidationBookmarkName="" int2:hashCode="mUDNQpoS7vABxq" int2:id="GJlDf3Vf">
      <int2:state int2:value="Rejected" int2:type="style"/>
    </int2:bookmark>
    <int2:bookmark int2:bookmarkName="_Int_I4HCKYmI" int2:invalidationBookmarkName="" int2:hashCode="a7X/VNNYq0VXgz" int2:id="7LBmo6FQ">
      <int2:state int2:value="Rejected" int2:type="style"/>
    </int2:bookmark>
    <int2:bookmark int2:bookmarkName="_Int_VqkF1Qcc" int2:invalidationBookmarkName="" int2:hashCode="CzqX9gCWZGI1YW" int2:id="7QOAkynt">
      <int2:state int2:value="Rejected" int2:type="style"/>
    </int2:bookmark>
    <int2:bookmark int2:bookmarkName="_Int_Iw8sNdmv" int2:invalidationBookmarkName="" int2:hashCode="GRr4w5ZT7qewfo" int2:id="xk5h5bBd">
      <int2:state int2:value="Rejected" int2:type="gram"/>
    </int2:bookmark>
    <int2:bookmark int2:bookmarkName="_Int_3tN7mdyH" int2:invalidationBookmarkName="" int2:hashCode="twyb7C76GKizJs" int2:id="EzNbe6Kj">
      <int2:state int2:value="Rejected" int2:type="style"/>
    </int2:bookmark>
    <int2:bookmark int2:bookmarkName="_Int_uHbD0bC8" int2:invalidationBookmarkName="" int2:hashCode="vnjwcAJ65jgJY+" int2:id="61krekTZ">
      <int2:state int2:value="Rejected" int2:type="gram"/>
    </int2:bookmark>
    <int2:bookmark int2:bookmarkName="_Int_olwO4c3X" int2:invalidationBookmarkName="" int2:hashCode="Wf917QYsiaGRAK" int2:id="Es5wHpRe">
      <int2:state int2:value="Rejected" int2:type="style"/>
    </int2:bookmark>
    <int2:bookmark int2:bookmarkName="_Int_f1Wn6f4P" int2:invalidationBookmarkName="" int2:hashCode="Ag+uhOKJw3CsmR" int2:id="yq1yd5Zv">
      <int2:state int2:value="Rejected" int2:type="style"/>
    </int2:bookmark>
    <int2:bookmark int2:bookmarkName="_Int_lg2FE6OA" int2:invalidationBookmarkName="" int2:hashCode="g8xAGHd5/Eb+RS" int2:id="bZjRpOaC">
      <int2:state int2:value="Rejected" int2:type="style"/>
    </int2:bookmark>
    <int2:bookmark int2:bookmarkName="_Int_UmGuwD6s" int2:invalidationBookmarkName="" int2:hashCode="KA4A6Mq5KFRKmK" int2:id="AGW9AfyS">
      <int2:state int2:value="Rejected" int2:type="style"/>
    </int2:bookmark>
    <int2:bookmark int2:bookmarkName="_Int_tJNxjawE" int2:invalidationBookmarkName="" int2:hashCode="7ox3374uEZHPvy" int2:id="P7HuIJA6">
      <int2:state int2:value="Rejected" int2:type="style"/>
    </int2:bookmark>
    <int2:bookmark int2:bookmarkName="_Int_hITxFSLV" int2:invalidationBookmarkName="" int2:hashCode="YYLhHPCe+28BeQ" int2:id="H6rE9JZ8">
      <int2:state int2:value="Rejected" int2:type="style"/>
    </int2:bookmark>
    <int2:bookmark int2:bookmarkName="_Int_SlrfMOfK" int2:invalidationBookmarkName="" int2:hashCode="OggFje+3UVg8ZW" int2:id="wt3iQID4">
      <int2:state int2:value="Rejected" int2:type="style"/>
    </int2:bookmark>
    <int2:bookmark int2:bookmarkName="_Int_BnhYlabT" int2:invalidationBookmarkName="" int2:hashCode="SMFwPIHakRGYAb" int2:id="3qNYt2Fv">
      <int2:state int2:value="Rejected" int2:type="style"/>
    </int2:bookmark>
    <int2:bookmark int2:bookmarkName="_Int_FwwBr3Nd" int2:invalidationBookmarkName="" int2:hashCode="yKDJq+Wfh/D8zr" int2:id="ZNJth1V1">
      <int2:state int2:value="Rejected" int2:type="style"/>
    </int2:bookmark>
    <int2:bookmark int2:bookmarkName="_Int_PcBvDU5H" int2:invalidationBookmarkName="" int2:hashCode="5FkZLz5ClwMk6K" int2:id="Zxq9N1C9">
      <int2:state int2:value="Rejected" int2:type="style"/>
    </int2:bookmark>
    <int2:bookmark int2:bookmarkName="_Int_xR94EXeK" int2:invalidationBookmarkName="" int2:hashCode="04EplSZjN/Zh0j" int2:id="71Epo2lQ">
      <int2:state int2:value="Rejected" int2:type="style"/>
    </int2:bookmark>
    <int2:bookmark int2:bookmarkName="_Int_PwgVxPMl" int2:invalidationBookmarkName="" int2:hashCode="1PGIucz22ssGZD" int2:id="7hixeb8K">
      <int2:state int2:value="Rejected" int2:type="gram"/>
    </int2:bookmark>
    <int2:bookmark int2:bookmarkName="_Int_2nHZZFJe" int2:invalidationBookmarkName="" int2:hashCode="6xX40Nbu8SUY24" int2:id="HG4rVPpv">
      <int2:state int2:value="Rejected" int2:type="style"/>
    </int2:bookmark>
    <int2:bookmark int2:bookmarkName="_Int_seg1fDW8" int2:invalidationBookmarkName="" int2:hashCode="cvjo6sKRC9VFFo" int2:id="bg2IlTDd">
      <int2:state int2:value="Rejected" int2:type="style"/>
    </int2:bookmark>
    <int2:bookmark int2:bookmarkName="_Int_JnZfCGQg" int2:invalidationBookmarkName="" int2:hashCode="XBCTO60HnI4yRJ" int2:id="rQINDHj4">
      <int2:state int2:value="Rejected" int2:type="style"/>
    </int2:bookmark>
    <int2:bookmark int2:bookmarkName="_Int_1QYmbKwW" int2:invalidationBookmarkName="" int2:hashCode="X1ZNWVX/upDpSL" int2:id="2w9Bj5Us">
      <int2:state int2:value="Rejected" int2:type="style"/>
    </int2:bookmark>
    <int2:bookmark int2:bookmarkName="_Int_2NHx4IxI" int2:invalidationBookmarkName="" int2:hashCode="XBCTO60HnI4yRJ" int2:id="2qdksFPT">
      <int2:state int2:value="Rejected" int2:type="style"/>
    </int2:bookmark>
    <int2:bookmark int2:bookmarkName="_Int_Tg4T5gAy" int2:invalidationBookmarkName="" int2:hashCode="LHvxt3eFm3Fkex" int2:id="pmJUfUn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44518"/>
    <w:multiLevelType w:val="hybridMultilevel"/>
    <w:tmpl w:val="CD802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54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C68"/>
    <w:rsid w:val="000012A9"/>
    <w:rsid w:val="00011C83"/>
    <w:rsid w:val="00013641"/>
    <w:rsid w:val="00014AD7"/>
    <w:rsid w:val="00046F0D"/>
    <w:rsid w:val="000673A3"/>
    <w:rsid w:val="0008352F"/>
    <w:rsid w:val="00094821"/>
    <w:rsid w:val="000C4B1F"/>
    <w:rsid w:val="000C4F02"/>
    <w:rsid w:val="000D06FA"/>
    <w:rsid w:val="00104572"/>
    <w:rsid w:val="00120D5A"/>
    <w:rsid w:val="00156EF5"/>
    <w:rsid w:val="00161557"/>
    <w:rsid w:val="001662AD"/>
    <w:rsid w:val="00196761"/>
    <w:rsid w:val="001A1AD8"/>
    <w:rsid w:val="001A3106"/>
    <w:rsid w:val="001D0F30"/>
    <w:rsid w:val="001D27D8"/>
    <w:rsid w:val="00206AA2"/>
    <w:rsid w:val="00210888"/>
    <w:rsid w:val="002149AD"/>
    <w:rsid w:val="00216D53"/>
    <w:rsid w:val="00232CE6"/>
    <w:rsid w:val="002334C1"/>
    <w:rsid w:val="0025494E"/>
    <w:rsid w:val="00274737"/>
    <w:rsid w:val="002757BB"/>
    <w:rsid w:val="002A70AE"/>
    <w:rsid w:val="002B1024"/>
    <w:rsid w:val="002C1359"/>
    <w:rsid w:val="002C4C68"/>
    <w:rsid w:val="002D120E"/>
    <w:rsid w:val="002D4C38"/>
    <w:rsid w:val="002E3655"/>
    <w:rsid w:val="002F2CD6"/>
    <w:rsid w:val="00304CB9"/>
    <w:rsid w:val="003107F9"/>
    <w:rsid w:val="00353848"/>
    <w:rsid w:val="00355630"/>
    <w:rsid w:val="00360466"/>
    <w:rsid w:val="003648D8"/>
    <w:rsid w:val="00370CC2"/>
    <w:rsid w:val="003747C5"/>
    <w:rsid w:val="00376455"/>
    <w:rsid w:val="0037781B"/>
    <w:rsid w:val="003D5F52"/>
    <w:rsid w:val="003F3CFC"/>
    <w:rsid w:val="00401B87"/>
    <w:rsid w:val="00413297"/>
    <w:rsid w:val="004204BC"/>
    <w:rsid w:val="00431535"/>
    <w:rsid w:val="004437E7"/>
    <w:rsid w:val="00450ABE"/>
    <w:rsid w:val="00452ED4"/>
    <w:rsid w:val="004631F8"/>
    <w:rsid w:val="004679D0"/>
    <w:rsid w:val="00490EE7"/>
    <w:rsid w:val="004A19C8"/>
    <w:rsid w:val="004B126C"/>
    <w:rsid w:val="004B6677"/>
    <w:rsid w:val="004D2EC2"/>
    <w:rsid w:val="004D4E6B"/>
    <w:rsid w:val="004D6965"/>
    <w:rsid w:val="004D7857"/>
    <w:rsid w:val="005175BD"/>
    <w:rsid w:val="00520B76"/>
    <w:rsid w:val="00524813"/>
    <w:rsid w:val="00553ADD"/>
    <w:rsid w:val="00556401"/>
    <w:rsid w:val="0055674F"/>
    <w:rsid w:val="005568C9"/>
    <w:rsid w:val="0059444B"/>
    <w:rsid w:val="005A045C"/>
    <w:rsid w:val="005A1FC1"/>
    <w:rsid w:val="005C257F"/>
    <w:rsid w:val="005C562E"/>
    <w:rsid w:val="005C7B34"/>
    <w:rsid w:val="005D4E28"/>
    <w:rsid w:val="005E1EA4"/>
    <w:rsid w:val="005F44DD"/>
    <w:rsid w:val="006209F7"/>
    <w:rsid w:val="00637E77"/>
    <w:rsid w:val="00643749"/>
    <w:rsid w:val="00652D3F"/>
    <w:rsid w:val="00653CDE"/>
    <w:rsid w:val="00676F9F"/>
    <w:rsid w:val="00677535"/>
    <w:rsid w:val="0069207C"/>
    <w:rsid w:val="006A0225"/>
    <w:rsid w:val="006B204F"/>
    <w:rsid w:val="006B4155"/>
    <w:rsid w:val="006B5E2A"/>
    <w:rsid w:val="006C679A"/>
    <w:rsid w:val="006F4C2E"/>
    <w:rsid w:val="007339BE"/>
    <w:rsid w:val="00741137"/>
    <w:rsid w:val="00760F71"/>
    <w:rsid w:val="00766841"/>
    <w:rsid w:val="00781F9D"/>
    <w:rsid w:val="00797E82"/>
    <w:rsid w:val="007A7774"/>
    <w:rsid w:val="007C276D"/>
    <w:rsid w:val="007D5A75"/>
    <w:rsid w:val="007E2A00"/>
    <w:rsid w:val="008131D8"/>
    <w:rsid w:val="00827059"/>
    <w:rsid w:val="00830CB9"/>
    <w:rsid w:val="00842D71"/>
    <w:rsid w:val="0084527B"/>
    <w:rsid w:val="00846573"/>
    <w:rsid w:val="00872B3D"/>
    <w:rsid w:val="00873657"/>
    <w:rsid w:val="00890506"/>
    <w:rsid w:val="00895481"/>
    <w:rsid w:val="00895939"/>
    <w:rsid w:val="00896EA4"/>
    <w:rsid w:val="008D25EF"/>
    <w:rsid w:val="008E7212"/>
    <w:rsid w:val="00905CBE"/>
    <w:rsid w:val="0091724D"/>
    <w:rsid w:val="009208C2"/>
    <w:rsid w:val="00946568"/>
    <w:rsid w:val="009534A0"/>
    <w:rsid w:val="00961446"/>
    <w:rsid w:val="00971141"/>
    <w:rsid w:val="0099277B"/>
    <w:rsid w:val="009B2BD7"/>
    <w:rsid w:val="00A02AC9"/>
    <w:rsid w:val="00A058B0"/>
    <w:rsid w:val="00A17745"/>
    <w:rsid w:val="00A24926"/>
    <w:rsid w:val="00A31AB2"/>
    <w:rsid w:val="00A64B8D"/>
    <w:rsid w:val="00A7035F"/>
    <w:rsid w:val="00A74031"/>
    <w:rsid w:val="00A77242"/>
    <w:rsid w:val="00A977C5"/>
    <w:rsid w:val="00B2050C"/>
    <w:rsid w:val="00B726EF"/>
    <w:rsid w:val="00B72F91"/>
    <w:rsid w:val="00BA424B"/>
    <w:rsid w:val="00BB7ACE"/>
    <w:rsid w:val="00BC21B4"/>
    <w:rsid w:val="00BD2F39"/>
    <w:rsid w:val="00BF0EF0"/>
    <w:rsid w:val="00C53B06"/>
    <w:rsid w:val="00C6210F"/>
    <w:rsid w:val="00C66290"/>
    <w:rsid w:val="00C75F0B"/>
    <w:rsid w:val="00C8643C"/>
    <w:rsid w:val="00C91E9A"/>
    <w:rsid w:val="00CA79BF"/>
    <w:rsid w:val="00CD02D4"/>
    <w:rsid w:val="00CF1139"/>
    <w:rsid w:val="00D16061"/>
    <w:rsid w:val="00D23746"/>
    <w:rsid w:val="00D37890"/>
    <w:rsid w:val="00D45DAD"/>
    <w:rsid w:val="00D5303E"/>
    <w:rsid w:val="00D57EBA"/>
    <w:rsid w:val="00D70CFA"/>
    <w:rsid w:val="00D80B97"/>
    <w:rsid w:val="00D84BE5"/>
    <w:rsid w:val="00DC1024"/>
    <w:rsid w:val="00DD2B8F"/>
    <w:rsid w:val="00DD70FF"/>
    <w:rsid w:val="00E3135C"/>
    <w:rsid w:val="00E45156"/>
    <w:rsid w:val="00E45A2F"/>
    <w:rsid w:val="00E63011"/>
    <w:rsid w:val="00E634C5"/>
    <w:rsid w:val="00E65A92"/>
    <w:rsid w:val="00E72FDF"/>
    <w:rsid w:val="00E77472"/>
    <w:rsid w:val="00E802F3"/>
    <w:rsid w:val="00E80E73"/>
    <w:rsid w:val="00E87EE3"/>
    <w:rsid w:val="00EA64FB"/>
    <w:rsid w:val="00EC38A7"/>
    <w:rsid w:val="00EE2BF9"/>
    <w:rsid w:val="00EE7A21"/>
    <w:rsid w:val="00F24D20"/>
    <w:rsid w:val="00F44B3F"/>
    <w:rsid w:val="00F57B2F"/>
    <w:rsid w:val="00F73A44"/>
    <w:rsid w:val="00F82BF8"/>
    <w:rsid w:val="00F8597A"/>
    <w:rsid w:val="00FA3734"/>
    <w:rsid w:val="00FA632D"/>
    <w:rsid w:val="00FB7270"/>
    <w:rsid w:val="00FF3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7CB645"/>
  <w15:chartTrackingRefBased/>
  <w15:docId w15:val="{D63DB303-5FD8-804A-A215-3AB5CF0B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4C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C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C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C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C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C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C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C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C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C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C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C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C68"/>
    <w:rPr>
      <w:rFonts w:eastAsiaTheme="majorEastAsia" w:cstheme="majorBidi"/>
      <w:color w:val="272727" w:themeColor="text1" w:themeTint="D8"/>
    </w:rPr>
  </w:style>
  <w:style w:type="paragraph" w:styleId="Title">
    <w:name w:val="Title"/>
    <w:basedOn w:val="Normal"/>
    <w:next w:val="Normal"/>
    <w:link w:val="TitleChar"/>
    <w:uiPriority w:val="10"/>
    <w:qFormat/>
    <w:rsid w:val="002C4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C68"/>
    <w:pPr>
      <w:spacing w:before="160"/>
      <w:jc w:val="center"/>
    </w:pPr>
    <w:rPr>
      <w:i/>
      <w:iCs/>
      <w:color w:val="404040" w:themeColor="text1" w:themeTint="BF"/>
    </w:rPr>
  </w:style>
  <w:style w:type="character" w:customStyle="1" w:styleId="QuoteChar">
    <w:name w:val="Quote Char"/>
    <w:basedOn w:val="DefaultParagraphFont"/>
    <w:link w:val="Quote"/>
    <w:uiPriority w:val="29"/>
    <w:rsid w:val="002C4C68"/>
    <w:rPr>
      <w:i/>
      <w:iCs/>
      <w:color w:val="404040" w:themeColor="text1" w:themeTint="BF"/>
    </w:rPr>
  </w:style>
  <w:style w:type="paragraph" w:styleId="ListParagraph">
    <w:name w:val="List Paragraph"/>
    <w:basedOn w:val="Normal"/>
    <w:uiPriority w:val="34"/>
    <w:qFormat/>
    <w:rsid w:val="002C4C68"/>
    <w:pPr>
      <w:ind w:left="720"/>
      <w:contextualSpacing/>
    </w:pPr>
  </w:style>
  <w:style w:type="character" w:styleId="IntenseEmphasis">
    <w:name w:val="Intense Emphasis"/>
    <w:basedOn w:val="DefaultParagraphFont"/>
    <w:uiPriority w:val="21"/>
    <w:qFormat/>
    <w:rsid w:val="002C4C68"/>
    <w:rPr>
      <w:i/>
      <w:iCs/>
      <w:color w:val="0F4761" w:themeColor="accent1" w:themeShade="BF"/>
    </w:rPr>
  </w:style>
  <w:style w:type="paragraph" w:styleId="IntenseQuote">
    <w:name w:val="Intense Quote"/>
    <w:basedOn w:val="Normal"/>
    <w:next w:val="Normal"/>
    <w:link w:val="IntenseQuoteChar"/>
    <w:uiPriority w:val="30"/>
    <w:qFormat/>
    <w:rsid w:val="002C4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C68"/>
    <w:rPr>
      <w:i/>
      <w:iCs/>
      <w:color w:val="0F4761" w:themeColor="accent1" w:themeShade="BF"/>
    </w:rPr>
  </w:style>
  <w:style w:type="character" w:styleId="IntenseReference">
    <w:name w:val="Intense Reference"/>
    <w:basedOn w:val="DefaultParagraphFont"/>
    <w:uiPriority w:val="32"/>
    <w:qFormat/>
    <w:rsid w:val="002C4C68"/>
    <w:rPr>
      <w:b/>
      <w:bCs/>
      <w:smallCaps/>
      <w:color w:val="0F4761" w:themeColor="accent1" w:themeShade="BF"/>
      <w:spacing w:val="5"/>
    </w:rPr>
  </w:style>
  <w:style w:type="paragraph" w:customStyle="1" w:styleId="p1">
    <w:name w:val="p1"/>
    <w:basedOn w:val="Normal"/>
    <w:rsid w:val="00BC21B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C21B4"/>
  </w:style>
  <w:style w:type="character" w:customStyle="1" w:styleId="s2">
    <w:name w:val="s2"/>
    <w:basedOn w:val="DefaultParagraphFont"/>
    <w:rsid w:val="00BC21B4"/>
  </w:style>
  <w:style w:type="character" w:customStyle="1" w:styleId="s3">
    <w:name w:val="s3"/>
    <w:basedOn w:val="DefaultParagraphFont"/>
    <w:rsid w:val="00BC21B4"/>
  </w:style>
  <w:style w:type="paragraph" w:customStyle="1" w:styleId="p2">
    <w:name w:val="p2"/>
    <w:basedOn w:val="Normal"/>
    <w:rsid w:val="00BC21B4"/>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BC21B4"/>
  </w:style>
  <w:style w:type="paragraph" w:styleId="NormalWeb">
    <w:name w:val="Normal (Web)"/>
    <w:basedOn w:val="Normal"/>
    <w:uiPriority w:val="99"/>
    <w:semiHidden/>
    <w:unhideWhenUsed/>
    <w:rsid w:val="00DD2B8F"/>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DD7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0FF"/>
  </w:style>
  <w:style w:type="paragraph" w:styleId="Footer">
    <w:name w:val="footer"/>
    <w:basedOn w:val="Normal"/>
    <w:link w:val="FooterChar"/>
    <w:uiPriority w:val="99"/>
    <w:unhideWhenUsed/>
    <w:rsid w:val="00DD7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0FF"/>
  </w:style>
  <w:style w:type="paragraph" w:styleId="FootnoteText">
    <w:name w:val="footnote text"/>
    <w:basedOn w:val="Normal"/>
    <w:link w:val="FootnoteTextChar"/>
    <w:uiPriority w:val="99"/>
    <w:semiHidden/>
    <w:unhideWhenUsed/>
    <w:rsid w:val="00830C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0CB9"/>
    <w:rPr>
      <w:sz w:val="20"/>
      <w:szCs w:val="20"/>
    </w:rPr>
  </w:style>
  <w:style w:type="character" w:styleId="FootnoteReference">
    <w:name w:val="footnote reference"/>
    <w:basedOn w:val="DefaultParagraphFont"/>
    <w:uiPriority w:val="99"/>
    <w:semiHidden/>
    <w:unhideWhenUsed/>
    <w:rsid w:val="00830C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2996</Words>
  <Characters>17081</Characters>
  <Application>Microsoft Office Word</Application>
  <DocSecurity>0</DocSecurity>
  <Lines>142</Lines>
  <Paragraphs>40</Paragraphs>
  <ScaleCrop>false</ScaleCrop>
  <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Davies (2304217)</dc:creator>
  <cp:keywords/>
  <dc:description/>
  <cp:lastModifiedBy>Alice Davies (2304217)</cp:lastModifiedBy>
  <cp:revision>10</cp:revision>
  <dcterms:created xsi:type="dcterms:W3CDTF">2025-11-25T23:35:00Z</dcterms:created>
  <dcterms:modified xsi:type="dcterms:W3CDTF">2025-11-25T23:42:00Z</dcterms:modified>
</cp:coreProperties>
</file>