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C61B23" w14:textId="77777777" w:rsidR="007C0E3F" w:rsidRPr="00226F5B" w:rsidRDefault="007C0E3F" w:rsidP="007C0E3F">
      <w:pPr>
        <w:rPr>
          <w:b/>
          <w:bCs/>
        </w:rPr>
      </w:pPr>
      <w:r w:rsidRPr="00226F5B">
        <w:rPr>
          <w:b/>
          <w:bCs/>
        </w:rPr>
        <w:t xml:space="preserve">Reference List </w:t>
      </w:r>
    </w:p>
    <w:p w14:paraId="590BF7D0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Age UK (2023) </w:t>
      </w:r>
      <w:r w:rsidRPr="007C0E3F">
        <w:rPr>
          <w:rFonts w:ascii="Arial" w:hAnsi="Arial" w:cs="Arial"/>
          <w:i/>
          <w:iCs/>
        </w:rPr>
        <w:t>Digital inclusion and older people</w:t>
      </w:r>
      <w:r w:rsidRPr="007C0E3F">
        <w:rPr>
          <w:rFonts w:ascii="Arial" w:hAnsi="Arial" w:cs="Arial"/>
        </w:rPr>
        <w:t>. London: Age UK.</w:t>
      </w:r>
    </w:p>
    <w:p w14:paraId="3B2EC832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Age UK (2024) </w:t>
      </w:r>
      <w:r w:rsidRPr="007C0E3F">
        <w:rPr>
          <w:rFonts w:ascii="Arial" w:hAnsi="Arial" w:cs="Arial"/>
          <w:i/>
          <w:iCs/>
        </w:rPr>
        <w:t>Later life in the United Kingdom</w:t>
      </w:r>
      <w:r w:rsidRPr="007C0E3F">
        <w:rPr>
          <w:rFonts w:ascii="Arial" w:hAnsi="Arial" w:cs="Arial"/>
        </w:rPr>
        <w:t>. London: Age UK.</w:t>
      </w:r>
    </w:p>
    <w:p w14:paraId="0CC2F3A5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Brown, P. and Smith, K. (2021) ‘Ageing populations and health system sustainability’, </w:t>
      </w:r>
      <w:r w:rsidRPr="007C0E3F">
        <w:rPr>
          <w:rFonts w:ascii="Arial" w:hAnsi="Arial" w:cs="Arial"/>
          <w:i/>
          <w:iCs/>
        </w:rPr>
        <w:t>Health Policy</w:t>
      </w:r>
      <w:r w:rsidRPr="007C0E3F">
        <w:rPr>
          <w:rFonts w:ascii="Arial" w:hAnsi="Arial" w:cs="Arial"/>
        </w:rPr>
        <w:t>, 125(4), pp. 412–420.</w:t>
      </w:r>
    </w:p>
    <w:p w14:paraId="2E09AD60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Dambha-Miller, H. et al. (2021) ‘Integrated care for older adults with multimorbidity: a scoping review’, </w:t>
      </w:r>
      <w:r w:rsidRPr="007C0E3F">
        <w:rPr>
          <w:rFonts w:ascii="Arial" w:hAnsi="Arial" w:cs="Arial"/>
          <w:i/>
          <w:iCs/>
        </w:rPr>
        <w:t>BMC Geriatrics</w:t>
      </w:r>
      <w:r w:rsidRPr="007C0E3F">
        <w:rPr>
          <w:rFonts w:ascii="Arial" w:hAnsi="Arial" w:cs="Arial"/>
        </w:rPr>
        <w:t>, 21(1), pp. 1–12.</w:t>
      </w:r>
    </w:p>
    <w:p w14:paraId="444D0AB3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Department of Health and Social Care (2014) </w:t>
      </w:r>
      <w:r w:rsidRPr="007C0E3F">
        <w:rPr>
          <w:rFonts w:ascii="Arial" w:hAnsi="Arial" w:cs="Arial"/>
          <w:i/>
          <w:iCs/>
        </w:rPr>
        <w:t>Care Act 2014</w:t>
      </w:r>
      <w:r w:rsidRPr="007C0E3F">
        <w:rPr>
          <w:rFonts w:ascii="Arial" w:hAnsi="Arial" w:cs="Arial"/>
        </w:rPr>
        <w:t>. London: HMSO.</w:t>
      </w:r>
    </w:p>
    <w:p w14:paraId="5AA05229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Department of Health and Social Care (2022) </w:t>
      </w:r>
      <w:r w:rsidRPr="007C0E3F">
        <w:rPr>
          <w:rFonts w:ascii="Arial" w:hAnsi="Arial" w:cs="Arial"/>
          <w:i/>
          <w:iCs/>
        </w:rPr>
        <w:t>Health and Care Act 2022</w:t>
      </w:r>
      <w:r w:rsidRPr="007C0E3F">
        <w:rPr>
          <w:rFonts w:ascii="Arial" w:hAnsi="Arial" w:cs="Arial"/>
        </w:rPr>
        <w:t>. London: HMSO.</w:t>
      </w:r>
    </w:p>
    <w:p w14:paraId="537CE6A1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European Observatory on Health Systems and Policies (2022) </w:t>
      </w:r>
      <w:r w:rsidRPr="007C0E3F">
        <w:rPr>
          <w:rFonts w:ascii="Arial" w:hAnsi="Arial" w:cs="Arial"/>
          <w:i/>
          <w:iCs/>
        </w:rPr>
        <w:t>Health systems and ageing populations: policy responses in Europe</w:t>
      </w:r>
      <w:r w:rsidRPr="007C0E3F">
        <w:rPr>
          <w:rFonts w:ascii="Arial" w:hAnsi="Arial" w:cs="Arial"/>
        </w:rPr>
        <w:t>. Brussels: WHO Regional Office for Europe.</w:t>
      </w:r>
    </w:p>
    <w:p w14:paraId="79A8925D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Francis, R. (2013) </w:t>
      </w:r>
      <w:r w:rsidRPr="007C0E3F">
        <w:rPr>
          <w:rFonts w:ascii="Arial" w:hAnsi="Arial" w:cs="Arial"/>
          <w:i/>
          <w:iCs/>
        </w:rPr>
        <w:t>Report of the Mid Staffordshire NHS Foundation Trust Public Inquiry</w:t>
      </w:r>
      <w:r w:rsidRPr="007C0E3F">
        <w:rPr>
          <w:rFonts w:ascii="Arial" w:hAnsi="Arial" w:cs="Arial"/>
        </w:rPr>
        <w:t>. London: HMSO.</w:t>
      </w:r>
    </w:p>
    <w:p w14:paraId="5303FEDB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Green, M. et al. (2023) ‘Digital exclusion and older adults: health inequalities in access to care’, </w:t>
      </w:r>
      <w:r w:rsidRPr="007C0E3F">
        <w:rPr>
          <w:rFonts w:ascii="Arial" w:hAnsi="Arial" w:cs="Arial"/>
          <w:i/>
          <w:iCs/>
        </w:rPr>
        <w:t>Ageing &amp; Society</w:t>
      </w:r>
      <w:r w:rsidRPr="007C0E3F">
        <w:rPr>
          <w:rFonts w:ascii="Arial" w:hAnsi="Arial" w:cs="Arial"/>
        </w:rPr>
        <w:t>, 43(5), pp. 1102–1118.</w:t>
      </w:r>
    </w:p>
    <w:p w14:paraId="5B55082D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Harris, C. et al. (2024) ‘Frailty and healthcare utilisation in ageing populations’, </w:t>
      </w:r>
      <w:r w:rsidRPr="007C0E3F">
        <w:rPr>
          <w:rFonts w:ascii="Arial" w:hAnsi="Arial" w:cs="Arial"/>
          <w:i/>
          <w:iCs/>
        </w:rPr>
        <w:t>The Lancet Healthy Longevity</w:t>
      </w:r>
      <w:r w:rsidRPr="007C0E3F">
        <w:rPr>
          <w:rFonts w:ascii="Arial" w:hAnsi="Arial" w:cs="Arial"/>
        </w:rPr>
        <w:t>, 5(1), pp. 15–24.</w:t>
      </w:r>
    </w:p>
    <w:p w14:paraId="68278069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HM Government (2005) </w:t>
      </w:r>
      <w:r w:rsidRPr="007C0E3F">
        <w:rPr>
          <w:rFonts w:ascii="Arial" w:hAnsi="Arial" w:cs="Arial"/>
          <w:i/>
          <w:iCs/>
        </w:rPr>
        <w:t>Mental Capacity Act 2005</w:t>
      </w:r>
      <w:r w:rsidRPr="007C0E3F">
        <w:rPr>
          <w:rFonts w:ascii="Arial" w:hAnsi="Arial" w:cs="Arial"/>
        </w:rPr>
        <w:t>. London: HMSO.</w:t>
      </w:r>
    </w:p>
    <w:p w14:paraId="4E7622B9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Jones, R. et al. (2022) ‘Person-centred care in older adult services’, </w:t>
      </w:r>
      <w:r w:rsidRPr="007C0E3F">
        <w:rPr>
          <w:rFonts w:ascii="Arial" w:hAnsi="Arial" w:cs="Arial"/>
          <w:i/>
          <w:iCs/>
        </w:rPr>
        <w:t>BMC Health Services Research</w:t>
      </w:r>
      <w:r w:rsidRPr="007C0E3F">
        <w:rPr>
          <w:rFonts w:ascii="Arial" w:hAnsi="Arial" w:cs="Arial"/>
        </w:rPr>
        <w:t>, 22(1), pp. 1–12.</w:t>
      </w:r>
    </w:p>
    <w:p w14:paraId="251EE03C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NHS Digital (2024) </w:t>
      </w:r>
      <w:r w:rsidRPr="007C0E3F">
        <w:rPr>
          <w:rFonts w:ascii="Arial" w:hAnsi="Arial" w:cs="Arial"/>
          <w:i/>
          <w:iCs/>
        </w:rPr>
        <w:t>Adult social care activity and workforce statistics, England</w:t>
      </w:r>
      <w:r w:rsidRPr="007C0E3F">
        <w:rPr>
          <w:rFonts w:ascii="Arial" w:hAnsi="Arial" w:cs="Arial"/>
        </w:rPr>
        <w:t>. Leeds: NHS Digital.</w:t>
      </w:r>
    </w:p>
    <w:p w14:paraId="2C8D2D26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NHS England (2019) </w:t>
      </w:r>
      <w:r w:rsidRPr="007C0E3F">
        <w:rPr>
          <w:rFonts w:ascii="Arial" w:hAnsi="Arial" w:cs="Arial"/>
          <w:i/>
          <w:iCs/>
        </w:rPr>
        <w:t>The NHS Long Term Plan</w:t>
      </w:r>
      <w:r w:rsidRPr="007C0E3F">
        <w:rPr>
          <w:rFonts w:ascii="Arial" w:hAnsi="Arial" w:cs="Arial"/>
        </w:rPr>
        <w:t>. London: NHS England.</w:t>
      </w:r>
    </w:p>
    <w:p w14:paraId="3F09CBFE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NHS England (2023) </w:t>
      </w:r>
      <w:r w:rsidRPr="007C0E3F">
        <w:rPr>
          <w:rFonts w:ascii="Arial" w:hAnsi="Arial" w:cs="Arial"/>
          <w:i/>
          <w:iCs/>
        </w:rPr>
        <w:t>NHS Long Term Workforce Plan</w:t>
      </w:r>
      <w:r w:rsidRPr="007C0E3F">
        <w:rPr>
          <w:rFonts w:ascii="Arial" w:hAnsi="Arial" w:cs="Arial"/>
        </w:rPr>
        <w:t>. London: NHS England.</w:t>
      </w:r>
    </w:p>
    <w:p w14:paraId="75E3AA29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NHS England (2024) </w:t>
      </w:r>
      <w:r w:rsidRPr="007C0E3F">
        <w:rPr>
          <w:rFonts w:ascii="Arial" w:hAnsi="Arial" w:cs="Arial"/>
          <w:i/>
          <w:iCs/>
        </w:rPr>
        <w:t>Integrated Care Systems: structure and guidance</w:t>
      </w:r>
      <w:r w:rsidRPr="007C0E3F">
        <w:rPr>
          <w:rFonts w:ascii="Arial" w:hAnsi="Arial" w:cs="Arial"/>
        </w:rPr>
        <w:t>. London: NHS England.</w:t>
      </w:r>
    </w:p>
    <w:p w14:paraId="3A03CD66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Office for National Statistics (2023) </w:t>
      </w:r>
      <w:r w:rsidRPr="007C0E3F">
        <w:rPr>
          <w:rFonts w:ascii="Arial" w:hAnsi="Arial" w:cs="Arial"/>
          <w:i/>
          <w:iCs/>
        </w:rPr>
        <w:t>Health state life expectancies, UK</w:t>
      </w:r>
      <w:r w:rsidRPr="007C0E3F">
        <w:rPr>
          <w:rFonts w:ascii="Arial" w:hAnsi="Arial" w:cs="Arial"/>
        </w:rPr>
        <w:t>. London: ONS.</w:t>
      </w:r>
    </w:p>
    <w:p w14:paraId="3EEB881D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Office for National Statistics (2024) </w:t>
      </w:r>
      <w:r w:rsidRPr="007C0E3F">
        <w:rPr>
          <w:rFonts w:ascii="Arial" w:hAnsi="Arial" w:cs="Arial"/>
          <w:i/>
          <w:iCs/>
        </w:rPr>
        <w:t>National population projections: UK</w:t>
      </w:r>
      <w:r w:rsidRPr="007C0E3F">
        <w:rPr>
          <w:rFonts w:ascii="Arial" w:hAnsi="Arial" w:cs="Arial"/>
        </w:rPr>
        <w:t>. London: ONS.</w:t>
      </w:r>
    </w:p>
    <w:p w14:paraId="6CD19401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lastRenderedPageBreak/>
        <w:t xml:space="preserve">Organisation for Economic Co-operation and Development (2023) </w:t>
      </w:r>
      <w:r w:rsidRPr="007C0E3F">
        <w:rPr>
          <w:rFonts w:ascii="Arial" w:hAnsi="Arial" w:cs="Arial"/>
          <w:i/>
          <w:iCs/>
        </w:rPr>
        <w:t>A good life in old age? Ageing and long-term care across OECD countries</w:t>
      </w:r>
      <w:r w:rsidRPr="007C0E3F">
        <w:rPr>
          <w:rFonts w:ascii="Arial" w:hAnsi="Arial" w:cs="Arial"/>
        </w:rPr>
        <w:t>. Paris: OECD.</w:t>
      </w:r>
    </w:p>
    <w:p w14:paraId="3F27D18A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Skills for Care (2024) </w:t>
      </w:r>
      <w:r w:rsidRPr="007C0E3F">
        <w:rPr>
          <w:rFonts w:ascii="Arial" w:hAnsi="Arial" w:cs="Arial"/>
          <w:i/>
          <w:iCs/>
        </w:rPr>
        <w:t>The state of the adult social care sector and workforce in England</w:t>
      </w:r>
      <w:r w:rsidRPr="007C0E3F">
        <w:rPr>
          <w:rFonts w:ascii="Arial" w:hAnsi="Arial" w:cs="Arial"/>
        </w:rPr>
        <w:t>. Leeds: Skills for Care.</w:t>
      </w:r>
    </w:p>
    <w:p w14:paraId="759E799D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Taylor, D. (2023) ‘Empowerment and autonomy in older adult care’, </w:t>
      </w:r>
      <w:r w:rsidRPr="007C0E3F">
        <w:rPr>
          <w:rFonts w:ascii="Arial" w:hAnsi="Arial" w:cs="Arial"/>
          <w:i/>
          <w:iCs/>
        </w:rPr>
        <w:t>Social Policy and Administration</w:t>
      </w:r>
      <w:r w:rsidRPr="007C0E3F">
        <w:rPr>
          <w:rFonts w:ascii="Arial" w:hAnsi="Arial" w:cs="Arial"/>
        </w:rPr>
        <w:t>, 57(6), pp. 789–804.</w:t>
      </w:r>
    </w:p>
    <w:p w14:paraId="5BAC7E1C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The Health Foundation (2024) </w:t>
      </w:r>
      <w:r w:rsidRPr="007C0E3F">
        <w:rPr>
          <w:rFonts w:ascii="Arial" w:hAnsi="Arial" w:cs="Arial"/>
          <w:i/>
          <w:iCs/>
        </w:rPr>
        <w:t>Health and social care funding pressures in England</w:t>
      </w:r>
      <w:r w:rsidRPr="007C0E3F">
        <w:rPr>
          <w:rFonts w:ascii="Arial" w:hAnsi="Arial" w:cs="Arial"/>
        </w:rPr>
        <w:t>. London: The Health Foundation.</w:t>
      </w:r>
    </w:p>
    <w:p w14:paraId="036EDE9A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The King’s Fund (2023) </w:t>
      </w:r>
      <w:r w:rsidRPr="007C0E3F">
        <w:rPr>
          <w:rFonts w:ascii="Arial" w:hAnsi="Arial" w:cs="Arial"/>
          <w:i/>
          <w:iCs/>
        </w:rPr>
        <w:t>Digital health and care in England</w:t>
      </w:r>
      <w:r w:rsidRPr="007C0E3F">
        <w:rPr>
          <w:rFonts w:ascii="Arial" w:hAnsi="Arial" w:cs="Arial"/>
        </w:rPr>
        <w:t>. London: The King’s Fund.</w:t>
      </w:r>
    </w:p>
    <w:p w14:paraId="4F5E7909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The King’s Fund (2023) </w:t>
      </w:r>
      <w:r w:rsidRPr="007C0E3F">
        <w:rPr>
          <w:rFonts w:ascii="Arial" w:hAnsi="Arial" w:cs="Arial"/>
          <w:i/>
          <w:iCs/>
        </w:rPr>
        <w:t>The NHS workforce: challenges and outlook</w:t>
      </w:r>
      <w:r w:rsidRPr="007C0E3F">
        <w:rPr>
          <w:rFonts w:ascii="Arial" w:hAnsi="Arial" w:cs="Arial"/>
        </w:rPr>
        <w:t>. London: The King’s Fund.</w:t>
      </w:r>
    </w:p>
    <w:p w14:paraId="765625DC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The King’s Fund (2024) </w:t>
      </w:r>
      <w:r w:rsidRPr="007C0E3F">
        <w:rPr>
          <w:rFonts w:ascii="Arial" w:hAnsi="Arial" w:cs="Arial"/>
          <w:i/>
          <w:iCs/>
        </w:rPr>
        <w:t>Integrated care systems explained</w:t>
      </w:r>
      <w:r w:rsidRPr="007C0E3F">
        <w:rPr>
          <w:rFonts w:ascii="Arial" w:hAnsi="Arial" w:cs="Arial"/>
        </w:rPr>
        <w:t>. London: The King’s Fund.</w:t>
      </w:r>
    </w:p>
    <w:p w14:paraId="61F74FB9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The King’s Fund (2024) </w:t>
      </w:r>
      <w:r w:rsidRPr="007C0E3F">
        <w:rPr>
          <w:rFonts w:ascii="Arial" w:hAnsi="Arial" w:cs="Arial"/>
          <w:i/>
          <w:iCs/>
        </w:rPr>
        <w:t>Social care 360: key facts and trends</w:t>
      </w:r>
      <w:r w:rsidRPr="007C0E3F">
        <w:rPr>
          <w:rFonts w:ascii="Arial" w:hAnsi="Arial" w:cs="Arial"/>
        </w:rPr>
        <w:t>. London: The King’s Fund.</w:t>
      </w:r>
    </w:p>
    <w:p w14:paraId="67BA4E23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Williams, A. and Porter, S. (2022) ‘Integrated care and fragmentation in England’, </w:t>
      </w:r>
      <w:r w:rsidRPr="007C0E3F">
        <w:rPr>
          <w:rFonts w:ascii="Arial" w:hAnsi="Arial" w:cs="Arial"/>
          <w:i/>
          <w:iCs/>
        </w:rPr>
        <w:t>International Journal of Integrated Care</w:t>
      </w:r>
      <w:r w:rsidRPr="007C0E3F">
        <w:rPr>
          <w:rFonts w:ascii="Arial" w:hAnsi="Arial" w:cs="Arial"/>
        </w:rPr>
        <w:t>, 22(3), pp. 1–10.</w:t>
      </w:r>
    </w:p>
    <w:p w14:paraId="71547E10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World Health Organization (2020) </w:t>
      </w:r>
      <w:r w:rsidRPr="007C0E3F">
        <w:rPr>
          <w:rFonts w:ascii="Arial" w:hAnsi="Arial" w:cs="Arial"/>
          <w:i/>
          <w:iCs/>
        </w:rPr>
        <w:t>Decade of Healthy Ageing 2021–2030</w:t>
      </w:r>
      <w:r w:rsidRPr="007C0E3F">
        <w:rPr>
          <w:rFonts w:ascii="Arial" w:hAnsi="Arial" w:cs="Arial"/>
        </w:rPr>
        <w:t>. Geneva: WHO.</w:t>
      </w:r>
    </w:p>
    <w:p w14:paraId="5175147D" w14:textId="77777777" w:rsidR="007C0E3F" w:rsidRPr="007C0E3F" w:rsidRDefault="007C0E3F" w:rsidP="007C0E3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C0E3F">
        <w:rPr>
          <w:rFonts w:ascii="Arial" w:hAnsi="Arial" w:cs="Arial"/>
        </w:rPr>
        <w:t xml:space="preserve">World Health Organization (2023) </w:t>
      </w:r>
      <w:r w:rsidRPr="007C0E3F">
        <w:rPr>
          <w:rFonts w:ascii="Arial" w:hAnsi="Arial" w:cs="Arial"/>
          <w:i/>
          <w:iCs/>
        </w:rPr>
        <w:t>Global report on ageism</w:t>
      </w:r>
      <w:r w:rsidRPr="007C0E3F">
        <w:rPr>
          <w:rFonts w:ascii="Arial" w:hAnsi="Arial" w:cs="Arial"/>
        </w:rPr>
        <w:t>. Geneva: WHO.</w:t>
      </w:r>
    </w:p>
    <w:p w14:paraId="139FCFD0" w14:textId="77777777" w:rsidR="007C0E3F" w:rsidRPr="007C0E3F" w:rsidRDefault="007C0E3F" w:rsidP="007C0E3F">
      <w:pPr>
        <w:spacing w:line="360" w:lineRule="auto"/>
        <w:rPr>
          <w:rFonts w:ascii="Arial" w:hAnsi="Arial" w:cs="Arial"/>
        </w:rPr>
      </w:pPr>
    </w:p>
    <w:p w14:paraId="2B0A9F75" w14:textId="77777777" w:rsidR="007C0E3F" w:rsidRPr="007C0E3F" w:rsidRDefault="007C0E3F" w:rsidP="007C0E3F">
      <w:pPr>
        <w:spacing w:line="360" w:lineRule="auto"/>
        <w:rPr>
          <w:rFonts w:ascii="Arial" w:hAnsi="Arial" w:cs="Arial"/>
        </w:rPr>
      </w:pPr>
    </w:p>
    <w:sectPr w:rsidR="007C0E3F" w:rsidRPr="007C0E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5D0EAD"/>
    <w:multiLevelType w:val="hybridMultilevel"/>
    <w:tmpl w:val="B6464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8C612C"/>
    <w:multiLevelType w:val="hybridMultilevel"/>
    <w:tmpl w:val="3AC403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4035847">
    <w:abstractNumId w:val="1"/>
  </w:num>
  <w:num w:numId="2" w16cid:durableId="8381567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E3F"/>
    <w:rsid w:val="001E72BD"/>
    <w:rsid w:val="007C0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0BCCE"/>
  <w15:chartTrackingRefBased/>
  <w15:docId w15:val="{3009A9B6-1A95-4055-B05A-186CFCDE2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0E3F"/>
  </w:style>
  <w:style w:type="paragraph" w:styleId="Heading1">
    <w:name w:val="heading 1"/>
    <w:basedOn w:val="Normal"/>
    <w:next w:val="Normal"/>
    <w:link w:val="Heading1Char"/>
    <w:uiPriority w:val="9"/>
    <w:qFormat/>
    <w:rsid w:val="007C0E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0E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0E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0E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0E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E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0E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0E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0E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0E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0E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0E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0E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0E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E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0E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0E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0E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0E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E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0E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0E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0E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0E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0E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0E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0E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0E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0E3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9ABA28F046F04E92B9341F710745C9" ma:contentTypeVersion="14" ma:contentTypeDescription="Create a new document." ma:contentTypeScope="" ma:versionID="f35749670ab76ce3ea6afeb70f9c6aeb">
  <xsd:schema xmlns:xsd="http://www.w3.org/2001/XMLSchema" xmlns:xs="http://www.w3.org/2001/XMLSchema" xmlns:p="http://schemas.microsoft.com/office/2006/metadata/properties" xmlns:ns3="a653a6be-78ee-4b80-ae82-fa43b262699b" xmlns:ns4="94f14c45-4680-4fdb-90a1-beddc8a22c58" targetNamespace="http://schemas.microsoft.com/office/2006/metadata/properties" ma:root="true" ma:fieldsID="696a35e5ff1d1c741a9ba56679a6b19e" ns3:_="" ns4:_="">
    <xsd:import namespace="a653a6be-78ee-4b80-ae82-fa43b262699b"/>
    <xsd:import namespace="94f14c45-4680-4fdb-90a1-beddc8a22c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53a6be-78ee-4b80-ae82-fa43b26269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f14c45-4680-4fdb-90a1-beddc8a22c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653a6be-78ee-4b80-ae82-fa43b262699b" xsi:nil="true"/>
  </documentManagement>
</p:properties>
</file>

<file path=customXml/itemProps1.xml><?xml version="1.0" encoding="utf-8"?>
<ds:datastoreItem xmlns:ds="http://schemas.openxmlformats.org/officeDocument/2006/customXml" ds:itemID="{242CB3CB-7276-4CB4-A4D9-77E16FE561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53a6be-78ee-4b80-ae82-fa43b262699b"/>
    <ds:schemaRef ds:uri="94f14c45-4680-4fdb-90a1-beddc8a22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DC9143-AD5F-410E-9842-B1C2FDCA3F2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4C2FAC4-5C11-4691-BDC2-D76F9CED41E9}">
  <ds:schemaRefs>
    <ds:schemaRef ds:uri="http://schemas.microsoft.com/office/2006/metadata/properties"/>
    <ds:schemaRef ds:uri="http://schemas.microsoft.com/office/infopath/2007/PartnerControls"/>
    <ds:schemaRef ds:uri="a653a6be-78ee-4b80-ae82-fa43b26269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436</Words>
  <Characters>2487</Characters>
  <Application>Microsoft Office Word</Application>
  <DocSecurity>0</DocSecurity>
  <Lines>20</Lines>
  <Paragraphs>5</Paragraphs>
  <ScaleCrop>false</ScaleCrop>
  <Company/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Anisa Tahir (2322754)</dc:creator>
  <cp:keywords/>
  <dc:description/>
  <cp:lastModifiedBy>Anisa Tahir (2322754)</cp:lastModifiedBy>
  <cp:revision>1</cp:revision>
  <dcterms:created xsi:type="dcterms:W3CDTF">2026-07-05T15:09:00Z</dcterms:created>
  <dcterms:modified xsi:type="dcterms:W3CDTF">2026-07-05T15:17:00Z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0x010100189ABA28F046F04E92B9341F710745C9</vt:lpwstr>
  </property>
</Properties>
</file>