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2F1EB" w14:textId="42821E74" w:rsidR="006000BD" w:rsidRPr="006000BD" w:rsidRDefault="006000BD">
      <w:pPr>
        <w:pStyle w:val="Normal1"/>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 xml:space="preserve">University of Wales Trinity Saint David </w:t>
      </w:r>
    </w:p>
    <w:p w14:paraId="6741AA72" w14:textId="77777777" w:rsidR="006000BD" w:rsidRDefault="006000BD">
      <w:pPr>
        <w:pStyle w:val="Normal1"/>
        <w:spacing w:line="360" w:lineRule="auto"/>
        <w:jc w:val="center"/>
        <w:rPr>
          <w:rFonts w:ascii="Times New Roman" w:eastAsia="Times New Roman" w:hAnsi="Times New Roman" w:cs="Times New Roman"/>
          <w:b/>
          <w:sz w:val="28"/>
          <w:szCs w:val="28"/>
          <w:u w:val="single"/>
          <w:lang w:val="en-GB"/>
        </w:rPr>
      </w:pPr>
    </w:p>
    <w:p w14:paraId="1B9E731A" w14:textId="77777777" w:rsidR="006000BD" w:rsidRDefault="00717B69">
      <w:pPr>
        <w:pStyle w:val="Normal1"/>
        <w:spacing w:line="360" w:lineRule="auto"/>
        <w:jc w:val="center"/>
        <w:rPr>
          <w:rFonts w:ascii="Times New Roman" w:eastAsia="Times New Roman" w:hAnsi="Times New Roman" w:cs="Times New Roman"/>
          <w:b/>
          <w:sz w:val="28"/>
          <w:szCs w:val="28"/>
          <w:u w:val="single"/>
          <w:lang w:val="en-GB"/>
        </w:rPr>
      </w:pPr>
      <w:r w:rsidRPr="006000BD">
        <w:rPr>
          <w:rFonts w:ascii="Times New Roman" w:eastAsia="Times New Roman" w:hAnsi="Times New Roman" w:cs="Times New Roman"/>
          <w:b/>
          <w:sz w:val="28"/>
          <w:szCs w:val="28"/>
          <w:u w:val="single"/>
          <w:lang w:val="en-GB"/>
        </w:rPr>
        <w:t>Common Law</w:t>
      </w:r>
    </w:p>
    <w:p w14:paraId="144B399D" w14:textId="77777777" w:rsidR="006000BD" w:rsidRDefault="006000BD">
      <w:pPr>
        <w:pStyle w:val="Normal1"/>
        <w:spacing w:line="360" w:lineRule="auto"/>
        <w:jc w:val="center"/>
        <w:rPr>
          <w:rFonts w:ascii="Times New Roman" w:eastAsia="Times New Roman" w:hAnsi="Times New Roman" w:cs="Times New Roman"/>
          <w:b/>
          <w:sz w:val="24"/>
          <w:szCs w:val="24"/>
          <w:u w:val="single"/>
          <w:lang w:val="en-GB"/>
        </w:rPr>
      </w:pPr>
    </w:p>
    <w:p w14:paraId="629841D9" w14:textId="77777777" w:rsidR="006000BD" w:rsidRDefault="006000BD">
      <w:pPr>
        <w:pStyle w:val="Normal1"/>
        <w:spacing w:line="360" w:lineRule="auto"/>
        <w:jc w:val="center"/>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Dinu Vasile Viorel (2209535)</w:t>
      </w:r>
    </w:p>
    <w:p w14:paraId="0A6AE123" w14:textId="77777777" w:rsidR="006000BD" w:rsidRDefault="006000BD">
      <w:pPr>
        <w:pStyle w:val="Normal1"/>
        <w:spacing w:line="360" w:lineRule="auto"/>
        <w:jc w:val="center"/>
        <w:rPr>
          <w:rFonts w:ascii="Times New Roman" w:eastAsia="Times New Roman" w:hAnsi="Times New Roman" w:cs="Times New Roman"/>
          <w:b/>
          <w:sz w:val="24"/>
          <w:szCs w:val="24"/>
          <w:u w:val="single"/>
          <w:lang w:val="en-GB"/>
        </w:rPr>
      </w:pPr>
    </w:p>
    <w:p w14:paraId="6B481F1C" w14:textId="77777777" w:rsidR="006000BD" w:rsidRDefault="006000BD">
      <w:pPr>
        <w:pStyle w:val="Normal1"/>
        <w:spacing w:line="360" w:lineRule="auto"/>
        <w:jc w:val="center"/>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 xml:space="preserve">James Drew </w:t>
      </w:r>
    </w:p>
    <w:p w14:paraId="1830024C" w14:textId="77777777" w:rsidR="006000BD" w:rsidRDefault="006000BD">
      <w:pPr>
        <w:pStyle w:val="Normal1"/>
        <w:spacing w:line="360" w:lineRule="auto"/>
        <w:jc w:val="center"/>
        <w:rPr>
          <w:rFonts w:ascii="Times New Roman" w:eastAsia="Times New Roman" w:hAnsi="Times New Roman" w:cs="Times New Roman"/>
          <w:b/>
          <w:sz w:val="24"/>
          <w:szCs w:val="24"/>
          <w:u w:val="single"/>
          <w:lang w:val="en-GB"/>
        </w:rPr>
      </w:pPr>
    </w:p>
    <w:p w14:paraId="586697A2" w14:textId="73ECA644" w:rsidR="0071368F" w:rsidRPr="006000BD" w:rsidRDefault="006000BD">
      <w:pPr>
        <w:pStyle w:val="Normal1"/>
        <w:spacing w:line="36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4"/>
          <w:szCs w:val="24"/>
          <w:u w:val="single"/>
          <w:lang w:val="en-GB"/>
        </w:rPr>
        <w:t>10.03.2023</w:t>
      </w:r>
      <w:r w:rsidR="00717B69" w:rsidRPr="006000BD">
        <w:rPr>
          <w:sz w:val="28"/>
          <w:szCs w:val="28"/>
          <w:lang w:val="en-GB"/>
        </w:rPr>
        <w:br w:type="page"/>
      </w:r>
    </w:p>
    <w:p w14:paraId="72D4195C" w14:textId="77777777" w:rsidR="0071368F" w:rsidRPr="001C42F7" w:rsidRDefault="00717B69">
      <w:pPr>
        <w:pStyle w:val="Normal1"/>
        <w:spacing w:line="360" w:lineRule="auto"/>
        <w:jc w:val="center"/>
        <w:rPr>
          <w:rFonts w:ascii="Times New Roman" w:eastAsia="Times New Roman" w:hAnsi="Times New Roman" w:cs="Times New Roman"/>
          <w:b/>
          <w:sz w:val="24"/>
          <w:szCs w:val="24"/>
          <w:u w:val="single"/>
          <w:lang w:val="en-GB"/>
        </w:rPr>
      </w:pPr>
      <w:r w:rsidRPr="001C42F7">
        <w:rPr>
          <w:rFonts w:ascii="Times New Roman" w:eastAsia="Times New Roman" w:hAnsi="Times New Roman" w:cs="Times New Roman"/>
          <w:b/>
          <w:sz w:val="24"/>
          <w:szCs w:val="24"/>
          <w:u w:val="single"/>
          <w:lang w:val="en-GB"/>
        </w:rPr>
        <w:lastRenderedPageBreak/>
        <w:t>Table of Contents</w:t>
      </w:r>
    </w:p>
    <w:sdt>
      <w:sdtPr>
        <w:rPr>
          <w:lang w:val="en-GB"/>
        </w:rPr>
        <w:id w:val="604918094"/>
        <w:docPartObj>
          <w:docPartGallery w:val="Table of Contents"/>
          <w:docPartUnique/>
        </w:docPartObj>
      </w:sdtPr>
      <w:sdtContent>
        <w:p w14:paraId="4DDDD3C2" w14:textId="77777777" w:rsidR="0071368F" w:rsidRPr="001C42F7" w:rsidRDefault="0071368F">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r w:rsidRPr="001C42F7">
            <w:rPr>
              <w:lang w:val="en-GB"/>
            </w:rPr>
            <w:fldChar w:fldCharType="begin"/>
          </w:r>
          <w:r w:rsidR="00717B69" w:rsidRPr="001C42F7">
            <w:rPr>
              <w:lang w:val="en-GB"/>
            </w:rPr>
            <w:instrText xml:space="preserve"> TOC \h \u \z </w:instrText>
          </w:r>
          <w:r w:rsidRPr="001C42F7">
            <w:rPr>
              <w:lang w:val="en-GB"/>
            </w:rPr>
            <w:fldChar w:fldCharType="separate"/>
          </w:r>
          <w:hyperlink w:anchor="_vm5eobfv3coi">
            <w:r w:rsidR="00717B69" w:rsidRPr="001C42F7">
              <w:rPr>
                <w:rFonts w:ascii="Times New Roman" w:eastAsia="Times New Roman" w:hAnsi="Times New Roman" w:cs="Times New Roman"/>
                <w:color w:val="000000"/>
                <w:sz w:val="24"/>
                <w:szCs w:val="24"/>
                <w:lang w:val="en-GB"/>
              </w:rPr>
              <w:t>Introduction</w:t>
            </w:r>
            <w:r w:rsidR="00717B69" w:rsidRPr="001C42F7">
              <w:rPr>
                <w:rFonts w:ascii="Times New Roman" w:eastAsia="Times New Roman" w:hAnsi="Times New Roman" w:cs="Times New Roman"/>
                <w:color w:val="000000"/>
                <w:sz w:val="24"/>
                <w:szCs w:val="24"/>
                <w:lang w:val="en-GB"/>
              </w:rPr>
              <w:tab/>
            </w:r>
          </w:hyperlink>
          <w:r w:rsidRPr="001C42F7">
            <w:rPr>
              <w:lang w:val="en-GB"/>
            </w:rPr>
            <w:fldChar w:fldCharType="begin"/>
          </w:r>
          <w:r w:rsidR="00717B69" w:rsidRPr="001C42F7">
            <w:rPr>
              <w:lang w:val="en-GB"/>
            </w:rPr>
            <w:instrText xml:space="preserve"> PAGEREF _vm5eobfv3coi \h </w:instrText>
          </w:r>
          <w:r w:rsidRPr="001C42F7">
            <w:rPr>
              <w:lang w:val="en-GB"/>
            </w:rPr>
          </w:r>
          <w:r w:rsidRPr="001C42F7">
            <w:rPr>
              <w:lang w:val="en-GB"/>
            </w:rPr>
            <w:fldChar w:fldCharType="separate"/>
          </w:r>
          <w:r w:rsidR="00717B69" w:rsidRPr="001C42F7">
            <w:rPr>
              <w:rFonts w:ascii="Times New Roman" w:eastAsia="Times New Roman" w:hAnsi="Times New Roman" w:cs="Times New Roman"/>
              <w:sz w:val="24"/>
              <w:szCs w:val="24"/>
              <w:lang w:val="en-GB"/>
            </w:rPr>
            <w:t>3</w:t>
          </w:r>
          <w:r w:rsidRPr="001C42F7">
            <w:rPr>
              <w:lang w:val="en-GB"/>
            </w:rPr>
            <w:fldChar w:fldCharType="end"/>
          </w:r>
        </w:p>
        <w:p w14:paraId="5211A4B3" w14:textId="77777777" w:rsidR="0071368F" w:rsidRPr="001C42F7" w:rsidRDefault="00000000">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hyperlink w:anchor="_2w0m2oqbvqmq">
            <w:r w:rsidR="00717B69" w:rsidRPr="001C42F7">
              <w:rPr>
                <w:rFonts w:ascii="Times New Roman" w:eastAsia="Times New Roman" w:hAnsi="Times New Roman" w:cs="Times New Roman"/>
                <w:color w:val="000000"/>
                <w:sz w:val="24"/>
                <w:szCs w:val="24"/>
                <w:lang w:val="en-GB"/>
              </w:rPr>
              <w:t>“Common Law”</w:t>
            </w:r>
            <w:r w:rsidR="00717B69" w:rsidRPr="001C42F7">
              <w:rPr>
                <w:rFonts w:ascii="Times New Roman" w:eastAsia="Times New Roman" w:hAnsi="Times New Roman" w:cs="Times New Roman"/>
                <w:color w:val="000000"/>
                <w:sz w:val="24"/>
                <w:szCs w:val="24"/>
                <w:lang w:val="en-GB"/>
              </w:rPr>
              <w:tab/>
            </w:r>
          </w:hyperlink>
          <w:r w:rsidR="0071368F" w:rsidRPr="001C42F7">
            <w:rPr>
              <w:lang w:val="en-GB"/>
            </w:rPr>
            <w:fldChar w:fldCharType="begin"/>
          </w:r>
          <w:r w:rsidR="00717B69" w:rsidRPr="001C42F7">
            <w:rPr>
              <w:lang w:val="en-GB"/>
            </w:rPr>
            <w:instrText xml:space="preserve"> PAGEREF _2w0m2oqbvqmq \h </w:instrText>
          </w:r>
          <w:r w:rsidR="0071368F" w:rsidRPr="001C42F7">
            <w:rPr>
              <w:lang w:val="en-GB"/>
            </w:rPr>
          </w:r>
          <w:r w:rsidR="0071368F" w:rsidRPr="001C42F7">
            <w:rPr>
              <w:lang w:val="en-GB"/>
            </w:rPr>
            <w:fldChar w:fldCharType="separate"/>
          </w:r>
          <w:r w:rsidR="00717B69" w:rsidRPr="001C42F7">
            <w:rPr>
              <w:rFonts w:ascii="Times New Roman" w:eastAsia="Times New Roman" w:hAnsi="Times New Roman" w:cs="Times New Roman"/>
              <w:sz w:val="24"/>
              <w:szCs w:val="24"/>
              <w:lang w:val="en-GB"/>
            </w:rPr>
            <w:t>4</w:t>
          </w:r>
          <w:r w:rsidR="0071368F" w:rsidRPr="001C42F7">
            <w:rPr>
              <w:lang w:val="en-GB"/>
            </w:rPr>
            <w:fldChar w:fldCharType="end"/>
          </w:r>
        </w:p>
        <w:p w14:paraId="09E83E19" w14:textId="77777777" w:rsidR="0071368F" w:rsidRPr="001C42F7" w:rsidRDefault="00000000">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hyperlink w:anchor="_8yqt87eb7nfe">
            <w:r w:rsidR="00717B69" w:rsidRPr="001C42F7">
              <w:rPr>
                <w:rFonts w:ascii="Times New Roman" w:eastAsia="Times New Roman" w:hAnsi="Times New Roman" w:cs="Times New Roman"/>
                <w:color w:val="000000"/>
                <w:sz w:val="24"/>
                <w:szCs w:val="24"/>
                <w:lang w:val="en-GB"/>
              </w:rPr>
              <w:t>“Civil Law”</w:t>
            </w:r>
            <w:r w:rsidR="00717B69" w:rsidRPr="001C42F7">
              <w:rPr>
                <w:rFonts w:ascii="Times New Roman" w:eastAsia="Times New Roman" w:hAnsi="Times New Roman" w:cs="Times New Roman"/>
                <w:color w:val="000000"/>
                <w:sz w:val="24"/>
                <w:szCs w:val="24"/>
                <w:lang w:val="en-GB"/>
              </w:rPr>
              <w:tab/>
            </w:r>
          </w:hyperlink>
          <w:r w:rsidR="0071368F" w:rsidRPr="001C42F7">
            <w:rPr>
              <w:lang w:val="en-GB"/>
            </w:rPr>
            <w:fldChar w:fldCharType="begin"/>
          </w:r>
          <w:r w:rsidR="00717B69" w:rsidRPr="001C42F7">
            <w:rPr>
              <w:lang w:val="en-GB"/>
            </w:rPr>
            <w:instrText xml:space="preserve"> PAGEREF _8yqt87eb7nfe \h </w:instrText>
          </w:r>
          <w:r w:rsidR="0071368F" w:rsidRPr="001C42F7">
            <w:rPr>
              <w:lang w:val="en-GB"/>
            </w:rPr>
          </w:r>
          <w:r w:rsidR="0071368F" w:rsidRPr="001C42F7">
            <w:rPr>
              <w:lang w:val="en-GB"/>
            </w:rPr>
            <w:fldChar w:fldCharType="separate"/>
          </w:r>
          <w:r w:rsidR="00717B69" w:rsidRPr="001C42F7">
            <w:rPr>
              <w:rFonts w:ascii="Times New Roman" w:eastAsia="Times New Roman" w:hAnsi="Times New Roman" w:cs="Times New Roman"/>
              <w:sz w:val="24"/>
              <w:szCs w:val="24"/>
              <w:lang w:val="en-GB"/>
            </w:rPr>
            <w:t>4</w:t>
          </w:r>
          <w:r w:rsidR="0071368F" w:rsidRPr="001C42F7">
            <w:rPr>
              <w:lang w:val="en-GB"/>
            </w:rPr>
            <w:fldChar w:fldCharType="end"/>
          </w:r>
        </w:p>
        <w:p w14:paraId="2DA2FB1B" w14:textId="77777777" w:rsidR="0071368F" w:rsidRPr="001C42F7" w:rsidRDefault="00000000">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hyperlink w:anchor="_7rcoj1cl1btr">
            <w:r w:rsidR="00717B69" w:rsidRPr="001C42F7">
              <w:rPr>
                <w:rFonts w:ascii="Times New Roman" w:eastAsia="Times New Roman" w:hAnsi="Times New Roman" w:cs="Times New Roman"/>
                <w:color w:val="000000"/>
                <w:sz w:val="24"/>
                <w:szCs w:val="24"/>
                <w:lang w:val="en-GB"/>
              </w:rPr>
              <w:t>“Differences between Common and Civil Law”</w:t>
            </w:r>
            <w:r w:rsidR="00717B69" w:rsidRPr="001C42F7">
              <w:rPr>
                <w:rFonts w:ascii="Times New Roman" w:eastAsia="Times New Roman" w:hAnsi="Times New Roman" w:cs="Times New Roman"/>
                <w:color w:val="000000"/>
                <w:sz w:val="24"/>
                <w:szCs w:val="24"/>
                <w:lang w:val="en-GB"/>
              </w:rPr>
              <w:tab/>
            </w:r>
          </w:hyperlink>
          <w:r w:rsidR="0071368F" w:rsidRPr="001C42F7">
            <w:rPr>
              <w:lang w:val="en-GB"/>
            </w:rPr>
            <w:fldChar w:fldCharType="begin"/>
          </w:r>
          <w:r w:rsidR="00717B69" w:rsidRPr="001C42F7">
            <w:rPr>
              <w:lang w:val="en-GB"/>
            </w:rPr>
            <w:instrText xml:space="preserve"> PAGEREF _7rcoj1cl1btr \h </w:instrText>
          </w:r>
          <w:r w:rsidR="0071368F" w:rsidRPr="001C42F7">
            <w:rPr>
              <w:lang w:val="en-GB"/>
            </w:rPr>
          </w:r>
          <w:r w:rsidR="0071368F" w:rsidRPr="001C42F7">
            <w:rPr>
              <w:lang w:val="en-GB"/>
            </w:rPr>
            <w:fldChar w:fldCharType="separate"/>
          </w:r>
          <w:r w:rsidR="00717B69" w:rsidRPr="001C42F7">
            <w:rPr>
              <w:rFonts w:ascii="Times New Roman" w:eastAsia="Times New Roman" w:hAnsi="Times New Roman" w:cs="Times New Roman"/>
              <w:sz w:val="24"/>
              <w:szCs w:val="24"/>
              <w:lang w:val="en-GB"/>
            </w:rPr>
            <w:t>5</w:t>
          </w:r>
          <w:r w:rsidR="0071368F" w:rsidRPr="001C42F7">
            <w:rPr>
              <w:lang w:val="en-GB"/>
            </w:rPr>
            <w:fldChar w:fldCharType="end"/>
          </w:r>
        </w:p>
        <w:p w14:paraId="60881339" w14:textId="77777777" w:rsidR="0071368F" w:rsidRPr="001C42F7" w:rsidRDefault="00000000">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hyperlink w:anchor="_94qvchi4ty4g">
            <w:r w:rsidR="00717B69" w:rsidRPr="001C42F7">
              <w:rPr>
                <w:rFonts w:ascii="Times New Roman" w:eastAsia="Times New Roman" w:hAnsi="Times New Roman" w:cs="Times New Roman"/>
                <w:color w:val="000000"/>
                <w:sz w:val="24"/>
                <w:szCs w:val="24"/>
                <w:lang w:val="en-GB"/>
              </w:rPr>
              <w:t>“History of common law”</w:t>
            </w:r>
            <w:r w:rsidR="00717B69" w:rsidRPr="001C42F7">
              <w:rPr>
                <w:rFonts w:ascii="Times New Roman" w:eastAsia="Times New Roman" w:hAnsi="Times New Roman" w:cs="Times New Roman"/>
                <w:color w:val="000000"/>
                <w:sz w:val="24"/>
                <w:szCs w:val="24"/>
                <w:lang w:val="en-GB"/>
              </w:rPr>
              <w:tab/>
            </w:r>
          </w:hyperlink>
          <w:r w:rsidR="0071368F" w:rsidRPr="001C42F7">
            <w:rPr>
              <w:lang w:val="en-GB"/>
            </w:rPr>
            <w:fldChar w:fldCharType="begin"/>
          </w:r>
          <w:r w:rsidR="00717B69" w:rsidRPr="001C42F7">
            <w:rPr>
              <w:lang w:val="en-GB"/>
            </w:rPr>
            <w:instrText xml:space="preserve"> PAGEREF _94qvchi4ty4g \h </w:instrText>
          </w:r>
          <w:r w:rsidR="0071368F" w:rsidRPr="001C42F7">
            <w:rPr>
              <w:lang w:val="en-GB"/>
            </w:rPr>
          </w:r>
          <w:r w:rsidR="0071368F" w:rsidRPr="001C42F7">
            <w:rPr>
              <w:lang w:val="en-GB"/>
            </w:rPr>
            <w:fldChar w:fldCharType="separate"/>
          </w:r>
          <w:r w:rsidR="00717B69" w:rsidRPr="001C42F7">
            <w:rPr>
              <w:rFonts w:ascii="Times New Roman" w:eastAsia="Times New Roman" w:hAnsi="Times New Roman" w:cs="Times New Roman"/>
              <w:sz w:val="24"/>
              <w:szCs w:val="24"/>
              <w:lang w:val="en-GB"/>
            </w:rPr>
            <w:t>6</w:t>
          </w:r>
          <w:r w:rsidR="0071368F" w:rsidRPr="001C42F7">
            <w:rPr>
              <w:lang w:val="en-GB"/>
            </w:rPr>
            <w:fldChar w:fldCharType="end"/>
          </w:r>
        </w:p>
        <w:p w14:paraId="5F56586F" w14:textId="77777777" w:rsidR="0071368F" w:rsidRPr="001C42F7" w:rsidRDefault="00000000">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hyperlink w:anchor="_i76dljabohz2">
            <w:r w:rsidR="00717B69" w:rsidRPr="001C42F7">
              <w:rPr>
                <w:rFonts w:ascii="Times New Roman" w:eastAsia="Times New Roman" w:hAnsi="Times New Roman" w:cs="Times New Roman"/>
                <w:color w:val="000000"/>
                <w:sz w:val="24"/>
                <w:szCs w:val="24"/>
                <w:lang w:val="en-GB"/>
              </w:rPr>
              <w:t>“Examples of the common law working in practice”</w:t>
            </w:r>
            <w:r w:rsidR="00717B69" w:rsidRPr="001C42F7">
              <w:rPr>
                <w:rFonts w:ascii="Times New Roman" w:eastAsia="Times New Roman" w:hAnsi="Times New Roman" w:cs="Times New Roman"/>
                <w:color w:val="000000"/>
                <w:sz w:val="24"/>
                <w:szCs w:val="24"/>
                <w:lang w:val="en-GB"/>
              </w:rPr>
              <w:tab/>
            </w:r>
          </w:hyperlink>
          <w:r w:rsidR="0071368F" w:rsidRPr="001C42F7">
            <w:rPr>
              <w:lang w:val="en-GB"/>
            </w:rPr>
            <w:fldChar w:fldCharType="begin"/>
          </w:r>
          <w:r w:rsidR="00717B69" w:rsidRPr="001C42F7">
            <w:rPr>
              <w:lang w:val="en-GB"/>
            </w:rPr>
            <w:instrText xml:space="preserve"> PAGEREF _i76dljabohz2 \h </w:instrText>
          </w:r>
          <w:r w:rsidR="0071368F" w:rsidRPr="001C42F7">
            <w:rPr>
              <w:lang w:val="en-GB"/>
            </w:rPr>
          </w:r>
          <w:r w:rsidR="0071368F" w:rsidRPr="001C42F7">
            <w:rPr>
              <w:lang w:val="en-GB"/>
            </w:rPr>
            <w:fldChar w:fldCharType="separate"/>
          </w:r>
          <w:r w:rsidR="00717B69" w:rsidRPr="001C42F7">
            <w:rPr>
              <w:rFonts w:ascii="Times New Roman" w:eastAsia="Times New Roman" w:hAnsi="Times New Roman" w:cs="Times New Roman"/>
              <w:sz w:val="24"/>
              <w:szCs w:val="24"/>
              <w:lang w:val="en-GB"/>
            </w:rPr>
            <w:t>6</w:t>
          </w:r>
          <w:r w:rsidR="0071368F" w:rsidRPr="001C42F7">
            <w:rPr>
              <w:lang w:val="en-GB"/>
            </w:rPr>
            <w:fldChar w:fldCharType="end"/>
          </w:r>
        </w:p>
        <w:p w14:paraId="0E8B754A" w14:textId="77777777" w:rsidR="0071368F" w:rsidRPr="001C42F7" w:rsidRDefault="00000000">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hyperlink w:anchor="_cbxsx8iwu7i3">
            <w:r w:rsidR="00717B69" w:rsidRPr="001C42F7">
              <w:rPr>
                <w:rFonts w:ascii="Times New Roman" w:eastAsia="Times New Roman" w:hAnsi="Times New Roman" w:cs="Times New Roman"/>
                <w:color w:val="000000"/>
                <w:sz w:val="24"/>
                <w:szCs w:val="24"/>
                <w:lang w:val="en-GB"/>
              </w:rPr>
              <w:t>Conclusion</w:t>
            </w:r>
            <w:r w:rsidR="00717B69" w:rsidRPr="001C42F7">
              <w:rPr>
                <w:rFonts w:ascii="Times New Roman" w:eastAsia="Times New Roman" w:hAnsi="Times New Roman" w:cs="Times New Roman"/>
                <w:color w:val="000000"/>
                <w:sz w:val="24"/>
                <w:szCs w:val="24"/>
                <w:lang w:val="en-GB"/>
              </w:rPr>
              <w:tab/>
            </w:r>
          </w:hyperlink>
          <w:r w:rsidR="0071368F" w:rsidRPr="001C42F7">
            <w:rPr>
              <w:lang w:val="en-GB"/>
            </w:rPr>
            <w:fldChar w:fldCharType="begin"/>
          </w:r>
          <w:r w:rsidR="00717B69" w:rsidRPr="001C42F7">
            <w:rPr>
              <w:lang w:val="en-GB"/>
            </w:rPr>
            <w:instrText xml:space="preserve"> PAGEREF _cbxsx8iwu7i3 \h </w:instrText>
          </w:r>
          <w:r w:rsidR="0071368F" w:rsidRPr="001C42F7">
            <w:rPr>
              <w:lang w:val="en-GB"/>
            </w:rPr>
          </w:r>
          <w:r w:rsidR="0071368F" w:rsidRPr="001C42F7">
            <w:rPr>
              <w:lang w:val="en-GB"/>
            </w:rPr>
            <w:fldChar w:fldCharType="separate"/>
          </w:r>
          <w:r w:rsidR="00717B69" w:rsidRPr="001C42F7">
            <w:rPr>
              <w:rFonts w:ascii="Times New Roman" w:eastAsia="Times New Roman" w:hAnsi="Times New Roman" w:cs="Times New Roman"/>
              <w:sz w:val="24"/>
              <w:szCs w:val="24"/>
              <w:lang w:val="en-GB"/>
            </w:rPr>
            <w:t>8</w:t>
          </w:r>
          <w:r w:rsidR="0071368F" w:rsidRPr="001C42F7">
            <w:rPr>
              <w:lang w:val="en-GB"/>
            </w:rPr>
            <w:fldChar w:fldCharType="end"/>
          </w:r>
        </w:p>
        <w:p w14:paraId="171F5EFE" w14:textId="77777777" w:rsidR="0071368F" w:rsidRPr="001C42F7" w:rsidRDefault="00000000">
          <w:pPr>
            <w:pStyle w:val="Normal1"/>
            <w:widowControl w:val="0"/>
            <w:tabs>
              <w:tab w:val="right" w:pos="9025"/>
            </w:tabs>
            <w:spacing w:before="60" w:line="360" w:lineRule="auto"/>
            <w:rPr>
              <w:rFonts w:ascii="Times New Roman" w:eastAsia="Times New Roman" w:hAnsi="Times New Roman" w:cs="Times New Roman"/>
              <w:color w:val="000000"/>
              <w:sz w:val="24"/>
              <w:szCs w:val="24"/>
              <w:lang w:val="en-GB"/>
            </w:rPr>
          </w:pPr>
          <w:hyperlink w:anchor="_wk4vboux8qvv">
            <w:r w:rsidR="00717B69" w:rsidRPr="001C42F7">
              <w:rPr>
                <w:rFonts w:ascii="Times New Roman" w:eastAsia="Times New Roman" w:hAnsi="Times New Roman" w:cs="Times New Roman"/>
                <w:color w:val="000000"/>
                <w:sz w:val="24"/>
                <w:szCs w:val="24"/>
                <w:lang w:val="en-GB"/>
              </w:rPr>
              <w:t>References</w:t>
            </w:r>
            <w:r w:rsidR="00717B69" w:rsidRPr="001C42F7">
              <w:rPr>
                <w:rFonts w:ascii="Times New Roman" w:eastAsia="Times New Roman" w:hAnsi="Times New Roman" w:cs="Times New Roman"/>
                <w:color w:val="000000"/>
                <w:sz w:val="24"/>
                <w:szCs w:val="24"/>
                <w:lang w:val="en-GB"/>
              </w:rPr>
              <w:tab/>
            </w:r>
          </w:hyperlink>
          <w:r w:rsidR="0071368F" w:rsidRPr="001C42F7">
            <w:rPr>
              <w:lang w:val="en-GB"/>
            </w:rPr>
            <w:fldChar w:fldCharType="begin"/>
          </w:r>
          <w:r w:rsidR="00717B69" w:rsidRPr="001C42F7">
            <w:rPr>
              <w:lang w:val="en-GB"/>
            </w:rPr>
            <w:instrText xml:space="preserve"> PAGEREF _wk4vboux8qvv \h </w:instrText>
          </w:r>
          <w:r w:rsidR="0071368F" w:rsidRPr="001C42F7">
            <w:rPr>
              <w:lang w:val="en-GB"/>
            </w:rPr>
          </w:r>
          <w:r w:rsidR="0071368F" w:rsidRPr="001C42F7">
            <w:rPr>
              <w:lang w:val="en-GB"/>
            </w:rPr>
            <w:fldChar w:fldCharType="separate"/>
          </w:r>
          <w:r w:rsidR="00717B69" w:rsidRPr="001C42F7">
            <w:rPr>
              <w:rFonts w:ascii="Times New Roman" w:eastAsia="Times New Roman" w:hAnsi="Times New Roman" w:cs="Times New Roman"/>
              <w:sz w:val="24"/>
              <w:szCs w:val="24"/>
              <w:lang w:val="en-GB"/>
            </w:rPr>
            <w:t>9</w:t>
          </w:r>
          <w:r w:rsidR="0071368F" w:rsidRPr="001C42F7">
            <w:rPr>
              <w:lang w:val="en-GB"/>
            </w:rPr>
            <w:fldChar w:fldCharType="end"/>
          </w:r>
          <w:r w:rsidR="0071368F" w:rsidRPr="001C42F7">
            <w:rPr>
              <w:lang w:val="en-GB"/>
            </w:rPr>
            <w:fldChar w:fldCharType="end"/>
          </w:r>
        </w:p>
      </w:sdtContent>
    </w:sdt>
    <w:p w14:paraId="298BF836" w14:textId="77777777" w:rsidR="0071368F" w:rsidRPr="001C42F7" w:rsidRDefault="00717B69">
      <w:pPr>
        <w:pStyle w:val="Normal1"/>
        <w:spacing w:line="360" w:lineRule="auto"/>
        <w:jc w:val="center"/>
        <w:rPr>
          <w:rFonts w:ascii="Times New Roman" w:eastAsia="Times New Roman" w:hAnsi="Times New Roman" w:cs="Times New Roman"/>
          <w:b/>
          <w:sz w:val="24"/>
          <w:szCs w:val="24"/>
          <w:u w:val="single"/>
          <w:lang w:val="en-GB"/>
        </w:rPr>
      </w:pPr>
      <w:r w:rsidRPr="001C42F7">
        <w:rPr>
          <w:lang w:val="en-GB"/>
        </w:rPr>
        <w:br w:type="page"/>
      </w:r>
    </w:p>
    <w:p w14:paraId="79BE0375" w14:textId="77777777" w:rsidR="0071368F" w:rsidRPr="001C42F7" w:rsidRDefault="00717B69">
      <w:pPr>
        <w:pStyle w:val="Titlu1"/>
        <w:rPr>
          <w:lang w:val="en-GB"/>
        </w:rPr>
      </w:pPr>
      <w:bookmarkStart w:id="0" w:name="_vm5eobfv3coi" w:colFirst="0" w:colLast="0"/>
      <w:bookmarkEnd w:id="0"/>
      <w:r w:rsidRPr="001C42F7">
        <w:rPr>
          <w:lang w:val="en-GB"/>
        </w:rPr>
        <w:lastRenderedPageBreak/>
        <w:t>Introduction</w:t>
      </w:r>
    </w:p>
    <w:p w14:paraId="0997A987" w14:textId="77777777" w:rsidR="0071368F" w:rsidRPr="001C42F7" w:rsidRDefault="00717B69">
      <w:pPr>
        <w:pStyle w:val="Normal1"/>
        <w:spacing w:line="360" w:lineRule="auto"/>
        <w:jc w:val="both"/>
        <w:rPr>
          <w:rFonts w:ascii="Times New Roman" w:eastAsia="Times New Roman" w:hAnsi="Times New Roman" w:cs="Times New Roman"/>
          <w:b/>
          <w:sz w:val="24"/>
          <w:szCs w:val="24"/>
          <w:lang w:val="en-GB"/>
        </w:rPr>
      </w:pPr>
      <w:r w:rsidRPr="001C42F7">
        <w:rPr>
          <w:rFonts w:ascii="Times New Roman" w:eastAsia="Times New Roman" w:hAnsi="Times New Roman" w:cs="Times New Roman"/>
          <w:sz w:val="24"/>
          <w:szCs w:val="24"/>
          <w:lang w:val="en-GB"/>
        </w:rPr>
        <w:t xml:space="preserve">This report will contain a detailed and informative discussion regarding the “English Legal System”. The “common law” will be explored along with the “civil law” to understand how the legal system in the UK operates. Moreover, the report will also present the key differences between both legal systems to understand their benefits and challenges. Besides, an in-depth evaluation will be carried out to discuss the history of “common law” and outline examples of the law working in practice. </w:t>
      </w:r>
      <w:r w:rsidRPr="001C42F7">
        <w:rPr>
          <w:lang w:val="en-GB"/>
        </w:rPr>
        <w:br w:type="page"/>
      </w:r>
    </w:p>
    <w:p w14:paraId="1A4F43A3" w14:textId="77777777" w:rsidR="0071368F" w:rsidRPr="001C42F7" w:rsidRDefault="00717B69">
      <w:pPr>
        <w:pStyle w:val="Titlu1"/>
        <w:rPr>
          <w:lang w:val="en-GB"/>
        </w:rPr>
      </w:pPr>
      <w:bookmarkStart w:id="1" w:name="_2w0m2oqbvqmq" w:colFirst="0" w:colLast="0"/>
      <w:bookmarkEnd w:id="1"/>
      <w:r w:rsidRPr="001C42F7">
        <w:rPr>
          <w:lang w:val="en-GB"/>
        </w:rPr>
        <w:lastRenderedPageBreak/>
        <w:t>“Common Law”</w:t>
      </w:r>
    </w:p>
    <w:p w14:paraId="6DE28267" w14:textId="77777777" w:rsidR="0071368F" w:rsidRPr="001C42F7" w:rsidRDefault="00717B69">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The term “common law” refers to the body of verbal or unwritten rules and guidelines that are formed </w:t>
      </w:r>
      <w:proofErr w:type="gramStart"/>
      <w:r w:rsidRPr="001C42F7">
        <w:rPr>
          <w:rFonts w:ascii="Times New Roman" w:eastAsia="Times New Roman" w:hAnsi="Times New Roman" w:cs="Times New Roman"/>
          <w:sz w:val="24"/>
          <w:szCs w:val="24"/>
          <w:lang w:val="en-GB"/>
        </w:rPr>
        <w:t>on the basis of</w:t>
      </w:r>
      <w:proofErr w:type="gramEnd"/>
      <w:r w:rsidRPr="001C42F7">
        <w:rPr>
          <w:rFonts w:ascii="Times New Roman" w:eastAsia="Times New Roman" w:hAnsi="Times New Roman" w:cs="Times New Roman"/>
          <w:sz w:val="24"/>
          <w:szCs w:val="24"/>
          <w:lang w:val="en-GB"/>
        </w:rPr>
        <w:t xml:space="preserve"> existing court proceedings and decisions as well as the opinions and thoughts of the judges. These laws influence the decision-making process and are used by judges to decide upon cases in which decisions cannot be made successfully through existing written laws or statutes. The “common law” system is also known as case law as it uses the outcomes of existing cases, court proceedings and opinions of judges in the past to decide on current cases (Baker, 2020). A “precedent”, also known as “stare decisis” is referred to a history of decisions made by the judiciary that is used as the basis of evaluation for future cases and proceedings. As there are no official legal codes or written laws, the common law also relies on detailed records to apply them to a current case to obtain the necessary outcome. The records and “precedents” that are applicable to </w:t>
      </w:r>
      <w:proofErr w:type="gramStart"/>
      <w:r w:rsidRPr="001C42F7">
        <w:rPr>
          <w:rFonts w:ascii="Times New Roman" w:eastAsia="Times New Roman" w:hAnsi="Times New Roman" w:cs="Times New Roman"/>
          <w:sz w:val="24"/>
          <w:szCs w:val="24"/>
          <w:lang w:val="en-GB"/>
        </w:rPr>
        <w:t>particular cases</w:t>
      </w:r>
      <w:proofErr w:type="gramEnd"/>
      <w:r w:rsidRPr="001C42F7">
        <w:rPr>
          <w:rFonts w:ascii="Times New Roman" w:eastAsia="Times New Roman" w:hAnsi="Times New Roman" w:cs="Times New Roman"/>
          <w:sz w:val="24"/>
          <w:szCs w:val="24"/>
          <w:lang w:val="en-GB"/>
        </w:rPr>
        <w:t xml:space="preserve"> are decided upon by the judges who preside over those cases (Pfander and Wentzel, 2019). The outcomes obtained by higher courts are viewed as examples for the lower courts and they are bound to try cases based on them. </w:t>
      </w:r>
    </w:p>
    <w:p w14:paraId="25B1A07B" w14:textId="77777777" w:rsidR="0071368F" w:rsidRPr="001C42F7" w:rsidRDefault="00717B69">
      <w:pPr>
        <w:pStyle w:val="Titlu1"/>
        <w:rPr>
          <w:lang w:val="en-GB"/>
        </w:rPr>
      </w:pPr>
      <w:bookmarkStart w:id="2" w:name="_8yqt87eb7nfe" w:colFirst="0" w:colLast="0"/>
      <w:bookmarkEnd w:id="2"/>
      <w:r w:rsidRPr="001C42F7">
        <w:rPr>
          <w:lang w:val="en-GB"/>
        </w:rPr>
        <w:t xml:space="preserve">“Civil Law” </w:t>
      </w:r>
    </w:p>
    <w:p w14:paraId="2A665A4A" w14:textId="77777777" w:rsidR="0071368F" w:rsidRPr="001C42F7" w:rsidRDefault="00717B69">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On one hand, the “common law” is the law of the country that is applicable to every citizen equally and covers criminal as well as other crucial legal matters. On the other hand, “civil law” covers disputes or conflicts and other wide range of issues between individuals, businesses or other organisations (Mackaay, 2021). “Civil law”, in most cases, covers a wide range of disputes and disagreements and is settled in civil courts or tribunals involving businesses or individuals making accusations and claims and filing cases. The “civil legal system” comprises a legal code or written legislation or statutes to decide upon situations and cases which makes it highly efficient and effective (Dewi, 2021). These cases usually involve two or more parties that </w:t>
      </w:r>
      <w:proofErr w:type="gramStart"/>
      <w:r w:rsidRPr="001C42F7">
        <w:rPr>
          <w:rFonts w:ascii="Times New Roman" w:eastAsia="Times New Roman" w:hAnsi="Times New Roman" w:cs="Times New Roman"/>
          <w:sz w:val="24"/>
          <w:szCs w:val="24"/>
          <w:lang w:val="en-GB"/>
        </w:rPr>
        <w:t>enter into</w:t>
      </w:r>
      <w:proofErr w:type="gramEnd"/>
      <w:r w:rsidRPr="001C42F7">
        <w:rPr>
          <w:rFonts w:ascii="Times New Roman" w:eastAsia="Times New Roman" w:hAnsi="Times New Roman" w:cs="Times New Roman"/>
          <w:sz w:val="24"/>
          <w:szCs w:val="24"/>
          <w:lang w:val="en-GB"/>
        </w:rPr>
        <w:t xml:space="preserve"> a conflict or dispute due to the violation of a contract or similar terms and are decided upon based on written codes of conduct or legislation. “Civil law” </w:t>
      </w:r>
      <w:proofErr w:type="gramStart"/>
      <w:r w:rsidRPr="001C42F7">
        <w:rPr>
          <w:rFonts w:ascii="Times New Roman" w:eastAsia="Times New Roman" w:hAnsi="Times New Roman" w:cs="Times New Roman"/>
          <w:sz w:val="24"/>
          <w:szCs w:val="24"/>
          <w:lang w:val="en-GB"/>
        </w:rPr>
        <w:t>is in contrast to</w:t>
      </w:r>
      <w:proofErr w:type="gramEnd"/>
      <w:r w:rsidRPr="001C42F7">
        <w:rPr>
          <w:rFonts w:ascii="Times New Roman" w:eastAsia="Times New Roman" w:hAnsi="Times New Roman" w:cs="Times New Roman"/>
          <w:sz w:val="24"/>
          <w:szCs w:val="24"/>
          <w:lang w:val="en-GB"/>
        </w:rPr>
        <w:t xml:space="preserve"> criminal law and is secular which further means in contrast to any form of religious law. This means that a criminal case may be heard in a civil court if that particular court is secular instead of a religious one or is the court of the “continental legal </w:t>
      </w:r>
      <w:proofErr w:type="gramStart"/>
      <w:r w:rsidRPr="001C42F7">
        <w:rPr>
          <w:rFonts w:ascii="Times New Roman" w:eastAsia="Times New Roman" w:hAnsi="Times New Roman" w:cs="Times New Roman"/>
          <w:sz w:val="24"/>
          <w:szCs w:val="24"/>
          <w:lang w:val="en-GB"/>
        </w:rPr>
        <w:t>system”  (</w:t>
      </w:r>
      <w:proofErr w:type="gramEnd"/>
      <w:r w:rsidRPr="001C42F7">
        <w:rPr>
          <w:rFonts w:ascii="Times New Roman" w:eastAsia="Times New Roman" w:hAnsi="Times New Roman" w:cs="Times New Roman"/>
          <w:sz w:val="24"/>
          <w:szCs w:val="24"/>
          <w:lang w:val="en-GB"/>
        </w:rPr>
        <w:t xml:space="preserve">Schäfer and Ott, 2022). </w:t>
      </w:r>
    </w:p>
    <w:p w14:paraId="33A286ED" w14:textId="77777777" w:rsidR="0071368F" w:rsidRPr="001C42F7" w:rsidRDefault="00717B69">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There are different types of civil laws such as “contract law, tort, company law, revenue law, intellectual property law and family law and the court of protection”. “Contract law” deals with any disputes or disagreements resulting in the violation of a contract. “Tort” refers to any claim arising out of wrongdoing that involves negligence, misuse of private information, </w:t>
      </w:r>
      <w:r w:rsidRPr="001C42F7">
        <w:rPr>
          <w:rFonts w:ascii="Times New Roman" w:eastAsia="Times New Roman" w:hAnsi="Times New Roman" w:cs="Times New Roman"/>
          <w:sz w:val="24"/>
          <w:szCs w:val="24"/>
          <w:lang w:val="en-GB"/>
        </w:rPr>
        <w:lastRenderedPageBreak/>
        <w:t xml:space="preserve">defamation and more. “Company law” is concerned with regulations involving corporations and companies that include registering, administration and other legalities (Chouaibi </w:t>
      </w:r>
      <w:r w:rsidRPr="001C42F7">
        <w:rPr>
          <w:rFonts w:ascii="Times New Roman" w:eastAsia="Times New Roman" w:hAnsi="Times New Roman" w:cs="Times New Roman"/>
          <w:i/>
          <w:sz w:val="24"/>
          <w:szCs w:val="24"/>
          <w:lang w:val="en-GB"/>
        </w:rPr>
        <w:t xml:space="preserve">et al., </w:t>
      </w:r>
      <w:r w:rsidRPr="001C42F7">
        <w:rPr>
          <w:rFonts w:ascii="Times New Roman" w:eastAsia="Times New Roman" w:hAnsi="Times New Roman" w:cs="Times New Roman"/>
          <w:sz w:val="24"/>
          <w:szCs w:val="24"/>
          <w:lang w:val="en-GB"/>
        </w:rPr>
        <w:t xml:space="preserve">2022). “Revenue law” is related to taxation such as income tax, capital gains tax, VAT and many more. “Intellectual property law” concerns the rights related to trademarks, designs, copyright and more. Media laws regulate broadcast and published media content, information rights, telecommunications, social media and many more. “Family law and the Court of Protection” include regulations associated with “children, divorce, marriage and matrimonial finances” (Mackaay, 2021). </w:t>
      </w:r>
    </w:p>
    <w:p w14:paraId="7D1EF4DB" w14:textId="77777777" w:rsidR="0071368F" w:rsidRPr="001C42F7" w:rsidRDefault="00717B69">
      <w:pPr>
        <w:pStyle w:val="Titlu1"/>
        <w:rPr>
          <w:lang w:val="en-GB"/>
        </w:rPr>
      </w:pPr>
      <w:bookmarkStart w:id="3" w:name="_7rcoj1cl1btr" w:colFirst="0" w:colLast="0"/>
      <w:bookmarkEnd w:id="3"/>
      <w:r w:rsidRPr="001C42F7">
        <w:rPr>
          <w:lang w:val="en-GB"/>
        </w:rPr>
        <w:t>“Differences between Common and Civil Law”</w:t>
      </w:r>
    </w:p>
    <w:p w14:paraId="27A46FB2" w14:textId="77777777" w:rsidR="0071368F" w:rsidRPr="001C42F7" w:rsidRDefault="00717B69">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The “common law” and the “civil law” are different in nature and scope and cover different aspects of the legal environment. The “common law” is highly associated with the provision of equal treatment to everyone based on legal “precedents” or opinions and thoughts of judges. However, “civil law” is associated with ordinances rules and “codified statutes” that allow decisions and outcomes to be reached efficiently. This is the major difference between “common law” and “civil law” which covers the foundation of both laws. The aspects covered by “common law” also differ highly from “civil law” (Berger, 2019). The former covers all the major legal guidelines and regulations while the latter is associated with cases involving disputes and disagreements between individuals and business organisations. The cases filed under “civil law” are usually by individuals or private entities whereas, the case filed under “common law” are by the government. </w:t>
      </w:r>
    </w:p>
    <w:p w14:paraId="6A5DB622" w14:textId="77777777" w:rsidR="0071368F" w:rsidRPr="001C42F7" w:rsidRDefault="00717B69">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In order to identify the differences between these two legal systems, their source of origin needs to be understood. The system of “common law” finds its roots in the monarchy of England where it was issued in the form of legal orders or “writs”. As these orders were not </w:t>
      </w:r>
      <w:proofErr w:type="gramStart"/>
      <w:r w:rsidRPr="001C42F7">
        <w:rPr>
          <w:rFonts w:ascii="Times New Roman" w:eastAsia="Times New Roman" w:hAnsi="Times New Roman" w:cs="Times New Roman"/>
          <w:sz w:val="24"/>
          <w:szCs w:val="24"/>
          <w:lang w:val="en-GB"/>
        </w:rPr>
        <w:t>sufficient enough</w:t>
      </w:r>
      <w:proofErr w:type="gramEnd"/>
      <w:r w:rsidRPr="001C42F7">
        <w:rPr>
          <w:rFonts w:ascii="Times New Roman" w:eastAsia="Times New Roman" w:hAnsi="Times New Roman" w:cs="Times New Roman"/>
          <w:sz w:val="24"/>
          <w:szCs w:val="24"/>
          <w:lang w:val="en-GB"/>
        </w:rPr>
        <w:t xml:space="preserve"> to cover the entire country, courts were established in response that used the sources of authority to decide cases (Stuckenberg </w:t>
      </w:r>
      <w:r w:rsidRPr="001C42F7">
        <w:rPr>
          <w:rFonts w:ascii="Times New Roman" w:eastAsia="Times New Roman" w:hAnsi="Times New Roman" w:cs="Times New Roman"/>
          <w:i/>
          <w:sz w:val="24"/>
          <w:szCs w:val="24"/>
          <w:lang w:val="en-GB"/>
        </w:rPr>
        <w:t xml:space="preserve">et al., </w:t>
      </w:r>
      <w:r w:rsidRPr="001C42F7">
        <w:rPr>
          <w:rFonts w:ascii="Times New Roman" w:eastAsia="Times New Roman" w:hAnsi="Times New Roman" w:cs="Times New Roman"/>
          <w:sz w:val="24"/>
          <w:szCs w:val="24"/>
          <w:lang w:val="en-GB"/>
        </w:rPr>
        <w:t xml:space="preserve">2019). These outcomes were collected and published which became a source for court judges to use for deciding upon their cases. This is how the “common law” came into existence and became a legal system of practice. “Civil law” was founded to be compiled into a code of law in the European nations around 600 C.E. by “Roman Emperor Justinian”. These legal codes developed over many centuries in different countries which led to each one of them having its own sets of laws, leading to a similar legal system which came to be known as “civil law” (Weber and Hösli, 2020). Therefore, the foundation of both legal systems is different with one being found based on case laws while the other one developed upon written codes of law. </w:t>
      </w:r>
    </w:p>
    <w:p w14:paraId="28213894" w14:textId="77777777" w:rsidR="0071368F" w:rsidRPr="001C42F7" w:rsidRDefault="00717B69">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lastRenderedPageBreak/>
        <w:t xml:space="preserve">The court proceedings in both these legal systems also have their fair share of differences where the judges in civil law countries are called “investigators” and they take the central role during proceedings. They are responsible for introducing charges, investigating and establishing facts by examining witnesses and further making decisions through legal codes. The role of lawyers in the civil legal system is less central as they only take part in advising clients, preparing legal pleadings for filing, contract drafting and other non-litigation tasks (Berger, 2019). However, in the common legal system, lawyers play a central role in proceedings through presentations for the judge regarding cases made by examining witnesses. </w:t>
      </w:r>
    </w:p>
    <w:p w14:paraId="1D8453C5" w14:textId="77777777" w:rsidR="0071368F" w:rsidRPr="001C42F7" w:rsidRDefault="00717B69">
      <w:pPr>
        <w:pStyle w:val="Titlu1"/>
        <w:rPr>
          <w:lang w:val="en-GB"/>
        </w:rPr>
      </w:pPr>
      <w:bookmarkStart w:id="4" w:name="_94qvchi4ty4g" w:colFirst="0" w:colLast="0"/>
      <w:bookmarkEnd w:id="4"/>
      <w:r w:rsidRPr="001C42F7">
        <w:rPr>
          <w:lang w:val="en-GB"/>
        </w:rPr>
        <w:t>“History of common law”</w:t>
      </w:r>
    </w:p>
    <w:p w14:paraId="788E6369" w14:textId="77777777" w:rsidR="0071368F" w:rsidRPr="001C42F7" w:rsidRDefault="00717B69">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The “common law” developed and formed in the UK after the “Norman Conquest in 1066” before which the law of “Anglo-Saxons” was used since the 5th century (Postema, 2019). Under this law, the majority of the matter was governed by local customs and a large part was paid by the Church in government. This law was free from any Roman influence which ended with the “Norman Conquest” and thus began the development of the “common law system” in the UK. As the current King of England, Harold II was killed and replaced by William, the Duke of Normandy, several changes followed in the form of political, sociocultural and economic scenarios of the UK (Heath, 2020). Royal courts were established to hear complaints and issues with land being the major reason for feuds during that time with one such notable institution being the King’s Court or </w:t>
      </w:r>
      <w:r w:rsidRPr="001C42F7">
        <w:rPr>
          <w:rFonts w:ascii="Times New Roman" w:eastAsia="Times New Roman" w:hAnsi="Times New Roman" w:cs="Times New Roman"/>
          <w:b/>
          <w:i/>
          <w:sz w:val="24"/>
          <w:szCs w:val="24"/>
          <w:lang w:val="en-GB"/>
        </w:rPr>
        <w:t>“Curia Regis”</w:t>
      </w:r>
      <w:r w:rsidRPr="001C42F7">
        <w:rPr>
          <w:rFonts w:ascii="Times New Roman" w:eastAsia="Times New Roman" w:hAnsi="Times New Roman" w:cs="Times New Roman"/>
          <w:sz w:val="24"/>
          <w:szCs w:val="24"/>
          <w:lang w:val="en-GB"/>
        </w:rPr>
        <w:t xml:space="preserve">. The royal courts, thus, acquired a dominant position in the UK and also gained wide judicial authority in the state. The new king of England, William, insisted that England was taken lawfully instead of conquest and so the foundation of the law remained the same. The communal courts and sheriffs were all given the opportunity to retain their powers (Chouaibi </w:t>
      </w:r>
      <w:r w:rsidRPr="001C42F7">
        <w:rPr>
          <w:rFonts w:ascii="Times New Roman" w:eastAsia="Times New Roman" w:hAnsi="Times New Roman" w:cs="Times New Roman"/>
          <w:i/>
          <w:sz w:val="24"/>
          <w:szCs w:val="24"/>
          <w:lang w:val="en-GB"/>
        </w:rPr>
        <w:t xml:space="preserve">et al., </w:t>
      </w:r>
      <w:r w:rsidRPr="001C42F7">
        <w:rPr>
          <w:rFonts w:ascii="Times New Roman" w:eastAsia="Times New Roman" w:hAnsi="Times New Roman" w:cs="Times New Roman"/>
          <w:sz w:val="24"/>
          <w:szCs w:val="24"/>
          <w:lang w:val="en-GB"/>
        </w:rPr>
        <w:t xml:space="preserve">2022). The King’s Court tried to ensure that the legal system was continued with reforms and development and Norman Kings were viewed as the lawful successors of the previous King. The major changes and developments made to the legal system which actually formed the basis for the modern “English legal system” were the doings of King Henry I and II during the 12 century (Pfander and Wentzel, 2019). These changes and the cases presided over since that time evolved to become the present-day “common law”. </w:t>
      </w:r>
    </w:p>
    <w:p w14:paraId="0988B1DA" w14:textId="77777777" w:rsidR="0071368F" w:rsidRPr="001C42F7" w:rsidRDefault="00717B69">
      <w:pPr>
        <w:pStyle w:val="Titlu1"/>
        <w:rPr>
          <w:lang w:val="en-GB"/>
        </w:rPr>
      </w:pPr>
      <w:bookmarkStart w:id="5" w:name="_i76dljabohz2" w:colFirst="0" w:colLast="0"/>
      <w:bookmarkEnd w:id="5"/>
      <w:r w:rsidRPr="001C42F7">
        <w:rPr>
          <w:lang w:val="en-GB"/>
        </w:rPr>
        <w:t xml:space="preserve">“Examples of the common law working in </w:t>
      </w:r>
      <w:proofErr w:type="gramStart"/>
      <w:r w:rsidRPr="001C42F7">
        <w:rPr>
          <w:lang w:val="en-GB"/>
        </w:rPr>
        <w:t>practice”</w:t>
      </w:r>
      <w:proofErr w:type="gramEnd"/>
    </w:p>
    <w:p w14:paraId="5C1BB1AA" w14:textId="77777777" w:rsidR="0071368F" w:rsidRPr="001C42F7" w:rsidRDefault="00717B69">
      <w:pPr>
        <w:pStyle w:val="Normal1"/>
        <w:spacing w:line="360" w:lineRule="auto"/>
        <w:jc w:val="both"/>
        <w:rPr>
          <w:rFonts w:ascii="Times New Roman" w:eastAsia="Times New Roman" w:hAnsi="Times New Roman" w:cs="Times New Roman"/>
          <w:b/>
          <w:sz w:val="24"/>
          <w:szCs w:val="24"/>
          <w:lang w:val="en-GB"/>
        </w:rPr>
      </w:pPr>
      <w:r w:rsidRPr="001C42F7">
        <w:rPr>
          <w:rFonts w:ascii="Times New Roman" w:eastAsia="Times New Roman" w:hAnsi="Times New Roman" w:cs="Times New Roman"/>
          <w:sz w:val="24"/>
          <w:szCs w:val="24"/>
          <w:lang w:val="en-GB"/>
        </w:rPr>
        <w:t xml:space="preserve">Common law covers every major incident of crime or other serious offences that are judged </w:t>
      </w:r>
      <w:proofErr w:type="gramStart"/>
      <w:r w:rsidRPr="001C42F7">
        <w:rPr>
          <w:rFonts w:ascii="Times New Roman" w:eastAsia="Times New Roman" w:hAnsi="Times New Roman" w:cs="Times New Roman"/>
          <w:sz w:val="24"/>
          <w:szCs w:val="24"/>
          <w:lang w:val="en-GB"/>
        </w:rPr>
        <w:t>on the basis of</w:t>
      </w:r>
      <w:proofErr w:type="gramEnd"/>
      <w:r w:rsidRPr="001C42F7">
        <w:rPr>
          <w:rFonts w:ascii="Times New Roman" w:eastAsia="Times New Roman" w:hAnsi="Times New Roman" w:cs="Times New Roman"/>
          <w:sz w:val="24"/>
          <w:szCs w:val="24"/>
          <w:lang w:val="en-GB"/>
        </w:rPr>
        <w:t xml:space="preserve"> “precedents’ and “judicial opinions” in the UK. The major examples of operating common law can be formed in the current legal regulations that are used in </w:t>
      </w:r>
      <w:r w:rsidRPr="001C42F7">
        <w:rPr>
          <w:rFonts w:ascii="Times New Roman" w:eastAsia="Times New Roman" w:hAnsi="Times New Roman" w:cs="Times New Roman"/>
          <w:sz w:val="24"/>
          <w:szCs w:val="24"/>
          <w:lang w:val="en-GB"/>
        </w:rPr>
        <w:lastRenderedPageBreak/>
        <w:t xml:space="preserve">England. One of the major examples of common law in practice can be seen in the case of </w:t>
      </w:r>
      <w:r w:rsidRPr="001C42F7">
        <w:rPr>
          <w:rFonts w:ascii="Times New Roman" w:eastAsia="Times New Roman" w:hAnsi="Times New Roman" w:cs="Times New Roman"/>
          <w:i/>
          <w:sz w:val="24"/>
          <w:szCs w:val="24"/>
          <w:lang w:val="en-GB"/>
        </w:rPr>
        <w:t xml:space="preserve">“R (Miller &amp; Anor) v Secretary of State for Brexit (2017)”. </w:t>
      </w:r>
      <w:r w:rsidRPr="001C42F7">
        <w:rPr>
          <w:rFonts w:ascii="Times New Roman" w:eastAsia="Times New Roman" w:hAnsi="Times New Roman" w:cs="Times New Roman"/>
          <w:sz w:val="24"/>
          <w:szCs w:val="24"/>
          <w:lang w:val="en-GB"/>
        </w:rPr>
        <w:t xml:space="preserve">In this case, Gina Miller claimed that the Uk government was not entitled to trigger Article 50 without the consent from both houses of the Parliament which the High Court ruled in favour of Miller based on the 1610 case of proclamations (Willis, 2022). This decision was again challenged by the government in the Supreme </w:t>
      </w:r>
      <w:proofErr w:type="gramStart"/>
      <w:r w:rsidRPr="001C42F7">
        <w:rPr>
          <w:rFonts w:ascii="Times New Roman" w:eastAsia="Times New Roman" w:hAnsi="Times New Roman" w:cs="Times New Roman"/>
          <w:sz w:val="24"/>
          <w:szCs w:val="24"/>
          <w:lang w:val="en-GB"/>
        </w:rPr>
        <w:t>Court,</w:t>
      </w:r>
      <w:proofErr w:type="gramEnd"/>
      <w:r w:rsidRPr="001C42F7">
        <w:rPr>
          <w:rFonts w:ascii="Times New Roman" w:eastAsia="Times New Roman" w:hAnsi="Times New Roman" w:cs="Times New Roman"/>
          <w:sz w:val="24"/>
          <w:szCs w:val="24"/>
          <w:lang w:val="en-GB"/>
        </w:rPr>
        <w:t xml:space="preserve"> however, the appeal was dismissed by the apex Court and the decision of the High Court was upheld.</w:t>
      </w:r>
      <w:r w:rsidRPr="001C42F7">
        <w:rPr>
          <w:lang w:val="en-GB"/>
        </w:rPr>
        <w:br w:type="page"/>
      </w:r>
    </w:p>
    <w:p w14:paraId="2D7BACD0" w14:textId="77777777" w:rsidR="0071368F" w:rsidRPr="001C42F7" w:rsidRDefault="00717B69">
      <w:pPr>
        <w:pStyle w:val="Titlu1"/>
        <w:rPr>
          <w:lang w:val="en-GB"/>
        </w:rPr>
      </w:pPr>
      <w:bookmarkStart w:id="6" w:name="_cbxsx8iwu7i3" w:colFirst="0" w:colLast="0"/>
      <w:bookmarkEnd w:id="6"/>
      <w:r w:rsidRPr="001C42F7">
        <w:rPr>
          <w:lang w:val="en-GB"/>
        </w:rPr>
        <w:lastRenderedPageBreak/>
        <w:t>Conclusion</w:t>
      </w:r>
    </w:p>
    <w:p w14:paraId="7CA16A2C" w14:textId="77777777" w:rsidR="0071368F" w:rsidRPr="001C42F7" w:rsidRDefault="00717B69">
      <w:pPr>
        <w:pStyle w:val="Normal1"/>
        <w:spacing w:line="360" w:lineRule="auto"/>
        <w:jc w:val="both"/>
        <w:rPr>
          <w:rFonts w:ascii="Times New Roman" w:eastAsia="Times New Roman" w:hAnsi="Times New Roman" w:cs="Times New Roman"/>
          <w:b/>
          <w:sz w:val="24"/>
          <w:szCs w:val="24"/>
          <w:lang w:val="en-GB"/>
        </w:rPr>
      </w:pPr>
      <w:r w:rsidRPr="001C42F7">
        <w:rPr>
          <w:rFonts w:ascii="Times New Roman" w:eastAsia="Times New Roman" w:hAnsi="Times New Roman" w:cs="Times New Roman"/>
          <w:sz w:val="24"/>
          <w:szCs w:val="24"/>
          <w:lang w:val="en-GB"/>
        </w:rPr>
        <w:t xml:space="preserve">The report has provided an in-depth evaluation of “common law” and “civil law” with </w:t>
      </w:r>
      <w:proofErr w:type="gramStart"/>
      <w:r w:rsidRPr="001C42F7">
        <w:rPr>
          <w:rFonts w:ascii="Times New Roman" w:eastAsia="Times New Roman" w:hAnsi="Times New Roman" w:cs="Times New Roman"/>
          <w:sz w:val="24"/>
          <w:szCs w:val="24"/>
          <w:lang w:val="en-GB"/>
        </w:rPr>
        <w:t>both of them</w:t>
      </w:r>
      <w:proofErr w:type="gramEnd"/>
      <w:r w:rsidRPr="001C42F7">
        <w:rPr>
          <w:rFonts w:ascii="Times New Roman" w:eastAsia="Times New Roman" w:hAnsi="Times New Roman" w:cs="Times New Roman"/>
          <w:sz w:val="24"/>
          <w:szCs w:val="24"/>
          <w:lang w:val="en-GB"/>
        </w:rPr>
        <w:t xml:space="preserve"> found to be very different legal systems. The former is found to be based on “precedents” and “judicial opinions” while the latter </w:t>
      </w:r>
      <w:proofErr w:type="gramStart"/>
      <w:r w:rsidRPr="001C42F7">
        <w:rPr>
          <w:rFonts w:ascii="Times New Roman" w:eastAsia="Times New Roman" w:hAnsi="Times New Roman" w:cs="Times New Roman"/>
          <w:sz w:val="24"/>
          <w:szCs w:val="24"/>
          <w:lang w:val="en-GB"/>
        </w:rPr>
        <w:t>takes into account</w:t>
      </w:r>
      <w:proofErr w:type="gramEnd"/>
      <w:r w:rsidRPr="001C42F7">
        <w:rPr>
          <w:rFonts w:ascii="Times New Roman" w:eastAsia="Times New Roman" w:hAnsi="Times New Roman" w:cs="Times New Roman"/>
          <w:sz w:val="24"/>
          <w:szCs w:val="24"/>
          <w:lang w:val="en-GB"/>
        </w:rPr>
        <w:t xml:space="preserve"> “codes of law” for making decisions. The history of the common has been found to be very long and has numerous changes and development made starting with the “Norman Conquest in 1066” which gradually resulted in the formation of the present-day “common law”.</w:t>
      </w:r>
      <w:r w:rsidRPr="001C42F7">
        <w:rPr>
          <w:lang w:val="en-GB"/>
        </w:rPr>
        <w:br w:type="page"/>
      </w:r>
    </w:p>
    <w:p w14:paraId="5773062E" w14:textId="77777777" w:rsidR="0071368F" w:rsidRPr="001C42F7" w:rsidRDefault="00717B69">
      <w:pPr>
        <w:pStyle w:val="Titlu1"/>
        <w:rPr>
          <w:lang w:val="en-GB"/>
        </w:rPr>
      </w:pPr>
      <w:bookmarkStart w:id="7" w:name="_wk4vboux8qvv" w:colFirst="0" w:colLast="0"/>
      <w:bookmarkEnd w:id="7"/>
      <w:r w:rsidRPr="001C42F7">
        <w:rPr>
          <w:lang w:val="en-GB"/>
        </w:rPr>
        <w:lastRenderedPageBreak/>
        <w:t>References</w:t>
      </w:r>
    </w:p>
    <w:p w14:paraId="72C0F7A3"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Baker, J.H., 2020. Criminal courts and procedure at common law 1550–1800. In Crime in England 1550–1800 (pp. 15-48). Routledge.</w:t>
      </w:r>
    </w:p>
    <w:p w14:paraId="6FE91BC0"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Berger, K.P., 2019. Common Law v. Civil Law in International Arbitration: The Beginning or the </w:t>
      </w:r>
      <w:proofErr w:type="gramStart"/>
      <w:r w:rsidRPr="001C42F7">
        <w:rPr>
          <w:rFonts w:ascii="Times New Roman" w:eastAsia="Times New Roman" w:hAnsi="Times New Roman" w:cs="Times New Roman"/>
          <w:sz w:val="24"/>
          <w:szCs w:val="24"/>
          <w:lang w:val="en-GB"/>
        </w:rPr>
        <w:t>End?.</w:t>
      </w:r>
      <w:proofErr w:type="gramEnd"/>
      <w:r w:rsidRPr="001C42F7">
        <w:rPr>
          <w:rFonts w:ascii="Times New Roman" w:eastAsia="Times New Roman" w:hAnsi="Times New Roman" w:cs="Times New Roman"/>
          <w:sz w:val="24"/>
          <w:szCs w:val="24"/>
          <w:lang w:val="en-GB"/>
        </w:rPr>
        <w:t xml:space="preserve"> Journal of International Arbitration, 36(3).</w:t>
      </w:r>
    </w:p>
    <w:p w14:paraId="5CDA988C"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Chouaibi, S., Chouaibi, J. and Rossi, M., 2022. ESG and corporate financial performance: The mediating role of green innovation: UK common law versus Germany civil law. EuroMed Journal of Business, 17(1), pp.46-71.</w:t>
      </w:r>
    </w:p>
    <w:p w14:paraId="491B202E"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 xml:space="preserve">Dewi, G., 2021. The Application of Islamic Business Contract in the National Law Regulations (the Comparison Between Countries </w:t>
      </w:r>
      <w:proofErr w:type="gramStart"/>
      <w:r w:rsidRPr="001C42F7">
        <w:rPr>
          <w:rFonts w:ascii="Times New Roman" w:eastAsia="Times New Roman" w:hAnsi="Times New Roman" w:cs="Times New Roman"/>
          <w:sz w:val="24"/>
          <w:szCs w:val="24"/>
          <w:lang w:val="en-GB"/>
        </w:rPr>
        <w:t>With</w:t>
      </w:r>
      <w:proofErr w:type="gramEnd"/>
      <w:r w:rsidRPr="001C42F7">
        <w:rPr>
          <w:rFonts w:ascii="Times New Roman" w:eastAsia="Times New Roman" w:hAnsi="Times New Roman" w:cs="Times New Roman"/>
          <w:sz w:val="24"/>
          <w:szCs w:val="24"/>
          <w:lang w:val="en-GB"/>
        </w:rPr>
        <w:t xml:space="preserve"> Civil Law Systems and Common Law Systems). Journal of Islamic Law Studies, 4(1), p.3.</w:t>
      </w:r>
    </w:p>
    <w:p w14:paraId="30AE5F13"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Heath, E., 2020. Sir John Davies on Custom and the Common Law. The Review of Politics, 82(3), pp.438-458.</w:t>
      </w:r>
    </w:p>
    <w:p w14:paraId="2C8237FE"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Mackaay, E., 2021. Law and economics for civil law systems. Edward Elgar Publishing.</w:t>
      </w:r>
    </w:p>
    <w:p w14:paraId="1AAAC7D1"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Pfander, J.E. and Wentzel, J., 2019. The Common Law Origins of Ex parte Young. Stanford Law Review, Forthcoming, Northwestern Public Law Research Paper, (19-20).</w:t>
      </w:r>
    </w:p>
    <w:p w14:paraId="24C06DC7"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Postema, G.J., 2019. Bentham and the common law tradition. Oxford University Press.</w:t>
      </w:r>
    </w:p>
    <w:p w14:paraId="05401E66"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Schäfer, H.B. and Ott, C., 2022. The economic analysis of civil law. Edward Elgar Publishing.</w:t>
      </w:r>
    </w:p>
    <w:p w14:paraId="07DADDE3"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Stuckenberg, C.F., Darryl, K.B., Iontcheva Turner, J. and Weisser, B., 2019. Double jeopardy and ne bis in idem in common law and civil law jurisdictions. In The Oxford Handbook of Criminal Process (p. 457). Oxford University Press.</w:t>
      </w:r>
    </w:p>
    <w:p w14:paraId="727F1518"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Weber, R.H. and Hösli, A., 2020. Climate change liability: Comparing risks for directors in jurisdictions of the common and civil law. Climate Law, 10(2), pp.151-196.</w:t>
      </w:r>
    </w:p>
    <w:p w14:paraId="10592C70" w14:textId="77777777" w:rsidR="001C42F7" w:rsidRPr="001C42F7" w:rsidRDefault="001C42F7">
      <w:pPr>
        <w:pStyle w:val="Normal1"/>
        <w:spacing w:line="360" w:lineRule="auto"/>
        <w:jc w:val="both"/>
        <w:rPr>
          <w:rFonts w:ascii="Times New Roman" w:eastAsia="Times New Roman" w:hAnsi="Times New Roman" w:cs="Times New Roman"/>
          <w:sz w:val="24"/>
          <w:szCs w:val="24"/>
          <w:lang w:val="en-GB"/>
        </w:rPr>
      </w:pPr>
      <w:r w:rsidRPr="001C42F7">
        <w:rPr>
          <w:rFonts w:ascii="Times New Roman" w:eastAsia="Times New Roman" w:hAnsi="Times New Roman" w:cs="Times New Roman"/>
          <w:sz w:val="24"/>
          <w:szCs w:val="24"/>
          <w:lang w:val="en-GB"/>
        </w:rPr>
        <w:t>Willis, S., 2022. The Retained EU Jurisdiction to Suspend Remedies in English and Welsh Law: R (Open Rights Group and the3million) v Secretary of State for the Home Department and Secretary of State for Digital Culture, Media and Sport [2021] EWCA Civ 1573. Cambridge L. Rev., 7, p.168.</w:t>
      </w:r>
    </w:p>
    <w:sectPr w:rsidR="001C42F7" w:rsidRPr="001C42F7" w:rsidSect="0071368F">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9F3B1" w14:textId="77777777" w:rsidR="004D7001" w:rsidRDefault="004D7001" w:rsidP="0071368F">
      <w:pPr>
        <w:spacing w:line="240" w:lineRule="auto"/>
      </w:pPr>
      <w:r>
        <w:separator/>
      </w:r>
    </w:p>
  </w:endnote>
  <w:endnote w:type="continuationSeparator" w:id="0">
    <w:p w14:paraId="02BB9C83" w14:textId="77777777" w:rsidR="004D7001" w:rsidRDefault="004D7001" w:rsidP="007136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5B0EA" w14:textId="77777777" w:rsidR="0071368F" w:rsidRDefault="0071368F">
    <w:pPr>
      <w:pStyle w:val="Normal1"/>
      <w:jc w:val="right"/>
    </w:pPr>
    <w:r>
      <w:fldChar w:fldCharType="begin"/>
    </w:r>
    <w:r w:rsidR="00717B69">
      <w:instrText>PAGE</w:instrText>
    </w:r>
    <w:r>
      <w:fldChar w:fldCharType="separate"/>
    </w:r>
    <w:r w:rsidR="001C42F7">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1E74" w14:textId="77777777" w:rsidR="004D7001" w:rsidRDefault="004D7001" w:rsidP="0071368F">
      <w:pPr>
        <w:spacing w:line="240" w:lineRule="auto"/>
      </w:pPr>
      <w:r>
        <w:separator/>
      </w:r>
    </w:p>
  </w:footnote>
  <w:footnote w:type="continuationSeparator" w:id="0">
    <w:p w14:paraId="13D71AEF" w14:textId="77777777" w:rsidR="004D7001" w:rsidRDefault="004D7001" w:rsidP="007136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368F"/>
    <w:rsid w:val="001C42F7"/>
    <w:rsid w:val="004D7001"/>
    <w:rsid w:val="006000BD"/>
    <w:rsid w:val="0071368F"/>
    <w:rsid w:val="00717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D9E69"/>
  <w15:docId w15:val="{0D79D1F9-8FBC-4CD2-B606-EEE02DAE0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71368F"/>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1"/>
    <w:next w:val="Normal1"/>
    <w:rsid w:val="0071368F"/>
    <w:pPr>
      <w:keepNext/>
      <w:keepLines/>
      <w:spacing w:before="360" w:after="120"/>
      <w:outlineLvl w:val="1"/>
    </w:pPr>
    <w:rPr>
      <w:sz w:val="32"/>
      <w:szCs w:val="32"/>
    </w:rPr>
  </w:style>
  <w:style w:type="paragraph" w:styleId="Titlu3">
    <w:name w:val="heading 3"/>
    <w:basedOn w:val="Normal1"/>
    <w:next w:val="Normal1"/>
    <w:rsid w:val="0071368F"/>
    <w:pPr>
      <w:keepNext/>
      <w:keepLines/>
      <w:spacing w:before="320" w:after="80"/>
      <w:outlineLvl w:val="2"/>
    </w:pPr>
    <w:rPr>
      <w:color w:val="434343"/>
      <w:sz w:val="28"/>
      <w:szCs w:val="28"/>
    </w:rPr>
  </w:style>
  <w:style w:type="paragraph" w:styleId="Titlu4">
    <w:name w:val="heading 4"/>
    <w:basedOn w:val="Normal1"/>
    <w:next w:val="Normal1"/>
    <w:rsid w:val="0071368F"/>
    <w:pPr>
      <w:keepNext/>
      <w:keepLines/>
      <w:spacing w:before="280" w:after="80"/>
      <w:outlineLvl w:val="3"/>
    </w:pPr>
    <w:rPr>
      <w:color w:val="666666"/>
      <w:sz w:val="24"/>
      <w:szCs w:val="24"/>
    </w:rPr>
  </w:style>
  <w:style w:type="paragraph" w:styleId="Titlu5">
    <w:name w:val="heading 5"/>
    <w:basedOn w:val="Normal1"/>
    <w:next w:val="Normal1"/>
    <w:rsid w:val="0071368F"/>
    <w:pPr>
      <w:keepNext/>
      <w:keepLines/>
      <w:spacing w:before="240" w:after="80"/>
      <w:outlineLvl w:val="4"/>
    </w:pPr>
    <w:rPr>
      <w:color w:val="666666"/>
    </w:rPr>
  </w:style>
  <w:style w:type="paragraph" w:styleId="Titlu6">
    <w:name w:val="heading 6"/>
    <w:basedOn w:val="Normal1"/>
    <w:next w:val="Normal1"/>
    <w:rsid w:val="0071368F"/>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71368F"/>
  </w:style>
  <w:style w:type="paragraph" w:styleId="Titlu">
    <w:name w:val="Title"/>
    <w:basedOn w:val="Normal1"/>
    <w:next w:val="Normal1"/>
    <w:rsid w:val="0071368F"/>
    <w:pPr>
      <w:keepNext/>
      <w:keepLines/>
      <w:spacing w:after="60"/>
    </w:pPr>
    <w:rPr>
      <w:sz w:val="52"/>
      <w:szCs w:val="52"/>
    </w:rPr>
  </w:style>
  <w:style w:type="paragraph" w:styleId="Subtitlu">
    <w:name w:val="Subtitle"/>
    <w:basedOn w:val="Normal1"/>
    <w:next w:val="Normal1"/>
    <w:rsid w:val="0071368F"/>
    <w:pPr>
      <w:keepNext/>
      <w:keepLines/>
      <w:spacing w:after="320"/>
    </w:pPr>
    <w:rPr>
      <w:color w:val="666666"/>
      <w:sz w:val="30"/>
      <w:szCs w:val="30"/>
    </w:rPr>
  </w:style>
  <w:style w:type="paragraph" w:styleId="TextnBalon">
    <w:name w:val="Balloon Text"/>
    <w:basedOn w:val="Normal"/>
    <w:link w:val="TextnBalonCaracter"/>
    <w:uiPriority w:val="99"/>
    <w:semiHidden/>
    <w:unhideWhenUsed/>
    <w:rsid w:val="001C42F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C42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1921</Words>
  <Characters>10953</Characters>
  <Application>Microsoft Office Word</Application>
  <DocSecurity>0</DocSecurity>
  <Lines>91</Lines>
  <Paragraphs>25</Paragraphs>
  <ScaleCrop>false</ScaleCrop>
  <Company/>
  <LinksUpToDate>false</LinksUpToDate>
  <CharactersWithSpaces>12849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dinu.viorel33@gmail.com</cp:lastModifiedBy>
  <cp:revision>4</cp:revision>
  <dcterms:created xsi:type="dcterms:W3CDTF">2023-03-09T12:14:00Z</dcterms:created>
  <dcterms:modified xsi:type="dcterms:W3CDTF">2023-03-10T11:11:00Z</dcterms:modified>
</cp:coreProperties>
</file>