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1D2E" w14:textId="79166137" w:rsidR="008B3F37" w:rsidRPr="00A23517" w:rsidRDefault="008B3F37" w:rsidP="006F75DF">
      <w:pPr>
        <w:jc w:val="center"/>
        <w:rPr>
          <w:rFonts w:ascii="Times New Roman" w:hAnsi="Times New Roman" w:cs="Times New Roman"/>
          <w:b/>
          <w:bCs/>
          <w:sz w:val="44"/>
          <w:szCs w:val="44"/>
        </w:rPr>
      </w:pPr>
      <w:r w:rsidRPr="00A23517">
        <w:rPr>
          <w:rFonts w:ascii="Times New Roman" w:hAnsi="Times New Roman" w:cs="Times New Roman"/>
          <w:b/>
          <w:bCs/>
          <w:color w:val="1C1917"/>
          <w:sz w:val="44"/>
          <w:szCs w:val="44"/>
          <w:shd w:val="clear" w:color="auto" w:fill="FFFFFF"/>
        </w:rPr>
        <w:t>Managing Foreign Exchange Risk: Strategies for Multinational Corporation</w:t>
      </w:r>
      <w:r w:rsidR="006F75DF" w:rsidRPr="00A23517">
        <w:rPr>
          <w:rFonts w:ascii="Times New Roman" w:hAnsi="Times New Roman" w:cs="Times New Roman"/>
          <w:b/>
          <w:bCs/>
          <w:color w:val="1C1917"/>
          <w:sz w:val="44"/>
          <w:szCs w:val="44"/>
          <w:shd w:val="clear" w:color="auto" w:fill="FFFFFF"/>
        </w:rPr>
        <w:t>s</w:t>
      </w:r>
    </w:p>
    <w:p w14:paraId="26D61ABF" w14:textId="77777777" w:rsidR="008B3F37" w:rsidRPr="006F75DF" w:rsidRDefault="008B3F37" w:rsidP="006F75DF">
      <w:pPr>
        <w:jc w:val="center"/>
        <w:rPr>
          <w:rFonts w:ascii="Times New Roman" w:hAnsi="Times New Roman" w:cs="Times New Roman"/>
        </w:rPr>
      </w:pPr>
    </w:p>
    <w:p w14:paraId="2C2F7D39" w14:textId="77777777" w:rsidR="008B3F37" w:rsidRDefault="008B3F37"/>
    <w:p w14:paraId="34E3B27F" w14:textId="77777777" w:rsidR="008B3F37" w:rsidRDefault="008B3F37"/>
    <w:p w14:paraId="1E439438" w14:textId="77777777" w:rsidR="008B3F37" w:rsidRDefault="008B3F37"/>
    <w:p w14:paraId="2199F945" w14:textId="77777777" w:rsidR="008B3F37" w:rsidRDefault="008B3F37"/>
    <w:p w14:paraId="2AFC8623" w14:textId="77777777" w:rsidR="008B3F37" w:rsidRDefault="008B3F37"/>
    <w:p w14:paraId="4827B664" w14:textId="78ED5A86" w:rsidR="008B3F37" w:rsidRPr="006F75DF" w:rsidRDefault="008B3F37">
      <w:pPr>
        <w:rPr>
          <w:rFonts w:ascii="Times New Roman" w:hAnsi="Times New Roman" w:cs="Times New Roman"/>
          <w:b/>
          <w:bCs/>
          <w:sz w:val="28"/>
          <w:szCs w:val="28"/>
        </w:rPr>
      </w:pPr>
    </w:p>
    <w:p w14:paraId="1B4F2244" w14:textId="7F9C58BE" w:rsidR="00A23517" w:rsidRDefault="00A23517">
      <w:pPr>
        <w:rPr>
          <w:rFonts w:ascii="Times New Roman" w:hAnsi="Times New Roman" w:cs="Times New Roman"/>
          <w:b/>
          <w:bCs/>
          <w:sz w:val="28"/>
          <w:szCs w:val="28"/>
        </w:rPr>
      </w:pPr>
      <w:r w:rsidRPr="00A23517">
        <w:rPr>
          <w:rFonts w:ascii="Times New Roman" w:hAnsi="Times New Roman" w:cs="Times New Roman"/>
          <w:b/>
          <w:bCs/>
          <w:sz w:val="28"/>
          <w:szCs w:val="28"/>
        </w:rPr>
        <w:t>Module: International Financial Management</w:t>
      </w:r>
    </w:p>
    <w:p w14:paraId="368CE329" w14:textId="70D0FE19" w:rsidR="008B3F37" w:rsidRDefault="00A23517">
      <w:pPr>
        <w:rPr>
          <w:rFonts w:ascii="Times New Roman" w:hAnsi="Times New Roman" w:cs="Times New Roman"/>
          <w:b/>
          <w:bCs/>
          <w:sz w:val="28"/>
          <w:szCs w:val="28"/>
        </w:rPr>
      </w:pPr>
      <w:r w:rsidRPr="00A23517">
        <w:rPr>
          <w:rFonts w:ascii="Times New Roman" w:hAnsi="Times New Roman" w:cs="Times New Roman"/>
          <w:b/>
          <w:bCs/>
          <w:sz w:val="28"/>
          <w:szCs w:val="28"/>
        </w:rPr>
        <w:t>Module code: LCBB6002</w:t>
      </w:r>
    </w:p>
    <w:p w14:paraId="49AAC832" w14:textId="034AA3B6" w:rsidR="00A23517" w:rsidRDefault="00A23517">
      <w:pPr>
        <w:rPr>
          <w:rFonts w:ascii="Times New Roman" w:hAnsi="Times New Roman" w:cs="Times New Roman"/>
          <w:b/>
          <w:bCs/>
          <w:sz w:val="28"/>
          <w:szCs w:val="28"/>
        </w:rPr>
      </w:pPr>
      <w:r>
        <w:rPr>
          <w:rFonts w:ascii="Times New Roman" w:hAnsi="Times New Roman" w:cs="Times New Roman"/>
          <w:b/>
          <w:bCs/>
          <w:sz w:val="28"/>
          <w:szCs w:val="28"/>
        </w:rPr>
        <w:t>Student Name: Felix-Lucian Fistoleanu</w:t>
      </w:r>
    </w:p>
    <w:p w14:paraId="3578DE6B" w14:textId="33A97A52" w:rsidR="00A23517" w:rsidRDefault="00A23517">
      <w:pPr>
        <w:rPr>
          <w:rFonts w:ascii="Times New Roman" w:hAnsi="Times New Roman" w:cs="Times New Roman"/>
          <w:b/>
          <w:bCs/>
          <w:sz w:val="28"/>
          <w:szCs w:val="28"/>
        </w:rPr>
      </w:pPr>
      <w:r>
        <w:rPr>
          <w:rFonts w:ascii="Times New Roman" w:hAnsi="Times New Roman" w:cs="Times New Roman"/>
          <w:b/>
          <w:bCs/>
          <w:sz w:val="28"/>
          <w:szCs w:val="28"/>
        </w:rPr>
        <w:t>Student ID :2115327</w:t>
      </w:r>
    </w:p>
    <w:p w14:paraId="2F4CD5DE" w14:textId="77777777" w:rsidR="00A23517" w:rsidRPr="00A23517" w:rsidRDefault="00A23517">
      <w:pPr>
        <w:rPr>
          <w:rFonts w:ascii="Times New Roman" w:hAnsi="Times New Roman" w:cs="Times New Roman"/>
          <w:b/>
          <w:bCs/>
          <w:sz w:val="28"/>
          <w:szCs w:val="28"/>
        </w:rPr>
      </w:pPr>
    </w:p>
    <w:p w14:paraId="55F364A6" w14:textId="77777777" w:rsidR="008B3F37" w:rsidRPr="00A23517" w:rsidRDefault="008B3F37">
      <w:pPr>
        <w:rPr>
          <w:rFonts w:ascii="Times New Roman" w:hAnsi="Times New Roman" w:cs="Times New Roman"/>
          <w:b/>
          <w:bCs/>
          <w:sz w:val="28"/>
          <w:szCs w:val="28"/>
        </w:rPr>
      </w:pPr>
    </w:p>
    <w:p w14:paraId="75691C74" w14:textId="77777777" w:rsidR="008B3F37" w:rsidRDefault="008B3F37"/>
    <w:p w14:paraId="5C757A69" w14:textId="77777777" w:rsidR="008B3F37" w:rsidRDefault="008B3F37"/>
    <w:p w14:paraId="3FBF7498" w14:textId="77777777" w:rsidR="008B3F37" w:rsidRDefault="008B3F37"/>
    <w:p w14:paraId="2EE8AEE1" w14:textId="77777777" w:rsidR="008B3F37" w:rsidRDefault="008B3F37"/>
    <w:p w14:paraId="2F89C867" w14:textId="77777777" w:rsidR="008B3F37" w:rsidRDefault="008B3F37"/>
    <w:p w14:paraId="53D9E904" w14:textId="77777777" w:rsidR="008B3F37" w:rsidRDefault="008B3F37"/>
    <w:p w14:paraId="69CD10DF" w14:textId="77777777" w:rsidR="008B3F37" w:rsidRDefault="008B3F37"/>
    <w:p w14:paraId="7B0D33B8" w14:textId="77777777" w:rsidR="008B3F37" w:rsidRDefault="008B3F37"/>
    <w:p w14:paraId="44860B96" w14:textId="77777777" w:rsidR="008B3F37" w:rsidRDefault="008B3F37"/>
    <w:p w14:paraId="65774924" w14:textId="77777777" w:rsidR="008B3F37" w:rsidRDefault="008B3F37"/>
    <w:p w14:paraId="2C3DC724" w14:textId="77777777" w:rsidR="008B3F37" w:rsidRDefault="008B3F37"/>
    <w:p w14:paraId="590D7A7B" w14:textId="77777777" w:rsidR="008B3F37" w:rsidRDefault="008B3F37"/>
    <w:p w14:paraId="7520A8AE" w14:textId="77777777" w:rsidR="008B3F37" w:rsidRDefault="008B3F37"/>
    <w:p w14:paraId="00F41FEA" w14:textId="77777777" w:rsidR="008B3F37" w:rsidRDefault="008B3F37"/>
    <w:p w14:paraId="3078FB7F" w14:textId="77777777" w:rsidR="008B3F37" w:rsidRDefault="008B3F37"/>
    <w:sdt>
      <w:sdtPr>
        <w:rPr>
          <w:rFonts w:asciiTheme="minorHAnsi" w:eastAsiaTheme="minorHAnsi" w:hAnsiTheme="minorHAnsi" w:cstheme="minorBidi"/>
          <w:color w:val="auto"/>
          <w:sz w:val="22"/>
          <w:szCs w:val="22"/>
          <w:lang w:val="en-GB"/>
        </w:rPr>
        <w:id w:val="-625545609"/>
        <w:docPartObj>
          <w:docPartGallery w:val="Table of Contents"/>
          <w:docPartUnique/>
        </w:docPartObj>
      </w:sdtPr>
      <w:sdtEndPr>
        <w:rPr>
          <w:b/>
          <w:bCs/>
          <w:noProof/>
        </w:rPr>
      </w:sdtEndPr>
      <w:sdtContent>
        <w:p w14:paraId="747A58A9" w14:textId="77777777" w:rsidR="009007A5" w:rsidRDefault="009007A5">
          <w:pPr>
            <w:pStyle w:val="TOCHeading"/>
            <w:rPr>
              <w:rFonts w:asciiTheme="minorHAnsi" w:eastAsiaTheme="minorHAnsi" w:hAnsiTheme="minorHAnsi" w:cstheme="minorBidi"/>
              <w:color w:val="auto"/>
              <w:sz w:val="22"/>
              <w:szCs w:val="22"/>
              <w:lang w:val="en-GB"/>
            </w:rPr>
          </w:pPr>
        </w:p>
        <w:p w14:paraId="1463D820" w14:textId="77777777" w:rsidR="009007A5" w:rsidRDefault="009007A5">
          <w:pPr>
            <w:pStyle w:val="TOCHeading"/>
            <w:rPr>
              <w:rFonts w:asciiTheme="minorHAnsi" w:eastAsiaTheme="minorHAnsi" w:hAnsiTheme="minorHAnsi" w:cstheme="minorBidi"/>
              <w:color w:val="auto"/>
              <w:sz w:val="22"/>
              <w:szCs w:val="22"/>
              <w:lang w:val="en-GB"/>
            </w:rPr>
          </w:pPr>
        </w:p>
        <w:p w14:paraId="69285D5E" w14:textId="77777777" w:rsidR="009007A5" w:rsidRDefault="009007A5">
          <w:pPr>
            <w:pStyle w:val="TOCHeading"/>
            <w:rPr>
              <w:rFonts w:asciiTheme="minorHAnsi" w:eastAsiaTheme="minorHAnsi" w:hAnsiTheme="minorHAnsi" w:cstheme="minorBidi"/>
              <w:color w:val="auto"/>
              <w:sz w:val="22"/>
              <w:szCs w:val="22"/>
              <w:lang w:val="en-GB"/>
            </w:rPr>
          </w:pPr>
        </w:p>
        <w:p w14:paraId="35BB1D78" w14:textId="77777777" w:rsidR="009007A5" w:rsidRDefault="009007A5">
          <w:pPr>
            <w:pStyle w:val="TOCHeading"/>
            <w:rPr>
              <w:rFonts w:asciiTheme="minorHAnsi" w:eastAsiaTheme="minorHAnsi" w:hAnsiTheme="minorHAnsi" w:cstheme="minorBidi"/>
              <w:color w:val="auto"/>
              <w:sz w:val="22"/>
              <w:szCs w:val="22"/>
              <w:lang w:val="en-GB"/>
            </w:rPr>
          </w:pPr>
        </w:p>
        <w:p w14:paraId="7E111336" w14:textId="77777777" w:rsidR="009007A5" w:rsidRDefault="009007A5">
          <w:pPr>
            <w:pStyle w:val="TOCHeading"/>
            <w:rPr>
              <w:rFonts w:asciiTheme="minorHAnsi" w:eastAsiaTheme="minorHAnsi" w:hAnsiTheme="minorHAnsi" w:cstheme="minorBidi"/>
              <w:color w:val="auto"/>
              <w:sz w:val="22"/>
              <w:szCs w:val="22"/>
              <w:lang w:val="en-GB"/>
            </w:rPr>
          </w:pPr>
        </w:p>
        <w:p w14:paraId="564FB461" w14:textId="77777777" w:rsidR="009007A5" w:rsidRDefault="009007A5">
          <w:pPr>
            <w:pStyle w:val="TOCHeading"/>
            <w:rPr>
              <w:rFonts w:asciiTheme="minorHAnsi" w:eastAsiaTheme="minorHAnsi" w:hAnsiTheme="minorHAnsi" w:cstheme="minorBidi"/>
              <w:color w:val="auto"/>
              <w:sz w:val="22"/>
              <w:szCs w:val="22"/>
              <w:lang w:val="en-GB"/>
            </w:rPr>
          </w:pPr>
        </w:p>
        <w:p w14:paraId="6C97A2A9" w14:textId="77777777" w:rsidR="009007A5" w:rsidRDefault="009007A5">
          <w:pPr>
            <w:pStyle w:val="TOCHeading"/>
            <w:rPr>
              <w:rFonts w:asciiTheme="minorHAnsi" w:eastAsiaTheme="minorHAnsi" w:hAnsiTheme="minorHAnsi" w:cstheme="minorBidi"/>
              <w:color w:val="auto"/>
              <w:sz w:val="22"/>
              <w:szCs w:val="22"/>
              <w:lang w:val="en-GB"/>
            </w:rPr>
          </w:pPr>
        </w:p>
        <w:p w14:paraId="2C55066A" w14:textId="4AC7C32E" w:rsidR="008B3F37" w:rsidRDefault="008B3F37">
          <w:pPr>
            <w:pStyle w:val="TOCHeading"/>
          </w:pPr>
          <w:r>
            <w:t>Contents</w:t>
          </w:r>
        </w:p>
        <w:p w14:paraId="54E3D63A" w14:textId="77777777" w:rsidR="008B3F37" w:rsidRPr="008B3F37" w:rsidRDefault="008B3F37" w:rsidP="008B3F37">
          <w:pPr>
            <w:rPr>
              <w:lang w:val="en-US"/>
            </w:rPr>
          </w:pPr>
        </w:p>
        <w:p w14:paraId="439E5CBA" w14:textId="77777777" w:rsidR="00BD5B90" w:rsidRDefault="008B3F3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53901250" w:history="1">
            <w:r w:rsidR="00BD5B90" w:rsidRPr="0088537E">
              <w:rPr>
                <w:rStyle w:val="Hyperlink"/>
                <w:noProof/>
              </w:rPr>
              <w:t>Introduction</w:t>
            </w:r>
            <w:r w:rsidR="00BD5B90">
              <w:rPr>
                <w:noProof/>
                <w:webHidden/>
              </w:rPr>
              <w:tab/>
            </w:r>
            <w:r w:rsidR="00BD5B90">
              <w:rPr>
                <w:noProof/>
                <w:webHidden/>
              </w:rPr>
              <w:fldChar w:fldCharType="begin"/>
            </w:r>
            <w:r w:rsidR="00BD5B90">
              <w:rPr>
                <w:noProof/>
                <w:webHidden/>
              </w:rPr>
              <w:instrText xml:space="preserve"> PAGEREF _Toc153901250 \h </w:instrText>
            </w:r>
            <w:r w:rsidR="00BD5B90">
              <w:rPr>
                <w:noProof/>
                <w:webHidden/>
              </w:rPr>
            </w:r>
            <w:r w:rsidR="00BD5B90">
              <w:rPr>
                <w:noProof/>
                <w:webHidden/>
              </w:rPr>
              <w:fldChar w:fldCharType="separate"/>
            </w:r>
            <w:r w:rsidR="00BD5B90">
              <w:rPr>
                <w:noProof/>
                <w:webHidden/>
              </w:rPr>
              <w:t>3</w:t>
            </w:r>
            <w:r w:rsidR="00BD5B90">
              <w:rPr>
                <w:noProof/>
                <w:webHidden/>
              </w:rPr>
              <w:fldChar w:fldCharType="end"/>
            </w:r>
          </w:hyperlink>
        </w:p>
        <w:p w14:paraId="2D583213" w14:textId="77777777" w:rsidR="00BD5B90" w:rsidRDefault="00000000">
          <w:pPr>
            <w:pStyle w:val="TOC1"/>
            <w:tabs>
              <w:tab w:val="right" w:leader="dot" w:pos="9016"/>
            </w:tabs>
            <w:rPr>
              <w:rFonts w:eastAsiaTheme="minorEastAsia"/>
              <w:noProof/>
              <w:lang w:eastAsia="en-GB"/>
            </w:rPr>
          </w:pPr>
          <w:hyperlink w:anchor="_Toc153901251" w:history="1">
            <w:r w:rsidR="00BD5B90" w:rsidRPr="0088537E">
              <w:rPr>
                <w:rStyle w:val="Hyperlink"/>
                <w:noProof/>
              </w:rPr>
              <w:t>Body</w:t>
            </w:r>
            <w:r w:rsidR="00BD5B90">
              <w:rPr>
                <w:noProof/>
                <w:webHidden/>
              </w:rPr>
              <w:tab/>
            </w:r>
            <w:r w:rsidR="00BD5B90">
              <w:rPr>
                <w:noProof/>
                <w:webHidden/>
              </w:rPr>
              <w:fldChar w:fldCharType="begin"/>
            </w:r>
            <w:r w:rsidR="00BD5B90">
              <w:rPr>
                <w:noProof/>
                <w:webHidden/>
              </w:rPr>
              <w:instrText xml:space="preserve"> PAGEREF _Toc153901251 \h </w:instrText>
            </w:r>
            <w:r w:rsidR="00BD5B90">
              <w:rPr>
                <w:noProof/>
                <w:webHidden/>
              </w:rPr>
            </w:r>
            <w:r w:rsidR="00BD5B90">
              <w:rPr>
                <w:noProof/>
                <w:webHidden/>
              </w:rPr>
              <w:fldChar w:fldCharType="separate"/>
            </w:r>
            <w:r w:rsidR="00BD5B90">
              <w:rPr>
                <w:noProof/>
                <w:webHidden/>
              </w:rPr>
              <w:t>3</w:t>
            </w:r>
            <w:r w:rsidR="00BD5B90">
              <w:rPr>
                <w:noProof/>
                <w:webHidden/>
              </w:rPr>
              <w:fldChar w:fldCharType="end"/>
            </w:r>
          </w:hyperlink>
        </w:p>
        <w:p w14:paraId="2B85C8F6" w14:textId="77777777" w:rsidR="00BD5B90" w:rsidRDefault="00000000">
          <w:pPr>
            <w:pStyle w:val="TOC1"/>
            <w:tabs>
              <w:tab w:val="right" w:leader="dot" w:pos="9016"/>
            </w:tabs>
            <w:rPr>
              <w:rFonts w:eastAsiaTheme="minorEastAsia"/>
              <w:noProof/>
              <w:lang w:eastAsia="en-GB"/>
            </w:rPr>
          </w:pPr>
          <w:hyperlink w:anchor="_Toc153901252" w:history="1">
            <w:r w:rsidR="00BD5B90" w:rsidRPr="0088537E">
              <w:rPr>
                <w:rStyle w:val="Hyperlink"/>
                <w:noProof/>
              </w:rPr>
              <w:t>Conclusions</w:t>
            </w:r>
            <w:r w:rsidR="00BD5B90">
              <w:rPr>
                <w:noProof/>
                <w:webHidden/>
              </w:rPr>
              <w:tab/>
            </w:r>
            <w:r w:rsidR="00BD5B90">
              <w:rPr>
                <w:noProof/>
                <w:webHidden/>
              </w:rPr>
              <w:fldChar w:fldCharType="begin"/>
            </w:r>
            <w:r w:rsidR="00BD5B90">
              <w:rPr>
                <w:noProof/>
                <w:webHidden/>
              </w:rPr>
              <w:instrText xml:space="preserve"> PAGEREF _Toc153901252 \h </w:instrText>
            </w:r>
            <w:r w:rsidR="00BD5B90">
              <w:rPr>
                <w:noProof/>
                <w:webHidden/>
              </w:rPr>
            </w:r>
            <w:r w:rsidR="00BD5B90">
              <w:rPr>
                <w:noProof/>
                <w:webHidden/>
              </w:rPr>
              <w:fldChar w:fldCharType="separate"/>
            </w:r>
            <w:r w:rsidR="00BD5B90">
              <w:rPr>
                <w:noProof/>
                <w:webHidden/>
              </w:rPr>
              <w:t>5</w:t>
            </w:r>
            <w:r w:rsidR="00BD5B90">
              <w:rPr>
                <w:noProof/>
                <w:webHidden/>
              </w:rPr>
              <w:fldChar w:fldCharType="end"/>
            </w:r>
          </w:hyperlink>
        </w:p>
        <w:p w14:paraId="467B58D6" w14:textId="77777777" w:rsidR="00BD5B90" w:rsidRDefault="00000000">
          <w:pPr>
            <w:pStyle w:val="TOC1"/>
            <w:tabs>
              <w:tab w:val="right" w:leader="dot" w:pos="9016"/>
            </w:tabs>
            <w:rPr>
              <w:rFonts w:eastAsiaTheme="minorEastAsia"/>
              <w:noProof/>
              <w:lang w:eastAsia="en-GB"/>
            </w:rPr>
          </w:pPr>
          <w:hyperlink w:anchor="_Toc153901253" w:history="1">
            <w:r w:rsidR="00BD5B90" w:rsidRPr="0088537E">
              <w:rPr>
                <w:rStyle w:val="Hyperlink"/>
                <w:noProof/>
              </w:rPr>
              <w:t>References</w:t>
            </w:r>
            <w:r w:rsidR="00BD5B90">
              <w:rPr>
                <w:noProof/>
                <w:webHidden/>
              </w:rPr>
              <w:tab/>
            </w:r>
            <w:r w:rsidR="00BD5B90">
              <w:rPr>
                <w:noProof/>
                <w:webHidden/>
              </w:rPr>
              <w:fldChar w:fldCharType="begin"/>
            </w:r>
            <w:r w:rsidR="00BD5B90">
              <w:rPr>
                <w:noProof/>
                <w:webHidden/>
              </w:rPr>
              <w:instrText xml:space="preserve"> PAGEREF _Toc153901253 \h </w:instrText>
            </w:r>
            <w:r w:rsidR="00BD5B90">
              <w:rPr>
                <w:noProof/>
                <w:webHidden/>
              </w:rPr>
            </w:r>
            <w:r w:rsidR="00BD5B90">
              <w:rPr>
                <w:noProof/>
                <w:webHidden/>
              </w:rPr>
              <w:fldChar w:fldCharType="separate"/>
            </w:r>
            <w:r w:rsidR="00BD5B90">
              <w:rPr>
                <w:noProof/>
                <w:webHidden/>
              </w:rPr>
              <w:t>5</w:t>
            </w:r>
            <w:r w:rsidR="00BD5B90">
              <w:rPr>
                <w:noProof/>
                <w:webHidden/>
              </w:rPr>
              <w:fldChar w:fldCharType="end"/>
            </w:r>
          </w:hyperlink>
        </w:p>
        <w:p w14:paraId="050BF0EC" w14:textId="77777777" w:rsidR="008B3F37" w:rsidRDefault="008B3F37">
          <w:r>
            <w:rPr>
              <w:b/>
              <w:bCs/>
              <w:noProof/>
            </w:rPr>
            <w:fldChar w:fldCharType="end"/>
          </w:r>
        </w:p>
      </w:sdtContent>
    </w:sdt>
    <w:p w14:paraId="362645C8" w14:textId="77777777" w:rsidR="008B3F37" w:rsidRDefault="008B3F37"/>
    <w:p w14:paraId="754FDE66" w14:textId="77777777" w:rsidR="008B3F37" w:rsidRDefault="008B3F37"/>
    <w:p w14:paraId="1413D99B" w14:textId="77777777" w:rsidR="008B3F37" w:rsidRDefault="008B3F37"/>
    <w:p w14:paraId="588FCE2C" w14:textId="77777777" w:rsidR="008B3F37" w:rsidRDefault="008B3F37"/>
    <w:p w14:paraId="1FE55709" w14:textId="77777777" w:rsidR="008B3F37" w:rsidRDefault="008B3F37"/>
    <w:p w14:paraId="3C48C112" w14:textId="77777777" w:rsidR="008B3F37" w:rsidRDefault="008B3F37"/>
    <w:p w14:paraId="4E23B059" w14:textId="77777777" w:rsidR="008B3F37" w:rsidRDefault="008B3F37"/>
    <w:p w14:paraId="4A3113E2" w14:textId="77777777" w:rsidR="008B3F37" w:rsidRDefault="008B3F37"/>
    <w:p w14:paraId="57D49EDD" w14:textId="77777777" w:rsidR="008B3F37" w:rsidRDefault="008B3F37"/>
    <w:p w14:paraId="12DF755B" w14:textId="77777777" w:rsidR="008B3F37" w:rsidRDefault="008B3F37"/>
    <w:p w14:paraId="21A5DB35" w14:textId="77777777" w:rsidR="008B3F37" w:rsidRDefault="008B3F37"/>
    <w:p w14:paraId="72D74E1A" w14:textId="77777777" w:rsidR="008B3F37" w:rsidRDefault="008B3F37"/>
    <w:p w14:paraId="48DC3115" w14:textId="77777777" w:rsidR="008B3F37" w:rsidRDefault="008B3F37"/>
    <w:p w14:paraId="4253D35D" w14:textId="77777777" w:rsidR="008B3F37" w:rsidRDefault="008B3F37"/>
    <w:p w14:paraId="6FE2CC99" w14:textId="16B81E2E" w:rsidR="008B3F37" w:rsidRDefault="008B3F37" w:rsidP="008B3F37">
      <w:pPr>
        <w:pStyle w:val="Heading1"/>
      </w:pPr>
      <w:bookmarkStart w:id="0" w:name="_Toc153901250"/>
      <w:r>
        <w:lastRenderedPageBreak/>
        <w:t>Introduction</w:t>
      </w:r>
      <w:bookmarkEnd w:id="0"/>
    </w:p>
    <w:p w14:paraId="6ACFEA9D" w14:textId="77777777" w:rsidR="008B3F37" w:rsidRPr="008B3F37" w:rsidRDefault="008B3F37" w:rsidP="008B3F37"/>
    <w:p w14:paraId="45686B91" w14:textId="77777777" w:rsidR="001D753D" w:rsidRDefault="001D753D" w:rsidP="008B3F37">
      <w:pPr>
        <w:jc w:val="both"/>
      </w:pPr>
      <w:r>
        <w:t>Multinational corporations (MNCs) operating across borders can be vulnerable to foreign exchange risk as currency exchange rate fluctuations impact the value of their foreign-currency denominated assets, liabilities and cash flows (Shapiro 2022). Effective management of exchange rate risk is vital to protecting profit margins and remaining globally competitive. According to extensive academic literature on international financial management, MNCs typically adopt three strategies to mitigate exchange rate risk: hedging, diversification across currencies and leading/lagging payments/receipts (Schein 2022).</w:t>
      </w:r>
    </w:p>
    <w:p w14:paraId="60A41A56" w14:textId="77777777" w:rsidR="008E2834" w:rsidRDefault="008E2834" w:rsidP="00BD5B90">
      <w:pPr>
        <w:pStyle w:val="Heading1"/>
      </w:pPr>
      <w:bookmarkStart w:id="1" w:name="_Toc153901251"/>
    </w:p>
    <w:p w14:paraId="38BAAE2A" w14:textId="77777777" w:rsidR="008E2834" w:rsidRDefault="008E2834" w:rsidP="00BD5B90">
      <w:pPr>
        <w:pStyle w:val="Heading1"/>
      </w:pPr>
    </w:p>
    <w:p w14:paraId="51F36E1F" w14:textId="129351ED" w:rsidR="00BD5B90" w:rsidRDefault="00BD5B90" w:rsidP="00BD5B90">
      <w:pPr>
        <w:pStyle w:val="Heading1"/>
      </w:pPr>
      <w:r>
        <w:t>Body</w:t>
      </w:r>
      <w:bookmarkEnd w:id="1"/>
    </w:p>
    <w:p w14:paraId="02D469F1" w14:textId="77777777" w:rsidR="00BD5B90" w:rsidRPr="00BD5B90" w:rsidRDefault="00BD5B90" w:rsidP="00BD5B90"/>
    <w:p w14:paraId="29F0EB63" w14:textId="77777777" w:rsidR="001D753D" w:rsidRDefault="001D753D" w:rsidP="008B3F37">
      <w:pPr>
        <w:jc w:val="both"/>
      </w:pPr>
      <w:r>
        <w:t xml:space="preserve">Hedging involves taking an opposing position in a derivative instrument like forwards, futures, swaps or options </w:t>
      </w:r>
      <w:proofErr w:type="gramStart"/>
      <w:r>
        <w:t>in order to</w:t>
      </w:r>
      <w:proofErr w:type="gramEnd"/>
      <w:r>
        <w:t xml:space="preserve"> mitigate against potential losses from fluctuations in exchange rate fluctuations (Madura &amp; Fox 2022). </w:t>
      </w:r>
      <w:proofErr w:type="spellStart"/>
      <w:r>
        <w:t>Eiteman</w:t>
      </w:r>
      <w:proofErr w:type="spellEnd"/>
      <w:r>
        <w:t xml:space="preserve"> et al. (2018) reported on this practice as follows. (2022), over 90% of large MNCs use some form of currency derivative to actively manage risk. For instance, UK-based importers with invoices invoiced in US Dollars can enter forward contracts to purchase USD at predetermined exchange rates. Hedging protects against currency depreciation, which would otherwise make imports more costly. Forward contracts, currency swaps, options and money market hedging (Shapiro 2022) can all be utilized to secure individual contract exposure while longer-term economic exposure should be strategically protected against anticipated movements of currencies.</w:t>
      </w:r>
    </w:p>
    <w:p w14:paraId="1A830E96" w14:textId="77777777" w:rsidR="001D753D" w:rsidRDefault="001D753D" w:rsidP="008B3F37">
      <w:pPr>
        <w:jc w:val="both"/>
      </w:pPr>
      <w:r>
        <w:t>Though hedging instruments may reduce short-term cashflow volatility, their use can incur costs such as transaction fees and margin requirements (</w:t>
      </w:r>
      <w:proofErr w:type="spellStart"/>
      <w:r>
        <w:t>Eiteman</w:t>
      </w:r>
      <w:proofErr w:type="spellEnd"/>
      <w:r>
        <w:t xml:space="preserve"> et al., 2022). Furthermore, </w:t>
      </w:r>
      <w:proofErr w:type="spellStart"/>
      <w:r>
        <w:t>overhedging</w:t>
      </w:r>
      <w:proofErr w:type="spellEnd"/>
      <w:r>
        <w:t xml:space="preserve"> without taking account of natural offsets often limits potential gains from </w:t>
      </w:r>
      <w:proofErr w:type="spellStart"/>
      <w:r>
        <w:t>favorable</w:t>
      </w:r>
      <w:proofErr w:type="spellEnd"/>
      <w:r>
        <w:t xml:space="preserve"> exchange rate movements, making complete insulation from currency fluctuations unwise (Madura &amp; Fox, 2022). MNCs should strive to strike an appropriate balance between risk protection benefits and costs according to factors like exchange rate volatility, transaction size and timeframe - while fulfilling organizational risk appetite requirements.</w:t>
      </w:r>
    </w:p>
    <w:p w14:paraId="30D33DE6" w14:textId="77777777" w:rsidR="001D753D" w:rsidRDefault="001D753D" w:rsidP="008B3F37">
      <w:pPr>
        <w:jc w:val="both"/>
      </w:pPr>
      <w:r>
        <w:t>Currency diversification is an alternative way of mitigating foreign exchange risk (</w:t>
      </w:r>
      <w:proofErr w:type="spellStart"/>
      <w:r>
        <w:t>Eiteman</w:t>
      </w:r>
      <w:proofErr w:type="spellEnd"/>
      <w:r>
        <w:t xml:space="preserve"> et al., 2022). Jaguar Land Rover sells its vehicles globally across 100 markets and generates revenue using various currencies like the US Dollar, Euro, Chinese Renminbi and Japanese Yen. This diversified revenue base protects against currency swings such as the sharp depreciation of the Euro. Manufacturing inputs and debt obligations are also purchased internationally to spread costs among various currencies. Shapiro (2022) states that geographical diversification among production locations and cost structures helps balance exchange rate exposures naturally. Though limited in smaller economies with few currency alternatives, most large multinational corporations are globally diversified across both developed and emerging market currencies.</w:t>
      </w:r>
    </w:p>
    <w:p w14:paraId="32FA7D3E" w14:textId="77777777" w:rsidR="001D753D" w:rsidRDefault="001D753D" w:rsidP="008B3F37">
      <w:pPr>
        <w:jc w:val="both"/>
      </w:pPr>
      <w:r>
        <w:t xml:space="preserve">Leading and trailing payments and receipts involves strategically timing cashflows </w:t>
      </w:r>
      <w:proofErr w:type="gramStart"/>
      <w:r>
        <w:t>so as to</w:t>
      </w:r>
      <w:proofErr w:type="gramEnd"/>
      <w:r>
        <w:t xml:space="preserve"> minimize currency conversion when exchange rates become </w:t>
      </w:r>
      <w:proofErr w:type="spellStart"/>
      <w:r>
        <w:t>unfavorable</w:t>
      </w:r>
      <w:proofErr w:type="spellEnd"/>
      <w:r>
        <w:t xml:space="preserve"> (</w:t>
      </w:r>
      <w:proofErr w:type="spellStart"/>
      <w:r>
        <w:t>Eiteman</w:t>
      </w:r>
      <w:proofErr w:type="spellEnd"/>
      <w:r>
        <w:t xml:space="preserve"> et al., 2022). Exporters should seek faster customer payments when the value of the local currency weakens; foreign currency </w:t>
      </w:r>
      <w:r>
        <w:lastRenderedPageBreak/>
        <w:t xml:space="preserve">receipts can then buy more domestic currency upon being converted more rapidly into dollars or euros. Madura &amp; Fox (2019) argue that timing differentials between payments and receipts can act as a natural hedge against currency movements during any gap periods (Madura &amp; Fox, 2019). Cash management methods like netting currency payments against receipts and centralizing currency conversion decisions help minimize transaction costs as well as cash management fees. However, opportunities for leading and lagging can often be limited by the correlation of production costs with sales revenue and due dates for invoice payments (Shapiro 2022). </w:t>
      </w:r>
      <w:proofErr w:type="gramStart"/>
      <w:r>
        <w:t>Thus</w:t>
      </w:r>
      <w:proofErr w:type="gramEnd"/>
      <w:r>
        <w:t xml:space="preserve"> these techniques should serve more as supplements to broader hedging and diversification strategies rather than being taken as primary approaches.</w:t>
      </w:r>
    </w:p>
    <w:p w14:paraId="4EA38173" w14:textId="77777777" w:rsidR="001D753D" w:rsidRDefault="001D753D" w:rsidP="008B3F37">
      <w:pPr>
        <w:jc w:val="both"/>
      </w:pPr>
      <w:r>
        <w:t>Overall, using derivatives as hedges and diversifying across multinational operations as well as strategically timing cashflows are three effective strategies that multinational corporations (MNCs) can employ to effectively manage foreign exchange exposures (</w:t>
      </w:r>
      <w:proofErr w:type="spellStart"/>
      <w:r>
        <w:t>Eiteman</w:t>
      </w:r>
      <w:proofErr w:type="spellEnd"/>
      <w:r>
        <w:t xml:space="preserve"> et al. 2022). The exact combination deployed would depend on both internal and external factors. Smaller firms with concentrated currency exposures may rely more heavily on forwards and swaps as hedging strategies; large multinational corporations with multiple subsidiaries could utilize greater operational diversification across geographical subsidiaries and functional currencies. At times of extreme currency volatility, portfolio hedging through options may be increased </w:t>
      </w:r>
      <w:proofErr w:type="gramStart"/>
      <w:r>
        <w:t>in order to</w:t>
      </w:r>
      <w:proofErr w:type="gramEnd"/>
      <w:r>
        <w:t xml:space="preserve"> limit losses while still preserving upside potential relative to forwards (Madura &amp; Fox 2022). Consulting with CFOs plays a crucial role in creating personalized FX risk management strategies tailored specifically for an MNC's industry, size, cashflows and risk tolerance while adapting optimally to shifting market conditions.</w:t>
      </w:r>
    </w:p>
    <w:p w14:paraId="71A9EF04" w14:textId="77777777" w:rsidR="001D753D" w:rsidRDefault="001D753D" w:rsidP="008B3F37">
      <w:pPr>
        <w:jc w:val="both"/>
      </w:pPr>
      <w:r>
        <w:t xml:space="preserve">Hedge, diversification and leading/lagging cashflow strategies have long been implemented by multinational companies to manage currency risk, but continual financial innovation is providing them with new avenues to manage it. Tech firms are increasingly turning to automation and machine learning </w:t>
      </w:r>
      <w:proofErr w:type="gramStart"/>
      <w:r>
        <w:t>in order to</w:t>
      </w:r>
      <w:proofErr w:type="gramEnd"/>
      <w:r>
        <w:t xml:space="preserve"> forecast currency markets, identify hedging opportunities and execute instantly when thresholds are breached (Buehler et al., 2019). Algorithms use economic data, news reports, social media posts, and political developments to predict short-term exchange rate movements. This allows just-in-time hedging only when significant currency swings are anticipated instead of depending on traders for judgements about when hedging is required. Automated hedging also reduces manual oversight requirements allowing smaller firms with limited treasury staff implement sophisticated FX tools more quickly.</w:t>
      </w:r>
    </w:p>
    <w:p w14:paraId="1F436F48" w14:textId="77777777" w:rsidR="001D753D" w:rsidRDefault="001D753D" w:rsidP="008B3F37">
      <w:pPr>
        <w:jc w:val="both"/>
      </w:pPr>
      <w:proofErr w:type="spellStart"/>
      <w:r>
        <w:t>Kantox</w:t>
      </w:r>
      <w:proofErr w:type="spellEnd"/>
      <w:r>
        <w:t xml:space="preserve"> provides small and medium enterprises (SMEs) access to institutional grade hedging rates previously out of their reach (Brown et al., 2020). Pooling demand mimics large multinational corporations while drawing competitive quotes from dealing banks; SME exporters facing similar currency risks from depreciating Euro can club transactions to hedge collectively at reduced costs; these virtual currency unions demonstrate how financial technologies can democratize sophisticated risk management across corporate spectrums.</w:t>
      </w:r>
    </w:p>
    <w:p w14:paraId="7910D653" w14:textId="77777777" w:rsidR="001D753D" w:rsidRDefault="001D753D" w:rsidP="008B3F37">
      <w:pPr>
        <w:jc w:val="both"/>
      </w:pPr>
      <w:r>
        <w:t xml:space="preserve">Many Asian central banks have </w:t>
      </w:r>
      <w:proofErr w:type="gramStart"/>
      <w:r>
        <w:t>opened up</w:t>
      </w:r>
      <w:proofErr w:type="gramEnd"/>
      <w:r>
        <w:t xml:space="preserve"> clearing houses and exchanges that provide direct access to currency derivatives for corporates, bypassing commercial banks as intermediaries (</w:t>
      </w:r>
      <w:proofErr w:type="spellStart"/>
      <w:r>
        <w:t>Mulye</w:t>
      </w:r>
      <w:proofErr w:type="spellEnd"/>
      <w:r>
        <w:t>, 2018). India, South Korea and Malaysia all provide companies with trading platforms where they can purchase forwards, swaps and options referenced to local currencies often with lower fees compared to commercial bank interbank dealing rates; such access encourages risk-averse emerging market firms facing currency volatility from global capital flows to adopt hedging tools more frequently.</w:t>
      </w:r>
    </w:p>
    <w:p w14:paraId="15FB1EB3" w14:textId="77777777" w:rsidR="001D753D" w:rsidRDefault="001D753D" w:rsidP="008B3F37">
      <w:pPr>
        <w:jc w:val="both"/>
      </w:pPr>
      <w:r>
        <w:t xml:space="preserve">Financial engineers are also developing more customizable proxy hedging products like currency baskets and exchange-traded barrier options to manage foreign exchange risks (Fuertes et al., 2020). Barrier options have pre-set trigger points restricting payouts within agreed bands for greater risk </w:t>
      </w:r>
      <w:r>
        <w:lastRenderedPageBreak/>
        <w:t xml:space="preserve">containment than traditional options; blends of currency baskets aligned to MNC operational exposures offer inexpensive alternatives to multi-currency hedging. Thanks to innovators providing priced FX risk management solutions that </w:t>
      </w:r>
      <w:proofErr w:type="spellStart"/>
      <w:r>
        <w:t>derisk</w:t>
      </w:r>
      <w:proofErr w:type="spellEnd"/>
      <w:r>
        <w:t xml:space="preserve"> global operations more </w:t>
      </w:r>
      <w:proofErr w:type="spellStart"/>
      <w:r>
        <w:t>accessiblely</w:t>
      </w:r>
      <w:proofErr w:type="spellEnd"/>
      <w:r>
        <w:t xml:space="preserve"> without extensive treasury expertise being required by companies.</w:t>
      </w:r>
    </w:p>
    <w:p w14:paraId="5DD565E8" w14:textId="77777777" w:rsidR="001D753D" w:rsidRDefault="001D753D" w:rsidP="008B3F37">
      <w:pPr>
        <w:jc w:val="both"/>
      </w:pPr>
      <w:r>
        <w:t xml:space="preserve">As no single approach can effectively manage foreign exchange risks across various MNC profiles, the application of financial instruments that align with operational exposures enables appropriate </w:t>
      </w:r>
      <w:proofErr w:type="spellStart"/>
      <w:r>
        <w:t>derisking</w:t>
      </w:r>
      <w:proofErr w:type="spellEnd"/>
      <w:r>
        <w:t>. Both conventional OTC contracts and newer FX risk management platforms demonstrate potential for customization and efficiency gains through financial technologies. As global exchange rate volatility remains at historically high levels, constant innovation of FX risk transfer solutions provides international businesses with protection. Increasing awareness of available alternatives while making strategic choices among appropriate tools remain crucial components to managing FX risk successfully.</w:t>
      </w:r>
    </w:p>
    <w:p w14:paraId="5EB36DEA" w14:textId="77777777" w:rsidR="001D753D" w:rsidRDefault="001D753D" w:rsidP="008B3F37">
      <w:pPr>
        <w:jc w:val="both"/>
      </w:pPr>
      <w:r>
        <w:t>Large multinationals (MNCs) may benefit from accessing advanced FX risk solutions, whereas SMEs with limited trading volumes often lack the cost-effective hedge solutions needed to mitigate currency exposures - leading them to retain excessive FX risks on books.</w:t>
      </w:r>
    </w:p>
    <w:p w14:paraId="248C94C8" w14:textId="77777777" w:rsidR="001D753D" w:rsidRDefault="001D753D" w:rsidP="008B3F37">
      <w:pPr>
        <w:jc w:val="both"/>
      </w:pPr>
      <w:r>
        <w:t>Policymakers across both advanced and emerging economies have become aware of the risks posed by unmanaged currency volatility, so national authorities are working in collaboration with banks and financial technology firms to develop customized FX risk management platforms tailored specifically for SMEs in respective countries (BIS 2022).</w:t>
      </w:r>
    </w:p>
    <w:p w14:paraId="40349047" w14:textId="77777777" w:rsidR="001D753D" w:rsidRDefault="001D753D" w:rsidP="008B3F37">
      <w:pPr>
        <w:jc w:val="both"/>
      </w:pPr>
      <w:r>
        <w:t>Banks across Europe provide small exporters with preferential local currency loans and use future foreign currency receivables pledged as collateral (</w:t>
      </w:r>
      <w:proofErr w:type="spellStart"/>
      <w:r>
        <w:t>Bofondi</w:t>
      </w:r>
      <w:proofErr w:type="spellEnd"/>
      <w:r>
        <w:t xml:space="preserve"> &amp; Gobbi, 2018). Meanwhile, Singapore operates an SME FX Swap Facility which allows eligible companies to share forward hedging costs at reduced margins as well as access futures derivatives linked to key Asian currencies (MAS, 2022). National SME FX Hedging Infrastructure Fills Gaps in Accessibility and Affordability of Currency Risk Solutions</w:t>
      </w:r>
      <w:r w:rsidR="008B3F37">
        <w:t>.</w:t>
      </w:r>
    </w:p>
    <w:p w14:paraId="786F4E31" w14:textId="77777777" w:rsidR="008E2834" w:rsidRDefault="008E2834" w:rsidP="008B3F37">
      <w:pPr>
        <w:pStyle w:val="Heading1"/>
        <w:jc w:val="both"/>
      </w:pPr>
      <w:bookmarkStart w:id="2" w:name="_Toc153901252"/>
    </w:p>
    <w:p w14:paraId="3B8FC28B" w14:textId="217AA096" w:rsidR="008B3F37" w:rsidRDefault="008B3F37" w:rsidP="008B3F37">
      <w:pPr>
        <w:pStyle w:val="Heading1"/>
        <w:jc w:val="both"/>
      </w:pPr>
      <w:r>
        <w:t>Conclusions</w:t>
      </w:r>
      <w:bookmarkEnd w:id="2"/>
    </w:p>
    <w:p w14:paraId="152724AB" w14:textId="77777777" w:rsidR="008B3F37" w:rsidRPr="008B3F37" w:rsidRDefault="008B3F37" w:rsidP="008B3F37">
      <w:pPr>
        <w:jc w:val="both"/>
      </w:pPr>
    </w:p>
    <w:p w14:paraId="19B66341" w14:textId="77777777" w:rsidR="001D753D" w:rsidRDefault="001D753D" w:rsidP="008B3F37">
      <w:pPr>
        <w:jc w:val="both"/>
      </w:pPr>
      <w:r>
        <w:t xml:space="preserve">Simplified FX hedging embedded within standard trade finance facilities and payments systems can increase SME adoption (Fenech et al., 2019). Banks in Australia, New Zealand and Canada provide importers/exporters the option to automatically fix foreign currency invoice values within cross-border payment flows at the point of initiating transactions - an intuitive, </w:t>
      </w:r>
      <w:proofErr w:type="gramStart"/>
      <w:r>
        <w:t>low cost</w:t>
      </w:r>
      <w:proofErr w:type="gramEnd"/>
      <w:r>
        <w:t xml:space="preserve"> solution which effectively hedges against SME currency risk without disrupting existing mechanisms or disrupting business processes.</w:t>
      </w:r>
    </w:p>
    <w:p w14:paraId="050A71C2" w14:textId="77777777" w:rsidR="001D753D" w:rsidRDefault="001D753D" w:rsidP="008B3F37">
      <w:pPr>
        <w:jc w:val="both"/>
      </w:pPr>
      <w:r>
        <w:t>As small businesses account for most enterprises globally and play an essential role in job creation, addressing SME foreign exchange exposures is vital to maintaining economic stability. Accordingly, targeted policy actions to develop effective FX risk management pathways for smaller, less sophisticated entities provide both financial inclusion and balanced and sustainable global growth.</w:t>
      </w:r>
    </w:p>
    <w:p w14:paraId="7FE10732" w14:textId="77777777" w:rsidR="008E2834" w:rsidRDefault="008E2834" w:rsidP="008B3F37">
      <w:pPr>
        <w:pStyle w:val="Heading1"/>
        <w:jc w:val="both"/>
      </w:pPr>
      <w:bookmarkStart w:id="3" w:name="_Toc153901253"/>
    </w:p>
    <w:p w14:paraId="3E765FBB" w14:textId="77777777" w:rsidR="008E2834" w:rsidRDefault="008E2834" w:rsidP="008B3F37">
      <w:pPr>
        <w:pStyle w:val="Heading1"/>
        <w:jc w:val="both"/>
      </w:pPr>
    </w:p>
    <w:p w14:paraId="5AAF91E9" w14:textId="77777777" w:rsidR="008E2834" w:rsidRDefault="008E2834" w:rsidP="008B3F37">
      <w:pPr>
        <w:pStyle w:val="Heading1"/>
        <w:jc w:val="both"/>
      </w:pPr>
    </w:p>
    <w:p w14:paraId="14F8A264" w14:textId="77777777" w:rsidR="008E2834" w:rsidRDefault="008E2834" w:rsidP="008B3F37">
      <w:pPr>
        <w:pStyle w:val="Heading1"/>
        <w:jc w:val="both"/>
      </w:pPr>
    </w:p>
    <w:p w14:paraId="7CBADB57" w14:textId="1C7D7B87" w:rsidR="000E0652" w:rsidRDefault="008B3F37" w:rsidP="008B3F37">
      <w:pPr>
        <w:pStyle w:val="Heading1"/>
        <w:jc w:val="both"/>
      </w:pPr>
      <w:r>
        <w:t>References</w:t>
      </w:r>
      <w:bookmarkEnd w:id="3"/>
    </w:p>
    <w:p w14:paraId="277D9DD4" w14:textId="77777777" w:rsidR="008B3F37" w:rsidRPr="008B3F37" w:rsidRDefault="008B3F37" w:rsidP="008B3F37">
      <w:pPr>
        <w:jc w:val="both"/>
      </w:pPr>
    </w:p>
    <w:p w14:paraId="191CA65C" w14:textId="77777777" w:rsidR="000E0652" w:rsidRPr="000E0652" w:rsidRDefault="000E0652" w:rsidP="008B3F37">
      <w:pPr>
        <w:jc w:val="both"/>
      </w:pPr>
      <w:proofErr w:type="spellStart"/>
      <w:r w:rsidRPr="000E0652">
        <w:t>Eiteman</w:t>
      </w:r>
      <w:proofErr w:type="spellEnd"/>
      <w:r w:rsidRPr="000E0652">
        <w:t>, D.K., Stonehill, A.I. &amp; Moffett, M.H. (2022) Multinational Business Finance. Cambridge: Pearson Education.</w:t>
      </w:r>
    </w:p>
    <w:p w14:paraId="7B26D0D0" w14:textId="77777777" w:rsidR="000E0652" w:rsidRPr="000E0652" w:rsidRDefault="000E0652" w:rsidP="008B3F37">
      <w:pPr>
        <w:jc w:val="both"/>
      </w:pPr>
      <w:r w:rsidRPr="000E0652">
        <w:t>Madura, J. &amp; Fox, R. (2022) International Financial Management. Boston: Cengage Learning.</w:t>
      </w:r>
    </w:p>
    <w:p w14:paraId="1B25C103" w14:textId="77777777" w:rsidR="000E0652" w:rsidRPr="000E0652" w:rsidRDefault="000E0652" w:rsidP="008B3F37">
      <w:pPr>
        <w:jc w:val="both"/>
      </w:pPr>
      <w:r w:rsidRPr="000E0652">
        <w:t>Shapiro, A.C. (2022) Multinational Financial Management. Hoboken: Wiley.</w:t>
      </w:r>
    </w:p>
    <w:p w14:paraId="126A56E6" w14:textId="77777777" w:rsidR="000E0652" w:rsidRPr="000E0652" w:rsidRDefault="000E0652" w:rsidP="000E0652">
      <w:r w:rsidRPr="000E0652">
        <w:t>Brown, R., Rocha, A. &amp; Cowling, M. (2020) Financing entrepreneurship in the era of digital business models, Journal of Business Strategy, 41(1), pp.34-43.</w:t>
      </w:r>
    </w:p>
    <w:p w14:paraId="149481FC" w14:textId="77777777" w:rsidR="000E0652" w:rsidRPr="000E0652" w:rsidRDefault="000E0652" w:rsidP="000E0652">
      <w:r w:rsidRPr="000E0652">
        <w:t xml:space="preserve">Buehler, K., Junqueira, L. &amp; Moro Visconti, R. (2019) Artificial Intelligence in Banking. Zurich: McKinsey &amp; Company [online]. Available at: </w:t>
      </w:r>
      <w:hyperlink r:id="rId5" w:history="1">
        <w:r w:rsidRPr="000E0652">
          <w:rPr>
            <w:rStyle w:val="Hyperlink"/>
          </w:rPr>
          <w:t>https://mck.co/3g3t7zV</w:t>
        </w:r>
      </w:hyperlink>
      <w:r w:rsidRPr="000E0652">
        <w:t xml:space="preserve"> [Accessed 17 Dec. 2023].</w:t>
      </w:r>
    </w:p>
    <w:p w14:paraId="204B5E84" w14:textId="77777777" w:rsidR="000E0652" w:rsidRPr="000E0652" w:rsidRDefault="000E0652" w:rsidP="000E0652">
      <w:r w:rsidRPr="000E0652">
        <w:t xml:space="preserve">Fuertes, A.M., </w:t>
      </w:r>
      <w:proofErr w:type="spellStart"/>
      <w:r w:rsidRPr="000E0652">
        <w:t>Phylaktis</w:t>
      </w:r>
      <w:proofErr w:type="spellEnd"/>
      <w:r w:rsidRPr="000E0652">
        <w:t>, K. &amp; Yan, C. (2020) Hedging foreign exchange risk in exotic currency markets, European Financial Management, 26(2), pp.303-323.</w:t>
      </w:r>
    </w:p>
    <w:p w14:paraId="0675A9C0" w14:textId="77777777" w:rsidR="000E0652" w:rsidRPr="000E0652" w:rsidRDefault="000E0652" w:rsidP="000E0652">
      <w:proofErr w:type="spellStart"/>
      <w:r w:rsidRPr="000E0652">
        <w:t>Mulye</w:t>
      </w:r>
      <w:proofErr w:type="spellEnd"/>
      <w:r w:rsidRPr="000E0652">
        <w:t>, R. (2018) An Analysis of Currency Derivatives Markets in Asia. Mumbai: ICRA Online Ltd.</w:t>
      </w:r>
    </w:p>
    <w:p w14:paraId="6AFDDC46" w14:textId="77777777" w:rsidR="000E0652" w:rsidRPr="000E0652" w:rsidRDefault="000E0652" w:rsidP="000E0652">
      <w:r w:rsidRPr="000E0652">
        <w:t>Bank for International Settlements (BIS) (2022) FX hedging in emerging market economies. Basel: BIS.</w:t>
      </w:r>
    </w:p>
    <w:p w14:paraId="27F86C1B" w14:textId="77777777" w:rsidR="000E0652" w:rsidRPr="000E0652" w:rsidRDefault="000E0652" w:rsidP="000E0652">
      <w:proofErr w:type="spellStart"/>
      <w:r w:rsidRPr="000E0652">
        <w:t>Bofondi</w:t>
      </w:r>
      <w:proofErr w:type="spellEnd"/>
      <w:r w:rsidRPr="000E0652">
        <w:t>, M. &amp; Gobbi, G. (2018) SMEs and FOREX risk in Italy, Journal of International Money and Finance, 85(C), pp.30-53.</w:t>
      </w:r>
    </w:p>
    <w:p w14:paraId="00581943" w14:textId="77777777" w:rsidR="000E0652" w:rsidRPr="000E0652" w:rsidRDefault="000E0652" w:rsidP="000E0652">
      <w:r w:rsidRPr="000E0652">
        <w:t>Fenech, J.P., Bhatt, V. &amp; Yong, J. (2019) Forward with the future, HSBC Global Research Report. London: HSBC Bank plc.</w:t>
      </w:r>
    </w:p>
    <w:p w14:paraId="4ECDBD76" w14:textId="77777777" w:rsidR="000E0652" w:rsidRPr="000E0652" w:rsidRDefault="000E0652" w:rsidP="000E0652">
      <w:r w:rsidRPr="000E0652">
        <w:t>Monetary Authority of Singapore (MAS) (2022) MAS enhances access for SMEs to manage foreign exchange risks. Singapore: MAS.</w:t>
      </w:r>
    </w:p>
    <w:p w14:paraId="45EA3275" w14:textId="77777777" w:rsidR="00C43B92" w:rsidRDefault="00C43B92"/>
    <w:sectPr w:rsidR="00C43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BDD"/>
    <w:rsid w:val="000E0652"/>
    <w:rsid w:val="001C3C8E"/>
    <w:rsid w:val="001D753D"/>
    <w:rsid w:val="00367988"/>
    <w:rsid w:val="006F75DF"/>
    <w:rsid w:val="00711BDD"/>
    <w:rsid w:val="008B3F37"/>
    <w:rsid w:val="008E2834"/>
    <w:rsid w:val="009007A5"/>
    <w:rsid w:val="00A23517"/>
    <w:rsid w:val="00BD5B90"/>
    <w:rsid w:val="00C43B92"/>
    <w:rsid w:val="00C90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F292B"/>
  <w15:chartTrackingRefBased/>
  <w15:docId w15:val="{AA71ECEE-873F-42B8-A318-822A2DE97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0652"/>
    <w:rPr>
      <w:color w:val="0563C1" w:themeColor="hyperlink"/>
      <w:u w:val="single"/>
    </w:rPr>
  </w:style>
  <w:style w:type="character" w:customStyle="1" w:styleId="Heading1Char">
    <w:name w:val="Heading 1 Char"/>
    <w:basedOn w:val="DefaultParagraphFont"/>
    <w:link w:val="Heading1"/>
    <w:uiPriority w:val="9"/>
    <w:rsid w:val="008B3F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3F37"/>
    <w:pPr>
      <w:outlineLvl w:val="9"/>
    </w:pPr>
    <w:rPr>
      <w:lang w:val="en-US"/>
    </w:rPr>
  </w:style>
  <w:style w:type="paragraph" w:styleId="TOC1">
    <w:name w:val="toc 1"/>
    <w:basedOn w:val="Normal"/>
    <w:next w:val="Normal"/>
    <w:autoRedefine/>
    <w:uiPriority w:val="39"/>
    <w:unhideWhenUsed/>
    <w:rsid w:val="008B3F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3637">
      <w:bodyDiv w:val="1"/>
      <w:marLeft w:val="0"/>
      <w:marRight w:val="0"/>
      <w:marTop w:val="0"/>
      <w:marBottom w:val="0"/>
      <w:divBdr>
        <w:top w:val="none" w:sz="0" w:space="0" w:color="auto"/>
        <w:left w:val="none" w:sz="0" w:space="0" w:color="auto"/>
        <w:bottom w:val="none" w:sz="0" w:space="0" w:color="auto"/>
        <w:right w:val="none" w:sz="0" w:space="0" w:color="auto"/>
      </w:divBdr>
    </w:div>
    <w:div w:id="100539115">
      <w:bodyDiv w:val="1"/>
      <w:marLeft w:val="0"/>
      <w:marRight w:val="0"/>
      <w:marTop w:val="0"/>
      <w:marBottom w:val="0"/>
      <w:divBdr>
        <w:top w:val="none" w:sz="0" w:space="0" w:color="auto"/>
        <w:left w:val="none" w:sz="0" w:space="0" w:color="auto"/>
        <w:bottom w:val="none" w:sz="0" w:space="0" w:color="auto"/>
        <w:right w:val="none" w:sz="0" w:space="0" w:color="auto"/>
      </w:divBdr>
    </w:div>
    <w:div w:id="173082322">
      <w:bodyDiv w:val="1"/>
      <w:marLeft w:val="0"/>
      <w:marRight w:val="0"/>
      <w:marTop w:val="0"/>
      <w:marBottom w:val="0"/>
      <w:divBdr>
        <w:top w:val="none" w:sz="0" w:space="0" w:color="auto"/>
        <w:left w:val="none" w:sz="0" w:space="0" w:color="auto"/>
        <w:bottom w:val="none" w:sz="0" w:space="0" w:color="auto"/>
        <w:right w:val="none" w:sz="0" w:space="0" w:color="auto"/>
      </w:divBdr>
    </w:div>
    <w:div w:id="447436032">
      <w:bodyDiv w:val="1"/>
      <w:marLeft w:val="0"/>
      <w:marRight w:val="0"/>
      <w:marTop w:val="0"/>
      <w:marBottom w:val="0"/>
      <w:divBdr>
        <w:top w:val="none" w:sz="0" w:space="0" w:color="auto"/>
        <w:left w:val="none" w:sz="0" w:space="0" w:color="auto"/>
        <w:bottom w:val="none" w:sz="0" w:space="0" w:color="auto"/>
        <w:right w:val="none" w:sz="0" w:space="0" w:color="auto"/>
      </w:divBdr>
    </w:div>
    <w:div w:id="630672882">
      <w:bodyDiv w:val="1"/>
      <w:marLeft w:val="0"/>
      <w:marRight w:val="0"/>
      <w:marTop w:val="0"/>
      <w:marBottom w:val="0"/>
      <w:divBdr>
        <w:top w:val="none" w:sz="0" w:space="0" w:color="auto"/>
        <w:left w:val="none" w:sz="0" w:space="0" w:color="auto"/>
        <w:bottom w:val="none" w:sz="0" w:space="0" w:color="auto"/>
        <w:right w:val="none" w:sz="0" w:space="0" w:color="auto"/>
      </w:divBdr>
    </w:div>
    <w:div w:id="814836112">
      <w:bodyDiv w:val="1"/>
      <w:marLeft w:val="0"/>
      <w:marRight w:val="0"/>
      <w:marTop w:val="0"/>
      <w:marBottom w:val="0"/>
      <w:divBdr>
        <w:top w:val="none" w:sz="0" w:space="0" w:color="auto"/>
        <w:left w:val="none" w:sz="0" w:space="0" w:color="auto"/>
        <w:bottom w:val="none" w:sz="0" w:space="0" w:color="auto"/>
        <w:right w:val="none" w:sz="0" w:space="0" w:color="auto"/>
      </w:divBdr>
    </w:div>
    <w:div w:id="904148113">
      <w:bodyDiv w:val="1"/>
      <w:marLeft w:val="0"/>
      <w:marRight w:val="0"/>
      <w:marTop w:val="0"/>
      <w:marBottom w:val="0"/>
      <w:divBdr>
        <w:top w:val="none" w:sz="0" w:space="0" w:color="auto"/>
        <w:left w:val="none" w:sz="0" w:space="0" w:color="auto"/>
        <w:bottom w:val="none" w:sz="0" w:space="0" w:color="auto"/>
        <w:right w:val="none" w:sz="0" w:space="0" w:color="auto"/>
      </w:divBdr>
    </w:div>
    <w:div w:id="1062411111">
      <w:bodyDiv w:val="1"/>
      <w:marLeft w:val="0"/>
      <w:marRight w:val="0"/>
      <w:marTop w:val="0"/>
      <w:marBottom w:val="0"/>
      <w:divBdr>
        <w:top w:val="none" w:sz="0" w:space="0" w:color="auto"/>
        <w:left w:val="none" w:sz="0" w:space="0" w:color="auto"/>
        <w:bottom w:val="none" w:sz="0" w:space="0" w:color="auto"/>
        <w:right w:val="none" w:sz="0" w:space="0" w:color="auto"/>
      </w:divBdr>
    </w:div>
    <w:div w:id="1709838804">
      <w:bodyDiv w:val="1"/>
      <w:marLeft w:val="0"/>
      <w:marRight w:val="0"/>
      <w:marTop w:val="0"/>
      <w:marBottom w:val="0"/>
      <w:divBdr>
        <w:top w:val="none" w:sz="0" w:space="0" w:color="auto"/>
        <w:left w:val="none" w:sz="0" w:space="0" w:color="auto"/>
        <w:bottom w:val="none" w:sz="0" w:space="0" w:color="auto"/>
        <w:right w:val="none" w:sz="0" w:space="0" w:color="auto"/>
      </w:divBdr>
    </w:div>
    <w:div w:id="1735079184">
      <w:bodyDiv w:val="1"/>
      <w:marLeft w:val="0"/>
      <w:marRight w:val="0"/>
      <w:marTop w:val="0"/>
      <w:marBottom w:val="0"/>
      <w:divBdr>
        <w:top w:val="none" w:sz="0" w:space="0" w:color="auto"/>
        <w:left w:val="none" w:sz="0" w:space="0" w:color="auto"/>
        <w:bottom w:val="none" w:sz="0" w:space="0" w:color="auto"/>
        <w:right w:val="none" w:sz="0" w:space="0" w:color="auto"/>
      </w:divBdr>
    </w:div>
    <w:div w:id="1885364418">
      <w:bodyDiv w:val="1"/>
      <w:marLeft w:val="0"/>
      <w:marRight w:val="0"/>
      <w:marTop w:val="0"/>
      <w:marBottom w:val="0"/>
      <w:divBdr>
        <w:top w:val="none" w:sz="0" w:space="0" w:color="auto"/>
        <w:left w:val="none" w:sz="0" w:space="0" w:color="auto"/>
        <w:bottom w:val="none" w:sz="0" w:space="0" w:color="auto"/>
        <w:right w:val="none" w:sz="0" w:space="0" w:color="auto"/>
      </w:divBdr>
    </w:div>
    <w:div w:id="207500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ck.co/3g3t7z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4D57B-F8A5-4923-AB57-C5ECB6F6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1840</Words>
  <Characters>10674</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2024-01-01T08:56:00Z</dcterms:created>
  <dcterms:modified xsi:type="dcterms:W3CDTF">2024-01-01T09:19:00Z</dcterms:modified>
</cp:coreProperties>
</file>