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F5136" w14:textId="5CD41350" w:rsidR="00B161BD" w:rsidRPr="00FC473C" w:rsidRDefault="00AF544A" w:rsidP="00AF544A">
      <w:pPr>
        <w:tabs>
          <w:tab w:val="left" w:pos="2127"/>
        </w:tabs>
        <w:jc w:val="center"/>
        <w:rPr>
          <w:rFonts w:ascii="Arial" w:hAnsi="Arial" w:cs="Arial"/>
          <w:b/>
          <w:bCs/>
          <w:sz w:val="32"/>
          <w:szCs w:val="32"/>
        </w:rPr>
      </w:pPr>
      <w:r>
        <w:rPr>
          <w:noProof/>
        </w:rPr>
        <w:drawing>
          <wp:inline distT="0" distB="0" distL="0" distR="0" wp14:anchorId="4EF5CA6A" wp14:editId="466322FE">
            <wp:extent cx="4733925" cy="2076450"/>
            <wp:effectExtent l="0" t="0" r="9525" b="0"/>
            <wp:docPr id="1251402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402256" name=""/>
                    <pic:cNvPicPr/>
                  </pic:nvPicPr>
                  <pic:blipFill>
                    <a:blip r:embed="rId7"/>
                    <a:stretch>
                      <a:fillRect/>
                    </a:stretch>
                  </pic:blipFill>
                  <pic:spPr>
                    <a:xfrm>
                      <a:off x="0" y="0"/>
                      <a:ext cx="4733925" cy="2076450"/>
                    </a:xfrm>
                    <a:prstGeom prst="rect">
                      <a:avLst/>
                    </a:prstGeom>
                  </pic:spPr>
                </pic:pic>
              </a:graphicData>
            </a:graphic>
          </wp:inline>
        </w:drawing>
      </w:r>
    </w:p>
    <w:p w14:paraId="2A9B45BB" w14:textId="68B1CDF3" w:rsidR="00B161BD" w:rsidRDefault="00AF544A">
      <w:pPr>
        <w:rPr>
          <w:rFonts w:ascii="Arial" w:hAnsi="Arial" w:cs="Arial"/>
          <w:b/>
          <w:bCs/>
          <w:sz w:val="32"/>
          <w:szCs w:val="32"/>
        </w:rPr>
      </w:pPr>
      <w:r>
        <w:rPr>
          <w:rFonts w:ascii="Arial" w:hAnsi="Arial" w:cs="Arial"/>
          <w:b/>
          <w:bCs/>
          <w:sz w:val="32"/>
          <w:szCs w:val="32"/>
        </w:rPr>
        <w:t>Assessment Component 1: Marketing Environment Analysis</w:t>
      </w:r>
    </w:p>
    <w:p w14:paraId="3985DC9A" w14:textId="6CA26E3F" w:rsidR="00AF544A" w:rsidRDefault="00AF544A" w:rsidP="00AF544A">
      <w:pPr>
        <w:jc w:val="center"/>
        <w:rPr>
          <w:rFonts w:ascii="Arial" w:hAnsi="Arial" w:cs="Arial"/>
          <w:b/>
          <w:bCs/>
          <w:sz w:val="32"/>
          <w:szCs w:val="32"/>
        </w:rPr>
      </w:pPr>
      <w:r>
        <w:rPr>
          <w:rFonts w:ascii="Arial" w:hAnsi="Arial" w:cs="Arial"/>
          <w:b/>
          <w:bCs/>
          <w:sz w:val="32"/>
          <w:szCs w:val="32"/>
        </w:rPr>
        <w:t xml:space="preserve">Module: </w:t>
      </w:r>
      <w:r w:rsidRPr="00AF544A">
        <w:rPr>
          <w:rFonts w:ascii="Arial" w:hAnsi="Arial" w:cs="Arial"/>
          <w:sz w:val="32"/>
          <w:szCs w:val="32"/>
        </w:rPr>
        <w:t>Marketing Management</w:t>
      </w:r>
    </w:p>
    <w:p w14:paraId="0C1B38CE" w14:textId="03333847" w:rsidR="00AF544A" w:rsidRDefault="00AF544A" w:rsidP="00AF544A">
      <w:pPr>
        <w:jc w:val="center"/>
        <w:rPr>
          <w:rFonts w:ascii="Arial" w:hAnsi="Arial" w:cs="Arial"/>
          <w:sz w:val="32"/>
          <w:szCs w:val="32"/>
        </w:rPr>
      </w:pPr>
      <w:r>
        <w:rPr>
          <w:rFonts w:ascii="Arial" w:hAnsi="Arial" w:cs="Arial"/>
          <w:b/>
          <w:bCs/>
          <w:sz w:val="32"/>
          <w:szCs w:val="32"/>
        </w:rPr>
        <w:t xml:space="preserve">Module Code: </w:t>
      </w:r>
      <w:r w:rsidRPr="00AF544A">
        <w:rPr>
          <w:rFonts w:ascii="Arial" w:hAnsi="Arial" w:cs="Arial"/>
          <w:sz w:val="32"/>
          <w:szCs w:val="32"/>
        </w:rPr>
        <w:t>LCMB7024</w:t>
      </w:r>
    </w:p>
    <w:p w14:paraId="0483A1D3" w14:textId="61AEDEAD" w:rsidR="00AF544A" w:rsidRDefault="00AF544A" w:rsidP="00AF544A">
      <w:pPr>
        <w:jc w:val="center"/>
        <w:rPr>
          <w:rFonts w:ascii="Arial" w:hAnsi="Arial" w:cs="Arial"/>
          <w:sz w:val="32"/>
          <w:szCs w:val="32"/>
        </w:rPr>
      </w:pPr>
      <w:proofErr w:type="spellStart"/>
      <w:r>
        <w:rPr>
          <w:rFonts w:ascii="Arial" w:hAnsi="Arial" w:cs="Arial"/>
          <w:b/>
          <w:bCs/>
          <w:sz w:val="32"/>
          <w:szCs w:val="32"/>
        </w:rPr>
        <w:t>P</w:t>
      </w:r>
      <w:r w:rsidRPr="00AF544A">
        <w:rPr>
          <w:rFonts w:ascii="Arial" w:hAnsi="Arial" w:cs="Arial"/>
          <w:b/>
          <w:bCs/>
          <w:sz w:val="32"/>
          <w:szCs w:val="32"/>
        </w:rPr>
        <w:t>rogramme</w:t>
      </w:r>
      <w:proofErr w:type="spellEnd"/>
      <w:r>
        <w:rPr>
          <w:rFonts w:ascii="Arial" w:hAnsi="Arial" w:cs="Arial"/>
          <w:b/>
          <w:bCs/>
          <w:sz w:val="32"/>
          <w:szCs w:val="32"/>
        </w:rPr>
        <w:t xml:space="preserve">: </w:t>
      </w:r>
      <w:r w:rsidRPr="00AF544A">
        <w:rPr>
          <w:rFonts w:ascii="Arial" w:hAnsi="Arial" w:cs="Arial"/>
          <w:sz w:val="32"/>
          <w:szCs w:val="32"/>
        </w:rPr>
        <w:t>Master of Business Administration (MBA)</w:t>
      </w:r>
    </w:p>
    <w:p w14:paraId="70D0D3ED" w14:textId="5C4C37DF" w:rsidR="00146240" w:rsidRPr="00146240" w:rsidRDefault="00146240" w:rsidP="00146240">
      <w:pPr>
        <w:jc w:val="center"/>
        <w:rPr>
          <w:rFonts w:ascii="Arial" w:hAnsi="Arial" w:cs="Arial"/>
        </w:rPr>
      </w:pPr>
      <w:r w:rsidRPr="00146240">
        <w:rPr>
          <w:rFonts w:ascii="Arial" w:hAnsi="Arial" w:cs="Arial"/>
          <w:b/>
          <w:bCs/>
          <w:sz w:val="32"/>
          <w:szCs w:val="32"/>
        </w:rPr>
        <w:t>Title:</w:t>
      </w:r>
      <w:r w:rsidRPr="00146240">
        <w:rPr>
          <w:rFonts w:ascii="Arial" w:hAnsi="Arial" w:cs="Arial"/>
        </w:rPr>
        <w:t xml:space="preserve"> </w:t>
      </w:r>
      <w:r w:rsidRPr="00146240">
        <w:rPr>
          <w:rFonts w:ascii="Arial" w:hAnsi="Arial" w:cs="Arial"/>
          <w:sz w:val="28"/>
          <w:szCs w:val="28"/>
        </w:rPr>
        <w:t>Strategic Marketing Management: Macro Environment Analysis and Strategic Responses in the Global Electric Vehicle (Ev) Industry</w:t>
      </w:r>
    </w:p>
    <w:p w14:paraId="2CE6B328" w14:textId="4B1374C9" w:rsidR="00AF544A" w:rsidRDefault="00AF544A" w:rsidP="00AF544A">
      <w:pPr>
        <w:jc w:val="center"/>
        <w:rPr>
          <w:rFonts w:ascii="Arial" w:hAnsi="Arial" w:cs="Arial"/>
          <w:b/>
          <w:bCs/>
          <w:sz w:val="32"/>
          <w:szCs w:val="32"/>
        </w:rPr>
      </w:pPr>
      <w:r>
        <w:rPr>
          <w:rFonts w:ascii="Arial" w:hAnsi="Arial" w:cs="Arial"/>
          <w:b/>
          <w:bCs/>
          <w:sz w:val="32"/>
          <w:szCs w:val="32"/>
        </w:rPr>
        <w:t xml:space="preserve">Student Name: </w:t>
      </w:r>
      <w:r w:rsidRPr="00AF544A">
        <w:rPr>
          <w:rFonts w:ascii="Arial" w:hAnsi="Arial" w:cs="Arial"/>
          <w:sz w:val="32"/>
          <w:szCs w:val="32"/>
        </w:rPr>
        <w:t>VAISHALI SAJAN MODHWADIYA</w:t>
      </w:r>
    </w:p>
    <w:p w14:paraId="2183B88F" w14:textId="242A50B0" w:rsidR="00AF544A" w:rsidRDefault="00AF544A" w:rsidP="00AF544A">
      <w:pPr>
        <w:jc w:val="center"/>
        <w:rPr>
          <w:rFonts w:ascii="Arial" w:hAnsi="Arial" w:cs="Arial"/>
          <w:b/>
          <w:bCs/>
          <w:sz w:val="32"/>
          <w:szCs w:val="32"/>
        </w:rPr>
      </w:pPr>
      <w:r>
        <w:rPr>
          <w:rFonts w:ascii="Arial" w:hAnsi="Arial" w:cs="Arial"/>
          <w:b/>
          <w:bCs/>
          <w:sz w:val="32"/>
          <w:szCs w:val="32"/>
        </w:rPr>
        <w:t xml:space="preserve">Student ID: </w:t>
      </w:r>
      <w:r w:rsidRPr="00AF544A">
        <w:rPr>
          <w:rFonts w:ascii="Arial" w:hAnsi="Arial" w:cs="Arial"/>
          <w:sz w:val="32"/>
          <w:szCs w:val="32"/>
        </w:rPr>
        <w:t>2527761</w:t>
      </w:r>
    </w:p>
    <w:p w14:paraId="3F2C4BA6" w14:textId="31D1A17C" w:rsidR="00AF544A" w:rsidRDefault="00AF544A" w:rsidP="00AF544A">
      <w:pPr>
        <w:jc w:val="center"/>
        <w:rPr>
          <w:rFonts w:ascii="Arial" w:hAnsi="Arial" w:cs="Arial"/>
          <w:b/>
          <w:bCs/>
          <w:sz w:val="32"/>
          <w:szCs w:val="32"/>
        </w:rPr>
      </w:pPr>
      <w:r>
        <w:rPr>
          <w:rFonts w:ascii="Arial" w:hAnsi="Arial" w:cs="Arial"/>
          <w:b/>
          <w:bCs/>
          <w:sz w:val="32"/>
          <w:szCs w:val="32"/>
        </w:rPr>
        <w:t xml:space="preserve">Lecturer: </w:t>
      </w:r>
      <w:r w:rsidRPr="00146240">
        <w:rPr>
          <w:rFonts w:ascii="Arial" w:hAnsi="Arial" w:cs="Arial"/>
          <w:sz w:val="32"/>
          <w:szCs w:val="32"/>
        </w:rPr>
        <w:t xml:space="preserve">Laila </w:t>
      </w:r>
      <w:proofErr w:type="spellStart"/>
      <w:r w:rsidRPr="00146240">
        <w:rPr>
          <w:rFonts w:ascii="Arial" w:hAnsi="Arial" w:cs="Arial"/>
          <w:sz w:val="32"/>
          <w:szCs w:val="32"/>
        </w:rPr>
        <w:t>Maazouz</w:t>
      </w:r>
      <w:proofErr w:type="spellEnd"/>
      <w:r w:rsidRPr="00146240">
        <w:rPr>
          <w:rFonts w:ascii="Arial" w:hAnsi="Arial" w:cs="Arial"/>
          <w:sz w:val="32"/>
          <w:szCs w:val="32"/>
        </w:rPr>
        <w:t xml:space="preserve"> / Dian </w:t>
      </w:r>
      <w:proofErr w:type="spellStart"/>
      <w:r w:rsidRPr="00146240">
        <w:rPr>
          <w:rFonts w:ascii="Arial" w:hAnsi="Arial" w:cs="Arial"/>
          <w:sz w:val="32"/>
          <w:szCs w:val="32"/>
        </w:rPr>
        <w:t>Mayasari</w:t>
      </w:r>
      <w:proofErr w:type="spellEnd"/>
    </w:p>
    <w:p w14:paraId="597A91A4" w14:textId="2E8DA3F5" w:rsidR="00AF544A" w:rsidRDefault="00AF544A" w:rsidP="00AF544A">
      <w:pPr>
        <w:jc w:val="center"/>
        <w:rPr>
          <w:rFonts w:ascii="Arial" w:hAnsi="Arial" w:cs="Arial"/>
          <w:b/>
          <w:bCs/>
          <w:sz w:val="32"/>
          <w:szCs w:val="32"/>
        </w:rPr>
      </w:pPr>
      <w:r>
        <w:rPr>
          <w:rFonts w:ascii="Arial" w:hAnsi="Arial" w:cs="Arial"/>
          <w:b/>
          <w:bCs/>
          <w:sz w:val="32"/>
          <w:szCs w:val="32"/>
        </w:rPr>
        <w:t xml:space="preserve">University: </w:t>
      </w:r>
      <w:r w:rsidRPr="00146240">
        <w:rPr>
          <w:rFonts w:ascii="Arial" w:hAnsi="Arial" w:cs="Arial"/>
          <w:sz w:val="32"/>
          <w:szCs w:val="32"/>
        </w:rPr>
        <w:t>University of Wales Trinity Saint David</w:t>
      </w:r>
    </w:p>
    <w:p w14:paraId="19A29193" w14:textId="00E7AD83" w:rsidR="00AF544A" w:rsidRPr="00FC473C" w:rsidRDefault="00AF544A" w:rsidP="00AF544A">
      <w:pPr>
        <w:jc w:val="center"/>
        <w:rPr>
          <w:rFonts w:ascii="Arial" w:hAnsi="Arial" w:cs="Arial"/>
          <w:b/>
          <w:bCs/>
          <w:sz w:val="32"/>
          <w:szCs w:val="32"/>
        </w:rPr>
      </w:pPr>
      <w:r>
        <w:rPr>
          <w:rFonts w:ascii="Arial" w:hAnsi="Arial" w:cs="Arial"/>
          <w:b/>
          <w:bCs/>
          <w:sz w:val="32"/>
          <w:szCs w:val="32"/>
        </w:rPr>
        <w:t xml:space="preserve">Word Count: </w:t>
      </w:r>
      <w:r w:rsidRPr="00146240">
        <w:rPr>
          <w:rFonts w:ascii="Arial" w:hAnsi="Arial" w:cs="Arial"/>
          <w:sz w:val="32"/>
          <w:szCs w:val="32"/>
        </w:rPr>
        <w:t>2428</w:t>
      </w:r>
    </w:p>
    <w:p w14:paraId="21CEEADB" w14:textId="77777777" w:rsidR="00B161BD" w:rsidRPr="00FC473C" w:rsidRDefault="00B161BD" w:rsidP="00AF544A">
      <w:pPr>
        <w:jc w:val="center"/>
        <w:rPr>
          <w:rFonts w:ascii="Arial" w:hAnsi="Arial" w:cs="Arial"/>
          <w:b/>
          <w:bCs/>
          <w:sz w:val="32"/>
          <w:szCs w:val="32"/>
        </w:rPr>
      </w:pPr>
    </w:p>
    <w:p w14:paraId="1A1497D2" w14:textId="42812481" w:rsidR="00B161BD" w:rsidRPr="00FC473C" w:rsidRDefault="00000000">
      <w:pPr>
        <w:jc w:val="center"/>
        <w:rPr>
          <w:rFonts w:ascii="Arial" w:hAnsi="Arial" w:cs="Arial"/>
          <w:b/>
          <w:bCs/>
          <w:sz w:val="32"/>
          <w:szCs w:val="32"/>
        </w:rPr>
      </w:pPr>
      <w:r w:rsidRPr="00FC473C">
        <w:rPr>
          <w:rFonts w:ascii="Arial" w:hAnsi="Arial" w:cs="Arial"/>
        </w:rPr>
        <w:br w:type="page"/>
      </w:r>
    </w:p>
    <w:p w14:paraId="231118F9" w14:textId="77777777" w:rsidR="00B161BD" w:rsidRPr="00FC473C" w:rsidRDefault="00000000">
      <w:pPr>
        <w:jc w:val="center"/>
        <w:rPr>
          <w:rFonts w:ascii="Arial" w:hAnsi="Arial" w:cs="Arial"/>
          <w:b/>
          <w:bCs/>
          <w:sz w:val="28"/>
          <w:szCs w:val="28"/>
        </w:rPr>
      </w:pPr>
      <w:r w:rsidRPr="00FC473C">
        <w:rPr>
          <w:rFonts w:ascii="Arial" w:hAnsi="Arial" w:cs="Arial"/>
          <w:b/>
          <w:bCs/>
          <w:sz w:val="28"/>
          <w:szCs w:val="28"/>
        </w:rPr>
        <w:lastRenderedPageBreak/>
        <w:t>Table of Contents</w:t>
      </w:r>
    </w:p>
    <w:sdt>
      <w:sdtPr>
        <w:rPr>
          <w:rFonts w:ascii="Arial" w:hAnsi="Arial" w:cs="Arial"/>
        </w:rPr>
        <w:id w:val="-371546039"/>
        <w:docPartObj>
          <w:docPartGallery w:val="Table of Contents"/>
          <w:docPartUnique/>
        </w:docPartObj>
      </w:sdtPr>
      <w:sdtContent>
        <w:p w14:paraId="61F7DF72" w14:textId="32070E79" w:rsidR="00B161BD" w:rsidRPr="00FC473C" w:rsidRDefault="00000000">
          <w:pPr>
            <w:widowControl w:val="0"/>
            <w:tabs>
              <w:tab w:val="right" w:leader="dot" w:pos="9360"/>
            </w:tabs>
            <w:spacing w:before="60" w:after="0"/>
            <w:jc w:val="left"/>
            <w:rPr>
              <w:rFonts w:ascii="Arial" w:hAnsi="Arial" w:cs="Arial"/>
              <w:b/>
              <w:bCs/>
              <w:noProof/>
              <w:color w:val="000000"/>
            </w:rPr>
          </w:pPr>
          <w:r w:rsidRPr="00FC473C">
            <w:rPr>
              <w:rFonts w:ascii="Arial" w:hAnsi="Arial" w:cs="Arial"/>
            </w:rPr>
            <w:fldChar w:fldCharType="begin"/>
          </w:r>
          <w:r w:rsidRPr="00FC473C">
            <w:rPr>
              <w:rFonts w:ascii="Arial" w:hAnsi="Arial" w:cs="Arial"/>
            </w:rPr>
            <w:instrText xml:space="preserve"> TOC \h \u \z \t "Heading 1,1,Heading 2,2,Heading 3,3,Heading 4,4,Heading 5,5,Heading 6,6,"</w:instrText>
          </w:r>
          <w:r w:rsidRPr="00FC473C">
            <w:rPr>
              <w:rFonts w:ascii="Arial" w:hAnsi="Arial" w:cs="Arial"/>
            </w:rPr>
            <w:fldChar w:fldCharType="separate"/>
          </w:r>
          <w:hyperlink w:anchor="_onlui7dg3t6s">
            <w:r w:rsidR="00B161BD" w:rsidRPr="00FC473C">
              <w:rPr>
                <w:rFonts w:ascii="Arial" w:hAnsi="Arial" w:cs="Arial"/>
                <w:b/>
                <w:bCs/>
                <w:noProof/>
                <w:color w:val="000000"/>
              </w:rPr>
              <w:t>1. Introduction</w:t>
            </w:r>
            <w:r w:rsidR="00B161BD" w:rsidRPr="00FC473C">
              <w:rPr>
                <w:rFonts w:ascii="Arial" w:hAnsi="Arial" w:cs="Arial"/>
                <w:b/>
                <w:bCs/>
                <w:noProof/>
                <w:color w:val="000000"/>
              </w:rPr>
              <w:tab/>
            </w:r>
          </w:hyperlink>
          <w:r w:rsidRPr="00FC473C">
            <w:rPr>
              <w:rFonts w:ascii="Arial" w:hAnsi="Arial" w:cs="Arial"/>
              <w:noProof/>
            </w:rPr>
            <w:fldChar w:fldCharType="begin"/>
          </w:r>
          <w:r w:rsidRPr="00FC473C">
            <w:rPr>
              <w:rFonts w:ascii="Arial" w:hAnsi="Arial" w:cs="Arial"/>
              <w:noProof/>
            </w:rPr>
            <w:instrText xml:space="preserve"> PAGEREF _onlui7dg3t6s \h </w:instrText>
          </w:r>
          <w:r w:rsidRPr="00FC473C">
            <w:rPr>
              <w:rFonts w:ascii="Arial" w:hAnsi="Arial" w:cs="Arial"/>
              <w:noProof/>
            </w:rPr>
          </w:r>
          <w:r w:rsidRPr="00FC473C">
            <w:rPr>
              <w:rFonts w:ascii="Arial" w:hAnsi="Arial" w:cs="Arial"/>
              <w:noProof/>
            </w:rPr>
            <w:fldChar w:fldCharType="separate"/>
          </w:r>
          <w:r w:rsidR="00146240">
            <w:rPr>
              <w:rFonts w:ascii="Arial" w:hAnsi="Arial" w:cs="Arial"/>
              <w:noProof/>
            </w:rPr>
            <w:t>3</w:t>
          </w:r>
          <w:r w:rsidRPr="00FC473C">
            <w:rPr>
              <w:rFonts w:ascii="Arial" w:hAnsi="Arial" w:cs="Arial"/>
              <w:noProof/>
            </w:rPr>
            <w:fldChar w:fldCharType="end"/>
          </w:r>
        </w:p>
        <w:p w14:paraId="7D441431" w14:textId="0D01EC84" w:rsidR="00B161BD" w:rsidRPr="00FC473C" w:rsidRDefault="00B161BD">
          <w:pPr>
            <w:widowControl w:val="0"/>
            <w:tabs>
              <w:tab w:val="right" w:leader="dot" w:pos="9360"/>
            </w:tabs>
            <w:spacing w:before="60" w:after="0"/>
            <w:ind w:left="360"/>
            <w:jc w:val="left"/>
            <w:rPr>
              <w:rFonts w:ascii="Arial" w:hAnsi="Arial" w:cs="Arial"/>
              <w:noProof/>
              <w:color w:val="000000"/>
            </w:rPr>
          </w:pPr>
          <w:hyperlink w:anchor="_tdmg7saospbv">
            <w:r w:rsidRPr="00FC473C">
              <w:rPr>
                <w:rFonts w:ascii="Arial" w:hAnsi="Arial" w:cs="Arial"/>
                <w:noProof/>
                <w:color w:val="000000"/>
              </w:rPr>
              <w:t>1.1 Purpose of the Report</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_tdmg7saospbv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4</w:t>
          </w:r>
          <w:r w:rsidR="00000000" w:rsidRPr="00FC473C">
            <w:rPr>
              <w:rFonts w:ascii="Arial" w:hAnsi="Arial" w:cs="Arial"/>
              <w:noProof/>
            </w:rPr>
            <w:fldChar w:fldCharType="end"/>
          </w:r>
        </w:p>
        <w:p w14:paraId="37C79EB4" w14:textId="75EFAFBB" w:rsidR="00B161BD" w:rsidRPr="00FC473C" w:rsidRDefault="00B161BD">
          <w:pPr>
            <w:widowControl w:val="0"/>
            <w:tabs>
              <w:tab w:val="right" w:leader="dot" w:pos="9360"/>
            </w:tabs>
            <w:spacing w:before="60" w:after="0"/>
            <w:ind w:left="360"/>
            <w:jc w:val="left"/>
            <w:rPr>
              <w:rFonts w:ascii="Arial" w:hAnsi="Arial" w:cs="Arial"/>
              <w:noProof/>
              <w:color w:val="000000"/>
            </w:rPr>
          </w:pPr>
          <w:hyperlink w:anchor="_dri3u1jqhrp0">
            <w:r w:rsidRPr="00FC473C">
              <w:rPr>
                <w:rFonts w:ascii="Arial" w:hAnsi="Arial" w:cs="Arial"/>
                <w:noProof/>
                <w:color w:val="000000"/>
              </w:rPr>
              <w:t>1.2 Industry Overview: Electric Vehicle (EV) Industry</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_dri3u1jqhrp0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4</w:t>
          </w:r>
          <w:r w:rsidR="00000000" w:rsidRPr="00FC473C">
            <w:rPr>
              <w:rFonts w:ascii="Arial" w:hAnsi="Arial" w:cs="Arial"/>
              <w:noProof/>
            </w:rPr>
            <w:fldChar w:fldCharType="end"/>
          </w:r>
        </w:p>
        <w:p w14:paraId="00201F75" w14:textId="424B04E8" w:rsidR="00B161BD" w:rsidRPr="00FC473C" w:rsidRDefault="00B161BD">
          <w:pPr>
            <w:widowControl w:val="0"/>
            <w:tabs>
              <w:tab w:val="right" w:leader="dot" w:pos="9360"/>
            </w:tabs>
            <w:spacing w:before="60" w:after="0"/>
            <w:ind w:left="360"/>
            <w:jc w:val="left"/>
            <w:rPr>
              <w:rFonts w:ascii="Arial" w:hAnsi="Arial" w:cs="Arial"/>
              <w:noProof/>
              <w:color w:val="000000"/>
            </w:rPr>
          </w:pPr>
          <w:hyperlink w:anchor="_jp6gm8wjirfv">
            <w:r w:rsidRPr="00FC473C">
              <w:rPr>
                <w:rFonts w:ascii="Arial" w:hAnsi="Arial" w:cs="Arial"/>
                <w:noProof/>
                <w:color w:val="000000"/>
              </w:rPr>
              <w:t>1.3 Importance of Macro Environment Analysis</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_jp6gm8wjirfv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5</w:t>
          </w:r>
          <w:r w:rsidR="00000000" w:rsidRPr="00FC473C">
            <w:rPr>
              <w:rFonts w:ascii="Arial" w:hAnsi="Arial" w:cs="Arial"/>
              <w:noProof/>
            </w:rPr>
            <w:fldChar w:fldCharType="end"/>
          </w:r>
        </w:p>
        <w:p w14:paraId="6B638A97" w14:textId="361CB6E4" w:rsidR="00B161BD" w:rsidRPr="00FC473C" w:rsidRDefault="00B161BD">
          <w:pPr>
            <w:widowControl w:val="0"/>
            <w:tabs>
              <w:tab w:val="right" w:leader="dot" w:pos="9360"/>
            </w:tabs>
            <w:spacing w:before="60" w:after="0"/>
            <w:ind w:left="360"/>
            <w:jc w:val="left"/>
            <w:rPr>
              <w:rFonts w:ascii="Arial" w:hAnsi="Arial" w:cs="Arial"/>
              <w:noProof/>
              <w:color w:val="000000"/>
            </w:rPr>
          </w:pPr>
          <w:hyperlink w:anchor="_8l6ruvkc5h54">
            <w:r w:rsidRPr="00FC473C">
              <w:rPr>
                <w:rFonts w:ascii="Arial" w:hAnsi="Arial" w:cs="Arial"/>
                <w:noProof/>
                <w:color w:val="000000"/>
              </w:rPr>
              <w:t>1.4 Structure of the Report</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_8l6ruvkc5h54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5</w:t>
          </w:r>
          <w:r w:rsidR="00000000" w:rsidRPr="00FC473C">
            <w:rPr>
              <w:rFonts w:ascii="Arial" w:hAnsi="Arial" w:cs="Arial"/>
              <w:noProof/>
            </w:rPr>
            <w:fldChar w:fldCharType="end"/>
          </w:r>
        </w:p>
        <w:p w14:paraId="64C8C0CF" w14:textId="355BA562" w:rsidR="00B161BD" w:rsidRPr="00FC473C" w:rsidRDefault="00B161BD">
          <w:pPr>
            <w:widowControl w:val="0"/>
            <w:tabs>
              <w:tab w:val="right" w:leader="dot" w:pos="9360"/>
            </w:tabs>
            <w:spacing w:before="60" w:after="0"/>
            <w:jc w:val="left"/>
            <w:rPr>
              <w:rFonts w:ascii="Arial" w:hAnsi="Arial" w:cs="Arial"/>
              <w:b/>
              <w:bCs/>
              <w:noProof/>
              <w:color w:val="000000"/>
            </w:rPr>
          </w:pPr>
          <w:hyperlink w:anchor="_ck2dhh5kdt08">
            <w:r w:rsidRPr="00FC473C">
              <w:rPr>
                <w:rFonts w:ascii="Arial" w:hAnsi="Arial" w:cs="Arial"/>
                <w:b/>
                <w:bCs/>
                <w:noProof/>
                <w:color w:val="000000"/>
              </w:rPr>
              <w:t>2. Task 1: Critical Analysis of the Macro Marketing Environment</w:t>
            </w:r>
            <w:r w:rsidRPr="00FC473C">
              <w:rPr>
                <w:rFonts w:ascii="Arial" w:hAnsi="Arial" w:cs="Arial"/>
                <w:b/>
                <w:bCs/>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_ck2dhh5kdt08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5</w:t>
          </w:r>
          <w:r w:rsidR="00000000" w:rsidRPr="00FC473C">
            <w:rPr>
              <w:rFonts w:ascii="Arial" w:hAnsi="Arial" w:cs="Arial"/>
              <w:noProof/>
            </w:rPr>
            <w:fldChar w:fldCharType="end"/>
          </w:r>
        </w:p>
        <w:p w14:paraId="0499BA77" w14:textId="20DD49D2" w:rsidR="00B161BD" w:rsidRPr="00FC473C" w:rsidRDefault="00B161BD">
          <w:pPr>
            <w:widowControl w:val="0"/>
            <w:tabs>
              <w:tab w:val="right" w:leader="dot" w:pos="9360"/>
            </w:tabs>
            <w:spacing w:before="60" w:after="0"/>
            <w:ind w:left="720"/>
            <w:jc w:val="left"/>
            <w:rPr>
              <w:rFonts w:ascii="Arial" w:hAnsi="Arial" w:cs="Arial"/>
              <w:noProof/>
              <w:color w:val="000000"/>
            </w:rPr>
          </w:pPr>
          <w:hyperlink w:anchor="_qqchzicstw3o">
            <w:r w:rsidRPr="00FC473C">
              <w:rPr>
                <w:rFonts w:ascii="Arial" w:hAnsi="Arial" w:cs="Arial"/>
                <w:noProof/>
                <w:color w:val="000000"/>
              </w:rPr>
              <w:t>2.1.1 PESTLE Framework Overview</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_qqchzicstw3o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5</w:t>
          </w:r>
          <w:r w:rsidR="00000000" w:rsidRPr="00FC473C">
            <w:rPr>
              <w:rFonts w:ascii="Arial" w:hAnsi="Arial" w:cs="Arial"/>
              <w:noProof/>
            </w:rPr>
            <w:fldChar w:fldCharType="end"/>
          </w:r>
        </w:p>
        <w:p w14:paraId="189324F9" w14:textId="67BD7BFB" w:rsidR="00B161BD" w:rsidRPr="00FC473C" w:rsidRDefault="00B161BD">
          <w:pPr>
            <w:widowControl w:val="0"/>
            <w:tabs>
              <w:tab w:val="right" w:leader="dot" w:pos="9360"/>
            </w:tabs>
            <w:spacing w:before="60" w:after="0"/>
            <w:ind w:left="720"/>
            <w:jc w:val="left"/>
            <w:rPr>
              <w:rFonts w:ascii="Arial" w:hAnsi="Arial" w:cs="Arial"/>
              <w:noProof/>
              <w:color w:val="000000"/>
            </w:rPr>
          </w:pPr>
          <w:hyperlink w:anchor="_cv0vds2550sq">
            <w:r w:rsidRPr="00FC473C">
              <w:rPr>
                <w:rFonts w:ascii="Arial" w:hAnsi="Arial" w:cs="Arial"/>
                <w:noProof/>
                <w:color w:val="000000"/>
              </w:rPr>
              <w:t>2.1.2 Selected Macro Factors</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_cv0vds2550sq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5</w:t>
          </w:r>
          <w:r w:rsidR="00000000" w:rsidRPr="00FC473C">
            <w:rPr>
              <w:rFonts w:ascii="Arial" w:hAnsi="Arial" w:cs="Arial"/>
              <w:noProof/>
            </w:rPr>
            <w:fldChar w:fldCharType="end"/>
          </w:r>
        </w:p>
        <w:p w14:paraId="5FFE31B5" w14:textId="41CC8DA9" w:rsidR="00B161BD" w:rsidRPr="00FC473C" w:rsidRDefault="00B161BD">
          <w:pPr>
            <w:widowControl w:val="0"/>
            <w:tabs>
              <w:tab w:val="right" w:leader="dot" w:pos="9360"/>
            </w:tabs>
            <w:spacing w:before="60" w:after="0"/>
            <w:ind w:left="720"/>
            <w:jc w:val="left"/>
            <w:rPr>
              <w:rFonts w:ascii="Arial" w:hAnsi="Arial" w:cs="Arial"/>
              <w:noProof/>
              <w:color w:val="000000"/>
            </w:rPr>
          </w:pPr>
          <w:hyperlink w:anchor="_pcq7x5k94ocb">
            <w:r w:rsidRPr="00FC473C">
              <w:rPr>
                <w:rFonts w:ascii="Arial" w:hAnsi="Arial" w:cs="Arial"/>
                <w:noProof/>
                <w:color w:val="000000"/>
              </w:rPr>
              <w:t>2.1.3 Justification of Selection</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_pcq7x5k94ocb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6</w:t>
          </w:r>
          <w:r w:rsidR="00000000" w:rsidRPr="00FC473C">
            <w:rPr>
              <w:rFonts w:ascii="Arial" w:hAnsi="Arial" w:cs="Arial"/>
              <w:noProof/>
            </w:rPr>
            <w:fldChar w:fldCharType="end"/>
          </w:r>
        </w:p>
        <w:p w14:paraId="35C5D102" w14:textId="51374831" w:rsidR="00B161BD" w:rsidRPr="00FC473C" w:rsidRDefault="00B161BD">
          <w:pPr>
            <w:widowControl w:val="0"/>
            <w:tabs>
              <w:tab w:val="right" w:leader="dot" w:pos="9360"/>
            </w:tabs>
            <w:spacing w:before="60" w:after="0"/>
            <w:ind w:left="360"/>
            <w:jc w:val="left"/>
            <w:rPr>
              <w:rFonts w:ascii="Arial" w:hAnsi="Arial" w:cs="Arial"/>
              <w:noProof/>
              <w:color w:val="000000"/>
            </w:rPr>
          </w:pPr>
          <w:hyperlink w:anchor="_orobcpwp64vj">
            <w:r w:rsidRPr="00FC473C">
              <w:rPr>
                <w:rFonts w:ascii="Arial" w:hAnsi="Arial" w:cs="Arial"/>
                <w:noProof/>
                <w:color w:val="000000"/>
              </w:rPr>
              <w:t>2.2 Analysis of Macro Factor 1: Technological Factors</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_orobcpwp64vj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6</w:t>
          </w:r>
          <w:r w:rsidR="00000000" w:rsidRPr="00FC473C">
            <w:rPr>
              <w:rFonts w:ascii="Arial" w:hAnsi="Arial" w:cs="Arial"/>
              <w:noProof/>
            </w:rPr>
            <w:fldChar w:fldCharType="end"/>
          </w:r>
        </w:p>
        <w:p w14:paraId="00F014EB" w14:textId="415B631A" w:rsidR="00B161BD" w:rsidRPr="00FC473C" w:rsidRDefault="00B161BD">
          <w:pPr>
            <w:widowControl w:val="0"/>
            <w:tabs>
              <w:tab w:val="right" w:leader="dot" w:pos="9360"/>
            </w:tabs>
            <w:spacing w:before="60" w:after="0"/>
            <w:ind w:left="720"/>
            <w:jc w:val="left"/>
            <w:rPr>
              <w:rFonts w:ascii="Arial" w:hAnsi="Arial" w:cs="Arial"/>
              <w:noProof/>
              <w:color w:val="000000"/>
            </w:rPr>
          </w:pPr>
          <w:hyperlink w:anchor="_4onnypeav0ec">
            <w:r w:rsidRPr="00FC473C">
              <w:rPr>
                <w:rFonts w:ascii="Arial" w:hAnsi="Arial" w:cs="Arial"/>
                <w:noProof/>
                <w:color w:val="000000"/>
              </w:rPr>
              <w:t>2.2.1 Pioneer Organisation: Tesla</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_4onnypeav0ec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6</w:t>
          </w:r>
          <w:r w:rsidR="00000000" w:rsidRPr="00FC473C">
            <w:rPr>
              <w:rFonts w:ascii="Arial" w:hAnsi="Arial" w:cs="Arial"/>
              <w:noProof/>
            </w:rPr>
            <w:fldChar w:fldCharType="end"/>
          </w:r>
        </w:p>
        <w:p w14:paraId="155F3106" w14:textId="32A27518" w:rsidR="00B161BD" w:rsidRPr="00FC473C" w:rsidRDefault="00B161BD">
          <w:pPr>
            <w:widowControl w:val="0"/>
            <w:tabs>
              <w:tab w:val="right" w:leader="dot" w:pos="9360"/>
            </w:tabs>
            <w:spacing w:before="60" w:after="0"/>
            <w:ind w:left="720"/>
            <w:jc w:val="left"/>
            <w:rPr>
              <w:rFonts w:ascii="Arial" w:hAnsi="Arial" w:cs="Arial"/>
              <w:noProof/>
              <w:color w:val="000000"/>
            </w:rPr>
          </w:pPr>
          <w:hyperlink w:anchor="_ydd2l4el9dkh">
            <w:r w:rsidRPr="00FC473C">
              <w:rPr>
                <w:rFonts w:ascii="Arial" w:hAnsi="Arial" w:cs="Arial"/>
                <w:noProof/>
                <w:color w:val="000000"/>
              </w:rPr>
              <w:t>2.2.2 Follower Organisation: Ford (EV division)</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_ydd2l4el9dkh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9</w:t>
          </w:r>
          <w:r w:rsidR="00000000" w:rsidRPr="00FC473C">
            <w:rPr>
              <w:rFonts w:ascii="Arial" w:hAnsi="Arial" w:cs="Arial"/>
              <w:noProof/>
            </w:rPr>
            <w:fldChar w:fldCharType="end"/>
          </w:r>
        </w:p>
        <w:p w14:paraId="7FE868C0" w14:textId="76222379" w:rsidR="00B161BD" w:rsidRPr="00FC473C" w:rsidRDefault="00B161BD">
          <w:pPr>
            <w:widowControl w:val="0"/>
            <w:tabs>
              <w:tab w:val="right" w:leader="dot" w:pos="9360"/>
            </w:tabs>
            <w:spacing w:before="60" w:after="0"/>
            <w:ind w:left="360"/>
            <w:jc w:val="left"/>
            <w:rPr>
              <w:rFonts w:ascii="Arial" w:hAnsi="Arial" w:cs="Arial"/>
              <w:noProof/>
              <w:color w:val="000000"/>
            </w:rPr>
          </w:pPr>
          <w:hyperlink w:anchor="_341h09o2b04h">
            <w:r w:rsidRPr="00FC473C">
              <w:rPr>
                <w:rFonts w:ascii="Arial" w:hAnsi="Arial" w:cs="Arial"/>
                <w:noProof/>
                <w:color w:val="000000"/>
              </w:rPr>
              <w:t>2.3 Analysis of Macro Factor 2: Environmental Factors</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_341h09o2b04h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9</w:t>
          </w:r>
          <w:r w:rsidR="00000000" w:rsidRPr="00FC473C">
            <w:rPr>
              <w:rFonts w:ascii="Arial" w:hAnsi="Arial" w:cs="Arial"/>
              <w:noProof/>
            </w:rPr>
            <w:fldChar w:fldCharType="end"/>
          </w:r>
        </w:p>
        <w:p w14:paraId="12079496" w14:textId="6590CE17" w:rsidR="00B161BD" w:rsidRPr="00FC473C" w:rsidRDefault="00B161BD">
          <w:pPr>
            <w:widowControl w:val="0"/>
            <w:tabs>
              <w:tab w:val="right" w:leader="dot" w:pos="9360"/>
            </w:tabs>
            <w:spacing w:before="60" w:after="0"/>
            <w:ind w:left="720"/>
            <w:jc w:val="left"/>
            <w:rPr>
              <w:rFonts w:ascii="Arial" w:hAnsi="Arial" w:cs="Arial"/>
              <w:noProof/>
              <w:color w:val="000000"/>
            </w:rPr>
          </w:pPr>
          <w:hyperlink w:anchor="_o4qw4f7igg45">
            <w:r w:rsidRPr="00FC473C">
              <w:rPr>
                <w:rFonts w:ascii="Arial" w:hAnsi="Arial" w:cs="Arial"/>
                <w:noProof/>
                <w:color w:val="000000"/>
              </w:rPr>
              <w:t>2.3.1 Pioneer Organisation: Tesla</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_o4qw4f7igg45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9</w:t>
          </w:r>
          <w:r w:rsidR="00000000" w:rsidRPr="00FC473C">
            <w:rPr>
              <w:rFonts w:ascii="Arial" w:hAnsi="Arial" w:cs="Arial"/>
              <w:noProof/>
            </w:rPr>
            <w:fldChar w:fldCharType="end"/>
          </w:r>
        </w:p>
        <w:p w14:paraId="47DBFFE8" w14:textId="5ACEFFDE" w:rsidR="00B161BD" w:rsidRPr="00FC473C" w:rsidRDefault="00B161BD">
          <w:pPr>
            <w:widowControl w:val="0"/>
            <w:tabs>
              <w:tab w:val="right" w:leader="dot" w:pos="9360"/>
            </w:tabs>
            <w:spacing w:before="60" w:after="0"/>
            <w:ind w:left="720"/>
            <w:jc w:val="left"/>
            <w:rPr>
              <w:rFonts w:ascii="Arial" w:hAnsi="Arial" w:cs="Arial"/>
              <w:noProof/>
              <w:color w:val="000000"/>
            </w:rPr>
          </w:pPr>
          <w:hyperlink w:anchor="_381g2sc0wizx">
            <w:r w:rsidRPr="00FC473C">
              <w:rPr>
                <w:rFonts w:ascii="Arial" w:hAnsi="Arial" w:cs="Arial"/>
                <w:noProof/>
                <w:color w:val="000000"/>
              </w:rPr>
              <w:t>2.3.2 Follower Organisation: Ford</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_381g2sc0wizx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12</w:t>
          </w:r>
          <w:r w:rsidR="00000000" w:rsidRPr="00FC473C">
            <w:rPr>
              <w:rFonts w:ascii="Arial" w:hAnsi="Arial" w:cs="Arial"/>
              <w:noProof/>
            </w:rPr>
            <w:fldChar w:fldCharType="end"/>
          </w:r>
        </w:p>
        <w:p w14:paraId="5DF530B6" w14:textId="77128F80" w:rsidR="00B161BD" w:rsidRPr="00FC473C" w:rsidRDefault="00B161BD">
          <w:pPr>
            <w:widowControl w:val="0"/>
            <w:tabs>
              <w:tab w:val="right" w:leader="dot" w:pos="9360"/>
            </w:tabs>
            <w:spacing w:before="60" w:after="0"/>
            <w:jc w:val="left"/>
            <w:rPr>
              <w:rFonts w:ascii="Arial" w:hAnsi="Arial" w:cs="Arial"/>
              <w:b/>
              <w:bCs/>
              <w:noProof/>
              <w:color w:val="000000"/>
            </w:rPr>
          </w:pPr>
          <w:hyperlink w:anchor="_lm359hdt2jlf">
            <w:r w:rsidRPr="00FC473C">
              <w:rPr>
                <w:rFonts w:ascii="Arial" w:hAnsi="Arial" w:cs="Arial"/>
                <w:b/>
                <w:bCs/>
                <w:noProof/>
                <w:color w:val="000000"/>
              </w:rPr>
              <w:t>3. Task 2: Strategic Responses of Pioneering and Follower Organisations</w:t>
            </w:r>
            <w:r w:rsidRPr="00FC473C">
              <w:rPr>
                <w:rFonts w:ascii="Arial" w:hAnsi="Arial" w:cs="Arial"/>
                <w:b/>
                <w:bCs/>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_lm359hdt2jlf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13</w:t>
          </w:r>
          <w:r w:rsidR="00000000" w:rsidRPr="00FC473C">
            <w:rPr>
              <w:rFonts w:ascii="Arial" w:hAnsi="Arial" w:cs="Arial"/>
              <w:noProof/>
            </w:rPr>
            <w:fldChar w:fldCharType="end"/>
          </w:r>
        </w:p>
        <w:p w14:paraId="225A9042" w14:textId="5F96E5DB" w:rsidR="00B161BD" w:rsidRPr="00FC473C" w:rsidRDefault="00B161BD">
          <w:pPr>
            <w:widowControl w:val="0"/>
            <w:tabs>
              <w:tab w:val="right" w:leader="dot" w:pos="9360"/>
            </w:tabs>
            <w:spacing w:before="60" w:after="0"/>
            <w:ind w:left="360"/>
            <w:jc w:val="left"/>
            <w:rPr>
              <w:rFonts w:ascii="Arial" w:hAnsi="Arial" w:cs="Arial"/>
              <w:noProof/>
              <w:color w:val="000000"/>
            </w:rPr>
          </w:pPr>
          <w:hyperlink w:anchor="_bee1dnlz5s3i">
            <w:r w:rsidRPr="00FC473C">
              <w:rPr>
                <w:rFonts w:ascii="Arial" w:hAnsi="Arial" w:cs="Arial"/>
                <w:noProof/>
                <w:color w:val="000000"/>
              </w:rPr>
              <w:t>3.1 Pioneering Organisation: Tesla</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_bee1dnlz5s3i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13</w:t>
          </w:r>
          <w:r w:rsidR="00000000" w:rsidRPr="00FC473C">
            <w:rPr>
              <w:rFonts w:ascii="Arial" w:hAnsi="Arial" w:cs="Arial"/>
              <w:noProof/>
            </w:rPr>
            <w:fldChar w:fldCharType="end"/>
          </w:r>
        </w:p>
        <w:p w14:paraId="075CFB2A" w14:textId="5F467E8D" w:rsidR="00B161BD" w:rsidRPr="00FC473C" w:rsidRDefault="00B161BD">
          <w:pPr>
            <w:widowControl w:val="0"/>
            <w:tabs>
              <w:tab w:val="right" w:leader="dot" w:pos="9360"/>
            </w:tabs>
            <w:spacing w:before="60" w:after="0"/>
            <w:ind w:left="360"/>
            <w:jc w:val="left"/>
            <w:rPr>
              <w:rFonts w:ascii="Arial" w:hAnsi="Arial" w:cs="Arial"/>
              <w:noProof/>
              <w:color w:val="000000"/>
            </w:rPr>
          </w:pPr>
          <w:hyperlink w:anchor="_5p3j716vpg30">
            <w:r w:rsidRPr="00FC473C">
              <w:rPr>
                <w:rFonts w:ascii="Arial" w:hAnsi="Arial" w:cs="Arial"/>
                <w:noProof/>
                <w:color w:val="000000"/>
              </w:rPr>
              <w:t>3.1.1 Strategic Response Overview</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_5p3j716vpg30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13</w:t>
          </w:r>
          <w:r w:rsidR="00000000" w:rsidRPr="00FC473C">
            <w:rPr>
              <w:rFonts w:ascii="Arial" w:hAnsi="Arial" w:cs="Arial"/>
              <w:noProof/>
            </w:rPr>
            <w:fldChar w:fldCharType="end"/>
          </w:r>
        </w:p>
        <w:p w14:paraId="151C1CCD" w14:textId="1C59C28E" w:rsidR="00B161BD" w:rsidRPr="00FC473C" w:rsidRDefault="00B161BD">
          <w:pPr>
            <w:widowControl w:val="0"/>
            <w:tabs>
              <w:tab w:val="right" w:leader="dot" w:pos="9360"/>
            </w:tabs>
            <w:spacing w:before="60" w:after="0"/>
            <w:ind w:left="720"/>
            <w:jc w:val="left"/>
            <w:rPr>
              <w:rFonts w:ascii="Arial" w:hAnsi="Arial" w:cs="Arial"/>
              <w:noProof/>
              <w:color w:val="000000"/>
            </w:rPr>
          </w:pPr>
          <w:hyperlink w:anchor="_nvwd4t6hi78s">
            <w:r w:rsidRPr="00FC473C">
              <w:rPr>
                <w:rFonts w:ascii="Arial" w:hAnsi="Arial" w:cs="Arial"/>
                <w:noProof/>
                <w:color w:val="000000"/>
              </w:rPr>
              <w:t>3.1.2 Application of Porter’s Generic Strategies</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_nvwd4t6hi78s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14</w:t>
          </w:r>
          <w:r w:rsidR="00000000" w:rsidRPr="00FC473C">
            <w:rPr>
              <w:rFonts w:ascii="Arial" w:hAnsi="Arial" w:cs="Arial"/>
              <w:noProof/>
            </w:rPr>
            <w:fldChar w:fldCharType="end"/>
          </w:r>
        </w:p>
        <w:p w14:paraId="7289B432" w14:textId="5E2CB807" w:rsidR="00B161BD" w:rsidRPr="00FC473C" w:rsidRDefault="00B161BD">
          <w:pPr>
            <w:widowControl w:val="0"/>
            <w:tabs>
              <w:tab w:val="right" w:leader="dot" w:pos="9360"/>
            </w:tabs>
            <w:spacing w:before="60" w:after="0"/>
            <w:ind w:left="720"/>
            <w:jc w:val="left"/>
            <w:rPr>
              <w:rFonts w:ascii="Arial" w:hAnsi="Arial" w:cs="Arial"/>
              <w:noProof/>
              <w:color w:val="000000"/>
            </w:rPr>
          </w:pPr>
          <w:hyperlink w:anchor="_jn98tvonx7g5">
            <w:r w:rsidRPr="00FC473C">
              <w:rPr>
                <w:rFonts w:ascii="Arial" w:hAnsi="Arial" w:cs="Arial"/>
                <w:noProof/>
                <w:color w:val="000000"/>
              </w:rPr>
              <w:t>3.1.3 Critical Evaluation</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_jn98tvonx7g5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15</w:t>
          </w:r>
          <w:r w:rsidR="00000000" w:rsidRPr="00FC473C">
            <w:rPr>
              <w:rFonts w:ascii="Arial" w:hAnsi="Arial" w:cs="Arial"/>
              <w:noProof/>
            </w:rPr>
            <w:fldChar w:fldCharType="end"/>
          </w:r>
        </w:p>
        <w:p w14:paraId="27D2C632" w14:textId="760C49B2" w:rsidR="00B161BD" w:rsidRPr="00FC473C" w:rsidRDefault="00B161BD">
          <w:pPr>
            <w:widowControl w:val="0"/>
            <w:tabs>
              <w:tab w:val="right" w:leader="dot" w:pos="9360"/>
            </w:tabs>
            <w:spacing w:before="60" w:after="0"/>
            <w:ind w:left="360"/>
            <w:jc w:val="left"/>
            <w:rPr>
              <w:rFonts w:ascii="Arial" w:hAnsi="Arial" w:cs="Arial"/>
              <w:noProof/>
              <w:color w:val="000000"/>
            </w:rPr>
          </w:pPr>
          <w:hyperlink w:anchor="_20aczvgcp2sl">
            <w:r w:rsidRPr="00FC473C">
              <w:rPr>
                <w:rFonts w:ascii="Arial" w:hAnsi="Arial" w:cs="Arial"/>
                <w:noProof/>
                <w:color w:val="000000"/>
              </w:rPr>
              <w:t>3.2 Follower Organisation: Ford</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_20aczvgcp2sl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15</w:t>
          </w:r>
          <w:r w:rsidR="00000000" w:rsidRPr="00FC473C">
            <w:rPr>
              <w:rFonts w:ascii="Arial" w:hAnsi="Arial" w:cs="Arial"/>
              <w:noProof/>
            </w:rPr>
            <w:fldChar w:fldCharType="end"/>
          </w:r>
        </w:p>
        <w:p w14:paraId="5C0A3285" w14:textId="717BABFC" w:rsidR="00B161BD" w:rsidRPr="00FC473C" w:rsidRDefault="00B161BD">
          <w:pPr>
            <w:widowControl w:val="0"/>
            <w:tabs>
              <w:tab w:val="right" w:leader="dot" w:pos="9360"/>
            </w:tabs>
            <w:spacing w:before="60" w:after="0"/>
            <w:ind w:left="720"/>
            <w:jc w:val="left"/>
            <w:rPr>
              <w:rFonts w:ascii="Arial" w:hAnsi="Arial" w:cs="Arial"/>
              <w:noProof/>
              <w:color w:val="000000"/>
            </w:rPr>
          </w:pPr>
          <w:hyperlink w:anchor="_l2p0woixfp29">
            <w:r w:rsidRPr="00FC473C">
              <w:rPr>
                <w:rFonts w:ascii="Arial" w:hAnsi="Arial" w:cs="Arial"/>
                <w:noProof/>
                <w:color w:val="000000"/>
              </w:rPr>
              <w:t>3.2.1 Strategic Response Overview</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_l2p0woixfp29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15</w:t>
          </w:r>
          <w:r w:rsidR="00000000" w:rsidRPr="00FC473C">
            <w:rPr>
              <w:rFonts w:ascii="Arial" w:hAnsi="Arial" w:cs="Arial"/>
              <w:noProof/>
            </w:rPr>
            <w:fldChar w:fldCharType="end"/>
          </w:r>
        </w:p>
        <w:p w14:paraId="0E4107AA" w14:textId="08A1E5A2" w:rsidR="00B161BD" w:rsidRPr="00FC473C" w:rsidRDefault="00B161BD">
          <w:pPr>
            <w:widowControl w:val="0"/>
            <w:tabs>
              <w:tab w:val="right" w:leader="dot" w:pos="9360"/>
            </w:tabs>
            <w:spacing w:before="60" w:after="0"/>
            <w:ind w:left="720"/>
            <w:jc w:val="left"/>
            <w:rPr>
              <w:rFonts w:ascii="Arial" w:hAnsi="Arial" w:cs="Arial"/>
              <w:noProof/>
              <w:color w:val="000000"/>
            </w:rPr>
          </w:pPr>
          <w:hyperlink w:anchor="_mv87u89kuf8e">
            <w:r w:rsidRPr="00FC473C">
              <w:rPr>
                <w:rFonts w:ascii="Arial" w:hAnsi="Arial" w:cs="Arial"/>
                <w:noProof/>
                <w:color w:val="000000"/>
              </w:rPr>
              <w:t>3.2.2 Application of Ansoff’s Growth Matrix</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_mv87u89kuf8e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16</w:t>
          </w:r>
          <w:r w:rsidR="00000000" w:rsidRPr="00FC473C">
            <w:rPr>
              <w:rFonts w:ascii="Arial" w:hAnsi="Arial" w:cs="Arial"/>
              <w:noProof/>
            </w:rPr>
            <w:fldChar w:fldCharType="end"/>
          </w:r>
        </w:p>
        <w:p w14:paraId="6FCFB515" w14:textId="1F127856" w:rsidR="00B161BD" w:rsidRPr="00FC473C" w:rsidRDefault="00B161BD">
          <w:pPr>
            <w:widowControl w:val="0"/>
            <w:tabs>
              <w:tab w:val="right" w:leader="dot" w:pos="9360"/>
            </w:tabs>
            <w:spacing w:before="60" w:after="0"/>
            <w:ind w:left="720"/>
            <w:jc w:val="left"/>
            <w:rPr>
              <w:rFonts w:ascii="Arial" w:hAnsi="Arial" w:cs="Arial"/>
              <w:noProof/>
              <w:color w:val="000000"/>
            </w:rPr>
          </w:pPr>
          <w:hyperlink w:anchor="_oahpbtuvqafo">
            <w:r w:rsidRPr="00FC473C">
              <w:rPr>
                <w:rFonts w:ascii="Arial" w:hAnsi="Arial" w:cs="Arial"/>
                <w:noProof/>
                <w:color w:val="000000"/>
              </w:rPr>
              <w:t>3.2.3 Critical Evaluation</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_oahpbtuvqafo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17</w:t>
          </w:r>
          <w:r w:rsidR="00000000" w:rsidRPr="00FC473C">
            <w:rPr>
              <w:rFonts w:ascii="Arial" w:hAnsi="Arial" w:cs="Arial"/>
              <w:noProof/>
            </w:rPr>
            <w:fldChar w:fldCharType="end"/>
          </w:r>
        </w:p>
        <w:p w14:paraId="0E62ECE7" w14:textId="76C08403" w:rsidR="00B161BD" w:rsidRPr="00FC473C" w:rsidRDefault="00B161BD">
          <w:pPr>
            <w:widowControl w:val="0"/>
            <w:tabs>
              <w:tab w:val="right" w:leader="dot" w:pos="9360"/>
            </w:tabs>
            <w:spacing w:before="60" w:after="0"/>
            <w:ind w:left="360"/>
            <w:jc w:val="left"/>
            <w:rPr>
              <w:rFonts w:ascii="Arial" w:hAnsi="Arial" w:cs="Arial"/>
              <w:noProof/>
              <w:color w:val="000000"/>
            </w:rPr>
          </w:pPr>
          <w:hyperlink w:anchor="_g4405lmawkrx">
            <w:r w:rsidRPr="00FC473C">
              <w:rPr>
                <w:rFonts w:ascii="Arial" w:hAnsi="Arial" w:cs="Arial"/>
                <w:noProof/>
                <w:color w:val="000000"/>
              </w:rPr>
              <w:t>4. Conclusion</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_g4405lmawkrx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18</w:t>
          </w:r>
          <w:r w:rsidR="00000000" w:rsidRPr="00FC473C">
            <w:rPr>
              <w:rFonts w:ascii="Arial" w:hAnsi="Arial" w:cs="Arial"/>
              <w:noProof/>
            </w:rPr>
            <w:fldChar w:fldCharType="end"/>
          </w:r>
        </w:p>
        <w:p w14:paraId="04272094" w14:textId="23FEE0B4" w:rsidR="00B161BD" w:rsidRPr="00FC473C" w:rsidRDefault="00B161BD">
          <w:pPr>
            <w:widowControl w:val="0"/>
            <w:tabs>
              <w:tab w:val="right" w:leader="dot" w:pos="9360"/>
            </w:tabs>
            <w:spacing w:before="60" w:after="0"/>
            <w:ind w:left="360"/>
            <w:jc w:val="left"/>
            <w:rPr>
              <w:rFonts w:ascii="Arial" w:hAnsi="Arial" w:cs="Arial"/>
              <w:noProof/>
              <w:color w:val="000000"/>
            </w:rPr>
          </w:pPr>
          <w:hyperlink w:anchor="_qrxy78f86lmc">
            <w:r w:rsidRPr="00FC473C">
              <w:rPr>
                <w:rFonts w:ascii="Arial" w:hAnsi="Arial" w:cs="Arial"/>
                <w:noProof/>
                <w:color w:val="000000"/>
              </w:rPr>
              <w:t>4.1 Summary of Key Findings</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_qrxy78f86lmc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18</w:t>
          </w:r>
          <w:r w:rsidR="00000000" w:rsidRPr="00FC473C">
            <w:rPr>
              <w:rFonts w:ascii="Arial" w:hAnsi="Arial" w:cs="Arial"/>
              <w:noProof/>
            </w:rPr>
            <w:fldChar w:fldCharType="end"/>
          </w:r>
        </w:p>
        <w:p w14:paraId="6C198C41" w14:textId="489BC479" w:rsidR="00B161BD" w:rsidRPr="00FC473C" w:rsidRDefault="00B161BD">
          <w:pPr>
            <w:widowControl w:val="0"/>
            <w:tabs>
              <w:tab w:val="right" w:leader="dot" w:pos="9360"/>
            </w:tabs>
            <w:spacing w:before="60" w:after="0"/>
            <w:ind w:left="360"/>
            <w:jc w:val="left"/>
            <w:rPr>
              <w:rFonts w:ascii="Arial" w:hAnsi="Arial" w:cs="Arial"/>
              <w:noProof/>
              <w:color w:val="000000"/>
            </w:rPr>
          </w:pPr>
          <w:hyperlink w:anchor="_bwmeedviyva0">
            <w:r w:rsidRPr="00FC473C">
              <w:rPr>
                <w:rFonts w:ascii="Arial" w:hAnsi="Arial" w:cs="Arial"/>
                <w:noProof/>
                <w:color w:val="000000"/>
              </w:rPr>
              <w:t>4.2 Strategic Insights</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_bwmeedviyva0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18</w:t>
          </w:r>
          <w:r w:rsidR="00000000" w:rsidRPr="00FC473C">
            <w:rPr>
              <w:rFonts w:ascii="Arial" w:hAnsi="Arial" w:cs="Arial"/>
              <w:noProof/>
            </w:rPr>
            <w:fldChar w:fldCharType="end"/>
          </w:r>
        </w:p>
        <w:p w14:paraId="2B268630" w14:textId="1D3EE21C" w:rsidR="00B161BD" w:rsidRPr="00FC473C" w:rsidRDefault="00B161BD">
          <w:pPr>
            <w:widowControl w:val="0"/>
            <w:tabs>
              <w:tab w:val="right" w:leader="dot" w:pos="9360"/>
            </w:tabs>
            <w:spacing w:before="60" w:after="0"/>
            <w:ind w:left="360"/>
            <w:jc w:val="left"/>
            <w:rPr>
              <w:rFonts w:ascii="Arial" w:hAnsi="Arial" w:cs="Arial"/>
              <w:noProof/>
              <w:color w:val="000000"/>
            </w:rPr>
          </w:pPr>
          <w:hyperlink w:anchor="_fee1ljpmy8g1">
            <w:r w:rsidRPr="00FC473C">
              <w:rPr>
                <w:rFonts w:ascii="Arial" w:hAnsi="Arial" w:cs="Arial"/>
                <w:noProof/>
                <w:color w:val="000000"/>
              </w:rPr>
              <w:t>4.3 Final Evaluation</w:t>
            </w:r>
            <w:r w:rsidRPr="00FC473C">
              <w:rPr>
                <w:rFonts w:ascii="Arial" w:hAnsi="Arial" w:cs="Arial"/>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_fee1ljpmy8g1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18</w:t>
          </w:r>
          <w:r w:rsidR="00000000" w:rsidRPr="00FC473C">
            <w:rPr>
              <w:rFonts w:ascii="Arial" w:hAnsi="Arial" w:cs="Arial"/>
              <w:noProof/>
            </w:rPr>
            <w:fldChar w:fldCharType="end"/>
          </w:r>
        </w:p>
        <w:p w14:paraId="7FF69A8D" w14:textId="739F684B" w:rsidR="00B161BD" w:rsidRPr="00FC473C" w:rsidRDefault="00B161BD">
          <w:pPr>
            <w:widowControl w:val="0"/>
            <w:tabs>
              <w:tab w:val="right" w:leader="dot" w:pos="9360"/>
            </w:tabs>
            <w:spacing w:before="60" w:after="0"/>
            <w:jc w:val="left"/>
            <w:rPr>
              <w:rFonts w:ascii="Arial" w:hAnsi="Arial" w:cs="Arial"/>
              <w:b/>
              <w:bCs/>
              <w:color w:val="000000"/>
            </w:rPr>
          </w:pPr>
          <w:hyperlink w:anchor="_v9t2jhuhr6vo">
            <w:r w:rsidRPr="00FC473C">
              <w:rPr>
                <w:rFonts w:ascii="Arial" w:hAnsi="Arial" w:cs="Arial"/>
                <w:b/>
                <w:bCs/>
                <w:noProof/>
                <w:color w:val="000000"/>
              </w:rPr>
              <w:t>5. References</w:t>
            </w:r>
            <w:r w:rsidRPr="00FC473C">
              <w:rPr>
                <w:rFonts w:ascii="Arial" w:hAnsi="Arial" w:cs="Arial"/>
                <w:b/>
                <w:bCs/>
                <w:noProof/>
                <w:color w:val="000000"/>
              </w:rPr>
              <w:tab/>
            </w:r>
          </w:hyperlink>
          <w:r w:rsidR="00000000" w:rsidRPr="00FC473C">
            <w:rPr>
              <w:rFonts w:ascii="Arial" w:hAnsi="Arial" w:cs="Arial"/>
              <w:noProof/>
            </w:rPr>
            <w:fldChar w:fldCharType="begin"/>
          </w:r>
          <w:r w:rsidR="00000000" w:rsidRPr="00FC473C">
            <w:rPr>
              <w:rFonts w:ascii="Arial" w:hAnsi="Arial" w:cs="Arial"/>
              <w:noProof/>
            </w:rPr>
            <w:instrText xml:space="preserve"> PAGEREF _v9t2jhuhr6vo \h </w:instrText>
          </w:r>
          <w:r w:rsidR="00000000" w:rsidRPr="00FC473C">
            <w:rPr>
              <w:rFonts w:ascii="Arial" w:hAnsi="Arial" w:cs="Arial"/>
              <w:noProof/>
            </w:rPr>
          </w:r>
          <w:r w:rsidR="00000000" w:rsidRPr="00FC473C">
            <w:rPr>
              <w:rFonts w:ascii="Arial" w:hAnsi="Arial" w:cs="Arial"/>
              <w:noProof/>
            </w:rPr>
            <w:fldChar w:fldCharType="separate"/>
          </w:r>
          <w:r w:rsidR="00146240">
            <w:rPr>
              <w:rFonts w:ascii="Arial" w:hAnsi="Arial" w:cs="Arial"/>
              <w:noProof/>
            </w:rPr>
            <w:t>19</w:t>
          </w:r>
          <w:r w:rsidR="00000000" w:rsidRPr="00FC473C">
            <w:rPr>
              <w:rFonts w:ascii="Arial" w:hAnsi="Arial" w:cs="Arial"/>
              <w:noProof/>
            </w:rPr>
            <w:fldChar w:fldCharType="end"/>
          </w:r>
          <w:r w:rsidR="00000000" w:rsidRPr="00FC473C">
            <w:rPr>
              <w:rFonts w:ascii="Arial" w:hAnsi="Arial" w:cs="Arial"/>
            </w:rPr>
            <w:fldChar w:fldCharType="end"/>
          </w:r>
        </w:p>
      </w:sdtContent>
    </w:sdt>
    <w:p w14:paraId="32941F7D" w14:textId="77777777" w:rsidR="00B161BD" w:rsidRPr="00FC473C" w:rsidRDefault="00B161BD">
      <w:pPr>
        <w:jc w:val="center"/>
        <w:rPr>
          <w:rFonts w:ascii="Arial" w:hAnsi="Arial" w:cs="Arial"/>
          <w:b/>
          <w:bCs/>
          <w:sz w:val="28"/>
          <w:szCs w:val="28"/>
        </w:rPr>
      </w:pPr>
    </w:p>
    <w:p w14:paraId="7788D972" w14:textId="77777777" w:rsidR="00B161BD" w:rsidRPr="00FC473C" w:rsidRDefault="00B161BD">
      <w:pPr>
        <w:rPr>
          <w:rFonts w:ascii="Arial" w:hAnsi="Arial" w:cs="Arial"/>
        </w:rPr>
      </w:pPr>
    </w:p>
    <w:p w14:paraId="580ADEDA" w14:textId="77777777" w:rsidR="00B161BD" w:rsidRPr="00FC473C" w:rsidRDefault="00B161BD">
      <w:pPr>
        <w:rPr>
          <w:rFonts w:ascii="Arial" w:hAnsi="Arial" w:cs="Arial"/>
        </w:rPr>
      </w:pPr>
    </w:p>
    <w:p w14:paraId="34143586" w14:textId="6CACA631" w:rsidR="00B161BD" w:rsidRPr="00FC473C" w:rsidRDefault="00B161BD">
      <w:pPr>
        <w:pStyle w:val="Heading1"/>
        <w:rPr>
          <w:rFonts w:ascii="Arial" w:hAnsi="Arial" w:cs="Arial"/>
        </w:rPr>
      </w:pPr>
      <w:bookmarkStart w:id="0" w:name="_ij0i5yfbprbv" w:colFirst="0" w:colLast="0"/>
      <w:bookmarkEnd w:id="0"/>
    </w:p>
    <w:p w14:paraId="176CEAD7" w14:textId="77777777" w:rsidR="00FC473C" w:rsidRPr="00FC473C" w:rsidRDefault="00FC473C">
      <w:pPr>
        <w:rPr>
          <w:rFonts w:ascii="Arial" w:hAnsi="Arial" w:cs="Arial"/>
          <w:b/>
          <w:bCs/>
          <w:sz w:val="28"/>
          <w:szCs w:val="28"/>
        </w:rPr>
      </w:pPr>
      <w:bookmarkStart w:id="1" w:name="_onlui7dg3t6s" w:colFirst="0" w:colLast="0"/>
      <w:bookmarkEnd w:id="1"/>
      <w:r w:rsidRPr="00FC473C">
        <w:rPr>
          <w:rFonts w:ascii="Arial" w:hAnsi="Arial" w:cs="Arial"/>
        </w:rPr>
        <w:br w:type="page"/>
      </w:r>
    </w:p>
    <w:p w14:paraId="065637D7" w14:textId="367090B9" w:rsidR="00B161BD" w:rsidRPr="00FC473C" w:rsidRDefault="00000000">
      <w:pPr>
        <w:pStyle w:val="Heading1"/>
        <w:rPr>
          <w:rFonts w:ascii="Arial" w:hAnsi="Arial" w:cs="Arial"/>
        </w:rPr>
      </w:pPr>
      <w:r w:rsidRPr="00FC473C">
        <w:rPr>
          <w:rFonts w:ascii="Arial" w:hAnsi="Arial" w:cs="Arial"/>
        </w:rPr>
        <w:lastRenderedPageBreak/>
        <w:t>1. Introduction</w:t>
      </w:r>
    </w:p>
    <w:p w14:paraId="34A8E4A2" w14:textId="77777777" w:rsidR="00B161BD" w:rsidRPr="00FC473C" w:rsidRDefault="00000000">
      <w:pPr>
        <w:pStyle w:val="Heading2"/>
        <w:rPr>
          <w:rFonts w:ascii="Arial" w:hAnsi="Arial" w:cs="Arial"/>
        </w:rPr>
      </w:pPr>
      <w:bookmarkStart w:id="2" w:name="_tdmg7saospbv" w:colFirst="0" w:colLast="0"/>
      <w:bookmarkEnd w:id="2"/>
      <w:r w:rsidRPr="00FC473C">
        <w:rPr>
          <w:rFonts w:ascii="Arial" w:hAnsi="Arial" w:cs="Arial"/>
        </w:rPr>
        <w:t>1.1 Purpose of the Report</w:t>
      </w:r>
    </w:p>
    <w:p w14:paraId="4E57F72A" w14:textId="77777777" w:rsidR="00B161BD" w:rsidRPr="00FC473C" w:rsidRDefault="00000000">
      <w:pPr>
        <w:rPr>
          <w:rFonts w:ascii="Arial" w:hAnsi="Arial" w:cs="Arial"/>
        </w:rPr>
      </w:pPr>
      <w:r w:rsidRPr="00FC473C">
        <w:rPr>
          <w:rFonts w:ascii="Arial" w:hAnsi="Arial" w:cs="Arial"/>
        </w:rPr>
        <w:t xml:space="preserve">This report discusses the influence of the macro-environmental factors in strategic marketing decisions in the highly dynamic industry. It deals with the difference between pioneering and follower </w:t>
      </w:r>
      <w:proofErr w:type="spellStart"/>
      <w:r w:rsidRPr="00FC473C">
        <w:rPr>
          <w:rFonts w:ascii="Arial" w:hAnsi="Arial" w:cs="Arial"/>
        </w:rPr>
        <w:t>organisations</w:t>
      </w:r>
      <w:proofErr w:type="spellEnd"/>
      <w:r w:rsidRPr="00FC473C">
        <w:rPr>
          <w:rFonts w:ascii="Arial" w:hAnsi="Arial" w:cs="Arial"/>
        </w:rPr>
        <w:t xml:space="preserve"> and how the role of first movers is to secure a competitive advantage and how their follower </w:t>
      </w:r>
      <w:proofErr w:type="spellStart"/>
      <w:r w:rsidRPr="00FC473C">
        <w:rPr>
          <w:rFonts w:ascii="Arial" w:hAnsi="Arial" w:cs="Arial"/>
        </w:rPr>
        <w:t>organisations</w:t>
      </w:r>
      <w:proofErr w:type="spellEnd"/>
      <w:r w:rsidRPr="00FC473C">
        <w:rPr>
          <w:rFonts w:ascii="Arial" w:hAnsi="Arial" w:cs="Arial"/>
        </w:rPr>
        <w:t xml:space="preserve"> modify their strategies to survive in a dynamic environment.</w:t>
      </w:r>
    </w:p>
    <w:p w14:paraId="1FB1D7B5" w14:textId="77777777" w:rsidR="00B161BD" w:rsidRPr="00FC473C" w:rsidRDefault="00000000">
      <w:pPr>
        <w:pStyle w:val="Heading2"/>
        <w:rPr>
          <w:rFonts w:ascii="Arial" w:hAnsi="Arial" w:cs="Arial"/>
        </w:rPr>
      </w:pPr>
      <w:bookmarkStart w:id="3" w:name="_dri3u1jqhrp0" w:colFirst="0" w:colLast="0"/>
      <w:bookmarkEnd w:id="3"/>
      <w:r w:rsidRPr="00FC473C">
        <w:rPr>
          <w:rFonts w:ascii="Arial" w:hAnsi="Arial" w:cs="Arial"/>
        </w:rPr>
        <w:t>1.2 Industry Overview: Electric Vehicle (EV) Industry</w:t>
      </w:r>
    </w:p>
    <w:p w14:paraId="04ACFF3E" w14:textId="77777777" w:rsidR="00B161BD" w:rsidRPr="00FC473C" w:rsidRDefault="00000000">
      <w:pPr>
        <w:jc w:val="center"/>
        <w:rPr>
          <w:rFonts w:ascii="Arial" w:hAnsi="Arial" w:cs="Arial"/>
        </w:rPr>
      </w:pPr>
      <w:r w:rsidRPr="00FC473C">
        <w:rPr>
          <w:rFonts w:ascii="Arial" w:hAnsi="Arial" w:cs="Arial"/>
          <w:noProof/>
        </w:rPr>
        <w:drawing>
          <wp:inline distT="114300" distB="114300" distL="114300" distR="114300" wp14:anchorId="02652492" wp14:editId="7D389614">
            <wp:extent cx="5943600" cy="33401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7BC8A1BF" w14:textId="77777777" w:rsidR="00B161BD" w:rsidRPr="00FC473C" w:rsidRDefault="00000000">
      <w:pPr>
        <w:jc w:val="center"/>
        <w:rPr>
          <w:rFonts w:ascii="Arial" w:hAnsi="Arial" w:cs="Arial"/>
          <w:b/>
          <w:bCs/>
        </w:rPr>
      </w:pPr>
      <w:r w:rsidRPr="00FC473C">
        <w:rPr>
          <w:rFonts w:ascii="Arial" w:hAnsi="Arial" w:cs="Arial"/>
          <w:b/>
          <w:bCs/>
        </w:rPr>
        <w:t xml:space="preserve">Figure 1: Electric Vehicle </w:t>
      </w:r>
      <w:proofErr w:type="spellStart"/>
      <w:r w:rsidRPr="00FC473C">
        <w:rPr>
          <w:rFonts w:ascii="Arial" w:hAnsi="Arial" w:cs="Arial"/>
          <w:b/>
          <w:bCs/>
        </w:rPr>
        <w:t>MArket</w:t>
      </w:r>
      <w:proofErr w:type="spellEnd"/>
      <w:r w:rsidRPr="00FC473C">
        <w:rPr>
          <w:rFonts w:ascii="Arial" w:hAnsi="Arial" w:cs="Arial"/>
          <w:b/>
          <w:bCs/>
        </w:rPr>
        <w:t xml:space="preserve"> Size</w:t>
      </w:r>
    </w:p>
    <w:p w14:paraId="5AF20D61" w14:textId="77777777" w:rsidR="00B161BD" w:rsidRPr="00FC473C" w:rsidRDefault="00000000">
      <w:pPr>
        <w:jc w:val="center"/>
        <w:rPr>
          <w:rFonts w:ascii="Arial" w:hAnsi="Arial" w:cs="Arial"/>
        </w:rPr>
      </w:pPr>
      <w:r w:rsidRPr="00FC473C">
        <w:rPr>
          <w:rFonts w:ascii="Arial" w:hAnsi="Arial" w:cs="Arial"/>
        </w:rPr>
        <w:t>(Source: Precedence Research, 2025)</w:t>
      </w:r>
    </w:p>
    <w:p w14:paraId="12F818C9" w14:textId="77777777" w:rsidR="00B161BD" w:rsidRPr="00FC473C" w:rsidRDefault="00000000">
      <w:pPr>
        <w:rPr>
          <w:rFonts w:ascii="Arial" w:hAnsi="Arial" w:cs="Arial"/>
        </w:rPr>
      </w:pPr>
      <w:r w:rsidRPr="00FC473C">
        <w:rPr>
          <w:rFonts w:ascii="Arial" w:hAnsi="Arial" w:cs="Arial"/>
        </w:rPr>
        <w:t xml:space="preserve">The worldwide EV market is undergoing a steady growth, and it is forecasted to have more than 20 million vehicles sold in 2025, which will represent more than 25% of all cars sold globally. The growth will be positive to 2026, which can be attributed to the sustainability policies, technological advancement, and increased consumer demand </w:t>
      </w:r>
      <w:r w:rsidRPr="00FC473C">
        <w:rPr>
          <w:rFonts w:ascii="Arial" w:hAnsi="Arial" w:cs="Arial"/>
        </w:rPr>
        <w:lastRenderedPageBreak/>
        <w:t>(Precedence Research, 2025). The competition in the industry is quite stiff with such players as Tesla, BYD, and conventional vehicles fighting to dominate the market.</w:t>
      </w:r>
    </w:p>
    <w:p w14:paraId="52DB82A1" w14:textId="77777777" w:rsidR="00B161BD" w:rsidRPr="00FC473C" w:rsidRDefault="00000000">
      <w:pPr>
        <w:pStyle w:val="Heading2"/>
        <w:rPr>
          <w:rFonts w:ascii="Arial" w:hAnsi="Arial" w:cs="Arial"/>
        </w:rPr>
      </w:pPr>
      <w:bookmarkStart w:id="4" w:name="_jp6gm8wjirfv" w:colFirst="0" w:colLast="0"/>
      <w:bookmarkEnd w:id="4"/>
      <w:r w:rsidRPr="00FC473C">
        <w:rPr>
          <w:rFonts w:ascii="Arial" w:hAnsi="Arial" w:cs="Arial"/>
        </w:rPr>
        <w:t>1.3 Importance of Macro Environment Analysis</w:t>
      </w:r>
    </w:p>
    <w:p w14:paraId="4A2F2963" w14:textId="77777777" w:rsidR="00B161BD" w:rsidRPr="00FC473C" w:rsidRDefault="00000000">
      <w:pPr>
        <w:rPr>
          <w:rFonts w:ascii="Arial" w:hAnsi="Arial" w:cs="Arial"/>
        </w:rPr>
      </w:pPr>
      <w:r w:rsidRPr="00FC473C">
        <w:rPr>
          <w:rFonts w:ascii="Arial" w:hAnsi="Arial" w:cs="Arial"/>
        </w:rPr>
        <w:t xml:space="preserve">The PESTLE framework helps </w:t>
      </w:r>
      <w:proofErr w:type="spellStart"/>
      <w:r w:rsidRPr="00FC473C">
        <w:rPr>
          <w:rFonts w:ascii="Arial" w:hAnsi="Arial" w:cs="Arial"/>
        </w:rPr>
        <w:t>organisations</w:t>
      </w:r>
      <w:proofErr w:type="spellEnd"/>
      <w:r w:rsidRPr="00FC473C">
        <w:rPr>
          <w:rFonts w:ascii="Arial" w:hAnsi="Arial" w:cs="Arial"/>
        </w:rPr>
        <w:t xml:space="preserve"> evaluate external forces like environmental regulation and technological change. This analysis assists companies to determine their opportunities and threats so that they make their strategic decisions proactively in uncertain circumstances (CIPD, 2025).</w:t>
      </w:r>
    </w:p>
    <w:p w14:paraId="0E539F13" w14:textId="77777777" w:rsidR="00B161BD" w:rsidRPr="00FC473C" w:rsidRDefault="00000000">
      <w:pPr>
        <w:pStyle w:val="Heading2"/>
        <w:rPr>
          <w:rFonts w:ascii="Arial" w:hAnsi="Arial" w:cs="Arial"/>
        </w:rPr>
      </w:pPr>
      <w:bookmarkStart w:id="5" w:name="_8l6ruvkc5h54" w:colFirst="0" w:colLast="0"/>
      <w:bookmarkEnd w:id="5"/>
      <w:r w:rsidRPr="00FC473C">
        <w:rPr>
          <w:rFonts w:ascii="Arial" w:hAnsi="Arial" w:cs="Arial"/>
        </w:rPr>
        <w:t>1.4 Structure of the Report</w:t>
      </w:r>
    </w:p>
    <w:p w14:paraId="390A42CA" w14:textId="77777777" w:rsidR="00B161BD" w:rsidRPr="00FC473C" w:rsidRDefault="00000000">
      <w:pPr>
        <w:rPr>
          <w:rFonts w:ascii="Arial" w:hAnsi="Arial" w:cs="Arial"/>
        </w:rPr>
      </w:pPr>
      <w:r w:rsidRPr="00FC473C">
        <w:rPr>
          <w:rFonts w:ascii="Arial" w:hAnsi="Arial" w:cs="Arial"/>
        </w:rPr>
        <w:t>The report will undertake macro-environmental analysis (Task 1) in the first part of the analysis, strategic response of pioneer and follower firms (Task 2), and a final summary.</w:t>
      </w:r>
    </w:p>
    <w:p w14:paraId="59B123A3" w14:textId="77777777" w:rsidR="00B161BD" w:rsidRPr="00FC473C" w:rsidRDefault="00000000">
      <w:pPr>
        <w:pStyle w:val="Heading1"/>
        <w:rPr>
          <w:rFonts w:ascii="Arial" w:hAnsi="Arial" w:cs="Arial"/>
        </w:rPr>
      </w:pPr>
      <w:bookmarkStart w:id="6" w:name="_ck2dhh5kdt08" w:colFirst="0" w:colLast="0"/>
      <w:bookmarkEnd w:id="6"/>
      <w:r w:rsidRPr="00FC473C">
        <w:rPr>
          <w:rFonts w:ascii="Arial" w:hAnsi="Arial" w:cs="Arial"/>
        </w:rPr>
        <w:t xml:space="preserve">2. Task 1: Critical Analysis of the Macro Marketing Environment </w:t>
      </w:r>
    </w:p>
    <w:p w14:paraId="7BB0FF66" w14:textId="77777777" w:rsidR="00B161BD" w:rsidRPr="00FC473C" w:rsidRDefault="00000000">
      <w:pPr>
        <w:pStyle w:val="Heading3"/>
        <w:rPr>
          <w:rFonts w:ascii="Arial" w:hAnsi="Arial" w:cs="Arial"/>
        </w:rPr>
      </w:pPr>
      <w:bookmarkStart w:id="7" w:name="_qqchzicstw3o" w:colFirst="0" w:colLast="0"/>
      <w:bookmarkEnd w:id="7"/>
      <w:r w:rsidRPr="00FC473C">
        <w:rPr>
          <w:rFonts w:ascii="Arial" w:hAnsi="Arial" w:cs="Arial"/>
        </w:rPr>
        <w:t>2.1.1 PESTLE Framework Overview</w:t>
      </w:r>
    </w:p>
    <w:p w14:paraId="5042EE6E" w14:textId="77777777" w:rsidR="00B161BD" w:rsidRPr="00FC473C" w:rsidRDefault="00000000">
      <w:pPr>
        <w:rPr>
          <w:rFonts w:ascii="Arial" w:hAnsi="Arial" w:cs="Arial"/>
        </w:rPr>
      </w:pPr>
      <w:r w:rsidRPr="00FC473C">
        <w:rPr>
          <w:rFonts w:ascii="Arial" w:hAnsi="Arial" w:cs="Arial"/>
        </w:rPr>
        <w:t>The PESTLE framework is a strategic model applied in the analysis of outside macro-environmental conditions that affect business decisions. It comprises of Political factors (government policies and incentives), Economic factors (inflation, cost of production, consumer purchasing power), Social factors (consumer attitudes toward sustainability), Technological factors (innovation and R&amp;D), Legal factors (regulations and compliance) and Environmental factors (climate change and sustainability pressures) (Gini and Agala, 2023). These forces in the EV industry are influential in competitive strategy and positioning in the long term.</w:t>
      </w:r>
    </w:p>
    <w:p w14:paraId="32C1CDE6" w14:textId="77777777" w:rsidR="00B161BD" w:rsidRPr="00FC473C" w:rsidRDefault="00000000">
      <w:pPr>
        <w:pStyle w:val="Heading3"/>
        <w:rPr>
          <w:rFonts w:ascii="Arial" w:hAnsi="Arial" w:cs="Arial"/>
        </w:rPr>
      </w:pPr>
      <w:bookmarkStart w:id="8" w:name="_cv0vds2550sq" w:colFirst="0" w:colLast="0"/>
      <w:bookmarkEnd w:id="8"/>
      <w:r w:rsidRPr="00FC473C">
        <w:rPr>
          <w:rFonts w:ascii="Arial" w:hAnsi="Arial" w:cs="Arial"/>
        </w:rPr>
        <w:t>2.1.2 Selected Macro Factors</w:t>
      </w:r>
    </w:p>
    <w:p w14:paraId="5004C586" w14:textId="77777777" w:rsidR="00B161BD" w:rsidRPr="00FC473C" w:rsidRDefault="00000000">
      <w:pPr>
        <w:spacing w:before="240" w:after="240"/>
        <w:rPr>
          <w:rFonts w:ascii="Arial" w:hAnsi="Arial" w:cs="Arial"/>
        </w:rPr>
      </w:pPr>
      <w:r w:rsidRPr="00FC473C">
        <w:rPr>
          <w:rFonts w:ascii="Arial" w:hAnsi="Arial" w:cs="Arial"/>
        </w:rPr>
        <w:t>This report focuses on:</w:t>
      </w:r>
    </w:p>
    <w:p w14:paraId="621A7EC5" w14:textId="77777777" w:rsidR="00B161BD" w:rsidRPr="00FC473C" w:rsidRDefault="00000000">
      <w:pPr>
        <w:numPr>
          <w:ilvl w:val="0"/>
          <w:numId w:val="2"/>
        </w:numPr>
        <w:spacing w:before="240" w:after="0"/>
        <w:rPr>
          <w:rFonts w:ascii="Arial" w:hAnsi="Arial" w:cs="Arial"/>
        </w:rPr>
      </w:pPr>
      <w:r w:rsidRPr="00FC473C">
        <w:rPr>
          <w:rFonts w:ascii="Arial" w:hAnsi="Arial" w:cs="Arial"/>
          <w:b/>
          <w:bCs/>
        </w:rPr>
        <w:t>Technological Factors</w:t>
      </w:r>
    </w:p>
    <w:p w14:paraId="2D7E2448" w14:textId="77777777" w:rsidR="00B161BD" w:rsidRPr="00FC473C" w:rsidRDefault="00000000">
      <w:pPr>
        <w:numPr>
          <w:ilvl w:val="0"/>
          <w:numId w:val="2"/>
        </w:numPr>
        <w:spacing w:after="240"/>
        <w:rPr>
          <w:rFonts w:ascii="Arial" w:hAnsi="Arial" w:cs="Arial"/>
        </w:rPr>
      </w:pPr>
      <w:r w:rsidRPr="00FC473C">
        <w:rPr>
          <w:rFonts w:ascii="Arial" w:hAnsi="Arial" w:cs="Arial"/>
          <w:b/>
          <w:bCs/>
        </w:rPr>
        <w:t>Environmental Factors</w:t>
      </w:r>
    </w:p>
    <w:p w14:paraId="5B42BA64" w14:textId="77777777" w:rsidR="00B161BD" w:rsidRPr="00FC473C" w:rsidRDefault="00000000">
      <w:pPr>
        <w:pStyle w:val="Heading3"/>
        <w:rPr>
          <w:rFonts w:ascii="Arial" w:hAnsi="Arial" w:cs="Arial"/>
        </w:rPr>
      </w:pPr>
      <w:bookmarkStart w:id="9" w:name="_pcq7x5k94ocb" w:colFirst="0" w:colLast="0"/>
      <w:bookmarkEnd w:id="9"/>
      <w:r w:rsidRPr="00FC473C">
        <w:rPr>
          <w:rFonts w:ascii="Arial" w:hAnsi="Arial" w:cs="Arial"/>
        </w:rPr>
        <w:lastRenderedPageBreak/>
        <w:t>2.1.3 Justification of Selection</w:t>
      </w:r>
    </w:p>
    <w:p w14:paraId="29F57F2C" w14:textId="77777777" w:rsidR="00B161BD" w:rsidRPr="00FC473C" w:rsidRDefault="00000000">
      <w:pPr>
        <w:jc w:val="center"/>
        <w:rPr>
          <w:rFonts w:ascii="Arial" w:hAnsi="Arial" w:cs="Arial"/>
        </w:rPr>
      </w:pPr>
      <w:r w:rsidRPr="00FC473C">
        <w:rPr>
          <w:rFonts w:ascii="Arial" w:hAnsi="Arial" w:cs="Arial"/>
          <w:noProof/>
        </w:rPr>
        <w:drawing>
          <wp:inline distT="114300" distB="114300" distL="114300" distR="114300" wp14:anchorId="7EE28170" wp14:editId="528CA67D">
            <wp:extent cx="5943600" cy="2933700"/>
            <wp:effectExtent l="25400" t="25400" r="25400" b="254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943600" cy="2933700"/>
                    </a:xfrm>
                    <a:prstGeom prst="rect">
                      <a:avLst/>
                    </a:prstGeom>
                    <a:ln w="25400">
                      <a:solidFill>
                        <a:srgbClr val="000000"/>
                      </a:solidFill>
                      <a:prstDash val="solid"/>
                    </a:ln>
                  </pic:spPr>
                </pic:pic>
              </a:graphicData>
            </a:graphic>
          </wp:inline>
        </w:drawing>
      </w:r>
    </w:p>
    <w:p w14:paraId="4A1C8397" w14:textId="77777777" w:rsidR="00B161BD" w:rsidRPr="00FC473C" w:rsidRDefault="00000000">
      <w:pPr>
        <w:jc w:val="center"/>
        <w:rPr>
          <w:rFonts w:ascii="Arial" w:hAnsi="Arial" w:cs="Arial"/>
          <w:b/>
          <w:bCs/>
        </w:rPr>
      </w:pPr>
      <w:r w:rsidRPr="00FC473C">
        <w:rPr>
          <w:rFonts w:ascii="Arial" w:hAnsi="Arial" w:cs="Arial"/>
          <w:b/>
          <w:bCs/>
        </w:rPr>
        <w:t>Figure 2: Electric Car Sales</w:t>
      </w:r>
    </w:p>
    <w:p w14:paraId="42F11212" w14:textId="77777777" w:rsidR="00B161BD" w:rsidRPr="00FC473C" w:rsidRDefault="00000000">
      <w:pPr>
        <w:jc w:val="center"/>
        <w:rPr>
          <w:rFonts w:ascii="Arial" w:hAnsi="Arial" w:cs="Arial"/>
        </w:rPr>
      </w:pPr>
      <w:r w:rsidRPr="00FC473C">
        <w:rPr>
          <w:rFonts w:ascii="Arial" w:hAnsi="Arial" w:cs="Arial"/>
        </w:rPr>
        <w:t>(Source: Energycomment.de, 2026)</w:t>
      </w:r>
    </w:p>
    <w:p w14:paraId="354F0AB1" w14:textId="77777777" w:rsidR="00B161BD" w:rsidRPr="00FC473C" w:rsidRDefault="00000000">
      <w:pPr>
        <w:spacing w:before="240" w:after="240"/>
        <w:rPr>
          <w:rFonts w:ascii="Arial" w:hAnsi="Arial" w:cs="Arial"/>
        </w:rPr>
      </w:pPr>
      <w:r w:rsidRPr="00FC473C">
        <w:rPr>
          <w:rFonts w:ascii="Arial" w:hAnsi="Arial" w:cs="Arial"/>
        </w:rPr>
        <w:t>Technological changes are the reason why the EV industry is moving in the right direction, especially the efficiency of batteries, the charge network, and self-driving systems. At the same time, environmental issues and global sustainability goals have a strong impact on the demand and regulation. As an example, EV was estimated to have a market share of about 26% of car sales worldwide in 2025, and the figure is expected to increase to 23-28% by 2026-2027 because of climatic policies and advancement. Consequently, these two are strategic factors (Energycomment.de, 2026).</w:t>
      </w:r>
    </w:p>
    <w:p w14:paraId="3459ED16" w14:textId="77777777" w:rsidR="00B161BD" w:rsidRPr="00FC473C" w:rsidRDefault="00000000">
      <w:pPr>
        <w:pStyle w:val="Heading2"/>
        <w:rPr>
          <w:rFonts w:ascii="Arial" w:hAnsi="Arial" w:cs="Arial"/>
        </w:rPr>
      </w:pPr>
      <w:bookmarkStart w:id="10" w:name="_orobcpwp64vj" w:colFirst="0" w:colLast="0"/>
      <w:bookmarkEnd w:id="10"/>
      <w:r w:rsidRPr="00FC473C">
        <w:rPr>
          <w:rFonts w:ascii="Arial" w:hAnsi="Arial" w:cs="Arial"/>
        </w:rPr>
        <w:t>2.2 Analysis of Macro Factor 1: Technological Factors</w:t>
      </w:r>
    </w:p>
    <w:p w14:paraId="78E93516" w14:textId="77777777" w:rsidR="00B161BD" w:rsidRPr="00FC473C" w:rsidRDefault="00000000">
      <w:pPr>
        <w:pStyle w:val="Heading3"/>
        <w:rPr>
          <w:rFonts w:ascii="Arial" w:hAnsi="Arial" w:cs="Arial"/>
        </w:rPr>
      </w:pPr>
      <w:bookmarkStart w:id="11" w:name="_4onnypeav0ec" w:colFirst="0" w:colLast="0"/>
      <w:bookmarkEnd w:id="11"/>
      <w:r w:rsidRPr="00FC473C">
        <w:rPr>
          <w:rFonts w:ascii="Arial" w:hAnsi="Arial" w:cs="Arial"/>
        </w:rPr>
        <w:t xml:space="preserve">2.2.1 Pioneer </w:t>
      </w:r>
      <w:proofErr w:type="spellStart"/>
      <w:r w:rsidRPr="00FC473C">
        <w:rPr>
          <w:rFonts w:ascii="Arial" w:hAnsi="Arial" w:cs="Arial"/>
        </w:rPr>
        <w:t>Organisation</w:t>
      </w:r>
      <w:proofErr w:type="spellEnd"/>
      <w:r w:rsidRPr="00FC473C">
        <w:rPr>
          <w:rFonts w:ascii="Arial" w:hAnsi="Arial" w:cs="Arial"/>
        </w:rPr>
        <w:t>: Tesla</w:t>
      </w:r>
    </w:p>
    <w:p w14:paraId="25A693DD" w14:textId="77777777" w:rsidR="00B161BD" w:rsidRPr="00FC473C" w:rsidRDefault="00000000">
      <w:pPr>
        <w:spacing w:before="240" w:after="240"/>
        <w:rPr>
          <w:rFonts w:ascii="Arial" w:hAnsi="Arial" w:cs="Arial"/>
          <w:b/>
          <w:bCs/>
        </w:rPr>
      </w:pPr>
      <w:r w:rsidRPr="00FC473C">
        <w:rPr>
          <w:rFonts w:ascii="Arial" w:hAnsi="Arial" w:cs="Arial"/>
          <w:b/>
          <w:bCs/>
        </w:rPr>
        <w:t>Opportunity/Threat</w:t>
      </w:r>
    </w:p>
    <w:p w14:paraId="02835D54" w14:textId="77777777" w:rsidR="00B161BD" w:rsidRPr="00FC473C" w:rsidRDefault="00000000">
      <w:pPr>
        <w:spacing w:before="240" w:after="240"/>
        <w:jc w:val="center"/>
        <w:rPr>
          <w:rFonts w:ascii="Arial" w:hAnsi="Arial" w:cs="Arial"/>
          <w:b/>
          <w:bCs/>
        </w:rPr>
      </w:pPr>
      <w:r w:rsidRPr="00FC473C">
        <w:rPr>
          <w:rFonts w:ascii="Arial" w:hAnsi="Arial" w:cs="Arial"/>
          <w:b/>
          <w:bCs/>
          <w:noProof/>
        </w:rPr>
        <w:lastRenderedPageBreak/>
        <w:drawing>
          <wp:inline distT="114300" distB="114300" distL="114300" distR="114300" wp14:anchorId="78DBEC8A" wp14:editId="280E4FE3">
            <wp:extent cx="5943600" cy="4457700"/>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4457700"/>
                    </a:xfrm>
                    <a:prstGeom prst="rect">
                      <a:avLst/>
                    </a:prstGeom>
                    <a:ln w="25400">
                      <a:solidFill>
                        <a:srgbClr val="000000"/>
                      </a:solidFill>
                      <a:prstDash val="solid"/>
                    </a:ln>
                  </pic:spPr>
                </pic:pic>
              </a:graphicData>
            </a:graphic>
          </wp:inline>
        </w:drawing>
      </w:r>
    </w:p>
    <w:p w14:paraId="04A02368" w14:textId="77777777" w:rsidR="00B161BD" w:rsidRPr="00FC473C" w:rsidRDefault="00000000">
      <w:pPr>
        <w:spacing w:before="240" w:after="240"/>
        <w:jc w:val="center"/>
        <w:rPr>
          <w:rFonts w:ascii="Arial" w:hAnsi="Arial" w:cs="Arial"/>
          <w:b/>
          <w:bCs/>
        </w:rPr>
      </w:pPr>
      <w:r w:rsidRPr="00FC473C">
        <w:rPr>
          <w:rFonts w:ascii="Arial" w:hAnsi="Arial" w:cs="Arial"/>
          <w:b/>
          <w:bCs/>
        </w:rPr>
        <w:t>Figure 3: Tesla Quarterly Share</w:t>
      </w:r>
    </w:p>
    <w:p w14:paraId="0E7AEFA1" w14:textId="77777777" w:rsidR="00B161BD" w:rsidRPr="00FC473C" w:rsidRDefault="00000000">
      <w:pPr>
        <w:spacing w:before="240" w:after="240"/>
        <w:jc w:val="center"/>
        <w:rPr>
          <w:rFonts w:ascii="Arial" w:hAnsi="Arial" w:cs="Arial"/>
        </w:rPr>
      </w:pPr>
      <w:r w:rsidRPr="00FC473C">
        <w:rPr>
          <w:rFonts w:ascii="Arial" w:hAnsi="Arial" w:cs="Arial"/>
        </w:rPr>
        <w:t>(Source: Fischer, 2025)</w:t>
      </w:r>
    </w:p>
    <w:p w14:paraId="1D47A95B" w14:textId="77777777" w:rsidR="00B161BD" w:rsidRPr="00FC473C" w:rsidRDefault="00000000">
      <w:pPr>
        <w:spacing w:before="240" w:after="240"/>
        <w:rPr>
          <w:rFonts w:ascii="Arial" w:hAnsi="Arial" w:cs="Arial"/>
        </w:rPr>
      </w:pPr>
      <w:r w:rsidRPr="00FC473C">
        <w:rPr>
          <w:rFonts w:ascii="Arial" w:hAnsi="Arial" w:cs="Arial"/>
        </w:rPr>
        <w:t>A significant opportunity for Tesla is technological development. The company is on the forefront of battery, artificial intelligence and autonomous driving technology. The emphasis of Tesla on vertical integration and Gigafactories has enhanced the technological leadership of the company. With a market share of approximately 59% in the United States of America, Tesla dominated the EV market despite the heightened competition in the year 2026 (Fischer, 2025).</w:t>
      </w:r>
    </w:p>
    <w:p w14:paraId="6138C34A" w14:textId="77777777" w:rsidR="00B161BD" w:rsidRPr="00FC473C" w:rsidRDefault="00000000">
      <w:pPr>
        <w:spacing w:before="240" w:after="240"/>
        <w:rPr>
          <w:rFonts w:ascii="Arial" w:hAnsi="Arial" w:cs="Arial"/>
          <w:b/>
          <w:bCs/>
        </w:rPr>
      </w:pPr>
      <w:r w:rsidRPr="00FC473C">
        <w:rPr>
          <w:rFonts w:ascii="Arial" w:hAnsi="Arial" w:cs="Arial"/>
          <w:b/>
          <w:bCs/>
        </w:rPr>
        <w:t>Evidence</w:t>
      </w:r>
    </w:p>
    <w:p w14:paraId="59A8CB0E" w14:textId="77777777" w:rsidR="00B161BD" w:rsidRPr="00FC473C" w:rsidRDefault="00000000">
      <w:pPr>
        <w:spacing w:before="240" w:after="240"/>
        <w:jc w:val="center"/>
        <w:rPr>
          <w:rFonts w:ascii="Arial" w:hAnsi="Arial" w:cs="Arial"/>
          <w:b/>
          <w:bCs/>
        </w:rPr>
      </w:pPr>
      <w:r w:rsidRPr="00FC473C">
        <w:rPr>
          <w:rFonts w:ascii="Arial" w:hAnsi="Arial" w:cs="Arial"/>
          <w:b/>
          <w:bCs/>
          <w:noProof/>
        </w:rPr>
        <w:lastRenderedPageBreak/>
        <w:drawing>
          <wp:inline distT="114300" distB="114300" distL="114300" distR="114300" wp14:anchorId="481B84B7" wp14:editId="62BF44BC">
            <wp:extent cx="5943600" cy="44577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4457700"/>
                    </a:xfrm>
                    <a:prstGeom prst="rect">
                      <a:avLst/>
                    </a:prstGeom>
                    <a:ln w="25400">
                      <a:solidFill>
                        <a:srgbClr val="000000"/>
                      </a:solidFill>
                      <a:prstDash val="solid"/>
                    </a:ln>
                  </pic:spPr>
                </pic:pic>
              </a:graphicData>
            </a:graphic>
          </wp:inline>
        </w:drawing>
      </w:r>
    </w:p>
    <w:p w14:paraId="3B82C016" w14:textId="77777777" w:rsidR="00B161BD" w:rsidRPr="00FC473C" w:rsidRDefault="00000000">
      <w:pPr>
        <w:spacing w:before="240" w:after="240"/>
        <w:jc w:val="center"/>
        <w:rPr>
          <w:rFonts w:ascii="Arial" w:hAnsi="Arial" w:cs="Arial"/>
          <w:b/>
          <w:bCs/>
        </w:rPr>
      </w:pPr>
      <w:r w:rsidRPr="00FC473C">
        <w:rPr>
          <w:rFonts w:ascii="Arial" w:hAnsi="Arial" w:cs="Arial"/>
          <w:b/>
          <w:bCs/>
        </w:rPr>
        <w:t>Figure 4: Tesla Annual Car Production</w:t>
      </w:r>
    </w:p>
    <w:p w14:paraId="220FEA54" w14:textId="77777777" w:rsidR="00B161BD" w:rsidRPr="00FC473C" w:rsidRDefault="00000000">
      <w:pPr>
        <w:spacing w:before="240" w:after="240"/>
        <w:jc w:val="center"/>
        <w:rPr>
          <w:rFonts w:ascii="Arial" w:hAnsi="Arial" w:cs="Arial"/>
        </w:rPr>
      </w:pPr>
      <w:r w:rsidRPr="00FC473C">
        <w:rPr>
          <w:rFonts w:ascii="Arial" w:hAnsi="Arial" w:cs="Arial"/>
        </w:rPr>
        <w:t>(Source: Lesjak, 2026)</w:t>
      </w:r>
    </w:p>
    <w:p w14:paraId="579D664A" w14:textId="77777777" w:rsidR="00B161BD" w:rsidRPr="00FC473C" w:rsidRDefault="00000000">
      <w:pPr>
        <w:spacing w:before="240" w:after="240"/>
        <w:rPr>
          <w:rFonts w:ascii="Arial" w:hAnsi="Arial" w:cs="Arial"/>
        </w:rPr>
      </w:pPr>
      <w:r w:rsidRPr="00FC473C">
        <w:rPr>
          <w:rFonts w:ascii="Arial" w:hAnsi="Arial" w:cs="Arial"/>
        </w:rPr>
        <w:t>As far as evidence is concerned, Tesla produced almost 1.65 million cars in the world with the assistance of high-tech battery systems and software skills. Moreover, the battery innovation in the world is gaining pace, with the top battery makers such as CATL controlling 45.2% of the battery market in 2026 which is emphasizing the significance of technological ecosystems (Lesjak, 2026).</w:t>
      </w:r>
    </w:p>
    <w:p w14:paraId="4C6A138D" w14:textId="77777777" w:rsidR="00B161BD" w:rsidRPr="00FC473C" w:rsidRDefault="00000000">
      <w:pPr>
        <w:spacing w:before="240" w:after="240"/>
        <w:rPr>
          <w:rFonts w:ascii="Arial" w:hAnsi="Arial" w:cs="Arial"/>
          <w:b/>
          <w:bCs/>
        </w:rPr>
      </w:pPr>
      <w:r w:rsidRPr="00FC473C">
        <w:rPr>
          <w:rFonts w:ascii="Arial" w:hAnsi="Arial" w:cs="Arial"/>
          <w:b/>
          <w:bCs/>
        </w:rPr>
        <w:t>Implications</w:t>
      </w:r>
    </w:p>
    <w:p w14:paraId="1C7CECEE" w14:textId="77777777" w:rsidR="00B161BD" w:rsidRPr="00FC473C" w:rsidRDefault="00000000">
      <w:pPr>
        <w:spacing w:before="240" w:after="240"/>
        <w:rPr>
          <w:rFonts w:ascii="Arial" w:hAnsi="Arial" w:cs="Arial"/>
        </w:rPr>
      </w:pPr>
      <w:r w:rsidRPr="00FC473C">
        <w:rPr>
          <w:rFonts w:ascii="Arial" w:hAnsi="Arial" w:cs="Arial"/>
        </w:rPr>
        <w:t xml:space="preserve">This has serious implications on Tesla. Being a first mover, it enjoys good brand loyalty, economies of scale and innovation. This technology leadership supports its strong </w:t>
      </w:r>
      <w:r w:rsidRPr="00FC473C">
        <w:rPr>
          <w:rFonts w:ascii="Arial" w:hAnsi="Arial" w:cs="Arial"/>
        </w:rPr>
        <w:lastRenderedPageBreak/>
        <w:t>competitiveness and high positioning though an increasingly competitive environment is slowly eroding its dominance.</w:t>
      </w:r>
    </w:p>
    <w:p w14:paraId="7F9A1EBB" w14:textId="77777777" w:rsidR="00B161BD" w:rsidRPr="00FC473C" w:rsidRDefault="00000000">
      <w:pPr>
        <w:pStyle w:val="Heading3"/>
        <w:rPr>
          <w:rFonts w:ascii="Arial" w:hAnsi="Arial" w:cs="Arial"/>
        </w:rPr>
      </w:pPr>
      <w:bookmarkStart w:id="12" w:name="_ydd2l4el9dkh" w:colFirst="0" w:colLast="0"/>
      <w:bookmarkEnd w:id="12"/>
      <w:r w:rsidRPr="00FC473C">
        <w:rPr>
          <w:rFonts w:ascii="Arial" w:hAnsi="Arial" w:cs="Arial"/>
        </w:rPr>
        <w:t xml:space="preserve">2.2.2 Follower </w:t>
      </w:r>
      <w:proofErr w:type="spellStart"/>
      <w:r w:rsidRPr="00FC473C">
        <w:rPr>
          <w:rFonts w:ascii="Arial" w:hAnsi="Arial" w:cs="Arial"/>
        </w:rPr>
        <w:t>Organisation</w:t>
      </w:r>
      <w:proofErr w:type="spellEnd"/>
      <w:r w:rsidRPr="00FC473C">
        <w:rPr>
          <w:rFonts w:ascii="Arial" w:hAnsi="Arial" w:cs="Arial"/>
        </w:rPr>
        <w:t>: Ford (EV division)</w:t>
      </w:r>
    </w:p>
    <w:p w14:paraId="5699D595" w14:textId="77777777" w:rsidR="00B161BD" w:rsidRPr="00FC473C" w:rsidRDefault="00000000">
      <w:pPr>
        <w:spacing w:before="240" w:after="240"/>
        <w:rPr>
          <w:rFonts w:ascii="Arial" w:hAnsi="Arial" w:cs="Arial"/>
          <w:b/>
          <w:bCs/>
        </w:rPr>
      </w:pPr>
      <w:r w:rsidRPr="00FC473C">
        <w:rPr>
          <w:rFonts w:ascii="Arial" w:hAnsi="Arial" w:cs="Arial"/>
          <w:b/>
          <w:bCs/>
        </w:rPr>
        <w:t>Opportunity/Threat</w:t>
      </w:r>
    </w:p>
    <w:p w14:paraId="66A39376" w14:textId="77777777" w:rsidR="00B161BD" w:rsidRPr="00FC473C" w:rsidRDefault="00000000">
      <w:pPr>
        <w:spacing w:before="240" w:after="240"/>
        <w:rPr>
          <w:rFonts w:ascii="Arial" w:hAnsi="Arial" w:cs="Arial"/>
        </w:rPr>
      </w:pPr>
      <w:r w:rsidRPr="00FC473C">
        <w:rPr>
          <w:rFonts w:ascii="Arial" w:hAnsi="Arial" w:cs="Arial"/>
        </w:rPr>
        <w:t>In the case of Ford, change, in as far as technology is concerned, poses a threat and an opportunity. The key weakness is that it is behind Tesla in EV-related technologies, especially battery performance and software development (Collins, 2025). Nevertheless, the existing manufacturing strengths and worldwide supply chains are an opportunity that can be exploited by Ford.</w:t>
      </w:r>
    </w:p>
    <w:p w14:paraId="2C5D0A02" w14:textId="77777777" w:rsidR="00B161BD" w:rsidRPr="00FC473C" w:rsidRDefault="00000000">
      <w:pPr>
        <w:spacing w:before="240" w:after="240"/>
        <w:rPr>
          <w:rFonts w:ascii="Arial" w:hAnsi="Arial" w:cs="Arial"/>
          <w:b/>
          <w:bCs/>
        </w:rPr>
      </w:pPr>
      <w:r w:rsidRPr="00FC473C">
        <w:rPr>
          <w:rFonts w:ascii="Arial" w:hAnsi="Arial" w:cs="Arial"/>
          <w:b/>
          <w:bCs/>
        </w:rPr>
        <w:t>Comparative Position</w:t>
      </w:r>
    </w:p>
    <w:p w14:paraId="0855B709" w14:textId="77777777" w:rsidR="00B161BD" w:rsidRPr="00FC473C" w:rsidRDefault="00000000">
      <w:pPr>
        <w:spacing w:before="240" w:after="240"/>
        <w:rPr>
          <w:rFonts w:ascii="Arial" w:hAnsi="Arial" w:cs="Arial"/>
        </w:rPr>
      </w:pPr>
      <w:r w:rsidRPr="00FC473C">
        <w:rPr>
          <w:rFonts w:ascii="Arial" w:hAnsi="Arial" w:cs="Arial"/>
        </w:rPr>
        <w:t>Ford is slower in innovation but with better legacy resources as compared to Tesla. As an illustration, Tesla continues to lead their main EVs, with the Model Y alone having more than 27% market share in the U.S. in 2025 showing the technological difference between innovators and adopters (Liu, Boothman and Graham, 2025).</w:t>
      </w:r>
    </w:p>
    <w:p w14:paraId="5B5B929C" w14:textId="77777777" w:rsidR="00B161BD" w:rsidRPr="00FC473C" w:rsidRDefault="00000000">
      <w:pPr>
        <w:spacing w:before="240" w:after="240"/>
        <w:rPr>
          <w:rFonts w:ascii="Arial" w:hAnsi="Arial" w:cs="Arial"/>
          <w:b/>
          <w:bCs/>
        </w:rPr>
      </w:pPr>
      <w:r w:rsidRPr="00FC473C">
        <w:rPr>
          <w:rFonts w:ascii="Arial" w:hAnsi="Arial" w:cs="Arial"/>
          <w:b/>
          <w:bCs/>
        </w:rPr>
        <w:t>Implications</w:t>
      </w:r>
    </w:p>
    <w:p w14:paraId="6314494E" w14:textId="77777777" w:rsidR="00B161BD" w:rsidRPr="00FC473C" w:rsidRDefault="00000000">
      <w:pPr>
        <w:spacing w:before="240" w:after="240"/>
        <w:rPr>
          <w:rFonts w:ascii="Arial" w:hAnsi="Arial" w:cs="Arial"/>
        </w:rPr>
      </w:pPr>
      <w:r w:rsidRPr="00FC473C">
        <w:rPr>
          <w:rFonts w:ascii="Arial" w:hAnsi="Arial" w:cs="Arial"/>
        </w:rPr>
        <w:t>The opportunities and threats to Ford include pursuing a catch-up strategy, such as alliances with battery customers and greater research and development. Nevertheless, implementing the transition towards technology is quite expensive, with the traditional automakers around the world spending more than 65 billion on EV-related investments and write-offs by 2026 (Bracken, 2026). This shows financial risk of getting adjusted to technological disruption.</w:t>
      </w:r>
    </w:p>
    <w:p w14:paraId="1C4D1EFD" w14:textId="77777777" w:rsidR="00B161BD" w:rsidRPr="00FC473C" w:rsidRDefault="00000000">
      <w:pPr>
        <w:pStyle w:val="Heading2"/>
        <w:keepNext w:val="0"/>
        <w:keepLines w:val="0"/>
        <w:spacing w:before="360" w:after="80"/>
        <w:rPr>
          <w:rFonts w:ascii="Arial" w:hAnsi="Arial" w:cs="Arial"/>
        </w:rPr>
      </w:pPr>
      <w:bookmarkStart w:id="13" w:name="_341h09o2b04h" w:colFirst="0" w:colLast="0"/>
      <w:bookmarkEnd w:id="13"/>
      <w:r w:rsidRPr="00FC473C">
        <w:rPr>
          <w:rFonts w:ascii="Arial" w:hAnsi="Arial" w:cs="Arial"/>
        </w:rPr>
        <w:t>2.3 Analysis of Macro Factor 2: Environmental Factors</w:t>
      </w:r>
    </w:p>
    <w:p w14:paraId="55AA87BB" w14:textId="77777777" w:rsidR="00B161BD" w:rsidRPr="00FC473C" w:rsidRDefault="00000000">
      <w:pPr>
        <w:pStyle w:val="Heading3"/>
        <w:rPr>
          <w:rFonts w:ascii="Arial" w:hAnsi="Arial" w:cs="Arial"/>
        </w:rPr>
      </w:pPr>
      <w:bookmarkStart w:id="14" w:name="_o4qw4f7igg45" w:colFirst="0" w:colLast="0"/>
      <w:bookmarkEnd w:id="14"/>
      <w:r w:rsidRPr="00FC473C">
        <w:rPr>
          <w:rFonts w:ascii="Arial" w:hAnsi="Arial" w:cs="Arial"/>
        </w:rPr>
        <w:t xml:space="preserve">2.3.1 Pioneer </w:t>
      </w:r>
      <w:proofErr w:type="spellStart"/>
      <w:r w:rsidRPr="00FC473C">
        <w:rPr>
          <w:rFonts w:ascii="Arial" w:hAnsi="Arial" w:cs="Arial"/>
        </w:rPr>
        <w:t>Organisation</w:t>
      </w:r>
      <w:proofErr w:type="spellEnd"/>
      <w:r w:rsidRPr="00FC473C">
        <w:rPr>
          <w:rFonts w:ascii="Arial" w:hAnsi="Arial" w:cs="Arial"/>
        </w:rPr>
        <w:t>: Tesla</w:t>
      </w:r>
    </w:p>
    <w:p w14:paraId="0A25F724" w14:textId="77777777" w:rsidR="00B161BD" w:rsidRPr="00FC473C" w:rsidRDefault="00000000">
      <w:pPr>
        <w:spacing w:before="240" w:after="240"/>
        <w:rPr>
          <w:rFonts w:ascii="Arial" w:hAnsi="Arial" w:cs="Arial"/>
          <w:b/>
          <w:bCs/>
        </w:rPr>
      </w:pPr>
      <w:r w:rsidRPr="00FC473C">
        <w:rPr>
          <w:rFonts w:ascii="Arial" w:hAnsi="Arial" w:cs="Arial"/>
          <w:b/>
          <w:bCs/>
        </w:rPr>
        <w:t>Opportunity/Threat</w:t>
      </w:r>
    </w:p>
    <w:p w14:paraId="6D86CA43" w14:textId="77777777" w:rsidR="00B161BD" w:rsidRPr="00FC473C" w:rsidRDefault="00000000">
      <w:pPr>
        <w:spacing w:before="240" w:after="240"/>
        <w:jc w:val="center"/>
        <w:rPr>
          <w:rFonts w:ascii="Arial" w:hAnsi="Arial" w:cs="Arial"/>
          <w:b/>
          <w:bCs/>
        </w:rPr>
      </w:pPr>
      <w:r w:rsidRPr="00FC473C">
        <w:rPr>
          <w:rFonts w:ascii="Arial" w:hAnsi="Arial" w:cs="Arial"/>
          <w:b/>
          <w:bCs/>
          <w:noProof/>
        </w:rPr>
        <w:lastRenderedPageBreak/>
        <w:drawing>
          <wp:inline distT="114300" distB="114300" distL="114300" distR="114300" wp14:anchorId="5EBCBB7C" wp14:editId="09716010">
            <wp:extent cx="5705475" cy="2714625"/>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l="4006" t="13750" b="15000"/>
                    <a:stretch>
                      <a:fillRect/>
                    </a:stretch>
                  </pic:blipFill>
                  <pic:spPr>
                    <a:xfrm>
                      <a:off x="0" y="0"/>
                      <a:ext cx="5705475" cy="2714625"/>
                    </a:xfrm>
                    <a:prstGeom prst="rect">
                      <a:avLst/>
                    </a:prstGeom>
                    <a:ln w="25400">
                      <a:solidFill>
                        <a:srgbClr val="000000"/>
                      </a:solidFill>
                      <a:prstDash val="solid"/>
                    </a:ln>
                  </pic:spPr>
                </pic:pic>
              </a:graphicData>
            </a:graphic>
          </wp:inline>
        </w:drawing>
      </w:r>
    </w:p>
    <w:p w14:paraId="670A504B" w14:textId="77777777" w:rsidR="00B161BD" w:rsidRPr="00FC473C" w:rsidRDefault="00000000">
      <w:pPr>
        <w:spacing w:before="240" w:after="240"/>
        <w:jc w:val="center"/>
        <w:rPr>
          <w:rFonts w:ascii="Arial" w:hAnsi="Arial" w:cs="Arial"/>
          <w:b/>
          <w:bCs/>
        </w:rPr>
      </w:pPr>
      <w:r w:rsidRPr="00FC473C">
        <w:rPr>
          <w:rFonts w:ascii="Arial" w:hAnsi="Arial" w:cs="Arial"/>
          <w:b/>
          <w:bCs/>
        </w:rPr>
        <w:t>Figure 5: Tesla and Greenhouse Gas</w:t>
      </w:r>
    </w:p>
    <w:p w14:paraId="23CCF766" w14:textId="0D240700" w:rsidR="00FC473C" w:rsidRPr="00FC473C" w:rsidRDefault="00FC473C">
      <w:pPr>
        <w:spacing w:before="240" w:after="240"/>
        <w:jc w:val="center"/>
        <w:rPr>
          <w:rFonts w:ascii="Arial" w:hAnsi="Arial" w:cs="Arial"/>
        </w:rPr>
      </w:pPr>
      <w:r w:rsidRPr="00FC473C">
        <w:rPr>
          <w:rFonts w:ascii="Arial" w:hAnsi="Arial" w:cs="Arial"/>
        </w:rPr>
        <w:t xml:space="preserve">(Source: </w:t>
      </w:r>
      <w:proofErr w:type="spellStart"/>
      <w:r w:rsidRPr="00FC473C">
        <w:rPr>
          <w:rFonts w:ascii="Arial" w:hAnsi="Arial" w:cs="Arial"/>
        </w:rPr>
        <w:t>Gows</w:t>
      </w:r>
      <w:proofErr w:type="spellEnd"/>
      <w:r w:rsidRPr="00FC473C">
        <w:rPr>
          <w:rFonts w:ascii="Arial" w:hAnsi="Arial" w:cs="Arial"/>
        </w:rPr>
        <w:t>, 2025)</w:t>
      </w:r>
    </w:p>
    <w:p w14:paraId="11B73314" w14:textId="77777777" w:rsidR="00B161BD" w:rsidRPr="00FC473C" w:rsidRDefault="00000000">
      <w:pPr>
        <w:spacing w:before="240" w:after="240"/>
        <w:rPr>
          <w:rFonts w:ascii="Arial" w:hAnsi="Arial" w:cs="Arial"/>
        </w:rPr>
      </w:pPr>
      <w:r w:rsidRPr="00FC473C">
        <w:rPr>
          <w:rFonts w:ascii="Arial" w:hAnsi="Arial" w:cs="Arial"/>
        </w:rPr>
        <w:t>There is a great opportunity that Tesla enjoys because of the environmental factors. The actions of the world to go carbon neutral and to enforce more stringent emission regulations are catalyzing the use of EVs. The major markets with governments offer incentives and policy support, which greatly enhances demand (</w:t>
      </w:r>
      <w:proofErr w:type="spellStart"/>
      <w:r w:rsidRPr="00FC473C">
        <w:rPr>
          <w:rFonts w:ascii="Arial" w:hAnsi="Arial" w:cs="Arial"/>
        </w:rPr>
        <w:t>Gows</w:t>
      </w:r>
      <w:proofErr w:type="spellEnd"/>
      <w:r w:rsidRPr="00FC473C">
        <w:rPr>
          <w:rFonts w:ascii="Arial" w:hAnsi="Arial" w:cs="Arial"/>
        </w:rPr>
        <w:t>, 2025).</w:t>
      </w:r>
    </w:p>
    <w:p w14:paraId="3C2F33F9" w14:textId="77777777" w:rsidR="00B161BD" w:rsidRPr="00FC473C" w:rsidRDefault="00000000">
      <w:pPr>
        <w:spacing w:before="240" w:after="240"/>
        <w:rPr>
          <w:rFonts w:ascii="Arial" w:hAnsi="Arial" w:cs="Arial"/>
          <w:b/>
          <w:bCs/>
        </w:rPr>
      </w:pPr>
      <w:r w:rsidRPr="00FC473C">
        <w:rPr>
          <w:rFonts w:ascii="Arial" w:hAnsi="Arial" w:cs="Arial"/>
          <w:b/>
          <w:bCs/>
        </w:rPr>
        <w:t>Evidence</w:t>
      </w:r>
    </w:p>
    <w:p w14:paraId="79E9A9A6" w14:textId="77777777" w:rsidR="00B161BD" w:rsidRPr="00FC473C" w:rsidRDefault="00000000">
      <w:pPr>
        <w:spacing w:before="240" w:after="240"/>
        <w:jc w:val="center"/>
        <w:rPr>
          <w:rFonts w:ascii="Arial" w:hAnsi="Arial" w:cs="Arial"/>
          <w:b/>
          <w:bCs/>
        </w:rPr>
      </w:pPr>
      <w:r w:rsidRPr="00FC473C">
        <w:rPr>
          <w:rFonts w:ascii="Arial" w:hAnsi="Arial" w:cs="Arial"/>
          <w:b/>
          <w:bCs/>
          <w:noProof/>
        </w:rPr>
        <w:lastRenderedPageBreak/>
        <w:drawing>
          <wp:inline distT="114300" distB="114300" distL="114300" distR="114300" wp14:anchorId="5D7EFB62" wp14:editId="6B7ED9EE">
            <wp:extent cx="5943600" cy="4305300"/>
            <wp:effectExtent l="25400" t="25400" r="25400" b="2540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943600" cy="4305300"/>
                    </a:xfrm>
                    <a:prstGeom prst="rect">
                      <a:avLst/>
                    </a:prstGeom>
                    <a:ln w="25400">
                      <a:solidFill>
                        <a:srgbClr val="000000"/>
                      </a:solidFill>
                      <a:prstDash val="solid"/>
                    </a:ln>
                  </pic:spPr>
                </pic:pic>
              </a:graphicData>
            </a:graphic>
          </wp:inline>
        </w:drawing>
      </w:r>
    </w:p>
    <w:p w14:paraId="141E4F7A" w14:textId="77777777" w:rsidR="00B161BD" w:rsidRPr="00FC473C" w:rsidRDefault="00000000">
      <w:pPr>
        <w:spacing w:before="240" w:after="240"/>
        <w:jc w:val="center"/>
        <w:rPr>
          <w:rFonts w:ascii="Arial" w:hAnsi="Arial" w:cs="Arial"/>
          <w:b/>
          <w:bCs/>
        </w:rPr>
      </w:pPr>
      <w:r w:rsidRPr="00FC473C">
        <w:rPr>
          <w:rFonts w:ascii="Arial" w:hAnsi="Arial" w:cs="Arial"/>
          <w:b/>
          <w:bCs/>
        </w:rPr>
        <w:t>Figure 6: Estimated Increase in the electric car sales</w:t>
      </w:r>
    </w:p>
    <w:p w14:paraId="69DBACB2" w14:textId="77777777" w:rsidR="00B161BD" w:rsidRPr="00FC473C" w:rsidRDefault="00000000">
      <w:pPr>
        <w:spacing w:before="240" w:after="240"/>
        <w:jc w:val="center"/>
        <w:rPr>
          <w:rFonts w:ascii="Arial" w:hAnsi="Arial" w:cs="Arial"/>
        </w:rPr>
      </w:pPr>
      <w:r w:rsidRPr="00FC473C">
        <w:rPr>
          <w:rFonts w:ascii="Arial" w:hAnsi="Arial" w:cs="Arial"/>
        </w:rPr>
        <w:t>(Source: T&amp;E, 2026)</w:t>
      </w:r>
    </w:p>
    <w:p w14:paraId="2B7D1D67" w14:textId="77777777" w:rsidR="00B161BD" w:rsidRPr="00FC473C" w:rsidRDefault="00000000">
      <w:pPr>
        <w:spacing w:before="240" w:after="240"/>
        <w:rPr>
          <w:rFonts w:ascii="Arial" w:hAnsi="Arial" w:cs="Arial"/>
        </w:rPr>
      </w:pPr>
      <w:r w:rsidRPr="00FC473C">
        <w:rPr>
          <w:rFonts w:ascii="Arial" w:hAnsi="Arial" w:cs="Arial"/>
        </w:rPr>
        <w:t>Indicatively, by 2025, sales of EVs worldwide had reached about 18.5 million units, an overall growth of 21% in a year, and the growth is projected to continue through 2026. Also, EVs are expected to increase to 23% in 2026 due to environmental ambitions. These trends give Tesla a good chance to capitalize as the company has an all-electric portfolio and a solid sustainability branding (T&amp;E, 2026). The company also enjoys the convergence between regulations and demand by consumers of low-emission cars.</w:t>
      </w:r>
    </w:p>
    <w:p w14:paraId="79DDD21B" w14:textId="77777777" w:rsidR="00B161BD" w:rsidRPr="00FC473C" w:rsidRDefault="00000000">
      <w:pPr>
        <w:spacing w:before="240" w:after="240"/>
        <w:rPr>
          <w:rFonts w:ascii="Arial" w:hAnsi="Arial" w:cs="Arial"/>
          <w:b/>
          <w:bCs/>
        </w:rPr>
      </w:pPr>
      <w:r w:rsidRPr="00FC473C">
        <w:rPr>
          <w:rFonts w:ascii="Arial" w:hAnsi="Arial" w:cs="Arial"/>
          <w:b/>
          <w:bCs/>
        </w:rPr>
        <w:t>Implications</w:t>
      </w:r>
    </w:p>
    <w:p w14:paraId="4DD23FE8" w14:textId="77777777" w:rsidR="00B161BD" w:rsidRPr="00FC473C" w:rsidRDefault="00000000">
      <w:pPr>
        <w:spacing w:before="240" w:after="240"/>
        <w:rPr>
          <w:rFonts w:ascii="Arial" w:hAnsi="Arial" w:cs="Arial"/>
        </w:rPr>
      </w:pPr>
      <w:r w:rsidRPr="00FC473C">
        <w:rPr>
          <w:rFonts w:ascii="Arial" w:hAnsi="Arial" w:cs="Arial"/>
        </w:rPr>
        <w:lastRenderedPageBreak/>
        <w:t>The implications are the increased market prospects across the world and brand positioning as a sustainability leader. Nonetheless, the dependency on subsidies is also risky as the policy can influence the demand.</w:t>
      </w:r>
    </w:p>
    <w:p w14:paraId="15EA88EA" w14:textId="77777777" w:rsidR="00B161BD" w:rsidRPr="00FC473C" w:rsidRDefault="00000000">
      <w:pPr>
        <w:pStyle w:val="Heading3"/>
        <w:rPr>
          <w:rFonts w:ascii="Arial" w:hAnsi="Arial" w:cs="Arial"/>
        </w:rPr>
      </w:pPr>
      <w:bookmarkStart w:id="15" w:name="_381g2sc0wizx" w:colFirst="0" w:colLast="0"/>
      <w:bookmarkEnd w:id="15"/>
      <w:r w:rsidRPr="00FC473C">
        <w:rPr>
          <w:rFonts w:ascii="Arial" w:hAnsi="Arial" w:cs="Arial"/>
        </w:rPr>
        <w:t xml:space="preserve">2.3.2 Follower </w:t>
      </w:r>
      <w:proofErr w:type="spellStart"/>
      <w:r w:rsidRPr="00FC473C">
        <w:rPr>
          <w:rFonts w:ascii="Arial" w:hAnsi="Arial" w:cs="Arial"/>
        </w:rPr>
        <w:t>Organisation</w:t>
      </w:r>
      <w:proofErr w:type="spellEnd"/>
      <w:r w:rsidRPr="00FC473C">
        <w:rPr>
          <w:rFonts w:ascii="Arial" w:hAnsi="Arial" w:cs="Arial"/>
        </w:rPr>
        <w:t>: Ford</w:t>
      </w:r>
    </w:p>
    <w:p w14:paraId="6193467B" w14:textId="77777777" w:rsidR="00B161BD" w:rsidRPr="00FC473C" w:rsidRDefault="00000000">
      <w:pPr>
        <w:spacing w:before="240" w:after="240"/>
        <w:rPr>
          <w:rFonts w:ascii="Arial" w:hAnsi="Arial" w:cs="Arial"/>
          <w:b/>
          <w:bCs/>
        </w:rPr>
      </w:pPr>
      <w:r w:rsidRPr="00FC473C">
        <w:rPr>
          <w:rFonts w:ascii="Arial" w:hAnsi="Arial" w:cs="Arial"/>
          <w:b/>
          <w:bCs/>
        </w:rPr>
        <w:t>Opportunity/Threat</w:t>
      </w:r>
    </w:p>
    <w:p w14:paraId="6A03D5D7" w14:textId="77777777" w:rsidR="00B161BD" w:rsidRPr="00FC473C" w:rsidRDefault="00000000">
      <w:pPr>
        <w:spacing w:before="240" w:after="240"/>
        <w:rPr>
          <w:rFonts w:ascii="Arial" w:hAnsi="Arial" w:cs="Arial"/>
        </w:rPr>
      </w:pPr>
      <w:r w:rsidRPr="00FC473C">
        <w:rPr>
          <w:rFonts w:ascii="Arial" w:hAnsi="Arial" w:cs="Arial"/>
        </w:rPr>
        <w:t>The environmental factors both offer opportunities and threats to Ford. One key opportunity so as to meet the objective of sustainability and regulation is the replacement of internal combustion engine (ICE) cars with EVs. Nevertheless, it is also a major menace with high transition costs and operations re-engineering. (</w:t>
      </w:r>
      <w:proofErr w:type="spellStart"/>
      <w:r w:rsidRPr="00FC473C">
        <w:rPr>
          <w:rFonts w:ascii="Arial" w:hAnsi="Arial" w:cs="Arial"/>
        </w:rPr>
        <w:t>Udendhran</w:t>
      </w:r>
      <w:proofErr w:type="spellEnd"/>
      <w:r w:rsidRPr="00FC473C">
        <w:rPr>
          <w:rFonts w:ascii="Arial" w:hAnsi="Arial" w:cs="Arial"/>
        </w:rPr>
        <w:t xml:space="preserve"> et al., 2025)</w:t>
      </w:r>
    </w:p>
    <w:p w14:paraId="302F8E4B" w14:textId="77777777" w:rsidR="00B161BD" w:rsidRPr="00FC473C" w:rsidRDefault="00000000">
      <w:pPr>
        <w:spacing w:before="240" w:after="240"/>
        <w:rPr>
          <w:rFonts w:ascii="Arial" w:hAnsi="Arial" w:cs="Arial"/>
          <w:b/>
          <w:bCs/>
        </w:rPr>
      </w:pPr>
      <w:r w:rsidRPr="00FC473C">
        <w:rPr>
          <w:rFonts w:ascii="Arial" w:hAnsi="Arial" w:cs="Arial"/>
          <w:b/>
          <w:bCs/>
        </w:rPr>
        <w:t>Comparative Position</w:t>
      </w:r>
    </w:p>
    <w:p w14:paraId="2B72B062" w14:textId="77777777" w:rsidR="00B161BD" w:rsidRPr="00FC473C" w:rsidRDefault="00000000">
      <w:pPr>
        <w:spacing w:before="240" w:after="240"/>
        <w:rPr>
          <w:rFonts w:ascii="Arial" w:hAnsi="Arial" w:cs="Arial"/>
        </w:rPr>
      </w:pPr>
      <w:r w:rsidRPr="00FC473C">
        <w:rPr>
          <w:rFonts w:ascii="Arial" w:hAnsi="Arial" w:cs="Arial"/>
        </w:rPr>
        <w:t>Ford has more difficulties than Tesla because it is forced to change its traditional business format. The sales in some markets have already been affected by the withdrawal of EV incentives, and it is already reported that EV sales have decreased by 11% at the beginning of 2026 (without major premium brands). Herein lies the susceptibility of conventional car manufacturers to changes in policy (Parodi, 2026). Also, Ford has a comparatively low market share of EVs in the U.S. EV market in 2025 at approximately 7% compared to Tesla dominance, which suggests slower adaptation (Shahan, 2026).</w:t>
      </w:r>
    </w:p>
    <w:p w14:paraId="69E570F9" w14:textId="77777777" w:rsidR="00B161BD" w:rsidRPr="00FC473C" w:rsidRDefault="00000000">
      <w:pPr>
        <w:spacing w:before="240" w:after="240"/>
        <w:rPr>
          <w:rFonts w:ascii="Arial" w:hAnsi="Arial" w:cs="Arial"/>
          <w:b/>
          <w:bCs/>
        </w:rPr>
      </w:pPr>
      <w:r w:rsidRPr="00FC473C">
        <w:rPr>
          <w:rFonts w:ascii="Arial" w:hAnsi="Arial" w:cs="Arial"/>
          <w:b/>
          <w:bCs/>
        </w:rPr>
        <w:t>Implications</w:t>
      </w:r>
    </w:p>
    <w:p w14:paraId="222BE457" w14:textId="77777777" w:rsidR="00B161BD" w:rsidRPr="00FC473C" w:rsidRDefault="00000000">
      <w:pPr>
        <w:spacing w:before="240" w:after="240"/>
        <w:rPr>
          <w:rFonts w:ascii="Arial" w:hAnsi="Arial" w:cs="Arial"/>
        </w:rPr>
      </w:pPr>
      <w:r w:rsidRPr="00FC473C">
        <w:rPr>
          <w:rFonts w:ascii="Arial" w:hAnsi="Arial" w:cs="Arial"/>
        </w:rPr>
        <w:t>The Ford implications are a threat of losing the market share in the event Ford does not hasten its EV transition. Nevertheless, competitiveness in the long term might be successful with adaptation. It is highly important to invest strategically in sustainable technologies and production processes (Thompson, 2026).</w:t>
      </w:r>
    </w:p>
    <w:p w14:paraId="08E395F5" w14:textId="77777777" w:rsidR="00B161BD" w:rsidRPr="00FC473C" w:rsidRDefault="00000000">
      <w:pPr>
        <w:pStyle w:val="Heading1"/>
        <w:rPr>
          <w:rFonts w:ascii="Arial" w:hAnsi="Arial" w:cs="Arial"/>
        </w:rPr>
      </w:pPr>
      <w:bookmarkStart w:id="16" w:name="_lm359hdt2jlf" w:colFirst="0" w:colLast="0"/>
      <w:bookmarkEnd w:id="16"/>
      <w:r w:rsidRPr="00FC473C">
        <w:rPr>
          <w:rFonts w:ascii="Arial" w:hAnsi="Arial" w:cs="Arial"/>
        </w:rPr>
        <w:lastRenderedPageBreak/>
        <w:t xml:space="preserve">3. Task 2: Strategic Responses of Pioneering and Follower </w:t>
      </w:r>
      <w:proofErr w:type="spellStart"/>
      <w:r w:rsidRPr="00FC473C">
        <w:rPr>
          <w:rFonts w:ascii="Arial" w:hAnsi="Arial" w:cs="Arial"/>
        </w:rPr>
        <w:t>Organisations</w:t>
      </w:r>
      <w:proofErr w:type="spellEnd"/>
    </w:p>
    <w:p w14:paraId="1DFC7BE6" w14:textId="77777777" w:rsidR="00B161BD" w:rsidRPr="00FC473C" w:rsidRDefault="00000000">
      <w:pPr>
        <w:pStyle w:val="Heading2"/>
        <w:rPr>
          <w:rFonts w:ascii="Arial" w:hAnsi="Arial" w:cs="Arial"/>
        </w:rPr>
      </w:pPr>
      <w:bookmarkStart w:id="17" w:name="_bee1dnlz5s3i" w:colFirst="0" w:colLast="0"/>
      <w:bookmarkEnd w:id="17"/>
      <w:r w:rsidRPr="00FC473C">
        <w:rPr>
          <w:rFonts w:ascii="Arial" w:hAnsi="Arial" w:cs="Arial"/>
        </w:rPr>
        <w:t xml:space="preserve">3.1 Pioneering </w:t>
      </w:r>
      <w:proofErr w:type="spellStart"/>
      <w:r w:rsidRPr="00FC473C">
        <w:rPr>
          <w:rFonts w:ascii="Arial" w:hAnsi="Arial" w:cs="Arial"/>
        </w:rPr>
        <w:t>Organisation</w:t>
      </w:r>
      <w:proofErr w:type="spellEnd"/>
      <w:r w:rsidRPr="00FC473C">
        <w:rPr>
          <w:rFonts w:ascii="Arial" w:hAnsi="Arial" w:cs="Arial"/>
        </w:rPr>
        <w:t>: Tesla</w:t>
      </w:r>
    </w:p>
    <w:p w14:paraId="7A29DA41" w14:textId="77777777" w:rsidR="00B161BD" w:rsidRPr="00FC473C" w:rsidRDefault="00000000">
      <w:pPr>
        <w:pStyle w:val="Heading2"/>
        <w:keepNext w:val="0"/>
        <w:keepLines w:val="0"/>
        <w:spacing w:before="280" w:after="80"/>
        <w:rPr>
          <w:rFonts w:ascii="Arial" w:hAnsi="Arial" w:cs="Arial"/>
        </w:rPr>
      </w:pPr>
      <w:bookmarkStart w:id="18" w:name="_5p3j716vpg30" w:colFirst="0" w:colLast="0"/>
      <w:bookmarkEnd w:id="18"/>
      <w:r w:rsidRPr="00FC473C">
        <w:rPr>
          <w:rFonts w:ascii="Arial" w:hAnsi="Arial" w:cs="Arial"/>
        </w:rPr>
        <w:t>3.1.1 Strategic Response Overview</w:t>
      </w:r>
    </w:p>
    <w:p w14:paraId="32A6D631" w14:textId="77777777" w:rsidR="00B161BD" w:rsidRPr="00FC473C" w:rsidRDefault="00000000">
      <w:pPr>
        <w:rPr>
          <w:rFonts w:ascii="Arial" w:hAnsi="Arial" w:cs="Arial"/>
        </w:rPr>
      </w:pPr>
      <w:r w:rsidRPr="00FC473C">
        <w:rPr>
          <w:rFonts w:ascii="Arial" w:hAnsi="Arial" w:cs="Arial"/>
        </w:rPr>
        <w:t>The Tesla strategic approach to macro-environmental pressures is based on innovation-led growth and vertical integration and direct to consumer (D2C) model. The company still focuses on technological advances, spending a lot on battery efficiency, autonomous systems that are driven by AI, and energy solutions. As of 2025, Tesla is spending more than 4 billion a year in worldwide research and development, which supports the innovation-first approach (</w:t>
      </w:r>
      <w:proofErr w:type="spellStart"/>
      <w:r w:rsidRPr="00FC473C">
        <w:rPr>
          <w:rFonts w:ascii="Arial" w:hAnsi="Arial" w:cs="Arial"/>
        </w:rPr>
        <w:t>Finbox</w:t>
      </w:r>
      <w:proofErr w:type="spellEnd"/>
      <w:r w:rsidRPr="00FC473C">
        <w:rPr>
          <w:rFonts w:ascii="Arial" w:hAnsi="Arial" w:cs="Arial"/>
        </w:rPr>
        <w:t>, 2025).</w:t>
      </w:r>
    </w:p>
    <w:p w14:paraId="4573E2E7" w14:textId="77777777" w:rsidR="00B161BD" w:rsidRPr="00FC473C" w:rsidRDefault="00000000">
      <w:pPr>
        <w:jc w:val="center"/>
        <w:rPr>
          <w:rFonts w:ascii="Arial" w:hAnsi="Arial" w:cs="Arial"/>
        </w:rPr>
      </w:pPr>
      <w:r w:rsidRPr="00FC473C">
        <w:rPr>
          <w:rFonts w:ascii="Arial" w:hAnsi="Arial" w:cs="Arial"/>
          <w:noProof/>
        </w:rPr>
        <w:drawing>
          <wp:inline distT="114300" distB="114300" distL="114300" distR="114300" wp14:anchorId="7C7B7EE9" wp14:editId="28C0AFCD">
            <wp:extent cx="5943600" cy="3340100"/>
            <wp:effectExtent l="25400" t="25400" r="25400" b="2540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09D48E3D" w14:textId="77777777" w:rsidR="00B161BD" w:rsidRPr="00FC473C" w:rsidRDefault="00000000">
      <w:pPr>
        <w:jc w:val="center"/>
        <w:rPr>
          <w:rFonts w:ascii="Arial" w:hAnsi="Arial" w:cs="Arial"/>
          <w:b/>
          <w:bCs/>
        </w:rPr>
      </w:pPr>
      <w:r w:rsidRPr="00FC473C">
        <w:rPr>
          <w:rFonts w:ascii="Arial" w:hAnsi="Arial" w:cs="Arial"/>
          <w:b/>
          <w:bCs/>
        </w:rPr>
        <w:t xml:space="preserve">Figure 7: $/W </w:t>
      </w:r>
      <w:proofErr w:type="spellStart"/>
      <w:r w:rsidRPr="00FC473C">
        <w:rPr>
          <w:rFonts w:ascii="Arial" w:hAnsi="Arial" w:cs="Arial"/>
          <w:b/>
          <w:bCs/>
        </w:rPr>
        <w:t>PV+Storage</w:t>
      </w:r>
      <w:proofErr w:type="spellEnd"/>
      <w:r w:rsidRPr="00FC473C">
        <w:rPr>
          <w:rFonts w:ascii="Arial" w:hAnsi="Arial" w:cs="Arial"/>
          <w:b/>
          <w:bCs/>
        </w:rPr>
        <w:t xml:space="preserve"> System</w:t>
      </w:r>
    </w:p>
    <w:p w14:paraId="3A61773A" w14:textId="77777777" w:rsidR="00B161BD" w:rsidRPr="00FC473C" w:rsidRDefault="00000000">
      <w:pPr>
        <w:jc w:val="center"/>
        <w:rPr>
          <w:rFonts w:ascii="Arial" w:hAnsi="Arial" w:cs="Arial"/>
        </w:rPr>
      </w:pPr>
      <w:r w:rsidRPr="00FC473C">
        <w:rPr>
          <w:rFonts w:ascii="Arial" w:hAnsi="Arial" w:cs="Arial"/>
        </w:rPr>
        <w:t>(Source: Tesla, 2025)</w:t>
      </w:r>
    </w:p>
    <w:p w14:paraId="4827C755" w14:textId="77777777" w:rsidR="00B161BD" w:rsidRPr="00FC473C" w:rsidRDefault="00000000">
      <w:pPr>
        <w:rPr>
          <w:rFonts w:ascii="Arial" w:hAnsi="Arial" w:cs="Arial"/>
        </w:rPr>
      </w:pPr>
      <w:r w:rsidRPr="00FC473C">
        <w:rPr>
          <w:rFonts w:ascii="Arial" w:hAnsi="Arial" w:cs="Arial"/>
        </w:rPr>
        <w:t xml:space="preserve">One of the strengths is vertical integration. Tesla has dominance over major components of its value chain such as battery manufacturing, software development, and production </w:t>
      </w:r>
      <w:r w:rsidRPr="00FC473C">
        <w:rPr>
          <w:rFonts w:ascii="Arial" w:hAnsi="Arial" w:cs="Arial"/>
        </w:rPr>
        <w:lastRenderedPageBreak/>
        <w:t>in Gigafactories. This has enabled Tesla to stop reliance on third-party suppliers and enhance cost effectiveness. An example is the cost per kWh battery of Tesla, which was below $100 in 2025, whereas the industry average was approximately $120-$130, which is an important competitive advantage (Tesla, 2025).</w:t>
      </w:r>
    </w:p>
    <w:p w14:paraId="3916EADC" w14:textId="77777777" w:rsidR="00B161BD" w:rsidRPr="00FC473C" w:rsidRDefault="00000000">
      <w:pPr>
        <w:pStyle w:val="Heading3"/>
        <w:rPr>
          <w:rFonts w:ascii="Arial" w:hAnsi="Arial" w:cs="Arial"/>
        </w:rPr>
      </w:pPr>
      <w:bookmarkStart w:id="19" w:name="_nvwd4t6hi78s" w:colFirst="0" w:colLast="0"/>
      <w:bookmarkEnd w:id="19"/>
      <w:r w:rsidRPr="00FC473C">
        <w:rPr>
          <w:rFonts w:ascii="Arial" w:hAnsi="Arial" w:cs="Arial"/>
        </w:rPr>
        <w:t>3.1.2 Application of Porter’s Generic Strategies</w:t>
      </w:r>
    </w:p>
    <w:p w14:paraId="3F3CD1BD" w14:textId="77777777" w:rsidR="00B161BD" w:rsidRPr="00FC473C" w:rsidRDefault="00000000">
      <w:pPr>
        <w:spacing w:before="240" w:after="240"/>
        <w:rPr>
          <w:rFonts w:ascii="Arial" w:hAnsi="Arial" w:cs="Arial"/>
        </w:rPr>
      </w:pPr>
      <w:r w:rsidRPr="00FC473C">
        <w:rPr>
          <w:rFonts w:ascii="Arial" w:hAnsi="Arial" w:cs="Arial"/>
        </w:rPr>
        <w:t xml:space="preserve">Tesla primarily follows a </w:t>
      </w:r>
      <w:r w:rsidRPr="00FC473C">
        <w:rPr>
          <w:rFonts w:ascii="Arial" w:hAnsi="Arial" w:cs="Arial"/>
          <w:b/>
          <w:bCs/>
        </w:rPr>
        <w:t>Differentiation Strategy</w:t>
      </w:r>
      <w:r w:rsidRPr="00FC473C">
        <w:rPr>
          <w:rFonts w:ascii="Arial" w:hAnsi="Arial" w:cs="Arial"/>
        </w:rPr>
        <w:t>, focusing on delivering unique value through advanced technology and premium branding.</w:t>
      </w:r>
    </w:p>
    <w:p w14:paraId="1B471502" w14:textId="77777777" w:rsidR="00B161BD" w:rsidRPr="00FC473C" w:rsidRDefault="00000000">
      <w:pPr>
        <w:numPr>
          <w:ilvl w:val="0"/>
          <w:numId w:val="1"/>
        </w:numPr>
        <w:spacing w:before="240" w:after="0"/>
        <w:rPr>
          <w:rFonts w:ascii="Arial" w:hAnsi="Arial" w:cs="Arial"/>
        </w:rPr>
      </w:pPr>
      <w:r w:rsidRPr="00FC473C">
        <w:rPr>
          <w:rFonts w:ascii="Arial" w:hAnsi="Arial" w:cs="Arial"/>
          <w:b/>
          <w:bCs/>
        </w:rPr>
        <w:t>Premium Brand Positioning</w:t>
      </w:r>
      <w:r w:rsidRPr="00FC473C">
        <w:rPr>
          <w:rFonts w:ascii="Arial" w:hAnsi="Arial" w:cs="Arial"/>
        </w:rPr>
        <w:t>: Tesla cars have been viewed as high-performance, innovative, and environmentally friendly. The models like the Model S and the Model Y dominate the high-end EV segments in the entire world.</w:t>
      </w:r>
    </w:p>
    <w:p w14:paraId="10FD9CEF" w14:textId="77777777" w:rsidR="00B161BD" w:rsidRPr="00FC473C" w:rsidRDefault="00000000">
      <w:pPr>
        <w:numPr>
          <w:ilvl w:val="0"/>
          <w:numId w:val="1"/>
        </w:numPr>
        <w:spacing w:after="240"/>
        <w:rPr>
          <w:rFonts w:ascii="Arial" w:hAnsi="Arial" w:cs="Arial"/>
        </w:rPr>
      </w:pPr>
      <w:r w:rsidRPr="00FC473C">
        <w:rPr>
          <w:rFonts w:ascii="Arial" w:hAnsi="Arial" w:cs="Arial"/>
          <w:b/>
          <w:bCs/>
        </w:rPr>
        <w:t>Advanced Technology</w:t>
      </w:r>
      <w:r w:rsidRPr="00FC473C">
        <w:rPr>
          <w:rFonts w:ascii="Arial" w:hAnsi="Arial" w:cs="Arial"/>
        </w:rPr>
        <w:t>: Tesla’s Autopilot system, Tesla has the Autopilot system, Full Self-Driving (FSD) features, and a better battery range (usually over 500 600 km/1 charge), which make it superior in comparison to other products (Tesla, 2025a).</w:t>
      </w:r>
    </w:p>
    <w:p w14:paraId="6C7A40EF" w14:textId="77777777" w:rsidR="00B161BD" w:rsidRPr="00FC473C" w:rsidRDefault="00000000">
      <w:pPr>
        <w:spacing w:before="240" w:after="240"/>
        <w:jc w:val="center"/>
        <w:rPr>
          <w:rFonts w:ascii="Arial" w:hAnsi="Arial" w:cs="Arial"/>
        </w:rPr>
      </w:pPr>
      <w:r w:rsidRPr="00FC473C">
        <w:rPr>
          <w:rFonts w:ascii="Arial" w:hAnsi="Arial" w:cs="Arial"/>
          <w:noProof/>
        </w:rPr>
        <w:drawing>
          <wp:inline distT="114300" distB="114300" distL="114300" distR="114300" wp14:anchorId="03250865" wp14:editId="3EBFB1A8">
            <wp:extent cx="5943600" cy="31115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943600" cy="3111500"/>
                    </a:xfrm>
                    <a:prstGeom prst="rect">
                      <a:avLst/>
                    </a:prstGeom>
                    <a:ln/>
                  </pic:spPr>
                </pic:pic>
              </a:graphicData>
            </a:graphic>
          </wp:inline>
        </w:drawing>
      </w:r>
    </w:p>
    <w:p w14:paraId="2919EEF0" w14:textId="77777777" w:rsidR="00B161BD" w:rsidRPr="00FC473C" w:rsidRDefault="00000000">
      <w:pPr>
        <w:spacing w:before="240" w:after="240"/>
        <w:jc w:val="center"/>
        <w:rPr>
          <w:rFonts w:ascii="Arial" w:hAnsi="Arial" w:cs="Arial"/>
          <w:b/>
          <w:bCs/>
        </w:rPr>
      </w:pPr>
      <w:r w:rsidRPr="00FC473C">
        <w:rPr>
          <w:rFonts w:ascii="Arial" w:hAnsi="Arial" w:cs="Arial"/>
          <w:b/>
          <w:bCs/>
        </w:rPr>
        <w:t>Figure 8: Tesla Global Market Share</w:t>
      </w:r>
    </w:p>
    <w:p w14:paraId="62F0260E" w14:textId="77777777" w:rsidR="00B161BD" w:rsidRPr="00FC473C" w:rsidRDefault="00000000">
      <w:pPr>
        <w:spacing w:before="240" w:after="240"/>
        <w:jc w:val="center"/>
        <w:rPr>
          <w:rFonts w:ascii="Arial" w:hAnsi="Arial" w:cs="Arial"/>
        </w:rPr>
      </w:pPr>
      <w:r w:rsidRPr="00FC473C">
        <w:rPr>
          <w:rFonts w:ascii="Arial" w:hAnsi="Arial" w:cs="Arial"/>
        </w:rPr>
        <w:t>(Source: Neufeld, 2025)</w:t>
      </w:r>
    </w:p>
    <w:p w14:paraId="31F0E21F" w14:textId="77777777" w:rsidR="00B161BD" w:rsidRPr="00FC473C" w:rsidRDefault="00000000">
      <w:pPr>
        <w:spacing w:before="240" w:after="240"/>
        <w:rPr>
          <w:rFonts w:ascii="Arial" w:hAnsi="Arial" w:cs="Arial"/>
        </w:rPr>
      </w:pPr>
      <w:r w:rsidRPr="00FC473C">
        <w:rPr>
          <w:rFonts w:ascii="Arial" w:hAnsi="Arial" w:cs="Arial"/>
        </w:rPr>
        <w:lastRenderedPageBreak/>
        <w:t>By 2026, Tesla was estimated to hold about 18-20% of the global EV market share in the world and the company was ranked among the leading global EV makers despite the growing competition of companies such as BYD. As a result of its differentiation strategy, its Model Y was the highest selling car in the world in 2025, having sold more than 1.2 million vehicles (Neufeld, 2025).</w:t>
      </w:r>
    </w:p>
    <w:p w14:paraId="011F7C7B" w14:textId="77777777" w:rsidR="00B161BD" w:rsidRPr="00FC473C" w:rsidRDefault="00000000">
      <w:pPr>
        <w:pStyle w:val="Heading3"/>
        <w:rPr>
          <w:rFonts w:ascii="Arial" w:hAnsi="Arial" w:cs="Arial"/>
        </w:rPr>
      </w:pPr>
      <w:bookmarkStart w:id="20" w:name="_jn98tvonx7g5" w:colFirst="0" w:colLast="0"/>
      <w:bookmarkEnd w:id="20"/>
      <w:r w:rsidRPr="00FC473C">
        <w:rPr>
          <w:rFonts w:ascii="Arial" w:hAnsi="Arial" w:cs="Arial"/>
        </w:rPr>
        <w:t>3.1.3 Critical Evaluation</w:t>
      </w:r>
    </w:p>
    <w:p w14:paraId="2FF73D85" w14:textId="77777777" w:rsidR="00B161BD" w:rsidRPr="00FC473C" w:rsidRDefault="00000000">
      <w:pPr>
        <w:spacing w:before="240" w:after="240"/>
        <w:rPr>
          <w:rFonts w:ascii="Arial" w:hAnsi="Arial" w:cs="Arial"/>
          <w:b/>
          <w:bCs/>
          <w:i/>
          <w:iCs/>
        </w:rPr>
      </w:pPr>
      <w:r w:rsidRPr="00FC473C">
        <w:rPr>
          <w:rFonts w:ascii="Arial" w:hAnsi="Arial" w:cs="Arial"/>
          <w:b/>
          <w:bCs/>
          <w:i/>
          <w:iCs/>
        </w:rPr>
        <w:t>Strengths:</w:t>
      </w:r>
    </w:p>
    <w:p w14:paraId="3AFFF20E" w14:textId="77777777" w:rsidR="00B161BD" w:rsidRPr="00FC473C" w:rsidRDefault="00000000">
      <w:pPr>
        <w:spacing w:before="240" w:after="240"/>
        <w:rPr>
          <w:rFonts w:ascii="Arial" w:hAnsi="Arial" w:cs="Arial"/>
        </w:rPr>
      </w:pPr>
      <w:r w:rsidRPr="00FC473C">
        <w:rPr>
          <w:rFonts w:ascii="Arial" w:hAnsi="Arial" w:cs="Arial"/>
        </w:rPr>
        <w:t>The strategy of Tesla has a number of strengths. To begin with, its high brand loyalty is seen in high customer retention levels and a globally recognized technology leader. Second, it has the strength of efficiency and price power that has given it high margins against its major competitors.</w:t>
      </w:r>
    </w:p>
    <w:p w14:paraId="07F5E728" w14:textId="77777777" w:rsidR="00B161BD" w:rsidRPr="00FC473C" w:rsidRDefault="00000000">
      <w:pPr>
        <w:spacing w:before="240" w:after="240"/>
        <w:rPr>
          <w:rFonts w:ascii="Arial" w:hAnsi="Arial" w:cs="Arial"/>
          <w:b/>
          <w:bCs/>
          <w:i/>
          <w:iCs/>
        </w:rPr>
      </w:pPr>
      <w:r w:rsidRPr="00FC473C">
        <w:rPr>
          <w:rFonts w:ascii="Arial" w:hAnsi="Arial" w:cs="Arial"/>
          <w:b/>
          <w:bCs/>
          <w:i/>
          <w:iCs/>
        </w:rPr>
        <w:t>Weaknesses:</w:t>
      </w:r>
    </w:p>
    <w:p w14:paraId="7FB1A013" w14:textId="77777777" w:rsidR="00B161BD" w:rsidRPr="00FC473C" w:rsidRDefault="00000000">
      <w:pPr>
        <w:spacing w:before="240" w:after="240"/>
        <w:rPr>
          <w:rFonts w:ascii="Arial" w:hAnsi="Arial" w:cs="Arial"/>
        </w:rPr>
      </w:pPr>
      <w:r w:rsidRPr="00FC473C">
        <w:rPr>
          <w:rFonts w:ascii="Arial" w:hAnsi="Arial" w:cs="Arial"/>
        </w:rPr>
        <w:t>Tesla is losing its leadership slowly due to heightened competition. Its US market share dropped to approximately 50 to 55% in 2025-2026, compared to more than 65% in 2022, and it shows that the established manufacturers are increasing pressure on the company as well as new entrants (Iata.org, 2025).</w:t>
      </w:r>
    </w:p>
    <w:p w14:paraId="5C570218" w14:textId="77777777" w:rsidR="00B161BD" w:rsidRPr="00FC473C" w:rsidRDefault="00000000">
      <w:pPr>
        <w:spacing w:before="240" w:after="240"/>
        <w:rPr>
          <w:rFonts w:ascii="Arial" w:hAnsi="Arial" w:cs="Arial"/>
          <w:b/>
          <w:bCs/>
          <w:i/>
          <w:iCs/>
        </w:rPr>
      </w:pPr>
      <w:r w:rsidRPr="00FC473C">
        <w:rPr>
          <w:rFonts w:ascii="Arial" w:hAnsi="Arial" w:cs="Arial"/>
          <w:b/>
          <w:bCs/>
          <w:i/>
          <w:iCs/>
        </w:rPr>
        <w:t>Example:</w:t>
      </w:r>
    </w:p>
    <w:p w14:paraId="10F8430A" w14:textId="77777777" w:rsidR="00B161BD" w:rsidRPr="00FC473C" w:rsidRDefault="00000000">
      <w:pPr>
        <w:spacing w:before="240" w:after="240"/>
        <w:rPr>
          <w:rFonts w:ascii="Arial" w:hAnsi="Arial" w:cs="Arial"/>
        </w:rPr>
      </w:pPr>
      <w:r w:rsidRPr="00FC473C">
        <w:rPr>
          <w:rFonts w:ascii="Arial" w:hAnsi="Arial" w:cs="Arial"/>
        </w:rPr>
        <w:t>One vivid illustration is the Model S which despite its technological superiority is increasingly experiencing competition by luxury EVs that are being made by Mercedes-Benz and BMW. This implies that the differentiation strategy is still efficient in Tesla (Wilmot, 2025). To maintain the position in the long term, the company must innovate and adjust its price.</w:t>
      </w:r>
    </w:p>
    <w:p w14:paraId="1F3094D3" w14:textId="77777777" w:rsidR="00B161BD" w:rsidRPr="00FC473C" w:rsidRDefault="00000000">
      <w:pPr>
        <w:pStyle w:val="Heading2"/>
        <w:rPr>
          <w:rFonts w:ascii="Arial" w:hAnsi="Arial" w:cs="Arial"/>
        </w:rPr>
      </w:pPr>
      <w:bookmarkStart w:id="21" w:name="_20aczvgcp2sl" w:colFirst="0" w:colLast="0"/>
      <w:bookmarkEnd w:id="21"/>
      <w:r w:rsidRPr="00FC473C">
        <w:rPr>
          <w:rFonts w:ascii="Arial" w:hAnsi="Arial" w:cs="Arial"/>
        </w:rPr>
        <w:t xml:space="preserve">3.2 Follower </w:t>
      </w:r>
      <w:proofErr w:type="spellStart"/>
      <w:r w:rsidRPr="00FC473C">
        <w:rPr>
          <w:rFonts w:ascii="Arial" w:hAnsi="Arial" w:cs="Arial"/>
        </w:rPr>
        <w:t>Organisation</w:t>
      </w:r>
      <w:proofErr w:type="spellEnd"/>
      <w:r w:rsidRPr="00FC473C">
        <w:rPr>
          <w:rFonts w:ascii="Arial" w:hAnsi="Arial" w:cs="Arial"/>
        </w:rPr>
        <w:t>: Ford</w:t>
      </w:r>
    </w:p>
    <w:p w14:paraId="25CA335A" w14:textId="77777777" w:rsidR="00B161BD" w:rsidRPr="00FC473C" w:rsidRDefault="00000000">
      <w:pPr>
        <w:pStyle w:val="Heading3"/>
        <w:keepNext w:val="0"/>
        <w:keepLines w:val="0"/>
        <w:spacing w:before="280" w:after="80"/>
        <w:rPr>
          <w:rFonts w:ascii="Arial" w:hAnsi="Arial" w:cs="Arial"/>
        </w:rPr>
      </w:pPr>
      <w:bookmarkStart w:id="22" w:name="_l2p0woixfp29" w:colFirst="0" w:colLast="0"/>
      <w:bookmarkEnd w:id="22"/>
      <w:r w:rsidRPr="00FC473C">
        <w:rPr>
          <w:rFonts w:ascii="Arial" w:hAnsi="Arial" w:cs="Arial"/>
        </w:rPr>
        <w:t>3.2.1 Strategic Response Overview</w:t>
      </w:r>
    </w:p>
    <w:p w14:paraId="5920CF39" w14:textId="77777777" w:rsidR="00B161BD" w:rsidRPr="00FC473C" w:rsidRDefault="00000000">
      <w:pPr>
        <w:rPr>
          <w:rFonts w:ascii="Arial" w:hAnsi="Arial" w:cs="Arial"/>
        </w:rPr>
      </w:pPr>
      <w:r w:rsidRPr="00FC473C">
        <w:rPr>
          <w:rFonts w:ascii="Arial" w:hAnsi="Arial" w:cs="Arial"/>
        </w:rPr>
        <w:t xml:space="preserve">The strategic move of Ford is based on switching internal combustion engine (ICE) cars to electric cars, along with strategic alliances and incremental innovation. In contrast to </w:t>
      </w:r>
      <w:r w:rsidRPr="00FC473C">
        <w:rPr>
          <w:rFonts w:ascii="Arial" w:hAnsi="Arial" w:cs="Arial"/>
        </w:rPr>
        <w:lastRenderedPageBreak/>
        <w:t>Tesla, Ford is forced to operate its traditional business and invest millions of dollars in EV change.</w:t>
      </w:r>
    </w:p>
    <w:p w14:paraId="5ABA9B24" w14:textId="77777777" w:rsidR="00B161BD" w:rsidRPr="00FC473C" w:rsidRDefault="00000000">
      <w:pPr>
        <w:rPr>
          <w:rFonts w:ascii="Arial" w:hAnsi="Arial" w:cs="Arial"/>
        </w:rPr>
      </w:pPr>
      <w:r w:rsidRPr="00FC473C">
        <w:rPr>
          <w:rFonts w:ascii="Arial" w:hAnsi="Arial" w:cs="Arial"/>
        </w:rPr>
        <w:t>Ford made more than $50 billion in investments on EVs, battery plants, and new EV platforms by 2026 (Ford, 2026). The strategic agreements with battery manufacturers like SK On have helped Ford to improve its supply chain and decrease technological lapses.</w:t>
      </w:r>
    </w:p>
    <w:p w14:paraId="43DEA153" w14:textId="77777777" w:rsidR="00B161BD" w:rsidRPr="00FC473C" w:rsidRDefault="00000000">
      <w:pPr>
        <w:rPr>
          <w:rFonts w:ascii="Arial" w:hAnsi="Arial" w:cs="Arial"/>
        </w:rPr>
      </w:pPr>
      <w:r w:rsidRPr="00FC473C">
        <w:rPr>
          <w:rFonts w:ascii="Arial" w:hAnsi="Arial" w:cs="Arial"/>
        </w:rPr>
        <w:t>Ford also uses its current advantages of manufacturing scopes and brand awareness. It is planning to electrify its popular models (F-150 Lightning and Mustang Mach-E) instead of designing new product types altogether (Martinez, 2025). This will enable Ford to make the transition slowly but retain its current customers.</w:t>
      </w:r>
    </w:p>
    <w:p w14:paraId="4EDFC08C" w14:textId="77777777" w:rsidR="00B161BD" w:rsidRPr="00FC473C" w:rsidRDefault="00000000">
      <w:pPr>
        <w:pStyle w:val="Heading3"/>
        <w:rPr>
          <w:rFonts w:ascii="Arial" w:hAnsi="Arial" w:cs="Arial"/>
        </w:rPr>
      </w:pPr>
      <w:bookmarkStart w:id="23" w:name="_mv87u89kuf8e" w:colFirst="0" w:colLast="0"/>
      <w:bookmarkEnd w:id="23"/>
      <w:r w:rsidRPr="00FC473C">
        <w:rPr>
          <w:rFonts w:ascii="Arial" w:hAnsi="Arial" w:cs="Arial"/>
        </w:rPr>
        <w:t>3.2.2 Application of Ansoff’s Growth Matrix</w:t>
      </w:r>
    </w:p>
    <w:tbl>
      <w:tblPr>
        <w:tblStyle w:val="a"/>
        <w:tblW w:w="94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35"/>
        <w:gridCol w:w="2460"/>
        <w:gridCol w:w="5085"/>
      </w:tblGrid>
      <w:tr w:rsidR="00B161BD" w:rsidRPr="00FC473C" w14:paraId="02D07C35" w14:textId="77777777">
        <w:trPr>
          <w:trHeight w:val="450"/>
        </w:trPr>
        <w:tc>
          <w:tcPr>
            <w:tcW w:w="1935" w:type="dxa"/>
            <w:tcBorders>
              <w:top w:val="single" w:sz="6" w:space="0" w:color="196B24"/>
              <w:left w:val="single" w:sz="6" w:space="0" w:color="196B24"/>
              <w:bottom w:val="single" w:sz="6" w:space="0" w:color="196B24"/>
              <w:right w:val="nil"/>
            </w:tcBorders>
            <w:shd w:val="clear" w:color="auto" w:fill="196B24"/>
            <w:tcMar>
              <w:top w:w="0" w:type="dxa"/>
              <w:left w:w="100" w:type="dxa"/>
              <w:bottom w:w="0" w:type="dxa"/>
              <w:right w:w="100" w:type="dxa"/>
            </w:tcMar>
          </w:tcPr>
          <w:p w14:paraId="78EA9B10" w14:textId="77777777" w:rsidR="00B161BD" w:rsidRPr="00FC473C" w:rsidRDefault="00000000">
            <w:pPr>
              <w:spacing w:before="240" w:after="160"/>
              <w:rPr>
                <w:rFonts w:ascii="Arial" w:hAnsi="Arial" w:cs="Arial"/>
                <w:b/>
                <w:bCs/>
                <w:color w:val="FFFFFF"/>
              </w:rPr>
            </w:pPr>
            <w:r w:rsidRPr="00FC473C">
              <w:rPr>
                <w:rFonts w:ascii="Arial" w:hAnsi="Arial" w:cs="Arial"/>
                <w:b/>
                <w:bCs/>
                <w:color w:val="FFFFFF"/>
              </w:rPr>
              <w:t>Strategy</w:t>
            </w:r>
          </w:p>
        </w:tc>
        <w:tc>
          <w:tcPr>
            <w:tcW w:w="2460" w:type="dxa"/>
            <w:tcBorders>
              <w:top w:val="single" w:sz="6" w:space="0" w:color="196B24"/>
              <w:left w:val="nil"/>
              <w:bottom w:val="single" w:sz="6" w:space="0" w:color="196B24"/>
              <w:right w:val="nil"/>
            </w:tcBorders>
            <w:shd w:val="clear" w:color="auto" w:fill="196B24"/>
            <w:tcMar>
              <w:top w:w="0" w:type="dxa"/>
              <w:left w:w="100" w:type="dxa"/>
              <w:bottom w:w="0" w:type="dxa"/>
              <w:right w:w="100" w:type="dxa"/>
            </w:tcMar>
          </w:tcPr>
          <w:p w14:paraId="5B4BBDB5" w14:textId="77777777" w:rsidR="00B161BD" w:rsidRPr="00FC473C" w:rsidRDefault="00000000">
            <w:pPr>
              <w:spacing w:before="240" w:after="160"/>
              <w:rPr>
                <w:rFonts w:ascii="Arial" w:hAnsi="Arial" w:cs="Arial"/>
                <w:b/>
                <w:bCs/>
                <w:color w:val="FFFFFF"/>
              </w:rPr>
            </w:pPr>
            <w:r w:rsidRPr="00FC473C">
              <w:rPr>
                <w:rFonts w:ascii="Arial" w:hAnsi="Arial" w:cs="Arial"/>
                <w:b/>
                <w:bCs/>
                <w:color w:val="FFFFFF"/>
              </w:rPr>
              <w:t>Application by Ford</w:t>
            </w:r>
          </w:p>
        </w:tc>
        <w:tc>
          <w:tcPr>
            <w:tcW w:w="5085" w:type="dxa"/>
            <w:tcBorders>
              <w:top w:val="single" w:sz="6" w:space="0" w:color="196B24"/>
              <w:left w:val="nil"/>
              <w:bottom w:val="single" w:sz="6" w:space="0" w:color="196B24"/>
              <w:right w:val="single" w:sz="6" w:space="0" w:color="196B24"/>
            </w:tcBorders>
            <w:shd w:val="clear" w:color="auto" w:fill="196B24"/>
            <w:tcMar>
              <w:top w:w="0" w:type="dxa"/>
              <w:left w:w="100" w:type="dxa"/>
              <w:bottom w:w="0" w:type="dxa"/>
              <w:right w:w="100" w:type="dxa"/>
            </w:tcMar>
          </w:tcPr>
          <w:p w14:paraId="03B99D34" w14:textId="77777777" w:rsidR="00B161BD" w:rsidRPr="00FC473C" w:rsidRDefault="00000000">
            <w:pPr>
              <w:spacing w:before="240" w:after="160"/>
              <w:rPr>
                <w:rFonts w:ascii="Arial" w:hAnsi="Arial" w:cs="Arial"/>
                <w:b/>
                <w:bCs/>
                <w:color w:val="FFFFFF"/>
              </w:rPr>
            </w:pPr>
            <w:r w:rsidRPr="00FC473C">
              <w:rPr>
                <w:rFonts w:ascii="Arial" w:hAnsi="Arial" w:cs="Arial"/>
                <w:b/>
                <w:bCs/>
                <w:color w:val="FFFFFF"/>
              </w:rPr>
              <w:t>Evidence</w:t>
            </w:r>
          </w:p>
        </w:tc>
      </w:tr>
      <w:tr w:rsidR="00B161BD" w:rsidRPr="00FC473C" w14:paraId="659EC2C1" w14:textId="77777777">
        <w:trPr>
          <w:trHeight w:val="1005"/>
        </w:trPr>
        <w:tc>
          <w:tcPr>
            <w:tcW w:w="1935" w:type="dxa"/>
            <w:tcBorders>
              <w:top w:val="nil"/>
              <w:left w:val="single" w:sz="6" w:space="0" w:color="47D459"/>
              <w:bottom w:val="single" w:sz="6" w:space="0" w:color="47D459"/>
              <w:right w:val="single" w:sz="6" w:space="0" w:color="47D459"/>
            </w:tcBorders>
            <w:shd w:val="clear" w:color="auto" w:fill="C1F0C7"/>
            <w:tcMar>
              <w:top w:w="0" w:type="dxa"/>
              <w:left w:w="100" w:type="dxa"/>
              <w:bottom w:w="0" w:type="dxa"/>
              <w:right w:w="100" w:type="dxa"/>
            </w:tcMar>
          </w:tcPr>
          <w:p w14:paraId="1339A618" w14:textId="77777777" w:rsidR="00B161BD" w:rsidRPr="00FC473C" w:rsidRDefault="00000000">
            <w:pPr>
              <w:spacing w:before="240" w:after="160"/>
              <w:rPr>
                <w:rFonts w:ascii="Arial" w:hAnsi="Arial" w:cs="Arial"/>
                <w:b/>
                <w:bCs/>
              </w:rPr>
            </w:pPr>
            <w:r w:rsidRPr="00FC473C">
              <w:rPr>
                <w:rFonts w:ascii="Arial" w:hAnsi="Arial" w:cs="Arial"/>
                <w:b/>
                <w:bCs/>
              </w:rPr>
              <w:t>Market Penetration</w:t>
            </w:r>
          </w:p>
        </w:tc>
        <w:tc>
          <w:tcPr>
            <w:tcW w:w="2460" w:type="dxa"/>
            <w:tcBorders>
              <w:top w:val="nil"/>
              <w:left w:val="nil"/>
              <w:bottom w:val="single" w:sz="6" w:space="0" w:color="47D459"/>
              <w:right w:val="single" w:sz="6" w:space="0" w:color="47D459"/>
            </w:tcBorders>
            <w:shd w:val="clear" w:color="auto" w:fill="C1F0C7"/>
            <w:tcMar>
              <w:top w:w="0" w:type="dxa"/>
              <w:left w:w="100" w:type="dxa"/>
              <w:bottom w:w="0" w:type="dxa"/>
              <w:right w:w="100" w:type="dxa"/>
            </w:tcMar>
          </w:tcPr>
          <w:p w14:paraId="25A599F9" w14:textId="77777777" w:rsidR="00B161BD" w:rsidRPr="00FC473C" w:rsidRDefault="00000000">
            <w:pPr>
              <w:spacing w:before="240" w:after="160"/>
              <w:rPr>
                <w:rFonts w:ascii="Arial" w:hAnsi="Arial" w:cs="Arial"/>
              </w:rPr>
            </w:pPr>
            <w:r w:rsidRPr="00FC473C">
              <w:rPr>
                <w:rFonts w:ascii="Arial" w:hAnsi="Arial" w:cs="Arial"/>
              </w:rPr>
              <w:t>Increasing EV adoption among existing customers</w:t>
            </w:r>
          </w:p>
        </w:tc>
        <w:tc>
          <w:tcPr>
            <w:tcW w:w="5085" w:type="dxa"/>
            <w:tcBorders>
              <w:top w:val="nil"/>
              <w:left w:val="nil"/>
              <w:bottom w:val="single" w:sz="6" w:space="0" w:color="47D459"/>
              <w:right w:val="single" w:sz="6" w:space="0" w:color="47D459"/>
            </w:tcBorders>
            <w:shd w:val="clear" w:color="auto" w:fill="C1F0C7"/>
            <w:tcMar>
              <w:top w:w="0" w:type="dxa"/>
              <w:left w:w="100" w:type="dxa"/>
              <w:bottom w:w="0" w:type="dxa"/>
              <w:right w:w="100" w:type="dxa"/>
            </w:tcMar>
          </w:tcPr>
          <w:p w14:paraId="5D10B93A" w14:textId="77777777" w:rsidR="00B161BD" w:rsidRPr="00FC473C" w:rsidRDefault="00000000">
            <w:pPr>
              <w:spacing w:before="240" w:after="160"/>
              <w:rPr>
                <w:rFonts w:ascii="Arial" w:hAnsi="Arial" w:cs="Arial"/>
              </w:rPr>
            </w:pPr>
            <w:r w:rsidRPr="00FC473C">
              <w:rPr>
                <w:rFonts w:ascii="Arial" w:hAnsi="Arial" w:cs="Arial"/>
              </w:rPr>
              <w:t xml:space="preserve">EV sales expected to exceed </w:t>
            </w:r>
            <w:r w:rsidRPr="00FC473C">
              <w:rPr>
                <w:rFonts w:ascii="Arial" w:hAnsi="Arial" w:cs="Arial"/>
                <w:b/>
                <w:bCs/>
              </w:rPr>
              <w:t>600,000 units globally by 2025</w:t>
            </w:r>
            <w:r w:rsidRPr="00FC473C">
              <w:rPr>
                <w:rFonts w:ascii="Arial" w:hAnsi="Arial" w:cs="Arial"/>
              </w:rPr>
              <w:t>, with ~</w:t>
            </w:r>
            <w:r w:rsidRPr="00FC473C">
              <w:rPr>
                <w:rFonts w:ascii="Arial" w:hAnsi="Arial" w:cs="Arial"/>
                <w:b/>
                <w:bCs/>
              </w:rPr>
              <w:t>30–35% repeat customers</w:t>
            </w:r>
            <w:r w:rsidRPr="00FC473C">
              <w:rPr>
                <w:rFonts w:ascii="Arial" w:hAnsi="Arial" w:cs="Arial"/>
              </w:rPr>
              <w:t xml:space="preserve"> shifting from ICE vehicles</w:t>
            </w:r>
          </w:p>
        </w:tc>
      </w:tr>
      <w:tr w:rsidR="00B161BD" w:rsidRPr="00FC473C" w14:paraId="3BA5B318" w14:textId="77777777">
        <w:trPr>
          <w:trHeight w:val="1005"/>
        </w:trPr>
        <w:tc>
          <w:tcPr>
            <w:tcW w:w="1935" w:type="dxa"/>
            <w:tcBorders>
              <w:top w:val="nil"/>
              <w:left w:val="single" w:sz="6" w:space="0" w:color="47D459"/>
              <w:bottom w:val="single" w:sz="6" w:space="0" w:color="47D459"/>
              <w:right w:val="single" w:sz="6" w:space="0" w:color="47D459"/>
            </w:tcBorders>
            <w:tcMar>
              <w:top w:w="0" w:type="dxa"/>
              <w:left w:w="100" w:type="dxa"/>
              <w:bottom w:w="0" w:type="dxa"/>
              <w:right w:w="100" w:type="dxa"/>
            </w:tcMar>
          </w:tcPr>
          <w:p w14:paraId="16A25A68" w14:textId="77777777" w:rsidR="00B161BD" w:rsidRPr="00FC473C" w:rsidRDefault="00000000">
            <w:pPr>
              <w:spacing w:before="240" w:after="160"/>
              <w:rPr>
                <w:rFonts w:ascii="Arial" w:hAnsi="Arial" w:cs="Arial"/>
                <w:b/>
                <w:bCs/>
              </w:rPr>
            </w:pPr>
            <w:r w:rsidRPr="00FC473C">
              <w:rPr>
                <w:rFonts w:ascii="Arial" w:hAnsi="Arial" w:cs="Arial"/>
                <w:b/>
                <w:bCs/>
              </w:rPr>
              <w:t>Product Development</w:t>
            </w:r>
          </w:p>
        </w:tc>
        <w:tc>
          <w:tcPr>
            <w:tcW w:w="2460" w:type="dxa"/>
            <w:tcBorders>
              <w:top w:val="nil"/>
              <w:left w:val="nil"/>
              <w:bottom w:val="single" w:sz="6" w:space="0" w:color="47D459"/>
              <w:right w:val="single" w:sz="6" w:space="0" w:color="47D459"/>
            </w:tcBorders>
            <w:tcMar>
              <w:top w:w="0" w:type="dxa"/>
              <w:left w:w="100" w:type="dxa"/>
              <w:bottom w:w="0" w:type="dxa"/>
              <w:right w:w="100" w:type="dxa"/>
            </w:tcMar>
          </w:tcPr>
          <w:p w14:paraId="6D72F7A8" w14:textId="77777777" w:rsidR="00B161BD" w:rsidRPr="00FC473C" w:rsidRDefault="00000000">
            <w:pPr>
              <w:spacing w:before="240" w:after="160"/>
              <w:rPr>
                <w:rFonts w:ascii="Arial" w:hAnsi="Arial" w:cs="Arial"/>
              </w:rPr>
            </w:pPr>
            <w:r w:rsidRPr="00FC473C">
              <w:rPr>
                <w:rFonts w:ascii="Arial" w:hAnsi="Arial" w:cs="Arial"/>
              </w:rPr>
              <w:t>Introducing electric versions of existing models</w:t>
            </w:r>
          </w:p>
        </w:tc>
        <w:tc>
          <w:tcPr>
            <w:tcW w:w="5085" w:type="dxa"/>
            <w:tcBorders>
              <w:top w:val="nil"/>
              <w:left w:val="nil"/>
              <w:bottom w:val="single" w:sz="6" w:space="0" w:color="47D459"/>
              <w:right w:val="single" w:sz="6" w:space="0" w:color="47D459"/>
            </w:tcBorders>
            <w:tcMar>
              <w:top w:w="0" w:type="dxa"/>
              <w:left w:w="100" w:type="dxa"/>
              <w:bottom w:w="0" w:type="dxa"/>
              <w:right w:w="100" w:type="dxa"/>
            </w:tcMar>
          </w:tcPr>
          <w:p w14:paraId="6E93EADB" w14:textId="77777777" w:rsidR="00B161BD" w:rsidRPr="00FC473C" w:rsidRDefault="00000000">
            <w:pPr>
              <w:spacing w:before="240" w:after="160"/>
              <w:rPr>
                <w:rFonts w:ascii="Arial" w:hAnsi="Arial" w:cs="Arial"/>
              </w:rPr>
            </w:pPr>
            <w:r w:rsidRPr="00FC473C">
              <w:rPr>
                <w:rFonts w:ascii="Arial" w:hAnsi="Arial" w:cs="Arial"/>
              </w:rPr>
              <w:t xml:space="preserve">F-150 Lightning production scaled to </w:t>
            </w:r>
            <w:r w:rsidRPr="00FC473C">
              <w:rPr>
                <w:rFonts w:ascii="Arial" w:hAnsi="Arial" w:cs="Arial"/>
                <w:b/>
                <w:bCs/>
              </w:rPr>
              <w:t>150,000 units/year</w:t>
            </w:r>
            <w:r w:rsidRPr="00FC473C">
              <w:rPr>
                <w:rFonts w:ascii="Arial" w:hAnsi="Arial" w:cs="Arial"/>
              </w:rPr>
              <w:t xml:space="preserve">, Mach-E contributing </w:t>
            </w:r>
            <w:r w:rsidRPr="00FC473C">
              <w:rPr>
                <w:rFonts w:ascii="Arial" w:hAnsi="Arial" w:cs="Arial"/>
                <w:b/>
                <w:bCs/>
              </w:rPr>
              <w:t>40% of Ford EV sales</w:t>
            </w:r>
            <w:r w:rsidRPr="00FC473C">
              <w:rPr>
                <w:rFonts w:ascii="Arial" w:hAnsi="Arial" w:cs="Arial"/>
              </w:rPr>
              <w:t xml:space="preserve"> in 2025 (Ev.com, 2025)</w:t>
            </w:r>
          </w:p>
        </w:tc>
      </w:tr>
      <w:tr w:rsidR="00B161BD" w:rsidRPr="00FC473C" w14:paraId="66272937" w14:textId="77777777">
        <w:trPr>
          <w:trHeight w:val="1005"/>
        </w:trPr>
        <w:tc>
          <w:tcPr>
            <w:tcW w:w="1935" w:type="dxa"/>
            <w:tcBorders>
              <w:top w:val="nil"/>
              <w:left w:val="single" w:sz="6" w:space="0" w:color="47D459"/>
              <w:bottom w:val="single" w:sz="6" w:space="0" w:color="47D459"/>
              <w:right w:val="single" w:sz="6" w:space="0" w:color="47D459"/>
            </w:tcBorders>
            <w:shd w:val="clear" w:color="auto" w:fill="C1F0C7"/>
            <w:tcMar>
              <w:top w:w="0" w:type="dxa"/>
              <w:left w:w="100" w:type="dxa"/>
              <w:bottom w:w="0" w:type="dxa"/>
              <w:right w:w="100" w:type="dxa"/>
            </w:tcMar>
          </w:tcPr>
          <w:p w14:paraId="5ED469F9" w14:textId="77777777" w:rsidR="00B161BD" w:rsidRPr="00FC473C" w:rsidRDefault="00000000">
            <w:pPr>
              <w:spacing w:before="240" w:after="160"/>
              <w:rPr>
                <w:rFonts w:ascii="Arial" w:hAnsi="Arial" w:cs="Arial"/>
                <w:b/>
                <w:bCs/>
              </w:rPr>
            </w:pPr>
            <w:r w:rsidRPr="00FC473C">
              <w:rPr>
                <w:rFonts w:ascii="Arial" w:hAnsi="Arial" w:cs="Arial"/>
                <w:b/>
                <w:bCs/>
              </w:rPr>
              <w:t>Market Development</w:t>
            </w:r>
          </w:p>
        </w:tc>
        <w:tc>
          <w:tcPr>
            <w:tcW w:w="2460" w:type="dxa"/>
            <w:tcBorders>
              <w:top w:val="nil"/>
              <w:left w:val="nil"/>
              <w:bottom w:val="single" w:sz="6" w:space="0" w:color="47D459"/>
              <w:right w:val="single" w:sz="6" w:space="0" w:color="47D459"/>
            </w:tcBorders>
            <w:shd w:val="clear" w:color="auto" w:fill="C1F0C7"/>
            <w:tcMar>
              <w:top w:w="0" w:type="dxa"/>
              <w:left w:w="100" w:type="dxa"/>
              <w:bottom w:w="0" w:type="dxa"/>
              <w:right w:w="100" w:type="dxa"/>
            </w:tcMar>
          </w:tcPr>
          <w:p w14:paraId="15F24F86" w14:textId="77777777" w:rsidR="00B161BD" w:rsidRPr="00FC473C" w:rsidRDefault="00000000">
            <w:pPr>
              <w:spacing w:before="240" w:after="160"/>
              <w:rPr>
                <w:rFonts w:ascii="Arial" w:hAnsi="Arial" w:cs="Arial"/>
              </w:rPr>
            </w:pPr>
            <w:r w:rsidRPr="00FC473C">
              <w:rPr>
                <w:rFonts w:ascii="Arial" w:hAnsi="Arial" w:cs="Arial"/>
              </w:rPr>
              <w:t>Expanding EV sales into new global markets</w:t>
            </w:r>
          </w:p>
        </w:tc>
        <w:tc>
          <w:tcPr>
            <w:tcW w:w="5085" w:type="dxa"/>
            <w:tcBorders>
              <w:top w:val="nil"/>
              <w:left w:val="nil"/>
              <w:bottom w:val="single" w:sz="6" w:space="0" w:color="47D459"/>
              <w:right w:val="single" w:sz="6" w:space="0" w:color="47D459"/>
            </w:tcBorders>
            <w:shd w:val="clear" w:color="auto" w:fill="C1F0C7"/>
            <w:tcMar>
              <w:top w:w="0" w:type="dxa"/>
              <w:left w:w="100" w:type="dxa"/>
              <w:bottom w:w="0" w:type="dxa"/>
              <w:right w:w="100" w:type="dxa"/>
            </w:tcMar>
          </w:tcPr>
          <w:p w14:paraId="0BE187E6" w14:textId="77777777" w:rsidR="00B161BD" w:rsidRPr="00FC473C" w:rsidRDefault="00000000">
            <w:pPr>
              <w:spacing w:before="240" w:after="160"/>
              <w:rPr>
                <w:rFonts w:ascii="Arial" w:hAnsi="Arial" w:cs="Arial"/>
                <w:b/>
                <w:bCs/>
              </w:rPr>
            </w:pPr>
            <w:r w:rsidRPr="00FC473C">
              <w:rPr>
                <w:rFonts w:ascii="Arial" w:hAnsi="Arial" w:cs="Arial"/>
              </w:rPr>
              <w:t xml:space="preserve">Europe EV sales projected to grow </w:t>
            </w:r>
            <w:r w:rsidRPr="00FC473C">
              <w:rPr>
                <w:rFonts w:ascii="Arial" w:hAnsi="Arial" w:cs="Arial"/>
                <w:b/>
                <w:bCs/>
              </w:rPr>
              <w:t>20–25% annually</w:t>
            </w:r>
            <w:r w:rsidRPr="00FC473C">
              <w:rPr>
                <w:rFonts w:ascii="Arial" w:hAnsi="Arial" w:cs="Arial"/>
              </w:rPr>
              <w:t xml:space="preserve">, China expansion targeting </w:t>
            </w:r>
            <w:r w:rsidRPr="00FC473C">
              <w:rPr>
                <w:rFonts w:ascii="Arial" w:hAnsi="Arial" w:cs="Arial"/>
                <w:b/>
                <w:bCs/>
              </w:rPr>
              <w:t>Tier-1 city penetration by 2026</w:t>
            </w:r>
          </w:p>
        </w:tc>
      </w:tr>
      <w:tr w:rsidR="00B161BD" w:rsidRPr="00FC473C" w14:paraId="64A4C721" w14:textId="77777777">
        <w:trPr>
          <w:trHeight w:val="1005"/>
        </w:trPr>
        <w:tc>
          <w:tcPr>
            <w:tcW w:w="1935" w:type="dxa"/>
            <w:tcBorders>
              <w:top w:val="nil"/>
              <w:left w:val="single" w:sz="6" w:space="0" w:color="47D459"/>
              <w:bottom w:val="single" w:sz="6" w:space="0" w:color="47D459"/>
              <w:right w:val="single" w:sz="6" w:space="0" w:color="47D459"/>
            </w:tcBorders>
            <w:tcMar>
              <w:top w:w="0" w:type="dxa"/>
              <w:left w:w="100" w:type="dxa"/>
              <w:bottom w:w="0" w:type="dxa"/>
              <w:right w:w="100" w:type="dxa"/>
            </w:tcMar>
          </w:tcPr>
          <w:p w14:paraId="076518B2" w14:textId="77777777" w:rsidR="00B161BD" w:rsidRPr="00FC473C" w:rsidRDefault="00000000">
            <w:pPr>
              <w:spacing w:before="240" w:after="160"/>
              <w:rPr>
                <w:rFonts w:ascii="Arial" w:hAnsi="Arial" w:cs="Arial"/>
                <w:b/>
                <w:bCs/>
              </w:rPr>
            </w:pPr>
            <w:r w:rsidRPr="00FC473C">
              <w:rPr>
                <w:rFonts w:ascii="Arial" w:hAnsi="Arial" w:cs="Arial"/>
                <w:b/>
                <w:bCs/>
              </w:rPr>
              <w:t>Diversification</w:t>
            </w:r>
          </w:p>
        </w:tc>
        <w:tc>
          <w:tcPr>
            <w:tcW w:w="2460" w:type="dxa"/>
            <w:tcBorders>
              <w:top w:val="nil"/>
              <w:left w:val="nil"/>
              <w:bottom w:val="single" w:sz="6" w:space="0" w:color="47D459"/>
              <w:right w:val="single" w:sz="6" w:space="0" w:color="47D459"/>
            </w:tcBorders>
            <w:tcMar>
              <w:top w:w="0" w:type="dxa"/>
              <w:left w:w="100" w:type="dxa"/>
              <w:bottom w:w="0" w:type="dxa"/>
              <w:right w:w="100" w:type="dxa"/>
            </w:tcMar>
          </w:tcPr>
          <w:p w14:paraId="4C7125DA" w14:textId="77777777" w:rsidR="00B161BD" w:rsidRPr="00FC473C" w:rsidRDefault="00000000">
            <w:pPr>
              <w:spacing w:before="240" w:after="160"/>
              <w:rPr>
                <w:rFonts w:ascii="Arial" w:hAnsi="Arial" w:cs="Arial"/>
              </w:rPr>
            </w:pPr>
            <w:r w:rsidRPr="00FC473C">
              <w:rPr>
                <w:rFonts w:ascii="Arial" w:hAnsi="Arial" w:cs="Arial"/>
              </w:rPr>
              <w:t>Investing in EV technologies and digital services</w:t>
            </w:r>
          </w:p>
        </w:tc>
        <w:tc>
          <w:tcPr>
            <w:tcW w:w="5085" w:type="dxa"/>
            <w:tcBorders>
              <w:top w:val="nil"/>
              <w:left w:val="nil"/>
              <w:bottom w:val="single" w:sz="6" w:space="0" w:color="47D459"/>
              <w:right w:val="single" w:sz="6" w:space="0" w:color="47D459"/>
            </w:tcBorders>
            <w:tcMar>
              <w:top w:w="0" w:type="dxa"/>
              <w:left w:w="100" w:type="dxa"/>
              <w:bottom w:w="0" w:type="dxa"/>
              <w:right w:w="100" w:type="dxa"/>
            </w:tcMar>
          </w:tcPr>
          <w:p w14:paraId="2BC5F716" w14:textId="77777777" w:rsidR="00B161BD" w:rsidRPr="00FC473C" w:rsidRDefault="00000000">
            <w:pPr>
              <w:spacing w:before="240" w:after="160"/>
              <w:rPr>
                <w:rFonts w:ascii="Arial" w:hAnsi="Arial" w:cs="Arial"/>
                <w:b/>
                <w:bCs/>
              </w:rPr>
            </w:pPr>
            <w:r w:rsidRPr="00FC473C">
              <w:rPr>
                <w:rFonts w:ascii="Arial" w:hAnsi="Arial" w:cs="Arial"/>
              </w:rPr>
              <w:t xml:space="preserve">Over </w:t>
            </w:r>
            <w:r w:rsidRPr="00FC473C">
              <w:rPr>
                <w:rFonts w:ascii="Arial" w:hAnsi="Arial" w:cs="Arial"/>
                <w:b/>
                <w:bCs/>
              </w:rPr>
              <w:t>$50 billion EV investment by 2026</w:t>
            </w:r>
            <w:r w:rsidRPr="00FC473C">
              <w:rPr>
                <w:rFonts w:ascii="Arial" w:hAnsi="Arial" w:cs="Arial"/>
              </w:rPr>
              <w:t xml:space="preserve">, including partnerships for </w:t>
            </w:r>
            <w:r w:rsidRPr="00FC473C">
              <w:rPr>
                <w:rFonts w:ascii="Arial" w:hAnsi="Arial" w:cs="Arial"/>
                <w:b/>
                <w:bCs/>
              </w:rPr>
              <w:t>next-gen battery production (Ravichandran, 2026)</w:t>
            </w:r>
          </w:p>
        </w:tc>
      </w:tr>
    </w:tbl>
    <w:p w14:paraId="20782969" w14:textId="77777777" w:rsidR="00B161BD" w:rsidRPr="00FC473C" w:rsidRDefault="00000000">
      <w:pPr>
        <w:jc w:val="center"/>
        <w:rPr>
          <w:rFonts w:ascii="Arial" w:hAnsi="Arial" w:cs="Arial"/>
          <w:b/>
          <w:bCs/>
        </w:rPr>
      </w:pPr>
      <w:r w:rsidRPr="00FC473C">
        <w:rPr>
          <w:rFonts w:ascii="Arial" w:hAnsi="Arial" w:cs="Arial"/>
          <w:b/>
          <w:bCs/>
        </w:rPr>
        <w:t>Table 1: Ansoff Matrix</w:t>
      </w:r>
    </w:p>
    <w:p w14:paraId="3CD9749D" w14:textId="77777777" w:rsidR="00B161BD" w:rsidRPr="00FC473C" w:rsidRDefault="00000000">
      <w:pPr>
        <w:jc w:val="center"/>
        <w:rPr>
          <w:rFonts w:ascii="Arial" w:hAnsi="Arial" w:cs="Arial"/>
        </w:rPr>
      </w:pPr>
      <w:r w:rsidRPr="00FC473C">
        <w:rPr>
          <w:rFonts w:ascii="Arial" w:hAnsi="Arial" w:cs="Arial"/>
        </w:rPr>
        <w:lastRenderedPageBreak/>
        <w:t xml:space="preserve">(Source: </w:t>
      </w:r>
      <w:proofErr w:type="spellStart"/>
      <w:r w:rsidRPr="00FC473C">
        <w:rPr>
          <w:rFonts w:ascii="Arial" w:hAnsi="Arial" w:cs="Arial"/>
        </w:rPr>
        <w:t>Self Created</w:t>
      </w:r>
      <w:proofErr w:type="spellEnd"/>
      <w:r w:rsidRPr="00FC473C">
        <w:rPr>
          <w:rFonts w:ascii="Arial" w:hAnsi="Arial" w:cs="Arial"/>
        </w:rPr>
        <w:t>)</w:t>
      </w:r>
    </w:p>
    <w:p w14:paraId="7D5B9235" w14:textId="77777777" w:rsidR="00B161BD" w:rsidRPr="00FC473C" w:rsidRDefault="00000000">
      <w:pPr>
        <w:pStyle w:val="Heading3"/>
        <w:rPr>
          <w:rFonts w:ascii="Arial" w:hAnsi="Arial" w:cs="Arial"/>
        </w:rPr>
      </w:pPr>
      <w:bookmarkStart w:id="24" w:name="_oahpbtuvqafo" w:colFirst="0" w:colLast="0"/>
      <w:bookmarkEnd w:id="24"/>
      <w:r w:rsidRPr="00FC473C">
        <w:rPr>
          <w:rFonts w:ascii="Arial" w:hAnsi="Arial" w:cs="Arial"/>
        </w:rPr>
        <w:t>3.2.3 Critical Evaluation</w:t>
      </w:r>
    </w:p>
    <w:p w14:paraId="3D050007" w14:textId="77777777" w:rsidR="00B161BD" w:rsidRPr="00FC473C" w:rsidRDefault="00000000">
      <w:pPr>
        <w:rPr>
          <w:rFonts w:ascii="Arial" w:hAnsi="Arial" w:cs="Arial"/>
        </w:rPr>
      </w:pPr>
      <w:r w:rsidRPr="00FC473C">
        <w:rPr>
          <w:rFonts w:ascii="Arial" w:hAnsi="Arial" w:cs="Arial"/>
        </w:rPr>
        <w:t>The strategy of Ford has a number of strengths. Its developed brand name and years of customer loyalty give it a solid base on which to implement EV. Moreover, it has a large network of distribution allowing it to reach the widest possible area of the market, especially in North America and Europe (Yu, 2024).</w:t>
      </w:r>
    </w:p>
    <w:p w14:paraId="03DEE14A" w14:textId="77777777" w:rsidR="00B161BD" w:rsidRPr="00FC473C" w:rsidRDefault="00000000">
      <w:pPr>
        <w:rPr>
          <w:rFonts w:ascii="Arial" w:hAnsi="Arial" w:cs="Arial"/>
        </w:rPr>
      </w:pPr>
      <w:r w:rsidRPr="00FC473C">
        <w:rPr>
          <w:rFonts w:ascii="Arial" w:hAnsi="Arial" w:cs="Arial"/>
        </w:rPr>
        <w:t>Nonetheless, Ford has serious challenges. Tesla is more technologically advanced than it, which removes its chances of competition in the field of technological innovation. As an example, the software features and the EV line of Ford frequently do not match those of Tesla, which influences the perception of consumers (</w:t>
      </w:r>
      <w:proofErr w:type="spellStart"/>
      <w:r w:rsidRPr="00FC473C">
        <w:rPr>
          <w:rFonts w:ascii="Arial" w:hAnsi="Arial" w:cs="Arial"/>
        </w:rPr>
        <w:t>Palmié</w:t>
      </w:r>
      <w:proofErr w:type="spellEnd"/>
      <w:r w:rsidRPr="00FC473C">
        <w:rPr>
          <w:rFonts w:ascii="Arial" w:hAnsi="Arial" w:cs="Arial"/>
        </w:rPr>
        <w:t xml:space="preserve"> et al., 2024).</w:t>
      </w:r>
    </w:p>
    <w:p w14:paraId="18759812" w14:textId="77777777" w:rsidR="00B161BD" w:rsidRPr="00FC473C" w:rsidRDefault="00000000">
      <w:pPr>
        <w:jc w:val="center"/>
        <w:rPr>
          <w:rFonts w:ascii="Arial" w:hAnsi="Arial" w:cs="Arial"/>
        </w:rPr>
      </w:pPr>
      <w:r w:rsidRPr="00FC473C">
        <w:rPr>
          <w:rFonts w:ascii="Arial" w:hAnsi="Arial" w:cs="Arial"/>
          <w:noProof/>
        </w:rPr>
        <w:drawing>
          <wp:inline distT="114300" distB="114300" distL="114300" distR="114300" wp14:anchorId="5B0F3EE4" wp14:editId="72EC9EE5">
            <wp:extent cx="5943600" cy="298450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943600" cy="2984500"/>
                    </a:xfrm>
                    <a:prstGeom prst="rect">
                      <a:avLst/>
                    </a:prstGeom>
                    <a:ln w="25400">
                      <a:solidFill>
                        <a:srgbClr val="000000"/>
                      </a:solidFill>
                      <a:prstDash val="solid"/>
                    </a:ln>
                  </pic:spPr>
                </pic:pic>
              </a:graphicData>
            </a:graphic>
          </wp:inline>
        </w:drawing>
      </w:r>
    </w:p>
    <w:p w14:paraId="7257A940" w14:textId="77777777" w:rsidR="00B161BD" w:rsidRPr="00FC473C" w:rsidRDefault="00000000">
      <w:pPr>
        <w:jc w:val="center"/>
        <w:rPr>
          <w:rFonts w:ascii="Arial" w:hAnsi="Arial" w:cs="Arial"/>
          <w:b/>
          <w:bCs/>
        </w:rPr>
      </w:pPr>
      <w:r w:rsidRPr="00FC473C">
        <w:rPr>
          <w:rFonts w:ascii="Arial" w:hAnsi="Arial" w:cs="Arial"/>
          <w:b/>
          <w:bCs/>
        </w:rPr>
        <w:t>Figure 9: Ford EV Loss</w:t>
      </w:r>
    </w:p>
    <w:p w14:paraId="2804FDBA" w14:textId="77777777" w:rsidR="00B161BD" w:rsidRPr="00FC473C" w:rsidRDefault="00000000">
      <w:pPr>
        <w:jc w:val="center"/>
        <w:rPr>
          <w:rFonts w:ascii="Arial" w:hAnsi="Arial" w:cs="Arial"/>
        </w:rPr>
      </w:pPr>
      <w:r w:rsidRPr="00FC473C">
        <w:rPr>
          <w:rFonts w:ascii="Arial" w:hAnsi="Arial" w:cs="Arial"/>
        </w:rPr>
        <w:t xml:space="preserve">(Source: </w:t>
      </w:r>
      <w:proofErr w:type="spellStart"/>
      <w:r w:rsidRPr="00FC473C">
        <w:rPr>
          <w:rFonts w:ascii="Arial" w:hAnsi="Arial" w:cs="Arial"/>
        </w:rPr>
        <w:t>Boudette</w:t>
      </w:r>
      <w:proofErr w:type="spellEnd"/>
      <w:r w:rsidRPr="00FC473C">
        <w:rPr>
          <w:rFonts w:ascii="Arial" w:hAnsi="Arial" w:cs="Arial"/>
        </w:rPr>
        <w:t>, 2026)</w:t>
      </w:r>
    </w:p>
    <w:p w14:paraId="62869D9D" w14:textId="77777777" w:rsidR="00B161BD" w:rsidRPr="00FC473C" w:rsidRDefault="00000000">
      <w:pPr>
        <w:rPr>
          <w:rFonts w:ascii="Arial" w:hAnsi="Arial" w:cs="Arial"/>
        </w:rPr>
      </w:pPr>
      <w:r w:rsidRPr="00FC473C">
        <w:rPr>
          <w:rFonts w:ascii="Arial" w:hAnsi="Arial" w:cs="Arial"/>
        </w:rPr>
        <w:t>The shift is expensive in terms of finances. In 2025, Ford reported EV-related losses of more than 4.5 billion, which indicates short-term financial cost of change. Moreover, its EV market is small at approximately 7-8% in the U.S. in 2025-2026, whereas Tesla controls the market (Shahan, 2026).</w:t>
      </w:r>
    </w:p>
    <w:p w14:paraId="61597017" w14:textId="77777777" w:rsidR="00B161BD" w:rsidRPr="00FC473C" w:rsidRDefault="00000000">
      <w:pPr>
        <w:rPr>
          <w:rFonts w:ascii="Arial" w:hAnsi="Arial" w:cs="Arial"/>
        </w:rPr>
      </w:pPr>
      <w:r w:rsidRPr="00FC473C">
        <w:rPr>
          <w:rFonts w:ascii="Arial" w:hAnsi="Arial" w:cs="Arial"/>
        </w:rPr>
        <w:lastRenderedPageBreak/>
        <w:t>One of them is the Mustang Mach-E that directly competes with the Model Y of Tesla. Although the Mach-E has been successful with more than 150,000 units being sold worldwide in 2025, it continues to lag far behind the Model Y in terms of sales volume and technology image (Crothers, 2025).</w:t>
      </w:r>
    </w:p>
    <w:p w14:paraId="3F2E1D50" w14:textId="77777777" w:rsidR="00B161BD" w:rsidRPr="00FC473C" w:rsidRDefault="00000000">
      <w:pPr>
        <w:pStyle w:val="Heading2"/>
        <w:keepNext w:val="0"/>
        <w:keepLines w:val="0"/>
        <w:spacing w:before="480" w:after="120"/>
        <w:rPr>
          <w:rFonts w:ascii="Arial" w:hAnsi="Arial" w:cs="Arial"/>
        </w:rPr>
      </w:pPr>
      <w:bookmarkStart w:id="25" w:name="_g4405lmawkrx" w:colFirst="0" w:colLast="0"/>
      <w:bookmarkEnd w:id="25"/>
      <w:r w:rsidRPr="00FC473C">
        <w:rPr>
          <w:rFonts w:ascii="Arial" w:hAnsi="Arial" w:cs="Arial"/>
        </w:rPr>
        <w:t xml:space="preserve">4. Conclusion </w:t>
      </w:r>
    </w:p>
    <w:p w14:paraId="672762AC" w14:textId="77777777" w:rsidR="00B161BD" w:rsidRPr="00FC473C" w:rsidRDefault="00000000">
      <w:pPr>
        <w:pStyle w:val="Heading2"/>
        <w:rPr>
          <w:rFonts w:ascii="Arial" w:hAnsi="Arial" w:cs="Arial"/>
        </w:rPr>
      </w:pPr>
      <w:bookmarkStart w:id="26" w:name="_qrxy78f86lmc" w:colFirst="0" w:colLast="0"/>
      <w:bookmarkEnd w:id="26"/>
      <w:r w:rsidRPr="00FC473C">
        <w:rPr>
          <w:rFonts w:ascii="Arial" w:hAnsi="Arial" w:cs="Arial"/>
        </w:rPr>
        <w:t>4.1 Summary of Key Findings</w:t>
      </w:r>
    </w:p>
    <w:p w14:paraId="6D014DCD" w14:textId="77777777" w:rsidR="00B161BD" w:rsidRPr="00FC473C" w:rsidRDefault="00000000">
      <w:pPr>
        <w:rPr>
          <w:rFonts w:ascii="Arial" w:hAnsi="Arial" w:cs="Arial"/>
        </w:rPr>
      </w:pPr>
      <w:r w:rsidRPr="00FC473C">
        <w:rPr>
          <w:rFonts w:ascii="Arial" w:hAnsi="Arial" w:cs="Arial"/>
        </w:rPr>
        <w:t xml:space="preserve">This report has also shown that macro-environmental factors are very important in influencing strategic marketing decisions in the EV industry. Specifically, the technological and environmental forces have become the strongest driving forces, influencing innovation, regulation and competitive forces. The modern world is </w:t>
      </w:r>
      <w:proofErr w:type="spellStart"/>
      <w:r w:rsidRPr="00FC473C">
        <w:rPr>
          <w:rFonts w:ascii="Arial" w:hAnsi="Arial" w:cs="Arial"/>
        </w:rPr>
        <w:t>characterised</w:t>
      </w:r>
      <w:proofErr w:type="spellEnd"/>
      <w:r w:rsidRPr="00FC473C">
        <w:rPr>
          <w:rFonts w:ascii="Arial" w:hAnsi="Arial" w:cs="Arial"/>
        </w:rPr>
        <w:t xml:space="preserve"> by rapid developments in battery technology and the growing popularity of sustainability in the whole world, which has changed the structure of industries and the </w:t>
      </w:r>
      <w:proofErr w:type="spellStart"/>
      <w:r w:rsidRPr="00FC473C">
        <w:rPr>
          <w:rFonts w:ascii="Arial" w:hAnsi="Arial" w:cs="Arial"/>
        </w:rPr>
        <w:t>behaviour</w:t>
      </w:r>
      <w:proofErr w:type="spellEnd"/>
      <w:r w:rsidRPr="00FC473C">
        <w:rPr>
          <w:rFonts w:ascii="Arial" w:hAnsi="Arial" w:cs="Arial"/>
        </w:rPr>
        <w:t xml:space="preserve"> of firms extensively.</w:t>
      </w:r>
    </w:p>
    <w:p w14:paraId="6612B233" w14:textId="77777777" w:rsidR="00B161BD" w:rsidRPr="00FC473C" w:rsidRDefault="00000000">
      <w:pPr>
        <w:pStyle w:val="Heading2"/>
        <w:rPr>
          <w:rFonts w:ascii="Arial" w:hAnsi="Arial" w:cs="Arial"/>
        </w:rPr>
      </w:pPr>
      <w:bookmarkStart w:id="27" w:name="_bwmeedviyva0" w:colFirst="0" w:colLast="0"/>
      <w:bookmarkEnd w:id="27"/>
      <w:r w:rsidRPr="00FC473C">
        <w:rPr>
          <w:rFonts w:ascii="Arial" w:hAnsi="Arial" w:cs="Arial"/>
        </w:rPr>
        <w:t>4.2 Strategic Insights</w:t>
      </w:r>
    </w:p>
    <w:p w14:paraId="764B2AC3" w14:textId="77777777" w:rsidR="00B161BD" w:rsidRPr="00FC473C" w:rsidRDefault="00000000">
      <w:pPr>
        <w:rPr>
          <w:rFonts w:ascii="Arial" w:hAnsi="Arial" w:cs="Arial"/>
        </w:rPr>
      </w:pPr>
      <w:r w:rsidRPr="00FC473C">
        <w:rPr>
          <w:rFonts w:ascii="Arial" w:hAnsi="Arial" w:cs="Arial"/>
        </w:rPr>
        <w:t xml:space="preserve">The analysis attributes definite disparities between pioneering and follower </w:t>
      </w:r>
      <w:proofErr w:type="spellStart"/>
      <w:r w:rsidRPr="00FC473C">
        <w:rPr>
          <w:rFonts w:ascii="Arial" w:hAnsi="Arial" w:cs="Arial"/>
        </w:rPr>
        <w:t>organisations</w:t>
      </w:r>
      <w:proofErr w:type="spellEnd"/>
      <w:r w:rsidRPr="00FC473C">
        <w:rPr>
          <w:rFonts w:ascii="Arial" w:hAnsi="Arial" w:cs="Arial"/>
        </w:rPr>
        <w:t>. The three main ways through which Tesla manages to utilize its first-mover advantage are its constant innovation, its leading brand position and its technological lead (The Strategy Institute, 2025). By comparison, Ford has a transformation-based approach, where it is moving towards the use of internal combustion engines and the use of electric vehicles but using partnerships and other existing capabilities to stay relevant.</w:t>
      </w:r>
    </w:p>
    <w:p w14:paraId="3CB46BAF" w14:textId="77777777" w:rsidR="00B161BD" w:rsidRPr="00FC473C" w:rsidRDefault="00000000">
      <w:pPr>
        <w:pStyle w:val="Heading2"/>
        <w:rPr>
          <w:rFonts w:ascii="Arial" w:hAnsi="Arial" w:cs="Arial"/>
        </w:rPr>
      </w:pPr>
      <w:bookmarkStart w:id="28" w:name="_fee1ljpmy8g1" w:colFirst="0" w:colLast="0"/>
      <w:bookmarkEnd w:id="28"/>
      <w:r w:rsidRPr="00FC473C">
        <w:rPr>
          <w:rFonts w:ascii="Arial" w:hAnsi="Arial" w:cs="Arial"/>
        </w:rPr>
        <w:t>4.3 Final Evaluation</w:t>
      </w:r>
    </w:p>
    <w:p w14:paraId="7093E154" w14:textId="77777777" w:rsidR="00B161BD" w:rsidRPr="00FC473C" w:rsidRDefault="00000000">
      <w:pPr>
        <w:rPr>
          <w:rFonts w:ascii="Arial" w:hAnsi="Arial" w:cs="Arial"/>
        </w:rPr>
      </w:pPr>
      <w:r w:rsidRPr="00FC473C">
        <w:rPr>
          <w:rFonts w:ascii="Arial" w:hAnsi="Arial" w:cs="Arial"/>
        </w:rPr>
        <w:t xml:space="preserve">Altogether, the findings point to the fact that environmental scanning is a continuous activity that is important to strategic success. Firms that operate in the fluctuating industries must be fast, receptive and progressive. Contrary to the anticipations, the speed of adaptation to the external changes is bound to eventually affect the sustainability and competitiveness in the long run regarding the dynamic EV market. </w:t>
      </w:r>
    </w:p>
    <w:p w14:paraId="74383BAA" w14:textId="77777777" w:rsidR="00B161BD" w:rsidRPr="00FC473C" w:rsidRDefault="00B161BD">
      <w:pPr>
        <w:rPr>
          <w:rFonts w:ascii="Arial" w:hAnsi="Arial" w:cs="Arial"/>
        </w:rPr>
      </w:pPr>
    </w:p>
    <w:p w14:paraId="6430ACEA" w14:textId="77777777" w:rsidR="00B161BD" w:rsidRPr="00FC473C" w:rsidRDefault="00000000">
      <w:pPr>
        <w:pStyle w:val="Heading1"/>
        <w:rPr>
          <w:rFonts w:ascii="Arial" w:hAnsi="Arial" w:cs="Arial"/>
        </w:rPr>
      </w:pPr>
      <w:bookmarkStart w:id="29" w:name="_v9t2jhuhr6vo" w:colFirst="0" w:colLast="0"/>
      <w:bookmarkEnd w:id="29"/>
      <w:r w:rsidRPr="00FC473C">
        <w:rPr>
          <w:rFonts w:ascii="Arial" w:hAnsi="Arial" w:cs="Arial"/>
        </w:rPr>
        <w:lastRenderedPageBreak/>
        <w:t>5. References</w:t>
      </w:r>
    </w:p>
    <w:p w14:paraId="3A667023" w14:textId="77777777" w:rsidR="00B161BD" w:rsidRPr="00FC473C" w:rsidRDefault="00000000">
      <w:pPr>
        <w:spacing w:after="240"/>
        <w:rPr>
          <w:rFonts w:ascii="Arial" w:hAnsi="Arial" w:cs="Arial"/>
        </w:rPr>
      </w:pPr>
      <w:proofErr w:type="spellStart"/>
      <w:r w:rsidRPr="00FC473C">
        <w:rPr>
          <w:rFonts w:ascii="Arial" w:hAnsi="Arial" w:cs="Arial"/>
        </w:rPr>
        <w:t>Boudette</w:t>
      </w:r>
      <w:proofErr w:type="spellEnd"/>
      <w:r w:rsidRPr="00FC473C">
        <w:rPr>
          <w:rFonts w:ascii="Arial" w:hAnsi="Arial" w:cs="Arial"/>
        </w:rPr>
        <w:t xml:space="preserve">, N.E. (2026). </w:t>
      </w:r>
      <w:r w:rsidRPr="00FC473C">
        <w:rPr>
          <w:rFonts w:ascii="Arial" w:hAnsi="Arial" w:cs="Arial"/>
          <w:i/>
          <w:iCs/>
        </w:rPr>
        <w:t>Ford Says Electric Vehicle Losses Will Continue for 3 More Years</w:t>
      </w:r>
      <w:r w:rsidRPr="00FC473C">
        <w:rPr>
          <w:rFonts w:ascii="Arial" w:hAnsi="Arial" w:cs="Arial"/>
        </w:rPr>
        <w:t xml:space="preserve">. [online] Nytimes.com. Available at: </w:t>
      </w:r>
      <w:hyperlink r:id="rId17">
        <w:r w:rsidR="00B161BD" w:rsidRPr="00FC473C">
          <w:rPr>
            <w:rFonts w:ascii="Arial" w:hAnsi="Arial" w:cs="Arial"/>
            <w:color w:val="1155CC"/>
            <w:u w:val="single"/>
          </w:rPr>
          <w:t>https://www.nytimes.com/2026/02/10/business/ford-earnings-electric-vehicles.html</w:t>
        </w:r>
      </w:hyperlink>
      <w:r w:rsidRPr="00FC473C">
        <w:rPr>
          <w:rFonts w:ascii="Arial" w:hAnsi="Arial" w:cs="Arial"/>
        </w:rPr>
        <w:t xml:space="preserve">. </w:t>
      </w:r>
    </w:p>
    <w:p w14:paraId="06E8D479" w14:textId="77777777" w:rsidR="00B161BD" w:rsidRPr="00FC473C" w:rsidRDefault="00000000">
      <w:pPr>
        <w:spacing w:after="240"/>
        <w:rPr>
          <w:rFonts w:ascii="Arial" w:hAnsi="Arial" w:cs="Arial"/>
        </w:rPr>
      </w:pPr>
      <w:r w:rsidRPr="00FC473C">
        <w:rPr>
          <w:rFonts w:ascii="Arial" w:hAnsi="Arial" w:cs="Arial"/>
        </w:rPr>
        <w:t xml:space="preserve">Bracken, N. (2026). </w:t>
      </w:r>
      <w:r w:rsidRPr="00FC473C">
        <w:rPr>
          <w:rFonts w:ascii="Arial" w:hAnsi="Arial" w:cs="Arial"/>
          <w:i/>
          <w:iCs/>
        </w:rPr>
        <w:t>EV carmakers register $65 billion in write-offs globally</w:t>
      </w:r>
      <w:r w:rsidRPr="00FC473C">
        <w:rPr>
          <w:rFonts w:ascii="Arial" w:hAnsi="Arial" w:cs="Arial"/>
        </w:rPr>
        <w:t xml:space="preserve">. [online] Semafor.com. Available at: </w:t>
      </w:r>
      <w:hyperlink r:id="rId18">
        <w:r w:rsidR="00B161BD" w:rsidRPr="00FC473C">
          <w:rPr>
            <w:rFonts w:ascii="Arial" w:hAnsi="Arial" w:cs="Arial"/>
            <w:color w:val="1155CC"/>
            <w:u w:val="single"/>
          </w:rPr>
          <w:t>https://www.semafor.com/article/02/17/2026/ev-carmakers-register-65-billion-in-write-offs-globally</w:t>
        </w:r>
      </w:hyperlink>
      <w:r w:rsidRPr="00FC473C">
        <w:rPr>
          <w:rFonts w:ascii="Arial" w:hAnsi="Arial" w:cs="Arial"/>
        </w:rPr>
        <w:t xml:space="preserve"> </w:t>
      </w:r>
    </w:p>
    <w:p w14:paraId="2D2BCCB2" w14:textId="77777777" w:rsidR="00B161BD" w:rsidRPr="00FC473C" w:rsidRDefault="00000000">
      <w:pPr>
        <w:spacing w:after="240"/>
        <w:rPr>
          <w:rFonts w:ascii="Arial" w:hAnsi="Arial" w:cs="Arial"/>
        </w:rPr>
      </w:pPr>
      <w:r w:rsidRPr="00FC473C">
        <w:rPr>
          <w:rFonts w:ascii="Arial" w:hAnsi="Arial" w:cs="Arial"/>
        </w:rPr>
        <w:t xml:space="preserve">CIPD (2025). </w:t>
      </w:r>
      <w:r w:rsidRPr="00FC473C">
        <w:rPr>
          <w:rFonts w:ascii="Arial" w:hAnsi="Arial" w:cs="Arial"/>
          <w:i/>
          <w:iCs/>
        </w:rPr>
        <w:t>PESTLE Analysis</w:t>
      </w:r>
      <w:r w:rsidRPr="00FC473C">
        <w:rPr>
          <w:rFonts w:ascii="Arial" w:hAnsi="Arial" w:cs="Arial"/>
        </w:rPr>
        <w:t xml:space="preserve">. [online] CIPD. Available at: </w:t>
      </w:r>
      <w:hyperlink r:id="rId19">
        <w:r w:rsidR="00B161BD" w:rsidRPr="00FC473C">
          <w:rPr>
            <w:rFonts w:ascii="Arial" w:hAnsi="Arial" w:cs="Arial"/>
            <w:color w:val="1155CC"/>
            <w:u w:val="single"/>
          </w:rPr>
          <w:t>https://www.cipd.org/uk/knowledge/factsheets/pestle-analysis-factsheet/</w:t>
        </w:r>
      </w:hyperlink>
      <w:r w:rsidRPr="00FC473C">
        <w:rPr>
          <w:rFonts w:ascii="Arial" w:hAnsi="Arial" w:cs="Arial"/>
        </w:rPr>
        <w:t xml:space="preserve">. </w:t>
      </w:r>
    </w:p>
    <w:p w14:paraId="04589EFC" w14:textId="77777777" w:rsidR="00B161BD" w:rsidRPr="00FC473C" w:rsidRDefault="00000000">
      <w:pPr>
        <w:spacing w:after="240"/>
        <w:rPr>
          <w:rFonts w:ascii="Arial" w:hAnsi="Arial" w:cs="Arial"/>
        </w:rPr>
      </w:pPr>
      <w:r w:rsidRPr="00FC473C">
        <w:rPr>
          <w:rFonts w:ascii="Arial" w:hAnsi="Arial" w:cs="Arial"/>
        </w:rPr>
        <w:t xml:space="preserve">Collins, G. (2025). </w:t>
      </w:r>
      <w:r w:rsidRPr="00FC473C">
        <w:rPr>
          <w:rFonts w:ascii="Arial" w:hAnsi="Arial" w:cs="Arial"/>
          <w:i/>
          <w:iCs/>
        </w:rPr>
        <w:t>Ford Learns Tough EV Lessons from Tesla and China</w:t>
      </w:r>
      <w:r w:rsidRPr="00FC473C">
        <w:rPr>
          <w:rFonts w:ascii="Arial" w:hAnsi="Arial" w:cs="Arial"/>
        </w:rPr>
        <w:t xml:space="preserve">. [online] Manufacturingdigital.com. Available at: </w:t>
      </w:r>
      <w:hyperlink r:id="rId20">
        <w:r w:rsidR="00B161BD" w:rsidRPr="00FC473C">
          <w:rPr>
            <w:rFonts w:ascii="Arial" w:hAnsi="Arial" w:cs="Arial"/>
            <w:color w:val="1155CC"/>
            <w:u w:val="single"/>
          </w:rPr>
          <w:t>https://manufacturingdigital.com/news/fords-ev-manufacturing-shift-learns-from-tesla-and-china</w:t>
        </w:r>
      </w:hyperlink>
      <w:r w:rsidRPr="00FC473C">
        <w:rPr>
          <w:rFonts w:ascii="Arial" w:hAnsi="Arial" w:cs="Arial"/>
        </w:rPr>
        <w:t xml:space="preserve">. </w:t>
      </w:r>
    </w:p>
    <w:p w14:paraId="56D7E69D" w14:textId="77777777" w:rsidR="00B161BD" w:rsidRPr="00FC473C" w:rsidRDefault="00000000">
      <w:pPr>
        <w:spacing w:after="240"/>
        <w:rPr>
          <w:rFonts w:ascii="Arial" w:hAnsi="Arial" w:cs="Arial"/>
        </w:rPr>
      </w:pPr>
      <w:r w:rsidRPr="00FC473C">
        <w:rPr>
          <w:rFonts w:ascii="Arial" w:hAnsi="Arial" w:cs="Arial"/>
        </w:rPr>
        <w:t xml:space="preserve">Energycomment.de. (2026). </w:t>
      </w:r>
      <w:r w:rsidRPr="00FC473C">
        <w:rPr>
          <w:rFonts w:ascii="Arial" w:hAnsi="Arial" w:cs="Arial"/>
          <w:i/>
          <w:iCs/>
        </w:rPr>
        <w:t xml:space="preserve">Global Electric Car Sales 2025 and 2026 (Feb. 26 Update) – </w:t>
      </w:r>
      <w:proofErr w:type="spellStart"/>
      <w:r w:rsidRPr="00FC473C">
        <w:rPr>
          <w:rFonts w:ascii="Arial" w:hAnsi="Arial" w:cs="Arial"/>
          <w:i/>
          <w:iCs/>
        </w:rPr>
        <w:t>EnergyComment</w:t>
      </w:r>
      <w:proofErr w:type="spellEnd"/>
      <w:r w:rsidRPr="00FC473C">
        <w:rPr>
          <w:rFonts w:ascii="Arial" w:hAnsi="Arial" w:cs="Arial"/>
        </w:rPr>
        <w:t xml:space="preserve">. [online] Available at: </w:t>
      </w:r>
      <w:hyperlink r:id="rId21">
        <w:r w:rsidR="00B161BD" w:rsidRPr="00FC473C">
          <w:rPr>
            <w:rFonts w:ascii="Arial" w:hAnsi="Arial" w:cs="Arial"/>
            <w:color w:val="1155CC"/>
            <w:u w:val="single"/>
          </w:rPr>
          <w:t>https://www.energycomment.de/global-electric-car-sales-2025-and-2026-feb-26-update/</w:t>
        </w:r>
      </w:hyperlink>
      <w:r w:rsidRPr="00FC473C">
        <w:rPr>
          <w:rFonts w:ascii="Arial" w:hAnsi="Arial" w:cs="Arial"/>
        </w:rPr>
        <w:t xml:space="preserve">. </w:t>
      </w:r>
    </w:p>
    <w:p w14:paraId="33B6F04D" w14:textId="77777777" w:rsidR="00B161BD" w:rsidRPr="00FC473C" w:rsidRDefault="00000000">
      <w:pPr>
        <w:spacing w:after="240"/>
        <w:rPr>
          <w:rFonts w:ascii="Arial" w:hAnsi="Arial" w:cs="Arial"/>
        </w:rPr>
      </w:pPr>
      <w:r w:rsidRPr="00FC473C">
        <w:rPr>
          <w:rFonts w:ascii="Arial" w:hAnsi="Arial" w:cs="Arial"/>
        </w:rPr>
        <w:t xml:space="preserve">Ev.com. (2025). </w:t>
      </w:r>
      <w:r w:rsidRPr="00FC473C">
        <w:rPr>
          <w:rFonts w:ascii="Arial" w:hAnsi="Arial" w:cs="Arial"/>
          <w:i/>
          <w:iCs/>
        </w:rPr>
        <w:t xml:space="preserve">Ford Mustang Mach-E Drives 30% Surge </w:t>
      </w:r>
      <w:proofErr w:type="gramStart"/>
      <w:r w:rsidRPr="00FC473C">
        <w:rPr>
          <w:rFonts w:ascii="Arial" w:hAnsi="Arial" w:cs="Arial"/>
          <w:i/>
          <w:iCs/>
        </w:rPr>
        <w:t>In</w:t>
      </w:r>
      <w:proofErr w:type="gramEnd"/>
      <w:r w:rsidRPr="00FC473C">
        <w:rPr>
          <w:rFonts w:ascii="Arial" w:hAnsi="Arial" w:cs="Arial"/>
          <w:i/>
          <w:iCs/>
        </w:rPr>
        <w:t xml:space="preserve"> EV Sales During Q3 2025 | EV.com</w:t>
      </w:r>
      <w:r w:rsidRPr="00FC473C">
        <w:rPr>
          <w:rFonts w:ascii="Arial" w:hAnsi="Arial" w:cs="Arial"/>
        </w:rPr>
        <w:t xml:space="preserve">. [online] Available at: </w:t>
      </w:r>
      <w:hyperlink r:id="rId22">
        <w:r w:rsidR="00B161BD" w:rsidRPr="00FC473C">
          <w:rPr>
            <w:rFonts w:ascii="Arial" w:hAnsi="Arial" w:cs="Arial"/>
            <w:color w:val="1155CC"/>
            <w:u w:val="single"/>
          </w:rPr>
          <w:t>https://ev.com/news/ford-mustang-mach-e-drives-30-surge-in-ev-sales-during-q3-2025</w:t>
        </w:r>
      </w:hyperlink>
      <w:r w:rsidRPr="00FC473C">
        <w:rPr>
          <w:rFonts w:ascii="Arial" w:hAnsi="Arial" w:cs="Arial"/>
        </w:rPr>
        <w:t xml:space="preserve">. </w:t>
      </w:r>
    </w:p>
    <w:p w14:paraId="0C2D7698" w14:textId="77777777" w:rsidR="00B161BD" w:rsidRPr="00FC473C" w:rsidRDefault="00000000">
      <w:pPr>
        <w:spacing w:after="240"/>
        <w:rPr>
          <w:rFonts w:ascii="Arial" w:hAnsi="Arial" w:cs="Arial"/>
        </w:rPr>
      </w:pPr>
      <w:proofErr w:type="spellStart"/>
      <w:r w:rsidRPr="00FC473C">
        <w:rPr>
          <w:rFonts w:ascii="Arial" w:hAnsi="Arial" w:cs="Arial"/>
        </w:rPr>
        <w:t>Finbox</w:t>
      </w:r>
      <w:proofErr w:type="spellEnd"/>
      <w:r w:rsidRPr="00FC473C">
        <w:rPr>
          <w:rFonts w:ascii="Arial" w:hAnsi="Arial" w:cs="Arial"/>
        </w:rPr>
        <w:t xml:space="preserve"> (2025). </w:t>
      </w:r>
      <w:r w:rsidRPr="00FC473C">
        <w:rPr>
          <w:rFonts w:ascii="Arial" w:hAnsi="Arial" w:cs="Arial"/>
          <w:i/>
          <w:iCs/>
        </w:rPr>
        <w:t xml:space="preserve">The Complete Toolbox </w:t>
      </w:r>
      <w:proofErr w:type="gramStart"/>
      <w:r w:rsidRPr="00FC473C">
        <w:rPr>
          <w:rFonts w:ascii="Arial" w:hAnsi="Arial" w:cs="Arial"/>
          <w:i/>
          <w:iCs/>
        </w:rPr>
        <w:t>For</w:t>
      </w:r>
      <w:proofErr w:type="gramEnd"/>
      <w:r w:rsidRPr="00FC473C">
        <w:rPr>
          <w:rFonts w:ascii="Arial" w:hAnsi="Arial" w:cs="Arial"/>
          <w:i/>
          <w:iCs/>
        </w:rPr>
        <w:t xml:space="preserve"> Investors | finbox.com</w:t>
      </w:r>
      <w:r w:rsidRPr="00FC473C">
        <w:rPr>
          <w:rFonts w:ascii="Arial" w:hAnsi="Arial" w:cs="Arial"/>
        </w:rPr>
        <w:t xml:space="preserve">. [online] Finbox.com. Available at: </w:t>
      </w:r>
      <w:hyperlink r:id="rId23">
        <w:r w:rsidR="00B161BD" w:rsidRPr="00FC473C">
          <w:rPr>
            <w:rFonts w:ascii="Arial" w:hAnsi="Arial" w:cs="Arial"/>
            <w:color w:val="1155CC"/>
            <w:u w:val="single"/>
          </w:rPr>
          <w:t>https://finbox.com/NASDAQGS:TSLA/explorer/rd_exp/</w:t>
        </w:r>
      </w:hyperlink>
      <w:r w:rsidRPr="00FC473C">
        <w:rPr>
          <w:rFonts w:ascii="Arial" w:hAnsi="Arial" w:cs="Arial"/>
        </w:rPr>
        <w:t xml:space="preserve">. </w:t>
      </w:r>
    </w:p>
    <w:p w14:paraId="472B56AC" w14:textId="77777777" w:rsidR="00B161BD" w:rsidRPr="00FC473C" w:rsidRDefault="00000000">
      <w:pPr>
        <w:spacing w:after="240"/>
        <w:rPr>
          <w:rFonts w:ascii="Arial" w:hAnsi="Arial" w:cs="Arial"/>
        </w:rPr>
      </w:pPr>
      <w:r w:rsidRPr="00FC473C">
        <w:rPr>
          <w:rFonts w:ascii="Arial" w:hAnsi="Arial" w:cs="Arial"/>
        </w:rPr>
        <w:t xml:space="preserve">Fischer, J. (2025). </w:t>
      </w:r>
      <w:r w:rsidRPr="00FC473C">
        <w:rPr>
          <w:rFonts w:ascii="Arial" w:hAnsi="Arial" w:cs="Arial"/>
          <w:i/>
          <w:iCs/>
        </w:rPr>
        <w:t>Electric Vehicle Sales and Market Share (US - Updated Monthly)</w:t>
      </w:r>
      <w:r w:rsidRPr="00FC473C">
        <w:rPr>
          <w:rFonts w:ascii="Arial" w:hAnsi="Arial" w:cs="Arial"/>
        </w:rPr>
        <w:t xml:space="preserve">. [online] </w:t>
      </w:r>
      <w:proofErr w:type="spellStart"/>
      <w:r w:rsidRPr="00FC473C">
        <w:rPr>
          <w:rFonts w:ascii="Arial" w:hAnsi="Arial" w:cs="Arial"/>
        </w:rPr>
        <w:t>CarEdge</w:t>
      </w:r>
      <w:proofErr w:type="spellEnd"/>
      <w:r w:rsidRPr="00FC473C">
        <w:rPr>
          <w:rFonts w:ascii="Arial" w:hAnsi="Arial" w:cs="Arial"/>
        </w:rPr>
        <w:t xml:space="preserve">. Available at: </w:t>
      </w:r>
      <w:hyperlink r:id="rId24">
        <w:r w:rsidR="00B161BD" w:rsidRPr="00FC473C">
          <w:rPr>
            <w:rFonts w:ascii="Arial" w:hAnsi="Arial" w:cs="Arial"/>
            <w:color w:val="1155CC"/>
            <w:u w:val="single"/>
          </w:rPr>
          <w:t>https://caredge.com/guides/electric-vehicle-market-share-and-sales</w:t>
        </w:r>
      </w:hyperlink>
      <w:r w:rsidRPr="00FC473C">
        <w:rPr>
          <w:rFonts w:ascii="Arial" w:hAnsi="Arial" w:cs="Arial"/>
        </w:rPr>
        <w:t xml:space="preserve">. </w:t>
      </w:r>
    </w:p>
    <w:p w14:paraId="64A8D9D3" w14:textId="77777777" w:rsidR="00B161BD" w:rsidRPr="00FC473C" w:rsidRDefault="00000000">
      <w:pPr>
        <w:spacing w:after="240"/>
        <w:rPr>
          <w:rFonts w:ascii="Arial" w:hAnsi="Arial" w:cs="Arial"/>
        </w:rPr>
      </w:pPr>
      <w:r w:rsidRPr="00FC473C">
        <w:rPr>
          <w:rFonts w:ascii="Arial" w:hAnsi="Arial" w:cs="Arial"/>
        </w:rPr>
        <w:t xml:space="preserve">Ford (2026). </w:t>
      </w:r>
      <w:r w:rsidRPr="00FC473C">
        <w:rPr>
          <w:rFonts w:ascii="Arial" w:hAnsi="Arial" w:cs="Arial"/>
          <w:i/>
          <w:iCs/>
        </w:rPr>
        <w:t>Ford Releases New Battery Capacity Plan, Raw Materials Details to Scale EVs; On Track to Ramp to 600K Run Rate by ’23 and 2M+ by ’26, Leveraging Global Relationships | Ford of Europe | Ford Media Center</w:t>
      </w:r>
      <w:r w:rsidRPr="00FC473C">
        <w:rPr>
          <w:rFonts w:ascii="Arial" w:hAnsi="Arial" w:cs="Arial"/>
        </w:rPr>
        <w:t xml:space="preserve">. [online] media.ford.com. Available </w:t>
      </w:r>
      <w:r w:rsidRPr="00FC473C">
        <w:rPr>
          <w:rFonts w:ascii="Arial" w:hAnsi="Arial" w:cs="Arial"/>
        </w:rPr>
        <w:lastRenderedPageBreak/>
        <w:t xml:space="preserve">at: </w:t>
      </w:r>
      <w:hyperlink r:id="rId25">
        <w:r w:rsidR="00B161BD" w:rsidRPr="00FC473C">
          <w:rPr>
            <w:rFonts w:ascii="Arial" w:hAnsi="Arial" w:cs="Arial"/>
            <w:color w:val="1155CC"/>
            <w:u w:val="single"/>
          </w:rPr>
          <w:t>https://media.ford.com/content/fordmedia/feu/en/news/2022/07/21/Ford-Releases-New-Battery-Capacity-Plan.html</w:t>
        </w:r>
      </w:hyperlink>
      <w:r w:rsidRPr="00FC473C">
        <w:rPr>
          <w:rFonts w:ascii="Arial" w:hAnsi="Arial" w:cs="Arial"/>
        </w:rPr>
        <w:t xml:space="preserve">. </w:t>
      </w:r>
    </w:p>
    <w:p w14:paraId="3CB96F96" w14:textId="77777777" w:rsidR="00B161BD" w:rsidRPr="00FC473C" w:rsidRDefault="00000000">
      <w:pPr>
        <w:spacing w:after="240"/>
        <w:rPr>
          <w:rFonts w:ascii="Arial" w:hAnsi="Arial" w:cs="Arial"/>
        </w:rPr>
      </w:pPr>
      <w:r w:rsidRPr="00FC473C">
        <w:rPr>
          <w:rFonts w:ascii="Arial" w:hAnsi="Arial" w:cs="Arial"/>
        </w:rPr>
        <w:t xml:space="preserve">Gini, K.B. and Agala, H.O. (2023). The Impact of Macro-Environmental Factors on Business Performance. </w:t>
      </w:r>
      <w:r w:rsidRPr="00FC473C">
        <w:rPr>
          <w:rFonts w:ascii="Arial" w:hAnsi="Arial" w:cs="Arial"/>
          <w:i/>
          <w:iCs/>
        </w:rPr>
        <w:t>International journal of research and innovation in social science</w:t>
      </w:r>
      <w:r w:rsidRPr="00FC473C">
        <w:rPr>
          <w:rFonts w:ascii="Arial" w:hAnsi="Arial" w:cs="Arial"/>
        </w:rPr>
        <w:t xml:space="preserve">, 7(11), pp.1837–1843. </w:t>
      </w:r>
      <w:proofErr w:type="spellStart"/>
      <w:r w:rsidRPr="00FC473C">
        <w:rPr>
          <w:rFonts w:ascii="Arial" w:hAnsi="Arial" w:cs="Arial"/>
        </w:rPr>
        <w:t>doi:</w:t>
      </w:r>
      <w:hyperlink r:id="rId26">
        <w:r w:rsidR="00B161BD" w:rsidRPr="00FC473C">
          <w:rPr>
            <w:rFonts w:ascii="Arial" w:hAnsi="Arial" w:cs="Arial"/>
            <w:color w:val="1155CC"/>
            <w:u w:val="single"/>
          </w:rPr>
          <w:t>https</w:t>
        </w:r>
        <w:proofErr w:type="spellEnd"/>
        <w:r w:rsidR="00B161BD" w:rsidRPr="00FC473C">
          <w:rPr>
            <w:rFonts w:ascii="Arial" w:hAnsi="Arial" w:cs="Arial"/>
            <w:color w:val="1155CC"/>
            <w:u w:val="single"/>
          </w:rPr>
          <w:t>://doi.org/10.47772/ijriss.2023.7011145</w:t>
        </w:r>
      </w:hyperlink>
      <w:r w:rsidRPr="00FC473C">
        <w:rPr>
          <w:rFonts w:ascii="Arial" w:hAnsi="Arial" w:cs="Arial"/>
        </w:rPr>
        <w:t xml:space="preserve">. </w:t>
      </w:r>
    </w:p>
    <w:p w14:paraId="30FA919A" w14:textId="77777777" w:rsidR="00B161BD" w:rsidRPr="00FC473C" w:rsidRDefault="00000000">
      <w:pPr>
        <w:spacing w:after="240"/>
        <w:rPr>
          <w:rFonts w:ascii="Arial" w:hAnsi="Arial" w:cs="Arial"/>
        </w:rPr>
      </w:pPr>
      <w:proofErr w:type="spellStart"/>
      <w:r w:rsidRPr="00FC473C">
        <w:rPr>
          <w:rFonts w:ascii="Arial" w:hAnsi="Arial" w:cs="Arial"/>
        </w:rPr>
        <w:t>Gows</w:t>
      </w:r>
      <w:proofErr w:type="spellEnd"/>
      <w:r w:rsidRPr="00FC473C">
        <w:rPr>
          <w:rFonts w:ascii="Arial" w:hAnsi="Arial" w:cs="Arial"/>
        </w:rPr>
        <w:t xml:space="preserve">, G. (2025). </w:t>
      </w:r>
      <w:r w:rsidRPr="00FC473C">
        <w:rPr>
          <w:rFonts w:ascii="Arial" w:hAnsi="Arial" w:cs="Arial"/>
          <w:i/>
          <w:iCs/>
        </w:rPr>
        <w:t>The Hour Markers: India’s Top Media Hub for Luxury Watches</w:t>
      </w:r>
      <w:r w:rsidRPr="00FC473C">
        <w:rPr>
          <w:rFonts w:ascii="Arial" w:hAnsi="Arial" w:cs="Arial"/>
        </w:rPr>
        <w:t xml:space="preserve">. [online] Thehourmarkers.com. Available at: </w:t>
      </w:r>
      <w:hyperlink r:id="rId27">
        <w:r w:rsidR="00B161BD" w:rsidRPr="00FC473C">
          <w:rPr>
            <w:rFonts w:ascii="Arial" w:hAnsi="Arial" w:cs="Arial"/>
            <w:color w:val="1155CC"/>
            <w:u w:val="single"/>
          </w:rPr>
          <w:t>https://thehourmarkers.com/articles/of-energy-transition-tesla-and-watchmakings-environmental-impact</w:t>
        </w:r>
      </w:hyperlink>
      <w:r w:rsidRPr="00FC473C">
        <w:rPr>
          <w:rFonts w:ascii="Arial" w:hAnsi="Arial" w:cs="Arial"/>
        </w:rPr>
        <w:t xml:space="preserve">. </w:t>
      </w:r>
    </w:p>
    <w:p w14:paraId="17B09F0F" w14:textId="77777777" w:rsidR="00B161BD" w:rsidRPr="00FC473C" w:rsidRDefault="00000000">
      <w:pPr>
        <w:spacing w:after="240"/>
        <w:rPr>
          <w:rFonts w:ascii="Arial" w:hAnsi="Arial" w:cs="Arial"/>
        </w:rPr>
      </w:pPr>
      <w:r w:rsidRPr="00FC473C">
        <w:rPr>
          <w:rFonts w:ascii="Arial" w:hAnsi="Arial" w:cs="Arial"/>
        </w:rPr>
        <w:t xml:space="preserve">Iata.org. (2025). </w:t>
      </w:r>
      <w:r w:rsidRPr="00FC473C">
        <w:rPr>
          <w:rFonts w:ascii="Arial" w:hAnsi="Arial" w:cs="Arial"/>
          <w:i/>
          <w:iCs/>
        </w:rPr>
        <w:t>Welcome To Zscaler Directory Authentication</w:t>
      </w:r>
      <w:r w:rsidRPr="00FC473C">
        <w:rPr>
          <w:rFonts w:ascii="Arial" w:hAnsi="Arial" w:cs="Arial"/>
        </w:rPr>
        <w:t xml:space="preserve">. [online] Available at: </w:t>
      </w:r>
      <w:hyperlink r:id="rId28">
        <w:r w:rsidR="00B161BD" w:rsidRPr="00FC473C">
          <w:rPr>
            <w:rFonts w:ascii="Arial" w:hAnsi="Arial" w:cs="Arial"/>
            <w:color w:val="1155CC"/>
            <w:u w:val="single"/>
          </w:rPr>
          <w:t>https://www.iata.org/en/iata-repository/publications/economic-reports/global-outlook-for-air-transport-june-2025/</w:t>
        </w:r>
      </w:hyperlink>
      <w:r w:rsidRPr="00FC473C">
        <w:rPr>
          <w:rFonts w:ascii="Arial" w:hAnsi="Arial" w:cs="Arial"/>
        </w:rPr>
        <w:t xml:space="preserve">. </w:t>
      </w:r>
    </w:p>
    <w:p w14:paraId="6DD2BB51" w14:textId="77777777" w:rsidR="00B161BD" w:rsidRPr="00FC473C" w:rsidRDefault="00000000">
      <w:pPr>
        <w:spacing w:after="240"/>
        <w:rPr>
          <w:rFonts w:ascii="Arial" w:hAnsi="Arial" w:cs="Arial"/>
        </w:rPr>
      </w:pPr>
      <w:r w:rsidRPr="00FC473C">
        <w:rPr>
          <w:rFonts w:ascii="Arial" w:hAnsi="Arial" w:cs="Arial"/>
        </w:rPr>
        <w:t xml:space="preserve">Lesjak, Z. (2026). </w:t>
      </w:r>
      <w:r w:rsidRPr="00FC473C">
        <w:rPr>
          <w:rFonts w:ascii="Arial" w:hAnsi="Arial" w:cs="Arial"/>
          <w:i/>
          <w:iCs/>
        </w:rPr>
        <w:t>Tesla Sales Statistics in 2025 Production, Revenue and Superchargers</w:t>
      </w:r>
      <w:r w:rsidRPr="00FC473C">
        <w:rPr>
          <w:rFonts w:ascii="Arial" w:hAnsi="Arial" w:cs="Arial"/>
        </w:rPr>
        <w:t xml:space="preserve">. [online] </w:t>
      </w:r>
      <w:proofErr w:type="spellStart"/>
      <w:r w:rsidRPr="00FC473C">
        <w:rPr>
          <w:rFonts w:ascii="Arial" w:hAnsi="Arial" w:cs="Arial"/>
        </w:rPr>
        <w:t>Tridens</w:t>
      </w:r>
      <w:proofErr w:type="spellEnd"/>
      <w:r w:rsidRPr="00FC473C">
        <w:rPr>
          <w:rFonts w:ascii="Arial" w:hAnsi="Arial" w:cs="Arial"/>
        </w:rPr>
        <w:t xml:space="preserve">. Available at: </w:t>
      </w:r>
      <w:hyperlink r:id="rId29">
        <w:r w:rsidR="00B161BD" w:rsidRPr="00FC473C">
          <w:rPr>
            <w:rFonts w:ascii="Arial" w:hAnsi="Arial" w:cs="Arial"/>
            <w:color w:val="1155CC"/>
            <w:u w:val="single"/>
          </w:rPr>
          <w:t>https://tridenstechnology.com/tesla-sales-statistics/</w:t>
        </w:r>
      </w:hyperlink>
      <w:r w:rsidRPr="00FC473C">
        <w:rPr>
          <w:rFonts w:ascii="Arial" w:hAnsi="Arial" w:cs="Arial"/>
        </w:rPr>
        <w:t xml:space="preserve">. </w:t>
      </w:r>
    </w:p>
    <w:p w14:paraId="48690D75" w14:textId="77777777" w:rsidR="00B161BD" w:rsidRPr="00FC473C" w:rsidRDefault="00000000">
      <w:pPr>
        <w:spacing w:after="240"/>
        <w:rPr>
          <w:rFonts w:ascii="Arial" w:hAnsi="Arial" w:cs="Arial"/>
        </w:rPr>
      </w:pPr>
      <w:r w:rsidRPr="00FC473C">
        <w:rPr>
          <w:rFonts w:ascii="Arial" w:hAnsi="Arial" w:cs="Arial"/>
        </w:rPr>
        <w:t xml:space="preserve">Liu, C.C., Boothman, S.G. and Graham, J.D. (2025). The Rise and Recent Decline of Tesla’s Share of the U.S. Electric Vehicle Market. </w:t>
      </w:r>
      <w:r w:rsidRPr="00FC473C">
        <w:rPr>
          <w:rFonts w:ascii="Arial" w:hAnsi="Arial" w:cs="Arial"/>
          <w:i/>
          <w:iCs/>
        </w:rPr>
        <w:t>World Electric Vehicle Journal</w:t>
      </w:r>
      <w:r w:rsidRPr="00FC473C">
        <w:rPr>
          <w:rFonts w:ascii="Arial" w:hAnsi="Arial" w:cs="Arial"/>
        </w:rPr>
        <w:t xml:space="preserve">, [online] 16(2), pp.90–90. </w:t>
      </w:r>
      <w:proofErr w:type="spellStart"/>
      <w:r w:rsidRPr="00FC473C">
        <w:rPr>
          <w:rFonts w:ascii="Arial" w:hAnsi="Arial" w:cs="Arial"/>
        </w:rPr>
        <w:t>doi:</w:t>
      </w:r>
      <w:hyperlink r:id="rId30">
        <w:r w:rsidR="00B161BD" w:rsidRPr="00FC473C">
          <w:rPr>
            <w:rFonts w:ascii="Arial" w:hAnsi="Arial" w:cs="Arial"/>
            <w:color w:val="1155CC"/>
            <w:u w:val="single"/>
          </w:rPr>
          <w:t>https</w:t>
        </w:r>
        <w:proofErr w:type="spellEnd"/>
        <w:r w:rsidR="00B161BD" w:rsidRPr="00FC473C">
          <w:rPr>
            <w:rFonts w:ascii="Arial" w:hAnsi="Arial" w:cs="Arial"/>
            <w:color w:val="1155CC"/>
            <w:u w:val="single"/>
          </w:rPr>
          <w:t>://doi.org/10.3390/wevj16020090</w:t>
        </w:r>
      </w:hyperlink>
      <w:r w:rsidRPr="00FC473C">
        <w:rPr>
          <w:rFonts w:ascii="Arial" w:hAnsi="Arial" w:cs="Arial"/>
        </w:rPr>
        <w:t xml:space="preserve">. </w:t>
      </w:r>
    </w:p>
    <w:p w14:paraId="0136253D" w14:textId="77777777" w:rsidR="00B161BD" w:rsidRPr="00FC473C" w:rsidRDefault="00000000">
      <w:pPr>
        <w:spacing w:after="240"/>
        <w:rPr>
          <w:rFonts w:ascii="Arial" w:hAnsi="Arial" w:cs="Arial"/>
        </w:rPr>
      </w:pPr>
      <w:r w:rsidRPr="00FC473C">
        <w:rPr>
          <w:rFonts w:ascii="Arial" w:hAnsi="Arial" w:cs="Arial"/>
        </w:rPr>
        <w:t xml:space="preserve">Martinez, M. (2025). </w:t>
      </w:r>
      <w:r w:rsidRPr="00FC473C">
        <w:rPr>
          <w:rFonts w:ascii="Arial" w:hAnsi="Arial" w:cs="Arial"/>
          <w:i/>
          <w:iCs/>
        </w:rPr>
        <w:t xml:space="preserve">Ford brand focuses on smaller EVs, popular </w:t>
      </w:r>
      <w:proofErr w:type="spellStart"/>
      <w:r w:rsidRPr="00FC473C">
        <w:rPr>
          <w:rFonts w:ascii="Arial" w:hAnsi="Arial" w:cs="Arial"/>
          <w:i/>
          <w:iCs/>
        </w:rPr>
        <w:t>subbrands</w:t>
      </w:r>
      <w:proofErr w:type="spellEnd"/>
      <w:r w:rsidRPr="00FC473C">
        <w:rPr>
          <w:rFonts w:ascii="Arial" w:hAnsi="Arial" w:cs="Arial"/>
        </w:rPr>
        <w:t xml:space="preserve">. [online] Autonews.com. Available at: </w:t>
      </w:r>
      <w:hyperlink r:id="rId31">
        <w:r w:rsidR="00B161BD" w:rsidRPr="00FC473C">
          <w:rPr>
            <w:rFonts w:ascii="Arial" w:hAnsi="Arial" w:cs="Arial"/>
            <w:color w:val="1155CC"/>
            <w:u w:val="single"/>
          </w:rPr>
          <w:t>https://www.autonews.com/car-concepts/future-product/an-ford-future-product-0824/</w:t>
        </w:r>
      </w:hyperlink>
      <w:r w:rsidRPr="00FC473C">
        <w:rPr>
          <w:rFonts w:ascii="Arial" w:hAnsi="Arial" w:cs="Arial"/>
        </w:rPr>
        <w:t xml:space="preserve">. </w:t>
      </w:r>
    </w:p>
    <w:p w14:paraId="153F3F93" w14:textId="77777777" w:rsidR="00B161BD" w:rsidRPr="00FC473C" w:rsidRDefault="00000000">
      <w:pPr>
        <w:spacing w:after="240"/>
        <w:rPr>
          <w:rFonts w:ascii="Arial" w:hAnsi="Arial" w:cs="Arial"/>
        </w:rPr>
      </w:pPr>
      <w:r w:rsidRPr="00FC473C">
        <w:rPr>
          <w:rFonts w:ascii="Arial" w:hAnsi="Arial" w:cs="Arial"/>
        </w:rPr>
        <w:t xml:space="preserve">Neufeld, D. (2025). </w:t>
      </w:r>
      <w:r w:rsidRPr="00FC473C">
        <w:rPr>
          <w:rFonts w:ascii="Arial" w:hAnsi="Arial" w:cs="Arial"/>
          <w:i/>
          <w:iCs/>
        </w:rPr>
        <w:t>The World’s Top EV Makers by Market Share</w:t>
      </w:r>
      <w:r w:rsidRPr="00FC473C">
        <w:rPr>
          <w:rFonts w:ascii="Arial" w:hAnsi="Arial" w:cs="Arial"/>
        </w:rPr>
        <w:t xml:space="preserve">. [online] Visual Capitalist. Available at: </w:t>
      </w:r>
      <w:hyperlink r:id="rId32">
        <w:r w:rsidR="00B161BD" w:rsidRPr="00FC473C">
          <w:rPr>
            <w:rFonts w:ascii="Arial" w:hAnsi="Arial" w:cs="Arial"/>
            <w:color w:val="1155CC"/>
            <w:u w:val="single"/>
          </w:rPr>
          <w:t>https://www.visualcapitalist.com/the-worlds-top-ev-makers-by-market-share/</w:t>
        </w:r>
      </w:hyperlink>
      <w:r w:rsidRPr="00FC473C">
        <w:rPr>
          <w:rFonts w:ascii="Arial" w:hAnsi="Arial" w:cs="Arial"/>
        </w:rPr>
        <w:t xml:space="preserve">. </w:t>
      </w:r>
    </w:p>
    <w:p w14:paraId="3676968A" w14:textId="77777777" w:rsidR="00B161BD" w:rsidRPr="00FC473C" w:rsidRDefault="00000000">
      <w:pPr>
        <w:spacing w:after="240"/>
        <w:rPr>
          <w:rFonts w:ascii="Arial" w:hAnsi="Arial" w:cs="Arial"/>
        </w:rPr>
      </w:pPr>
      <w:proofErr w:type="spellStart"/>
      <w:r w:rsidRPr="00FC473C">
        <w:rPr>
          <w:rFonts w:ascii="Arial" w:hAnsi="Arial" w:cs="Arial"/>
        </w:rPr>
        <w:t>Palmié</w:t>
      </w:r>
      <w:proofErr w:type="spellEnd"/>
      <w:r w:rsidRPr="00FC473C">
        <w:rPr>
          <w:rFonts w:ascii="Arial" w:hAnsi="Arial" w:cs="Arial"/>
        </w:rPr>
        <w:t xml:space="preserve">, M., </w:t>
      </w:r>
      <w:proofErr w:type="spellStart"/>
      <w:r w:rsidRPr="00FC473C">
        <w:rPr>
          <w:rFonts w:ascii="Arial" w:hAnsi="Arial" w:cs="Arial"/>
        </w:rPr>
        <w:t>Miehé</w:t>
      </w:r>
      <w:proofErr w:type="spellEnd"/>
      <w:r w:rsidRPr="00FC473C">
        <w:rPr>
          <w:rFonts w:ascii="Arial" w:hAnsi="Arial" w:cs="Arial"/>
        </w:rPr>
        <w:t>, L., Mair, J. and Wincent, J. (2024). Valuation entrepreneurship through product</w:t>
      </w:r>
      <w:r w:rsidRPr="00FC473C">
        <w:rPr>
          <w:rFonts w:ascii="Cambria Math" w:hAnsi="Cambria Math" w:cs="Cambria Math"/>
        </w:rPr>
        <w:t>‐</w:t>
      </w:r>
      <w:r w:rsidRPr="00FC473C">
        <w:rPr>
          <w:rFonts w:ascii="Arial" w:hAnsi="Arial" w:cs="Arial"/>
        </w:rPr>
        <w:t>design and blame</w:t>
      </w:r>
      <w:r w:rsidRPr="00FC473C">
        <w:rPr>
          <w:rFonts w:ascii="Cambria Math" w:hAnsi="Cambria Math" w:cs="Cambria Math"/>
        </w:rPr>
        <w:t>‐</w:t>
      </w:r>
      <w:r w:rsidRPr="00FC473C">
        <w:rPr>
          <w:rFonts w:ascii="Arial" w:hAnsi="Arial" w:cs="Arial"/>
        </w:rPr>
        <w:t xml:space="preserve">avoidance strategies: How Tesla managed to change the </w:t>
      </w:r>
      <w:r w:rsidRPr="00FC473C">
        <w:rPr>
          <w:rFonts w:ascii="Arial" w:hAnsi="Arial" w:cs="Arial"/>
        </w:rPr>
        <w:lastRenderedPageBreak/>
        <w:t xml:space="preserve">public perception of sustainable innovations. </w:t>
      </w:r>
      <w:r w:rsidRPr="00FC473C">
        <w:rPr>
          <w:rFonts w:ascii="Arial" w:hAnsi="Arial" w:cs="Arial"/>
          <w:i/>
          <w:iCs/>
        </w:rPr>
        <w:t>The Journal of Product Innovation Management</w:t>
      </w:r>
      <w:r w:rsidRPr="00FC473C">
        <w:rPr>
          <w:rFonts w:ascii="Arial" w:hAnsi="Arial" w:cs="Arial"/>
        </w:rPr>
        <w:t xml:space="preserve">, 41(3), pp.644–676. </w:t>
      </w:r>
      <w:proofErr w:type="spellStart"/>
      <w:r w:rsidRPr="00FC473C">
        <w:rPr>
          <w:rFonts w:ascii="Arial" w:hAnsi="Arial" w:cs="Arial"/>
        </w:rPr>
        <w:t>doi:</w:t>
      </w:r>
      <w:hyperlink r:id="rId33">
        <w:r w:rsidR="00B161BD" w:rsidRPr="00FC473C">
          <w:rPr>
            <w:rFonts w:ascii="Arial" w:hAnsi="Arial" w:cs="Arial"/>
            <w:color w:val="1155CC"/>
            <w:u w:val="single"/>
          </w:rPr>
          <w:t>https</w:t>
        </w:r>
        <w:proofErr w:type="spellEnd"/>
        <w:r w:rsidR="00B161BD" w:rsidRPr="00FC473C">
          <w:rPr>
            <w:rFonts w:ascii="Arial" w:hAnsi="Arial" w:cs="Arial"/>
            <w:color w:val="1155CC"/>
            <w:u w:val="single"/>
          </w:rPr>
          <w:t>://doi.org/10.1111/jpim.12732</w:t>
        </w:r>
      </w:hyperlink>
      <w:r w:rsidRPr="00FC473C">
        <w:rPr>
          <w:rFonts w:ascii="Arial" w:hAnsi="Arial" w:cs="Arial"/>
        </w:rPr>
        <w:t xml:space="preserve">. </w:t>
      </w:r>
    </w:p>
    <w:p w14:paraId="7E79EA95" w14:textId="77777777" w:rsidR="00B161BD" w:rsidRPr="00FC473C" w:rsidRDefault="00000000">
      <w:pPr>
        <w:spacing w:after="240"/>
        <w:rPr>
          <w:rFonts w:ascii="Arial" w:hAnsi="Arial" w:cs="Arial"/>
        </w:rPr>
      </w:pPr>
      <w:r w:rsidRPr="00FC473C">
        <w:rPr>
          <w:rFonts w:ascii="Arial" w:hAnsi="Arial" w:cs="Arial"/>
        </w:rPr>
        <w:t xml:space="preserve">Parodi, A. (2026). Global EV sales fall again in February. </w:t>
      </w:r>
      <w:r w:rsidRPr="00FC473C">
        <w:rPr>
          <w:rFonts w:ascii="Arial" w:hAnsi="Arial" w:cs="Arial"/>
          <w:i/>
          <w:iCs/>
        </w:rPr>
        <w:t>Reuters</w:t>
      </w:r>
      <w:r w:rsidRPr="00FC473C">
        <w:rPr>
          <w:rFonts w:ascii="Arial" w:hAnsi="Arial" w:cs="Arial"/>
        </w:rPr>
        <w:t xml:space="preserve">. [online] 13 Mar. Available at: </w:t>
      </w:r>
      <w:hyperlink r:id="rId34">
        <w:r w:rsidR="00B161BD" w:rsidRPr="00FC473C">
          <w:rPr>
            <w:rFonts w:ascii="Arial" w:hAnsi="Arial" w:cs="Arial"/>
            <w:color w:val="1155CC"/>
            <w:u w:val="single"/>
          </w:rPr>
          <w:t>https://www.reuters.com/sustainability/climate-energy/global-ev-sales-fall-again-february-2026-03-13/</w:t>
        </w:r>
      </w:hyperlink>
      <w:r w:rsidRPr="00FC473C">
        <w:rPr>
          <w:rFonts w:ascii="Arial" w:hAnsi="Arial" w:cs="Arial"/>
        </w:rPr>
        <w:t xml:space="preserve">. </w:t>
      </w:r>
    </w:p>
    <w:p w14:paraId="2629525D" w14:textId="77777777" w:rsidR="00B161BD" w:rsidRPr="00FC473C" w:rsidRDefault="00000000">
      <w:pPr>
        <w:spacing w:after="240"/>
        <w:rPr>
          <w:rFonts w:ascii="Arial" w:hAnsi="Arial" w:cs="Arial"/>
        </w:rPr>
      </w:pPr>
      <w:r w:rsidRPr="00FC473C">
        <w:rPr>
          <w:rFonts w:ascii="Arial" w:hAnsi="Arial" w:cs="Arial"/>
        </w:rPr>
        <w:t xml:space="preserve">Precedence Research (2025). </w:t>
      </w:r>
      <w:r w:rsidRPr="00FC473C">
        <w:rPr>
          <w:rFonts w:ascii="Arial" w:hAnsi="Arial" w:cs="Arial"/>
          <w:i/>
          <w:iCs/>
        </w:rPr>
        <w:t>Electric Vehicle Market Size, Trends, Growth, Report 2022-2030</w:t>
      </w:r>
      <w:r w:rsidRPr="00FC473C">
        <w:rPr>
          <w:rFonts w:ascii="Arial" w:hAnsi="Arial" w:cs="Arial"/>
        </w:rPr>
        <w:t xml:space="preserve">. [online] www.precedenceresearch.com. Available at: </w:t>
      </w:r>
      <w:hyperlink r:id="rId35">
        <w:r w:rsidR="00B161BD" w:rsidRPr="00FC473C">
          <w:rPr>
            <w:rFonts w:ascii="Arial" w:hAnsi="Arial" w:cs="Arial"/>
            <w:color w:val="1155CC"/>
            <w:u w:val="single"/>
          </w:rPr>
          <w:t>https://www.precedenceresearch.com/electric-vehicle-market</w:t>
        </w:r>
      </w:hyperlink>
      <w:r w:rsidRPr="00FC473C">
        <w:rPr>
          <w:rFonts w:ascii="Arial" w:hAnsi="Arial" w:cs="Arial"/>
        </w:rPr>
        <w:t xml:space="preserve">. </w:t>
      </w:r>
    </w:p>
    <w:p w14:paraId="1A49738F" w14:textId="77777777" w:rsidR="00B161BD" w:rsidRPr="00FC473C" w:rsidRDefault="00000000">
      <w:pPr>
        <w:spacing w:after="240"/>
        <w:rPr>
          <w:rFonts w:ascii="Arial" w:hAnsi="Arial" w:cs="Arial"/>
        </w:rPr>
      </w:pPr>
      <w:r w:rsidRPr="00FC473C">
        <w:rPr>
          <w:rFonts w:ascii="Arial" w:hAnsi="Arial" w:cs="Arial"/>
        </w:rPr>
        <w:t xml:space="preserve">Ravichandran, D. (2026). </w:t>
      </w:r>
      <w:r w:rsidRPr="00FC473C">
        <w:rPr>
          <w:rFonts w:ascii="Arial" w:hAnsi="Arial" w:cs="Arial"/>
          <w:i/>
          <w:iCs/>
        </w:rPr>
        <w:t>Ford aims vertical integration of EV battery materials supply chain</w:t>
      </w:r>
      <w:r w:rsidRPr="00FC473C">
        <w:rPr>
          <w:rFonts w:ascii="Arial" w:hAnsi="Arial" w:cs="Arial"/>
        </w:rPr>
        <w:t xml:space="preserve">. [online] Emerging Technology News. Available at: </w:t>
      </w:r>
      <w:hyperlink r:id="rId36">
        <w:r w:rsidR="00B161BD" w:rsidRPr="00FC473C">
          <w:rPr>
            <w:rFonts w:ascii="Arial" w:hAnsi="Arial" w:cs="Arial"/>
            <w:color w:val="1155CC"/>
            <w:u w:val="single"/>
          </w:rPr>
          <w:t>https://etn.news/iesa-contacts-menu/5153-ford-aims-vertical-integration-ev-battery-supply-chain</w:t>
        </w:r>
      </w:hyperlink>
      <w:r w:rsidRPr="00FC473C">
        <w:rPr>
          <w:rFonts w:ascii="Arial" w:hAnsi="Arial" w:cs="Arial"/>
        </w:rPr>
        <w:t xml:space="preserve"> </w:t>
      </w:r>
    </w:p>
    <w:p w14:paraId="0EE2EA27" w14:textId="77777777" w:rsidR="00B161BD" w:rsidRPr="00FC473C" w:rsidRDefault="00000000">
      <w:pPr>
        <w:spacing w:after="240"/>
        <w:rPr>
          <w:rFonts w:ascii="Arial" w:hAnsi="Arial" w:cs="Arial"/>
        </w:rPr>
      </w:pPr>
      <w:r w:rsidRPr="00FC473C">
        <w:rPr>
          <w:rFonts w:ascii="Arial" w:hAnsi="Arial" w:cs="Arial"/>
        </w:rPr>
        <w:t xml:space="preserve">Shahan, Z. (2026). </w:t>
      </w:r>
      <w:r w:rsidRPr="00FC473C">
        <w:rPr>
          <w:rFonts w:ascii="Arial" w:hAnsi="Arial" w:cs="Arial"/>
          <w:i/>
          <w:iCs/>
        </w:rPr>
        <w:t xml:space="preserve">Tesla Had 46% of US EV Market in 2025 (Down from 49% in 2024) — GM 13%, Ford 7% - </w:t>
      </w:r>
      <w:proofErr w:type="spellStart"/>
      <w:r w:rsidRPr="00FC473C">
        <w:rPr>
          <w:rFonts w:ascii="Arial" w:hAnsi="Arial" w:cs="Arial"/>
          <w:i/>
          <w:iCs/>
        </w:rPr>
        <w:t>CleanTechnica</w:t>
      </w:r>
      <w:proofErr w:type="spellEnd"/>
      <w:r w:rsidRPr="00FC473C">
        <w:rPr>
          <w:rFonts w:ascii="Arial" w:hAnsi="Arial" w:cs="Arial"/>
        </w:rPr>
        <w:t xml:space="preserve">. [online] </w:t>
      </w:r>
      <w:proofErr w:type="spellStart"/>
      <w:r w:rsidRPr="00FC473C">
        <w:rPr>
          <w:rFonts w:ascii="Arial" w:hAnsi="Arial" w:cs="Arial"/>
        </w:rPr>
        <w:t>CleanTechnica</w:t>
      </w:r>
      <w:proofErr w:type="spellEnd"/>
      <w:r w:rsidRPr="00FC473C">
        <w:rPr>
          <w:rFonts w:ascii="Arial" w:hAnsi="Arial" w:cs="Arial"/>
        </w:rPr>
        <w:t xml:space="preserve">. Available at: </w:t>
      </w:r>
      <w:hyperlink r:id="rId37">
        <w:r w:rsidR="00B161BD" w:rsidRPr="00FC473C">
          <w:rPr>
            <w:rFonts w:ascii="Arial" w:hAnsi="Arial" w:cs="Arial"/>
            <w:color w:val="1155CC"/>
            <w:u w:val="single"/>
          </w:rPr>
          <w:t>https://cleantechnica.com/2026/02/04/tesla-had-46-of-us-ev-market-in-2025-down-from-49-in-2024-gm-13-ford-7/</w:t>
        </w:r>
      </w:hyperlink>
      <w:r w:rsidRPr="00FC473C">
        <w:rPr>
          <w:rFonts w:ascii="Arial" w:hAnsi="Arial" w:cs="Arial"/>
        </w:rPr>
        <w:t xml:space="preserve">. </w:t>
      </w:r>
    </w:p>
    <w:p w14:paraId="323D8C4C" w14:textId="77777777" w:rsidR="00B161BD" w:rsidRPr="00FC473C" w:rsidRDefault="00000000">
      <w:pPr>
        <w:spacing w:after="240"/>
        <w:rPr>
          <w:rFonts w:ascii="Arial" w:hAnsi="Arial" w:cs="Arial"/>
        </w:rPr>
      </w:pPr>
      <w:r w:rsidRPr="00FC473C">
        <w:rPr>
          <w:rFonts w:ascii="Arial" w:hAnsi="Arial" w:cs="Arial"/>
        </w:rPr>
        <w:t xml:space="preserve">T&amp;E. (2026). </w:t>
      </w:r>
      <w:r w:rsidRPr="00FC473C">
        <w:rPr>
          <w:rFonts w:ascii="Arial" w:hAnsi="Arial" w:cs="Arial"/>
          <w:i/>
          <w:iCs/>
        </w:rPr>
        <w:t>EV progress report: EV sales and affordability are reaching a tipping…</w:t>
      </w:r>
      <w:r w:rsidRPr="00FC473C">
        <w:rPr>
          <w:rFonts w:ascii="Arial" w:hAnsi="Arial" w:cs="Arial"/>
        </w:rPr>
        <w:t xml:space="preserve">. [online] Available at: </w:t>
      </w:r>
      <w:hyperlink r:id="rId38">
        <w:r w:rsidR="00B161BD" w:rsidRPr="00FC473C">
          <w:rPr>
            <w:rFonts w:ascii="Arial" w:hAnsi="Arial" w:cs="Arial"/>
            <w:color w:val="1155CC"/>
            <w:u w:val="single"/>
          </w:rPr>
          <w:t>https://www.transportenvironment.org/articles/ev-progress-report-2026</w:t>
        </w:r>
      </w:hyperlink>
      <w:r w:rsidRPr="00FC473C">
        <w:rPr>
          <w:rFonts w:ascii="Arial" w:hAnsi="Arial" w:cs="Arial"/>
        </w:rPr>
        <w:t xml:space="preserve">. </w:t>
      </w:r>
    </w:p>
    <w:p w14:paraId="7E3C06F0" w14:textId="77777777" w:rsidR="00B161BD" w:rsidRPr="00FC473C" w:rsidRDefault="00000000">
      <w:pPr>
        <w:spacing w:after="240"/>
        <w:rPr>
          <w:rFonts w:ascii="Arial" w:hAnsi="Arial" w:cs="Arial"/>
        </w:rPr>
      </w:pPr>
      <w:r w:rsidRPr="00FC473C">
        <w:rPr>
          <w:rFonts w:ascii="Arial" w:hAnsi="Arial" w:cs="Arial"/>
        </w:rPr>
        <w:t xml:space="preserve">Tesla (2025a). </w:t>
      </w:r>
      <w:r w:rsidRPr="00FC473C">
        <w:rPr>
          <w:rFonts w:ascii="Arial" w:hAnsi="Arial" w:cs="Arial"/>
          <w:i/>
          <w:iCs/>
        </w:rPr>
        <w:t>Autopilot and Full Self-Driving Capability | Tesla Support United Kingdom</w:t>
      </w:r>
      <w:r w:rsidRPr="00FC473C">
        <w:rPr>
          <w:rFonts w:ascii="Arial" w:hAnsi="Arial" w:cs="Arial"/>
        </w:rPr>
        <w:t xml:space="preserve">. [online] Tesla. Available at: </w:t>
      </w:r>
      <w:hyperlink r:id="rId39">
        <w:r w:rsidR="00B161BD" w:rsidRPr="00FC473C">
          <w:rPr>
            <w:rFonts w:ascii="Arial" w:hAnsi="Arial" w:cs="Arial"/>
            <w:color w:val="1155CC"/>
            <w:u w:val="single"/>
          </w:rPr>
          <w:t>https://www.tesla.com/en_gb/support/autopilot</w:t>
        </w:r>
      </w:hyperlink>
      <w:r w:rsidRPr="00FC473C">
        <w:rPr>
          <w:rFonts w:ascii="Arial" w:hAnsi="Arial" w:cs="Arial"/>
        </w:rPr>
        <w:t xml:space="preserve">. </w:t>
      </w:r>
    </w:p>
    <w:p w14:paraId="5FE32264" w14:textId="77777777" w:rsidR="00B161BD" w:rsidRPr="00FC473C" w:rsidRDefault="00000000">
      <w:pPr>
        <w:spacing w:after="240"/>
        <w:rPr>
          <w:rFonts w:ascii="Arial" w:hAnsi="Arial" w:cs="Arial"/>
        </w:rPr>
      </w:pPr>
      <w:r w:rsidRPr="00FC473C">
        <w:rPr>
          <w:rFonts w:ascii="Arial" w:hAnsi="Arial" w:cs="Arial"/>
        </w:rPr>
        <w:t xml:space="preserve">Tesla (2025b). </w:t>
      </w:r>
      <w:r w:rsidRPr="00FC473C">
        <w:rPr>
          <w:rFonts w:ascii="Arial" w:hAnsi="Arial" w:cs="Arial"/>
          <w:i/>
          <w:iCs/>
        </w:rPr>
        <w:t>Tesla Energy: Breaking the Cost Barrier in Residential Energy</w:t>
      </w:r>
      <w:r w:rsidRPr="00FC473C">
        <w:rPr>
          <w:rFonts w:ascii="Arial" w:hAnsi="Arial" w:cs="Arial"/>
        </w:rPr>
        <w:t xml:space="preserve">. [online] Available at: </w:t>
      </w:r>
      <w:hyperlink r:id="rId40">
        <w:r w:rsidR="00B161BD" w:rsidRPr="00FC473C">
          <w:rPr>
            <w:rFonts w:ascii="Arial" w:hAnsi="Arial" w:cs="Arial"/>
            <w:color w:val="1155CC"/>
            <w:u w:val="single"/>
          </w:rPr>
          <w:t>https://energylibrary.tesla.com/docs/Public/Solar/Retrofit/WhitePaper/en/Tesla_Energy_Breaking_the_Cost_Barrier_in_Residential_Energy.pdf</w:t>
        </w:r>
      </w:hyperlink>
      <w:r w:rsidRPr="00FC473C">
        <w:rPr>
          <w:rFonts w:ascii="Arial" w:hAnsi="Arial" w:cs="Arial"/>
        </w:rPr>
        <w:t xml:space="preserve">. </w:t>
      </w:r>
    </w:p>
    <w:p w14:paraId="27AB4440" w14:textId="77777777" w:rsidR="00B161BD" w:rsidRPr="00FC473C" w:rsidRDefault="00000000">
      <w:pPr>
        <w:spacing w:after="240"/>
        <w:rPr>
          <w:rFonts w:ascii="Arial" w:hAnsi="Arial" w:cs="Arial"/>
        </w:rPr>
      </w:pPr>
      <w:r w:rsidRPr="00FC473C">
        <w:rPr>
          <w:rFonts w:ascii="Arial" w:hAnsi="Arial" w:cs="Arial"/>
        </w:rPr>
        <w:t xml:space="preserve">The Strategy Institute (2025). </w:t>
      </w:r>
      <w:r w:rsidRPr="00FC473C">
        <w:rPr>
          <w:rFonts w:ascii="Arial" w:hAnsi="Arial" w:cs="Arial"/>
          <w:i/>
          <w:iCs/>
        </w:rPr>
        <w:t>Inside Tesla’s Blueprint: Strategy, Sustainability, and Competitive Edge</w:t>
      </w:r>
      <w:r w:rsidRPr="00FC473C">
        <w:rPr>
          <w:rFonts w:ascii="Arial" w:hAnsi="Arial" w:cs="Arial"/>
        </w:rPr>
        <w:t xml:space="preserve">. [online] Thestrategyinstitute.org. Available at: </w:t>
      </w:r>
      <w:hyperlink r:id="rId41">
        <w:r w:rsidR="00B161BD" w:rsidRPr="00FC473C">
          <w:rPr>
            <w:rFonts w:ascii="Arial" w:hAnsi="Arial" w:cs="Arial"/>
            <w:color w:val="1155CC"/>
            <w:u w:val="single"/>
          </w:rPr>
          <w:t>https://www.thestrategyinstitute.org/insights/inside-teslas-blueprint-strategy-sustainability-and-competitive-edge</w:t>
        </w:r>
      </w:hyperlink>
      <w:r w:rsidRPr="00FC473C">
        <w:rPr>
          <w:rFonts w:ascii="Arial" w:hAnsi="Arial" w:cs="Arial"/>
        </w:rPr>
        <w:t xml:space="preserve">. </w:t>
      </w:r>
    </w:p>
    <w:p w14:paraId="706610A2" w14:textId="77777777" w:rsidR="00B161BD" w:rsidRPr="00FC473C" w:rsidRDefault="00000000">
      <w:pPr>
        <w:spacing w:after="240"/>
        <w:rPr>
          <w:rFonts w:ascii="Arial" w:hAnsi="Arial" w:cs="Arial"/>
        </w:rPr>
      </w:pPr>
      <w:r w:rsidRPr="00FC473C">
        <w:rPr>
          <w:rFonts w:ascii="Arial" w:hAnsi="Arial" w:cs="Arial"/>
        </w:rPr>
        <w:t xml:space="preserve">Thompson, E.J. (2026). </w:t>
      </w:r>
      <w:r w:rsidRPr="00FC473C">
        <w:rPr>
          <w:rFonts w:ascii="Arial" w:hAnsi="Arial" w:cs="Arial"/>
          <w:i/>
          <w:iCs/>
        </w:rPr>
        <w:t>Ford Faces Challenges and Opportunities Amid Market Pressures</w:t>
      </w:r>
      <w:r w:rsidRPr="00FC473C">
        <w:rPr>
          <w:rFonts w:ascii="Arial" w:hAnsi="Arial" w:cs="Arial"/>
        </w:rPr>
        <w:t xml:space="preserve">. [online] Available at: </w:t>
      </w:r>
      <w:hyperlink r:id="rId42">
        <w:r w:rsidR="00B161BD" w:rsidRPr="00FC473C">
          <w:rPr>
            <w:rFonts w:ascii="Arial" w:hAnsi="Arial" w:cs="Arial"/>
            <w:color w:val="1155CC"/>
            <w:u w:val="single"/>
          </w:rPr>
          <w:t>https://intellectia.ai/news/etf/ford-faces-challenges-and-opportunities-amid-market-pressures</w:t>
        </w:r>
      </w:hyperlink>
      <w:r w:rsidRPr="00FC473C">
        <w:rPr>
          <w:rFonts w:ascii="Arial" w:hAnsi="Arial" w:cs="Arial"/>
        </w:rPr>
        <w:t xml:space="preserve"> </w:t>
      </w:r>
    </w:p>
    <w:p w14:paraId="1698F856" w14:textId="77777777" w:rsidR="00B161BD" w:rsidRPr="00FC473C" w:rsidRDefault="00000000">
      <w:pPr>
        <w:spacing w:after="240"/>
        <w:rPr>
          <w:rFonts w:ascii="Arial" w:hAnsi="Arial" w:cs="Arial"/>
        </w:rPr>
      </w:pPr>
      <w:r w:rsidRPr="00FC473C">
        <w:rPr>
          <w:rFonts w:ascii="Arial" w:hAnsi="Arial" w:cs="Arial"/>
        </w:rPr>
        <w:t xml:space="preserve">Udendhran, R., Mohan, T.R., R, B., Uthra, R.A., G, A.C., </w:t>
      </w:r>
      <w:proofErr w:type="spellStart"/>
      <w:r w:rsidRPr="00FC473C">
        <w:rPr>
          <w:rFonts w:ascii="Arial" w:hAnsi="Arial" w:cs="Arial"/>
        </w:rPr>
        <w:t>Selvakumarasamy</w:t>
      </w:r>
      <w:proofErr w:type="spellEnd"/>
      <w:r w:rsidRPr="00FC473C">
        <w:rPr>
          <w:rFonts w:ascii="Arial" w:hAnsi="Arial" w:cs="Arial"/>
        </w:rPr>
        <w:t xml:space="preserve">, S., Dinesh, G., Mukhopadhyay, M., Saraswat, V. and Chakraborty, P. (2025). Transitioning to Sustainable E-Vehicle Systems – Global Perspectives on the Challenges, Policies and Opportunities. </w:t>
      </w:r>
      <w:r w:rsidRPr="00FC473C">
        <w:rPr>
          <w:rFonts w:ascii="Arial" w:hAnsi="Arial" w:cs="Arial"/>
          <w:i/>
          <w:iCs/>
        </w:rPr>
        <w:t>Journal of Hazardous Materials Advances</w:t>
      </w:r>
      <w:r w:rsidRPr="00FC473C">
        <w:rPr>
          <w:rFonts w:ascii="Arial" w:hAnsi="Arial" w:cs="Arial"/>
        </w:rPr>
        <w:t xml:space="preserve">, [online] 17(100619), p.100619. </w:t>
      </w:r>
      <w:proofErr w:type="spellStart"/>
      <w:r w:rsidRPr="00FC473C">
        <w:rPr>
          <w:rFonts w:ascii="Arial" w:hAnsi="Arial" w:cs="Arial"/>
        </w:rPr>
        <w:t>doi:</w:t>
      </w:r>
      <w:hyperlink r:id="rId43">
        <w:r w:rsidR="00B161BD" w:rsidRPr="00FC473C">
          <w:rPr>
            <w:rFonts w:ascii="Arial" w:hAnsi="Arial" w:cs="Arial"/>
            <w:color w:val="1155CC"/>
            <w:u w:val="single"/>
          </w:rPr>
          <w:t>https</w:t>
        </w:r>
        <w:proofErr w:type="spellEnd"/>
        <w:r w:rsidR="00B161BD" w:rsidRPr="00FC473C">
          <w:rPr>
            <w:rFonts w:ascii="Arial" w:hAnsi="Arial" w:cs="Arial"/>
            <w:color w:val="1155CC"/>
            <w:u w:val="single"/>
          </w:rPr>
          <w:t>://doi.org/10.1016/j.hazadv.2025.100619</w:t>
        </w:r>
      </w:hyperlink>
      <w:r w:rsidRPr="00FC473C">
        <w:rPr>
          <w:rFonts w:ascii="Arial" w:hAnsi="Arial" w:cs="Arial"/>
        </w:rPr>
        <w:t xml:space="preserve">. </w:t>
      </w:r>
    </w:p>
    <w:p w14:paraId="057BBADC" w14:textId="77777777" w:rsidR="00B161BD" w:rsidRPr="00FC473C" w:rsidRDefault="00000000">
      <w:pPr>
        <w:spacing w:after="240"/>
        <w:rPr>
          <w:rFonts w:ascii="Arial" w:hAnsi="Arial" w:cs="Arial"/>
        </w:rPr>
      </w:pPr>
      <w:r w:rsidRPr="00FC473C">
        <w:rPr>
          <w:rFonts w:ascii="Arial" w:hAnsi="Arial" w:cs="Arial"/>
        </w:rPr>
        <w:t xml:space="preserve">Wilmot, S. (2025). </w:t>
      </w:r>
      <w:r w:rsidRPr="00FC473C">
        <w:rPr>
          <w:rFonts w:ascii="Arial" w:hAnsi="Arial" w:cs="Arial"/>
          <w:i/>
          <w:iCs/>
        </w:rPr>
        <w:t>BMW and Mercedes Just Launched Electric SUVs to Rival Tesla</w:t>
      </w:r>
      <w:r w:rsidRPr="00FC473C">
        <w:rPr>
          <w:rFonts w:ascii="Arial" w:hAnsi="Arial" w:cs="Arial"/>
        </w:rPr>
        <w:t xml:space="preserve">. [online] The Wall Street Journal. Available at: </w:t>
      </w:r>
      <w:hyperlink r:id="rId44">
        <w:r w:rsidR="00B161BD" w:rsidRPr="00FC473C">
          <w:rPr>
            <w:rFonts w:ascii="Arial" w:hAnsi="Arial" w:cs="Arial"/>
            <w:color w:val="1155CC"/>
            <w:u w:val="single"/>
          </w:rPr>
          <w:t>https://www.wsj.com/business/autos/bmw-mercedes-ev-suv-tesla-483024d9</w:t>
        </w:r>
      </w:hyperlink>
      <w:r w:rsidRPr="00FC473C">
        <w:rPr>
          <w:rFonts w:ascii="Arial" w:hAnsi="Arial" w:cs="Arial"/>
        </w:rPr>
        <w:t xml:space="preserve">. </w:t>
      </w:r>
    </w:p>
    <w:p w14:paraId="76BC4590" w14:textId="77777777" w:rsidR="00B161BD" w:rsidRPr="00FC473C" w:rsidRDefault="00000000">
      <w:pPr>
        <w:spacing w:after="240"/>
        <w:rPr>
          <w:rFonts w:ascii="Arial" w:hAnsi="Arial" w:cs="Arial"/>
        </w:rPr>
      </w:pPr>
      <w:r w:rsidRPr="00FC473C">
        <w:rPr>
          <w:rFonts w:ascii="Arial" w:hAnsi="Arial" w:cs="Arial"/>
        </w:rPr>
        <w:t xml:space="preserve">Yu, Y. (2024). Market Competition Analysis and Strategic Research of Ford Motor Company. </w:t>
      </w:r>
      <w:r w:rsidRPr="00FC473C">
        <w:rPr>
          <w:rFonts w:ascii="Arial" w:hAnsi="Arial" w:cs="Arial"/>
          <w:i/>
          <w:iCs/>
        </w:rPr>
        <w:t>Highlights in Business, Economics and Management</w:t>
      </w:r>
      <w:r w:rsidRPr="00FC473C">
        <w:rPr>
          <w:rFonts w:ascii="Arial" w:hAnsi="Arial" w:cs="Arial"/>
        </w:rPr>
        <w:t xml:space="preserve">, [online] 24, pp.1263–1273. </w:t>
      </w:r>
      <w:proofErr w:type="spellStart"/>
      <w:r w:rsidRPr="00FC473C">
        <w:rPr>
          <w:rFonts w:ascii="Arial" w:hAnsi="Arial" w:cs="Arial"/>
        </w:rPr>
        <w:t>doi:</w:t>
      </w:r>
      <w:hyperlink r:id="rId45">
        <w:r w:rsidR="00B161BD" w:rsidRPr="00FC473C">
          <w:rPr>
            <w:rFonts w:ascii="Arial" w:hAnsi="Arial" w:cs="Arial"/>
            <w:color w:val="1155CC"/>
            <w:u w:val="single"/>
          </w:rPr>
          <w:t>https</w:t>
        </w:r>
        <w:proofErr w:type="spellEnd"/>
        <w:r w:rsidR="00B161BD" w:rsidRPr="00FC473C">
          <w:rPr>
            <w:rFonts w:ascii="Arial" w:hAnsi="Arial" w:cs="Arial"/>
            <w:color w:val="1155CC"/>
            <w:u w:val="single"/>
          </w:rPr>
          <w:t>://doi.org/10.54097/99hc1323</w:t>
        </w:r>
      </w:hyperlink>
      <w:r w:rsidRPr="00FC473C">
        <w:rPr>
          <w:rFonts w:ascii="Arial" w:hAnsi="Arial" w:cs="Arial"/>
        </w:rPr>
        <w:t xml:space="preserve">. </w:t>
      </w:r>
    </w:p>
    <w:p w14:paraId="2FC595A2" w14:textId="77777777" w:rsidR="00B161BD" w:rsidRPr="00FC473C" w:rsidRDefault="00B161BD">
      <w:pPr>
        <w:rPr>
          <w:rFonts w:ascii="Arial" w:hAnsi="Arial" w:cs="Arial"/>
        </w:rPr>
      </w:pPr>
    </w:p>
    <w:p w14:paraId="4A0A261E" w14:textId="77777777" w:rsidR="00B161BD" w:rsidRPr="00FC473C" w:rsidRDefault="00B161BD">
      <w:pPr>
        <w:rPr>
          <w:rFonts w:ascii="Arial" w:hAnsi="Arial" w:cs="Arial"/>
        </w:rPr>
      </w:pPr>
    </w:p>
    <w:sectPr w:rsidR="00B161BD" w:rsidRPr="00FC473C" w:rsidSect="00FC473C">
      <w:footerReference w:type="default" r:id="rId46"/>
      <w:headerReference w:type="first" r:id="rId47"/>
      <w:footerReference w:type="first" r:id="rId48"/>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89A3F6" w14:textId="77777777" w:rsidR="00BD744E" w:rsidRDefault="00BD744E">
      <w:pPr>
        <w:spacing w:after="0" w:line="240" w:lineRule="auto"/>
      </w:pPr>
      <w:r>
        <w:separator/>
      </w:r>
    </w:p>
  </w:endnote>
  <w:endnote w:type="continuationSeparator" w:id="0">
    <w:p w14:paraId="0B1A51DF" w14:textId="77777777" w:rsidR="00BD744E" w:rsidRDefault="00BD7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CAC1FCAB-CC0A-4DE7-B537-E5F5B5B07CC8}"/>
  </w:font>
  <w:font w:name="Calibri">
    <w:panose1 w:val="020F0502020204030204"/>
    <w:charset w:val="00"/>
    <w:family w:val="swiss"/>
    <w:pitch w:val="variable"/>
    <w:sig w:usb0="E4002EFF" w:usb1="C000247B" w:usb2="00000009" w:usb3="00000000" w:csb0="000001FF" w:csb1="00000000"/>
    <w:embedRegular r:id="rId2" w:fontKey="{EDE47B49-B62B-44A7-99DE-BF12A0A8B072}"/>
  </w:font>
  <w:font w:name="Cambria">
    <w:panose1 w:val="02040503050406030204"/>
    <w:charset w:val="00"/>
    <w:family w:val="roman"/>
    <w:pitch w:val="variable"/>
    <w:sig w:usb0="E00006FF" w:usb1="420024FF" w:usb2="02000000" w:usb3="00000000" w:csb0="0000019F" w:csb1="00000000"/>
    <w:embedRegular r:id="rId3" w:fontKey="{BDBFCD89-5688-4EAB-84D3-6962FDC1C89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7CEDD2" w14:textId="77777777" w:rsidR="00B161BD" w:rsidRDefault="00000000">
    <w:pPr>
      <w:jc w:val="right"/>
    </w:pPr>
    <w:r>
      <w:fldChar w:fldCharType="begin"/>
    </w:r>
    <w:r>
      <w:instrText>PAGE</w:instrText>
    </w:r>
    <w:r>
      <w:fldChar w:fldCharType="separate"/>
    </w:r>
    <w:r w:rsidR="00FC473C">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D3872" w14:textId="77777777" w:rsidR="00B161BD" w:rsidRDefault="00B161B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F2C8E" w14:textId="77777777" w:rsidR="00BD744E" w:rsidRDefault="00BD744E">
      <w:pPr>
        <w:spacing w:after="0" w:line="240" w:lineRule="auto"/>
      </w:pPr>
      <w:r>
        <w:separator/>
      </w:r>
    </w:p>
  </w:footnote>
  <w:footnote w:type="continuationSeparator" w:id="0">
    <w:p w14:paraId="60D3B977" w14:textId="77777777" w:rsidR="00BD744E" w:rsidRDefault="00BD74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04900A" w14:textId="77777777" w:rsidR="00B161BD" w:rsidRDefault="00B161B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12824"/>
    <w:multiLevelType w:val="multilevel"/>
    <w:tmpl w:val="52BC62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C01A3B"/>
    <w:multiLevelType w:val="multilevel"/>
    <w:tmpl w:val="D9DC4C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29866881">
    <w:abstractNumId w:val="1"/>
  </w:num>
  <w:num w:numId="2" w16cid:durableId="302541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61BD"/>
    <w:rsid w:val="00146240"/>
    <w:rsid w:val="00163CCD"/>
    <w:rsid w:val="002B18ED"/>
    <w:rsid w:val="00AF544A"/>
    <w:rsid w:val="00B161BD"/>
    <w:rsid w:val="00BD744E"/>
    <w:rsid w:val="00CD1A1A"/>
    <w:rsid w:val="00FC47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86EBA"/>
  <w15:docId w15:val="{D968149F-58A6-4D20-B9B1-2A3BD020B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semafor.com/article/02/17/2026/ev-carmakers-register-65-billion-in-write-offs-globally" TargetMode="External"/><Relationship Id="rId26" Type="http://schemas.openxmlformats.org/officeDocument/2006/relationships/hyperlink" Target="https://doi.org/10.47772/ijriss.2023.7011145" TargetMode="External"/><Relationship Id="rId39" Type="http://schemas.openxmlformats.org/officeDocument/2006/relationships/hyperlink" Target="https://www.tesla.com/en_gb/support/autopilot" TargetMode="External"/><Relationship Id="rId21" Type="http://schemas.openxmlformats.org/officeDocument/2006/relationships/hyperlink" Target="https://www.energycomment.de/global-electric-car-sales-2025-and-2026-feb-26-update/" TargetMode="External"/><Relationship Id="rId34" Type="http://schemas.openxmlformats.org/officeDocument/2006/relationships/hyperlink" Target="https://www.reuters.com/sustainability/climate-energy/global-ev-sales-fall-again-february-2026-03-13/" TargetMode="External"/><Relationship Id="rId42" Type="http://schemas.openxmlformats.org/officeDocument/2006/relationships/hyperlink" Target="https://intellectia.ai/news/etf/ford-faces-challenges-and-opportunities-amid-market-pressures"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tridenstechnology.com/tesla-sales-statistics/" TargetMode="External"/><Relationship Id="rId11" Type="http://schemas.openxmlformats.org/officeDocument/2006/relationships/image" Target="media/image5.png"/><Relationship Id="rId24" Type="http://schemas.openxmlformats.org/officeDocument/2006/relationships/hyperlink" Target="https://caredge.com/guides/electric-vehicle-market-share-and-sales" TargetMode="External"/><Relationship Id="rId32" Type="http://schemas.openxmlformats.org/officeDocument/2006/relationships/hyperlink" Target="https://www.visualcapitalist.com/the-worlds-top-ev-makers-by-market-share/" TargetMode="External"/><Relationship Id="rId37" Type="http://schemas.openxmlformats.org/officeDocument/2006/relationships/hyperlink" Target="https://cleantechnica.com/2026/02/04/tesla-had-46-of-us-ev-market-in-2025-down-from-49-in-2024-gm-13-ford-7/" TargetMode="External"/><Relationship Id="rId40" Type="http://schemas.openxmlformats.org/officeDocument/2006/relationships/hyperlink" Target="https://energylibrary.tesla.com/docs/Public/Solar/Retrofit/WhitePaper/en/Tesla_Energy_Breaking_the_Cost_Barrier_in_Residential_Energy.pdf" TargetMode="External"/><Relationship Id="rId45" Type="http://schemas.openxmlformats.org/officeDocument/2006/relationships/hyperlink" Target="https://doi.org/10.54097/99hc1323"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finbox.com/NASDAQGS:TSLA/explorer/rd_exp/" TargetMode="External"/><Relationship Id="rId28" Type="http://schemas.openxmlformats.org/officeDocument/2006/relationships/hyperlink" Target="https://www.iata.org/en/iata-repository/publications/economic-reports/global-outlook-for-air-transport-june-2025/" TargetMode="External"/><Relationship Id="rId36" Type="http://schemas.openxmlformats.org/officeDocument/2006/relationships/hyperlink" Target="https://etn.news/iesa-contacts-menu/5153-ford-aims-vertical-integration-ev-battery-supply-chain" TargetMode="External"/><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cipd.org/uk/knowledge/factsheets/pestle-analysis-factsheet/" TargetMode="External"/><Relationship Id="rId31" Type="http://schemas.openxmlformats.org/officeDocument/2006/relationships/hyperlink" Target="https://www.autonews.com/car-concepts/future-product/an-ford-future-product-0824/" TargetMode="External"/><Relationship Id="rId44" Type="http://schemas.openxmlformats.org/officeDocument/2006/relationships/hyperlink" Target="https://www.wsj.com/business/autos/bmw-mercedes-ev-suv-tesla-483024d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ev.com/news/ford-mustang-mach-e-drives-30-surge-in-ev-sales-during-q3-2025" TargetMode="External"/><Relationship Id="rId27" Type="http://schemas.openxmlformats.org/officeDocument/2006/relationships/hyperlink" Target="https://thehourmarkers.com/articles/of-energy-transition-tesla-and-watchmakings-environmental-impact" TargetMode="External"/><Relationship Id="rId30" Type="http://schemas.openxmlformats.org/officeDocument/2006/relationships/hyperlink" Target="https://doi.org/10.3390/wevj16020090" TargetMode="External"/><Relationship Id="rId35" Type="http://schemas.openxmlformats.org/officeDocument/2006/relationships/hyperlink" Target="https://www.precedenceresearch.com/electric-vehicle-market" TargetMode="External"/><Relationship Id="rId43" Type="http://schemas.openxmlformats.org/officeDocument/2006/relationships/hyperlink" Target="https://doi.org/10.1016/j.hazadv.2025.100619" TargetMode="External"/><Relationship Id="rId48" Type="http://schemas.openxmlformats.org/officeDocument/2006/relationships/footer" Target="footer2.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nytimes.com/2026/02/10/business/ford-earnings-electric-vehicles.html" TargetMode="External"/><Relationship Id="rId25" Type="http://schemas.openxmlformats.org/officeDocument/2006/relationships/hyperlink" Target="https://media.ford.com/content/fordmedia/feu/en/news/2022/07/21/Ford-Releases-New-Battery-Capacity-Plan.html" TargetMode="External"/><Relationship Id="rId33" Type="http://schemas.openxmlformats.org/officeDocument/2006/relationships/hyperlink" Target="https://doi.org/10.1111/jpim.12732" TargetMode="External"/><Relationship Id="rId38" Type="http://schemas.openxmlformats.org/officeDocument/2006/relationships/hyperlink" Target="https://www.transportenvironment.org/articles/ev-progress-report-2026" TargetMode="External"/><Relationship Id="rId46" Type="http://schemas.openxmlformats.org/officeDocument/2006/relationships/footer" Target="footer1.xml"/><Relationship Id="rId20" Type="http://schemas.openxmlformats.org/officeDocument/2006/relationships/hyperlink" Target="https://manufacturingdigital.com/news/fords-ev-manufacturing-shift-learns-from-tesla-and-china" TargetMode="External"/><Relationship Id="rId41" Type="http://schemas.openxmlformats.org/officeDocument/2006/relationships/hyperlink" Target="https://www.thestrategyinstitute.org/insights/inside-teslas-blueprint-strategy-sustainability-and-competitive-edge" TargetMode="External"/><Relationship Id="rId1" Type="http://schemas.openxmlformats.org/officeDocument/2006/relationships/numbering" Target="numbering.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22</Pages>
  <Words>4353</Words>
  <Characters>24813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3</cp:revision>
  <dcterms:created xsi:type="dcterms:W3CDTF">2026-03-17T17:10:00Z</dcterms:created>
  <dcterms:modified xsi:type="dcterms:W3CDTF">2026-03-26T13:57:00Z</dcterms:modified>
</cp:coreProperties>
</file>