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99B7D6A"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Learner’s name: Lisa Marie Davies</w:t>
            </w:r>
          </w:p>
          <w:p w14:paraId="0D274E1C"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37EC52A7"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 xml:space="preserve">Email address: </w:t>
            </w:r>
            <w:r>
              <w:rPr>
                <w:rFonts w:ascii="Times New Roman" w:hAnsi="Times New Roman" w:cs="Times New Roman"/>
                <w:b/>
                <w:color w:val="auto"/>
                <w:sz w:val="40"/>
                <w:szCs w:val="40"/>
              </w:rPr>
              <w:t>lisamarieinker113@hotmail.com</w:t>
            </w:r>
          </w:p>
          <w:p w14:paraId="002B9947"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23A3ECA5"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Learner’s University Registration Number:</w:t>
            </w:r>
            <w:r>
              <w:rPr>
                <w:rFonts w:ascii="Times New Roman" w:hAnsi="Times New Roman" w:cs="Times New Roman"/>
                <w:b/>
                <w:color w:val="auto"/>
                <w:sz w:val="40"/>
                <w:szCs w:val="40"/>
              </w:rPr>
              <w:t xml:space="preserve"> </w:t>
            </w:r>
            <w:r w:rsidRPr="00125D96">
              <w:rPr>
                <w:rFonts w:ascii="Times New Roman" w:hAnsi="Times New Roman" w:cs="Times New Roman"/>
                <w:b/>
                <w:color w:val="auto"/>
                <w:sz w:val="40"/>
                <w:szCs w:val="40"/>
              </w:rPr>
              <w:t>1100277</w:t>
            </w:r>
          </w:p>
          <w:p w14:paraId="62BA4417"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5F84129B" w14:textId="1ED31FE4" w:rsidR="0085230E" w:rsidRPr="005D3F07" w:rsidRDefault="00D86895" w:rsidP="00D86895">
            <w:pPr>
              <w:overflowPunct/>
              <w:autoSpaceDE/>
              <w:autoSpaceDN/>
              <w:adjustRightInd/>
              <w:ind w:right="-957"/>
              <w:textAlignment w:val="auto"/>
              <w:rPr>
                <w:rFonts w:ascii="Times New Roman" w:hAnsi="Times New Roman" w:cs="Times New Roman"/>
                <w:b/>
                <w:color w:val="auto"/>
                <w:sz w:val="48"/>
              </w:rPr>
            </w:pPr>
            <w:r w:rsidRPr="00125D96">
              <w:rPr>
                <w:rFonts w:ascii="Times New Roman" w:hAnsi="Times New Roman" w:cs="Times New Roman"/>
                <w:b/>
                <w:color w:val="auto"/>
                <w:sz w:val="40"/>
                <w:szCs w:val="40"/>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253C4C35" w14:textId="77777777" w:rsidR="00DB5601" w:rsidRDefault="00DB5601" w:rsidP="00DB5601">
      <w:pPr>
        <w:rPr>
          <w:sz w:val="24"/>
          <w:szCs w:val="24"/>
        </w:rPr>
      </w:pPr>
      <w:r w:rsidRPr="00277336">
        <w:rPr>
          <w:sz w:val="24"/>
          <w:szCs w:val="24"/>
        </w:rPr>
        <w:t>BASW (2021). </w:t>
      </w:r>
      <w:r w:rsidRPr="00277336">
        <w:rPr>
          <w:i/>
          <w:iCs/>
          <w:sz w:val="24"/>
          <w:szCs w:val="24"/>
        </w:rPr>
        <w:t>The BASW Code of Ethics for Social Work</w:t>
      </w:r>
      <w:r w:rsidRPr="00277336">
        <w:rPr>
          <w:sz w:val="24"/>
          <w:szCs w:val="24"/>
        </w:rPr>
        <w:t xml:space="preserve">. [online] Available at: </w:t>
      </w:r>
      <w:hyperlink r:id="rId11" w:history="1">
        <w:r w:rsidRPr="00277336">
          <w:rPr>
            <w:rStyle w:val="Hyperlink"/>
            <w:sz w:val="24"/>
            <w:szCs w:val="24"/>
          </w:rPr>
          <w:t>https://new.basw.co.uk/sites/default/files/2024-04/basw-code-of-ethics.pdf</w:t>
        </w:r>
      </w:hyperlink>
      <w:r w:rsidRPr="00277336">
        <w:rPr>
          <w:sz w:val="24"/>
          <w:szCs w:val="24"/>
        </w:rPr>
        <w:t>.</w:t>
      </w:r>
    </w:p>
    <w:p w14:paraId="572FF65E" w14:textId="77777777" w:rsidR="00DB5601" w:rsidRPr="00277336" w:rsidRDefault="00DB5601" w:rsidP="00DB5601">
      <w:pPr>
        <w:rPr>
          <w:sz w:val="24"/>
          <w:szCs w:val="24"/>
        </w:rPr>
      </w:pPr>
    </w:p>
    <w:p w14:paraId="154458EF" w14:textId="77777777" w:rsidR="00DB5601" w:rsidRDefault="00DB5601" w:rsidP="00DB5601">
      <w:pPr>
        <w:rPr>
          <w:rFonts w:eastAsiaTheme="minorHAnsi"/>
          <w:noProof/>
          <w:color w:val="auto"/>
          <w:sz w:val="24"/>
          <w:szCs w:val="24"/>
          <w:lang w:val="en-US" w:eastAsia="en-US"/>
        </w:rPr>
      </w:pPr>
      <w:r w:rsidRPr="00277336">
        <w:rPr>
          <w:rFonts w:eastAsiaTheme="minorHAnsi"/>
          <w:noProof/>
          <w:color w:val="auto"/>
          <w:sz w:val="24"/>
          <w:szCs w:val="24"/>
          <w:lang w:val="en-US" w:eastAsia="en-US"/>
        </w:rPr>
        <w:t xml:space="preserve">Beesley , P., Watts, M. &amp; Harrison , M., 2017. </w:t>
      </w:r>
      <w:r w:rsidRPr="00277336">
        <w:rPr>
          <w:rFonts w:eastAsiaTheme="minorHAnsi"/>
          <w:i/>
          <w:iCs/>
          <w:noProof/>
          <w:color w:val="auto"/>
          <w:sz w:val="24"/>
          <w:szCs w:val="24"/>
          <w:lang w:val="en-US" w:eastAsia="en-US"/>
        </w:rPr>
        <w:t xml:space="preserve">Developing Your Communication Skills in Social Work. </w:t>
      </w:r>
      <w:r w:rsidRPr="00277336">
        <w:rPr>
          <w:rFonts w:eastAsiaTheme="minorHAnsi"/>
          <w:noProof/>
          <w:color w:val="auto"/>
          <w:sz w:val="24"/>
          <w:szCs w:val="24"/>
          <w:lang w:val="en-US" w:eastAsia="en-US"/>
        </w:rPr>
        <w:t>London: SAGE Publications</w:t>
      </w:r>
    </w:p>
    <w:p w14:paraId="5AD5936B" w14:textId="77777777" w:rsidR="00DB5601" w:rsidRPr="00277336" w:rsidRDefault="00DB5601" w:rsidP="00DB5601">
      <w:pPr>
        <w:rPr>
          <w:rFonts w:eastAsiaTheme="minorHAnsi"/>
          <w:noProof/>
          <w:color w:val="auto"/>
          <w:sz w:val="24"/>
          <w:szCs w:val="24"/>
          <w:lang w:val="en-US" w:eastAsia="en-US"/>
        </w:rPr>
      </w:pPr>
    </w:p>
    <w:p w14:paraId="7A148DD4" w14:textId="77777777" w:rsidR="00DB5601" w:rsidRDefault="00DB5601" w:rsidP="00DB5601">
      <w:pPr>
        <w:rPr>
          <w:sz w:val="24"/>
          <w:szCs w:val="24"/>
        </w:rPr>
      </w:pPr>
      <w:r w:rsidRPr="00277336">
        <w:rPr>
          <w:sz w:val="24"/>
          <w:szCs w:val="24"/>
        </w:rPr>
        <w:t>Burke, B (2013) ‘</w:t>
      </w:r>
      <w:r w:rsidRPr="00277336">
        <w:rPr>
          <w:i/>
          <w:sz w:val="24"/>
          <w:szCs w:val="24"/>
        </w:rPr>
        <w:t>Anti-Oppressive Practice’</w:t>
      </w:r>
      <w:r w:rsidRPr="00277336">
        <w:rPr>
          <w:sz w:val="24"/>
          <w:szCs w:val="24"/>
        </w:rPr>
        <w:t xml:space="preserve"> in Davies, M, The Blackwell Companion to Social Work, 4</w:t>
      </w:r>
      <w:r w:rsidRPr="00277336">
        <w:rPr>
          <w:sz w:val="24"/>
          <w:szCs w:val="24"/>
          <w:vertAlign w:val="superscript"/>
        </w:rPr>
        <w:t>th</w:t>
      </w:r>
      <w:r w:rsidRPr="00277336">
        <w:rPr>
          <w:sz w:val="24"/>
          <w:szCs w:val="24"/>
        </w:rPr>
        <w:t xml:space="preserve"> edition, Chichester, Wiley-Blackwell, pp414-416</w:t>
      </w:r>
    </w:p>
    <w:p w14:paraId="6A893B5D" w14:textId="77777777" w:rsidR="00DB5601" w:rsidRPr="00277336" w:rsidRDefault="00DB5601" w:rsidP="00DB5601">
      <w:pPr>
        <w:rPr>
          <w:sz w:val="24"/>
          <w:szCs w:val="24"/>
        </w:rPr>
      </w:pPr>
    </w:p>
    <w:p w14:paraId="01920963" w14:textId="77777777" w:rsidR="00DB5601" w:rsidRDefault="00DB5601" w:rsidP="00DB5601">
      <w:pPr>
        <w:rPr>
          <w:iCs/>
          <w:sz w:val="24"/>
          <w:szCs w:val="24"/>
        </w:rPr>
      </w:pPr>
      <w:r w:rsidRPr="00277336">
        <w:rPr>
          <w:iCs/>
          <w:sz w:val="24"/>
          <w:szCs w:val="24"/>
        </w:rPr>
        <w:t>Children Act (1989). </w:t>
      </w:r>
      <w:r w:rsidRPr="00277336">
        <w:rPr>
          <w:i/>
          <w:iCs/>
          <w:sz w:val="24"/>
          <w:szCs w:val="24"/>
        </w:rPr>
        <w:t>Children Act 1989</w:t>
      </w:r>
      <w:r w:rsidRPr="00277336">
        <w:rPr>
          <w:iCs/>
          <w:sz w:val="24"/>
          <w:szCs w:val="24"/>
        </w:rPr>
        <w:t xml:space="preserve">. [online] legislation.gov.uk. Available at: </w:t>
      </w:r>
      <w:hyperlink r:id="rId12" w:history="1">
        <w:r w:rsidRPr="00277336">
          <w:rPr>
            <w:rStyle w:val="Hyperlink"/>
            <w:iCs/>
            <w:sz w:val="24"/>
            <w:szCs w:val="24"/>
          </w:rPr>
          <w:t>https://www.legislation.gov.uk/ukpga/1989/41/contents</w:t>
        </w:r>
      </w:hyperlink>
      <w:r w:rsidRPr="00277336">
        <w:rPr>
          <w:iCs/>
          <w:sz w:val="24"/>
          <w:szCs w:val="24"/>
        </w:rPr>
        <w:t xml:space="preserve">. </w:t>
      </w:r>
    </w:p>
    <w:p w14:paraId="6DA74E62" w14:textId="77777777" w:rsidR="00DB5601" w:rsidRPr="00277336" w:rsidRDefault="00DB5601" w:rsidP="00DB5601">
      <w:pPr>
        <w:rPr>
          <w:iCs/>
          <w:sz w:val="24"/>
          <w:szCs w:val="24"/>
        </w:rPr>
      </w:pPr>
    </w:p>
    <w:p w14:paraId="5A7EC8BF" w14:textId="77777777" w:rsidR="00DB5601" w:rsidRDefault="00DB5601" w:rsidP="00DB5601">
      <w:pPr>
        <w:rPr>
          <w:sz w:val="24"/>
          <w:szCs w:val="24"/>
        </w:rPr>
      </w:pPr>
      <w:r w:rsidRPr="00277336">
        <w:rPr>
          <w:sz w:val="24"/>
          <w:szCs w:val="24"/>
        </w:rPr>
        <w:t>Craig, C. D., &amp; Sprang, G. (2007). Trauma Exposure and Child Abuse Potential: Investigating the Cycle of Violence. </w:t>
      </w:r>
      <w:r w:rsidRPr="00277336">
        <w:rPr>
          <w:i/>
          <w:sz w:val="24"/>
          <w:szCs w:val="24"/>
        </w:rPr>
        <w:t>American Journal of Orthopsychiatry</w:t>
      </w:r>
      <w:r w:rsidRPr="00277336">
        <w:rPr>
          <w:sz w:val="24"/>
          <w:szCs w:val="24"/>
        </w:rPr>
        <w:t>, </w:t>
      </w:r>
      <w:r w:rsidRPr="00277336">
        <w:rPr>
          <w:i/>
          <w:sz w:val="24"/>
          <w:szCs w:val="24"/>
        </w:rPr>
        <w:t>77</w:t>
      </w:r>
      <w:r w:rsidRPr="00277336">
        <w:rPr>
          <w:sz w:val="24"/>
          <w:szCs w:val="24"/>
        </w:rPr>
        <w:t xml:space="preserve">(2), 296–305. Available at:  </w:t>
      </w:r>
      <w:hyperlink r:id="rId13" w:history="1">
        <w:r w:rsidRPr="00277336">
          <w:rPr>
            <w:rStyle w:val="Hyperlink"/>
            <w:iCs/>
            <w:sz w:val="24"/>
            <w:szCs w:val="24"/>
          </w:rPr>
          <w:t>https://doi.org/10.1037/0002-9432.77.2.296</w:t>
        </w:r>
      </w:hyperlink>
    </w:p>
    <w:p w14:paraId="5CFBBA9E" w14:textId="77777777" w:rsidR="00DB5601" w:rsidRPr="00277336" w:rsidRDefault="00DB5601" w:rsidP="00DB5601">
      <w:pPr>
        <w:rPr>
          <w:sz w:val="24"/>
          <w:szCs w:val="24"/>
        </w:rPr>
      </w:pPr>
    </w:p>
    <w:p w14:paraId="4CE8208D" w14:textId="77777777" w:rsidR="00DB5601" w:rsidRDefault="00DB5601" w:rsidP="00DB5601">
      <w:pPr>
        <w:rPr>
          <w:sz w:val="24"/>
          <w:szCs w:val="24"/>
        </w:rPr>
      </w:pPr>
      <w:r w:rsidRPr="00277336">
        <w:rPr>
          <w:sz w:val="24"/>
          <w:szCs w:val="24"/>
        </w:rPr>
        <w:t>Davies, M. (2013), Chapter 6.2.9 ‘Theories of Empowerment’ in Tew, J. </w:t>
      </w:r>
      <w:r w:rsidRPr="00277336">
        <w:rPr>
          <w:i/>
          <w:iCs/>
          <w:sz w:val="24"/>
          <w:szCs w:val="24"/>
        </w:rPr>
        <w:t>The Blackwell companion to social work</w:t>
      </w:r>
      <w:r w:rsidRPr="00277336">
        <w:rPr>
          <w:sz w:val="24"/>
          <w:szCs w:val="24"/>
        </w:rPr>
        <w:t xml:space="preserve">. 4th </w:t>
      </w:r>
      <w:proofErr w:type="spellStart"/>
      <w:r w:rsidRPr="00277336">
        <w:rPr>
          <w:sz w:val="24"/>
          <w:szCs w:val="24"/>
        </w:rPr>
        <w:t>edn</w:t>
      </w:r>
      <w:proofErr w:type="spellEnd"/>
      <w:r w:rsidRPr="00277336">
        <w:rPr>
          <w:sz w:val="24"/>
          <w:szCs w:val="24"/>
        </w:rPr>
        <w:t>. Hoboken: Wiley Blackwell. Pp439-442</w:t>
      </w:r>
    </w:p>
    <w:p w14:paraId="03D7A546" w14:textId="77777777" w:rsidR="00DB5601" w:rsidRPr="00277336" w:rsidRDefault="00DB5601" w:rsidP="00DB5601">
      <w:pPr>
        <w:rPr>
          <w:sz w:val="24"/>
          <w:szCs w:val="24"/>
        </w:rPr>
      </w:pPr>
    </w:p>
    <w:p w14:paraId="0035AC60" w14:textId="77777777" w:rsidR="00DB5601" w:rsidRDefault="00DB5601" w:rsidP="00DB5601">
      <w:pPr>
        <w:rPr>
          <w:sz w:val="24"/>
          <w:szCs w:val="24"/>
        </w:rPr>
      </w:pPr>
      <w:r w:rsidRPr="00277336">
        <w:rPr>
          <w:sz w:val="24"/>
          <w:szCs w:val="24"/>
        </w:rPr>
        <w:t>Femi-Ajao, O., Kendal, S., &amp; Lovell, K. (2020). A qualitative systematic review of published work on disclosure and help-seeking for domestic violence and abuse among women from ethnic minority populations in the UK. </w:t>
      </w:r>
      <w:r w:rsidRPr="00277336">
        <w:rPr>
          <w:i/>
          <w:sz w:val="24"/>
          <w:szCs w:val="24"/>
        </w:rPr>
        <w:t>Ethnicity &amp; Health</w:t>
      </w:r>
      <w:r w:rsidRPr="00277336">
        <w:rPr>
          <w:sz w:val="24"/>
          <w:szCs w:val="24"/>
        </w:rPr>
        <w:t>, </w:t>
      </w:r>
      <w:r w:rsidRPr="00277336">
        <w:rPr>
          <w:i/>
          <w:sz w:val="24"/>
          <w:szCs w:val="24"/>
        </w:rPr>
        <w:t>25</w:t>
      </w:r>
      <w:r w:rsidRPr="00277336">
        <w:rPr>
          <w:sz w:val="24"/>
          <w:szCs w:val="24"/>
        </w:rPr>
        <w:t xml:space="preserve">(5), 732–746. Available at:  </w:t>
      </w:r>
      <w:hyperlink r:id="rId14" w:history="1">
        <w:r w:rsidRPr="00277336">
          <w:rPr>
            <w:rStyle w:val="Hyperlink"/>
            <w:iCs/>
            <w:sz w:val="24"/>
            <w:szCs w:val="24"/>
          </w:rPr>
          <w:t>https://doi.org/10.1080/13557858.2018.1447652</w:t>
        </w:r>
      </w:hyperlink>
    </w:p>
    <w:p w14:paraId="39FCDA83" w14:textId="77777777" w:rsidR="00DB5601" w:rsidRPr="00277336" w:rsidRDefault="00DB5601" w:rsidP="00DB5601">
      <w:pPr>
        <w:rPr>
          <w:sz w:val="24"/>
          <w:szCs w:val="24"/>
        </w:rPr>
      </w:pPr>
    </w:p>
    <w:p w14:paraId="2622889D" w14:textId="77777777" w:rsidR="00DB5601" w:rsidRDefault="00DB5601" w:rsidP="00DB5601">
      <w:pPr>
        <w:rPr>
          <w:sz w:val="24"/>
          <w:szCs w:val="24"/>
        </w:rPr>
      </w:pPr>
      <w:r w:rsidRPr="00277336">
        <w:rPr>
          <w:sz w:val="24"/>
          <w:szCs w:val="24"/>
        </w:rPr>
        <w:t>Fraser, S. and Matthews, S. (2008). </w:t>
      </w:r>
      <w:r w:rsidRPr="00277336">
        <w:rPr>
          <w:i/>
          <w:sz w:val="24"/>
          <w:szCs w:val="24"/>
        </w:rPr>
        <w:t>The critical practitioner in social work and health care</w:t>
      </w:r>
      <w:r w:rsidRPr="00277336">
        <w:rPr>
          <w:sz w:val="24"/>
          <w:szCs w:val="24"/>
        </w:rPr>
        <w:t xml:space="preserve">. Milton Keynes, U.K.: Open </w:t>
      </w:r>
      <w:proofErr w:type="gramStart"/>
      <w:r w:rsidRPr="00277336">
        <w:rPr>
          <w:sz w:val="24"/>
          <w:szCs w:val="24"/>
        </w:rPr>
        <w:t>University ;</w:t>
      </w:r>
      <w:proofErr w:type="gramEnd"/>
      <w:r w:rsidRPr="00277336">
        <w:rPr>
          <w:sz w:val="24"/>
          <w:szCs w:val="24"/>
        </w:rPr>
        <w:t xml:space="preserve"> Los Angeles, pp.8–9.</w:t>
      </w:r>
    </w:p>
    <w:p w14:paraId="20D67276" w14:textId="77777777" w:rsidR="00DB5601" w:rsidRPr="00277336" w:rsidRDefault="00DB5601" w:rsidP="00DB5601">
      <w:pPr>
        <w:rPr>
          <w:sz w:val="24"/>
          <w:szCs w:val="24"/>
        </w:rPr>
      </w:pPr>
    </w:p>
    <w:p w14:paraId="15DFA92F" w14:textId="77777777" w:rsidR="00DB5601" w:rsidRDefault="00DB5601" w:rsidP="00DB5601">
      <w:pPr>
        <w:rPr>
          <w:sz w:val="24"/>
          <w:szCs w:val="24"/>
        </w:rPr>
      </w:pPr>
      <w:r w:rsidRPr="00277336">
        <w:rPr>
          <w:sz w:val="24"/>
          <w:szCs w:val="24"/>
        </w:rPr>
        <w:t>Gardner, A (2013) ‘</w:t>
      </w:r>
      <w:r w:rsidRPr="00277336">
        <w:rPr>
          <w:i/>
          <w:sz w:val="24"/>
          <w:szCs w:val="24"/>
        </w:rPr>
        <w:t>Person-Centred Practice’</w:t>
      </w:r>
      <w:r w:rsidRPr="00277336">
        <w:rPr>
          <w:sz w:val="24"/>
          <w:szCs w:val="24"/>
        </w:rPr>
        <w:t xml:space="preserve"> in Davies, M, The Blackwell Companion to Social Work, 4</w:t>
      </w:r>
      <w:r w:rsidRPr="00277336">
        <w:rPr>
          <w:sz w:val="24"/>
          <w:szCs w:val="24"/>
          <w:vertAlign w:val="superscript"/>
        </w:rPr>
        <w:t>th</w:t>
      </w:r>
      <w:r w:rsidRPr="00277336">
        <w:rPr>
          <w:sz w:val="24"/>
          <w:szCs w:val="24"/>
        </w:rPr>
        <w:t xml:space="preserve"> edition, Chichester, Wiley-Blackwell, pp459-462</w:t>
      </w:r>
    </w:p>
    <w:p w14:paraId="207E1A8A" w14:textId="77777777" w:rsidR="00DB5601" w:rsidRPr="00277336" w:rsidRDefault="00DB5601" w:rsidP="00DB5601">
      <w:pPr>
        <w:rPr>
          <w:sz w:val="24"/>
          <w:szCs w:val="24"/>
        </w:rPr>
      </w:pPr>
    </w:p>
    <w:p w14:paraId="406A3023" w14:textId="77777777" w:rsidR="00DB5601" w:rsidRDefault="00DB5601" w:rsidP="00DB5601">
      <w:pPr>
        <w:rPr>
          <w:sz w:val="24"/>
          <w:szCs w:val="24"/>
        </w:rPr>
      </w:pPr>
      <w:r w:rsidRPr="00277336">
        <w:rPr>
          <w:sz w:val="24"/>
          <w:szCs w:val="24"/>
        </w:rPr>
        <w:t>GOV.UK (2005). </w:t>
      </w:r>
      <w:r w:rsidRPr="00277336">
        <w:rPr>
          <w:i/>
          <w:iCs/>
          <w:sz w:val="24"/>
          <w:szCs w:val="24"/>
        </w:rPr>
        <w:t>Mental Capacity Act 2005</w:t>
      </w:r>
      <w:r w:rsidRPr="00277336">
        <w:rPr>
          <w:sz w:val="24"/>
          <w:szCs w:val="24"/>
        </w:rPr>
        <w:t xml:space="preserve">. [online] Legislation.gov.uk. Available at: </w:t>
      </w:r>
      <w:hyperlink r:id="rId15" w:history="1">
        <w:r w:rsidRPr="00277336">
          <w:rPr>
            <w:rStyle w:val="Hyperlink"/>
            <w:sz w:val="24"/>
            <w:szCs w:val="24"/>
          </w:rPr>
          <w:t>https://www.legislation.gov.uk/ukpga/2005/9/contents</w:t>
        </w:r>
      </w:hyperlink>
    </w:p>
    <w:p w14:paraId="6F3A7E2F" w14:textId="77777777" w:rsidR="00DB5601" w:rsidRPr="00277336" w:rsidRDefault="00DB5601" w:rsidP="00DB5601">
      <w:pPr>
        <w:rPr>
          <w:i/>
          <w:sz w:val="24"/>
          <w:szCs w:val="24"/>
        </w:rPr>
      </w:pPr>
    </w:p>
    <w:p w14:paraId="44C5942B" w14:textId="77777777" w:rsidR="00DB5601" w:rsidRDefault="00DB5601" w:rsidP="00DB5601">
      <w:pPr>
        <w:rPr>
          <w:sz w:val="24"/>
          <w:szCs w:val="24"/>
        </w:rPr>
      </w:pPr>
      <w:r w:rsidRPr="00277336">
        <w:rPr>
          <w:sz w:val="24"/>
          <w:szCs w:val="24"/>
        </w:rPr>
        <w:t>GOV.UK (2010). </w:t>
      </w:r>
      <w:r w:rsidRPr="00277336">
        <w:rPr>
          <w:i/>
          <w:iCs/>
          <w:sz w:val="24"/>
          <w:szCs w:val="24"/>
        </w:rPr>
        <w:t>Equality Act 2010</w:t>
      </w:r>
      <w:r w:rsidRPr="00277336">
        <w:rPr>
          <w:sz w:val="24"/>
          <w:szCs w:val="24"/>
        </w:rPr>
        <w:t xml:space="preserve">. [online] Legislation.gov.uk. Available at: </w:t>
      </w:r>
      <w:hyperlink r:id="rId16" w:history="1">
        <w:r w:rsidRPr="00277336">
          <w:rPr>
            <w:rStyle w:val="Hyperlink"/>
            <w:sz w:val="24"/>
            <w:szCs w:val="24"/>
          </w:rPr>
          <w:t>https://www.legislation.gov.uk/ukpga/2010/15/contents</w:t>
        </w:r>
      </w:hyperlink>
    </w:p>
    <w:p w14:paraId="6DAD084D" w14:textId="77777777" w:rsidR="00DB5601" w:rsidRPr="00277336" w:rsidRDefault="00DB5601" w:rsidP="00DB5601">
      <w:pPr>
        <w:rPr>
          <w:sz w:val="24"/>
          <w:szCs w:val="24"/>
        </w:rPr>
      </w:pPr>
    </w:p>
    <w:p w14:paraId="6AD20D36" w14:textId="77777777" w:rsidR="00DB5601" w:rsidRPr="00277336" w:rsidRDefault="00DB5601" w:rsidP="00DB5601">
      <w:pPr>
        <w:rPr>
          <w:sz w:val="24"/>
          <w:szCs w:val="24"/>
        </w:rPr>
      </w:pPr>
      <w:r w:rsidRPr="00277336">
        <w:rPr>
          <w:sz w:val="24"/>
          <w:szCs w:val="24"/>
        </w:rPr>
        <w:t>GOV.UK (2018). </w:t>
      </w:r>
      <w:r w:rsidRPr="00277336">
        <w:rPr>
          <w:i/>
          <w:sz w:val="24"/>
          <w:szCs w:val="24"/>
        </w:rPr>
        <w:t>Data Protection Act 2018</w:t>
      </w:r>
      <w:r w:rsidRPr="00277336">
        <w:rPr>
          <w:sz w:val="24"/>
          <w:szCs w:val="24"/>
        </w:rPr>
        <w:t xml:space="preserve">. [online] legislation.gov.uk. Available at: </w:t>
      </w:r>
      <w:hyperlink r:id="rId17" w:history="1">
        <w:r w:rsidRPr="00277336">
          <w:rPr>
            <w:rStyle w:val="Hyperlink"/>
            <w:iCs/>
            <w:sz w:val="24"/>
            <w:szCs w:val="24"/>
          </w:rPr>
          <w:t>https://www.legislation.gov.uk/ukpga/2018/12/contents</w:t>
        </w:r>
      </w:hyperlink>
      <w:r w:rsidRPr="00277336">
        <w:rPr>
          <w:sz w:val="24"/>
          <w:szCs w:val="24"/>
        </w:rPr>
        <w:t>.</w:t>
      </w:r>
    </w:p>
    <w:p w14:paraId="1751B76C" w14:textId="77777777" w:rsidR="00DB5601" w:rsidRPr="00270898" w:rsidRDefault="00DB5601" w:rsidP="00DB5601">
      <w:pPr>
        <w:spacing w:after="160" w:line="259" w:lineRule="auto"/>
        <w:rPr>
          <w:sz w:val="24"/>
          <w:szCs w:val="24"/>
        </w:rPr>
      </w:pPr>
      <w:r w:rsidRPr="00270898">
        <w:rPr>
          <w:sz w:val="24"/>
          <w:szCs w:val="24"/>
        </w:rPr>
        <w:lastRenderedPageBreak/>
        <w:t>Hefin Gwilym and Williams, C. (2021). </w:t>
      </w:r>
      <w:r w:rsidRPr="00270898">
        <w:rPr>
          <w:i/>
          <w:iCs/>
          <w:sz w:val="24"/>
          <w:szCs w:val="24"/>
        </w:rPr>
        <w:t>Social policy for social welfare practice in Wales</w:t>
      </w:r>
      <w:r w:rsidRPr="00270898">
        <w:rPr>
          <w:sz w:val="24"/>
          <w:szCs w:val="24"/>
        </w:rPr>
        <w:t xml:space="preserve">. Birmingham: British Association </w:t>
      </w:r>
      <w:proofErr w:type="gramStart"/>
      <w:r w:rsidRPr="00270898">
        <w:rPr>
          <w:sz w:val="24"/>
          <w:szCs w:val="24"/>
        </w:rPr>
        <w:t>Of</w:t>
      </w:r>
      <w:proofErr w:type="gramEnd"/>
      <w:r w:rsidRPr="00270898">
        <w:rPr>
          <w:sz w:val="24"/>
          <w:szCs w:val="24"/>
        </w:rPr>
        <w:t xml:space="preserve"> Social Workers.</w:t>
      </w:r>
    </w:p>
    <w:p w14:paraId="34F665CE" w14:textId="77777777" w:rsidR="00DB5601" w:rsidRDefault="00DB5601" w:rsidP="00DB5601">
      <w:pPr>
        <w:rPr>
          <w:sz w:val="24"/>
          <w:szCs w:val="24"/>
        </w:rPr>
      </w:pPr>
      <w:r w:rsidRPr="00277336">
        <w:rPr>
          <w:sz w:val="24"/>
          <w:szCs w:val="24"/>
        </w:rPr>
        <w:t>Human Rights Act (1998). </w:t>
      </w:r>
      <w:r w:rsidRPr="00277336">
        <w:rPr>
          <w:i/>
          <w:sz w:val="24"/>
          <w:szCs w:val="24"/>
        </w:rPr>
        <w:t>Human Rights Act 1998</w:t>
      </w:r>
      <w:r w:rsidRPr="00277336">
        <w:rPr>
          <w:sz w:val="24"/>
          <w:szCs w:val="24"/>
        </w:rPr>
        <w:t xml:space="preserve">. [online] Legislation.gov.uk. Available at: </w:t>
      </w:r>
      <w:hyperlink r:id="rId18" w:history="1">
        <w:r w:rsidRPr="00277336">
          <w:rPr>
            <w:rStyle w:val="Hyperlink"/>
            <w:iCs/>
            <w:sz w:val="24"/>
            <w:szCs w:val="24"/>
          </w:rPr>
          <w:t>https://www.legislation.gov.uk/ukpga/1998/42/contents</w:t>
        </w:r>
      </w:hyperlink>
      <w:r w:rsidRPr="00277336">
        <w:rPr>
          <w:sz w:val="24"/>
          <w:szCs w:val="24"/>
        </w:rPr>
        <w:t>.</w:t>
      </w:r>
    </w:p>
    <w:p w14:paraId="6893B8D1" w14:textId="77777777" w:rsidR="00DB5601" w:rsidRPr="00277336" w:rsidRDefault="00DB5601" w:rsidP="00DB5601">
      <w:pPr>
        <w:rPr>
          <w:sz w:val="24"/>
          <w:szCs w:val="24"/>
        </w:rPr>
      </w:pPr>
    </w:p>
    <w:p w14:paraId="6BAC52D2" w14:textId="77777777" w:rsidR="00DB5601" w:rsidRDefault="00DB5601" w:rsidP="00DB5601">
      <w:pPr>
        <w:rPr>
          <w:sz w:val="24"/>
          <w:szCs w:val="24"/>
        </w:rPr>
      </w:pPr>
      <w:r w:rsidRPr="00277336">
        <w:rPr>
          <w:sz w:val="24"/>
          <w:szCs w:val="24"/>
        </w:rPr>
        <w:t>Hutchinson, A (2013) ‘Strengths-based/resilience Theory’, in Davies, M, The Blackwell Companion to Social Work, 4</w:t>
      </w:r>
      <w:r w:rsidRPr="00277336">
        <w:rPr>
          <w:sz w:val="24"/>
          <w:szCs w:val="24"/>
          <w:vertAlign w:val="superscript"/>
        </w:rPr>
        <w:t>th</w:t>
      </w:r>
      <w:r w:rsidRPr="00277336">
        <w:rPr>
          <w:sz w:val="24"/>
          <w:szCs w:val="24"/>
        </w:rPr>
        <w:t xml:space="preserve"> edition, Chichester, Wiley-Blackwell, pp. 484-487</w:t>
      </w:r>
    </w:p>
    <w:p w14:paraId="00143235" w14:textId="77777777" w:rsidR="00DB5601" w:rsidRPr="00277336" w:rsidRDefault="00DB5601" w:rsidP="00DB5601">
      <w:pPr>
        <w:rPr>
          <w:sz w:val="24"/>
          <w:szCs w:val="24"/>
        </w:rPr>
      </w:pPr>
    </w:p>
    <w:p w14:paraId="4CF22AF7" w14:textId="77777777" w:rsidR="00DB5601" w:rsidRDefault="00DB5601" w:rsidP="00DB5601">
      <w:pPr>
        <w:rPr>
          <w:sz w:val="24"/>
          <w:szCs w:val="24"/>
        </w:rPr>
      </w:pPr>
      <w:r w:rsidRPr="00277336">
        <w:rPr>
          <w:sz w:val="24"/>
          <w:szCs w:val="24"/>
        </w:rPr>
        <w:t>Kemshall, H. (2013) ‘</w:t>
      </w:r>
      <w:r w:rsidRPr="00277336">
        <w:rPr>
          <w:i/>
          <w:sz w:val="24"/>
          <w:szCs w:val="24"/>
        </w:rPr>
        <w:t>Risk Assessment and Risk Management’</w:t>
      </w:r>
      <w:r w:rsidRPr="00277336">
        <w:rPr>
          <w:sz w:val="24"/>
          <w:szCs w:val="24"/>
        </w:rPr>
        <w:t>, in Davies, M, The Blackwell Companion to Social Work, 4</w:t>
      </w:r>
      <w:r w:rsidRPr="00277336">
        <w:rPr>
          <w:sz w:val="24"/>
          <w:szCs w:val="24"/>
          <w:vertAlign w:val="superscript"/>
        </w:rPr>
        <w:t>th</w:t>
      </w:r>
      <w:r w:rsidRPr="00277336">
        <w:rPr>
          <w:sz w:val="24"/>
          <w:szCs w:val="24"/>
        </w:rPr>
        <w:t xml:space="preserve"> edition, Chichester, Wiley-Blackwell, pp. 333-342.</w:t>
      </w:r>
    </w:p>
    <w:p w14:paraId="4B1E7294" w14:textId="77777777" w:rsidR="00DB5601" w:rsidRPr="00277336" w:rsidRDefault="00DB5601" w:rsidP="00DB5601">
      <w:pPr>
        <w:rPr>
          <w:sz w:val="24"/>
          <w:szCs w:val="24"/>
        </w:rPr>
      </w:pPr>
    </w:p>
    <w:p w14:paraId="01671622" w14:textId="77777777" w:rsidR="00DB5601" w:rsidRDefault="00DB5601" w:rsidP="00DB5601">
      <w:pPr>
        <w:rPr>
          <w:sz w:val="24"/>
          <w:szCs w:val="24"/>
        </w:rPr>
      </w:pPr>
      <w:r w:rsidRPr="00277336">
        <w:rPr>
          <w:sz w:val="24"/>
          <w:szCs w:val="24"/>
        </w:rPr>
        <w:t xml:space="preserve">Kolb, (1984) </w:t>
      </w:r>
      <w:r w:rsidRPr="00277336">
        <w:rPr>
          <w:i/>
          <w:sz w:val="24"/>
          <w:szCs w:val="24"/>
        </w:rPr>
        <w:t>‘Kolb’s Experimental Learning Cycle’</w:t>
      </w:r>
      <w:r w:rsidRPr="00277336">
        <w:rPr>
          <w:sz w:val="24"/>
          <w:szCs w:val="24"/>
        </w:rPr>
        <w:t xml:space="preserve"> within Bassot, B. (2013). </w:t>
      </w:r>
      <w:r w:rsidRPr="00277336">
        <w:rPr>
          <w:i/>
          <w:sz w:val="24"/>
          <w:szCs w:val="24"/>
        </w:rPr>
        <w:t>The reflective journal</w:t>
      </w:r>
      <w:r w:rsidRPr="00277336">
        <w:rPr>
          <w:sz w:val="24"/>
          <w:szCs w:val="24"/>
        </w:rPr>
        <w:t>. New York: Palgrave Macmillan, pp26-30</w:t>
      </w:r>
    </w:p>
    <w:p w14:paraId="2C5B0018" w14:textId="77777777" w:rsidR="00DB5601" w:rsidRPr="00277336" w:rsidRDefault="00DB5601" w:rsidP="00DB5601">
      <w:pPr>
        <w:rPr>
          <w:sz w:val="24"/>
          <w:szCs w:val="24"/>
        </w:rPr>
      </w:pPr>
    </w:p>
    <w:p w14:paraId="6AC8C601" w14:textId="77777777" w:rsidR="00DB5601" w:rsidRDefault="00DB5601" w:rsidP="00DB5601">
      <w:pPr>
        <w:rPr>
          <w:sz w:val="24"/>
          <w:szCs w:val="24"/>
        </w:rPr>
      </w:pPr>
      <w:r w:rsidRPr="00277336">
        <w:rPr>
          <w:sz w:val="24"/>
          <w:szCs w:val="24"/>
        </w:rPr>
        <w:t>Laming, L. (2003). </w:t>
      </w:r>
      <w:r w:rsidRPr="00277336">
        <w:rPr>
          <w:i/>
          <w:sz w:val="24"/>
          <w:szCs w:val="24"/>
        </w:rPr>
        <w:t>The Inquiry Victoria Climbié</w:t>
      </w:r>
      <w:r w:rsidRPr="00277336">
        <w:rPr>
          <w:sz w:val="24"/>
          <w:szCs w:val="24"/>
        </w:rPr>
        <w:t xml:space="preserve">. [online] Available at: </w:t>
      </w:r>
      <w:hyperlink r:id="rId19" w:history="1">
        <w:r w:rsidRPr="00277336">
          <w:rPr>
            <w:rStyle w:val="Hyperlink"/>
            <w:iCs/>
            <w:sz w:val="24"/>
            <w:szCs w:val="24"/>
          </w:rPr>
          <w:t>https://assets.publishing.service.gov.uk/media/5a7c5edeed915d696ccfc51b/5730.pdf</w:t>
        </w:r>
      </w:hyperlink>
      <w:r w:rsidRPr="00277336">
        <w:rPr>
          <w:sz w:val="24"/>
          <w:szCs w:val="24"/>
        </w:rPr>
        <w:t>.</w:t>
      </w:r>
    </w:p>
    <w:p w14:paraId="62E25079" w14:textId="77777777" w:rsidR="00DB5601" w:rsidRPr="00277336" w:rsidRDefault="00DB5601" w:rsidP="00DB5601">
      <w:pPr>
        <w:rPr>
          <w:sz w:val="24"/>
          <w:szCs w:val="24"/>
        </w:rPr>
      </w:pPr>
    </w:p>
    <w:p w14:paraId="33610249" w14:textId="77777777" w:rsidR="00DB5601" w:rsidRDefault="00DB5601" w:rsidP="00DB5601">
      <w:pPr>
        <w:rPr>
          <w:sz w:val="24"/>
          <w:szCs w:val="24"/>
        </w:rPr>
      </w:pPr>
      <w:r w:rsidRPr="00277336">
        <w:rPr>
          <w:sz w:val="24"/>
          <w:szCs w:val="24"/>
        </w:rPr>
        <w:t>Legislation.gov.uk (1989).</w:t>
      </w:r>
      <w:r w:rsidRPr="00277336">
        <w:rPr>
          <w:i/>
          <w:sz w:val="24"/>
          <w:szCs w:val="24"/>
        </w:rPr>
        <w:t xml:space="preserve"> Children Act 1989</w:t>
      </w:r>
      <w:r w:rsidRPr="00277336">
        <w:rPr>
          <w:sz w:val="24"/>
          <w:szCs w:val="24"/>
        </w:rPr>
        <w:t xml:space="preserve">. [online]. Available at: </w:t>
      </w:r>
      <w:hyperlink r:id="rId20" w:history="1">
        <w:r w:rsidRPr="00277336">
          <w:rPr>
            <w:rStyle w:val="Hyperlink"/>
            <w:iCs/>
            <w:sz w:val="24"/>
            <w:szCs w:val="24"/>
          </w:rPr>
          <w:t>https://www.legislation.gov.uk/ukpga/1989/41/contents</w:t>
        </w:r>
      </w:hyperlink>
      <w:r w:rsidRPr="00277336">
        <w:rPr>
          <w:sz w:val="24"/>
          <w:szCs w:val="24"/>
        </w:rPr>
        <w:t>.</w:t>
      </w:r>
    </w:p>
    <w:p w14:paraId="7B5A95A5" w14:textId="77777777" w:rsidR="00DB5601" w:rsidRPr="00277336" w:rsidRDefault="00DB5601" w:rsidP="00DB5601">
      <w:pPr>
        <w:rPr>
          <w:sz w:val="24"/>
          <w:szCs w:val="24"/>
        </w:rPr>
      </w:pPr>
    </w:p>
    <w:p w14:paraId="2BA17B85" w14:textId="77777777" w:rsidR="00DB5601" w:rsidRDefault="00DB5601" w:rsidP="00DB5601">
      <w:pPr>
        <w:rPr>
          <w:sz w:val="24"/>
          <w:szCs w:val="24"/>
        </w:rPr>
      </w:pPr>
      <w:r w:rsidRPr="00277336">
        <w:rPr>
          <w:sz w:val="24"/>
          <w:szCs w:val="24"/>
        </w:rPr>
        <w:t>Legislation.gov.uk. (2011). </w:t>
      </w:r>
      <w:r w:rsidRPr="00277336">
        <w:rPr>
          <w:i/>
          <w:sz w:val="24"/>
          <w:szCs w:val="24"/>
        </w:rPr>
        <w:t>Welsh Language (Wales) Measure 2011</w:t>
      </w:r>
      <w:r w:rsidRPr="00277336">
        <w:rPr>
          <w:sz w:val="24"/>
          <w:szCs w:val="24"/>
        </w:rPr>
        <w:t xml:space="preserve">. [online] Available at: </w:t>
      </w:r>
      <w:hyperlink r:id="rId21" w:history="1">
        <w:r w:rsidRPr="00277336">
          <w:rPr>
            <w:rStyle w:val="Hyperlink"/>
            <w:sz w:val="24"/>
            <w:szCs w:val="24"/>
          </w:rPr>
          <w:t>https://www.legislation.gov.uk/mwa/2011/1/contents/enacted</w:t>
        </w:r>
      </w:hyperlink>
      <w:r w:rsidRPr="00277336">
        <w:rPr>
          <w:sz w:val="24"/>
          <w:szCs w:val="24"/>
        </w:rPr>
        <w:t>.</w:t>
      </w:r>
    </w:p>
    <w:p w14:paraId="73A02D7F" w14:textId="77777777" w:rsidR="00DB5601" w:rsidRPr="00277336" w:rsidRDefault="00DB5601" w:rsidP="00DB5601">
      <w:pPr>
        <w:rPr>
          <w:sz w:val="24"/>
          <w:szCs w:val="24"/>
        </w:rPr>
      </w:pPr>
    </w:p>
    <w:p w14:paraId="6D0C5E5A" w14:textId="77777777" w:rsidR="00DB5601" w:rsidRDefault="00DB5601" w:rsidP="00DB5601">
      <w:pPr>
        <w:rPr>
          <w:sz w:val="24"/>
          <w:szCs w:val="24"/>
        </w:rPr>
      </w:pPr>
      <w:r w:rsidRPr="00277336">
        <w:rPr>
          <w:sz w:val="24"/>
          <w:szCs w:val="24"/>
        </w:rPr>
        <w:t>Legislation.gov.uk. (2020). </w:t>
      </w:r>
      <w:r w:rsidRPr="00277336">
        <w:rPr>
          <w:i/>
          <w:sz w:val="24"/>
          <w:szCs w:val="24"/>
        </w:rPr>
        <w:t>Children (Abolition of Defence of Reasonable Punishment) (Wales) Act 2020</w:t>
      </w:r>
      <w:r w:rsidRPr="00277336">
        <w:rPr>
          <w:sz w:val="24"/>
          <w:szCs w:val="24"/>
        </w:rPr>
        <w:t xml:space="preserve">. [online] Available at: </w:t>
      </w:r>
      <w:hyperlink r:id="rId22" w:history="1">
        <w:r w:rsidRPr="00277336">
          <w:rPr>
            <w:rStyle w:val="Hyperlink"/>
            <w:iCs/>
            <w:sz w:val="24"/>
            <w:szCs w:val="24"/>
          </w:rPr>
          <w:t>https://www.legislation.gov.uk/anaw/2020/3</w:t>
        </w:r>
      </w:hyperlink>
      <w:r w:rsidRPr="00277336">
        <w:rPr>
          <w:sz w:val="24"/>
          <w:szCs w:val="24"/>
        </w:rPr>
        <w:t>.</w:t>
      </w:r>
    </w:p>
    <w:p w14:paraId="53ACBB24" w14:textId="77777777" w:rsidR="00DB5601" w:rsidRPr="00277336" w:rsidRDefault="00DB5601" w:rsidP="00DB5601">
      <w:pPr>
        <w:rPr>
          <w:sz w:val="24"/>
          <w:szCs w:val="24"/>
        </w:rPr>
      </w:pPr>
    </w:p>
    <w:p w14:paraId="0E8C9603" w14:textId="77777777" w:rsidR="00DB5601" w:rsidRDefault="00DB5601" w:rsidP="00DB5601">
      <w:pPr>
        <w:rPr>
          <w:sz w:val="24"/>
          <w:szCs w:val="24"/>
        </w:rPr>
      </w:pPr>
      <w:r w:rsidRPr="00277336">
        <w:rPr>
          <w:sz w:val="24"/>
          <w:szCs w:val="24"/>
          <w:shd w:val="clear" w:color="auto" w:fill="FFFFFF"/>
        </w:rPr>
        <w:t xml:space="preserve">More than Just Words (2015) [online] Available at: </w:t>
      </w:r>
      <w:hyperlink r:id="rId23" w:history="1">
        <w:r w:rsidRPr="00277336">
          <w:rPr>
            <w:rStyle w:val="Hyperlink"/>
            <w:sz w:val="24"/>
            <w:szCs w:val="24"/>
            <w:shd w:val="clear" w:color="auto" w:fill="FFFFFF"/>
          </w:rPr>
          <w:t>https://www.gov.wales/sites/default/files/publications/2019-04/more-than-just-words-progress-report-year-2.pdf</w:t>
        </w:r>
      </w:hyperlink>
    </w:p>
    <w:p w14:paraId="673059D2" w14:textId="77777777" w:rsidR="00DB5601" w:rsidRPr="00277336" w:rsidRDefault="00DB5601" w:rsidP="00DB5601">
      <w:pPr>
        <w:rPr>
          <w:sz w:val="24"/>
          <w:szCs w:val="24"/>
        </w:rPr>
      </w:pPr>
    </w:p>
    <w:p w14:paraId="4263B98C" w14:textId="77777777" w:rsidR="00DB5601" w:rsidRDefault="00DB5601" w:rsidP="00DB5601">
      <w:pPr>
        <w:rPr>
          <w:sz w:val="24"/>
          <w:szCs w:val="24"/>
        </w:rPr>
      </w:pPr>
      <w:r w:rsidRPr="00277336">
        <w:rPr>
          <w:sz w:val="24"/>
          <w:szCs w:val="24"/>
        </w:rPr>
        <w:t xml:space="preserve">Munro, E. (1999) Common errors of reasoning in child protection work. London: LSE Research Articles Online. Available at: </w:t>
      </w:r>
      <w:hyperlink r:id="rId24" w:history="1">
        <w:r w:rsidRPr="00277336">
          <w:rPr>
            <w:rStyle w:val="Hyperlink"/>
            <w:sz w:val="24"/>
            <w:szCs w:val="24"/>
          </w:rPr>
          <w:t>http://eprints.lse.ac.uk/archive/00000358/</w:t>
        </w:r>
      </w:hyperlink>
    </w:p>
    <w:p w14:paraId="2F582840" w14:textId="77777777" w:rsidR="00DB5601" w:rsidRPr="00277336" w:rsidRDefault="00DB5601" w:rsidP="00DB5601">
      <w:pPr>
        <w:rPr>
          <w:sz w:val="24"/>
          <w:szCs w:val="24"/>
        </w:rPr>
      </w:pPr>
    </w:p>
    <w:p w14:paraId="06D1FC24" w14:textId="77777777" w:rsidR="00DB5601" w:rsidRDefault="00DB5601" w:rsidP="00DB5601">
      <w:pPr>
        <w:rPr>
          <w:sz w:val="24"/>
          <w:szCs w:val="24"/>
        </w:rPr>
      </w:pPr>
      <w:r w:rsidRPr="00277336">
        <w:rPr>
          <w:sz w:val="24"/>
          <w:szCs w:val="24"/>
        </w:rPr>
        <w:t>NSPCC (2022). </w:t>
      </w:r>
      <w:r w:rsidRPr="00277336">
        <w:rPr>
          <w:i/>
          <w:iCs/>
          <w:sz w:val="24"/>
          <w:szCs w:val="24"/>
        </w:rPr>
        <w:t>Gillick competence and Fraser guidelines</w:t>
      </w:r>
      <w:r w:rsidRPr="00277336">
        <w:rPr>
          <w:sz w:val="24"/>
          <w:szCs w:val="24"/>
        </w:rPr>
        <w:t xml:space="preserve">. [online] NSPCC Learning. Available at: </w:t>
      </w:r>
      <w:hyperlink r:id="rId25" w:anchor="skip-to-content" w:history="1">
        <w:r w:rsidRPr="00277336">
          <w:rPr>
            <w:rStyle w:val="Hyperlink"/>
            <w:sz w:val="24"/>
            <w:szCs w:val="24"/>
          </w:rPr>
          <w:t>https://learning.nspcc.org.uk/child-protection-system/gillick-competence-fraser-guidelines#skip-to-content</w:t>
        </w:r>
      </w:hyperlink>
    </w:p>
    <w:p w14:paraId="61385377" w14:textId="77777777" w:rsidR="00DB5601" w:rsidRPr="00277336" w:rsidRDefault="00DB5601" w:rsidP="00DB5601">
      <w:pPr>
        <w:rPr>
          <w:iCs/>
          <w:sz w:val="24"/>
          <w:szCs w:val="24"/>
        </w:rPr>
      </w:pPr>
    </w:p>
    <w:p w14:paraId="40C2A11C" w14:textId="77777777" w:rsidR="00DB5601" w:rsidRDefault="00DB5601" w:rsidP="00DB5601">
      <w:pPr>
        <w:rPr>
          <w:sz w:val="24"/>
          <w:szCs w:val="24"/>
        </w:rPr>
      </w:pPr>
      <w:r w:rsidRPr="00277336">
        <w:rPr>
          <w:sz w:val="24"/>
          <w:szCs w:val="24"/>
        </w:rPr>
        <w:t xml:space="preserve">Parker, J (2013) </w:t>
      </w:r>
      <w:r w:rsidRPr="00277336">
        <w:rPr>
          <w:i/>
          <w:sz w:val="24"/>
          <w:szCs w:val="24"/>
        </w:rPr>
        <w:t>‘Assessment, Intervention and Review’</w:t>
      </w:r>
      <w:r w:rsidRPr="00277336">
        <w:rPr>
          <w:sz w:val="24"/>
          <w:szCs w:val="24"/>
        </w:rPr>
        <w:t>, in Davies, M, The Blackwell Companion to Social Work, 4</w:t>
      </w:r>
      <w:r w:rsidRPr="00277336">
        <w:rPr>
          <w:sz w:val="24"/>
          <w:szCs w:val="24"/>
          <w:vertAlign w:val="superscript"/>
        </w:rPr>
        <w:t>th</w:t>
      </w:r>
      <w:r w:rsidRPr="00277336">
        <w:rPr>
          <w:sz w:val="24"/>
          <w:szCs w:val="24"/>
        </w:rPr>
        <w:t xml:space="preserve"> edition, Chichester, Wiley-Blackwell, pp. 311-320</w:t>
      </w:r>
    </w:p>
    <w:p w14:paraId="5CCE89C4" w14:textId="77777777" w:rsidR="00DB5601" w:rsidRPr="00277336" w:rsidRDefault="00DB5601" w:rsidP="00DB5601">
      <w:pPr>
        <w:rPr>
          <w:sz w:val="24"/>
          <w:szCs w:val="24"/>
        </w:rPr>
      </w:pPr>
    </w:p>
    <w:p w14:paraId="05AB7336" w14:textId="77777777" w:rsidR="00DB5601" w:rsidRDefault="00DB5601" w:rsidP="00DB5601">
      <w:pPr>
        <w:rPr>
          <w:iCs/>
          <w:sz w:val="24"/>
          <w:szCs w:val="24"/>
        </w:rPr>
      </w:pPr>
      <w:r w:rsidRPr="00277336">
        <w:rPr>
          <w:iCs/>
          <w:sz w:val="24"/>
          <w:szCs w:val="24"/>
        </w:rPr>
        <w:t>Platt, D., &amp; Horwath, J. (2019). </w:t>
      </w:r>
      <w:r w:rsidRPr="00277336">
        <w:rPr>
          <w:i/>
          <w:iCs/>
          <w:sz w:val="24"/>
          <w:szCs w:val="24"/>
        </w:rPr>
        <w:t xml:space="preserve">The child’s </w:t>
      </w:r>
      <w:proofErr w:type="gramStart"/>
      <w:r w:rsidRPr="00277336">
        <w:rPr>
          <w:i/>
          <w:iCs/>
          <w:sz w:val="24"/>
          <w:szCs w:val="24"/>
        </w:rPr>
        <w:t>world :</w:t>
      </w:r>
      <w:proofErr w:type="gramEnd"/>
      <w:r w:rsidRPr="00277336">
        <w:rPr>
          <w:i/>
          <w:iCs/>
          <w:sz w:val="24"/>
          <w:szCs w:val="24"/>
        </w:rPr>
        <w:t xml:space="preserve"> the essential guide to assessing vulnerable children, young people and their families</w:t>
      </w:r>
      <w:r w:rsidRPr="00277336">
        <w:rPr>
          <w:iCs/>
          <w:sz w:val="24"/>
          <w:szCs w:val="24"/>
        </w:rPr>
        <w:t> (3rd ed.). Jessica Kingsley Publishers.</w:t>
      </w:r>
    </w:p>
    <w:p w14:paraId="521AB046" w14:textId="77777777" w:rsidR="00DB5601" w:rsidRPr="00277336" w:rsidRDefault="00DB5601" w:rsidP="00DB5601">
      <w:pPr>
        <w:rPr>
          <w:iCs/>
          <w:sz w:val="24"/>
          <w:szCs w:val="24"/>
        </w:rPr>
      </w:pPr>
    </w:p>
    <w:p w14:paraId="294F14E8" w14:textId="77777777" w:rsidR="00DB5601" w:rsidRDefault="00DB5601" w:rsidP="00DB5601">
      <w:pPr>
        <w:rPr>
          <w:sz w:val="24"/>
          <w:szCs w:val="24"/>
        </w:rPr>
      </w:pPr>
      <w:r w:rsidRPr="00277336">
        <w:rPr>
          <w:sz w:val="24"/>
          <w:szCs w:val="24"/>
        </w:rPr>
        <w:t>Sedan, J (2013) ‘</w:t>
      </w:r>
      <w:r w:rsidRPr="00277336">
        <w:rPr>
          <w:i/>
          <w:sz w:val="24"/>
          <w:szCs w:val="24"/>
        </w:rPr>
        <w:t>Interviewing and Relationship Skills’</w:t>
      </w:r>
      <w:r w:rsidRPr="00277336">
        <w:rPr>
          <w:sz w:val="24"/>
          <w:szCs w:val="24"/>
        </w:rPr>
        <w:t>, in Davies, M, The Blackwell Companion to Social Work, 4</w:t>
      </w:r>
      <w:r w:rsidRPr="00277336">
        <w:rPr>
          <w:sz w:val="24"/>
          <w:szCs w:val="24"/>
          <w:vertAlign w:val="superscript"/>
        </w:rPr>
        <w:t>th</w:t>
      </w:r>
      <w:r w:rsidRPr="00277336">
        <w:rPr>
          <w:sz w:val="24"/>
          <w:szCs w:val="24"/>
        </w:rPr>
        <w:t xml:space="preserve"> edition, Chichester, Wiley-Blackwell, pp. 355-367</w:t>
      </w:r>
    </w:p>
    <w:p w14:paraId="7746FE10" w14:textId="77777777" w:rsidR="00DB5601" w:rsidRDefault="00DB5601" w:rsidP="00DB5601">
      <w:pPr>
        <w:rPr>
          <w:sz w:val="24"/>
          <w:szCs w:val="24"/>
        </w:rPr>
      </w:pPr>
    </w:p>
    <w:p w14:paraId="5BDCF90C" w14:textId="5390DBA4" w:rsidR="00DB5601" w:rsidRDefault="00DB5601" w:rsidP="00DB5601">
      <w:pPr>
        <w:rPr>
          <w:sz w:val="24"/>
          <w:szCs w:val="24"/>
        </w:rPr>
      </w:pPr>
      <w:r w:rsidRPr="00277336">
        <w:rPr>
          <w:sz w:val="24"/>
          <w:szCs w:val="24"/>
        </w:rPr>
        <w:lastRenderedPageBreak/>
        <w:t>Signs of Safety (2018). </w:t>
      </w:r>
      <w:r w:rsidRPr="00277336">
        <w:rPr>
          <w:i/>
          <w:sz w:val="24"/>
          <w:szCs w:val="24"/>
        </w:rPr>
        <w:t xml:space="preserve">What </w:t>
      </w:r>
      <w:proofErr w:type="gramStart"/>
      <w:r w:rsidRPr="00277336">
        <w:rPr>
          <w:i/>
          <w:sz w:val="24"/>
          <w:szCs w:val="24"/>
        </w:rPr>
        <w:t>Is</w:t>
      </w:r>
      <w:proofErr w:type="gramEnd"/>
      <w:r w:rsidRPr="00277336">
        <w:rPr>
          <w:i/>
          <w:sz w:val="24"/>
          <w:szCs w:val="24"/>
        </w:rPr>
        <w:t xml:space="preserve"> Signs of Safety?</w:t>
      </w:r>
      <w:r w:rsidRPr="00277336">
        <w:rPr>
          <w:sz w:val="24"/>
          <w:szCs w:val="24"/>
        </w:rPr>
        <w:t xml:space="preserve"> [online] Signs of Safety. Available at: </w:t>
      </w:r>
      <w:hyperlink r:id="rId26" w:history="1">
        <w:r w:rsidRPr="00277336">
          <w:rPr>
            <w:rStyle w:val="Hyperlink"/>
            <w:iCs/>
            <w:sz w:val="24"/>
            <w:szCs w:val="24"/>
          </w:rPr>
          <w:t>https://www.signsofsafety.net/what-is-sofs/</w:t>
        </w:r>
      </w:hyperlink>
      <w:r w:rsidRPr="00277336">
        <w:rPr>
          <w:sz w:val="24"/>
          <w:szCs w:val="24"/>
        </w:rPr>
        <w:t>.</w:t>
      </w:r>
    </w:p>
    <w:p w14:paraId="4531A489" w14:textId="77777777" w:rsidR="00DB5601" w:rsidRPr="00277336" w:rsidRDefault="00DB5601" w:rsidP="00DB5601">
      <w:pPr>
        <w:rPr>
          <w:sz w:val="24"/>
          <w:szCs w:val="24"/>
        </w:rPr>
      </w:pPr>
    </w:p>
    <w:p w14:paraId="474B15A7" w14:textId="77777777" w:rsidR="00DB5601" w:rsidRDefault="00DB5601" w:rsidP="00DB5601">
      <w:pPr>
        <w:rPr>
          <w:sz w:val="24"/>
          <w:szCs w:val="24"/>
        </w:rPr>
      </w:pPr>
      <w:r w:rsidRPr="00277336">
        <w:rPr>
          <w:iCs/>
          <w:sz w:val="24"/>
          <w:szCs w:val="24"/>
        </w:rPr>
        <w:t>‌</w:t>
      </w:r>
      <w:r w:rsidRPr="00277336">
        <w:rPr>
          <w:sz w:val="24"/>
          <w:szCs w:val="24"/>
        </w:rPr>
        <w:t>Smeeton J. ‘Signs of Safety’ in Davies, M. (2013). </w:t>
      </w:r>
      <w:r w:rsidRPr="00277336">
        <w:rPr>
          <w:i/>
          <w:iCs/>
          <w:sz w:val="24"/>
          <w:szCs w:val="24"/>
        </w:rPr>
        <w:t>The Blackwell companion to social work</w:t>
      </w:r>
      <w:r w:rsidRPr="00277336">
        <w:rPr>
          <w:sz w:val="24"/>
          <w:szCs w:val="24"/>
        </w:rPr>
        <w:t xml:space="preserve">. 4th </w:t>
      </w:r>
      <w:proofErr w:type="spellStart"/>
      <w:r w:rsidRPr="00277336">
        <w:rPr>
          <w:sz w:val="24"/>
          <w:szCs w:val="24"/>
        </w:rPr>
        <w:t>edn</w:t>
      </w:r>
      <w:proofErr w:type="spellEnd"/>
      <w:r w:rsidRPr="00277336">
        <w:rPr>
          <w:sz w:val="24"/>
          <w:szCs w:val="24"/>
        </w:rPr>
        <w:t>. Hoboken: Wiley Blackwell. pp466-468</w:t>
      </w:r>
    </w:p>
    <w:p w14:paraId="3FDADD4D" w14:textId="77777777" w:rsidR="00DB5601" w:rsidRPr="00277336" w:rsidRDefault="00DB5601" w:rsidP="00DB5601">
      <w:pPr>
        <w:rPr>
          <w:sz w:val="24"/>
          <w:szCs w:val="24"/>
        </w:rPr>
      </w:pPr>
    </w:p>
    <w:p w14:paraId="268A8EC5" w14:textId="77777777" w:rsidR="00DB5601" w:rsidRDefault="00DB5601" w:rsidP="00DB5601">
      <w:pPr>
        <w:rPr>
          <w:sz w:val="24"/>
          <w:szCs w:val="24"/>
        </w:rPr>
      </w:pPr>
      <w:r w:rsidRPr="00277336">
        <w:rPr>
          <w:sz w:val="24"/>
          <w:szCs w:val="24"/>
        </w:rPr>
        <w:t>Social Care Wales (2017). </w:t>
      </w:r>
      <w:r w:rsidRPr="00277336">
        <w:rPr>
          <w:i/>
          <w:sz w:val="24"/>
          <w:szCs w:val="24"/>
        </w:rPr>
        <w:t>Code of Professional Practice for Social Care</w:t>
      </w:r>
      <w:r w:rsidRPr="00277336">
        <w:rPr>
          <w:sz w:val="24"/>
          <w:szCs w:val="24"/>
        </w:rPr>
        <w:t>. [online] </w:t>
      </w:r>
      <w:r w:rsidRPr="00277336">
        <w:rPr>
          <w:i/>
          <w:sz w:val="24"/>
          <w:szCs w:val="24"/>
        </w:rPr>
        <w:t>Social Care Wales</w:t>
      </w:r>
      <w:r w:rsidRPr="00277336">
        <w:rPr>
          <w:sz w:val="24"/>
          <w:szCs w:val="24"/>
        </w:rPr>
        <w:t xml:space="preserve">. Social Care Wales. Available at: </w:t>
      </w:r>
      <w:hyperlink r:id="rId27" w:history="1">
        <w:r w:rsidRPr="00277336">
          <w:rPr>
            <w:rStyle w:val="Hyperlink"/>
            <w:iCs/>
            <w:sz w:val="24"/>
            <w:szCs w:val="24"/>
          </w:rPr>
          <w:t>https://socialcare.wales/cms-assets/documents/Code-of-Professional-Practice-for-Social-Care-web-version.pdf</w:t>
        </w:r>
      </w:hyperlink>
      <w:r w:rsidRPr="00277336">
        <w:rPr>
          <w:sz w:val="24"/>
          <w:szCs w:val="24"/>
        </w:rPr>
        <w:t>.</w:t>
      </w:r>
    </w:p>
    <w:p w14:paraId="2E38C809" w14:textId="77777777" w:rsidR="00DB5601" w:rsidRPr="00277336" w:rsidRDefault="00DB5601" w:rsidP="00DB5601">
      <w:pPr>
        <w:rPr>
          <w:sz w:val="24"/>
          <w:szCs w:val="24"/>
        </w:rPr>
      </w:pPr>
    </w:p>
    <w:p w14:paraId="2C93F302" w14:textId="77777777" w:rsidR="00DB5601" w:rsidRDefault="00DB5601" w:rsidP="00DB5601">
      <w:pPr>
        <w:rPr>
          <w:sz w:val="24"/>
          <w:szCs w:val="24"/>
        </w:rPr>
      </w:pPr>
      <w:r w:rsidRPr="00277336">
        <w:rPr>
          <w:sz w:val="24"/>
          <w:szCs w:val="24"/>
        </w:rPr>
        <w:t xml:space="preserve">Teater, B. (2024). ‘Crisis Intervention’. </w:t>
      </w:r>
      <w:r w:rsidRPr="00277336">
        <w:rPr>
          <w:i/>
          <w:sz w:val="24"/>
          <w:szCs w:val="24"/>
        </w:rPr>
        <w:t>Introduction to Applying Social Work Theories and Methods.</w:t>
      </w:r>
      <w:r w:rsidRPr="00277336">
        <w:rPr>
          <w:sz w:val="24"/>
          <w:szCs w:val="24"/>
        </w:rPr>
        <w:t> 4th ed. London: Open University Press. Pp198-214</w:t>
      </w:r>
    </w:p>
    <w:p w14:paraId="7750C6A1" w14:textId="77777777" w:rsidR="00DB5601" w:rsidRPr="00277336" w:rsidRDefault="00DB5601" w:rsidP="00DB5601">
      <w:pPr>
        <w:rPr>
          <w:sz w:val="24"/>
          <w:szCs w:val="24"/>
        </w:rPr>
      </w:pPr>
    </w:p>
    <w:p w14:paraId="42DE6C97" w14:textId="77777777" w:rsidR="00DB5601" w:rsidRDefault="00DB5601" w:rsidP="00DB5601">
      <w:pPr>
        <w:rPr>
          <w:i/>
          <w:sz w:val="24"/>
          <w:szCs w:val="24"/>
        </w:rPr>
      </w:pPr>
      <w:r w:rsidRPr="00277336">
        <w:rPr>
          <w:i/>
          <w:sz w:val="24"/>
          <w:szCs w:val="24"/>
        </w:rPr>
        <w:t xml:space="preserve">UNICEF (2022). UN convention on the rights of the child (UNCRC). [online] </w:t>
      </w:r>
      <w:proofErr w:type="spellStart"/>
      <w:r w:rsidRPr="00277336">
        <w:rPr>
          <w:i/>
          <w:sz w:val="24"/>
          <w:szCs w:val="24"/>
        </w:rPr>
        <w:t>unicef</w:t>
      </w:r>
      <w:proofErr w:type="spellEnd"/>
      <w:r w:rsidRPr="00277336">
        <w:rPr>
          <w:i/>
          <w:sz w:val="24"/>
          <w:szCs w:val="24"/>
        </w:rPr>
        <w:t xml:space="preserve">. Available at: </w:t>
      </w:r>
      <w:hyperlink r:id="rId28" w:history="1">
        <w:r w:rsidRPr="00277336">
          <w:rPr>
            <w:rStyle w:val="Hyperlink"/>
            <w:i/>
            <w:sz w:val="24"/>
            <w:szCs w:val="24"/>
          </w:rPr>
          <w:t>https://www.unicef.org.uk/what-we-do/un-convention-child-rights/</w:t>
        </w:r>
      </w:hyperlink>
      <w:r w:rsidRPr="00277336">
        <w:rPr>
          <w:i/>
          <w:sz w:val="24"/>
          <w:szCs w:val="24"/>
        </w:rPr>
        <w:t>.</w:t>
      </w:r>
    </w:p>
    <w:p w14:paraId="01AD7421" w14:textId="77777777" w:rsidR="00DB5601" w:rsidRPr="00277336" w:rsidRDefault="00DB5601" w:rsidP="00DB5601">
      <w:pPr>
        <w:rPr>
          <w:i/>
          <w:sz w:val="24"/>
          <w:szCs w:val="24"/>
        </w:rPr>
      </w:pPr>
    </w:p>
    <w:p w14:paraId="69F8C707" w14:textId="77777777" w:rsidR="00DB5601" w:rsidRDefault="00DB5601" w:rsidP="00DB5601">
      <w:pPr>
        <w:rPr>
          <w:i/>
          <w:sz w:val="24"/>
          <w:szCs w:val="24"/>
        </w:rPr>
      </w:pPr>
      <w:r w:rsidRPr="00277336">
        <w:rPr>
          <w:i/>
          <w:sz w:val="24"/>
          <w:szCs w:val="24"/>
        </w:rPr>
        <w:t>United Nations (1989). </w:t>
      </w:r>
      <w:r w:rsidRPr="00277336">
        <w:rPr>
          <w:i/>
          <w:iCs/>
          <w:sz w:val="24"/>
          <w:szCs w:val="24"/>
        </w:rPr>
        <w:t>Convention on the Rights of the Child</w:t>
      </w:r>
      <w:r w:rsidRPr="00277336">
        <w:rPr>
          <w:i/>
          <w:sz w:val="24"/>
          <w:szCs w:val="24"/>
        </w:rPr>
        <w:t xml:space="preserve">. [online] OHCHR. Available at: </w:t>
      </w:r>
      <w:hyperlink r:id="rId29" w:history="1">
        <w:r w:rsidRPr="00277336">
          <w:rPr>
            <w:rStyle w:val="Hyperlink"/>
            <w:i/>
            <w:sz w:val="24"/>
            <w:szCs w:val="24"/>
          </w:rPr>
          <w:t>https://www.ohchr.org/en/instruments-mechanisms/instruments/convention-rights-child</w:t>
        </w:r>
      </w:hyperlink>
      <w:r w:rsidRPr="00277336">
        <w:rPr>
          <w:i/>
          <w:sz w:val="24"/>
          <w:szCs w:val="24"/>
        </w:rPr>
        <w:t xml:space="preserve">. </w:t>
      </w:r>
    </w:p>
    <w:p w14:paraId="7902411C" w14:textId="77777777" w:rsidR="00DB5601" w:rsidRPr="00277336" w:rsidRDefault="00DB5601" w:rsidP="00DB5601">
      <w:pPr>
        <w:rPr>
          <w:i/>
          <w:sz w:val="24"/>
          <w:szCs w:val="24"/>
        </w:rPr>
      </w:pPr>
    </w:p>
    <w:p w14:paraId="07F84026" w14:textId="77777777" w:rsidR="00DB5601" w:rsidRDefault="00DB5601" w:rsidP="00DB5601">
      <w:pPr>
        <w:rPr>
          <w:sz w:val="24"/>
          <w:szCs w:val="24"/>
        </w:rPr>
      </w:pPr>
      <w:r w:rsidRPr="00277336">
        <w:rPr>
          <w:sz w:val="24"/>
          <w:szCs w:val="24"/>
        </w:rPr>
        <w:t xml:space="preserve">Wales Safeguarding (2019) [online] Available at: </w:t>
      </w:r>
      <w:hyperlink r:id="rId30" w:history="1">
        <w:r w:rsidRPr="00277336">
          <w:rPr>
            <w:rStyle w:val="Hyperlink"/>
            <w:iCs/>
            <w:sz w:val="24"/>
            <w:szCs w:val="24"/>
          </w:rPr>
          <w:t>https://safeguarding.wales/en/</w:t>
        </w:r>
      </w:hyperlink>
    </w:p>
    <w:p w14:paraId="2AB919EA" w14:textId="77777777" w:rsidR="00DB5601" w:rsidRPr="00277336" w:rsidRDefault="00DB5601" w:rsidP="00DB5601">
      <w:pPr>
        <w:rPr>
          <w:sz w:val="24"/>
          <w:szCs w:val="24"/>
        </w:rPr>
      </w:pPr>
    </w:p>
    <w:p w14:paraId="70DBE7DB" w14:textId="77777777" w:rsidR="00DB5601" w:rsidRDefault="00DB5601" w:rsidP="00DB5601">
      <w:pPr>
        <w:rPr>
          <w:i/>
          <w:sz w:val="24"/>
          <w:szCs w:val="24"/>
        </w:rPr>
      </w:pPr>
      <w:r w:rsidRPr="00277336">
        <w:rPr>
          <w:sz w:val="24"/>
          <w:szCs w:val="24"/>
        </w:rPr>
        <w:t>Welsh Government (2014).</w:t>
      </w:r>
      <w:r w:rsidRPr="00277336">
        <w:rPr>
          <w:i/>
          <w:sz w:val="24"/>
          <w:szCs w:val="24"/>
        </w:rPr>
        <w:t xml:space="preserve"> Social Services and Well-being (Wales) Act 2014. </w:t>
      </w:r>
      <w:r w:rsidRPr="00277336">
        <w:rPr>
          <w:sz w:val="24"/>
          <w:szCs w:val="24"/>
        </w:rPr>
        <w:t>[online]</w:t>
      </w:r>
      <w:r w:rsidRPr="00277336">
        <w:rPr>
          <w:i/>
          <w:sz w:val="24"/>
          <w:szCs w:val="24"/>
        </w:rPr>
        <w:t xml:space="preserve"> </w:t>
      </w:r>
    </w:p>
    <w:p w14:paraId="1686FC7C" w14:textId="77777777" w:rsidR="00DB5601" w:rsidRDefault="00DB5601" w:rsidP="00DB5601">
      <w:pPr>
        <w:rPr>
          <w:i/>
          <w:sz w:val="24"/>
          <w:szCs w:val="24"/>
        </w:rPr>
      </w:pPr>
    </w:p>
    <w:p w14:paraId="59C194CC" w14:textId="3F5AB964" w:rsidR="00DB5601" w:rsidRPr="00277336" w:rsidRDefault="00DB5601" w:rsidP="00DB5601">
      <w:pPr>
        <w:rPr>
          <w:i/>
          <w:sz w:val="24"/>
          <w:szCs w:val="24"/>
        </w:rPr>
      </w:pPr>
      <w:r w:rsidRPr="00277336">
        <w:rPr>
          <w:sz w:val="24"/>
          <w:szCs w:val="24"/>
        </w:rPr>
        <w:t>Legislation.gov.uk</w:t>
      </w:r>
      <w:r w:rsidRPr="00277336">
        <w:rPr>
          <w:i/>
          <w:sz w:val="24"/>
          <w:szCs w:val="24"/>
        </w:rPr>
        <w:t xml:space="preserve">. Available at: </w:t>
      </w:r>
      <w:hyperlink r:id="rId31" w:history="1">
        <w:r w:rsidRPr="00277336">
          <w:rPr>
            <w:rStyle w:val="Hyperlink"/>
            <w:i/>
            <w:sz w:val="24"/>
            <w:szCs w:val="24"/>
          </w:rPr>
          <w:t>https://www.legislation.gov.uk/anaw/2014/4/contents</w:t>
        </w:r>
      </w:hyperlink>
      <w:r w:rsidRPr="00277336">
        <w:rPr>
          <w:i/>
          <w:sz w:val="24"/>
          <w:szCs w:val="24"/>
        </w:rPr>
        <w:t>.</w:t>
      </w:r>
    </w:p>
    <w:p w14:paraId="49CDD57B" w14:textId="77777777" w:rsidR="00DB5601" w:rsidRDefault="00DB5601" w:rsidP="00DB5601">
      <w:pPr>
        <w:rPr>
          <w:sz w:val="24"/>
          <w:szCs w:val="24"/>
        </w:rPr>
      </w:pPr>
    </w:p>
    <w:p w14:paraId="72762947" w14:textId="798DA3B2" w:rsidR="00DB5601" w:rsidRPr="00277336" w:rsidRDefault="00DB5601" w:rsidP="00DB5601">
      <w:pPr>
        <w:rPr>
          <w:sz w:val="24"/>
          <w:szCs w:val="24"/>
        </w:rPr>
      </w:pPr>
      <w:r w:rsidRPr="00277336">
        <w:rPr>
          <w:sz w:val="24"/>
          <w:szCs w:val="24"/>
        </w:rPr>
        <w:t>Welsh Government (2015). </w:t>
      </w:r>
      <w:r w:rsidRPr="00277336">
        <w:rPr>
          <w:i/>
          <w:sz w:val="24"/>
          <w:szCs w:val="24"/>
        </w:rPr>
        <w:t>Delivering the ‘Active Offer’ Information Pack - Social Services and Social Care</w:t>
      </w:r>
      <w:r w:rsidRPr="00277336">
        <w:rPr>
          <w:sz w:val="24"/>
          <w:szCs w:val="24"/>
        </w:rPr>
        <w:t xml:space="preserve">. [online] Available at: </w:t>
      </w:r>
      <w:hyperlink r:id="rId32" w:history="1">
        <w:r w:rsidRPr="00277336">
          <w:rPr>
            <w:rStyle w:val="Hyperlink"/>
            <w:iCs/>
            <w:sz w:val="24"/>
            <w:szCs w:val="24"/>
          </w:rPr>
          <w:t>https://www.gov.wales/sites/default/files/publications/2019-04/delivering-the-active-offer-information-pack-social-services-and-social-care.pdf</w:t>
        </w:r>
      </w:hyperlink>
      <w:r w:rsidRPr="00277336">
        <w:rPr>
          <w:sz w:val="24"/>
          <w:szCs w:val="24"/>
        </w:rPr>
        <w:t>.</w:t>
      </w: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75C28A2" w:rsidR="00E559CE" w:rsidRPr="00B17FA0" w:rsidRDefault="00472D36" w:rsidP="00B94443">
            <w:pPr>
              <w:jc w:val="both"/>
              <w:rPr>
                <w:sz w:val="24"/>
                <w:szCs w:val="24"/>
              </w:rPr>
            </w:pPr>
            <w:r>
              <w:rPr>
                <w:sz w:val="24"/>
                <w:szCs w:val="24"/>
              </w:rPr>
              <w:t>14/11/2024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AE1C319" w:rsidR="00E559CE" w:rsidRPr="00B17FA0" w:rsidRDefault="00BC032F" w:rsidP="00B94443">
            <w:pPr>
              <w:jc w:val="both"/>
              <w:rPr>
                <w:sz w:val="24"/>
                <w:szCs w:val="24"/>
              </w:rPr>
            </w:pPr>
            <w:r>
              <w:rPr>
                <w:sz w:val="24"/>
                <w:szCs w:val="24"/>
              </w:rPr>
              <w:t>23/01/2025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B25A352" w:rsidR="00E559CE" w:rsidRPr="00B17FA0" w:rsidRDefault="005F2ECE" w:rsidP="00B94443">
            <w:pPr>
              <w:jc w:val="both"/>
              <w:rPr>
                <w:sz w:val="24"/>
                <w:szCs w:val="24"/>
              </w:rPr>
            </w:pPr>
            <w:r>
              <w:rPr>
                <w:sz w:val="24"/>
                <w:szCs w:val="24"/>
              </w:rPr>
              <w:t>20/03/2025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394FD43" w:rsidR="00E559CE" w:rsidRPr="00B17FA0" w:rsidRDefault="00FB11BC" w:rsidP="00B94443">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CCA3ECC" w14:textId="0A468BEF" w:rsidR="005370BA" w:rsidRDefault="005370BA" w:rsidP="005D4F72">
            <w:pPr>
              <w:jc w:val="both"/>
              <w:rPr>
                <w:color w:val="auto"/>
                <w:sz w:val="24"/>
                <w:szCs w:val="24"/>
              </w:rPr>
            </w:pPr>
            <w:r>
              <w:rPr>
                <w:color w:val="auto"/>
                <w:sz w:val="24"/>
                <w:szCs w:val="24"/>
              </w:rPr>
              <w:t>I have worked alongside the student throughout her time working within the team.</w:t>
            </w:r>
          </w:p>
          <w:p w14:paraId="1405DB85" w14:textId="77777777" w:rsidR="005370BA" w:rsidRDefault="005370BA" w:rsidP="005D4F72">
            <w:pPr>
              <w:jc w:val="both"/>
              <w:rPr>
                <w:color w:val="auto"/>
                <w:sz w:val="24"/>
                <w:szCs w:val="24"/>
              </w:rPr>
            </w:pPr>
          </w:p>
          <w:p w14:paraId="3C69D6A4" w14:textId="3EC82E6E" w:rsidR="005370BA" w:rsidRDefault="005370BA" w:rsidP="005D4F72">
            <w:pPr>
              <w:jc w:val="both"/>
              <w:rPr>
                <w:color w:val="auto"/>
                <w:sz w:val="24"/>
                <w:szCs w:val="24"/>
              </w:rPr>
            </w:pPr>
            <w:r>
              <w:rPr>
                <w:color w:val="auto"/>
                <w:sz w:val="24"/>
                <w:szCs w:val="24"/>
              </w:rPr>
              <w:t xml:space="preserve">The </w:t>
            </w:r>
            <w:r w:rsidR="00AE0CB4">
              <w:rPr>
                <w:color w:val="auto"/>
                <w:sz w:val="24"/>
                <w:szCs w:val="24"/>
              </w:rPr>
              <w:t>learner</w:t>
            </w:r>
            <w:r>
              <w:rPr>
                <w:color w:val="auto"/>
                <w:sz w:val="24"/>
                <w:szCs w:val="24"/>
              </w:rPr>
              <w:t xml:space="preserve"> possesses great communication skills with children and families; I have observed the student to communicate age appropriately with children and ensure that the children’s views and wellbeing are central to her practice. The </w:t>
            </w:r>
            <w:r w:rsidR="00AE0CB4">
              <w:rPr>
                <w:color w:val="auto"/>
                <w:sz w:val="24"/>
                <w:szCs w:val="24"/>
              </w:rPr>
              <w:t>learner</w:t>
            </w:r>
            <w:r>
              <w:rPr>
                <w:color w:val="auto"/>
                <w:sz w:val="24"/>
                <w:szCs w:val="24"/>
              </w:rPr>
              <w:t xml:space="preserve"> has developed good working relationships with </w:t>
            </w:r>
            <w:r w:rsidR="00AE0CB4">
              <w:rPr>
                <w:color w:val="auto"/>
                <w:sz w:val="24"/>
                <w:szCs w:val="24"/>
              </w:rPr>
              <w:t>professionals and</w:t>
            </w:r>
            <w:r>
              <w:rPr>
                <w:color w:val="auto"/>
                <w:sz w:val="24"/>
                <w:szCs w:val="24"/>
              </w:rPr>
              <w:t xml:space="preserve"> is able to </w:t>
            </w:r>
            <w:r w:rsidR="004214D4">
              <w:rPr>
                <w:color w:val="auto"/>
                <w:sz w:val="24"/>
                <w:szCs w:val="24"/>
              </w:rPr>
              <w:t xml:space="preserve">appropriately </w:t>
            </w:r>
            <w:r>
              <w:rPr>
                <w:color w:val="auto"/>
                <w:sz w:val="24"/>
                <w:szCs w:val="24"/>
              </w:rPr>
              <w:t xml:space="preserve">challenge </w:t>
            </w:r>
            <w:r w:rsidR="004214D4">
              <w:rPr>
                <w:color w:val="auto"/>
                <w:sz w:val="24"/>
                <w:szCs w:val="24"/>
              </w:rPr>
              <w:t xml:space="preserve">other </w:t>
            </w:r>
            <w:r>
              <w:rPr>
                <w:color w:val="auto"/>
                <w:sz w:val="24"/>
                <w:szCs w:val="24"/>
              </w:rPr>
              <w:t xml:space="preserve">professionals when required. </w:t>
            </w:r>
            <w:r w:rsidR="00AE0CB4">
              <w:rPr>
                <w:color w:val="auto"/>
                <w:sz w:val="24"/>
                <w:szCs w:val="24"/>
              </w:rPr>
              <w:t>The learner will keep all professionals involved with children and family’s up to date with progress and/or concerns</w:t>
            </w:r>
            <w:r w:rsidR="004214D4">
              <w:rPr>
                <w:color w:val="auto"/>
                <w:sz w:val="24"/>
                <w:szCs w:val="24"/>
              </w:rPr>
              <w:t xml:space="preserve"> and clearly documents this on our systems</w:t>
            </w:r>
            <w:r w:rsidR="00AE0CB4">
              <w:rPr>
                <w:color w:val="auto"/>
                <w:sz w:val="24"/>
                <w:szCs w:val="24"/>
              </w:rPr>
              <w:t xml:space="preserve">. The learner has carried a varied case load, including children that have been subject to Care and Support Protection Plans, voluntary Care and Support Plans, Young People Looked After and Court Proceedings. As part of this the learner has attended and chaired complex multi-agency meetings and prepared </w:t>
            </w:r>
            <w:r w:rsidR="00AD603C">
              <w:rPr>
                <w:color w:val="auto"/>
                <w:sz w:val="24"/>
                <w:szCs w:val="24"/>
              </w:rPr>
              <w:t xml:space="preserve">detailed </w:t>
            </w:r>
            <w:r w:rsidR="00AE0CB4">
              <w:rPr>
                <w:color w:val="auto"/>
                <w:sz w:val="24"/>
                <w:szCs w:val="24"/>
              </w:rPr>
              <w:t xml:space="preserve">reports ahead of the meetings. </w:t>
            </w:r>
          </w:p>
          <w:p w14:paraId="1540045A" w14:textId="77777777" w:rsidR="0095680A" w:rsidRDefault="0095680A" w:rsidP="005D4F72">
            <w:pPr>
              <w:jc w:val="both"/>
              <w:rPr>
                <w:color w:val="auto"/>
                <w:sz w:val="24"/>
                <w:szCs w:val="24"/>
              </w:rPr>
            </w:pPr>
          </w:p>
          <w:p w14:paraId="4812D972" w14:textId="70E6C01E" w:rsidR="0095680A" w:rsidRDefault="0095680A" w:rsidP="005D4F72">
            <w:pPr>
              <w:jc w:val="both"/>
              <w:rPr>
                <w:color w:val="auto"/>
                <w:sz w:val="24"/>
                <w:szCs w:val="24"/>
              </w:rPr>
            </w:pPr>
            <w:r>
              <w:rPr>
                <w:color w:val="auto"/>
                <w:sz w:val="24"/>
                <w:szCs w:val="24"/>
              </w:rPr>
              <w:t xml:space="preserve">The learner has completed </w:t>
            </w:r>
            <w:r w:rsidR="00843D29">
              <w:rPr>
                <w:color w:val="auto"/>
                <w:sz w:val="24"/>
                <w:szCs w:val="24"/>
              </w:rPr>
              <w:t>many</w:t>
            </w:r>
            <w:r>
              <w:rPr>
                <w:color w:val="auto"/>
                <w:sz w:val="24"/>
                <w:szCs w:val="24"/>
              </w:rPr>
              <w:t xml:space="preserve"> comprehensive assessments over her time in the </w:t>
            </w:r>
            <w:r w:rsidR="00843D29">
              <w:rPr>
                <w:color w:val="auto"/>
                <w:sz w:val="24"/>
                <w:szCs w:val="24"/>
              </w:rPr>
              <w:t>team;</w:t>
            </w:r>
            <w:r>
              <w:rPr>
                <w:color w:val="auto"/>
                <w:sz w:val="24"/>
                <w:szCs w:val="24"/>
              </w:rPr>
              <w:t xml:space="preserve"> she appears to take a thorough approach in ensuring all relevant information is gathered to inform the </w:t>
            </w:r>
            <w:r w:rsidR="00811844">
              <w:rPr>
                <w:color w:val="auto"/>
                <w:sz w:val="24"/>
                <w:szCs w:val="24"/>
              </w:rPr>
              <w:t>intervention that is put in place.</w:t>
            </w:r>
            <w:r w:rsidR="00843D29">
              <w:rPr>
                <w:color w:val="auto"/>
                <w:sz w:val="24"/>
                <w:szCs w:val="24"/>
              </w:rPr>
              <w:t xml:space="preserve"> As part of task 2,</w:t>
            </w:r>
            <w:r w:rsidR="00811844">
              <w:rPr>
                <w:color w:val="auto"/>
                <w:sz w:val="24"/>
                <w:szCs w:val="24"/>
              </w:rPr>
              <w:t xml:space="preserve"> </w:t>
            </w:r>
            <w:r w:rsidR="00843D29">
              <w:rPr>
                <w:color w:val="auto"/>
                <w:sz w:val="24"/>
                <w:szCs w:val="24"/>
              </w:rPr>
              <w:t xml:space="preserve">I observed the learner gathering the wishes and feelings of a child, the learner took a person-centred approach and displayed empathy and patience throughout the intervention. </w:t>
            </w:r>
            <w:r w:rsidR="002C46BE">
              <w:rPr>
                <w:color w:val="auto"/>
                <w:sz w:val="24"/>
                <w:szCs w:val="24"/>
              </w:rPr>
              <w:t xml:space="preserve">The learner and I discussed her </w:t>
            </w:r>
            <w:r w:rsidR="00210175">
              <w:rPr>
                <w:color w:val="auto"/>
                <w:sz w:val="24"/>
                <w:szCs w:val="24"/>
              </w:rPr>
              <w:t>reflections</w:t>
            </w:r>
            <w:r w:rsidR="002C46BE">
              <w:rPr>
                <w:color w:val="auto"/>
                <w:sz w:val="24"/>
                <w:szCs w:val="24"/>
              </w:rPr>
              <w:t xml:space="preserve"> following the observation and </w:t>
            </w:r>
            <w:r w:rsidR="00733B66">
              <w:rPr>
                <w:color w:val="auto"/>
                <w:sz w:val="24"/>
                <w:szCs w:val="24"/>
              </w:rPr>
              <w:t xml:space="preserve">the feedback that was provided. The feedback received noted that the young person felt </w:t>
            </w:r>
            <w:r w:rsidR="0063428E">
              <w:rPr>
                <w:color w:val="auto"/>
                <w:sz w:val="24"/>
                <w:szCs w:val="24"/>
              </w:rPr>
              <w:t xml:space="preserve">she was listened to during the visit and as the observer it was clear to see that the young person felt comfortable speaking with the learner. </w:t>
            </w:r>
            <w:r w:rsidR="0037356D">
              <w:rPr>
                <w:color w:val="auto"/>
                <w:sz w:val="24"/>
                <w:szCs w:val="24"/>
              </w:rPr>
              <w:t>The learner</w:t>
            </w:r>
            <w:r w:rsidR="00A53228">
              <w:rPr>
                <w:color w:val="auto"/>
                <w:sz w:val="24"/>
                <w:szCs w:val="24"/>
              </w:rPr>
              <w:t xml:space="preserve"> evidenced her ability to plan and prepare for visits effectively and demonstrated appropriate communication skills throughout. The learner ha</w:t>
            </w:r>
            <w:r w:rsidR="00A91DCC">
              <w:rPr>
                <w:color w:val="auto"/>
                <w:sz w:val="24"/>
                <w:szCs w:val="24"/>
              </w:rPr>
              <w:t>d</w:t>
            </w:r>
            <w:r w:rsidR="00A53228">
              <w:rPr>
                <w:color w:val="auto"/>
                <w:sz w:val="24"/>
                <w:szCs w:val="24"/>
              </w:rPr>
              <w:t xml:space="preserve"> identified aspects of her practice in which she would like to </w:t>
            </w:r>
            <w:proofErr w:type="gramStart"/>
            <w:r w:rsidR="00A53228">
              <w:rPr>
                <w:color w:val="auto"/>
                <w:sz w:val="24"/>
                <w:szCs w:val="24"/>
              </w:rPr>
              <w:t>improve</w:t>
            </w:r>
            <w:proofErr w:type="gramEnd"/>
            <w:r w:rsidR="00A91DCC">
              <w:rPr>
                <w:color w:val="auto"/>
                <w:sz w:val="24"/>
                <w:szCs w:val="24"/>
              </w:rPr>
              <w:t xml:space="preserve"> and </w:t>
            </w:r>
            <w:r w:rsidR="00F31104">
              <w:rPr>
                <w:color w:val="auto"/>
                <w:sz w:val="24"/>
                <w:szCs w:val="24"/>
              </w:rPr>
              <w:t>we</w:t>
            </w:r>
            <w:r w:rsidR="00620404">
              <w:rPr>
                <w:color w:val="auto"/>
                <w:sz w:val="24"/>
                <w:szCs w:val="24"/>
              </w:rPr>
              <w:t xml:space="preserve"> have</w:t>
            </w:r>
            <w:r w:rsidR="00F31104">
              <w:rPr>
                <w:color w:val="auto"/>
                <w:sz w:val="24"/>
                <w:szCs w:val="24"/>
              </w:rPr>
              <w:t xml:space="preserve"> reflected on how she will implement these changes</w:t>
            </w:r>
            <w:r w:rsidR="00620404">
              <w:rPr>
                <w:color w:val="auto"/>
                <w:sz w:val="24"/>
                <w:szCs w:val="24"/>
              </w:rPr>
              <w:t xml:space="preserve"> within her future practice. </w:t>
            </w:r>
          </w:p>
          <w:p w14:paraId="145F321E" w14:textId="77777777" w:rsidR="00AE0CB4" w:rsidRDefault="00AE0CB4" w:rsidP="005D4F72">
            <w:pPr>
              <w:jc w:val="both"/>
              <w:rPr>
                <w:color w:val="auto"/>
                <w:sz w:val="24"/>
                <w:szCs w:val="24"/>
              </w:rPr>
            </w:pPr>
          </w:p>
          <w:p w14:paraId="68E4A74A" w14:textId="2080E08E" w:rsidR="005370BA" w:rsidRDefault="00AE0CB4" w:rsidP="005D4F72">
            <w:pPr>
              <w:jc w:val="both"/>
              <w:rPr>
                <w:color w:val="auto"/>
                <w:sz w:val="24"/>
                <w:szCs w:val="24"/>
              </w:rPr>
            </w:pPr>
            <w:r>
              <w:rPr>
                <w:color w:val="auto"/>
                <w:sz w:val="24"/>
                <w:szCs w:val="24"/>
              </w:rPr>
              <w:t xml:space="preserve">The learner utilities formal and informal supervision to reflect upon her practice and the decisions that she has made. </w:t>
            </w:r>
            <w:r w:rsidR="00843D29">
              <w:rPr>
                <w:color w:val="auto"/>
                <w:sz w:val="24"/>
                <w:szCs w:val="24"/>
              </w:rPr>
              <w:t xml:space="preserve">The learner makes use of the Gibbs (1998) reflective model throughout both parts of task </w:t>
            </w:r>
            <w:proofErr w:type="gramStart"/>
            <w:r w:rsidR="00843D29">
              <w:rPr>
                <w:color w:val="auto"/>
                <w:sz w:val="24"/>
                <w:szCs w:val="24"/>
              </w:rPr>
              <w:t>1, and</w:t>
            </w:r>
            <w:proofErr w:type="gramEnd"/>
            <w:r w:rsidR="00843D29">
              <w:rPr>
                <w:color w:val="auto"/>
                <w:sz w:val="24"/>
                <w:szCs w:val="24"/>
              </w:rPr>
              <w:t xml:space="preserve"> has throughout supervision. </w:t>
            </w:r>
            <w:r>
              <w:rPr>
                <w:color w:val="auto"/>
                <w:sz w:val="24"/>
                <w:szCs w:val="24"/>
              </w:rPr>
              <w:t>The learner will seek peer supervision to discuss cases and gain peer advice if required. I have observed the learner</w:t>
            </w:r>
            <w:r w:rsidR="00F8783C">
              <w:rPr>
                <w:color w:val="auto"/>
                <w:sz w:val="24"/>
                <w:szCs w:val="24"/>
              </w:rPr>
              <w:t>’s</w:t>
            </w:r>
            <w:r>
              <w:rPr>
                <w:color w:val="auto"/>
                <w:sz w:val="24"/>
                <w:szCs w:val="24"/>
              </w:rPr>
              <w:t xml:space="preserve"> confidence in decision making and professional judgement grow in the last 12 months. </w:t>
            </w:r>
            <w:r w:rsidR="00F8783C">
              <w:rPr>
                <w:color w:val="auto"/>
                <w:sz w:val="24"/>
                <w:szCs w:val="24"/>
              </w:rPr>
              <w:t>The learner’s resilience has strengthened over recent months</w:t>
            </w:r>
            <w:r w:rsidR="00CC5D28">
              <w:rPr>
                <w:color w:val="auto"/>
                <w:sz w:val="24"/>
                <w:szCs w:val="24"/>
              </w:rPr>
              <w:t>, especially when managing complex situation</w:t>
            </w:r>
            <w:r w:rsidR="00F8783C">
              <w:rPr>
                <w:color w:val="auto"/>
                <w:sz w:val="24"/>
                <w:szCs w:val="24"/>
              </w:rPr>
              <w:t xml:space="preserve">. The learner appears to be self-aware of situations that may cause her upset and seeks emotional support </w:t>
            </w:r>
            <w:r w:rsidR="00CC5D28">
              <w:rPr>
                <w:color w:val="auto"/>
                <w:sz w:val="24"/>
                <w:szCs w:val="24"/>
              </w:rPr>
              <w:t xml:space="preserve">as and </w:t>
            </w:r>
            <w:r w:rsidR="00F8783C">
              <w:rPr>
                <w:color w:val="auto"/>
                <w:sz w:val="24"/>
                <w:szCs w:val="24"/>
              </w:rPr>
              <w:t xml:space="preserve">when required. </w:t>
            </w:r>
          </w:p>
          <w:p w14:paraId="00923B9D" w14:textId="77777777" w:rsidR="00F8783C" w:rsidRDefault="00F8783C" w:rsidP="005D4F72">
            <w:pPr>
              <w:jc w:val="both"/>
              <w:rPr>
                <w:color w:val="auto"/>
                <w:sz w:val="24"/>
                <w:szCs w:val="24"/>
              </w:rPr>
            </w:pPr>
          </w:p>
          <w:p w14:paraId="115096B9" w14:textId="5A4374B1" w:rsidR="00811844" w:rsidRDefault="00F8783C" w:rsidP="005D4F72">
            <w:pPr>
              <w:jc w:val="both"/>
              <w:rPr>
                <w:color w:val="auto"/>
                <w:sz w:val="24"/>
                <w:szCs w:val="24"/>
              </w:rPr>
            </w:pPr>
            <w:r>
              <w:rPr>
                <w:color w:val="auto"/>
                <w:sz w:val="24"/>
                <w:szCs w:val="24"/>
              </w:rPr>
              <w:lastRenderedPageBreak/>
              <w:t>The learner has</w:t>
            </w:r>
            <w:r w:rsidR="006A71A2">
              <w:rPr>
                <w:color w:val="auto"/>
                <w:sz w:val="24"/>
                <w:szCs w:val="24"/>
              </w:rPr>
              <w:t xml:space="preserve"> gained good experience in carrying out Section 47 Investigations, </w:t>
            </w:r>
            <w:r w:rsidR="00CC5D28">
              <w:rPr>
                <w:color w:val="auto"/>
                <w:sz w:val="24"/>
                <w:szCs w:val="24"/>
              </w:rPr>
              <w:t xml:space="preserve">both as a </w:t>
            </w:r>
            <w:r w:rsidR="006A71A2">
              <w:rPr>
                <w:color w:val="auto"/>
                <w:sz w:val="24"/>
                <w:szCs w:val="24"/>
              </w:rPr>
              <w:t>single agency and alongside Police. At times these enquiries can be around complex/ sensitive situations and require urgent professional judgement, where the learner may have to put measures in place to ensure the children are safeguarded</w:t>
            </w:r>
            <w:r w:rsidR="00CC5D28">
              <w:rPr>
                <w:color w:val="auto"/>
                <w:sz w:val="24"/>
                <w:szCs w:val="24"/>
              </w:rPr>
              <w:t xml:space="preserve"> and this </w:t>
            </w:r>
            <w:r w:rsidR="006A71A2">
              <w:rPr>
                <w:color w:val="auto"/>
                <w:sz w:val="24"/>
                <w:szCs w:val="24"/>
              </w:rPr>
              <w:t>often involves difficult conversations with family. Th</w:t>
            </w:r>
            <w:r w:rsidR="00193AA6">
              <w:rPr>
                <w:color w:val="auto"/>
                <w:sz w:val="24"/>
                <w:szCs w:val="24"/>
              </w:rPr>
              <w:t xml:space="preserve">e </w:t>
            </w:r>
            <w:proofErr w:type="gramStart"/>
            <w:r w:rsidR="00193AA6">
              <w:rPr>
                <w:color w:val="auto"/>
                <w:sz w:val="24"/>
                <w:szCs w:val="24"/>
              </w:rPr>
              <w:t>learners</w:t>
            </w:r>
            <w:proofErr w:type="gramEnd"/>
            <w:r w:rsidR="00193AA6">
              <w:rPr>
                <w:color w:val="auto"/>
                <w:sz w:val="24"/>
                <w:szCs w:val="24"/>
              </w:rPr>
              <w:t xml:space="preserve"> ability to manage this </w:t>
            </w:r>
            <w:r w:rsidR="006A71A2">
              <w:rPr>
                <w:color w:val="auto"/>
                <w:sz w:val="24"/>
                <w:szCs w:val="24"/>
              </w:rPr>
              <w:t xml:space="preserve">has been evidenced within </w:t>
            </w:r>
            <w:proofErr w:type="gramStart"/>
            <w:r w:rsidR="00193AA6">
              <w:rPr>
                <w:color w:val="auto"/>
                <w:sz w:val="24"/>
                <w:szCs w:val="24"/>
              </w:rPr>
              <w:t xml:space="preserve">her </w:t>
            </w:r>
            <w:r w:rsidR="006A71A2">
              <w:rPr>
                <w:color w:val="auto"/>
                <w:sz w:val="24"/>
                <w:szCs w:val="24"/>
              </w:rPr>
              <w:t xml:space="preserve"> section</w:t>
            </w:r>
            <w:proofErr w:type="gramEnd"/>
            <w:r w:rsidR="006A71A2">
              <w:rPr>
                <w:color w:val="auto"/>
                <w:sz w:val="24"/>
                <w:szCs w:val="24"/>
              </w:rPr>
              <w:t xml:space="preserve"> 47 report write ups, which we have discussed and reflected upon during formal supervision.</w:t>
            </w:r>
            <w:r w:rsidR="00843D29">
              <w:rPr>
                <w:color w:val="auto"/>
                <w:sz w:val="24"/>
                <w:szCs w:val="24"/>
              </w:rPr>
              <w:t xml:space="preserve"> The learner has demonstrated that she regularly applies professional judgement in complex situations</w:t>
            </w:r>
            <w:r w:rsidR="00193AA6">
              <w:rPr>
                <w:color w:val="auto"/>
                <w:sz w:val="24"/>
                <w:szCs w:val="24"/>
              </w:rPr>
              <w:t xml:space="preserve"> and will always ask for guidance when needed.</w:t>
            </w:r>
          </w:p>
          <w:p w14:paraId="3DEF368D" w14:textId="77777777" w:rsidR="005370BA" w:rsidRDefault="005370BA"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947DD1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A081E">
        <w:rPr>
          <w:b/>
          <w:sz w:val="24"/>
          <w:szCs w:val="24"/>
        </w:rPr>
        <w:t>Lisa Davies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33E00D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A081E">
        <w:rPr>
          <w:b/>
          <w:sz w:val="24"/>
          <w:szCs w:val="24"/>
        </w:rPr>
        <w:t xml:space="preserve"> 1100277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96DC5E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1F7C40">
        <w:rPr>
          <w:b/>
          <w:sz w:val="24"/>
          <w:szCs w:val="24"/>
        </w:rPr>
        <w:t xml:space="preserve"> 113 Portfield, Haverfordwest, Pembrokeshire, SA61 1BS</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A796D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F7C40">
        <w:rPr>
          <w:b/>
          <w:sz w:val="24"/>
          <w:szCs w:val="24"/>
        </w:rPr>
        <w:t xml:space="preserve"> 07470177406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14C8B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1F7C40">
        <w:rPr>
          <w:b/>
          <w:sz w:val="24"/>
          <w:szCs w:val="24"/>
        </w:rPr>
        <w:t xml:space="preserve"> lisamarieinker113@hotmail.com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ECA011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60652C">
        <w:rPr>
          <w:b/>
          <w:sz w:val="24"/>
          <w:szCs w:val="24"/>
        </w:rPr>
        <w:t>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A0527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72E0F">
        <w:rPr>
          <w:b/>
          <w:sz w:val="24"/>
          <w:szCs w:val="24"/>
        </w:rPr>
        <w:t xml:space="preserve"> 10/11/2023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DC761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E59B6" w:rsidRPr="00FE59B6">
        <w:rPr>
          <w:b/>
          <w:sz w:val="24"/>
          <w:szCs w:val="24"/>
        </w:rPr>
        <w:t xml:space="preserve"> </w:t>
      </w:r>
      <w:r w:rsidR="00FE59B6">
        <w:rPr>
          <w:b/>
          <w:sz w:val="24"/>
          <w:szCs w:val="24"/>
        </w:rPr>
        <w:t>SCWDP Training</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D64D02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C139E">
        <w:rPr>
          <w:b/>
          <w:sz w:val="24"/>
          <w:szCs w:val="24"/>
        </w:rPr>
        <w:t xml:space="preserve"> Anne-Louise Easton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F664E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80942">
        <w:rPr>
          <w:b/>
          <w:sz w:val="24"/>
          <w:szCs w:val="24"/>
        </w:rPr>
        <w:t xml:space="preserve"> </w:t>
      </w:r>
      <w:r w:rsidR="00A80942" w:rsidRPr="005625AD">
        <w:rPr>
          <w:b/>
          <w:sz w:val="24"/>
          <w:szCs w:val="24"/>
        </w:rPr>
        <w:t>Pembrokeshire A</w:t>
      </w:r>
      <w:r w:rsidR="00A80942">
        <w:rPr>
          <w:b/>
          <w:sz w:val="24"/>
          <w:szCs w:val="24"/>
        </w:rPr>
        <w:t>r</w:t>
      </w:r>
      <w:r w:rsidR="00A80942" w:rsidRPr="005625AD">
        <w:rPr>
          <w:b/>
          <w:sz w:val="24"/>
          <w:szCs w:val="24"/>
        </w:rPr>
        <w:t>chives, Prendergast, Haverfordwest, Pembrokeshire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5E20E9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970AC" w:rsidRPr="003970AC">
        <w:rPr>
          <w:b/>
          <w:sz w:val="24"/>
          <w:szCs w:val="24"/>
        </w:rPr>
        <w:t xml:space="preserve"> </w:t>
      </w:r>
      <w:r w:rsidR="003970AC" w:rsidRPr="005625AD">
        <w:rPr>
          <w:b/>
          <w:sz w:val="24"/>
          <w:szCs w:val="24"/>
        </w:rPr>
        <w:t>01437 776086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AF92DC" w14:textId="471BFB36" w:rsidR="000E0D51" w:rsidRDefault="004923DA" w:rsidP="002207A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207A3" w:rsidRPr="00AA7A76">
        <w:rPr>
          <w:b/>
          <w:sz w:val="24"/>
          <w:szCs w:val="24"/>
        </w:rPr>
        <w:t>Anne-Louise.Easton@pembrokeshire.gov.uk</w:t>
      </w: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425380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207A3">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FE56F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F223B">
        <w:rPr>
          <w:b/>
          <w:sz w:val="24"/>
          <w:szCs w:val="24"/>
        </w:rPr>
        <w:t xml:space="preserve"> Ellie Mezzetta</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13DAC5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F223B">
        <w:rPr>
          <w:b/>
          <w:sz w:val="24"/>
          <w:szCs w:val="24"/>
        </w:rPr>
        <w:t xml:space="preserve"> County Hall, Freemans</w:t>
      </w:r>
      <w:r w:rsidR="00C57487">
        <w:rPr>
          <w:b/>
          <w:sz w:val="24"/>
          <w:szCs w:val="24"/>
        </w:rPr>
        <w:t xml:space="preserve"> Way, Haverfordwest, Pembrokeshire, SA61 1TP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88B4F9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57487">
        <w:rPr>
          <w:b/>
          <w:sz w:val="24"/>
          <w:szCs w:val="24"/>
        </w:rPr>
        <w:t xml:space="preserve"> 01437 776444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95E2F8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B6C88">
        <w:rPr>
          <w:b/>
          <w:sz w:val="24"/>
          <w:szCs w:val="24"/>
        </w:rPr>
        <w:t xml:space="preserve"> </w:t>
      </w:r>
      <w:r w:rsidR="00EB6C88" w:rsidRPr="00EB6C88">
        <w:rPr>
          <w:b/>
          <w:sz w:val="24"/>
          <w:szCs w:val="24"/>
        </w:rPr>
        <w:t>Ellie.Mezzetta@pembrokeshire.gov.uk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546E684" w:rsidR="004923DA" w:rsidRDefault="004923DA" w:rsidP="00FF7EBB">
            <w:pPr>
              <w:jc w:val="both"/>
              <w:rPr>
                <w:b/>
                <w:sz w:val="24"/>
                <w:szCs w:val="24"/>
              </w:rPr>
            </w:pPr>
            <w:r w:rsidRPr="008B28E7">
              <w:rPr>
                <w:b/>
                <w:sz w:val="24"/>
                <w:szCs w:val="24"/>
              </w:rPr>
              <w:t>Name:</w:t>
            </w:r>
            <w:r w:rsidR="00627068">
              <w:rPr>
                <w:b/>
                <w:sz w:val="24"/>
                <w:szCs w:val="24"/>
              </w:rPr>
              <w:t xml:space="preserve"> Ellie Mezzetta</w:t>
            </w:r>
          </w:p>
          <w:p w14:paraId="4EF4A770" w14:textId="77777777" w:rsidR="004923DA" w:rsidRPr="008B28E7" w:rsidRDefault="004923DA" w:rsidP="00FF7EBB">
            <w:pPr>
              <w:jc w:val="both"/>
              <w:rPr>
                <w:b/>
                <w:sz w:val="24"/>
                <w:szCs w:val="24"/>
              </w:rPr>
            </w:pPr>
          </w:p>
          <w:p w14:paraId="1AC8522D" w14:textId="1139B4E4" w:rsidR="004923DA" w:rsidRDefault="004923DA" w:rsidP="00FF7EBB">
            <w:pPr>
              <w:jc w:val="both"/>
              <w:rPr>
                <w:b/>
                <w:sz w:val="24"/>
                <w:szCs w:val="24"/>
              </w:rPr>
            </w:pPr>
            <w:r w:rsidRPr="008B28E7">
              <w:rPr>
                <w:b/>
                <w:sz w:val="24"/>
                <w:szCs w:val="24"/>
              </w:rPr>
              <w:t xml:space="preserve">Work Address: </w:t>
            </w:r>
            <w:r w:rsidR="00627068">
              <w:rPr>
                <w:b/>
                <w:sz w:val="24"/>
                <w:szCs w:val="24"/>
              </w:rPr>
              <w:t>County Hall, Freemans Way, Haverfordwest, Pembrokeshire, SA61 1TP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07E71E0E" w:rsidR="004923DA" w:rsidRPr="008B28E7" w:rsidRDefault="004923DA" w:rsidP="00FF7EBB">
            <w:pPr>
              <w:jc w:val="both"/>
              <w:rPr>
                <w:b/>
                <w:sz w:val="24"/>
                <w:szCs w:val="24"/>
              </w:rPr>
            </w:pPr>
            <w:r w:rsidRPr="008B28E7">
              <w:rPr>
                <w:b/>
                <w:sz w:val="24"/>
                <w:szCs w:val="24"/>
              </w:rPr>
              <w:lastRenderedPageBreak/>
              <w:t>Professional Qualification and date of qualification:</w:t>
            </w:r>
            <w:r w:rsidR="00137E7D">
              <w:rPr>
                <w:b/>
                <w:sz w:val="24"/>
                <w:szCs w:val="24"/>
              </w:rPr>
              <w:t xml:space="preserve"> BA Hons in Social Work (Wales), Awarded on 03/08/2020</w:t>
            </w:r>
          </w:p>
          <w:p w14:paraId="5F68A3CF" w14:textId="77777777" w:rsidR="004923DA" w:rsidRDefault="004923DA" w:rsidP="00FF7EBB">
            <w:pPr>
              <w:jc w:val="both"/>
              <w:rPr>
                <w:b/>
                <w:sz w:val="24"/>
                <w:szCs w:val="24"/>
              </w:rPr>
            </w:pPr>
          </w:p>
          <w:p w14:paraId="4C6113F1" w14:textId="55F715AB" w:rsidR="004923DA" w:rsidRDefault="009D59C2" w:rsidP="00FF7EBB">
            <w:pPr>
              <w:jc w:val="both"/>
              <w:rPr>
                <w:b/>
                <w:sz w:val="24"/>
                <w:szCs w:val="24"/>
              </w:rPr>
            </w:pPr>
            <w:r>
              <w:rPr>
                <w:b/>
                <w:sz w:val="24"/>
                <w:szCs w:val="24"/>
              </w:rPr>
              <w:t>T</w:t>
            </w:r>
            <w:r w:rsidR="004923DA" w:rsidRPr="008B28E7">
              <w:rPr>
                <w:b/>
                <w:sz w:val="24"/>
                <w:szCs w:val="24"/>
              </w:rPr>
              <w:t>elephone number:</w:t>
            </w:r>
            <w:r w:rsidR="00627068">
              <w:rPr>
                <w:b/>
                <w:sz w:val="24"/>
                <w:szCs w:val="24"/>
              </w:rPr>
              <w:t xml:space="preserve"> 01437 776444</w:t>
            </w:r>
          </w:p>
          <w:p w14:paraId="0BB87919" w14:textId="548A11EF" w:rsidR="009D59C2" w:rsidRDefault="009D59C2" w:rsidP="00FF7EBB">
            <w:pPr>
              <w:jc w:val="both"/>
              <w:rPr>
                <w:b/>
                <w:sz w:val="24"/>
                <w:szCs w:val="24"/>
              </w:rPr>
            </w:pPr>
          </w:p>
          <w:p w14:paraId="4346D2ED" w14:textId="57FD444C" w:rsidR="00B17FA0" w:rsidRPr="008B28E7" w:rsidRDefault="009D59C2" w:rsidP="00137E7D">
            <w:pPr>
              <w:jc w:val="both"/>
              <w:rPr>
                <w:b/>
                <w:sz w:val="24"/>
                <w:szCs w:val="24"/>
              </w:rPr>
            </w:pPr>
            <w:r>
              <w:rPr>
                <w:b/>
                <w:sz w:val="24"/>
                <w:szCs w:val="24"/>
              </w:rPr>
              <w:t>Email address:</w:t>
            </w:r>
            <w:r w:rsidR="00627068">
              <w:rPr>
                <w:b/>
                <w:sz w:val="24"/>
                <w:szCs w:val="24"/>
              </w:rPr>
              <w:t xml:space="preserve"> </w:t>
            </w:r>
            <w:r w:rsidR="00627068" w:rsidRPr="00EB6C88">
              <w:rPr>
                <w:b/>
                <w:sz w:val="24"/>
                <w:szCs w:val="24"/>
              </w:rPr>
              <w:t>Ellie.Mezzetta@pembrokeshire.gov.uk</w:t>
            </w: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FE180B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EF1FC0">
        <w:rPr>
          <w:noProof/>
          <w:sz w:val="24"/>
          <w:szCs w:val="24"/>
        </w:rPr>
        <w:drawing>
          <wp:inline distT="0" distB="0" distL="0" distR="0" wp14:anchorId="39130561" wp14:editId="56B9A51E">
            <wp:extent cx="1126896" cy="631755"/>
            <wp:effectExtent l="0" t="0" r="0" b="0"/>
            <wp:docPr id="2026501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01146" name="Picture 202650114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142321" cy="640403"/>
                    </a:xfrm>
                    <a:prstGeom prst="rect">
                      <a:avLst/>
                    </a:prstGeom>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967E3C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120A0">
        <w:rPr>
          <w:sz w:val="24"/>
          <w:szCs w:val="24"/>
        </w:rPr>
        <w:t>03/10/2025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50E758DB"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791BE923" w14:textId="3CE6CC0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B577D3">
        <w:rPr>
          <w:sz w:val="24"/>
          <w:szCs w:val="24"/>
        </w:rPr>
        <w:t xml:space="preserve"> </w:t>
      </w:r>
      <w:r w:rsidR="00BC5725">
        <w:rPr>
          <w:sz w:val="24"/>
          <w:szCs w:val="24"/>
        </w:rPr>
        <w:t xml:space="preserve"> </w:t>
      </w:r>
      <w:r w:rsidR="00FB130D" w:rsidRPr="00FB130D">
        <w:rPr>
          <w:sz w:val="24"/>
          <w:szCs w:val="24"/>
        </w:rPr>
        <w:drawing>
          <wp:inline distT="0" distB="0" distL="0" distR="0" wp14:anchorId="16A2EC49" wp14:editId="4F241DDB">
            <wp:extent cx="1207698" cy="560717"/>
            <wp:effectExtent l="0" t="0" r="0" b="0"/>
            <wp:docPr id="6178081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r:link="rId35" cstate="print">
                      <a:extLst>
                        <a:ext uri="{28A0092B-C50C-407E-A947-70E740481C1C}">
                          <a14:useLocalDpi xmlns:a14="http://schemas.microsoft.com/office/drawing/2010/main" val="0"/>
                        </a:ext>
                      </a:extLst>
                    </a:blip>
                    <a:srcRect/>
                    <a:stretch>
                      <a:fillRect/>
                    </a:stretch>
                  </pic:blipFill>
                  <pic:spPr bwMode="auto">
                    <a:xfrm>
                      <a:off x="0" y="0"/>
                      <a:ext cx="1211955" cy="562693"/>
                    </a:xfrm>
                    <a:prstGeom prst="rect">
                      <a:avLst/>
                    </a:prstGeom>
                    <a:noFill/>
                    <a:ln>
                      <a:noFill/>
                    </a:ln>
                  </pic:spPr>
                </pic:pic>
              </a:graphicData>
            </a:graphic>
          </wp:inline>
        </w:drawing>
      </w:r>
      <w:r w:rsidR="00FB130D" w:rsidRPr="00FB130D">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33BF95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B130D">
        <w:rPr>
          <w:sz w:val="24"/>
          <w:szCs w:val="24"/>
        </w:rPr>
        <w:t>03/10/2025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87712A2" w:rsidR="00335C41" w:rsidRPr="00D3203C" w:rsidRDefault="00335C41" w:rsidP="00335C41">
            <w:pPr>
              <w:ind w:right="180"/>
              <w:jc w:val="both"/>
              <w:rPr>
                <w:sz w:val="24"/>
                <w:szCs w:val="24"/>
              </w:rPr>
            </w:pPr>
            <w:r w:rsidRPr="00D3203C">
              <w:rPr>
                <w:sz w:val="24"/>
                <w:szCs w:val="24"/>
              </w:rPr>
              <w:t>Signed</w:t>
            </w:r>
            <w:r w:rsidR="00FB130D">
              <w:rPr>
                <w:sz w:val="24"/>
                <w:szCs w:val="24"/>
              </w:rPr>
              <w:t xml:space="preserve"> </w:t>
            </w:r>
            <w:r w:rsidR="00FB130D" w:rsidRPr="00FB130D">
              <w:rPr>
                <w:sz w:val="24"/>
                <w:szCs w:val="24"/>
              </w:rPr>
              <w:drawing>
                <wp:inline distT="0" distB="0" distL="0" distR="0" wp14:anchorId="4B12B51B" wp14:editId="27BAA800">
                  <wp:extent cx="1207698" cy="560717"/>
                  <wp:effectExtent l="0" t="0" r="0" b="0"/>
                  <wp:docPr id="6357196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r:link="rId35" cstate="print">
                            <a:extLst>
                              <a:ext uri="{28A0092B-C50C-407E-A947-70E740481C1C}">
                                <a14:useLocalDpi xmlns:a14="http://schemas.microsoft.com/office/drawing/2010/main" val="0"/>
                              </a:ext>
                            </a:extLst>
                          </a:blip>
                          <a:srcRect/>
                          <a:stretch>
                            <a:fillRect/>
                          </a:stretch>
                        </pic:blipFill>
                        <pic:spPr bwMode="auto">
                          <a:xfrm>
                            <a:off x="0" y="0"/>
                            <a:ext cx="1211955" cy="562693"/>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153603F3" w:rsidR="00335C41" w:rsidRPr="00D3203C" w:rsidRDefault="00335C41" w:rsidP="00335C41">
            <w:pPr>
              <w:ind w:right="180"/>
              <w:jc w:val="both"/>
              <w:rPr>
                <w:sz w:val="24"/>
                <w:szCs w:val="24"/>
              </w:rPr>
            </w:pPr>
            <w:r w:rsidRPr="00D3203C">
              <w:rPr>
                <w:sz w:val="24"/>
                <w:szCs w:val="24"/>
              </w:rPr>
              <w:t xml:space="preserve">Date </w:t>
            </w:r>
            <w:r w:rsidR="00FB130D">
              <w:rPr>
                <w:sz w:val="24"/>
                <w:szCs w:val="24"/>
              </w:rPr>
              <w:t>03/10/2025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w:t>
      </w:r>
      <w:r w:rsidR="7331E4ED" w:rsidRPr="003E54CF">
        <w:rPr>
          <w:color w:val="auto"/>
          <w:sz w:val="24"/>
          <w:szCs w:val="24"/>
        </w:rPr>
        <w:lastRenderedPageBreak/>
        <w:t xml:space="preserve">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6B16FA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235A9">
        <w:rPr>
          <w:caps/>
          <w:sz w:val="24"/>
          <w:szCs w:val="24"/>
        </w:rPr>
        <w:t>Katy doherty (assistant team manager)</w:t>
      </w:r>
    </w:p>
    <w:p w14:paraId="7C11F360" w14:textId="6D1DE8F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C2C16" w:rsidRPr="00C21492">
        <w:rPr>
          <w:noProof/>
        </w:rPr>
        <w:drawing>
          <wp:inline distT="0" distB="0" distL="0" distR="0" wp14:anchorId="2F800BDD" wp14:editId="5E53E657">
            <wp:extent cx="1334159" cy="514350"/>
            <wp:effectExtent l="0" t="0" r="0" b="0"/>
            <wp:docPr id="1315760508" name="Picture 1315760508" descr="P:\ChildCare\Child In Need Team\Katy Doherty\Signiture K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hildCare\Child In Need Team\Katy Doherty\Signiture KD.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356772" cy="523068"/>
                    </a:xfrm>
                    <a:prstGeom prst="rect">
                      <a:avLst/>
                    </a:prstGeom>
                    <a:noFill/>
                    <a:ln>
                      <a:noFill/>
                    </a:ln>
                  </pic:spPr>
                </pic:pic>
              </a:graphicData>
            </a:graphic>
          </wp:inline>
        </w:drawing>
      </w:r>
    </w:p>
    <w:p w14:paraId="57B2A00A" w14:textId="5EC0483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C2C16">
        <w:rPr>
          <w:sz w:val="24"/>
          <w:szCs w:val="24"/>
        </w:rPr>
        <w:t>03/10/2025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3372B9F" w:rsidR="00D05A5D" w:rsidRPr="00DA5682" w:rsidRDefault="00665237" w:rsidP="00CC14B6">
            <w:pPr>
              <w:rPr>
                <w:sz w:val="24"/>
                <w:szCs w:val="24"/>
              </w:rPr>
            </w:pPr>
            <w:r>
              <w:rPr>
                <w:sz w:val="24"/>
                <w:szCs w:val="24"/>
              </w:rPr>
              <w:t>Lisa Davies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F4FF06D" w:rsidR="00D05A5D" w:rsidRPr="00DA5682" w:rsidRDefault="00665237" w:rsidP="00CC14B6">
            <w:pPr>
              <w:rPr>
                <w:sz w:val="24"/>
                <w:szCs w:val="24"/>
              </w:rPr>
            </w:pPr>
            <w:r>
              <w:rPr>
                <w:sz w:val="24"/>
                <w:szCs w:val="24"/>
              </w:rPr>
              <w:t>Childcare Assessment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3297900" w:rsidR="00D05A5D" w:rsidRPr="00DA5682" w:rsidRDefault="00AE30BE" w:rsidP="00CC14B6">
            <w:pPr>
              <w:rPr>
                <w:sz w:val="24"/>
                <w:szCs w:val="24"/>
              </w:rPr>
            </w:pPr>
            <w:r>
              <w:rPr>
                <w:sz w:val="24"/>
                <w:szCs w:val="24"/>
              </w:rPr>
              <w:t>Ellie Mezzetta</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D5DEC10" w:rsidR="00D05A5D" w:rsidRPr="00DA5682" w:rsidRDefault="004C2C16" w:rsidP="00CC14B6">
            <w:pPr>
              <w:rPr>
                <w:sz w:val="24"/>
                <w:szCs w:val="24"/>
              </w:rPr>
            </w:pPr>
            <w:r>
              <w:rPr>
                <w:sz w:val="24"/>
                <w:szCs w:val="24"/>
              </w:rPr>
              <w:t>Katy Doherty (Assistant Team Manager)</w:t>
            </w:r>
            <w:r w:rsidR="00AE30BE">
              <w:rPr>
                <w:sz w:val="24"/>
                <w:szCs w:val="24"/>
              </w:rPr>
              <w:t xml:space="preserve">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287C708" w:rsidR="00D05A5D" w:rsidRPr="00DA5682" w:rsidRDefault="00D05A5D" w:rsidP="00D05A5D">
      <w:pPr>
        <w:rPr>
          <w:sz w:val="24"/>
          <w:szCs w:val="24"/>
        </w:rPr>
      </w:pPr>
      <w:r w:rsidRPr="00DA5682">
        <w:rPr>
          <w:sz w:val="24"/>
          <w:szCs w:val="24"/>
        </w:rPr>
        <w:t>Signed:</w:t>
      </w:r>
      <w:r w:rsidR="00845F5B">
        <w:rPr>
          <w:sz w:val="24"/>
          <w:szCs w:val="24"/>
        </w:rPr>
        <w:t xml:space="preserve"> </w:t>
      </w:r>
      <w:r w:rsidR="00845F5B">
        <w:rPr>
          <w:noProof/>
          <w:sz w:val="24"/>
          <w:szCs w:val="24"/>
        </w:rPr>
        <w:drawing>
          <wp:inline distT="0" distB="0" distL="0" distR="0" wp14:anchorId="209D58A0" wp14:editId="72068018">
            <wp:extent cx="1126896" cy="631755"/>
            <wp:effectExtent l="0" t="0" r="0" b="0"/>
            <wp:docPr id="2712437" name="Picture 1"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2437" name="Picture 1" descr="A close up of a word&#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142321" cy="640403"/>
                    </a:xfrm>
                    <a:prstGeom prst="rect">
                      <a:avLst/>
                    </a:prstGeom>
                  </pic:spPr>
                </pic:pic>
              </a:graphicData>
            </a:graphic>
          </wp:inline>
        </w:drawing>
      </w:r>
      <w:r w:rsidRPr="00DA5682">
        <w:rPr>
          <w:sz w:val="24"/>
          <w:szCs w:val="24"/>
        </w:rPr>
        <w:t xml:space="preserve"> Print Name:</w:t>
      </w:r>
      <w:r w:rsidR="00845F5B">
        <w:rPr>
          <w:sz w:val="24"/>
          <w:szCs w:val="24"/>
        </w:rPr>
        <w:t xml:space="preserve"> Lisa Davies</w:t>
      </w:r>
      <w:r w:rsidR="004C2C16">
        <w:rPr>
          <w:sz w:val="24"/>
          <w:szCs w:val="24"/>
        </w:rPr>
        <w:t xml:space="preserve">, </w:t>
      </w:r>
      <w:r w:rsidRPr="00DA5682">
        <w:rPr>
          <w:sz w:val="24"/>
          <w:szCs w:val="24"/>
        </w:rPr>
        <w:t>Da</w:t>
      </w:r>
      <w:r w:rsidR="00845F5B">
        <w:rPr>
          <w:sz w:val="24"/>
          <w:szCs w:val="24"/>
        </w:rPr>
        <w:t>te: 26/11/2024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46F71FF" w:rsidR="00D05A5D" w:rsidRPr="00DA5682" w:rsidRDefault="00D05A5D" w:rsidP="00D05A5D">
      <w:pPr>
        <w:rPr>
          <w:sz w:val="24"/>
          <w:szCs w:val="24"/>
        </w:rPr>
      </w:pPr>
      <w:r w:rsidRPr="00DA5682">
        <w:rPr>
          <w:sz w:val="24"/>
          <w:szCs w:val="24"/>
        </w:rPr>
        <w:t>Signed:</w:t>
      </w:r>
      <w:r w:rsidR="00845F5B">
        <w:rPr>
          <w:sz w:val="24"/>
          <w:szCs w:val="24"/>
        </w:rPr>
        <w:t xml:space="preserve"> </w:t>
      </w:r>
      <w:r w:rsidRPr="00DA5682">
        <w:rPr>
          <w:sz w:val="24"/>
          <w:szCs w:val="24"/>
        </w:rPr>
        <w:t xml:space="preserve"> </w:t>
      </w:r>
      <w:r w:rsidR="00B439C1" w:rsidRPr="00C21492">
        <w:rPr>
          <w:noProof/>
        </w:rPr>
        <w:drawing>
          <wp:inline distT="0" distB="0" distL="0" distR="0" wp14:anchorId="0DFFD702" wp14:editId="2AE82ED6">
            <wp:extent cx="1334159" cy="514350"/>
            <wp:effectExtent l="0" t="0" r="0" b="0"/>
            <wp:docPr id="3" name="Picture 3" descr="P:\ChildCare\Child In Need Team\Katy Doherty\Signiture K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ChildCare\Child In Need Team\Katy Doherty\Signiture KD.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356772" cy="523068"/>
                    </a:xfrm>
                    <a:prstGeom prst="rect">
                      <a:avLst/>
                    </a:prstGeom>
                    <a:noFill/>
                    <a:ln>
                      <a:noFill/>
                    </a:ln>
                  </pic:spPr>
                </pic:pic>
              </a:graphicData>
            </a:graphic>
          </wp:inline>
        </w:drawing>
      </w:r>
      <w:r w:rsidR="00B439C1">
        <w:rPr>
          <w:sz w:val="24"/>
          <w:szCs w:val="24"/>
        </w:rPr>
        <w:t xml:space="preserve"> </w:t>
      </w:r>
      <w:r w:rsidRPr="00DA5682">
        <w:rPr>
          <w:sz w:val="24"/>
          <w:szCs w:val="24"/>
        </w:rPr>
        <w:t>Print Name:</w:t>
      </w:r>
      <w:r w:rsidR="00C96913">
        <w:rPr>
          <w:sz w:val="24"/>
          <w:szCs w:val="24"/>
        </w:rPr>
        <w:t xml:space="preserve"> </w:t>
      </w:r>
      <w:r w:rsidR="00B439C1">
        <w:rPr>
          <w:sz w:val="24"/>
          <w:szCs w:val="24"/>
        </w:rPr>
        <w:t>Katy Doherty</w:t>
      </w:r>
      <w:r w:rsidR="004C2C16">
        <w:rPr>
          <w:sz w:val="24"/>
          <w:szCs w:val="24"/>
        </w:rPr>
        <w:t xml:space="preserve">, </w:t>
      </w:r>
      <w:r w:rsidRPr="00DA5682">
        <w:rPr>
          <w:sz w:val="24"/>
          <w:szCs w:val="24"/>
        </w:rPr>
        <w:t>Date</w:t>
      </w:r>
      <w:r w:rsidR="00C96913">
        <w:rPr>
          <w:sz w:val="24"/>
          <w:szCs w:val="24"/>
        </w:rPr>
        <w:t>: 26/</w:t>
      </w:r>
      <w:r w:rsidR="00036919">
        <w:rPr>
          <w:sz w:val="24"/>
          <w:szCs w:val="24"/>
        </w:rPr>
        <w:t>11/2024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1DEB4517" w:rsidR="00D05A5D" w:rsidRPr="00DA5682" w:rsidRDefault="00D05A5D" w:rsidP="00D05A5D">
      <w:pPr>
        <w:rPr>
          <w:sz w:val="24"/>
          <w:szCs w:val="24"/>
        </w:rPr>
      </w:pPr>
      <w:r w:rsidRPr="00DA5682">
        <w:rPr>
          <w:sz w:val="24"/>
          <w:szCs w:val="24"/>
        </w:rPr>
        <w:t>Signed:</w:t>
      </w:r>
      <w:r w:rsidR="00036919">
        <w:rPr>
          <w:sz w:val="24"/>
          <w:szCs w:val="24"/>
        </w:rPr>
        <w:t xml:space="preserve"> </w:t>
      </w:r>
      <w:r w:rsidR="00036919" w:rsidRPr="00FB130D">
        <w:rPr>
          <w:sz w:val="24"/>
          <w:szCs w:val="24"/>
        </w:rPr>
        <w:drawing>
          <wp:inline distT="0" distB="0" distL="0" distR="0" wp14:anchorId="75E0E927" wp14:editId="505D8397">
            <wp:extent cx="1207698" cy="560717"/>
            <wp:effectExtent l="0" t="0" r="0" b="0"/>
            <wp:docPr id="1836544636" name="Picture 2"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544636" name="Picture 2" descr="A close-up of a signature&#10;&#10;AI-generated content may be incorrect."/>
                    <pic:cNvPicPr>
                      <a:picLocks noChangeAspect="1" noChangeArrowheads="1"/>
                    </pic:cNvPicPr>
                  </pic:nvPicPr>
                  <pic:blipFill>
                    <a:blip r:embed="rId34" r:link="rId35" cstate="print">
                      <a:extLst>
                        <a:ext uri="{28A0092B-C50C-407E-A947-70E740481C1C}">
                          <a14:useLocalDpi xmlns:a14="http://schemas.microsoft.com/office/drawing/2010/main" val="0"/>
                        </a:ext>
                      </a:extLst>
                    </a:blip>
                    <a:srcRect/>
                    <a:stretch>
                      <a:fillRect/>
                    </a:stretch>
                  </pic:blipFill>
                  <pic:spPr bwMode="auto">
                    <a:xfrm>
                      <a:off x="0" y="0"/>
                      <a:ext cx="1211955" cy="562693"/>
                    </a:xfrm>
                    <a:prstGeom prst="rect">
                      <a:avLst/>
                    </a:prstGeom>
                    <a:noFill/>
                    <a:ln>
                      <a:noFill/>
                    </a:ln>
                  </pic:spPr>
                </pic:pic>
              </a:graphicData>
            </a:graphic>
          </wp:inline>
        </w:drawing>
      </w:r>
      <w:r w:rsidRPr="00DA5682">
        <w:rPr>
          <w:sz w:val="24"/>
          <w:szCs w:val="24"/>
        </w:rPr>
        <w:t>Print Name:</w:t>
      </w:r>
      <w:r w:rsidR="006141C9">
        <w:rPr>
          <w:sz w:val="24"/>
          <w:szCs w:val="24"/>
        </w:rPr>
        <w:t xml:space="preserve"> Ellie Mezzetta</w:t>
      </w:r>
      <w:r w:rsidR="004C2C16">
        <w:rPr>
          <w:sz w:val="24"/>
          <w:szCs w:val="24"/>
        </w:rPr>
        <w:t xml:space="preserve">, </w:t>
      </w:r>
      <w:r w:rsidRPr="00DA5682">
        <w:rPr>
          <w:sz w:val="24"/>
          <w:szCs w:val="24"/>
        </w:rPr>
        <w:t>Date</w:t>
      </w:r>
      <w:r w:rsidR="006141C9">
        <w:rPr>
          <w:sz w:val="24"/>
          <w:szCs w:val="24"/>
        </w:rPr>
        <w:t>: 26/11/2024</w:t>
      </w:r>
    </w:p>
    <w:p w14:paraId="48525359" w14:textId="77777777" w:rsidR="004C2C16" w:rsidRDefault="00D05A5D" w:rsidP="00D05A5D">
      <w:pPr>
        <w:rPr>
          <w:sz w:val="24"/>
          <w:szCs w:val="24"/>
        </w:rPr>
      </w:pPr>
      <w:r w:rsidRPr="00DA5682">
        <w:rPr>
          <w:sz w:val="24"/>
          <w:szCs w:val="24"/>
        </w:rPr>
        <w:t>(Mentor, if different to above)</w:t>
      </w:r>
    </w:p>
    <w:p w14:paraId="556A1018" w14:textId="77777777" w:rsidR="004C2C16" w:rsidRDefault="004C2C16" w:rsidP="00D05A5D">
      <w:pPr>
        <w:rPr>
          <w:sz w:val="24"/>
          <w:szCs w:val="24"/>
        </w:rPr>
      </w:pPr>
    </w:p>
    <w:p w14:paraId="46110204" w14:textId="19546316"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7"/>
      <w:footerReference w:type="default" r:id="rId3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476CE" w14:textId="77777777" w:rsidR="00237678" w:rsidRDefault="00237678">
      <w:r>
        <w:separator/>
      </w:r>
    </w:p>
  </w:endnote>
  <w:endnote w:type="continuationSeparator" w:id="0">
    <w:p w14:paraId="04848C6A" w14:textId="77777777" w:rsidR="00237678" w:rsidRDefault="00237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250AE" w14:textId="77777777" w:rsidR="00237678" w:rsidRDefault="00237678">
      <w:r>
        <w:separator/>
      </w:r>
    </w:p>
  </w:footnote>
  <w:footnote w:type="continuationSeparator" w:id="0">
    <w:p w14:paraId="070214F9" w14:textId="77777777" w:rsidR="00237678" w:rsidRDefault="002376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91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0487"/>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37E7D"/>
    <w:rsid w:val="001447F6"/>
    <w:rsid w:val="00147DE3"/>
    <w:rsid w:val="00150794"/>
    <w:rsid w:val="00151DA6"/>
    <w:rsid w:val="001608C4"/>
    <w:rsid w:val="00164832"/>
    <w:rsid w:val="00171418"/>
    <w:rsid w:val="001772BF"/>
    <w:rsid w:val="001772DE"/>
    <w:rsid w:val="00193AA6"/>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7C40"/>
    <w:rsid w:val="002019EB"/>
    <w:rsid w:val="00204B58"/>
    <w:rsid w:val="00205051"/>
    <w:rsid w:val="00210175"/>
    <w:rsid w:val="00211F65"/>
    <w:rsid w:val="00214047"/>
    <w:rsid w:val="00216563"/>
    <w:rsid w:val="0021792F"/>
    <w:rsid w:val="002207A3"/>
    <w:rsid w:val="00220D06"/>
    <w:rsid w:val="002246A0"/>
    <w:rsid w:val="00230439"/>
    <w:rsid w:val="00232A09"/>
    <w:rsid w:val="00235176"/>
    <w:rsid w:val="00236061"/>
    <w:rsid w:val="00237678"/>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6BE"/>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699"/>
    <w:rsid w:val="0037066E"/>
    <w:rsid w:val="00372DB4"/>
    <w:rsid w:val="0037356D"/>
    <w:rsid w:val="00373A36"/>
    <w:rsid w:val="0037419E"/>
    <w:rsid w:val="00375AF5"/>
    <w:rsid w:val="003761BD"/>
    <w:rsid w:val="00377448"/>
    <w:rsid w:val="00377884"/>
    <w:rsid w:val="003826BD"/>
    <w:rsid w:val="00385414"/>
    <w:rsid w:val="00390074"/>
    <w:rsid w:val="00392F73"/>
    <w:rsid w:val="00393600"/>
    <w:rsid w:val="003970AC"/>
    <w:rsid w:val="0039762B"/>
    <w:rsid w:val="003A0C37"/>
    <w:rsid w:val="003A1B6B"/>
    <w:rsid w:val="003A46C0"/>
    <w:rsid w:val="003A600E"/>
    <w:rsid w:val="003A6513"/>
    <w:rsid w:val="003B16C7"/>
    <w:rsid w:val="003B3115"/>
    <w:rsid w:val="003C19F1"/>
    <w:rsid w:val="003C3C67"/>
    <w:rsid w:val="003C4186"/>
    <w:rsid w:val="003C49C5"/>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4D4"/>
    <w:rsid w:val="00425160"/>
    <w:rsid w:val="00430DE3"/>
    <w:rsid w:val="004348AE"/>
    <w:rsid w:val="004376C0"/>
    <w:rsid w:val="0044223A"/>
    <w:rsid w:val="004456FE"/>
    <w:rsid w:val="00450B67"/>
    <w:rsid w:val="00451851"/>
    <w:rsid w:val="0045189A"/>
    <w:rsid w:val="00453343"/>
    <w:rsid w:val="004538C3"/>
    <w:rsid w:val="004608B9"/>
    <w:rsid w:val="00463B55"/>
    <w:rsid w:val="00465947"/>
    <w:rsid w:val="004667B1"/>
    <w:rsid w:val="00467F66"/>
    <w:rsid w:val="00470461"/>
    <w:rsid w:val="00470BB1"/>
    <w:rsid w:val="00472D36"/>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139E"/>
    <w:rsid w:val="004C2C1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70BA"/>
    <w:rsid w:val="00540EEC"/>
    <w:rsid w:val="005414F4"/>
    <w:rsid w:val="00546187"/>
    <w:rsid w:val="00547B11"/>
    <w:rsid w:val="00557D77"/>
    <w:rsid w:val="00562EAA"/>
    <w:rsid w:val="00563B58"/>
    <w:rsid w:val="005640C4"/>
    <w:rsid w:val="0056684C"/>
    <w:rsid w:val="00574A0C"/>
    <w:rsid w:val="0057780F"/>
    <w:rsid w:val="00581B66"/>
    <w:rsid w:val="00581E0A"/>
    <w:rsid w:val="005841E5"/>
    <w:rsid w:val="00586D89"/>
    <w:rsid w:val="005877C8"/>
    <w:rsid w:val="00587923"/>
    <w:rsid w:val="00594F9F"/>
    <w:rsid w:val="0059529B"/>
    <w:rsid w:val="005A1B4C"/>
    <w:rsid w:val="005A545C"/>
    <w:rsid w:val="005B271A"/>
    <w:rsid w:val="005B3A2D"/>
    <w:rsid w:val="005B54E7"/>
    <w:rsid w:val="005C1567"/>
    <w:rsid w:val="005C28D3"/>
    <w:rsid w:val="005C6CE5"/>
    <w:rsid w:val="005D3F07"/>
    <w:rsid w:val="005D4A1E"/>
    <w:rsid w:val="005D4F72"/>
    <w:rsid w:val="005E13EA"/>
    <w:rsid w:val="005E17F1"/>
    <w:rsid w:val="005F2ECE"/>
    <w:rsid w:val="005F64AA"/>
    <w:rsid w:val="005F7851"/>
    <w:rsid w:val="0060652C"/>
    <w:rsid w:val="00606E27"/>
    <w:rsid w:val="006108C9"/>
    <w:rsid w:val="006141C9"/>
    <w:rsid w:val="00614DF7"/>
    <w:rsid w:val="006179BB"/>
    <w:rsid w:val="00620404"/>
    <w:rsid w:val="00620BEC"/>
    <w:rsid w:val="0062158D"/>
    <w:rsid w:val="006223FD"/>
    <w:rsid w:val="00627068"/>
    <w:rsid w:val="006326D1"/>
    <w:rsid w:val="00632E0A"/>
    <w:rsid w:val="00633165"/>
    <w:rsid w:val="0063428E"/>
    <w:rsid w:val="006378EF"/>
    <w:rsid w:val="006447DE"/>
    <w:rsid w:val="00644889"/>
    <w:rsid w:val="0065276E"/>
    <w:rsid w:val="00654329"/>
    <w:rsid w:val="00654CEC"/>
    <w:rsid w:val="00655507"/>
    <w:rsid w:val="006579FD"/>
    <w:rsid w:val="006635E3"/>
    <w:rsid w:val="00665237"/>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71A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35A9"/>
    <w:rsid w:val="0072678F"/>
    <w:rsid w:val="007276E5"/>
    <w:rsid w:val="00727C4C"/>
    <w:rsid w:val="00733B66"/>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4DC3"/>
    <w:rsid w:val="007C556F"/>
    <w:rsid w:val="007C5ABE"/>
    <w:rsid w:val="007C6A87"/>
    <w:rsid w:val="007D0A07"/>
    <w:rsid w:val="007D0F11"/>
    <w:rsid w:val="007D133D"/>
    <w:rsid w:val="007D3EB4"/>
    <w:rsid w:val="007D3F16"/>
    <w:rsid w:val="007F10BD"/>
    <w:rsid w:val="007F223B"/>
    <w:rsid w:val="007F312E"/>
    <w:rsid w:val="007F3F7E"/>
    <w:rsid w:val="007F4BA4"/>
    <w:rsid w:val="00811844"/>
    <w:rsid w:val="00813CEC"/>
    <w:rsid w:val="00814BEA"/>
    <w:rsid w:val="0081534C"/>
    <w:rsid w:val="00816CE7"/>
    <w:rsid w:val="008171E4"/>
    <w:rsid w:val="008208EA"/>
    <w:rsid w:val="00822B44"/>
    <w:rsid w:val="00822D29"/>
    <w:rsid w:val="00824E67"/>
    <w:rsid w:val="00825A64"/>
    <w:rsid w:val="00826F48"/>
    <w:rsid w:val="008308AE"/>
    <w:rsid w:val="00830DD1"/>
    <w:rsid w:val="0083166E"/>
    <w:rsid w:val="00831DC3"/>
    <w:rsid w:val="008322C7"/>
    <w:rsid w:val="008340BA"/>
    <w:rsid w:val="00834F1D"/>
    <w:rsid w:val="00836FEC"/>
    <w:rsid w:val="00841F9D"/>
    <w:rsid w:val="008420E1"/>
    <w:rsid w:val="00843D29"/>
    <w:rsid w:val="00844D98"/>
    <w:rsid w:val="00845F5B"/>
    <w:rsid w:val="00846D84"/>
    <w:rsid w:val="00850233"/>
    <w:rsid w:val="0085230E"/>
    <w:rsid w:val="008550A1"/>
    <w:rsid w:val="00861038"/>
    <w:rsid w:val="00865B58"/>
    <w:rsid w:val="00866B50"/>
    <w:rsid w:val="00867A63"/>
    <w:rsid w:val="008708F1"/>
    <w:rsid w:val="00871960"/>
    <w:rsid w:val="0087369F"/>
    <w:rsid w:val="00874450"/>
    <w:rsid w:val="00880539"/>
    <w:rsid w:val="008859E8"/>
    <w:rsid w:val="0088737B"/>
    <w:rsid w:val="00891078"/>
    <w:rsid w:val="00892716"/>
    <w:rsid w:val="00893067"/>
    <w:rsid w:val="008933DE"/>
    <w:rsid w:val="00895FCE"/>
    <w:rsid w:val="00897F3E"/>
    <w:rsid w:val="008A21B4"/>
    <w:rsid w:val="008A3344"/>
    <w:rsid w:val="008B07DE"/>
    <w:rsid w:val="008B1309"/>
    <w:rsid w:val="008B28E7"/>
    <w:rsid w:val="008B67F6"/>
    <w:rsid w:val="008C14C7"/>
    <w:rsid w:val="008C2FFB"/>
    <w:rsid w:val="008C633F"/>
    <w:rsid w:val="008C6EEA"/>
    <w:rsid w:val="008C7770"/>
    <w:rsid w:val="008C79C7"/>
    <w:rsid w:val="008D03B0"/>
    <w:rsid w:val="008D2150"/>
    <w:rsid w:val="008D5154"/>
    <w:rsid w:val="008D5813"/>
    <w:rsid w:val="008D5999"/>
    <w:rsid w:val="008D634E"/>
    <w:rsid w:val="008D778A"/>
    <w:rsid w:val="008D78C9"/>
    <w:rsid w:val="008E0C4C"/>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80A"/>
    <w:rsid w:val="00956AE9"/>
    <w:rsid w:val="00964CC6"/>
    <w:rsid w:val="00967BFA"/>
    <w:rsid w:val="00972666"/>
    <w:rsid w:val="00972E0F"/>
    <w:rsid w:val="0098262C"/>
    <w:rsid w:val="009839D1"/>
    <w:rsid w:val="0098427C"/>
    <w:rsid w:val="00986B43"/>
    <w:rsid w:val="00986C0B"/>
    <w:rsid w:val="00986D46"/>
    <w:rsid w:val="00991FDA"/>
    <w:rsid w:val="00992ACA"/>
    <w:rsid w:val="009A5F3B"/>
    <w:rsid w:val="009A5F79"/>
    <w:rsid w:val="009A6F87"/>
    <w:rsid w:val="009B0B61"/>
    <w:rsid w:val="009B28C0"/>
    <w:rsid w:val="009B3178"/>
    <w:rsid w:val="009B3E46"/>
    <w:rsid w:val="009B59E1"/>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228"/>
    <w:rsid w:val="00A54D67"/>
    <w:rsid w:val="00A55A3F"/>
    <w:rsid w:val="00A5656A"/>
    <w:rsid w:val="00A60103"/>
    <w:rsid w:val="00A652F6"/>
    <w:rsid w:val="00A65861"/>
    <w:rsid w:val="00A732EA"/>
    <w:rsid w:val="00A7489E"/>
    <w:rsid w:val="00A8015F"/>
    <w:rsid w:val="00A80942"/>
    <w:rsid w:val="00A85039"/>
    <w:rsid w:val="00A906AA"/>
    <w:rsid w:val="00A91DCC"/>
    <w:rsid w:val="00A94C5E"/>
    <w:rsid w:val="00AA252C"/>
    <w:rsid w:val="00AA666E"/>
    <w:rsid w:val="00AA7960"/>
    <w:rsid w:val="00AB5518"/>
    <w:rsid w:val="00AC19E2"/>
    <w:rsid w:val="00AC3A0E"/>
    <w:rsid w:val="00AC4A04"/>
    <w:rsid w:val="00AC5679"/>
    <w:rsid w:val="00AD336F"/>
    <w:rsid w:val="00AD603C"/>
    <w:rsid w:val="00AE0CB4"/>
    <w:rsid w:val="00AE134C"/>
    <w:rsid w:val="00AE1868"/>
    <w:rsid w:val="00AE2564"/>
    <w:rsid w:val="00AE301F"/>
    <w:rsid w:val="00AE30BE"/>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39C1"/>
    <w:rsid w:val="00B47734"/>
    <w:rsid w:val="00B50FBA"/>
    <w:rsid w:val="00B558EB"/>
    <w:rsid w:val="00B55A60"/>
    <w:rsid w:val="00B577D3"/>
    <w:rsid w:val="00B60466"/>
    <w:rsid w:val="00B6548F"/>
    <w:rsid w:val="00B71A32"/>
    <w:rsid w:val="00B7502A"/>
    <w:rsid w:val="00B7645C"/>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32F"/>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487"/>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913"/>
    <w:rsid w:val="00CA0894"/>
    <w:rsid w:val="00CA3593"/>
    <w:rsid w:val="00CA5726"/>
    <w:rsid w:val="00CA7E6A"/>
    <w:rsid w:val="00CB258E"/>
    <w:rsid w:val="00CB3C8F"/>
    <w:rsid w:val="00CC02F1"/>
    <w:rsid w:val="00CC1122"/>
    <w:rsid w:val="00CC11A6"/>
    <w:rsid w:val="00CC135E"/>
    <w:rsid w:val="00CC5D28"/>
    <w:rsid w:val="00CC7226"/>
    <w:rsid w:val="00CC7E08"/>
    <w:rsid w:val="00CD0735"/>
    <w:rsid w:val="00CD45E3"/>
    <w:rsid w:val="00CD4771"/>
    <w:rsid w:val="00CD5089"/>
    <w:rsid w:val="00CD5D3F"/>
    <w:rsid w:val="00CD7E1F"/>
    <w:rsid w:val="00CE1E6E"/>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3789"/>
    <w:rsid w:val="00D55DE0"/>
    <w:rsid w:val="00D607EF"/>
    <w:rsid w:val="00D60F88"/>
    <w:rsid w:val="00D646BD"/>
    <w:rsid w:val="00D65558"/>
    <w:rsid w:val="00D71201"/>
    <w:rsid w:val="00D720C7"/>
    <w:rsid w:val="00D84841"/>
    <w:rsid w:val="00D86895"/>
    <w:rsid w:val="00D876E6"/>
    <w:rsid w:val="00D90958"/>
    <w:rsid w:val="00D9458B"/>
    <w:rsid w:val="00DA081E"/>
    <w:rsid w:val="00DA1025"/>
    <w:rsid w:val="00DA22EC"/>
    <w:rsid w:val="00DA5682"/>
    <w:rsid w:val="00DA5860"/>
    <w:rsid w:val="00DA5C0C"/>
    <w:rsid w:val="00DB2767"/>
    <w:rsid w:val="00DB5601"/>
    <w:rsid w:val="00DC1B10"/>
    <w:rsid w:val="00DC2924"/>
    <w:rsid w:val="00DC4729"/>
    <w:rsid w:val="00DD31C5"/>
    <w:rsid w:val="00DD5020"/>
    <w:rsid w:val="00DD63BE"/>
    <w:rsid w:val="00DE4296"/>
    <w:rsid w:val="00DE5B53"/>
    <w:rsid w:val="00DF2469"/>
    <w:rsid w:val="00DF7899"/>
    <w:rsid w:val="00E0524C"/>
    <w:rsid w:val="00E13020"/>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B4D"/>
    <w:rsid w:val="00E91F62"/>
    <w:rsid w:val="00E929FD"/>
    <w:rsid w:val="00E93240"/>
    <w:rsid w:val="00E9479B"/>
    <w:rsid w:val="00E94E22"/>
    <w:rsid w:val="00E95F08"/>
    <w:rsid w:val="00E97171"/>
    <w:rsid w:val="00EA4D48"/>
    <w:rsid w:val="00EA7ADF"/>
    <w:rsid w:val="00EB2173"/>
    <w:rsid w:val="00EB62E6"/>
    <w:rsid w:val="00EB695F"/>
    <w:rsid w:val="00EB6C88"/>
    <w:rsid w:val="00EC3A85"/>
    <w:rsid w:val="00EC4B89"/>
    <w:rsid w:val="00EC59A5"/>
    <w:rsid w:val="00EC6E15"/>
    <w:rsid w:val="00ED1B30"/>
    <w:rsid w:val="00ED5D03"/>
    <w:rsid w:val="00EE01ED"/>
    <w:rsid w:val="00EE1AC1"/>
    <w:rsid w:val="00EE39D6"/>
    <w:rsid w:val="00EE52AD"/>
    <w:rsid w:val="00EE5BC3"/>
    <w:rsid w:val="00EE6FAB"/>
    <w:rsid w:val="00EF1FC0"/>
    <w:rsid w:val="00EF328C"/>
    <w:rsid w:val="00EF68BB"/>
    <w:rsid w:val="00F01F92"/>
    <w:rsid w:val="00F030D4"/>
    <w:rsid w:val="00F04053"/>
    <w:rsid w:val="00F06573"/>
    <w:rsid w:val="00F10A08"/>
    <w:rsid w:val="00F120A0"/>
    <w:rsid w:val="00F15354"/>
    <w:rsid w:val="00F22AC5"/>
    <w:rsid w:val="00F254D1"/>
    <w:rsid w:val="00F31104"/>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83C"/>
    <w:rsid w:val="00F927A1"/>
    <w:rsid w:val="00F92E4D"/>
    <w:rsid w:val="00F95D08"/>
    <w:rsid w:val="00FA23BD"/>
    <w:rsid w:val="00FA3764"/>
    <w:rsid w:val="00FA41C7"/>
    <w:rsid w:val="00FA4A79"/>
    <w:rsid w:val="00FA56ED"/>
    <w:rsid w:val="00FB05DD"/>
    <w:rsid w:val="00FB0F7C"/>
    <w:rsid w:val="00FB11BC"/>
    <w:rsid w:val="00FB130D"/>
    <w:rsid w:val="00FB24EA"/>
    <w:rsid w:val="00FB5FA6"/>
    <w:rsid w:val="00FC0334"/>
    <w:rsid w:val="00FC1310"/>
    <w:rsid w:val="00FC1386"/>
    <w:rsid w:val="00FC2FF3"/>
    <w:rsid w:val="00FC3263"/>
    <w:rsid w:val="00FC51F9"/>
    <w:rsid w:val="00FC5B40"/>
    <w:rsid w:val="00FC5FF8"/>
    <w:rsid w:val="00FD271B"/>
    <w:rsid w:val="00FD3D7C"/>
    <w:rsid w:val="00FD4F8F"/>
    <w:rsid w:val="00FE0C16"/>
    <w:rsid w:val="00FE14B1"/>
    <w:rsid w:val="00FE4D97"/>
    <w:rsid w:val="00FE59B6"/>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EB6C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0002-9432.77.2.296" TargetMode="External"/><Relationship Id="rId18" Type="http://schemas.openxmlformats.org/officeDocument/2006/relationships/hyperlink" Target="https://www.legislation.gov.uk/ukpga/1998/42/contents" TargetMode="External"/><Relationship Id="rId26" Type="http://schemas.openxmlformats.org/officeDocument/2006/relationships/hyperlink" Target="https://www.signsofsafety.net/what-is-sofs/" TargetMode="External"/><Relationship Id="rId39" Type="http://schemas.openxmlformats.org/officeDocument/2006/relationships/fontTable" Target="fontTable.xml"/><Relationship Id="rId21" Type="http://schemas.openxmlformats.org/officeDocument/2006/relationships/hyperlink" Target="https://www.legislation.gov.uk/mwa/2011/1/contents/enacted" TargetMode="External"/><Relationship Id="rId34" Type="http://schemas.openxmlformats.org/officeDocument/2006/relationships/image" Target="media/image3.gif"/><Relationship Id="rId7" Type="http://schemas.openxmlformats.org/officeDocument/2006/relationships/webSettings" Target="webSettings.xml"/><Relationship Id="rId12" Type="http://schemas.openxmlformats.org/officeDocument/2006/relationships/hyperlink" Target="https://www.legislation.gov.uk/ukpga/1989/41/contents" TargetMode="External"/><Relationship Id="rId17" Type="http://schemas.openxmlformats.org/officeDocument/2006/relationships/hyperlink" Target="https://www.legislation.gov.uk/ukpga/2018/12/contents" TargetMode="External"/><Relationship Id="rId25" Type="http://schemas.openxmlformats.org/officeDocument/2006/relationships/hyperlink" Target="https://learning.nspcc.org.uk/child-protection-system/gillick-competence-fraser-guidelines" TargetMode="External"/><Relationship Id="rId33" Type="http://schemas.openxmlformats.org/officeDocument/2006/relationships/image" Target="media/image2.jpe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20" Type="http://schemas.openxmlformats.org/officeDocument/2006/relationships/hyperlink" Target="https://www.legislation.gov.uk/ukpga/1989/41/contents" TargetMode="External"/><Relationship Id="rId29" Type="http://schemas.openxmlformats.org/officeDocument/2006/relationships/hyperlink" Target="https://www.ohchr.org/en/instruments-mechanisms/instruments/convention-rights-chil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ew.basw.co.uk/sites/default/files/2024-04/basw-code-of-ethics.pdf" TargetMode="External"/><Relationship Id="rId24" Type="http://schemas.openxmlformats.org/officeDocument/2006/relationships/hyperlink" Target="http://eprints.lse.ac.uk/archive/00000358/" TargetMode="External"/><Relationship Id="rId32" Type="http://schemas.openxmlformats.org/officeDocument/2006/relationships/hyperlink" Target="https://www.gov.wales/sites/default/files/publications/2019-04/delivering-the-active-offer-information-pack-social-services-and-social-care.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gislation.gov.uk/ukpga/2005/9/contents" TargetMode="External"/><Relationship Id="rId23" Type="http://schemas.openxmlformats.org/officeDocument/2006/relationships/hyperlink" Target="https://www.gov.wales/sites/default/files/publications/2019-04/more-than-just-words-progress-report-year-2.pdf" TargetMode="External"/><Relationship Id="rId28" Type="http://schemas.openxmlformats.org/officeDocument/2006/relationships/hyperlink" Target="https://www.unicef.org.uk/what-we-do/un-convention-child-rights/" TargetMode="External"/><Relationship Id="rId36" Type="http://schemas.openxmlformats.org/officeDocument/2006/relationships/image" Target="media/image4.jpeg"/><Relationship Id="rId10" Type="http://schemas.openxmlformats.org/officeDocument/2006/relationships/image" Target="media/image1.png"/><Relationship Id="rId19" Type="http://schemas.openxmlformats.org/officeDocument/2006/relationships/hyperlink" Target="https://assets.publishing.service.gov.uk/media/5a7c5edeed915d696ccfc51b/5730.pdf" TargetMode="External"/><Relationship Id="rId31" Type="http://schemas.openxmlformats.org/officeDocument/2006/relationships/hyperlink" Target="https://www.legislation.gov.uk/anaw/2014/4/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3557858.2018.1447652" TargetMode="External"/><Relationship Id="rId22" Type="http://schemas.openxmlformats.org/officeDocument/2006/relationships/hyperlink" Target="https://www.legislation.gov.uk/anaw/2020/3" TargetMode="External"/><Relationship Id="rId27" Type="http://schemas.openxmlformats.org/officeDocument/2006/relationships/hyperlink" Target="https://socialcare.wales/cms-assets/documents/Code-of-Professional-Practice-for-Social-Care-web-version.pdf" TargetMode="External"/><Relationship Id="rId30" Type="http://schemas.openxmlformats.org/officeDocument/2006/relationships/hyperlink" Target="https://safeguarding.wales/en/" TargetMode="External"/><Relationship Id="rId35" Type="http://schemas.openxmlformats.org/officeDocument/2006/relationships/image" Target="cid:image001.png@01DC36B3.9F667490"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15</Pages>
  <Words>3964</Words>
  <Characters>23311</Characters>
  <Application>Microsoft Office Word</Application>
  <DocSecurity>0</DocSecurity>
  <Lines>685</Lines>
  <Paragraphs>262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Lisa (CCATS)</cp:lastModifiedBy>
  <cp:revision>60</cp:revision>
  <cp:lastPrinted>2020-02-11T19:20:00Z</cp:lastPrinted>
  <dcterms:created xsi:type="dcterms:W3CDTF">2025-10-04T13:09:00Z</dcterms:created>
  <dcterms:modified xsi:type="dcterms:W3CDTF">2025-10-06T10:47:00Z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