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BB4C3" w14:textId="53356915" w:rsidR="00277922" w:rsidRDefault="001A570A">
      <w:r>
        <w:rPr>
          <w:noProof/>
        </w:rPr>
        <w:drawing>
          <wp:inline distT="0" distB="0" distL="0" distR="0" wp14:anchorId="430D2DD3" wp14:editId="6BA3D516">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E4E6D75" w14:textId="77777777" w:rsidR="001A570A" w:rsidRDefault="001A570A"/>
    <w:p w14:paraId="3B6E9AFD" w14:textId="77777777" w:rsidR="001A570A" w:rsidRPr="004B31F1" w:rsidRDefault="001A570A" w:rsidP="001A570A">
      <w:pPr>
        <w:spacing w:before="212"/>
        <w:rPr>
          <w:rFonts w:ascii="Arial" w:hAnsi="Arial" w:cs="Arial"/>
          <w:b/>
          <w:bCs/>
          <w:sz w:val="48"/>
          <w:szCs w:val="48"/>
        </w:rPr>
      </w:pPr>
      <w:r w:rsidRPr="166ABB76">
        <w:rPr>
          <w:rFonts w:ascii="Arial" w:hAnsi="Arial" w:cs="Arial"/>
          <w:b/>
          <w:bCs/>
          <w:sz w:val="48"/>
          <w:szCs w:val="48"/>
        </w:rPr>
        <w:t xml:space="preserve">Module Name: </w:t>
      </w:r>
      <w:r w:rsidRPr="003E0D20">
        <w:rPr>
          <w:rFonts w:ascii="Arial" w:hAnsi="Arial" w:cs="Arial"/>
          <w:b/>
          <w:bCs/>
          <w:sz w:val="48"/>
          <w:szCs w:val="48"/>
        </w:rPr>
        <w:t>The Changing Business Environment</w:t>
      </w:r>
    </w:p>
    <w:p w14:paraId="1D3CB035" w14:textId="77777777" w:rsidR="001A570A" w:rsidRPr="004B31F1" w:rsidRDefault="001A570A" w:rsidP="001A570A">
      <w:pPr>
        <w:spacing w:before="212"/>
        <w:rPr>
          <w:rFonts w:ascii="Arial" w:hAnsi="Arial" w:cs="Arial"/>
          <w:b/>
          <w:bCs/>
          <w:sz w:val="48"/>
          <w:szCs w:val="48"/>
        </w:rPr>
      </w:pPr>
      <w:r w:rsidRPr="004B31F1">
        <w:rPr>
          <w:rFonts w:ascii="Arial" w:hAnsi="Arial" w:cs="Arial"/>
          <w:b/>
          <w:bCs/>
          <w:sz w:val="48"/>
          <w:szCs w:val="48"/>
        </w:rPr>
        <w:t xml:space="preserve">Module Code:  </w:t>
      </w:r>
      <w:r w:rsidRPr="003E0D20">
        <w:rPr>
          <w:rFonts w:ascii="Arial" w:hAnsi="Arial" w:cs="Arial"/>
          <w:b/>
          <w:bCs/>
          <w:sz w:val="48"/>
          <w:szCs w:val="48"/>
        </w:rPr>
        <w:t>BMBM4010/D</w:t>
      </w:r>
    </w:p>
    <w:p w14:paraId="3C40A1FE" w14:textId="77777777" w:rsidR="001A570A" w:rsidRDefault="001A570A" w:rsidP="001A570A">
      <w:pPr>
        <w:spacing w:before="212"/>
        <w:rPr>
          <w:rFonts w:ascii="Arial" w:hAnsi="Arial" w:cs="Arial"/>
          <w:b/>
          <w:bCs/>
          <w:sz w:val="48"/>
          <w:szCs w:val="48"/>
        </w:rPr>
      </w:pPr>
      <w:r w:rsidRPr="004B31F1">
        <w:rPr>
          <w:rFonts w:ascii="Arial" w:hAnsi="Arial" w:cs="Arial"/>
          <w:b/>
          <w:bCs/>
          <w:sz w:val="48"/>
          <w:szCs w:val="48"/>
        </w:rPr>
        <w:t>Assignment Name:</w:t>
      </w:r>
      <w:r>
        <w:rPr>
          <w:rFonts w:ascii="Arial" w:hAnsi="Arial" w:cs="Arial"/>
          <w:b/>
          <w:bCs/>
          <w:sz w:val="48"/>
          <w:szCs w:val="48"/>
        </w:rPr>
        <w:t xml:space="preserve"> Essay</w:t>
      </w:r>
    </w:p>
    <w:p w14:paraId="169364B8" w14:textId="77777777" w:rsidR="001A570A" w:rsidRPr="004B31F1" w:rsidRDefault="001A570A" w:rsidP="001A570A">
      <w:pPr>
        <w:spacing w:before="212"/>
        <w:rPr>
          <w:rFonts w:ascii="Arial" w:hAnsi="Arial" w:cs="Arial"/>
          <w:b/>
          <w:bCs/>
          <w:sz w:val="48"/>
          <w:szCs w:val="48"/>
        </w:rPr>
      </w:pPr>
      <w:r>
        <w:rPr>
          <w:rFonts w:ascii="Arial" w:hAnsi="Arial" w:cs="Arial"/>
          <w:b/>
          <w:bCs/>
          <w:sz w:val="48"/>
          <w:szCs w:val="48"/>
        </w:rPr>
        <w:t xml:space="preserve">Topic: </w:t>
      </w:r>
      <w:r w:rsidRPr="00CF107A">
        <w:rPr>
          <w:rFonts w:ascii="Arial" w:hAnsi="Arial" w:cs="Arial"/>
          <w:b/>
          <w:bCs/>
          <w:sz w:val="48"/>
          <w:szCs w:val="48"/>
        </w:rPr>
        <w:t>Adapting to Change: A Business Environment Analysis of Data Analytics in the Formula 1</w:t>
      </w:r>
    </w:p>
    <w:p w14:paraId="2F8B9959" w14:textId="77777777" w:rsidR="001A570A" w:rsidRPr="004B31F1" w:rsidRDefault="001A570A" w:rsidP="001A570A">
      <w:pPr>
        <w:spacing w:before="3"/>
        <w:rPr>
          <w:rFonts w:ascii="Arial" w:hAnsi="Arial" w:cs="Arial"/>
          <w:b/>
          <w:sz w:val="48"/>
          <w:szCs w:val="48"/>
        </w:rPr>
      </w:pPr>
      <w:r w:rsidRPr="004B31F1">
        <w:rPr>
          <w:rFonts w:ascii="Arial" w:hAnsi="Arial" w:cs="Arial"/>
          <w:b/>
          <w:sz w:val="48"/>
          <w:szCs w:val="48"/>
        </w:rPr>
        <w:t>Student Name:</w:t>
      </w:r>
      <w:r>
        <w:rPr>
          <w:rFonts w:ascii="Arial" w:hAnsi="Arial" w:cs="Arial"/>
          <w:b/>
          <w:sz w:val="48"/>
          <w:szCs w:val="48"/>
        </w:rPr>
        <w:t xml:space="preserve"> Lidia Z </w:t>
      </w:r>
      <w:proofErr w:type="spellStart"/>
      <w:r>
        <w:rPr>
          <w:rFonts w:ascii="Arial" w:hAnsi="Arial" w:cs="Arial"/>
          <w:b/>
          <w:sz w:val="48"/>
          <w:szCs w:val="48"/>
        </w:rPr>
        <w:t>Ciszynska</w:t>
      </w:r>
      <w:proofErr w:type="spellEnd"/>
    </w:p>
    <w:p w14:paraId="1986AF25" w14:textId="77777777" w:rsidR="001A570A" w:rsidRPr="004B31F1" w:rsidRDefault="001A570A" w:rsidP="001A570A">
      <w:pPr>
        <w:spacing w:before="3"/>
        <w:rPr>
          <w:rFonts w:ascii="Arial" w:hAnsi="Arial" w:cs="Arial"/>
          <w:b/>
          <w:sz w:val="48"/>
          <w:szCs w:val="48"/>
        </w:rPr>
      </w:pPr>
      <w:r w:rsidRPr="004B31F1">
        <w:rPr>
          <w:rFonts w:ascii="Arial" w:hAnsi="Arial" w:cs="Arial"/>
          <w:b/>
          <w:sz w:val="48"/>
          <w:szCs w:val="48"/>
        </w:rPr>
        <w:t>Student Number:</w:t>
      </w:r>
      <w:r>
        <w:rPr>
          <w:rFonts w:ascii="Arial" w:hAnsi="Arial" w:cs="Arial"/>
          <w:b/>
          <w:sz w:val="48"/>
          <w:szCs w:val="48"/>
        </w:rPr>
        <w:t xml:space="preserve"> 2505186</w:t>
      </w:r>
    </w:p>
    <w:p w14:paraId="5EF9E0AD" w14:textId="77777777" w:rsidR="001A570A" w:rsidRPr="003E0D20" w:rsidRDefault="001A570A" w:rsidP="001A570A">
      <w:pPr>
        <w:rPr>
          <w:rFonts w:ascii="Arial" w:hAnsi="Arial" w:cs="Arial"/>
          <w:b/>
          <w:sz w:val="48"/>
          <w:szCs w:val="48"/>
        </w:rPr>
      </w:pPr>
      <w:r w:rsidRPr="004B31F1">
        <w:rPr>
          <w:rFonts w:ascii="Arial" w:hAnsi="Arial" w:cs="Arial"/>
          <w:b/>
          <w:sz w:val="48"/>
          <w:szCs w:val="48"/>
        </w:rPr>
        <w:t>Lecturer:</w:t>
      </w:r>
      <w:r>
        <w:rPr>
          <w:rFonts w:ascii="Arial" w:hAnsi="Arial" w:cs="Arial"/>
          <w:b/>
          <w:sz w:val="48"/>
          <w:szCs w:val="48"/>
        </w:rPr>
        <w:t xml:space="preserve"> </w:t>
      </w:r>
      <w:r w:rsidRPr="00CF107A">
        <w:rPr>
          <w:rFonts w:ascii="Arial" w:hAnsi="Arial" w:cs="Arial"/>
          <w:b/>
          <w:sz w:val="48"/>
          <w:szCs w:val="48"/>
        </w:rPr>
        <w:t>Zoe Williams</w:t>
      </w:r>
      <w:r w:rsidRPr="004B31F1">
        <w:rPr>
          <w:rFonts w:ascii="Arial" w:hAnsi="Arial" w:cs="Arial"/>
          <w:b/>
          <w:sz w:val="48"/>
          <w:szCs w:val="48"/>
        </w:rPr>
        <w:br/>
        <w:t>Deadline:</w:t>
      </w:r>
      <w:r>
        <w:rPr>
          <w:rFonts w:ascii="Arial" w:hAnsi="Arial" w:cs="Arial"/>
          <w:b/>
          <w:sz w:val="48"/>
          <w:szCs w:val="48"/>
        </w:rPr>
        <w:t xml:space="preserve"> 3/04/2026</w:t>
      </w:r>
    </w:p>
    <w:p w14:paraId="76BD35B3" w14:textId="3AEDFE96" w:rsidR="001A570A" w:rsidRDefault="001A570A" w:rsidP="001A570A">
      <w:pPr>
        <w:rPr>
          <w:rFonts w:ascii="Arial" w:hAnsi="Arial" w:cs="Arial"/>
          <w:b/>
          <w:sz w:val="32"/>
          <w:szCs w:val="32"/>
        </w:rPr>
      </w:pPr>
      <w:r w:rsidRPr="004B31F1">
        <w:rPr>
          <w:rFonts w:ascii="Arial" w:hAnsi="Arial" w:cs="Arial"/>
          <w:b/>
          <w:sz w:val="32"/>
          <w:szCs w:val="32"/>
        </w:rPr>
        <w:t>Wordcount</w:t>
      </w:r>
      <w:r>
        <w:rPr>
          <w:rFonts w:ascii="Arial" w:hAnsi="Arial" w:cs="Arial"/>
          <w:b/>
          <w:sz w:val="32"/>
          <w:szCs w:val="32"/>
        </w:rPr>
        <w:t xml:space="preserve">: </w:t>
      </w:r>
      <w:r w:rsidRPr="00CF107A">
        <w:rPr>
          <w:rFonts w:ascii="Arial" w:hAnsi="Arial" w:cs="Arial"/>
          <w:b/>
          <w:sz w:val="32"/>
          <w:szCs w:val="32"/>
        </w:rPr>
        <w:t>3,</w:t>
      </w:r>
      <w:r w:rsidR="007C5082">
        <w:rPr>
          <w:rFonts w:ascii="Arial" w:hAnsi="Arial" w:cs="Arial"/>
          <w:b/>
          <w:sz w:val="32"/>
          <w:szCs w:val="32"/>
        </w:rPr>
        <w:t>134</w:t>
      </w:r>
    </w:p>
    <w:p w14:paraId="50375C22" w14:textId="77777777" w:rsidR="001A570A" w:rsidRDefault="001A570A" w:rsidP="001A570A">
      <w:pPr>
        <w:rPr>
          <w:rFonts w:ascii="Arial" w:hAnsi="Arial" w:cs="Arial"/>
          <w:b/>
          <w:sz w:val="32"/>
          <w:szCs w:val="32"/>
        </w:rPr>
      </w:pPr>
    </w:p>
    <w:p w14:paraId="17C6138A" w14:textId="77777777" w:rsidR="001A570A" w:rsidRDefault="001A570A" w:rsidP="001A570A">
      <w:pPr>
        <w:rPr>
          <w:rFonts w:ascii="Arial" w:hAnsi="Arial" w:cs="Arial"/>
          <w:b/>
          <w:sz w:val="32"/>
          <w:szCs w:val="32"/>
        </w:rPr>
      </w:pPr>
    </w:p>
    <w:p w14:paraId="01ABB284" w14:textId="77777777" w:rsidR="001A570A" w:rsidRDefault="001A570A" w:rsidP="001A570A">
      <w:pPr>
        <w:rPr>
          <w:rFonts w:ascii="Arial" w:hAnsi="Arial" w:cs="Arial"/>
          <w:b/>
          <w:sz w:val="32"/>
          <w:szCs w:val="32"/>
        </w:rPr>
      </w:pPr>
    </w:p>
    <w:p w14:paraId="27D5051A" w14:textId="77777777" w:rsidR="001A570A" w:rsidRDefault="001A570A" w:rsidP="001A570A">
      <w:pPr>
        <w:rPr>
          <w:rFonts w:ascii="Arial" w:hAnsi="Arial" w:cs="Arial"/>
          <w:b/>
          <w:sz w:val="32"/>
          <w:szCs w:val="32"/>
        </w:rPr>
      </w:pPr>
    </w:p>
    <w:p w14:paraId="1CC680C5" w14:textId="7EB620F1" w:rsidR="001A570A" w:rsidRPr="007C5082" w:rsidRDefault="00C76D0A" w:rsidP="007C5082">
      <w:pPr>
        <w:spacing w:line="360" w:lineRule="auto"/>
        <w:rPr>
          <w:rFonts w:ascii="Arial" w:hAnsi="Arial" w:cs="Arial"/>
        </w:rPr>
      </w:pPr>
      <w:r w:rsidRPr="007C5082">
        <w:rPr>
          <w:rFonts w:ascii="Arial" w:hAnsi="Arial" w:cs="Arial"/>
        </w:rPr>
        <w:lastRenderedPageBreak/>
        <w:t xml:space="preserve">Formula 1 is best known for its exciting races, where drivers compete in highly advanced cars at circuits around the world. </w:t>
      </w:r>
      <w:proofErr w:type="gramStart"/>
      <w:r w:rsidRPr="007C5082">
        <w:rPr>
          <w:rFonts w:ascii="Arial" w:hAnsi="Arial" w:cs="Arial"/>
        </w:rPr>
        <w:t>In reality, it</w:t>
      </w:r>
      <w:proofErr w:type="gramEnd"/>
      <w:r w:rsidRPr="007C5082">
        <w:rPr>
          <w:rFonts w:ascii="Arial" w:hAnsi="Arial" w:cs="Arial"/>
        </w:rPr>
        <w:t xml:space="preserve"> is much more than just an exclusive sport. It is globally expended brand in which many different entities cooperate. In 2024, Formula 1 operated through ten constructor teams competing across a 24-race international calendar (Formula 1, 2024; Formula 1, 2023). The commercial scale of the sport is reflected in its financial performance, with Formula Ona Group, which reported total revenue of </w:t>
      </w:r>
      <w:r w:rsidRPr="007C5082">
        <w:rPr>
          <w:rFonts w:ascii="Arial" w:hAnsi="Arial" w:cs="Arial"/>
        </w:rPr>
        <w:t>$3.653 billion in 2024, compared with $3.222 billion in 2023</w:t>
      </w:r>
      <w:r w:rsidRPr="007C5082">
        <w:rPr>
          <w:rFonts w:ascii="Arial" w:hAnsi="Arial" w:cs="Arial"/>
        </w:rPr>
        <w:t xml:space="preserve"> (Liberty Media Corporation, 2025). An important feature of this commercial growth was the raise in media rights fees, which increased from </w:t>
      </w:r>
      <w:r w:rsidRPr="007C5082">
        <w:rPr>
          <w:rFonts w:ascii="Arial" w:hAnsi="Arial" w:cs="Arial"/>
        </w:rPr>
        <w:t>$606.6 million in 2017 to $1.18 billion in 2024</w:t>
      </w:r>
      <w:r w:rsidRPr="007C5082">
        <w:rPr>
          <w:rFonts w:ascii="Arial" w:hAnsi="Arial" w:cs="Arial"/>
        </w:rPr>
        <w:t xml:space="preserve"> (</w:t>
      </w:r>
      <w:r w:rsidRPr="007C5082">
        <w:rPr>
          <w:rFonts w:ascii="Arial" w:hAnsi="Arial" w:cs="Arial"/>
        </w:rPr>
        <w:t>O’Sullivan and Johnson, 2025).</w:t>
      </w:r>
      <w:r w:rsidRPr="007C5082">
        <w:rPr>
          <w:rFonts w:ascii="Arial" w:hAnsi="Arial" w:cs="Arial"/>
        </w:rPr>
        <w:t xml:space="preserve"> Besides racing teams, a major role is played by institutions managing sports, event hoists and commercial partners. The functionality of Formula 1 is based on close cooperation between these entities because each of them is responsible for a different area of operations within the industry. At the same time, this environment is characterised by a high level of competition and a constant need to innovate. Because of that, this organisation can be analysed as a complex business industry and not only a sport event. In such conditions, success highly depends on adaptation skills in comparison to technological, economical and regulatory changes. What distinguishes Formula 1 from other sporting industries </w:t>
      </w:r>
      <w:r w:rsidR="00AF15A7" w:rsidRPr="007C5082">
        <w:rPr>
          <w:rFonts w:ascii="Arial" w:hAnsi="Arial" w:cs="Arial"/>
        </w:rPr>
        <w:t xml:space="preserve">is its dependence on data analytics as the primary source of competitive differentiation. Oracle Red Bull Racing processes up to 2TB of telemetry data per session through cloud infrastructure and relies heavily on simulation tools, reflecting the growing importance of data processing withing Formula 1 operations (Benito, 2025). Formula 1 teams invested heavily in digital capabilities that enhance competitive performance and organisational decision making. As a result, data analytics has become an increasingly important capability in supporting race performance, strategic decision making and the wider commercial development of the sport. Formula 1 was chosen as a subject of analysis in view of the dynamic nature of this industry. In this industry a central role is played by technology, as competitive success often depends on how quickly teams can improve performance and respond to change. In this context, data analytics has become an important tool because it gives teams greater insight into performance and support more effective strategic decisions. Therefore, analysing this industry allows </w:t>
      </w:r>
      <w:r w:rsidR="00651AD1" w:rsidRPr="007C5082">
        <w:rPr>
          <w:rFonts w:ascii="Arial" w:hAnsi="Arial" w:cs="Arial"/>
        </w:rPr>
        <w:t xml:space="preserve">a better understanding of how organisations operate in a dynamic business environment, adapt to technological changes and use data as a </w:t>
      </w:r>
      <w:r w:rsidR="00651AD1" w:rsidRPr="007C5082">
        <w:rPr>
          <w:rFonts w:ascii="Arial" w:hAnsi="Arial" w:cs="Arial"/>
        </w:rPr>
        <w:lastRenderedPageBreak/>
        <w:t xml:space="preserve">source of competitive advantage. The essay is organised around five themes from the PESTLE framework. These includes political and legal regulations, technological change, socio cultural shifts, environmental sustainability, and economic volatility. Each section explores a different argument throughout academic theory and a relevant Formula 1 example. The analysis draws on Aguilar’s early work on environmental scanning, later applications of the PESTLE framework, and Porter’s Five </w:t>
      </w:r>
      <w:proofErr w:type="spellStart"/>
      <w:r w:rsidR="00651AD1" w:rsidRPr="007C5082">
        <w:rPr>
          <w:rFonts w:ascii="Arial" w:hAnsi="Arial" w:cs="Arial"/>
        </w:rPr>
        <w:t>Sorces</w:t>
      </w:r>
      <w:proofErr w:type="spellEnd"/>
      <w:r w:rsidR="00651AD1" w:rsidRPr="007C5082">
        <w:rPr>
          <w:rFonts w:ascii="Arial" w:hAnsi="Arial" w:cs="Arial"/>
        </w:rPr>
        <w:t xml:space="preserve"> </w:t>
      </w:r>
      <w:r w:rsidR="00651AD1" w:rsidRPr="007C5082">
        <w:rPr>
          <w:rFonts w:ascii="Arial" w:hAnsi="Arial" w:cs="Arial"/>
        </w:rPr>
        <w:t>(Aguilar, 1967; Yüksel, 2012; Porter, 1980).</w:t>
      </w:r>
      <w:r w:rsidR="00651AD1" w:rsidRPr="007C5082">
        <w:rPr>
          <w:rFonts w:ascii="Arial" w:hAnsi="Arial" w:cs="Arial"/>
        </w:rPr>
        <w:t xml:space="preserve"> It is also considered critical perspectives including enactment theory, bounded rationality, and Black Swan Theory </w:t>
      </w:r>
      <w:r w:rsidR="00651AD1" w:rsidRPr="007C5082">
        <w:rPr>
          <w:rFonts w:ascii="Arial" w:hAnsi="Arial" w:cs="Arial"/>
        </w:rPr>
        <w:t>(Weick, 1979; Simon, 1947; Taleb, 2007).</w:t>
      </w:r>
    </w:p>
    <w:p w14:paraId="3CDCB2ED" w14:textId="77777777" w:rsidR="007C5082" w:rsidRPr="007C5082" w:rsidRDefault="00651AD1" w:rsidP="007C5082">
      <w:pPr>
        <w:spacing w:line="360" w:lineRule="auto"/>
        <w:rPr>
          <w:rFonts w:ascii="Arial" w:hAnsi="Arial" w:cs="Arial"/>
        </w:rPr>
      </w:pPr>
      <w:r w:rsidRPr="007C5082">
        <w:rPr>
          <w:rFonts w:ascii="Arial" w:hAnsi="Arial" w:cs="Arial"/>
        </w:rPr>
        <w:t xml:space="preserve">The business environment includes the internal and external conditions that influence how an organisation works and the decisions it makes. </w:t>
      </w:r>
      <w:r w:rsidRPr="007C5082">
        <w:rPr>
          <w:rFonts w:ascii="Arial" w:hAnsi="Arial" w:cs="Arial"/>
        </w:rPr>
        <w:t>Worthington (2018)</w:t>
      </w:r>
      <w:r w:rsidRPr="007C5082">
        <w:rPr>
          <w:rFonts w:ascii="Arial" w:hAnsi="Arial" w:cs="Arial"/>
        </w:rPr>
        <w:t xml:space="preserve"> describes it as the setting in which business activity takes place, while </w:t>
      </w:r>
      <w:r w:rsidRPr="007C5082">
        <w:rPr>
          <w:rFonts w:ascii="Arial" w:hAnsi="Arial" w:cs="Arial"/>
        </w:rPr>
        <w:t>Morrison (2020</w:t>
      </w:r>
      <w:r w:rsidRPr="007C5082">
        <w:rPr>
          <w:rFonts w:ascii="Arial" w:hAnsi="Arial" w:cs="Arial"/>
        </w:rPr>
        <w:t xml:space="preserve">) takes a broader view by linking it to the wider forces shaping organisations in a global context. Drucker (1994) argued that every organisation rests on assumptions about </w:t>
      </w:r>
      <w:r w:rsidRPr="007C5082">
        <w:rPr>
          <w:rFonts w:ascii="Arial" w:hAnsi="Arial" w:cs="Arial"/>
        </w:rPr>
        <w:t>"</w:t>
      </w:r>
      <w:r w:rsidRPr="007C5082">
        <w:rPr>
          <w:rFonts w:ascii="Arial" w:hAnsi="Arial" w:cs="Arial"/>
        </w:rPr>
        <w:t>the environment, the specific mission, and the core competencies needed to accomplish the mission</w:t>
      </w:r>
      <w:r w:rsidRPr="007C5082">
        <w:rPr>
          <w:rFonts w:ascii="Arial" w:hAnsi="Arial" w:cs="Arial"/>
        </w:rPr>
        <w:t>"</w:t>
      </w:r>
      <w:r w:rsidRPr="007C5082">
        <w:rPr>
          <w:rFonts w:ascii="Arial" w:hAnsi="Arial" w:cs="Arial"/>
        </w:rPr>
        <w:t xml:space="preserve">. </w:t>
      </w:r>
      <w:r w:rsidR="007C5082" w:rsidRPr="007C5082">
        <w:rPr>
          <w:rFonts w:ascii="Arial" w:hAnsi="Arial" w:cs="Arial"/>
        </w:rPr>
        <w:t xml:space="preserve">When </w:t>
      </w:r>
      <w:r w:rsidRPr="007C5082">
        <w:rPr>
          <w:rFonts w:ascii="Arial" w:hAnsi="Arial" w:cs="Arial"/>
        </w:rPr>
        <w:t xml:space="preserve">these assumptions no longer fit reality, the organisation </w:t>
      </w:r>
      <w:r w:rsidR="007C5082" w:rsidRPr="007C5082">
        <w:rPr>
          <w:rFonts w:ascii="Arial" w:hAnsi="Arial" w:cs="Arial"/>
        </w:rPr>
        <w:t xml:space="preserve">faces crisis. The business environment is conventionally divided into three layers. The internal environment includes factors that remain within the organisation’s direct control, such as its resources, capabilities, culture, structure and management systems. </w:t>
      </w:r>
      <w:r w:rsidR="007C5082" w:rsidRPr="007C5082">
        <w:rPr>
          <w:rFonts w:ascii="Arial" w:hAnsi="Arial" w:cs="Arial"/>
        </w:rPr>
        <w:t>(Brinkman et al., 2014).</w:t>
      </w:r>
      <w:r w:rsidR="007C5082" w:rsidRPr="007C5082">
        <w:rPr>
          <w:rFonts w:ascii="Arial" w:hAnsi="Arial" w:cs="Arial"/>
        </w:rPr>
        <w:t xml:space="preserve"> The external </w:t>
      </w:r>
      <w:r w:rsidR="007C5082" w:rsidRPr="007C5082">
        <w:rPr>
          <w:rFonts w:ascii="Arial" w:hAnsi="Arial" w:cs="Arial"/>
        </w:rPr>
        <w:t xml:space="preserve">microenvironment consists of the external actors that directly influence the firm’s immediate operations. It is often analysed through Porters Five Forces Model, which examines the influence of new entrants, supplier power, buyer power, substitute products, and competitive rivalry (Porter, 1980). The macro environment includes broader societal forces that remain beyond the firm’s direct control and is commonly analysed through the PESTLE framework, which considers political, economic, social, technological, legal, and environmental factors (Yüksel, 2012). Analysing external influences is essential because organisations do not operate in isolation. Needle and Burns (2019) argue that every business exists within a web of contextual forces that constrain and enable its strategic choices. Begg et al. (2020) reinforce this from an economics perspective, arguing that wider economic conditions shape the context in which firms operate. They further suggest that these conditions can either support or limit the choices available to businesses. The failure </w:t>
      </w:r>
      <w:r w:rsidR="007C5082" w:rsidRPr="007C5082">
        <w:rPr>
          <w:rFonts w:ascii="Arial" w:hAnsi="Arial" w:cs="Arial"/>
        </w:rPr>
        <w:lastRenderedPageBreak/>
        <w:t xml:space="preserve">to scan and respond to external forces can be catastrophic. Drucker (1994) cites IBM and General Motors as examples of organisations whose "theory of the business" became obsolete because their environmental assumptions ceased to match reality. However, the concept of the business environment has also attracted criticism. Yüksel (2012) acknowledges that PESTLE frameworks provide only a static view of environmental forces and do not fully capture the dynamic interconnections between macro, </w:t>
      </w:r>
      <w:proofErr w:type="spellStart"/>
      <w:r w:rsidR="007C5082" w:rsidRPr="007C5082">
        <w:rPr>
          <w:rFonts w:ascii="Arial" w:hAnsi="Arial" w:cs="Arial"/>
        </w:rPr>
        <w:t>meso</w:t>
      </w:r>
      <w:proofErr w:type="spellEnd"/>
      <w:r w:rsidR="007C5082" w:rsidRPr="007C5082">
        <w:rPr>
          <w:rFonts w:ascii="Arial" w:hAnsi="Arial" w:cs="Arial"/>
        </w:rPr>
        <w:t>, and micro levels. Weick (1979) challenged the idea that environments exist only as objective external realities. He argued that organisations partly shape their environments through selective attention, interpretation, and action. This suggests that environmental analysis is not simply a technical process, but one that is also influenced by the perspectives, judgments, and assumptions of those conducting it, a limitation that Simon (1947) later conceptualised through bounded rationality. These critiques do not invalidate environmental analysis, they refine it. A rigorous understanding of the business environment requires combining structured frameworks like PESTLE and Porter's Five Forces with an awareness of their limitations which are the static nature of snapshot analysis, the cognitive constraints on scanning, and the assumption that macro forces operate independently of organisational behaviour (Straková et al., 2025).</w:t>
      </w:r>
    </w:p>
    <w:p w14:paraId="2BB6B371" w14:textId="77777777" w:rsidR="007C5082" w:rsidRPr="007C5082" w:rsidRDefault="007C5082" w:rsidP="007C5082">
      <w:pPr>
        <w:spacing w:line="360" w:lineRule="auto"/>
        <w:rPr>
          <w:rFonts w:ascii="Arial" w:hAnsi="Arial" w:cs="Arial"/>
        </w:rPr>
      </w:pPr>
      <w:r w:rsidRPr="007C5082">
        <w:rPr>
          <w:rFonts w:ascii="Arial" w:hAnsi="Arial" w:cs="Arial"/>
        </w:rPr>
        <w:t xml:space="preserve">External political and legal factors can significantly reshape the competitive environment of an industry. The FIA introduced a </w:t>
      </w:r>
      <w:proofErr w:type="gramStart"/>
      <w:r w:rsidRPr="007C5082">
        <w:rPr>
          <w:rFonts w:ascii="Arial" w:hAnsi="Arial" w:cs="Arial"/>
        </w:rPr>
        <w:t>145 million dollar</w:t>
      </w:r>
      <w:proofErr w:type="gramEnd"/>
      <w:r w:rsidRPr="007C5082">
        <w:rPr>
          <w:rFonts w:ascii="Arial" w:hAnsi="Arial" w:cs="Arial"/>
        </w:rPr>
        <w:t xml:space="preserve"> cost cap in 2021, and this changed how teams in Formula 1 were able to compete (Sánchez and Varela-</w:t>
      </w:r>
      <w:proofErr w:type="spellStart"/>
      <w:r w:rsidRPr="007C5082">
        <w:rPr>
          <w:rFonts w:ascii="Arial" w:hAnsi="Arial" w:cs="Arial"/>
        </w:rPr>
        <w:t>Quintana</w:t>
      </w:r>
      <w:proofErr w:type="spellEnd"/>
      <w:r w:rsidRPr="007C5082">
        <w:rPr>
          <w:rFonts w:ascii="Arial" w:hAnsi="Arial" w:cs="Arial"/>
        </w:rPr>
        <w:t>, 2025). Before this rule, the biggest teams spent more than 400 million dollars each year, while smaller teams had much fewer resources. As a result, all ten teams had to rely less on high spending and focus more on data analytics, simulation, and smarter use of resources. This shows the political and legal side of PESTLE, because rules introduced by an external governing body can change competition across a whole industry (Brinkman et al., 2010). This is reflected in Red Bull Racing's partnership with Oracle. Benito (2025) explains that Oracle Cloud Infrastructure helps the team process large amounts of telemetry data and support race strategy decisions. During one session, each car can generate up to 2TB of data. However, Red Bull's $2.2 million cost cap breach in 2021, which resulted in a $7 million fine and a 10% wind tunnel reduction (Sánchez and Varela-</w:t>
      </w:r>
      <w:proofErr w:type="spellStart"/>
      <w:r w:rsidRPr="007C5082">
        <w:rPr>
          <w:rFonts w:ascii="Arial" w:hAnsi="Arial" w:cs="Arial"/>
        </w:rPr>
        <w:t>Quintana</w:t>
      </w:r>
      <w:proofErr w:type="spellEnd"/>
      <w:r w:rsidRPr="007C5082">
        <w:rPr>
          <w:rFonts w:ascii="Arial" w:hAnsi="Arial" w:cs="Arial"/>
        </w:rPr>
        <w:t xml:space="preserve">, 2025), demonstrates that the regulatory environment is not a fixed external force. </w:t>
      </w:r>
      <w:r w:rsidRPr="007C5082">
        <w:rPr>
          <w:rFonts w:ascii="Arial" w:hAnsi="Arial" w:cs="Arial"/>
        </w:rPr>
        <w:lastRenderedPageBreak/>
        <w:t>Red Bull interpreted the spending rules in its own way, and this influenced how the regulation developed over time. In response, the FIA introduced stricter monitoring, which affected all teams. This supports Weick's (1979) enactment theory, which suggests that organisations do not only respond to their environment but also help shape it. The strategic outcome is that political and legal analysis should be approached as a continuous process rather than a fixed assessment. Teams that invest in compliance analytics alongside performance analytics, while monitoring regulatory evolution in real time, are better positioned to respond effectively to this environment.</w:t>
      </w:r>
    </w:p>
    <w:p w14:paraId="16A2F609" w14:textId="77777777" w:rsidR="007C5082" w:rsidRPr="007C5082" w:rsidRDefault="007C5082" w:rsidP="007C5082">
      <w:pPr>
        <w:spacing w:line="360" w:lineRule="auto"/>
        <w:rPr>
          <w:rFonts w:ascii="Arial" w:hAnsi="Arial" w:cs="Arial"/>
        </w:rPr>
      </w:pPr>
      <w:r w:rsidRPr="007C5082">
        <w:rPr>
          <w:rFonts w:ascii="Arial" w:hAnsi="Arial" w:cs="Arial"/>
        </w:rPr>
        <w:t xml:space="preserve">External political and legal factors can significantly reshape the competitive environment of an industry. The FIA introduced a </w:t>
      </w:r>
      <w:proofErr w:type="gramStart"/>
      <w:r w:rsidRPr="007C5082">
        <w:rPr>
          <w:rFonts w:ascii="Arial" w:hAnsi="Arial" w:cs="Arial"/>
        </w:rPr>
        <w:t>145 million dollar</w:t>
      </w:r>
      <w:proofErr w:type="gramEnd"/>
      <w:r w:rsidRPr="007C5082">
        <w:rPr>
          <w:rFonts w:ascii="Arial" w:hAnsi="Arial" w:cs="Arial"/>
        </w:rPr>
        <w:t xml:space="preserve"> cost cap in 2021, and this changed how teams in Formula 1 were able to compete (Sánchez and Varela-</w:t>
      </w:r>
      <w:proofErr w:type="spellStart"/>
      <w:r w:rsidRPr="007C5082">
        <w:rPr>
          <w:rFonts w:ascii="Arial" w:hAnsi="Arial" w:cs="Arial"/>
        </w:rPr>
        <w:t>Quintana</w:t>
      </w:r>
      <w:proofErr w:type="spellEnd"/>
      <w:r w:rsidRPr="007C5082">
        <w:rPr>
          <w:rFonts w:ascii="Arial" w:hAnsi="Arial" w:cs="Arial"/>
        </w:rPr>
        <w:t>, 2025). Before this rule, the biggest teams spent more than 400 million dollars each year, while smaller teams had much fewer resources. As a result, all ten teams had to rely less on high spending and focus more on data analytics, simulation, and smarter use of resources. This shows the political and legal side of PESTLE, because rules introduced by an external governing body can change competition across a whole industry (Brinkman et al., 2010). This is reflected in Red Bull Racing's partnership with Oracle. Benito (2025) explains that Oracle Cloud Infrastructure helps the team process large amounts of telemetry data and support race strategy decisions. During one session, each car can generate up to 2TB of data. However, Red Bull's $2.2 million cost cap breach in 2021, which resulted in a $7 million fine and a 10% wind tunnel reduction (Sánchez and Varela-</w:t>
      </w:r>
      <w:proofErr w:type="spellStart"/>
      <w:r w:rsidRPr="007C5082">
        <w:rPr>
          <w:rFonts w:ascii="Arial" w:hAnsi="Arial" w:cs="Arial"/>
        </w:rPr>
        <w:t>Quintana</w:t>
      </w:r>
      <w:proofErr w:type="spellEnd"/>
      <w:r w:rsidRPr="007C5082">
        <w:rPr>
          <w:rFonts w:ascii="Arial" w:hAnsi="Arial" w:cs="Arial"/>
        </w:rPr>
        <w:t>, 2025), demonstrates that the regulatory environment is not a fixed external force. Red Bull interpreted the spending rules in its own way, and this influenced how the regulation developed over time. In response, the FIA introduced stricter monitoring, which affected all teams. This supports Weick's (1979) enactment theory, which suggests that organisations do not only respond to their environment but also help shape it. The strategic outcome is that political and legal analysis should be approached as a continuous process rather than a fixed assessment. Teams that invest in compliance analytics alongside performance analytics, while monitoring regulatory evolution in real time, are better positioned to respond effectively to this environment.</w:t>
      </w:r>
    </w:p>
    <w:p w14:paraId="39E83CC7" w14:textId="77777777" w:rsidR="007C5082" w:rsidRPr="007C5082" w:rsidRDefault="007C5082" w:rsidP="007C5082">
      <w:pPr>
        <w:spacing w:line="360" w:lineRule="auto"/>
        <w:rPr>
          <w:rFonts w:ascii="Arial" w:hAnsi="Arial" w:cs="Arial"/>
        </w:rPr>
      </w:pPr>
      <w:r w:rsidRPr="007C5082">
        <w:rPr>
          <w:rFonts w:ascii="Arial" w:hAnsi="Arial" w:cs="Arial"/>
        </w:rPr>
        <w:lastRenderedPageBreak/>
        <w:t>In Formula 1, social change has reshaped strategic priorities by increasing the commercial value of emerging audience segments. The sport increasingly targeted younger fans, women, and North American viewers. Audience data underpinned this shift. This was especially clear through Drive to Survive, which helped Formula 1 connect with people beyond its traditional audience (Shah and Williams, 2024). By 2024, the sport had attracted a broader mix of fans, including growing numbers of women and younger viewers (Baldwin, 2024). These shifts show that changing audience trends can create commercial opportunities when organisations recognise them early, which supports Yüksel’s (2012) view of environmental scanning. Even so, competition in Formula 1 is not experienced in the same way by every team (</w:t>
      </w:r>
      <w:proofErr w:type="spellStart"/>
      <w:r w:rsidRPr="007C5082">
        <w:rPr>
          <w:rFonts w:ascii="Arial" w:hAnsi="Arial" w:cs="Arial"/>
        </w:rPr>
        <w:t>Judde</w:t>
      </w:r>
      <w:proofErr w:type="spellEnd"/>
      <w:r w:rsidRPr="007C5082">
        <w:rPr>
          <w:rFonts w:ascii="Arial" w:hAnsi="Arial" w:cs="Arial"/>
        </w:rPr>
        <w:t>, 2013). This shows that broad frameworks can miss important differences within the sport. Although the cost cap introduced similar spending limits, it did not make competition equally fair across all teams. For Haas, the same rules still meant competing from a weaker organisational position than more established rivals (Sánchez and Varela-</w:t>
      </w:r>
      <w:proofErr w:type="spellStart"/>
      <w:r w:rsidRPr="007C5082">
        <w:rPr>
          <w:rFonts w:ascii="Arial" w:hAnsi="Arial" w:cs="Arial"/>
        </w:rPr>
        <w:t>Quintana</w:t>
      </w:r>
      <w:proofErr w:type="spellEnd"/>
      <w:r w:rsidRPr="007C5082">
        <w:rPr>
          <w:rFonts w:ascii="Arial" w:hAnsi="Arial" w:cs="Arial"/>
        </w:rPr>
        <w:t>, 2025). Formal equality in the rules does not necessarily translate into equal conditions in practice. DiMaggio and Powell (1983) help explain this by arguing that organisations often respond to external pressures in similar ways, even though important differences in resources and capability remain. Formula 1’s sliding scale development rules are one attempt to address this, as lower ranked teams receive more wind tunnel and CFD time than the teams above them (Barretto, 2020; Medland, 2022).  The system partly compensates for inequalities that broad frameworks can overlook. Even so, equal rules do not create equal conditions when teams begin from very different starting positions (Sánchez and Varela-</w:t>
      </w:r>
      <w:proofErr w:type="spellStart"/>
      <w:r w:rsidRPr="007C5082">
        <w:rPr>
          <w:rFonts w:ascii="Arial" w:hAnsi="Arial" w:cs="Arial"/>
        </w:rPr>
        <w:t>Quintana</w:t>
      </w:r>
      <w:proofErr w:type="spellEnd"/>
      <w:r w:rsidRPr="007C5082">
        <w:rPr>
          <w:rFonts w:ascii="Arial" w:hAnsi="Arial" w:cs="Arial"/>
        </w:rPr>
        <w:t>, 2025).</w:t>
      </w:r>
    </w:p>
    <w:p w14:paraId="29EE6127" w14:textId="5AE067B7" w:rsidR="007C5082" w:rsidRPr="007C5082" w:rsidRDefault="007C5082" w:rsidP="007C5082">
      <w:pPr>
        <w:spacing w:line="360" w:lineRule="auto"/>
        <w:rPr>
          <w:rFonts w:ascii="Arial" w:hAnsi="Arial" w:cs="Arial"/>
        </w:rPr>
      </w:pPr>
      <w:r w:rsidRPr="007C5082">
        <w:rPr>
          <w:rFonts w:ascii="Arial" w:hAnsi="Arial" w:cs="Arial"/>
        </w:rPr>
        <w:t xml:space="preserve">Formula 1 has presented sustainability as an important part of its </w:t>
      </w:r>
      <w:proofErr w:type="gramStart"/>
      <w:r w:rsidRPr="007C5082">
        <w:rPr>
          <w:rFonts w:ascii="Arial" w:hAnsi="Arial" w:cs="Arial"/>
        </w:rPr>
        <w:t>long term</w:t>
      </w:r>
      <w:proofErr w:type="gramEnd"/>
      <w:r w:rsidRPr="007C5082">
        <w:rPr>
          <w:rFonts w:ascii="Arial" w:hAnsi="Arial" w:cs="Arial"/>
        </w:rPr>
        <w:t xml:space="preserve"> strategy. The sport aims to reach Net Zero by 2030 and reported a 26 percent reduction in carbon emissions by the end of 2024 compared with 2018 levels (Formula 1, 2025d) Yet this progress has also been questioned, with critics arguing that Formula 1’s sustainability narrative does not fully resolve the deeper contradictions in the sport’s environmental model </w:t>
      </w:r>
      <w:r w:rsidRPr="007C5082">
        <w:rPr>
          <w:rFonts w:ascii="Arial" w:hAnsi="Arial" w:cs="Arial"/>
          <w:b/>
          <w:bCs/>
        </w:rPr>
        <w:t>(Monsees and Næss, 2026)</w:t>
      </w:r>
      <w:r w:rsidRPr="007C5082">
        <w:rPr>
          <w:rFonts w:ascii="Arial" w:hAnsi="Arial" w:cs="Arial"/>
        </w:rPr>
        <w:t xml:space="preserve"> The 2026 regulations continue this shift by giving a greater role to electric power and introducing more sustainable fuels </w:t>
      </w:r>
      <w:r w:rsidRPr="007C5082">
        <w:rPr>
          <w:rFonts w:ascii="Arial" w:hAnsi="Arial" w:cs="Arial"/>
          <w:b/>
          <w:bCs/>
        </w:rPr>
        <w:t xml:space="preserve">(FIA, 2024; </w:t>
      </w:r>
      <w:proofErr w:type="spellStart"/>
      <w:r w:rsidRPr="007C5082">
        <w:rPr>
          <w:rFonts w:ascii="Arial" w:hAnsi="Arial" w:cs="Arial"/>
          <w:b/>
          <w:bCs/>
        </w:rPr>
        <w:t>Youson</w:t>
      </w:r>
      <w:proofErr w:type="spellEnd"/>
      <w:r w:rsidRPr="007C5082">
        <w:rPr>
          <w:rFonts w:ascii="Arial" w:hAnsi="Arial" w:cs="Arial"/>
          <w:b/>
          <w:bCs/>
        </w:rPr>
        <w:t>, 2025).</w:t>
      </w:r>
      <w:r w:rsidRPr="007C5082">
        <w:rPr>
          <w:rFonts w:ascii="Arial" w:hAnsi="Arial" w:cs="Arial"/>
        </w:rPr>
        <w:t xml:space="preserve"> This reflects Formula 1’s efforts to become more environmentally sustainable, particularly through changes to its power units and </w:t>
      </w:r>
      <w:r w:rsidRPr="007C5082">
        <w:rPr>
          <w:rFonts w:ascii="Arial" w:hAnsi="Arial" w:cs="Arial"/>
        </w:rPr>
        <w:lastRenderedPageBreak/>
        <w:t xml:space="preserve">fuels, as discussed by </w:t>
      </w:r>
      <w:proofErr w:type="spellStart"/>
      <w:r w:rsidRPr="007C5082">
        <w:rPr>
          <w:rFonts w:ascii="Arial" w:hAnsi="Arial" w:cs="Arial"/>
          <w:b/>
          <w:bCs/>
        </w:rPr>
        <w:t>Stępień</w:t>
      </w:r>
      <w:proofErr w:type="spellEnd"/>
      <w:r w:rsidRPr="007C5082">
        <w:rPr>
          <w:rFonts w:ascii="Arial" w:hAnsi="Arial" w:cs="Arial"/>
          <w:b/>
          <w:bCs/>
        </w:rPr>
        <w:t xml:space="preserve"> (2025).</w:t>
      </w:r>
      <w:r w:rsidRPr="007C5082">
        <w:rPr>
          <w:rFonts w:ascii="Arial" w:hAnsi="Arial" w:cs="Arial"/>
        </w:rPr>
        <w:t xml:space="preserve"> Data analytics plays an important role in this transition by helping teams improve both car performance and the efficiency of race operations. Nevertheless, these advancements fail to adequately address the sport's broader environmental footprint. Sturm, Andrews and Miller (2025) contend that Formula 1's aggregate emissions remain difficult to reconcile with its stated Net Zero commitments. Consequently, the organisation's sustainability assertions remain susceptible to scrutiny so long as its wider operational activities continue to produce emissions at such a considerable scale.</w:t>
      </w:r>
    </w:p>
    <w:p w14:paraId="3C9B6F75" w14:textId="77777777" w:rsidR="007C5082" w:rsidRPr="007C5082" w:rsidRDefault="007C5082" w:rsidP="007C5082">
      <w:pPr>
        <w:spacing w:line="360" w:lineRule="auto"/>
        <w:rPr>
          <w:rFonts w:ascii="Arial" w:hAnsi="Arial" w:cs="Arial"/>
        </w:rPr>
      </w:pPr>
      <w:r w:rsidRPr="007C5082">
        <w:rPr>
          <w:rFonts w:ascii="Arial" w:hAnsi="Arial" w:cs="Arial"/>
          <w:b/>
          <w:bCs/>
        </w:rPr>
        <w:t xml:space="preserve">Taleb’s (2007) </w:t>
      </w:r>
      <w:r w:rsidRPr="007C5082">
        <w:rPr>
          <w:rFonts w:ascii="Arial" w:hAnsi="Arial" w:cs="Arial"/>
        </w:rPr>
        <w:t xml:space="preserve">idea of unpredictable disruption is also relevant here. That vulnerability became obvious when the Bahrain and Saudi Arabian Grands Prix were cancelled in March 2026 because of conflict in the Middle East (Baldwin, 2026). The disruption quickly unsettled plans that had been built around a more stable calendar and exposed how fragile long term sustainability planning can become when external conditions shift suddenly. Formula 1 has explored regionalising its calendar and logistics operations, which could lower transport-related emissions and reduce some logistical pressure (Formula 1, 2023). Long term environmental targets matter, but they are not enough on their own when disruption can reshape the operating context so quickly (Taleb, 2007). Formula 1's revenue grew from 1.83 billion dollars in 2018 to 3.65 billion dollars in 2024 (O’Sullivan and Johnson, 2025). This may reflect the sport’s growing ability to use data more effectively in broadcasting and commercial strategy. Historical race data and analytical content can make Formula 1 media coverage more engaging for audiences </w:t>
      </w:r>
      <w:r w:rsidRPr="007C5082">
        <w:rPr>
          <w:rFonts w:ascii="Arial" w:hAnsi="Arial" w:cs="Arial"/>
          <w:b/>
          <w:bCs/>
        </w:rPr>
        <w:t>(Cho et al., 2023).</w:t>
      </w:r>
      <w:r w:rsidRPr="007C5082">
        <w:rPr>
          <w:rFonts w:ascii="Arial" w:hAnsi="Arial" w:cs="Arial"/>
        </w:rPr>
        <w:t xml:space="preserve"> This added value can also support revenue growth. Liberty Media’s 2024 results underline the scale of that growth, with Formula One Group reporting revenue of 3.653 billion dollars for the year (Liberty Media Corporation, 2025). Even so, the economic environment remains vulnerable to shocks that organisations cannot control. In March 2026, the Bahrain and Saudi Arabian Grands Prix were cancelled because of conflict in the Middle East, which created wider commercial disruption (Baldwin, 2026). This supports Taleb's (2007) argument that some of the most important disruptions are also the hardest to predict. Formula 1 has addressed this risk by spreading its sources of revenue across a wider range of markets and commercial channels (Liberty Media Corporation, 2025). The sport continues to stage three races in the United States </w:t>
      </w:r>
      <w:r w:rsidRPr="007C5082">
        <w:rPr>
          <w:rFonts w:ascii="Arial" w:hAnsi="Arial" w:cs="Arial"/>
          <w:b/>
          <w:bCs/>
        </w:rPr>
        <w:t>(Formula 1, 2025c).</w:t>
      </w:r>
      <w:r w:rsidRPr="007C5082">
        <w:rPr>
          <w:rFonts w:ascii="Arial" w:hAnsi="Arial" w:cs="Arial"/>
        </w:rPr>
        <w:br/>
      </w:r>
      <w:r w:rsidRPr="007C5082">
        <w:rPr>
          <w:rFonts w:ascii="Arial" w:hAnsi="Arial" w:cs="Arial"/>
        </w:rPr>
        <w:lastRenderedPageBreak/>
        <w:t xml:space="preserve">It is also expanding its digital reach and commercial activity </w:t>
      </w:r>
      <w:r w:rsidRPr="007C5082">
        <w:rPr>
          <w:rFonts w:ascii="Arial" w:hAnsi="Arial" w:cs="Arial"/>
          <w:b/>
          <w:bCs/>
        </w:rPr>
        <w:t>(Formula 1, 2025e).</w:t>
      </w:r>
      <w:r w:rsidRPr="007C5082">
        <w:rPr>
          <w:rFonts w:ascii="Arial" w:hAnsi="Arial" w:cs="Arial"/>
        </w:rPr>
        <w:t xml:space="preserve"> By spreading revenue more widely, it becomes less reliant on any one region and better able to deal with disruption. From this perspective, these examples show that success in Formula 1 depends on how quickly and effectively teams respond when conditions change. Some teams have been far more successful in doing this than others. Marino et al. (2015) suggest that, in changing environments, better results often come from adapting more effectively. This helps explain Red Bull Racing’s dominance between 2022 and 2024, when the team often responded more strongly than its rivals under pressure. Ferrari, by contrast, has often seemed less effective at turning data into race strategy in key moments, which is consistent with the problems identified by Aversa, </w:t>
      </w:r>
      <w:proofErr w:type="spellStart"/>
      <w:r w:rsidRPr="007C5082">
        <w:rPr>
          <w:rFonts w:ascii="Arial" w:hAnsi="Arial" w:cs="Arial"/>
        </w:rPr>
        <w:t>Cabantous</w:t>
      </w:r>
      <w:proofErr w:type="spellEnd"/>
      <w:r w:rsidRPr="007C5082">
        <w:rPr>
          <w:rFonts w:ascii="Arial" w:hAnsi="Arial" w:cs="Arial"/>
        </w:rPr>
        <w:t xml:space="preserve"> and </w:t>
      </w:r>
      <w:proofErr w:type="spellStart"/>
      <w:r w:rsidRPr="007C5082">
        <w:rPr>
          <w:rFonts w:ascii="Arial" w:hAnsi="Arial" w:cs="Arial"/>
        </w:rPr>
        <w:t>Haefliger</w:t>
      </w:r>
      <w:proofErr w:type="spellEnd"/>
      <w:r w:rsidRPr="007C5082">
        <w:rPr>
          <w:rFonts w:ascii="Arial" w:hAnsi="Arial" w:cs="Arial"/>
        </w:rPr>
        <w:t xml:space="preserve"> (2018). This suggests that leadership and organisational structure were just as important as the data itself, a point that is consistent with Goodall’s (2015) argument that expert leadership matters strongly in Formula 1 performance. Marino et al. (2015) similarly suggest that exploration becomes especially important in changing environments, which helps explain why some teams respond more effectively to change than others. The cost cap did not stop </w:t>
      </w:r>
      <w:proofErr w:type="gramStart"/>
      <w:r w:rsidRPr="007C5082">
        <w:rPr>
          <w:rFonts w:ascii="Arial" w:hAnsi="Arial" w:cs="Arial"/>
        </w:rPr>
        <w:t>innovation, but</w:t>
      </w:r>
      <w:proofErr w:type="gramEnd"/>
      <w:r w:rsidRPr="007C5082">
        <w:rPr>
          <w:rFonts w:ascii="Arial" w:hAnsi="Arial" w:cs="Arial"/>
        </w:rPr>
        <w:t xml:space="preserve"> changed the way it developed. Instead of relying on unrestricted physical testing, teams invested more in simulation tools such as CFD, digital twins, and machine learning. For example, Mercedes used AI based aerodynamic simulation to test large numbers of design options before committing to wind tunnel work, which helped it increase development efficiency within budget limits (Mercedes-AMG PETRONAS F1 Team, 2023). This shows that external limits can sometimes encourage new forms of innovation rather than prevent them. Formula 1's Net Zero 2030 commitment is not only an environmental response, but also part of its wider commercial positioning. The 2026 regulations reflect a wider environmental shift within Formula 1 (Orr et al., 2025). The move towards sustainable fuels and hybrid power units has also helped present the sport as a useful testing ground for road car manufacturers (</w:t>
      </w:r>
      <w:proofErr w:type="spellStart"/>
      <w:r w:rsidRPr="007C5082">
        <w:rPr>
          <w:rFonts w:ascii="Arial" w:hAnsi="Arial" w:cs="Arial"/>
          <w:b/>
          <w:bCs/>
        </w:rPr>
        <w:t>Youson</w:t>
      </w:r>
      <w:proofErr w:type="spellEnd"/>
      <w:r w:rsidRPr="007C5082">
        <w:rPr>
          <w:rFonts w:ascii="Arial" w:hAnsi="Arial" w:cs="Arial"/>
        </w:rPr>
        <w:t xml:space="preserve">, 2025; FIA, 2024). This contributed to attracting Audi and Ford as power unit partners for 2026 (Audi, 2022; Ford Motor Company, 2023). In this way, environmental change has also created commercial value. However, Sturm, Andrews and Miller (2025) suggest that Formula 1’s travel and logistics emissions remain difficult to reconcile with its Net Zero ambitions. This suggests that environmental commitments need to be supported by practical action, not only </w:t>
      </w:r>
      <w:proofErr w:type="gramStart"/>
      <w:r w:rsidRPr="007C5082">
        <w:rPr>
          <w:rFonts w:ascii="Arial" w:hAnsi="Arial" w:cs="Arial"/>
        </w:rPr>
        <w:t>long term</w:t>
      </w:r>
      <w:proofErr w:type="gramEnd"/>
      <w:r w:rsidRPr="007C5082">
        <w:rPr>
          <w:rFonts w:ascii="Arial" w:hAnsi="Arial" w:cs="Arial"/>
        </w:rPr>
        <w:t xml:space="preserve"> targets. There are also several responses that </w:t>
      </w:r>
      <w:r w:rsidRPr="007C5082">
        <w:rPr>
          <w:rFonts w:ascii="Arial" w:hAnsi="Arial" w:cs="Arial"/>
        </w:rPr>
        <w:lastRenderedPageBreak/>
        <w:t xml:space="preserve">Formula 1 has not fully developed. One option would be to organise races in more regional blocks, which could reduce freight emissions and make the calendar easier to manage when disruption occurs (Formula 1, 2023). Aversa, </w:t>
      </w:r>
      <w:proofErr w:type="spellStart"/>
      <w:r w:rsidRPr="007C5082">
        <w:rPr>
          <w:rFonts w:ascii="Arial" w:hAnsi="Arial" w:cs="Arial"/>
        </w:rPr>
        <w:t>Cabantous</w:t>
      </w:r>
      <w:proofErr w:type="spellEnd"/>
      <w:r w:rsidRPr="007C5082">
        <w:rPr>
          <w:rFonts w:ascii="Arial" w:hAnsi="Arial" w:cs="Arial"/>
        </w:rPr>
        <w:t xml:space="preserve"> and </w:t>
      </w:r>
      <w:proofErr w:type="spellStart"/>
      <w:r w:rsidRPr="007C5082">
        <w:rPr>
          <w:rFonts w:ascii="Arial" w:hAnsi="Arial" w:cs="Arial"/>
        </w:rPr>
        <w:t>Haefliger</w:t>
      </w:r>
      <w:proofErr w:type="spellEnd"/>
      <w:r w:rsidRPr="007C5082">
        <w:rPr>
          <w:rFonts w:ascii="Arial" w:hAnsi="Arial" w:cs="Arial"/>
        </w:rPr>
        <w:t xml:space="preserve"> (2018) show that decision support systems can fail under pressure, which helps explain why engineers remain vulnerable to information overload in race strategy. One possible response would be greater investment in explainable AI, since transparency can improve trust and reliability in AI assisted decision making (O’Sullivan and Johnson, 2025). Although, FIA regulations still limit some forms of real time support between the factory and the track (FIA, 2020).</w:t>
      </w:r>
    </w:p>
    <w:p w14:paraId="320FBAAA" w14:textId="77777777" w:rsidR="007C5082" w:rsidRPr="007C5082" w:rsidRDefault="007C5082" w:rsidP="007C5082">
      <w:pPr>
        <w:spacing w:line="360" w:lineRule="auto"/>
        <w:rPr>
          <w:rFonts w:ascii="Arial" w:hAnsi="Arial" w:cs="Arial"/>
        </w:rPr>
      </w:pPr>
      <w:r w:rsidRPr="007C5082">
        <w:rPr>
          <w:rFonts w:ascii="Arial" w:hAnsi="Arial" w:cs="Arial"/>
        </w:rPr>
        <w:t xml:space="preserve">Frameworks such as PESTLE Analysis and Porter’s Five Forces have been useful in explaining the external pressures that shape data analytics in Formula 1. However, they are not fully sufficient on their own and need to be used alongside more flexible, </w:t>
      </w:r>
      <w:proofErr w:type="gramStart"/>
      <w:r w:rsidRPr="007C5082">
        <w:rPr>
          <w:rFonts w:ascii="Arial" w:hAnsi="Arial" w:cs="Arial"/>
        </w:rPr>
        <w:t>context based</w:t>
      </w:r>
      <w:proofErr w:type="gramEnd"/>
      <w:r w:rsidRPr="007C5082">
        <w:rPr>
          <w:rFonts w:ascii="Arial" w:hAnsi="Arial" w:cs="Arial"/>
        </w:rPr>
        <w:t xml:space="preserve"> approaches. Taken together, the five themes discussed point to the same conclusion. These frameworks are helpful in identifying major external pressures such as regulation, technological change, social change, sustainability challenges, and economic uncertainty. Their limits become clearer, however, when conditions change quickly, decision making becomes more difficult in practice, and the business environment turns unstable. In Formula 1, the most effective responses have therefore relied on a more adaptive approach alongside these frameworks. This can be seen in areas such as ongoing monitoring of regulation, better filtered data systems, more balanced development rules, scenario planning, and wider revenue diversification. Several recommendations follow from this analysis. First, Formula 1 should combine PESTLE scanning with more formal scenario planning, so that responses to geopolitical, technological, and regulatory disruption are prepared in advance. Second, the FIA should consider offering greater support for data infrastructure to smaller teams, so that long established technological advantages do not continue to weaken competitive balance. Third, Formula 1 should move further towards a more regional race calendar </w:t>
      </w:r>
      <w:proofErr w:type="gramStart"/>
      <w:r w:rsidRPr="007C5082">
        <w:rPr>
          <w:rFonts w:ascii="Arial" w:hAnsi="Arial" w:cs="Arial"/>
        </w:rPr>
        <w:t>in order to</w:t>
      </w:r>
      <w:proofErr w:type="gramEnd"/>
      <w:r w:rsidRPr="007C5082">
        <w:rPr>
          <w:rFonts w:ascii="Arial" w:hAnsi="Arial" w:cs="Arial"/>
        </w:rPr>
        <w:t xml:space="preserve"> reduce carbon emissions and lower exposure to disruption in particular parts of the world. Finally, teams should invest more in explainable AI tools that can reduce information overload while </w:t>
      </w:r>
      <w:proofErr w:type="gramStart"/>
      <w:r w:rsidRPr="007C5082">
        <w:rPr>
          <w:rFonts w:ascii="Arial" w:hAnsi="Arial" w:cs="Arial"/>
        </w:rPr>
        <w:t>still keeping</w:t>
      </w:r>
      <w:proofErr w:type="gramEnd"/>
      <w:r w:rsidRPr="007C5082">
        <w:rPr>
          <w:rFonts w:ascii="Arial" w:hAnsi="Arial" w:cs="Arial"/>
        </w:rPr>
        <w:t xml:space="preserve"> final strategic decisions under human control.</w:t>
      </w:r>
    </w:p>
    <w:p w14:paraId="10953218" w14:textId="77777777" w:rsidR="007C5082" w:rsidRPr="007C5082" w:rsidRDefault="007C5082" w:rsidP="007C5082">
      <w:pPr>
        <w:spacing w:line="360" w:lineRule="auto"/>
        <w:rPr>
          <w:rFonts w:ascii="Arial" w:hAnsi="Arial" w:cs="Arial"/>
        </w:rPr>
      </w:pPr>
    </w:p>
    <w:p w14:paraId="176498A8" w14:textId="732CBEDC" w:rsidR="00651AD1" w:rsidRPr="007C5082" w:rsidRDefault="007C5082" w:rsidP="007C5082">
      <w:pPr>
        <w:spacing w:line="360" w:lineRule="auto"/>
        <w:rPr>
          <w:rFonts w:ascii="Arial" w:hAnsi="Arial" w:cs="Arial"/>
        </w:rPr>
      </w:pPr>
      <w:r w:rsidRPr="007C5082">
        <w:rPr>
          <w:rFonts w:ascii="Arial" w:hAnsi="Arial" w:cs="Arial"/>
        </w:rPr>
        <w:lastRenderedPageBreak/>
        <w:t xml:space="preserve"> </w:t>
      </w:r>
    </w:p>
    <w:p w14:paraId="2D65679C" w14:textId="77777777" w:rsidR="007C5082" w:rsidRPr="007C5082" w:rsidRDefault="007C5082" w:rsidP="007C5082">
      <w:pPr>
        <w:spacing w:line="360" w:lineRule="auto"/>
        <w:rPr>
          <w:rFonts w:ascii="Arial" w:hAnsi="Arial" w:cs="Arial"/>
        </w:rPr>
      </w:pPr>
    </w:p>
    <w:p w14:paraId="2F470A07" w14:textId="77777777" w:rsidR="007C5082" w:rsidRPr="007C5082" w:rsidRDefault="007C5082" w:rsidP="007C5082">
      <w:pPr>
        <w:spacing w:line="360" w:lineRule="auto"/>
        <w:rPr>
          <w:rFonts w:ascii="Arial" w:hAnsi="Arial" w:cs="Arial"/>
        </w:rPr>
      </w:pPr>
    </w:p>
    <w:p w14:paraId="02C053F4" w14:textId="77777777" w:rsidR="007C5082" w:rsidRPr="007C5082" w:rsidRDefault="007C5082" w:rsidP="007C5082">
      <w:pPr>
        <w:spacing w:line="360" w:lineRule="auto"/>
        <w:rPr>
          <w:rFonts w:ascii="Arial" w:hAnsi="Arial" w:cs="Arial"/>
        </w:rPr>
      </w:pPr>
    </w:p>
    <w:p w14:paraId="61DB129A" w14:textId="77777777" w:rsidR="007C5082" w:rsidRPr="007C5082" w:rsidRDefault="007C5082" w:rsidP="007C5082">
      <w:pPr>
        <w:spacing w:line="360" w:lineRule="auto"/>
        <w:rPr>
          <w:rFonts w:ascii="Arial" w:hAnsi="Arial" w:cs="Arial"/>
        </w:rPr>
      </w:pPr>
    </w:p>
    <w:p w14:paraId="4EB668E7" w14:textId="77777777" w:rsidR="007C5082" w:rsidRPr="007C5082" w:rsidRDefault="007C5082" w:rsidP="007C5082">
      <w:pPr>
        <w:spacing w:line="360" w:lineRule="auto"/>
        <w:rPr>
          <w:rFonts w:ascii="Arial" w:hAnsi="Arial" w:cs="Arial"/>
        </w:rPr>
      </w:pPr>
    </w:p>
    <w:p w14:paraId="1798E113" w14:textId="77777777" w:rsidR="007C5082" w:rsidRPr="007C5082" w:rsidRDefault="007C5082" w:rsidP="007C5082">
      <w:pPr>
        <w:spacing w:line="360" w:lineRule="auto"/>
        <w:rPr>
          <w:rFonts w:ascii="Arial" w:hAnsi="Arial" w:cs="Arial"/>
        </w:rPr>
      </w:pPr>
    </w:p>
    <w:p w14:paraId="0255C3EC" w14:textId="77777777" w:rsidR="007C5082" w:rsidRPr="007C5082" w:rsidRDefault="007C5082" w:rsidP="007C5082">
      <w:pPr>
        <w:spacing w:line="360" w:lineRule="auto"/>
        <w:rPr>
          <w:rFonts w:ascii="Arial" w:hAnsi="Arial" w:cs="Arial"/>
        </w:rPr>
      </w:pPr>
    </w:p>
    <w:p w14:paraId="4332BC36" w14:textId="77777777" w:rsidR="007C5082" w:rsidRPr="007C5082" w:rsidRDefault="007C5082" w:rsidP="007C5082">
      <w:pPr>
        <w:spacing w:line="360" w:lineRule="auto"/>
        <w:rPr>
          <w:rFonts w:ascii="Arial" w:hAnsi="Arial" w:cs="Arial"/>
        </w:rPr>
      </w:pPr>
    </w:p>
    <w:p w14:paraId="09947E02" w14:textId="77777777" w:rsidR="007C5082" w:rsidRPr="007C5082" w:rsidRDefault="007C5082" w:rsidP="007C5082">
      <w:pPr>
        <w:spacing w:line="360" w:lineRule="auto"/>
        <w:rPr>
          <w:rFonts w:ascii="Arial" w:hAnsi="Arial" w:cs="Arial"/>
        </w:rPr>
      </w:pPr>
    </w:p>
    <w:p w14:paraId="03A45F00" w14:textId="77777777" w:rsidR="007C5082" w:rsidRPr="007C5082" w:rsidRDefault="007C5082" w:rsidP="007C5082">
      <w:pPr>
        <w:spacing w:line="360" w:lineRule="auto"/>
        <w:rPr>
          <w:rFonts w:ascii="Arial" w:hAnsi="Arial" w:cs="Arial"/>
        </w:rPr>
      </w:pPr>
    </w:p>
    <w:p w14:paraId="68463A94" w14:textId="77777777" w:rsidR="007C5082" w:rsidRPr="007C5082" w:rsidRDefault="007C5082" w:rsidP="007C5082">
      <w:pPr>
        <w:spacing w:line="360" w:lineRule="auto"/>
        <w:rPr>
          <w:rFonts w:ascii="Arial" w:hAnsi="Arial" w:cs="Arial"/>
        </w:rPr>
      </w:pPr>
    </w:p>
    <w:p w14:paraId="28A657EE" w14:textId="77777777" w:rsidR="007C5082" w:rsidRPr="007C5082" w:rsidRDefault="007C5082" w:rsidP="007C5082">
      <w:pPr>
        <w:spacing w:line="360" w:lineRule="auto"/>
        <w:rPr>
          <w:rFonts w:ascii="Arial" w:hAnsi="Arial" w:cs="Arial"/>
        </w:rPr>
      </w:pPr>
    </w:p>
    <w:p w14:paraId="4E17C1D2" w14:textId="77777777" w:rsidR="007C5082" w:rsidRPr="007C5082" w:rsidRDefault="007C5082" w:rsidP="007C5082">
      <w:pPr>
        <w:spacing w:line="360" w:lineRule="auto"/>
        <w:rPr>
          <w:rFonts w:ascii="Arial" w:hAnsi="Arial" w:cs="Arial"/>
        </w:rPr>
      </w:pPr>
    </w:p>
    <w:p w14:paraId="68ABC8F3" w14:textId="77777777" w:rsidR="007C5082" w:rsidRPr="007C5082" w:rsidRDefault="007C5082" w:rsidP="007C5082">
      <w:pPr>
        <w:spacing w:line="360" w:lineRule="auto"/>
        <w:rPr>
          <w:rFonts w:ascii="Arial" w:hAnsi="Arial" w:cs="Arial"/>
        </w:rPr>
      </w:pPr>
    </w:p>
    <w:p w14:paraId="090C7035" w14:textId="77777777" w:rsidR="007C5082" w:rsidRPr="007C5082" w:rsidRDefault="007C5082" w:rsidP="007C5082">
      <w:pPr>
        <w:spacing w:line="360" w:lineRule="auto"/>
        <w:rPr>
          <w:rFonts w:ascii="Arial" w:hAnsi="Arial" w:cs="Arial"/>
        </w:rPr>
      </w:pPr>
    </w:p>
    <w:p w14:paraId="59B10FE9" w14:textId="77777777" w:rsidR="007C5082" w:rsidRPr="007C5082" w:rsidRDefault="007C5082" w:rsidP="007C5082">
      <w:pPr>
        <w:spacing w:line="360" w:lineRule="auto"/>
        <w:rPr>
          <w:rFonts w:ascii="Arial" w:hAnsi="Arial" w:cs="Arial"/>
        </w:rPr>
      </w:pPr>
    </w:p>
    <w:p w14:paraId="66D1CB6B" w14:textId="77777777" w:rsidR="007C5082" w:rsidRPr="007C5082" w:rsidRDefault="007C5082" w:rsidP="007C5082">
      <w:pPr>
        <w:spacing w:line="360" w:lineRule="auto"/>
        <w:rPr>
          <w:rFonts w:ascii="Arial" w:hAnsi="Arial" w:cs="Arial"/>
        </w:rPr>
      </w:pPr>
    </w:p>
    <w:p w14:paraId="487E7A15" w14:textId="77777777" w:rsidR="007C5082" w:rsidRPr="007C5082" w:rsidRDefault="007C5082" w:rsidP="007C5082">
      <w:pPr>
        <w:spacing w:line="360" w:lineRule="auto"/>
        <w:rPr>
          <w:rFonts w:ascii="Arial" w:hAnsi="Arial" w:cs="Arial"/>
        </w:rPr>
      </w:pPr>
    </w:p>
    <w:p w14:paraId="0771104D" w14:textId="77777777" w:rsidR="007C5082" w:rsidRPr="007C5082" w:rsidRDefault="007C5082" w:rsidP="007C5082">
      <w:pPr>
        <w:spacing w:line="360" w:lineRule="auto"/>
        <w:rPr>
          <w:rFonts w:ascii="Arial" w:hAnsi="Arial" w:cs="Arial"/>
          <w:b/>
          <w:bCs/>
        </w:rPr>
      </w:pPr>
      <w:r w:rsidRPr="007C5082">
        <w:rPr>
          <w:rFonts w:ascii="Arial" w:hAnsi="Arial" w:cs="Arial"/>
          <w:b/>
          <w:bCs/>
        </w:rPr>
        <w:t>Reference list</w:t>
      </w:r>
    </w:p>
    <w:p w14:paraId="178B0522" w14:textId="77777777" w:rsidR="007C5082" w:rsidRPr="007C5082" w:rsidRDefault="007C5082" w:rsidP="007C5082">
      <w:pPr>
        <w:spacing w:line="360" w:lineRule="auto"/>
        <w:rPr>
          <w:rFonts w:ascii="Arial" w:hAnsi="Arial" w:cs="Arial"/>
        </w:rPr>
      </w:pPr>
      <w:r w:rsidRPr="007C5082">
        <w:rPr>
          <w:rFonts w:ascii="Arial" w:hAnsi="Arial" w:cs="Arial"/>
        </w:rPr>
        <w:t xml:space="preserve">Aguilar, F.J. (1967). </w:t>
      </w:r>
      <w:r w:rsidRPr="007C5082">
        <w:rPr>
          <w:rFonts w:ascii="Arial" w:hAnsi="Arial" w:cs="Arial"/>
          <w:i/>
          <w:iCs/>
        </w:rPr>
        <w:t>Scanning the business environment</w:t>
      </w:r>
      <w:r w:rsidRPr="007C5082">
        <w:rPr>
          <w:rFonts w:ascii="Arial" w:hAnsi="Arial" w:cs="Arial"/>
        </w:rPr>
        <w:t>. New York, N.Y.: Macmillan.</w:t>
      </w:r>
    </w:p>
    <w:p w14:paraId="4B50B4CE" w14:textId="77777777" w:rsidR="007C5082" w:rsidRPr="007C5082" w:rsidRDefault="007C5082" w:rsidP="007C5082">
      <w:pPr>
        <w:spacing w:line="360" w:lineRule="auto"/>
        <w:rPr>
          <w:rFonts w:ascii="Arial" w:hAnsi="Arial" w:cs="Arial"/>
        </w:rPr>
      </w:pPr>
      <w:r w:rsidRPr="007C5082">
        <w:rPr>
          <w:rFonts w:ascii="Arial" w:hAnsi="Arial" w:cs="Arial"/>
        </w:rPr>
        <w:t xml:space="preserve">Audi (2022). </w:t>
      </w:r>
      <w:r w:rsidRPr="007C5082">
        <w:rPr>
          <w:rFonts w:ascii="Arial" w:hAnsi="Arial" w:cs="Arial"/>
          <w:i/>
          <w:iCs/>
        </w:rPr>
        <w:t>Audi Enters Formula 1</w:t>
      </w:r>
      <w:r w:rsidRPr="007C5082">
        <w:rPr>
          <w:rFonts w:ascii="Arial" w:hAnsi="Arial" w:cs="Arial"/>
        </w:rPr>
        <w:t xml:space="preserve">. [online] Audi </w:t>
      </w:r>
      <w:proofErr w:type="spellStart"/>
      <w:r w:rsidRPr="007C5082">
        <w:rPr>
          <w:rFonts w:ascii="Arial" w:hAnsi="Arial" w:cs="Arial"/>
        </w:rPr>
        <w:t>MediaCenter</w:t>
      </w:r>
      <w:proofErr w:type="spellEnd"/>
      <w:r w:rsidRPr="007C5082">
        <w:rPr>
          <w:rFonts w:ascii="Arial" w:hAnsi="Arial" w:cs="Arial"/>
        </w:rPr>
        <w:t>. Available at: https://www.audi-mediacenter.com/en/press-releases/audi-enters-formula-1-14876 [Accessed 3 Apr. 2026].</w:t>
      </w:r>
    </w:p>
    <w:p w14:paraId="7235194D" w14:textId="77777777" w:rsidR="007C5082" w:rsidRPr="007C5082" w:rsidRDefault="007C5082" w:rsidP="007C5082">
      <w:pPr>
        <w:spacing w:line="360" w:lineRule="auto"/>
        <w:rPr>
          <w:rFonts w:ascii="Arial" w:hAnsi="Arial" w:cs="Arial"/>
        </w:rPr>
      </w:pPr>
      <w:r w:rsidRPr="007C5082">
        <w:rPr>
          <w:rFonts w:ascii="Arial" w:hAnsi="Arial" w:cs="Arial"/>
        </w:rPr>
        <w:lastRenderedPageBreak/>
        <w:t xml:space="preserve">Aversa, P., </w:t>
      </w:r>
      <w:proofErr w:type="spellStart"/>
      <w:r w:rsidRPr="007C5082">
        <w:rPr>
          <w:rFonts w:ascii="Arial" w:hAnsi="Arial" w:cs="Arial"/>
        </w:rPr>
        <w:t>Cabantous</w:t>
      </w:r>
      <w:proofErr w:type="spellEnd"/>
      <w:r w:rsidRPr="007C5082">
        <w:rPr>
          <w:rFonts w:ascii="Arial" w:hAnsi="Arial" w:cs="Arial"/>
        </w:rPr>
        <w:t xml:space="preserve">, L. and </w:t>
      </w:r>
      <w:proofErr w:type="spellStart"/>
      <w:r w:rsidRPr="007C5082">
        <w:rPr>
          <w:rFonts w:ascii="Arial" w:hAnsi="Arial" w:cs="Arial"/>
        </w:rPr>
        <w:t>Haefliger</w:t>
      </w:r>
      <w:proofErr w:type="spellEnd"/>
      <w:r w:rsidRPr="007C5082">
        <w:rPr>
          <w:rFonts w:ascii="Arial" w:hAnsi="Arial" w:cs="Arial"/>
        </w:rPr>
        <w:t xml:space="preserve">, S. (2018). When decision support systems fail: Insights for strategic information systems from Formula 1. </w:t>
      </w:r>
      <w:r w:rsidRPr="007C5082">
        <w:rPr>
          <w:rFonts w:ascii="Arial" w:hAnsi="Arial" w:cs="Arial"/>
          <w:i/>
          <w:iCs/>
        </w:rPr>
        <w:t>The Journal of Strategic Information Systems</w:t>
      </w:r>
      <w:r w:rsidRPr="007C5082">
        <w:rPr>
          <w:rFonts w:ascii="Arial" w:hAnsi="Arial" w:cs="Arial"/>
        </w:rPr>
        <w:t xml:space="preserve">, [online] 27(3), pp.221–236. </w:t>
      </w:r>
      <w:proofErr w:type="spellStart"/>
      <w:proofErr w:type="gramStart"/>
      <w:r w:rsidRPr="007C5082">
        <w:rPr>
          <w:rFonts w:ascii="Arial" w:hAnsi="Arial" w:cs="Arial"/>
        </w:rPr>
        <w:t>doi:https</w:t>
      </w:r>
      <w:proofErr w:type="spellEnd"/>
      <w:r w:rsidRPr="007C5082">
        <w:rPr>
          <w:rFonts w:ascii="Arial" w:hAnsi="Arial" w:cs="Arial"/>
        </w:rPr>
        <w:t>://doi.org/10.1016/j.jsis.2018.03.002</w:t>
      </w:r>
      <w:proofErr w:type="gramEnd"/>
      <w:r w:rsidRPr="007C5082">
        <w:rPr>
          <w:rFonts w:ascii="Arial" w:hAnsi="Arial" w:cs="Arial"/>
        </w:rPr>
        <w:t>.</w:t>
      </w:r>
    </w:p>
    <w:p w14:paraId="7A189056" w14:textId="77777777" w:rsidR="007C5082" w:rsidRPr="007C5082" w:rsidRDefault="007C5082" w:rsidP="007C5082">
      <w:pPr>
        <w:spacing w:line="360" w:lineRule="auto"/>
        <w:rPr>
          <w:rFonts w:ascii="Arial" w:hAnsi="Arial" w:cs="Arial"/>
        </w:rPr>
      </w:pPr>
      <w:r w:rsidRPr="007C5082">
        <w:rPr>
          <w:rFonts w:ascii="Arial" w:hAnsi="Arial" w:cs="Arial"/>
        </w:rPr>
        <w:t xml:space="preserve">Baldwin, A. (2024). F1 enjoying surge of support in Middle East, Nielsen data shows. </w:t>
      </w:r>
      <w:r w:rsidRPr="007C5082">
        <w:rPr>
          <w:rFonts w:ascii="Arial" w:hAnsi="Arial" w:cs="Arial"/>
          <w:i/>
          <w:iCs/>
        </w:rPr>
        <w:t>Reuters</w:t>
      </w:r>
      <w:r w:rsidRPr="007C5082">
        <w:rPr>
          <w:rFonts w:ascii="Arial" w:hAnsi="Arial" w:cs="Arial"/>
        </w:rPr>
        <w:t>. [online] 3 Dec. Available at: https://www.reuters.com/sports/formula1/f1-enjoying-surge-support-middle-east-nielsen-data-shows-2024-12-03/ [Accessed 2 Apr. 2026].</w:t>
      </w:r>
    </w:p>
    <w:p w14:paraId="1B662CB4" w14:textId="77777777" w:rsidR="007C5082" w:rsidRPr="007C5082" w:rsidRDefault="007C5082" w:rsidP="007C5082">
      <w:pPr>
        <w:spacing w:line="360" w:lineRule="auto"/>
        <w:rPr>
          <w:rFonts w:ascii="Arial" w:hAnsi="Arial" w:cs="Arial"/>
        </w:rPr>
      </w:pPr>
      <w:r w:rsidRPr="007C5082">
        <w:rPr>
          <w:rFonts w:ascii="Arial" w:hAnsi="Arial" w:cs="Arial"/>
        </w:rPr>
        <w:t xml:space="preserve">Baldwin, A. (2026). F1 calls off April races in Bahrain and Saudi Arabia. </w:t>
      </w:r>
      <w:r w:rsidRPr="007C5082">
        <w:rPr>
          <w:rFonts w:ascii="Arial" w:hAnsi="Arial" w:cs="Arial"/>
          <w:i/>
          <w:iCs/>
        </w:rPr>
        <w:t>Reuters</w:t>
      </w:r>
      <w:r w:rsidRPr="007C5082">
        <w:rPr>
          <w:rFonts w:ascii="Arial" w:hAnsi="Arial" w:cs="Arial"/>
        </w:rPr>
        <w:t>. [online] 14 Mar. Available at: https://www.reuters.com/sports/formula1/f1-calls-off-april-races-bahrain-saudi-arabia-2026-03-14/ [Accessed 2 Apr. 2026].</w:t>
      </w:r>
    </w:p>
    <w:p w14:paraId="39CDB9CD" w14:textId="77777777" w:rsidR="007C5082" w:rsidRPr="007C5082" w:rsidRDefault="007C5082" w:rsidP="007C5082">
      <w:pPr>
        <w:spacing w:line="360" w:lineRule="auto"/>
        <w:rPr>
          <w:rFonts w:ascii="Arial" w:hAnsi="Arial" w:cs="Arial"/>
        </w:rPr>
      </w:pPr>
      <w:r w:rsidRPr="007C5082">
        <w:rPr>
          <w:rFonts w:ascii="Arial" w:hAnsi="Arial" w:cs="Arial"/>
        </w:rPr>
        <w:t xml:space="preserve">Barretto, L. (2020). </w:t>
      </w:r>
      <w:r w:rsidRPr="007C5082">
        <w:rPr>
          <w:rFonts w:ascii="Arial" w:hAnsi="Arial" w:cs="Arial"/>
          <w:i/>
          <w:iCs/>
        </w:rPr>
        <w:t>How F1’s new sliding scale aero testing rules work – and what impact they will have on racing | Formula 1®</w:t>
      </w:r>
      <w:r w:rsidRPr="007C5082">
        <w:rPr>
          <w:rFonts w:ascii="Arial" w:hAnsi="Arial" w:cs="Arial"/>
        </w:rPr>
        <w:t>. [online] www.formula1.com. Available at: https://www.formula1.com/en/latest/article/how-f1s-new-sliding-scale-aero-testing-rules-work-and-what-impact-they-will.pn0sG8N4A0cjbNRbdYx8a [Accessed 2 Apr. 2026].</w:t>
      </w:r>
    </w:p>
    <w:p w14:paraId="245DC118" w14:textId="77777777" w:rsidR="007C5082" w:rsidRPr="007C5082" w:rsidRDefault="007C5082" w:rsidP="007C5082">
      <w:pPr>
        <w:spacing w:line="360" w:lineRule="auto"/>
        <w:rPr>
          <w:rFonts w:ascii="Arial" w:hAnsi="Arial" w:cs="Arial"/>
        </w:rPr>
      </w:pPr>
      <w:r w:rsidRPr="007C5082">
        <w:rPr>
          <w:rFonts w:ascii="Arial" w:hAnsi="Arial" w:cs="Arial"/>
        </w:rPr>
        <w:t xml:space="preserve">Begg, D., </w:t>
      </w:r>
      <w:proofErr w:type="spellStart"/>
      <w:r w:rsidRPr="007C5082">
        <w:rPr>
          <w:rFonts w:ascii="Arial" w:hAnsi="Arial" w:cs="Arial"/>
        </w:rPr>
        <w:t>Vernasca</w:t>
      </w:r>
      <w:proofErr w:type="spellEnd"/>
      <w:r w:rsidRPr="007C5082">
        <w:rPr>
          <w:rFonts w:ascii="Arial" w:hAnsi="Arial" w:cs="Arial"/>
        </w:rPr>
        <w:t xml:space="preserve">, G., Dornbusch, R., Dornbusch Dr., R. and Fischer, S. (2020). </w:t>
      </w:r>
      <w:r w:rsidRPr="007C5082">
        <w:rPr>
          <w:rFonts w:ascii="Arial" w:hAnsi="Arial" w:cs="Arial"/>
          <w:i/>
          <w:iCs/>
        </w:rPr>
        <w:t>Economics</w:t>
      </w:r>
      <w:r w:rsidRPr="007C5082">
        <w:rPr>
          <w:rFonts w:ascii="Arial" w:hAnsi="Arial" w:cs="Arial"/>
        </w:rPr>
        <w:t>. 12th ed. McGraw Hill / Europe, Middle East &amp; Africa.</w:t>
      </w:r>
    </w:p>
    <w:p w14:paraId="3BC58478" w14:textId="77777777" w:rsidR="007C5082" w:rsidRPr="007C5082" w:rsidRDefault="007C5082" w:rsidP="007C5082">
      <w:pPr>
        <w:spacing w:line="360" w:lineRule="auto"/>
        <w:rPr>
          <w:rFonts w:ascii="Arial" w:hAnsi="Arial" w:cs="Arial"/>
        </w:rPr>
      </w:pPr>
      <w:r w:rsidRPr="007C5082">
        <w:rPr>
          <w:rFonts w:ascii="Arial" w:hAnsi="Arial" w:cs="Arial"/>
        </w:rPr>
        <w:t xml:space="preserve">Benito, A. (2025). How Oracle Red Bull Racing is driving Formula 1 into the future with cloud, AI and data. </w:t>
      </w:r>
      <w:r w:rsidRPr="007C5082">
        <w:rPr>
          <w:rFonts w:ascii="Arial" w:hAnsi="Arial" w:cs="Arial"/>
          <w:i/>
          <w:iCs/>
        </w:rPr>
        <w:t>ComputerWeekly.com</w:t>
      </w:r>
      <w:r w:rsidRPr="007C5082">
        <w:rPr>
          <w:rFonts w:ascii="Arial" w:hAnsi="Arial" w:cs="Arial"/>
        </w:rPr>
        <w:t>. [online] 9 Dec. Available at: https://www.computerweekly.com/feature/How-Oracle-Red-Bull-Racing-is-driving-Formula-1-into-the-future-with-cloud-AI-and-data [Accessed 2 Apr. 2026].</w:t>
      </w:r>
    </w:p>
    <w:p w14:paraId="2377C5C3" w14:textId="77777777" w:rsidR="007C5082" w:rsidRPr="007C5082" w:rsidRDefault="007C5082" w:rsidP="007C5082">
      <w:pPr>
        <w:spacing w:line="360" w:lineRule="auto"/>
        <w:rPr>
          <w:rFonts w:ascii="Arial" w:hAnsi="Arial" w:cs="Arial"/>
        </w:rPr>
      </w:pPr>
      <w:r w:rsidRPr="007C5082">
        <w:rPr>
          <w:rFonts w:ascii="Arial" w:hAnsi="Arial" w:cs="Arial"/>
        </w:rPr>
        <w:t xml:space="preserve">Brinkman, J., Navarro, I. and Harper, D. (2014). </w:t>
      </w:r>
      <w:r w:rsidRPr="007C5082">
        <w:rPr>
          <w:rFonts w:ascii="Arial" w:hAnsi="Arial" w:cs="Arial"/>
          <w:i/>
          <w:iCs/>
        </w:rPr>
        <w:t>Unlocking the Business Environment</w:t>
      </w:r>
      <w:r w:rsidRPr="007C5082">
        <w:rPr>
          <w:rFonts w:ascii="Arial" w:hAnsi="Arial" w:cs="Arial"/>
        </w:rPr>
        <w:t xml:space="preserve">. 1st ed. Routledge. </w:t>
      </w:r>
      <w:proofErr w:type="spellStart"/>
      <w:proofErr w:type="gramStart"/>
      <w:r w:rsidRPr="007C5082">
        <w:rPr>
          <w:rFonts w:ascii="Arial" w:hAnsi="Arial" w:cs="Arial"/>
        </w:rPr>
        <w:t>doi:https</w:t>
      </w:r>
      <w:proofErr w:type="spellEnd"/>
      <w:r w:rsidRPr="007C5082">
        <w:rPr>
          <w:rFonts w:ascii="Arial" w:hAnsi="Arial" w:cs="Arial"/>
        </w:rPr>
        <w:t>://doi.org/10.4324/9780203782644</w:t>
      </w:r>
      <w:proofErr w:type="gramEnd"/>
      <w:r w:rsidRPr="007C5082">
        <w:rPr>
          <w:rFonts w:ascii="Arial" w:hAnsi="Arial" w:cs="Arial"/>
        </w:rPr>
        <w:t>.</w:t>
      </w:r>
    </w:p>
    <w:p w14:paraId="44EA9F55" w14:textId="77777777" w:rsidR="007C5082" w:rsidRPr="007C5082" w:rsidRDefault="007C5082" w:rsidP="007C5082">
      <w:pPr>
        <w:spacing w:line="360" w:lineRule="auto"/>
        <w:rPr>
          <w:rFonts w:ascii="Arial" w:hAnsi="Arial" w:cs="Arial"/>
        </w:rPr>
      </w:pPr>
      <w:r w:rsidRPr="007C5082">
        <w:rPr>
          <w:rFonts w:ascii="Arial" w:hAnsi="Arial" w:cs="Arial"/>
        </w:rPr>
        <w:t xml:space="preserve">Cho, M., Cottingham, M., Hawkins, B. and Lee, D. (2023). Sport Analytics Business: Exploring Fan Engagement on Analytical Content. </w:t>
      </w:r>
      <w:r w:rsidRPr="007C5082">
        <w:rPr>
          <w:rFonts w:ascii="Arial" w:hAnsi="Arial" w:cs="Arial"/>
          <w:i/>
          <w:iCs/>
        </w:rPr>
        <w:t>International journal of applied sports sciences</w:t>
      </w:r>
      <w:r w:rsidRPr="007C5082">
        <w:rPr>
          <w:rFonts w:ascii="Arial" w:hAnsi="Arial" w:cs="Arial"/>
        </w:rPr>
        <w:t xml:space="preserve">, [online] 35(2), pp.201–214. </w:t>
      </w:r>
      <w:proofErr w:type="spellStart"/>
      <w:proofErr w:type="gramStart"/>
      <w:r w:rsidRPr="007C5082">
        <w:rPr>
          <w:rFonts w:ascii="Arial" w:hAnsi="Arial" w:cs="Arial"/>
        </w:rPr>
        <w:t>doi:https</w:t>
      </w:r>
      <w:proofErr w:type="spellEnd"/>
      <w:r w:rsidRPr="007C5082">
        <w:rPr>
          <w:rFonts w:ascii="Arial" w:hAnsi="Arial" w:cs="Arial"/>
        </w:rPr>
        <w:t>://doi.org/10.24985/ijass.2023.35.2.201</w:t>
      </w:r>
      <w:proofErr w:type="gramEnd"/>
      <w:r w:rsidRPr="007C5082">
        <w:rPr>
          <w:rFonts w:ascii="Arial" w:hAnsi="Arial" w:cs="Arial"/>
        </w:rPr>
        <w:t>.</w:t>
      </w:r>
    </w:p>
    <w:p w14:paraId="77EF6361" w14:textId="77777777" w:rsidR="007C5082" w:rsidRPr="007C5082" w:rsidRDefault="007C5082" w:rsidP="007C5082">
      <w:pPr>
        <w:spacing w:line="360" w:lineRule="auto"/>
        <w:rPr>
          <w:rFonts w:ascii="Arial" w:hAnsi="Arial" w:cs="Arial"/>
        </w:rPr>
      </w:pPr>
      <w:r w:rsidRPr="007C5082">
        <w:rPr>
          <w:rFonts w:ascii="Arial" w:hAnsi="Arial" w:cs="Arial"/>
        </w:rPr>
        <w:t xml:space="preserve">Dahiya, R., Le, S., Ring, J.K. and Watson, K. (2021). Big data analytics and competitive advantage: the strategic role of firm-specific knowledge. </w:t>
      </w:r>
      <w:r w:rsidRPr="007C5082">
        <w:rPr>
          <w:rFonts w:ascii="Arial" w:hAnsi="Arial" w:cs="Arial"/>
          <w:i/>
          <w:iCs/>
        </w:rPr>
        <w:t xml:space="preserve">Journal of </w:t>
      </w:r>
      <w:r w:rsidRPr="007C5082">
        <w:rPr>
          <w:rFonts w:ascii="Arial" w:hAnsi="Arial" w:cs="Arial"/>
          <w:i/>
          <w:iCs/>
        </w:rPr>
        <w:lastRenderedPageBreak/>
        <w:t>Strategy and Management</w:t>
      </w:r>
      <w:r w:rsidRPr="007C5082">
        <w:rPr>
          <w:rFonts w:ascii="Arial" w:hAnsi="Arial" w:cs="Arial"/>
        </w:rPr>
        <w:t xml:space="preserve">, [online] 15(2), pp.175–193. </w:t>
      </w:r>
      <w:proofErr w:type="spellStart"/>
      <w:proofErr w:type="gramStart"/>
      <w:r w:rsidRPr="007C5082">
        <w:rPr>
          <w:rFonts w:ascii="Arial" w:hAnsi="Arial" w:cs="Arial"/>
        </w:rPr>
        <w:t>doi:https</w:t>
      </w:r>
      <w:proofErr w:type="spellEnd"/>
      <w:r w:rsidRPr="007C5082">
        <w:rPr>
          <w:rFonts w:ascii="Arial" w:hAnsi="Arial" w:cs="Arial"/>
        </w:rPr>
        <w:t>://doi.org/10.1108/jsma-08-2020-0203</w:t>
      </w:r>
      <w:proofErr w:type="gramEnd"/>
      <w:r w:rsidRPr="007C5082">
        <w:rPr>
          <w:rFonts w:ascii="Arial" w:hAnsi="Arial" w:cs="Arial"/>
        </w:rPr>
        <w:t>.</w:t>
      </w:r>
    </w:p>
    <w:p w14:paraId="35C488D5" w14:textId="77777777" w:rsidR="007C5082" w:rsidRPr="007C5082" w:rsidRDefault="007C5082" w:rsidP="007C5082">
      <w:pPr>
        <w:spacing w:line="360" w:lineRule="auto"/>
        <w:rPr>
          <w:rFonts w:ascii="Arial" w:hAnsi="Arial" w:cs="Arial"/>
        </w:rPr>
      </w:pPr>
      <w:r w:rsidRPr="007C5082">
        <w:rPr>
          <w:rFonts w:ascii="Arial" w:hAnsi="Arial" w:cs="Arial"/>
        </w:rPr>
        <w:t xml:space="preserve">DiMaggio, P.J. and Powell, W.W. (1983). The Iron Cage Revisited: Institutional Isomorphism and Collective Rationality in Organizational Fields. </w:t>
      </w:r>
      <w:r w:rsidRPr="007C5082">
        <w:rPr>
          <w:rFonts w:ascii="Arial" w:hAnsi="Arial" w:cs="Arial"/>
          <w:i/>
          <w:iCs/>
        </w:rPr>
        <w:t>American Sociological Review</w:t>
      </w:r>
      <w:r w:rsidRPr="007C5082">
        <w:rPr>
          <w:rFonts w:ascii="Arial" w:hAnsi="Arial" w:cs="Arial"/>
        </w:rPr>
        <w:t xml:space="preserve">, [online] 48(2), pp.147–160. </w:t>
      </w:r>
      <w:proofErr w:type="spellStart"/>
      <w:proofErr w:type="gramStart"/>
      <w:r w:rsidRPr="007C5082">
        <w:rPr>
          <w:rFonts w:ascii="Arial" w:hAnsi="Arial" w:cs="Arial"/>
        </w:rPr>
        <w:t>doi:https</w:t>
      </w:r>
      <w:proofErr w:type="spellEnd"/>
      <w:r w:rsidRPr="007C5082">
        <w:rPr>
          <w:rFonts w:ascii="Arial" w:hAnsi="Arial" w:cs="Arial"/>
        </w:rPr>
        <w:t>://doi.org/10.2307/2095101</w:t>
      </w:r>
      <w:proofErr w:type="gramEnd"/>
      <w:r w:rsidRPr="007C5082">
        <w:rPr>
          <w:rFonts w:ascii="Arial" w:hAnsi="Arial" w:cs="Arial"/>
        </w:rPr>
        <w:t>.</w:t>
      </w:r>
    </w:p>
    <w:p w14:paraId="4FC23250" w14:textId="77777777" w:rsidR="007C5082" w:rsidRPr="007C5082" w:rsidRDefault="007C5082" w:rsidP="007C5082">
      <w:pPr>
        <w:spacing w:line="360" w:lineRule="auto"/>
        <w:rPr>
          <w:rFonts w:ascii="Arial" w:hAnsi="Arial" w:cs="Arial"/>
        </w:rPr>
      </w:pPr>
      <w:r w:rsidRPr="007C5082">
        <w:rPr>
          <w:rFonts w:ascii="Arial" w:hAnsi="Arial" w:cs="Arial"/>
        </w:rPr>
        <w:t xml:space="preserve">Drucker, P.F. (1994). </w:t>
      </w:r>
      <w:r w:rsidRPr="007C5082">
        <w:rPr>
          <w:rFonts w:ascii="Arial" w:hAnsi="Arial" w:cs="Arial"/>
          <w:i/>
          <w:iCs/>
        </w:rPr>
        <w:t>The Theory of the Business</w:t>
      </w:r>
      <w:r w:rsidRPr="007C5082">
        <w:rPr>
          <w:rFonts w:ascii="Arial" w:hAnsi="Arial" w:cs="Arial"/>
        </w:rPr>
        <w:t>. [online] Harvard Business Review. Available at: https://hbr.org/1994/09/the-theory-of-the-business [Accessed 2 Apr. 2026].</w:t>
      </w:r>
    </w:p>
    <w:p w14:paraId="68110638" w14:textId="77777777" w:rsidR="007C5082" w:rsidRPr="007C5082" w:rsidRDefault="007C5082" w:rsidP="007C5082">
      <w:pPr>
        <w:spacing w:line="360" w:lineRule="auto"/>
        <w:rPr>
          <w:rFonts w:ascii="Arial" w:hAnsi="Arial" w:cs="Arial"/>
        </w:rPr>
      </w:pPr>
      <w:r w:rsidRPr="007C5082">
        <w:rPr>
          <w:rFonts w:ascii="Arial" w:hAnsi="Arial" w:cs="Arial"/>
        </w:rPr>
        <w:t xml:space="preserve">FIA (2024). </w:t>
      </w:r>
      <w:r w:rsidRPr="007C5082">
        <w:rPr>
          <w:rFonts w:ascii="Arial" w:hAnsi="Arial" w:cs="Arial"/>
          <w:i/>
          <w:iCs/>
        </w:rPr>
        <w:t>2026 FIA Formula 1 Regulations Hub</w:t>
      </w:r>
      <w:r w:rsidRPr="007C5082">
        <w:rPr>
          <w:rFonts w:ascii="Arial" w:hAnsi="Arial" w:cs="Arial"/>
        </w:rPr>
        <w:t xml:space="preserve">. [online] Federation Internationale de </w:t>
      </w:r>
      <w:proofErr w:type="spellStart"/>
      <w:r w:rsidRPr="007C5082">
        <w:rPr>
          <w:rFonts w:ascii="Arial" w:hAnsi="Arial" w:cs="Arial"/>
        </w:rPr>
        <w:t>l’Automobile</w:t>
      </w:r>
      <w:proofErr w:type="spellEnd"/>
      <w:r w:rsidRPr="007C5082">
        <w:rPr>
          <w:rFonts w:ascii="Arial" w:hAnsi="Arial" w:cs="Arial"/>
        </w:rPr>
        <w:t>. Available at: https://www.fia.com/F126.</w:t>
      </w:r>
    </w:p>
    <w:p w14:paraId="70288668" w14:textId="77777777" w:rsidR="007C5082" w:rsidRPr="007C5082" w:rsidRDefault="007C5082" w:rsidP="007C5082">
      <w:pPr>
        <w:spacing w:line="360" w:lineRule="auto"/>
        <w:rPr>
          <w:rFonts w:ascii="Arial" w:hAnsi="Arial" w:cs="Arial"/>
        </w:rPr>
      </w:pPr>
      <w:r w:rsidRPr="007C5082">
        <w:rPr>
          <w:rFonts w:ascii="Arial" w:hAnsi="Arial" w:cs="Arial"/>
        </w:rPr>
        <w:t xml:space="preserve">FIA, F.I. de </w:t>
      </w:r>
      <w:proofErr w:type="spellStart"/>
      <w:r w:rsidRPr="007C5082">
        <w:rPr>
          <w:rFonts w:ascii="Arial" w:hAnsi="Arial" w:cs="Arial"/>
        </w:rPr>
        <w:t>l’Automobile</w:t>
      </w:r>
      <w:proofErr w:type="spellEnd"/>
      <w:r w:rsidRPr="007C5082">
        <w:rPr>
          <w:rFonts w:ascii="Arial" w:hAnsi="Arial" w:cs="Arial"/>
        </w:rPr>
        <w:t xml:space="preserve"> (2020). </w:t>
      </w:r>
      <w:r w:rsidRPr="007C5082">
        <w:rPr>
          <w:rFonts w:ascii="Arial" w:hAnsi="Arial" w:cs="Arial"/>
          <w:i/>
          <w:iCs/>
        </w:rPr>
        <w:t>2021 Formula 1 Technical Regulations</w:t>
      </w:r>
      <w:r w:rsidRPr="007C5082">
        <w:rPr>
          <w:rFonts w:ascii="Arial" w:hAnsi="Arial" w:cs="Arial"/>
        </w:rPr>
        <w:t>. [online] Available at: https://www.fia.com/sites/default/files/2021_formula_1_technical_regulations_-_iss_4_-_2020-05-27_0.pdf [Accessed 2 Apr. 2026].</w:t>
      </w:r>
    </w:p>
    <w:p w14:paraId="5DB92B7B" w14:textId="77777777" w:rsidR="007C5082" w:rsidRPr="007C5082" w:rsidRDefault="007C5082" w:rsidP="007C5082">
      <w:pPr>
        <w:spacing w:line="360" w:lineRule="auto"/>
        <w:rPr>
          <w:rFonts w:ascii="Arial" w:hAnsi="Arial" w:cs="Arial"/>
        </w:rPr>
      </w:pPr>
      <w:r w:rsidRPr="007C5082">
        <w:rPr>
          <w:rFonts w:ascii="Arial" w:hAnsi="Arial" w:cs="Arial"/>
        </w:rPr>
        <w:t xml:space="preserve">Ford Motor Company (2023). </w:t>
      </w:r>
      <w:r w:rsidRPr="007C5082">
        <w:rPr>
          <w:rFonts w:ascii="Arial" w:hAnsi="Arial" w:cs="Arial"/>
          <w:i/>
          <w:iCs/>
        </w:rPr>
        <w:t xml:space="preserve">FORD RETURNS TO FORMULA 1; TECHNICAL PARTNER TO ORACLE RED BULL RACING FOR 2026 SEASON AND BEYOND | Great Britain | Ford Media </w:t>
      </w:r>
      <w:proofErr w:type="spellStart"/>
      <w:r w:rsidRPr="007C5082">
        <w:rPr>
          <w:rFonts w:ascii="Arial" w:hAnsi="Arial" w:cs="Arial"/>
          <w:i/>
          <w:iCs/>
        </w:rPr>
        <w:t>Center</w:t>
      </w:r>
      <w:proofErr w:type="spellEnd"/>
      <w:r w:rsidRPr="007C5082">
        <w:rPr>
          <w:rFonts w:ascii="Arial" w:hAnsi="Arial" w:cs="Arial"/>
        </w:rPr>
        <w:t>. [online] Ford.com. Available at: https://media.ford.com/content/fordmedia/feu/gb/en/news/2023/02/03/Ford-Returns-To-Formula1.html [Accessed 2 Apr. 2026].</w:t>
      </w:r>
    </w:p>
    <w:p w14:paraId="23C5F683" w14:textId="77777777" w:rsidR="007C5082" w:rsidRPr="007C5082" w:rsidRDefault="007C5082" w:rsidP="007C5082">
      <w:pPr>
        <w:spacing w:line="360" w:lineRule="auto"/>
        <w:rPr>
          <w:rFonts w:ascii="Arial" w:hAnsi="Arial" w:cs="Arial"/>
        </w:rPr>
      </w:pPr>
      <w:r w:rsidRPr="007C5082">
        <w:rPr>
          <w:rFonts w:ascii="Arial" w:hAnsi="Arial" w:cs="Arial"/>
        </w:rPr>
        <w:t xml:space="preserve">Formula 1 (2023). </w:t>
      </w:r>
      <w:r w:rsidRPr="007C5082">
        <w:rPr>
          <w:rFonts w:ascii="Arial" w:hAnsi="Arial" w:cs="Arial"/>
          <w:i/>
          <w:iCs/>
        </w:rPr>
        <w:t>Formula 1 announces calendar for 2024</w:t>
      </w:r>
      <w:r w:rsidRPr="007C5082">
        <w:rPr>
          <w:rFonts w:ascii="Arial" w:hAnsi="Arial" w:cs="Arial"/>
        </w:rPr>
        <w:t>. [online] Formula 1® - The Official F1® Website. Available at: https://www.formula1.com/en/latest/article/formula-1-announces-calendar-for-2024.XL3c5Cxi0ZOQzPrUu5izL [Accessed 2 Apr. 2026].</w:t>
      </w:r>
    </w:p>
    <w:p w14:paraId="7C8EB77C" w14:textId="77777777" w:rsidR="007C5082" w:rsidRPr="007C5082" w:rsidRDefault="007C5082" w:rsidP="007C5082">
      <w:pPr>
        <w:spacing w:line="360" w:lineRule="auto"/>
        <w:rPr>
          <w:rFonts w:ascii="Arial" w:hAnsi="Arial" w:cs="Arial"/>
        </w:rPr>
      </w:pPr>
      <w:r w:rsidRPr="007C5082">
        <w:rPr>
          <w:rFonts w:ascii="Arial" w:hAnsi="Arial" w:cs="Arial"/>
        </w:rPr>
        <w:t xml:space="preserve">Formula 1 (2024). </w:t>
      </w:r>
      <w:r w:rsidRPr="007C5082">
        <w:rPr>
          <w:rFonts w:ascii="Arial" w:hAnsi="Arial" w:cs="Arial"/>
          <w:i/>
          <w:iCs/>
        </w:rPr>
        <w:t>F1 - The Official Home of Formula 1® Racing</w:t>
      </w:r>
      <w:r w:rsidRPr="007C5082">
        <w:rPr>
          <w:rFonts w:ascii="Arial" w:hAnsi="Arial" w:cs="Arial"/>
        </w:rPr>
        <w:t>. [online] Formula 1® - The Official F1® Website. Available at: https://www.formula1.com/en/results/2024/team [Accessed 2 Apr. 2026].</w:t>
      </w:r>
    </w:p>
    <w:p w14:paraId="0A21FD39" w14:textId="77777777" w:rsidR="007C5082" w:rsidRPr="007C5082" w:rsidRDefault="007C5082" w:rsidP="007C5082">
      <w:pPr>
        <w:spacing w:line="360" w:lineRule="auto"/>
        <w:rPr>
          <w:rFonts w:ascii="Arial" w:hAnsi="Arial" w:cs="Arial"/>
        </w:rPr>
      </w:pPr>
      <w:r w:rsidRPr="007C5082">
        <w:rPr>
          <w:rFonts w:ascii="Arial" w:hAnsi="Arial" w:cs="Arial"/>
        </w:rPr>
        <w:t xml:space="preserve">Formula 1 (2025a). </w:t>
      </w:r>
      <w:r w:rsidRPr="007C5082">
        <w:rPr>
          <w:rFonts w:ascii="Arial" w:hAnsi="Arial" w:cs="Arial"/>
          <w:i/>
          <w:iCs/>
        </w:rPr>
        <w:t>All you need to know about F1’s new power units</w:t>
      </w:r>
      <w:r w:rsidRPr="007C5082">
        <w:rPr>
          <w:rFonts w:ascii="Arial" w:hAnsi="Arial" w:cs="Arial"/>
        </w:rPr>
        <w:t>. [online] Formula1.com. Available at: https://www.formula1.com/en/latest/article/2026-</w:t>
      </w:r>
      <w:r w:rsidRPr="007C5082">
        <w:rPr>
          <w:rFonts w:ascii="Arial" w:hAnsi="Arial" w:cs="Arial"/>
        </w:rPr>
        <w:lastRenderedPageBreak/>
        <w:t>regulations-explained-all-you-need-to-know-about-f1s-new-power-units.14jfv7a36905uDJDdNyfQd [Accessed 2 Apr. 2026].</w:t>
      </w:r>
    </w:p>
    <w:p w14:paraId="54FC19D8" w14:textId="77777777" w:rsidR="007C5082" w:rsidRPr="007C5082" w:rsidRDefault="007C5082" w:rsidP="007C5082">
      <w:pPr>
        <w:spacing w:line="360" w:lineRule="auto"/>
        <w:rPr>
          <w:rFonts w:ascii="Arial" w:hAnsi="Arial" w:cs="Arial"/>
        </w:rPr>
      </w:pPr>
      <w:r w:rsidRPr="007C5082">
        <w:rPr>
          <w:rFonts w:ascii="Arial" w:hAnsi="Arial" w:cs="Arial"/>
        </w:rPr>
        <w:t xml:space="preserve">Formula 1 (2025b). </w:t>
      </w:r>
      <w:r w:rsidRPr="007C5082">
        <w:rPr>
          <w:rFonts w:ascii="Arial" w:hAnsi="Arial" w:cs="Arial"/>
          <w:i/>
          <w:iCs/>
        </w:rPr>
        <w:t>F1 - The Official Home of Formula 1® Racing</w:t>
      </w:r>
      <w:r w:rsidRPr="007C5082">
        <w:rPr>
          <w:rFonts w:ascii="Arial" w:hAnsi="Arial" w:cs="Arial"/>
        </w:rPr>
        <w:t>. [online] Formula 1® - The Official F1® Website. Available at: https://www.formula1.com/en/racing/2026 [Accessed 3 Apr. 2026].</w:t>
      </w:r>
    </w:p>
    <w:p w14:paraId="66785EC4" w14:textId="77777777" w:rsidR="007C5082" w:rsidRPr="007C5082" w:rsidRDefault="007C5082" w:rsidP="007C5082">
      <w:pPr>
        <w:spacing w:line="360" w:lineRule="auto"/>
        <w:rPr>
          <w:rFonts w:ascii="Arial" w:hAnsi="Arial" w:cs="Arial"/>
        </w:rPr>
      </w:pPr>
      <w:r w:rsidRPr="007C5082">
        <w:rPr>
          <w:rFonts w:ascii="Arial" w:hAnsi="Arial" w:cs="Arial"/>
        </w:rPr>
        <w:t xml:space="preserve">Formula 1 (2025c). </w:t>
      </w:r>
      <w:r w:rsidRPr="007C5082">
        <w:rPr>
          <w:rFonts w:ascii="Arial" w:hAnsi="Arial" w:cs="Arial"/>
          <w:i/>
          <w:iCs/>
        </w:rPr>
        <w:t>F1 announces calendar for 2026 season</w:t>
      </w:r>
      <w:r w:rsidRPr="007C5082">
        <w:rPr>
          <w:rFonts w:ascii="Arial" w:hAnsi="Arial" w:cs="Arial"/>
        </w:rPr>
        <w:t>. [online] Formula 1® - The Official F1® Website. Available at: https://www.formula1.com/en/latest/article/formula-1-reveals-calendar-for-2026-season.YctbMZWqBvrgyddrnauo8 [Accessed 3 Apr. 2026].</w:t>
      </w:r>
    </w:p>
    <w:p w14:paraId="32D8633D" w14:textId="77777777" w:rsidR="007C5082" w:rsidRPr="007C5082" w:rsidRDefault="007C5082" w:rsidP="007C5082">
      <w:pPr>
        <w:spacing w:line="360" w:lineRule="auto"/>
        <w:rPr>
          <w:rFonts w:ascii="Arial" w:hAnsi="Arial" w:cs="Arial"/>
        </w:rPr>
      </w:pPr>
      <w:r w:rsidRPr="007C5082">
        <w:rPr>
          <w:rFonts w:ascii="Arial" w:hAnsi="Arial" w:cs="Arial"/>
        </w:rPr>
        <w:t xml:space="preserve">Formula 1 (2025d). </w:t>
      </w:r>
      <w:r w:rsidRPr="007C5082">
        <w:rPr>
          <w:rFonts w:ascii="Arial" w:hAnsi="Arial" w:cs="Arial"/>
          <w:i/>
          <w:iCs/>
        </w:rPr>
        <w:t>Formula 1 reduced carbon footprint by 26% by end of 2024</w:t>
      </w:r>
      <w:r w:rsidRPr="007C5082">
        <w:rPr>
          <w:rFonts w:ascii="Arial" w:hAnsi="Arial" w:cs="Arial"/>
        </w:rPr>
        <w:t>. [online] Formula1.com. Available at: https://www.formula1.com/en/latest/article/formula-1-on-track-to-be-net-zero-by-2030-with-26-reduction-in-carbon.4p2vZMDrgDu6lVHLvOcLPy [Accessed 2 Apr. 2026].</w:t>
      </w:r>
    </w:p>
    <w:p w14:paraId="3263F36D" w14:textId="77777777" w:rsidR="007C5082" w:rsidRPr="007C5082" w:rsidRDefault="007C5082" w:rsidP="007C5082">
      <w:pPr>
        <w:spacing w:line="360" w:lineRule="auto"/>
        <w:rPr>
          <w:rFonts w:ascii="Arial" w:hAnsi="Arial" w:cs="Arial"/>
        </w:rPr>
      </w:pPr>
      <w:r w:rsidRPr="007C5082">
        <w:rPr>
          <w:rFonts w:ascii="Arial" w:hAnsi="Arial" w:cs="Arial"/>
        </w:rPr>
        <w:t xml:space="preserve">Formula 1 (2025e). </w:t>
      </w:r>
      <w:r w:rsidRPr="007C5082">
        <w:rPr>
          <w:rFonts w:ascii="Arial" w:hAnsi="Arial" w:cs="Arial"/>
          <w:i/>
          <w:iCs/>
        </w:rPr>
        <w:t>Records, growth and unforgettable moments – 2025 so far</w:t>
      </w:r>
      <w:r w:rsidRPr="007C5082">
        <w:rPr>
          <w:rFonts w:ascii="Arial" w:hAnsi="Arial" w:cs="Arial"/>
        </w:rPr>
        <w:t>. [online] Formula1.com. Available at: https://www.formula1.com/en/latest/article/records-growth-and-unforgettable-moments-the-2025-formula-1-season-so-far.1usXKBpUsYIndrYz22GQTq [Accessed 2 Apr. 2026].</w:t>
      </w:r>
    </w:p>
    <w:p w14:paraId="3F7E7563" w14:textId="77777777" w:rsidR="007C5082" w:rsidRPr="007C5082" w:rsidRDefault="007C5082" w:rsidP="007C5082">
      <w:pPr>
        <w:spacing w:line="360" w:lineRule="auto"/>
        <w:rPr>
          <w:rFonts w:ascii="Arial" w:hAnsi="Arial" w:cs="Arial"/>
        </w:rPr>
      </w:pPr>
      <w:r w:rsidRPr="007C5082">
        <w:rPr>
          <w:rFonts w:ascii="Arial" w:hAnsi="Arial" w:cs="Arial"/>
        </w:rPr>
        <w:t xml:space="preserve">Goodall, A.H. and </w:t>
      </w:r>
      <w:proofErr w:type="spellStart"/>
      <w:r w:rsidRPr="007C5082">
        <w:rPr>
          <w:rFonts w:ascii="Arial" w:hAnsi="Arial" w:cs="Arial"/>
        </w:rPr>
        <w:t>Pogrebna</w:t>
      </w:r>
      <w:proofErr w:type="spellEnd"/>
      <w:r w:rsidRPr="007C5082">
        <w:rPr>
          <w:rFonts w:ascii="Arial" w:hAnsi="Arial" w:cs="Arial"/>
        </w:rPr>
        <w:t xml:space="preserve">, G. (2015). Expert leaders in a fast-moving environment. </w:t>
      </w:r>
      <w:r w:rsidRPr="007C5082">
        <w:rPr>
          <w:rFonts w:ascii="Arial" w:hAnsi="Arial" w:cs="Arial"/>
          <w:i/>
          <w:iCs/>
        </w:rPr>
        <w:t>The Leadership Quarterly</w:t>
      </w:r>
      <w:r w:rsidRPr="007C5082">
        <w:rPr>
          <w:rFonts w:ascii="Arial" w:hAnsi="Arial" w:cs="Arial"/>
        </w:rPr>
        <w:t xml:space="preserve">, [online] 26(2), pp.123–142. </w:t>
      </w:r>
      <w:proofErr w:type="spellStart"/>
      <w:proofErr w:type="gramStart"/>
      <w:r w:rsidRPr="007C5082">
        <w:rPr>
          <w:rFonts w:ascii="Arial" w:hAnsi="Arial" w:cs="Arial"/>
        </w:rPr>
        <w:t>doi:https</w:t>
      </w:r>
      <w:proofErr w:type="spellEnd"/>
      <w:r w:rsidRPr="007C5082">
        <w:rPr>
          <w:rFonts w:ascii="Arial" w:hAnsi="Arial" w:cs="Arial"/>
        </w:rPr>
        <w:t>://doi.org/10.1016/j.leaqua.2014.07.009</w:t>
      </w:r>
      <w:proofErr w:type="gramEnd"/>
      <w:r w:rsidRPr="007C5082">
        <w:rPr>
          <w:rFonts w:ascii="Arial" w:hAnsi="Arial" w:cs="Arial"/>
        </w:rPr>
        <w:t>.</w:t>
      </w:r>
    </w:p>
    <w:p w14:paraId="716A3A2B" w14:textId="77777777" w:rsidR="007C5082" w:rsidRPr="007C5082" w:rsidRDefault="007C5082" w:rsidP="007C5082">
      <w:pPr>
        <w:spacing w:line="360" w:lineRule="auto"/>
        <w:rPr>
          <w:rFonts w:ascii="Arial" w:hAnsi="Arial" w:cs="Arial"/>
        </w:rPr>
      </w:pPr>
      <w:proofErr w:type="spellStart"/>
      <w:r w:rsidRPr="007C5082">
        <w:rPr>
          <w:rFonts w:ascii="Arial" w:hAnsi="Arial" w:cs="Arial"/>
        </w:rPr>
        <w:t>Judde</w:t>
      </w:r>
      <w:proofErr w:type="spellEnd"/>
      <w:r w:rsidRPr="007C5082">
        <w:rPr>
          <w:rFonts w:ascii="Arial" w:hAnsi="Arial" w:cs="Arial"/>
        </w:rPr>
        <w:t xml:space="preserve">, C., Booth, R. and Brooks, R. (2013). Second Place Is First of the Losers: An Analysis of Competitive Balance in Formula One. </w:t>
      </w:r>
      <w:r w:rsidRPr="007C5082">
        <w:rPr>
          <w:rFonts w:ascii="Arial" w:hAnsi="Arial" w:cs="Arial"/>
          <w:i/>
          <w:iCs/>
        </w:rPr>
        <w:t>Journal of Sports Economics</w:t>
      </w:r>
      <w:r w:rsidRPr="007C5082">
        <w:rPr>
          <w:rFonts w:ascii="Arial" w:hAnsi="Arial" w:cs="Arial"/>
        </w:rPr>
        <w:t xml:space="preserve">, [online] 14(4), pp.411–439. </w:t>
      </w:r>
      <w:proofErr w:type="spellStart"/>
      <w:proofErr w:type="gramStart"/>
      <w:r w:rsidRPr="007C5082">
        <w:rPr>
          <w:rFonts w:ascii="Arial" w:hAnsi="Arial" w:cs="Arial"/>
        </w:rPr>
        <w:t>doi:https</w:t>
      </w:r>
      <w:proofErr w:type="spellEnd"/>
      <w:r w:rsidRPr="007C5082">
        <w:rPr>
          <w:rFonts w:ascii="Arial" w:hAnsi="Arial" w:cs="Arial"/>
        </w:rPr>
        <w:t>://doi.org/10.1177/1527002513496009</w:t>
      </w:r>
      <w:proofErr w:type="gramEnd"/>
      <w:r w:rsidRPr="007C5082">
        <w:rPr>
          <w:rFonts w:ascii="Arial" w:hAnsi="Arial" w:cs="Arial"/>
        </w:rPr>
        <w:t>.</w:t>
      </w:r>
    </w:p>
    <w:p w14:paraId="13467058" w14:textId="77777777" w:rsidR="007C5082" w:rsidRPr="007C5082" w:rsidRDefault="007C5082" w:rsidP="007C5082">
      <w:pPr>
        <w:spacing w:line="360" w:lineRule="auto"/>
        <w:rPr>
          <w:rFonts w:ascii="Arial" w:hAnsi="Arial" w:cs="Arial"/>
        </w:rPr>
      </w:pPr>
      <w:r w:rsidRPr="007C5082">
        <w:rPr>
          <w:rFonts w:ascii="Arial" w:hAnsi="Arial" w:cs="Arial"/>
        </w:rPr>
        <w:t xml:space="preserve">Liberty Media Corporation (2025). </w:t>
      </w:r>
      <w:r w:rsidRPr="007C5082">
        <w:rPr>
          <w:rFonts w:ascii="Arial" w:hAnsi="Arial" w:cs="Arial"/>
          <w:i/>
          <w:iCs/>
        </w:rPr>
        <w:t>Liberty Media Corporation</w:t>
      </w:r>
      <w:r w:rsidRPr="007C5082">
        <w:rPr>
          <w:rFonts w:ascii="Arial" w:hAnsi="Arial" w:cs="Arial"/>
        </w:rPr>
        <w:t>. [online] Liberty Media Corporation. Available at: https://www.libertymedia.com/investors/news-events/press-releases/detail/557/liberty-media-corporation-reports-fourth-quarter-and-year [Accessed 2 Apr. 2026].</w:t>
      </w:r>
    </w:p>
    <w:p w14:paraId="1050A907" w14:textId="77777777" w:rsidR="007C5082" w:rsidRPr="007C5082" w:rsidRDefault="007C5082" w:rsidP="007C5082">
      <w:pPr>
        <w:spacing w:line="360" w:lineRule="auto"/>
        <w:rPr>
          <w:rFonts w:ascii="Arial" w:hAnsi="Arial" w:cs="Arial"/>
        </w:rPr>
      </w:pPr>
      <w:r w:rsidRPr="007C5082">
        <w:rPr>
          <w:rFonts w:ascii="Arial" w:hAnsi="Arial" w:cs="Arial"/>
        </w:rPr>
        <w:lastRenderedPageBreak/>
        <w:t xml:space="preserve">Marino, A., Aversa, P., Mesquita, L. and Anand, J. (2015). Driving Performance via Exploration in Changing Environments: Evidence from Formula One Racing. </w:t>
      </w:r>
      <w:r w:rsidRPr="007C5082">
        <w:rPr>
          <w:rFonts w:ascii="Arial" w:hAnsi="Arial" w:cs="Arial"/>
          <w:i/>
          <w:iCs/>
        </w:rPr>
        <w:t>Organization Science</w:t>
      </w:r>
      <w:r w:rsidRPr="007C5082">
        <w:rPr>
          <w:rFonts w:ascii="Arial" w:hAnsi="Arial" w:cs="Arial"/>
        </w:rPr>
        <w:t xml:space="preserve">, [online] 26(4), pp.1079–1100. </w:t>
      </w:r>
      <w:proofErr w:type="spellStart"/>
      <w:proofErr w:type="gramStart"/>
      <w:r w:rsidRPr="007C5082">
        <w:rPr>
          <w:rFonts w:ascii="Arial" w:hAnsi="Arial" w:cs="Arial"/>
        </w:rPr>
        <w:t>doi:https</w:t>
      </w:r>
      <w:proofErr w:type="spellEnd"/>
      <w:r w:rsidRPr="007C5082">
        <w:rPr>
          <w:rFonts w:ascii="Arial" w:hAnsi="Arial" w:cs="Arial"/>
        </w:rPr>
        <w:t>://doi.org/10.1287/orsc.2015.0984</w:t>
      </w:r>
      <w:proofErr w:type="gramEnd"/>
      <w:r w:rsidRPr="007C5082">
        <w:rPr>
          <w:rFonts w:ascii="Arial" w:hAnsi="Arial" w:cs="Arial"/>
        </w:rPr>
        <w:t>.</w:t>
      </w:r>
    </w:p>
    <w:p w14:paraId="017128D8" w14:textId="77777777" w:rsidR="007C5082" w:rsidRPr="007C5082" w:rsidRDefault="007C5082" w:rsidP="007C5082">
      <w:pPr>
        <w:spacing w:line="360" w:lineRule="auto"/>
        <w:rPr>
          <w:rFonts w:ascii="Arial" w:hAnsi="Arial" w:cs="Arial"/>
        </w:rPr>
      </w:pPr>
      <w:r w:rsidRPr="007C5082">
        <w:rPr>
          <w:rFonts w:ascii="Arial" w:hAnsi="Arial" w:cs="Arial"/>
        </w:rPr>
        <w:t xml:space="preserve">McLaren Racing (2021). </w:t>
      </w:r>
      <w:r w:rsidRPr="007C5082">
        <w:rPr>
          <w:rFonts w:ascii="Arial" w:hAnsi="Arial" w:cs="Arial"/>
          <w:i/>
          <w:iCs/>
        </w:rPr>
        <w:t>McLaren Racing and Alteryx announce multi-year technology partnership</w:t>
      </w:r>
      <w:r w:rsidRPr="007C5082">
        <w:rPr>
          <w:rFonts w:ascii="Arial" w:hAnsi="Arial" w:cs="Arial"/>
        </w:rPr>
        <w:t>. [online] Mclaren.com. Available at: https://www.mclaren.com/racing/partners/alteryx/mclaren-racing-and-alteryx-announce-multi-year-technology-partnership/ [Accessed 2 Apr. 2026].</w:t>
      </w:r>
    </w:p>
    <w:p w14:paraId="6D389BE4" w14:textId="77777777" w:rsidR="007C5082" w:rsidRPr="007C5082" w:rsidRDefault="007C5082" w:rsidP="007C5082">
      <w:pPr>
        <w:spacing w:line="360" w:lineRule="auto"/>
        <w:rPr>
          <w:rFonts w:ascii="Arial" w:hAnsi="Arial" w:cs="Arial"/>
        </w:rPr>
      </w:pPr>
      <w:r w:rsidRPr="007C5082">
        <w:rPr>
          <w:rFonts w:ascii="Arial" w:hAnsi="Arial" w:cs="Arial"/>
        </w:rPr>
        <w:t xml:space="preserve">Medland, C. (2022). </w:t>
      </w:r>
      <w:r w:rsidRPr="007C5082">
        <w:rPr>
          <w:rFonts w:ascii="Arial" w:hAnsi="Arial" w:cs="Arial"/>
          <w:i/>
          <w:iCs/>
        </w:rPr>
        <w:t>7 key rule changes for the 2022 season | Formula 1®</w:t>
      </w:r>
      <w:r w:rsidRPr="007C5082">
        <w:rPr>
          <w:rFonts w:ascii="Arial" w:hAnsi="Arial" w:cs="Arial"/>
        </w:rPr>
        <w:t>. [online] www.formula1.com. Available at: https://www.formula1.com/en/latest/article/7-key-rule-changes-for-the-2022-season.2E7JH9MywymU8xxw6r5yDS [Accessed 2 Apr. 2026].</w:t>
      </w:r>
    </w:p>
    <w:p w14:paraId="2FC1673A" w14:textId="77777777" w:rsidR="007C5082" w:rsidRPr="007C5082" w:rsidRDefault="007C5082" w:rsidP="007C5082">
      <w:pPr>
        <w:spacing w:line="360" w:lineRule="auto"/>
        <w:rPr>
          <w:rFonts w:ascii="Arial" w:hAnsi="Arial" w:cs="Arial"/>
        </w:rPr>
      </w:pPr>
      <w:r w:rsidRPr="007C5082">
        <w:rPr>
          <w:rFonts w:ascii="Arial" w:hAnsi="Arial" w:cs="Arial"/>
        </w:rPr>
        <w:t xml:space="preserve">Mercedes-AMG PETRONAS F1 Team (2023). </w:t>
      </w:r>
      <w:r w:rsidRPr="007C5082">
        <w:rPr>
          <w:rFonts w:ascii="Arial" w:hAnsi="Arial" w:cs="Arial"/>
          <w:i/>
          <w:iCs/>
        </w:rPr>
        <w:t>The Seven Stages of Developing an F1 Car</w:t>
      </w:r>
      <w:r w:rsidRPr="007C5082">
        <w:rPr>
          <w:rFonts w:ascii="Arial" w:hAnsi="Arial" w:cs="Arial"/>
        </w:rPr>
        <w:t>. [online] Mercedes-AMG PETRONAS F1 Team. Available at: https://www.mercedesamgf1.com/news/the-seven-stages-of-developing-an-f1-car [Accessed 2 Apr. 2026].</w:t>
      </w:r>
    </w:p>
    <w:p w14:paraId="29A1E294" w14:textId="77777777" w:rsidR="007C5082" w:rsidRPr="007C5082" w:rsidRDefault="007C5082" w:rsidP="007C5082">
      <w:pPr>
        <w:spacing w:line="360" w:lineRule="auto"/>
        <w:rPr>
          <w:rFonts w:ascii="Arial" w:hAnsi="Arial" w:cs="Arial"/>
        </w:rPr>
      </w:pPr>
      <w:r w:rsidRPr="007C5082">
        <w:rPr>
          <w:rFonts w:ascii="Arial" w:hAnsi="Arial" w:cs="Arial"/>
        </w:rPr>
        <w:t xml:space="preserve">Monsees, L. and Næss, H.E. (2026). Deprive to survive? – investigating Formula One’s environmental policy using a WPR approach. </w:t>
      </w:r>
      <w:r w:rsidRPr="007C5082">
        <w:rPr>
          <w:rFonts w:ascii="Arial" w:hAnsi="Arial" w:cs="Arial"/>
          <w:i/>
          <w:iCs/>
        </w:rPr>
        <w:t>International Journal of Sport Policy and Politics</w:t>
      </w:r>
      <w:r w:rsidRPr="007C5082">
        <w:rPr>
          <w:rFonts w:ascii="Arial" w:hAnsi="Arial" w:cs="Arial"/>
        </w:rPr>
        <w:t xml:space="preserve">, pp.1–23. </w:t>
      </w:r>
      <w:proofErr w:type="spellStart"/>
      <w:proofErr w:type="gramStart"/>
      <w:r w:rsidRPr="007C5082">
        <w:rPr>
          <w:rFonts w:ascii="Arial" w:hAnsi="Arial" w:cs="Arial"/>
        </w:rPr>
        <w:t>doi:https</w:t>
      </w:r>
      <w:proofErr w:type="spellEnd"/>
      <w:r w:rsidRPr="007C5082">
        <w:rPr>
          <w:rFonts w:ascii="Arial" w:hAnsi="Arial" w:cs="Arial"/>
        </w:rPr>
        <w:t>://doi.org/10.1080/19406940.2026.2618784</w:t>
      </w:r>
      <w:proofErr w:type="gramEnd"/>
      <w:r w:rsidRPr="007C5082">
        <w:rPr>
          <w:rFonts w:ascii="Arial" w:hAnsi="Arial" w:cs="Arial"/>
        </w:rPr>
        <w:t>.</w:t>
      </w:r>
    </w:p>
    <w:p w14:paraId="427E1EAF" w14:textId="77777777" w:rsidR="007C5082" w:rsidRPr="007C5082" w:rsidRDefault="007C5082" w:rsidP="007C5082">
      <w:pPr>
        <w:spacing w:line="360" w:lineRule="auto"/>
        <w:rPr>
          <w:rFonts w:ascii="Arial" w:hAnsi="Arial" w:cs="Arial"/>
        </w:rPr>
      </w:pPr>
      <w:proofErr w:type="spellStart"/>
      <w:r w:rsidRPr="007C5082">
        <w:rPr>
          <w:rFonts w:ascii="Arial" w:hAnsi="Arial" w:cs="Arial"/>
        </w:rPr>
        <w:t>Morlidge</w:t>
      </w:r>
      <w:proofErr w:type="spellEnd"/>
      <w:r w:rsidRPr="007C5082">
        <w:rPr>
          <w:rFonts w:ascii="Arial" w:hAnsi="Arial" w:cs="Arial"/>
        </w:rPr>
        <w:t xml:space="preserve">, M. (2022). </w:t>
      </w:r>
      <w:r w:rsidRPr="007C5082">
        <w:rPr>
          <w:rFonts w:ascii="Arial" w:hAnsi="Arial" w:cs="Arial"/>
          <w:i/>
          <w:iCs/>
        </w:rPr>
        <w:t>Hungarian GP: Explaining Ferrari’s latest blunder and Charles Leclerc’s dwindling Formula 1 title dreams</w:t>
      </w:r>
      <w:r w:rsidRPr="007C5082">
        <w:rPr>
          <w:rFonts w:ascii="Arial" w:hAnsi="Arial" w:cs="Arial"/>
        </w:rPr>
        <w:t>. [online] Sky Sports. Available at: https://www.skysports.com/f1/news/12433/12663464/hungarian-gp-explaining-ferraris-latest-blunder-and-charles-leclercs-dwindling-formula-1-title-dreams [Accessed 2 Apr. 2026].</w:t>
      </w:r>
    </w:p>
    <w:p w14:paraId="7B6BEE05" w14:textId="77777777" w:rsidR="007C5082" w:rsidRPr="007C5082" w:rsidRDefault="007C5082" w:rsidP="007C5082">
      <w:pPr>
        <w:spacing w:line="360" w:lineRule="auto"/>
        <w:rPr>
          <w:rFonts w:ascii="Arial" w:hAnsi="Arial" w:cs="Arial"/>
        </w:rPr>
      </w:pPr>
      <w:r w:rsidRPr="007C5082">
        <w:rPr>
          <w:rFonts w:ascii="Arial" w:hAnsi="Arial" w:cs="Arial"/>
        </w:rPr>
        <w:t xml:space="preserve">Morrison, J. (2020). </w:t>
      </w:r>
      <w:r w:rsidRPr="007C5082">
        <w:rPr>
          <w:rFonts w:ascii="Arial" w:hAnsi="Arial" w:cs="Arial"/>
          <w:i/>
          <w:iCs/>
        </w:rPr>
        <w:t xml:space="preserve">The Global Business </w:t>
      </w:r>
      <w:proofErr w:type="gramStart"/>
      <w:r w:rsidRPr="007C5082">
        <w:rPr>
          <w:rFonts w:ascii="Arial" w:hAnsi="Arial" w:cs="Arial"/>
          <w:i/>
          <w:iCs/>
        </w:rPr>
        <w:t>Environment :</w:t>
      </w:r>
      <w:proofErr w:type="gramEnd"/>
      <w:r w:rsidRPr="007C5082">
        <w:rPr>
          <w:rFonts w:ascii="Arial" w:hAnsi="Arial" w:cs="Arial"/>
          <w:i/>
          <w:iCs/>
        </w:rPr>
        <w:t xml:space="preserve"> Towards sustainability?</w:t>
      </w:r>
      <w:r w:rsidRPr="007C5082">
        <w:rPr>
          <w:rFonts w:ascii="Arial" w:hAnsi="Arial" w:cs="Arial"/>
        </w:rPr>
        <w:t xml:space="preserve"> 5th ed. London: Bloomsbury Publishing Plc.</w:t>
      </w:r>
    </w:p>
    <w:p w14:paraId="76973CD6" w14:textId="77777777" w:rsidR="007C5082" w:rsidRPr="007C5082" w:rsidRDefault="007C5082" w:rsidP="007C5082">
      <w:pPr>
        <w:spacing w:line="360" w:lineRule="auto"/>
        <w:rPr>
          <w:rFonts w:ascii="Arial" w:hAnsi="Arial" w:cs="Arial"/>
        </w:rPr>
      </w:pPr>
      <w:r w:rsidRPr="007C5082">
        <w:rPr>
          <w:rFonts w:ascii="Arial" w:hAnsi="Arial" w:cs="Arial"/>
        </w:rPr>
        <w:t xml:space="preserve">Nassim Nicholas Taleb (2007). </w:t>
      </w:r>
      <w:r w:rsidRPr="007C5082">
        <w:rPr>
          <w:rFonts w:ascii="Arial" w:hAnsi="Arial" w:cs="Arial"/>
          <w:i/>
          <w:iCs/>
        </w:rPr>
        <w:t>The Black Swan</w:t>
      </w:r>
      <w:r w:rsidRPr="007C5082">
        <w:rPr>
          <w:rFonts w:ascii="Arial" w:hAnsi="Arial" w:cs="Arial"/>
        </w:rPr>
        <w:t>. London: Allen Lane.</w:t>
      </w:r>
    </w:p>
    <w:p w14:paraId="2305C3DF" w14:textId="77777777" w:rsidR="007C5082" w:rsidRPr="007C5082" w:rsidRDefault="007C5082" w:rsidP="007C5082">
      <w:pPr>
        <w:spacing w:line="360" w:lineRule="auto"/>
        <w:rPr>
          <w:rFonts w:ascii="Arial" w:hAnsi="Arial" w:cs="Arial"/>
        </w:rPr>
      </w:pPr>
      <w:r w:rsidRPr="007C5082">
        <w:rPr>
          <w:rFonts w:ascii="Arial" w:hAnsi="Arial" w:cs="Arial"/>
        </w:rPr>
        <w:t xml:space="preserve">Needle, D. and Burns, J. (2019). </w:t>
      </w:r>
      <w:r w:rsidRPr="007C5082">
        <w:rPr>
          <w:rFonts w:ascii="Arial" w:hAnsi="Arial" w:cs="Arial"/>
          <w:i/>
          <w:iCs/>
        </w:rPr>
        <w:t>Business in Context: An Introduction to Business and its Environment</w:t>
      </w:r>
      <w:r w:rsidRPr="007C5082">
        <w:rPr>
          <w:rFonts w:ascii="Arial" w:hAnsi="Arial" w:cs="Arial"/>
        </w:rPr>
        <w:t>. 7th ed. Cengage Learning EMEA.</w:t>
      </w:r>
    </w:p>
    <w:p w14:paraId="2F380BAB" w14:textId="77777777" w:rsidR="007C5082" w:rsidRPr="007C5082" w:rsidRDefault="007C5082" w:rsidP="007C5082">
      <w:pPr>
        <w:spacing w:line="360" w:lineRule="auto"/>
        <w:rPr>
          <w:rFonts w:ascii="Arial" w:hAnsi="Arial" w:cs="Arial"/>
        </w:rPr>
      </w:pPr>
      <w:r w:rsidRPr="007C5082">
        <w:rPr>
          <w:rFonts w:ascii="Arial" w:hAnsi="Arial" w:cs="Arial"/>
        </w:rPr>
        <w:lastRenderedPageBreak/>
        <w:t xml:space="preserve">O’Sullivan, J.P. and Johnson, M. (2025). </w:t>
      </w:r>
      <w:r w:rsidRPr="007C5082">
        <w:rPr>
          <w:rFonts w:ascii="Arial" w:hAnsi="Arial" w:cs="Arial"/>
          <w:i/>
          <w:iCs/>
        </w:rPr>
        <w:t>Formula One revenue up 5.9% in 2024 as focus shifts to US rights renewal</w:t>
      </w:r>
      <w:r w:rsidRPr="007C5082">
        <w:rPr>
          <w:rFonts w:ascii="Arial" w:hAnsi="Arial" w:cs="Arial"/>
        </w:rPr>
        <w:t>. [online] S&amp;P Global Market Intelligence. Available at: https://www.spglobal.com/market-intelligence/en/news-insights/research/formula-one-revenue-up-in-2024-as-focus-shifts-to-us-rights-renewal [Accessed 2 Apr. 2026].</w:t>
      </w:r>
    </w:p>
    <w:p w14:paraId="142467CE" w14:textId="77777777" w:rsidR="007C5082" w:rsidRPr="007C5082" w:rsidRDefault="007C5082" w:rsidP="007C5082">
      <w:pPr>
        <w:spacing w:line="360" w:lineRule="auto"/>
        <w:rPr>
          <w:rFonts w:ascii="Arial" w:hAnsi="Arial" w:cs="Arial"/>
        </w:rPr>
      </w:pPr>
      <w:r w:rsidRPr="007C5082">
        <w:rPr>
          <w:rFonts w:ascii="Arial" w:hAnsi="Arial" w:cs="Arial"/>
        </w:rPr>
        <w:t xml:space="preserve">Orr, M., Kellison, T., Ross, W.J., </w:t>
      </w:r>
      <w:proofErr w:type="spellStart"/>
      <w:r w:rsidRPr="007C5082">
        <w:rPr>
          <w:rFonts w:ascii="Arial" w:hAnsi="Arial" w:cs="Arial"/>
        </w:rPr>
        <w:t>Trendafilova</w:t>
      </w:r>
      <w:proofErr w:type="spellEnd"/>
      <w:r w:rsidRPr="007C5082">
        <w:rPr>
          <w:rFonts w:ascii="Arial" w:hAnsi="Arial" w:cs="Arial"/>
        </w:rPr>
        <w:t xml:space="preserve">, S., Pelcher, J., Watanabe, N., Howell, J. and </w:t>
      </w:r>
      <w:proofErr w:type="spellStart"/>
      <w:r w:rsidRPr="007C5082">
        <w:rPr>
          <w:rFonts w:ascii="Arial" w:hAnsi="Arial" w:cs="Arial"/>
        </w:rPr>
        <w:t>Rouhas</w:t>
      </w:r>
      <w:proofErr w:type="spellEnd"/>
      <w:r w:rsidRPr="007C5082">
        <w:rPr>
          <w:rFonts w:ascii="Arial" w:hAnsi="Arial" w:cs="Arial"/>
        </w:rPr>
        <w:t xml:space="preserve">, Z. (2025). Climate risks in motorsport: Setting and exceeding boundary conditions in Formula 1. </w:t>
      </w:r>
      <w:r w:rsidRPr="007C5082">
        <w:rPr>
          <w:rFonts w:ascii="Arial" w:hAnsi="Arial" w:cs="Arial"/>
          <w:i/>
          <w:iCs/>
        </w:rPr>
        <w:t>European Sport Management Quarterly</w:t>
      </w:r>
      <w:r w:rsidRPr="007C5082">
        <w:rPr>
          <w:rFonts w:ascii="Arial" w:hAnsi="Arial" w:cs="Arial"/>
        </w:rPr>
        <w:t xml:space="preserve">, [online] 26(1), pp.1–22. </w:t>
      </w:r>
      <w:proofErr w:type="spellStart"/>
      <w:proofErr w:type="gramStart"/>
      <w:r w:rsidRPr="007C5082">
        <w:rPr>
          <w:rFonts w:ascii="Arial" w:hAnsi="Arial" w:cs="Arial"/>
        </w:rPr>
        <w:t>doi:https</w:t>
      </w:r>
      <w:proofErr w:type="spellEnd"/>
      <w:r w:rsidRPr="007C5082">
        <w:rPr>
          <w:rFonts w:ascii="Arial" w:hAnsi="Arial" w:cs="Arial"/>
        </w:rPr>
        <w:t>://doi.org/10.1080/16184742.2025.2503163</w:t>
      </w:r>
      <w:proofErr w:type="gramEnd"/>
      <w:r w:rsidRPr="007C5082">
        <w:rPr>
          <w:rFonts w:ascii="Arial" w:hAnsi="Arial" w:cs="Arial"/>
        </w:rPr>
        <w:t>.</w:t>
      </w:r>
    </w:p>
    <w:p w14:paraId="53AF04A7" w14:textId="77777777" w:rsidR="007C5082" w:rsidRPr="007C5082" w:rsidRDefault="007C5082" w:rsidP="007C5082">
      <w:pPr>
        <w:spacing w:line="360" w:lineRule="auto"/>
        <w:rPr>
          <w:rFonts w:ascii="Arial" w:hAnsi="Arial" w:cs="Arial"/>
        </w:rPr>
      </w:pPr>
      <w:r w:rsidRPr="007C5082">
        <w:rPr>
          <w:rFonts w:ascii="Arial" w:hAnsi="Arial" w:cs="Arial"/>
        </w:rPr>
        <w:t xml:space="preserve">Porter, M.E. (1980). </w:t>
      </w:r>
      <w:r w:rsidRPr="007C5082">
        <w:rPr>
          <w:rFonts w:ascii="Arial" w:hAnsi="Arial" w:cs="Arial"/>
          <w:i/>
          <w:iCs/>
        </w:rPr>
        <w:t xml:space="preserve">Competitive Strategy: Techniques for </w:t>
      </w:r>
      <w:proofErr w:type="spellStart"/>
      <w:r w:rsidRPr="007C5082">
        <w:rPr>
          <w:rFonts w:ascii="Arial" w:hAnsi="Arial" w:cs="Arial"/>
          <w:i/>
          <w:iCs/>
        </w:rPr>
        <w:t>Analyzing</w:t>
      </w:r>
      <w:proofErr w:type="spellEnd"/>
      <w:r w:rsidRPr="007C5082">
        <w:rPr>
          <w:rFonts w:ascii="Arial" w:hAnsi="Arial" w:cs="Arial"/>
          <w:i/>
          <w:iCs/>
        </w:rPr>
        <w:t xml:space="preserve"> Industries and Competitors</w:t>
      </w:r>
      <w:r w:rsidRPr="007C5082">
        <w:rPr>
          <w:rFonts w:ascii="Arial" w:hAnsi="Arial" w:cs="Arial"/>
        </w:rPr>
        <w:t>. New York: Free Press.</w:t>
      </w:r>
    </w:p>
    <w:p w14:paraId="7C526B0F" w14:textId="77777777" w:rsidR="007C5082" w:rsidRPr="007C5082" w:rsidRDefault="007C5082" w:rsidP="007C5082">
      <w:pPr>
        <w:spacing w:line="360" w:lineRule="auto"/>
        <w:rPr>
          <w:rFonts w:ascii="Arial" w:hAnsi="Arial" w:cs="Arial"/>
        </w:rPr>
      </w:pPr>
      <w:r w:rsidRPr="007C5082">
        <w:rPr>
          <w:rFonts w:ascii="Arial" w:hAnsi="Arial" w:cs="Arial"/>
        </w:rPr>
        <w:t>Sánchez, L.C. and Varela-</w:t>
      </w:r>
      <w:proofErr w:type="spellStart"/>
      <w:r w:rsidRPr="007C5082">
        <w:rPr>
          <w:rFonts w:ascii="Arial" w:hAnsi="Arial" w:cs="Arial"/>
        </w:rPr>
        <w:t>Quintana</w:t>
      </w:r>
      <w:proofErr w:type="spellEnd"/>
      <w:r w:rsidRPr="007C5082">
        <w:rPr>
          <w:rFonts w:ascii="Arial" w:hAnsi="Arial" w:cs="Arial"/>
        </w:rPr>
        <w:t xml:space="preserve">, C. (2025). Organizational experience and cost-cutting agreements in the Formula One industry: a dynamic capabilities approach. </w:t>
      </w:r>
      <w:r w:rsidRPr="007C5082">
        <w:rPr>
          <w:rFonts w:ascii="Arial" w:hAnsi="Arial" w:cs="Arial"/>
          <w:i/>
          <w:iCs/>
        </w:rPr>
        <w:t>European Sport Management Quarterly</w:t>
      </w:r>
      <w:r w:rsidRPr="007C5082">
        <w:rPr>
          <w:rFonts w:ascii="Arial" w:hAnsi="Arial" w:cs="Arial"/>
        </w:rPr>
        <w:t xml:space="preserve">, 25(5), pp.1–24. </w:t>
      </w:r>
      <w:proofErr w:type="spellStart"/>
      <w:proofErr w:type="gramStart"/>
      <w:r w:rsidRPr="007C5082">
        <w:rPr>
          <w:rFonts w:ascii="Arial" w:hAnsi="Arial" w:cs="Arial"/>
        </w:rPr>
        <w:t>doi:https</w:t>
      </w:r>
      <w:proofErr w:type="spellEnd"/>
      <w:r w:rsidRPr="007C5082">
        <w:rPr>
          <w:rFonts w:ascii="Arial" w:hAnsi="Arial" w:cs="Arial"/>
        </w:rPr>
        <w:t>://doi.org/10.1080/16184742.2024.2445547</w:t>
      </w:r>
      <w:proofErr w:type="gramEnd"/>
      <w:r w:rsidRPr="007C5082">
        <w:rPr>
          <w:rFonts w:ascii="Arial" w:hAnsi="Arial" w:cs="Arial"/>
        </w:rPr>
        <w:t>.</w:t>
      </w:r>
    </w:p>
    <w:p w14:paraId="00E209FA" w14:textId="77777777" w:rsidR="007C5082" w:rsidRPr="007C5082" w:rsidRDefault="007C5082" w:rsidP="007C5082">
      <w:pPr>
        <w:spacing w:line="360" w:lineRule="auto"/>
        <w:rPr>
          <w:rFonts w:ascii="Arial" w:hAnsi="Arial" w:cs="Arial"/>
        </w:rPr>
      </w:pPr>
      <w:r w:rsidRPr="007C5082">
        <w:rPr>
          <w:rFonts w:ascii="Arial" w:hAnsi="Arial" w:cs="Arial"/>
        </w:rPr>
        <w:t xml:space="preserve">Shah, D. and Anthony Lamont Williams (2024). ‘Drive to Survive’ Drives New Fans to Formula 1? Studying Viewer Experiences of a Sports Documentary and Its Influence on the Sport’s Fandom. </w:t>
      </w:r>
      <w:r w:rsidRPr="007C5082">
        <w:rPr>
          <w:rFonts w:ascii="Arial" w:hAnsi="Arial" w:cs="Arial"/>
          <w:i/>
          <w:iCs/>
        </w:rPr>
        <w:t>Communication &amp; Sport</w:t>
      </w:r>
      <w:r w:rsidRPr="007C5082">
        <w:rPr>
          <w:rFonts w:ascii="Arial" w:hAnsi="Arial" w:cs="Arial"/>
        </w:rPr>
        <w:t xml:space="preserve">, [online] 13(6). </w:t>
      </w:r>
      <w:proofErr w:type="spellStart"/>
      <w:proofErr w:type="gramStart"/>
      <w:r w:rsidRPr="007C5082">
        <w:rPr>
          <w:rFonts w:ascii="Arial" w:hAnsi="Arial" w:cs="Arial"/>
        </w:rPr>
        <w:t>doi:https</w:t>
      </w:r>
      <w:proofErr w:type="spellEnd"/>
      <w:r w:rsidRPr="007C5082">
        <w:rPr>
          <w:rFonts w:ascii="Arial" w:hAnsi="Arial" w:cs="Arial"/>
        </w:rPr>
        <w:t>://doi.org/10.1177/21674795241280209</w:t>
      </w:r>
      <w:proofErr w:type="gramEnd"/>
      <w:r w:rsidRPr="007C5082">
        <w:rPr>
          <w:rFonts w:ascii="Arial" w:hAnsi="Arial" w:cs="Arial"/>
        </w:rPr>
        <w:t>.</w:t>
      </w:r>
    </w:p>
    <w:p w14:paraId="7AA5621B" w14:textId="77777777" w:rsidR="007C5082" w:rsidRPr="007C5082" w:rsidRDefault="007C5082" w:rsidP="007C5082">
      <w:pPr>
        <w:spacing w:line="360" w:lineRule="auto"/>
        <w:rPr>
          <w:rFonts w:ascii="Arial" w:hAnsi="Arial" w:cs="Arial"/>
        </w:rPr>
      </w:pPr>
      <w:r w:rsidRPr="007C5082">
        <w:rPr>
          <w:rFonts w:ascii="Arial" w:hAnsi="Arial" w:cs="Arial"/>
        </w:rPr>
        <w:t xml:space="preserve">Simon, H.A. (1947). </w:t>
      </w:r>
      <w:r w:rsidRPr="007C5082">
        <w:rPr>
          <w:rFonts w:ascii="Arial" w:hAnsi="Arial" w:cs="Arial"/>
          <w:i/>
          <w:iCs/>
        </w:rPr>
        <w:t xml:space="preserve">Administrative </w:t>
      </w:r>
      <w:proofErr w:type="spellStart"/>
      <w:r w:rsidRPr="007C5082">
        <w:rPr>
          <w:rFonts w:ascii="Arial" w:hAnsi="Arial" w:cs="Arial"/>
          <w:i/>
          <w:iCs/>
        </w:rPr>
        <w:t>Behavior</w:t>
      </w:r>
      <w:proofErr w:type="spellEnd"/>
      <w:r w:rsidRPr="007C5082">
        <w:rPr>
          <w:rFonts w:ascii="Arial" w:hAnsi="Arial" w:cs="Arial"/>
        </w:rPr>
        <w:t>. Macmillan Company.</w:t>
      </w:r>
    </w:p>
    <w:p w14:paraId="35B19F0B" w14:textId="77777777" w:rsidR="007C5082" w:rsidRPr="007C5082" w:rsidRDefault="007C5082" w:rsidP="007C5082">
      <w:pPr>
        <w:spacing w:line="360" w:lineRule="auto"/>
        <w:rPr>
          <w:rFonts w:ascii="Arial" w:hAnsi="Arial" w:cs="Arial"/>
        </w:rPr>
      </w:pPr>
      <w:r w:rsidRPr="007C5082">
        <w:rPr>
          <w:rFonts w:ascii="Arial" w:hAnsi="Arial" w:cs="Arial"/>
        </w:rPr>
        <w:t xml:space="preserve">Stepien, Z. (2025). The Pro-Ecological Evolution of Powertrains and Fuels in Formula 1. </w:t>
      </w:r>
      <w:r w:rsidRPr="007C5082">
        <w:rPr>
          <w:rFonts w:ascii="Arial" w:hAnsi="Arial" w:cs="Arial"/>
          <w:i/>
          <w:iCs/>
        </w:rPr>
        <w:t>Energies</w:t>
      </w:r>
      <w:r w:rsidRPr="007C5082">
        <w:rPr>
          <w:rFonts w:ascii="Arial" w:hAnsi="Arial" w:cs="Arial"/>
        </w:rPr>
        <w:t xml:space="preserve">, [online] 18(22), pp.6013–6013. </w:t>
      </w:r>
      <w:proofErr w:type="spellStart"/>
      <w:proofErr w:type="gramStart"/>
      <w:r w:rsidRPr="007C5082">
        <w:rPr>
          <w:rFonts w:ascii="Arial" w:hAnsi="Arial" w:cs="Arial"/>
        </w:rPr>
        <w:t>doi:https</w:t>
      </w:r>
      <w:proofErr w:type="spellEnd"/>
      <w:r w:rsidRPr="007C5082">
        <w:rPr>
          <w:rFonts w:ascii="Arial" w:hAnsi="Arial" w:cs="Arial"/>
        </w:rPr>
        <w:t>://doi.org/10.3390/en18226013</w:t>
      </w:r>
      <w:proofErr w:type="gramEnd"/>
      <w:r w:rsidRPr="007C5082">
        <w:rPr>
          <w:rFonts w:ascii="Arial" w:hAnsi="Arial" w:cs="Arial"/>
        </w:rPr>
        <w:t>.</w:t>
      </w:r>
    </w:p>
    <w:p w14:paraId="7A2F4A53" w14:textId="77777777" w:rsidR="007C5082" w:rsidRPr="007C5082" w:rsidRDefault="007C5082" w:rsidP="007C5082">
      <w:pPr>
        <w:spacing w:line="360" w:lineRule="auto"/>
        <w:rPr>
          <w:rFonts w:ascii="Arial" w:hAnsi="Arial" w:cs="Arial"/>
        </w:rPr>
      </w:pPr>
      <w:r w:rsidRPr="007C5082">
        <w:rPr>
          <w:rFonts w:ascii="Arial" w:hAnsi="Arial" w:cs="Arial"/>
        </w:rPr>
        <w:t xml:space="preserve">Straková, J., </w:t>
      </w:r>
      <w:proofErr w:type="spellStart"/>
      <w:r w:rsidRPr="007C5082">
        <w:rPr>
          <w:rFonts w:ascii="Arial" w:hAnsi="Arial" w:cs="Arial"/>
        </w:rPr>
        <w:t>Talíř</w:t>
      </w:r>
      <w:proofErr w:type="spellEnd"/>
      <w:r w:rsidRPr="007C5082">
        <w:rPr>
          <w:rFonts w:ascii="Arial" w:hAnsi="Arial" w:cs="Arial"/>
        </w:rPr>
        <w:t xml:space="preserve">, M., </w:t>
      </w:r>
      <w:proofErr w:type="spellStart"/>
      <w:r w:rsidRPr="007C5082">
        <w:rPr>
          <w:rFonts w:ascii="Arial" w:hAnsi="Arial" w:cs="Arial"/>
        </w:rPr>
        <w:t>Váchal</w:t>
      </w:r>
      <w:proofErr w:type="spellEnd"/>
      <w:r w:rsidRPr="007C5082">
        <w:rPr>
          <w:rFonts w:ascii="Arial" w:hAnsi="Arial" w:cs="Arial"/>
        </w:rPr>
        <w:t xml:space="preserve">, J., </w:t>
      </w:r>
      <w:proofErr w:type="spellStart"/>
      <w:r w:rsidRPr="007C5082">
        <w:rPr>
          <w:rFonts w:ascii="Arial" w:hAnsi="Arial" w:cs="Arial"/>
        </w:rPr>
        <w:t>Dobrovič</w:t>
      </w:r>
      <w:proofErr w:type="spellEnd"/>
      <w:r w:rsidRPr="007C5082">
        <w:rPr>
          <w:rFonts w:ascii="Arial" w:hAnsi="Arial" w:cs="Arial"/>
        </w:rPr>
        <w:t xml:space="preserve">, J. and Filep, B. (2025). Creating a business model in the context of changes in the macro environment. </w:t>
      </w:r>
      <w:r w:rsidRPr="007C5082">
        <w:rPr>
          <w:rFonts w:ascii="Arial" w:hAnsi="Arial" w:cs="Arial"/>
          <w:i/>
          <w:iCs/>
        </w:rPr>
        <w:t>JOURNAL OF INTERNATIONAL STUDIES</w:t>
      </w:r>
      <w:r w:rsidRPr="007C5082">
        <w:rPr>
          <w:rFonts w:ascii="Arial" w:hAnsi="Arial" w:cs="Arial"/>
        </w:rPr>
        <w:t xml:space="preserve">, [online] 18(1), pp.284–296. </w:t>
      </w:r>
      <w:proofErr w:type="spellStart"/>
      <w:proofErr w:type="gramStart"/>
      <w:r w:rsidRPr="007C5082">
        <w:rPr>
          <w:rFonts w:ascii="Arial" w:hAnsi="Arial" w:cs="Arial"/>
        </w:rPr>
        <w:t>doi:https</w:t>
      </w:r>
      <w:proofErr w:type="spellEnd"/>
      <w:r w:rsidRPr="007C5082">
        <w:rPr>
          <w:rFonts w:ascii="Arial" w:hAnsi="Arial" w:cs="Arial"/>
        </w:rPr>
        <w:t>://doi.org/10.14254/2071-8330.2025/18-1/16</w:t>
      </w:r>
      <w:proofErr w:type="gramEnd"/>
      <w:r w:rsidRPr="007C5082">
        <w:rPr>
          <w:rFonts w:ascii="Arial" w:hAnsi="Arial" w:cs="Arial"/>
        </w:rPr>
        <w:t>.</w:t>
      </w:r>
    </w:p>
    <w:p w14:paraId="0343507C" w14:textId="77777777" w:rsidR="007C5082" w:rsidRPr="007C5082" w:rsidRDefault="007C5082" w:rsidP="007C5082">
      <w:pPr>
        <w:spacing w:line="360" w:lineRule="auto"/>
        <w:rPr>
          <w:rFonts w:ascii="Arial" w:hAnsi="Arial" w:cs="Arial"/>
        </w:rPr>
      </w:pPr>
      <w:r w:rsidRPr="007C5082">
        <w:rPr>
          <w:rFonts w:ascii="Arial" w:hAnsi="Arial" w:cs="Arial"/>
        </w:rPr>
        <w:t xml:space="preserve">Sturm, D., Andrews, D.L., Miller, T. and Bustad, J. (2025). Green light or black flag? Greenwashing environmental sustainability in Formula One and Formula E. In: </w:t>
      </w:r>
      <w:r w:rsidRPr="007C5082">
        <w:rPr>
          <w:rFonts w:ascii="Arial" w:hAnsi="Arial" w:cs="Arial"/>
          <w:i/>
          <w:iCs/>
        </w:rPr>
        <w:t>Annals of Leisure Research</w:t>
      </w:r>
      <w:r w:rsidRPr="007C5082">
        <w:rPr>
          <w:rFonts w:ascii="Arial" w:hAnsi="Arial" w:cs="Arial"/>
        </w:rPr>
        <w:t xml:space="preserve">. [online] pp.116–135. Available at: </w:t>
      </w:r>
      <w:r w:rsidRPr="007C5082">
        <w:rPr>
          <w:rFonts w:ascii="Arial" w:hAnsi="Arial" w:cs="Arial"/>
        </w:rPr>
        <w:lastRenderedPageBreak/>
        <w:t>https://www.tandfonline.com/doi/full/10.1080/11745398.2024.2376754#abstract [Accessed 2 Apr. 2026].</w:t>
      </w:r>
    </w:p>
    <w:p w14:paraId="4873621D" w14:textId="77777777" w:rsidR="007C5082" w:rsidRPr="007C5082" w:rsidRDefault="007C5082" w:rsidP="007C5082">
      <w:pPr>
        <w:spacing w:line="360" w:lineRule="auto"/>
        <w:rPr>
          <w:rFonts w:ascii="Arial" w:hAnsi="Arial" w:cs="Arial"/>
        </w:rPr>
      </w:pPr>
      <w:r w:rsidRPr="007C5082">
        <w:rPr>
          <w:rFonts w:ascii="Arial" w:hAnsi="Arial" w:cs="Arial"/>
        </w:rPr>
        <w:t xml:space="preserve">Weick, K.E. (1979). </w:t>
      </w:r>
      <w:r w:rsidRPr="007C5082">
        <w:rPr>
          <w:rFonts w:ascii="Arial" w:hAnsi="Arial" w:cs="Arial"/>
          <w:i/>
          <w:iCs/>
        </w:rPr>
        <w:t>The social psychology of organizing</w:t>
      </w:r>
      <w:r w:rsidRPr="007C5082">
        <w:rPr>
          <w:rFonts w:ascii="Arial" w:hAnsi="Arial" w:cs="Arial"/>
        </w:rPr>
        <w:t xml:space="preserve">. New York </w:t>
      </w:r>
      <w:proofErr w:type="spellStart"/>
      <w:r w:rsidRPr="007C5082">
        <w:rPr>
          <w:rFonts w:ascii="Arial" w:hAnsi="Arial" w:cs="Arial"/>
        </w:rPr>
        <w:t>Mcgraw-Hill</w:t>
      </w:r>
      <w:proofErr w:type="spellEnd"/>
      <w:r w:rsidRPr="007C5082">
        <w:rPr>
          <w:rFonts w:ascii="Arial" w:hAnsi="Arial" w:cs="Arial"/>
        </w:rPr>
        <w:t>.</w:t>
      </w:r>
    </w:p>
    <w:p w14:paraId="0D87CDCE" w14:textId="77777777" w:rsidR="007C5082" w:rsidRPr="007C5082" w:rsidRDefault="007C5082" w:rsidP="007C5082">
      <w:pPr>
        <w:spacing w:line="360" w:lineRule="auto"/>
        <w:rPr>
          <w:rFonts w:ascii="Arial" w:hAnsi="Arial" w:cs="Arial"/>
        </w:rPr>
      </w:pPr>
      <w:r w:rsidRPr="007C5082">
        <w:rPr>
          <w:rFonts w:ascii="Arial" w:hAnsi="Arial" w:cs="Arial"/>
        </w:rPr>
        <w:t xml:space="preserve">Worthington, I. and Britton, C. (2018). </w:t>
      </w:r>
      <w:r w:rsidRPr="007C5082">
        <w:rPr>
          <w:rFonts w:ascii="Arial" w:hAnsi="Arial" w:cs="Arial"/>
          <w:i/>
          <w:iCs/>
        </w:rPr>
        <w:t>The business environment</w:t>
      </w:r>
      <w:r w:rsidRPr="007C5082">
        <w:rPr>
          <w:rFonts w:ascii="Arial" w:hAnsi="Arial" w:cs="Arial"/>
        </w:rPr>
        <w:t>. 8th ed. Harlow: Pearson.</w:t>
      </w:r>
    </w:p>
    <w:p w14:paraId="2DEF0518" w14:textId="77777777" w:rsidR="007C5082" w:rsidRPr="007C5082" w:rsidRDefault="007C5082" w:rsidP="007C5082">
      <w:pPr>
        <w:spacing w:line="360" w:lineRule="auto"/>
        <w:rPr>
          <w:rFonts w:ascii="Arial" w:hAnsi="Arial" w:cs="Arial"/>
        </w:rPr>
      </w:pPr>
      <w:proofErr w:type="spellStart"/>
      <w:r w:rsidRPr="007C5082">
        <w:rPr>
          <w:rFonts w:ascii="Arial" w:hAnsi="Arial" w:cs="Arial"/>
        </w:rPr>
        <w:t>Youson</w:t>
      </w:r>
      <w:proofErr w:type="spellEnd"/>
      <w:r w:rsidRPr="007C5082">
        <w:rPr>
          <w:rFonts w:ascii="Arial" w:hAnsi="Arial" w:cs="Arial"/>
        </w:rPr>
        <w:t xml:space="preserve">, M. (2025). </w:t>
      </w:r>
      <w:r w:rsidRPr="007C5082">
        <w:rPr>
          <w:rFonts w:ascii="Arial" w:hAnsi="Arial" w:cs="Arial"/>
          <w:i/>
          <w:iCs/>
        </w:rPr>
        <w:t>All you need to know about F1’s new power units</w:t>
      </w:r>
      <w:r w:rsidRPr="007C5082">
        <w:rPr>
          <w:rFonts w:ascii="Arial" w:hAnsi="Arial" w:cs="Arial"/>
        </w:rPr>
        <w:t>. [online] Formula1.com. Available at: https://www.formula1.com/en/latest/article/2026-regulations-explained-all-you-need-to-know-about-f1s-new-power-units.14jfv7a36905uDJDdNyfQd [Accessed 2 Apr. 2026].</w:t>
      </w:r>
    </w:p>
    <w:p w14:paraId="45A33878" w14:textId="77777777" w:rsidR="007C5082" w:rsidRPr="007C5082" w:rsidRDefault="007C5082" w:rsidP="007C5082">
      <w:pPr>
        <w:spacing w:line="360" w:lineRule="auto"/>
        <w:rPr>
          <w:rFonts w:ascii="Arial" w:hAnsi="Arial" w:cs="Arial"/>
        </w:rPr>
      </w:pPr>
      <w:r w:rsidRPr="007C5082">
        <w:rPr>
          <w:rFonts w:ascii="Arial" w:hAnsi="Arial" w:cs="Arial"/>
        </w:rPr>
        <w:t>Yuksel, I. (2012). Developing a Multi-</w:t>
      </w:r>
      <w:proofErr w:type="gramStart"/>
      <w:r w:rsidRPr="007C5082">
        <w:rPr>
          <w:rFonts w:ascii="Arial" w:hAnsi="Arial" w:cs="Arial"/>
        </w:rPr>
        <w:t>Criteria Decision Making</w:t>
      </w:r>
      <w:proofErr w:type="gramEnd"/>
      <w:r w:rsidRPr="007C5082">
        <w:rPr>
          <w:rFonts w:ascii="Arial" w:hAnsi="Arial" w:cs="Arial"/>
        </w:rPr>
        <w:t xml:space="preserve"> Model for PESTEL Analysis. </w:t>
      </w:r>
      <w:r w:rsidRPr="007C5082">
        <w:rPr>
          <w:rFonts w:ascii="Arial" w:hAnsi="Arial" w:cs="Arial"/>
          <w:i/>
          <w:iCs/>
        </w:rPr>
        <w:t>International Journal of Business and Management</w:t>
      </w:r>
      <w:r w:rsidRPr="007C5082">
        <w:rPr>
          <w:rFonts w:ascii="Arial" w:hAnsi="Arial" w:cs="Arial"/>
        </w:rPr>
        <w:t xml:space="preserve">, [online] 7(24), pp.52–66. </w:t>
      </w:r>
      <w:proofErr w:type="spellStart"/>
      <w:proofErr w:type="gramStart"/>
      <w:r w:rsidRPr="007C5082">
        <w:rPr>
          <w:rFonts w:ascii="Arial" w:hAnsi="Arial" w:cs="Arial"/>
        </w:rPr>
        <w:t>doi:https</w:t>
      </w:r>
      <w:proofErr w:type="spellEnd"/>
      <w:r w:rsidRPr="007C5082">
        <w:rPr>
          <w:rFonts w:ascii="Arial" w:hAnsi="Arial" w:cs="Arial"/>
        </w:rPr>
        <w:t>://doi.org/10.5539/ijbm.v7n24p52</w:t>
      </w:r>
      <w:proofErr w:type="gramEnd"/>
      <w:r w:rsidRPr="007C5082">
        <w:rPr>
          <w:rFonts w:ascii="Arial" w:hAnsi="Arial" w:cs="Arial"/>
        </w:rPr>
        <w:t>.</w:t>
      </w:r>
    </w:p>
    <w:p w14:paraId="129F0821" w14:textId="77777777" w:rsidR="007C5082" w:rsidRDefault="007C5082" w:rsidP="001A570A"/>
    <w:sectPr w:rsidR="007C50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70A"/>
    <w:rsid w:val="0011296C"/>
    <w:rsid w:val="001A570A"/>
    <w:rsid w:val="00277922"/>
    <w:rsid w:val="00651AD1"/>
    <w:rsid w:val="00723961"/>
    <w:rsid w:val="007C5082"/>
    <w:rsid w:val="00AF15A7"/>
    <w:rsid w:val="00C76D0A"/>
    <w:rsid w:val="00F63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B3387"/>
  <w15:chartTrackingRefBased/>
  <w15:docId w15:val="{A7DF2651-AE9B-413F-95BD-01A095E48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57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57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57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57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57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57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57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57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57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7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57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57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57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57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57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57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57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570A"/>
    <w:rPr>
      <w:rFonts w:eastAsiaTheme="majorEastAsia" w:cstheme="majorBidi"/>
      <w:color w:val="272727" w:themeColor="text1" w:themeTint="D8"/>
    </w:rPr>
  </w:style>
  <w:style w:type="paragraph" w:styleId="Title">
    <w:name w:val="Title"/>
    <w:basedOn w:val="Normal"/>
    <w:next w:val="Normal"/>
    <w:link w:val="TitleChar"/>
    <w:uiPriority w:val="10"/>
    <w:qFormat/>
    <w:rsid w:val="001A57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57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57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57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570A"/>
    <w:pPr>
      <w:spacing w:before="160"/>
      <w:jc w:val="center"/>
    </w:pPr>
    <w:rPr>
      <w:i/>
      <w:iCs/>
      <w:color w:val="404040" w:themeColor="text1" w:themeTint="BF"/>
    </w:rPr>
  </w:style>
  <w:style w:type="character" w:customStyle="1" w:styleId="QuoteChar">
    <w:name w:val="Quote Char"/>
    <w:basedOn w:val="DefaultParagraphFont"/>
    <w:link w:val="Quote"/>
    <w:uiPriority w:val="29"/>
    <w:rsid w:val="001A570A"/>
    <w:rPr>
      <w:i/>
      <w:iCs/>
      <w:color w:val="404040" w:themeColor="text1" w:themeTint="BF"/>
    </w:rPr>
  </w:style>
  <w:style w:type="paragraph" w:styleId="ListParagraph">
    <w:name w:val="List Paragraph"/>
    <w:basedOn w:val="Normal"/>
    <w:uiPriority w:val="34"/>
    <w:qFormat/>
    <w:rsid w:val="001A570A"/>
    <w:pPr>
      <w:ind w:left="720"/>
      <w:contextualSpacing/>
    </w:pPr>
  </w:style>
  <w:style w:type="character" w:styleId="IntenseEmphasis">
    <w:name w:val="Intense Emphasis"/>
    <w:basedOn w:val="DefaultParagraphFont"/>
    <w:uiPriority w:val="21"/>
    <w:qFormat/>
    <w:rsid w:val="001A570A"/>
    <w:rPr>
      <w:i/>
      <w:iCs/>
      <w:color w:val="0F4761" w:themeColor="accent1" w:themeShade="BF"/>
    </w:rPr>
  </w:style>
  <w:style w:type="paragraph" w:styleId="IntenseQuote">
    <w:name w:val="Intense Quote"/>
    <w:basedOn w:val="Normal"/>
    <w:next w:val="Normal"/>
    <w:link w:val="IntenseQuoteChar"/>
    <w:uiPriority w:val="30"/>
    <w:qFormat/>
    <w:rsid w:val="001A57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570A"/>
    <w:rPr>
      <w:i/>
      <w:iCs/>
      <w:color w:val="0F4761" w:themeColor="accent1" w:themeShade="BF"/>
    </w:rPr>
  </w:style>
  <w:style w:type="character" w:styleId="IntenseReference">
    <w:name w:val="Intense Reference"/>
    <w:basedOn w:val="DefaultParagraphFont"/>
    <w:uiPriority w:val="32"/>
    <w:qFormat/>
    <w:rsid w:val="001A570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TotalTime>
  <Pages>16</Pages>
  <Words>4788</Words>
  <Characters>27297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Lidia Ciszyńska</dc:creator>
  <cp:keywords/>
  <dc:description/>
  <cp:lastModifiedBy>Lidia Ciszyńska</cp:lastModifiedBy>
  <cp:revision>1</cp:revision>
  <dcterms:created xsi:type="dcterms:W3CDTF">2026-04-03T21:06:00Z</dcterms:created>
  <dcterms:modified xsi:type="dcterms:W3CDTF">2026-04-03T21:56:00Z</dcterms:modified>
</cp:coreProperties>
</file>