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C7F99" w14:textId="528B86CD" w:rsidR="6088CA5A" w:rsidRDefault="70BB5D4D" w:rsidP="70BB5D4D">
      <w:pPr>
        <w:rPr>
          <w:b/>
          <w:bCs/>
        </w:rPr>
      </w:pPr>
      <w:bookmarkStart w:id="0" w:name="_GoBack"/>
      <w:bookmarkEnd w:id="0"/>
      <w:r w:rsidRPr="70BB5D4D">
        <w:rPr>
          <w:b/>
          <w:bCs/>
        </w:rPr>
        <w:t xml:space="preserve">Choose either ‘the beach’ or ‘the woods’ to plan a visit for a group of children. Describe how visiting this location can support learning. </w:t>
      </w:r>
    </w:p>
    <w:p w14:paraId="6AFCBDC1" w14:textId="532B010C" w:rsidR="6088CA5A" w:rsidRDefault="70BB5D4D" w:rsidP="70BB5D4D">
      <w:pPr>
        <w:rPr>
          <w:b/>
          <w:bCs/>
        </w:rPr>
      </w:pPr>
      <w:r w:rsidRPr="70BB5D4D">
        <w:rPr>
          <w:b/>
          <w:bCs/>
        </w:rPr>
        <w:t>Introduction</w:t>
      </w:r>
    </w:p>
    <w:p w14:paraId="44002E99" w14:textId="5C7948B3" w:rsidR="6088CA5A" w:rsidRDefault="1FCC726D" w:rsidP="1FCC726D">
      <w:r>
        <w:t>Within this assignment, the importance of taking children on outdoor visits will be shown through the planning of a school trip, showing how the school trip will encourage learning in the outdoor environment. Donaldson (2015, p.67) states, “visits and visitors can help to bring abstract learning to life” showing how visiting different locations can be educational and will be present in the future of education in the new curriculum for Wales in 2022. B</w:t>
      </w:r>
      <w:r w:rsidRPr="1FCC726D">
        <w:t xml:space="preserve">oth </w:t>
      </w:r>
      <w:proofErr w:type="gramStart"/>
      <w:r w:rsidRPr="1FCC726D">
        <w:t>The</w:t>
      </w:r>
      <w:proofErr w:type="gramEnd"/>
      <w:r w:rsidRPr="1FCC726D">
        <w:t xml:space="preserve"> Council for Learning Outside the Classroom (2009) and Sue Palmer (2006) suggest that the number of children going outdoors has decreased in recent years due to an increase in technology. Therefore, schools should take children outside on visits and in daily lessons to encourage children to become aware of the environment and become active citizens.</w:t>
      </w:r>
    </w:p>
    <w:p w14:paraId="0B73DE6B" w14:textId="3BF4AD36" w:rsidR="7E5BE953" w:rsidRDefault="1FCC726D" w:rsidP="1FCC726D">
      <w:pPr>
        <w:rPr>
          <w:b/>
          <w:bCs/>
        </w:rPr>
      </w:pPr>
      <w:r w:rsidRPr="1FCC726D">
        <w:rPr>
          <w:b/>
          <w:bCs/>
        </w:rPr>
        <w:t>What is a learning environment?</w:t>
      </w:r>
    </w:p>
    <w:p w14:paraId="6996461E" w14:textId="5325A54F" w:rsidR="70BB5D4D" w:rsidRDefault="1FCC726D" w:rsidP="1FCC726D">
      <w:pPr>
        <w:rPr>
          <w:color w:val="FF0000"/>
        </w:rPr>
      </w:pPr>
      <w:r w:rsidRPr="1FCC726D">
        <w:t>According to The Glossary of Education Reform (2013), learning environments can be very diverse and can include a range of locations and contexts where students can learn. However, it is also believed that a learning environment is stereotypically known as a standard classroom with chalkboards and desks (The Glossary of Education Reform, 2013). Susan Fraser (2012, p.67) suggests that the learning environment is the third teacher and should “provide opportunities for children to make their thinking visible”. Therefore, having a learning environment outside the classroom can provide more opportunities for the children to experience their local area, supporting the ‘Natural Environment’ aspect of the Education of Sustainable Development and Global Citizenship (ESDGC) documentation. Through using the outdoor learning environment, children will be able to learn various skills. The children will “develop a sense of awe and wonder at the beauty of landscapes, habitats and living things” DCELLS (2008) through their personal experience of being in the outdoor environment. Piaget states that children learn best through active learning and experiences (McLeod, 2018), showing the importance of taking children out of the classroom environment and into an environment that they can be more active in.</w:t>
      </w:r>
    </w:p>
    <w:p w14:paraId="07C7D17E" w14:textId="0777C851" w:rsidR="7E5BE953" w:rsidRDefault="1FCC726D" w:rsidP="1FCC726D">
      <w:pPr>
        <w:rPr>
          <w:b/>
          <w:bCs/>
        </w:rPr>
      </w:pPr>
      <w:r w:rsidRPr="1FCC726D">
        <w:rPr>
          <w:b/>
          <w:bCs/>
        </w:rPr>
        <w:t>Benefits of different learning environments</w:t>
      </w:r>
    </w:p>
    <w:p w14:paraId="497A4CD0" w14:textId="4606A397" w:rsidR="70BB5D4D" w:rsidRDefault="1FCC726D" w:rsidP="1FCC726D">
      <w:pPr>
        <w:rPr>
          <w:rFonts w:ascii="Calibri" w:eastAsia="Calibri" w:hAnsi="Calibri" w:cs="Calibri"/>
        </w:rPr>
      </w:pPr>
      <w:r>
        <w:t>As Piaget (1964) states that learning cannot take place unless there is ‘active assimilation’, it is appropriate to agree that being in different learning environments such as the woodlands would benefit the children as they will be more likely to learn in a place where they will be actively participating in physical activities. Outdoor environments have been proven to encourage more physical activity through a study which showed activity was over twice the amount in a forest setting than when in a classroom (</w:t>
      </w:r>
      <w:proofErr w:type="spellStart"/>
      <w:r>
        <w:t>Mygind</w:t>
      </w:r>
      <w:proofErr w:type="spellEnd"/>
      <w:r>
        <w:t>, 2007). This is influential and shows the benefits of outdoor learning as it encourages children to be ‘healthy, confident individuals’ (</w:t>
      </w:r>
      <w:proofErr w:type="gramStart"/>
      <w:r>
        <w:t>Donaldson,  2015</w:t>
      </w:r>
      <w:proofErr w:type="gramEnd"/>
      <w:r>
        <w:t xml:space="preserve">, p.29). </w:t>
      </w:r>
    </w:p>
    <w:p w14:paraId="45EBC2BE" w14:textId="147ABCE5" w:rsidR="48DDDB04" w:rsidRDefault="48DDDB04" w:rsidP="1FCC726D">
      <w:pPr>
        <w:rPr>
          <w:b/>
          <w:bCs/>
        </w:rPr>
      </w:pPr>
    </w:p>
    <w:p w14:paraId="74981653" w14:textId="42A96CFF" w:rsidR="48DDDB04" w:rsidRDefault="48DDDB04" w:rsidP="1FCC726D">
      <w:pPr>
        <w:rPr>
          <w:b/>
          <w:bCs/>
        </w:rPr>
      </w:pPr>
    </w:p>
    <w:p w14:paraId="0D0D1A2B" w14:textId="548F9511" w:rsidR="48DDDB04" w:rsidRDefault="48DDDB04" w:rsidP="1FCC726D">
      <w:pPr>
        <w:rPr>
          <w:b/>
          <w:bCs/>
        </w:rPr>
      </w:pPr>
    </w:p>
    <w:p w14:paraId="7CD3BEC9" w14:textId="236AFAC6" w:rsidR="48DDDB04" w:rsidRDefault="48DDDB04" w:rsidP="1FCC726D">
      <w:pPr>
        <w:rPr>
          <w:b/>
          <w:bCs/>
        </w:rPr>
      </w:pPr>
    </w:p>
    <w:p w14:paraId="4956CCAA" w14:textId="505E2EFA" w:rsidR="48DDDB04" w:rsidRDefault="48DDDB04" w:rsidP="1FCC726D">
      <w:pPr>
        <w:rPr>
          <w:b/>
          <w:bCs/>
        </w:rPr>
      </w:pPr>
    </w:p>
    <w:p w14:paraId="12BA9E3C" w14:textId="3F13E618" w:rsidR="48DDDB04" w:rsidRDefault="48DDDB04" w:rsidP="1FCC726D">
      <w:pPr>
        <w:rPr>
          <w:b/>
          <w:bCs/>
        </w:rPr>
      </w:pPr>
    </w:p>
    <w:p w14:paraId="3DB80091" w14:textId="0DC7014B" w:rsidR="48DDDB04" w:rsidRDefault="1FCC726D" w:rsidP="1FCC726D">
      <w:pPr>
        <w:rPr>
          <w:b/>
          <w:bCs/>
        </w:rPr>
      </w:pPr>
      <w:proofErr w:type="spellStart"/>
      <w:r w:rsidRPr="1FCC726D">
        <w:rPr>
          <w:b/>
          <w:bCs/>
        </w:rPr>
        <w:lastRenderedPageBreak/>
        <w:t>Puzzlewood</w:t>
      </w:r>
      <w:proofErr w:type="spellEnd"/>
    </w:p>
    <w:p w14:paraId="28C6FC10" w14:textId="22CFD77F" w:rsidR="7E5BE953" w:rsidRDefault="1FCC726D" w:rsidP="1FCC726D">
      <w:r>
        <w:t xml:space="preserve">The place chosen for this visit is </w:t>
      </w:r>
      <w:proofErr w:type="spellStart"/>
      <w:r>
        <w:t>Puzzlewood</w:t>
      </w:r>
      <w:proofErr w:type="spellEnd"/>
      <w:r>
        <w:t xml:space="preserve"> in the Forest of Dean. The children will get the experience of the woodland and will explore the theme of ‘Minibeasts’ in this area. </w:t>
      </w:r>
      <w:proofErr w:type="spellStart"/>
      <w:r>
        <w:t>Puzzlewood</w:t>
      </w:r>
      <w:proofErr w:type="spellEnd"/>
      <w:r>
        <w:t xml:space="preserve"> has many activities available for all ages to enjoy including photography workshops and is available throughout the year (</w:t>
      </w:r>
      <w:proofErr w:type="spellStart"/>
      <w:r>
        <w:t>Puzzlewood</w:t>
      </w:r>
      <w:proofErr w:type="spellEnd"/>
      <w:r>
        <w:t xml:space="preserve">, 2019). There are many different minibeast activities that </w:t>
      </w:r>
      <w:proofErr w:type="spellStart"/>
      <w:r>
        <w:t>Puzzlewood</w:t>
      </w:r>
      <w:proofErr w:type="spellEnd"/>
      <w:r>
        <w:t xml:space="preserve"> can provide. The activity that has been chosen for the class, as it will link with their current learning, is a minibeast hunt. Through e-mailing an employee that the teacher knows (See appendix 1), it is shown that </w:t>
      </w:r>
      <w:proofErr w:type="spellStart"/>
      <w:r>
        <w:t>Puzzlewood</w:t>
      </w:r>
      <w:proofErr w:type="spellEnd"/>
      <w:r>
        <w:t xml:space="preserve"> can provide this activity and allow the teacher to teach their own lessons in the woodland area. As shown on the e-mails, the teacher is also able to get the visit for free when it is normally £6 per pupil. This shows that the children’s parents will only have to pay for the coach journey to and from </w:t>
      </w:r>
      <w:proofErr w:type="spellStart"/>
      <w:r>
        <w:t>Puzzlewood</w:t>
      </w:r>
      <w:proofErr w:type="spellEnd"/>
      <w:r>
        <w:t xml:space="preserve">, giving a cost-effective visit that will be accessible to everyone. </w:t>
      </w:r>
    </w:p>
    <w:p w14:paraId="02C29BC6" w14:textId="212EE5FB" w:rsidR="7E5BE953" w:rsidRDefault="1FCC726D" w:rsidP="1FCC726D">
      <w:r>
        <w:t xml:space="preserve">As there is a child who needs a wheelchair for long journeys, it was vital that the woodland area chosen would have wheelchair access. From personal experience, I am aware that, although when walking through the woods the pathways are not wheelchair friendly due to the roots and sticks in the ground, there is a flat path that goes on the outskirts of the forest where a wheelchair would have access to. This will give the child the opportunity to still enjoy the woodland experience as she will not be completely out of the forest. </w:t>
      </w:r>
    </w:p>
    <w:p w14:paraId="5C1A5E12" w14:textId="15A4D721" w:rsidR="7E5BE953" w:rsidRDefault="1FCC726D" w:rsidP="1FCC726D">
      <w:r>
        <w:t xml:space="preserve">It has been confirmed that the class will gain access to the log circle area within the forest where they can complete their activities. This space will enable the teachers to easily control the class in the woodlands without the children wandering off whilst still allowing them to experience the freedom of the woods. </w:t>
      </w:r>
    </w:p>
    <w:p w14:paraId="3D9EE44F" w14:textId="05FEF611" w:rsidR="7E5BE953" w:rsidRDefault="1FCC726D" w:rsidP="1FCC726D">
      <w:proofErr w:type="spellStart"/>
      <w:r>
        <w:t>Puzzlewood</w:t>
      </w:r>
      <w:proofErr w:type="spellEnd"/>
      <w:r>
        <w:t xml:space="preserve"> also has a café which the class will have access to when eating their lunch and has an open area that the school will have access to if the weather conditions are extreme and needed a space to complete the activities. </w:t>
      </w:r>
    </w:p>
    <w:p w14:paraId="7F8E88ED" w14:textId="23D387ED" w:rsidR="48DDDB04" w:rsidRDefault="1FCC726D" w:rsidP="1FCC726D">
      <w:pPr>
        <w:rPr>
          <w:b/>
          <w:bCs/>
        </w:rPr>
      </w:pPr>
      <w:r w:rsidRPr="1FCC726D">
        <w:rPr>
          <w:b/>
          <w:bCs/>
        </w:rPr>
        <w:t>Class/Age/School</w:t>
      </w:r>
    </w:p>
    <w:p w14:paraId="4145127A" w14:textId="320DF6A1" w:rsidR="7E5BE953" w:rsidRDefault="1FCC726D" w:rsidP="3419F005">
      <w:r>
        <w:t xml:space="preserve">Monty Primary school is based in Monmouth. For this visit, the teacher will be taking thirty pupils from her Year 2 class. The class contains a range of different abilities but are all interested in minibeasts and have been recently learning about sustainability. Family Lives (2019) suggests that if an activity is fun then the children will be more engaged in the activity. Therefore, the children will enjoy going to the woods as they will be learning about minibeasts and sustainability through completing fun and engaging activities outdoors. Within the class, there is one child who is in a wheelchair as she cannot stand or walk for a long time. </w:t>
      </w:r>
    </w:p>
    <w:p w14:paraId="6C36E7AA" w14:textId="2BCE8513" w:rsidR="1FCC726D" w:rsidRDefault="1FCC726D" w:rsidP="1FCC726D">
      <w:pPr>
        <w:rPr>
          <w:b/>
          <w:bCs/>
        </w:rPr>
      </w:pPr>
    </w:p>
    <w:p w14:paraId="690ED67C" w14:textId="30DBDBC2" w:rsidR="1FCC726D" w:rsidRDefault="1FCC726D" w:rsidP="1FCC726D">
      <w:pPr>
        <w:rPr>
          <w:b/>
          <w:bCs/>
        </w:rPr>
      </w:pPr>
    </w:p>
    <w:p w14:paraId="2569ADC9" w14:textId="3FD4A2E1" w:rsidR="1FCC726D" w:rsidRDefault="1FCC726D" w:rsidP="1FCC726D">
      <w:pPr>
        <w:rPr>
          <w:b/>
          <w:bCs/>
        </w:rPr>
      </w:pPr>
    </w:p>
    <w:p w14:paraId="3ECC0BC8" w14:textId="22E29FFC" w:rsidR="1FCC726D" w:rsidRDefault="1FCC726D" w:rsidP="1FCC726D">
      <w:pPr>
        <w:rPr>
          <w:b/>
          <w:bCs/>
        </w:rPr>
      </w:pPr>
    </w:p>
    <w:p w14:paraId="72BAA1B6" w14:textId="56030C84" w:rsidR="1FCC726D" w:rsidRDefault="1FCC726D" w:rsidP="1FCC726D">
      <w:pPr>
        <w:rPr>
          <w:b/>
          <w:bCs/>
        </w:rPr>
      </w:pPr>
    </w:p>
    <w:p w14:paraId="73BE2483" w14:textId="0E179303" w:rsidR="1FCC726D" w:rsidRDefault="1FCC726D" w:rsidP="1FCC726D">
      <w:pPr>
        <w:rPr>
          <w:b/>
          <w:bCs/>
        </w:rPr>
      </w:pPr>
    </w:p>
    <w:p w14:paraId="7C729899" w14:textId="3646B145" w:rsidR="1FCC726D" w:rsidRDefault="1FCC726D" w:rsidP="1FCC726D">
      <w:pPr>
        <w:rPr>
          <w:b/>
          <w:bCs/>
        </w:rPr>
      </w:pPr>
    </w:p>
    <w:p w14:paraId="529152C0" w14:textId="1777A2F8" w:rsidR="7E5BE953" w:rsidRDefault="1FCC726D" w:rsidP="1FCC726D">
      <w:pPr>
        <w:rPr>
          <w:b/>
          <w:bCs/>
        </w:rPr>
      </w:pPr>
      <w:r w:rsidRPr="1FCC726D">
        <w:rPr>
          <w:b/>
          <w:bCs/>
        </w:rPr>
        <w:lastRenderedPageBreak/>
        <w:t>Theme</w:t>
      </w:r>
    </w:p>
    <w:p w14:paraId="4A8BE350" w14:textId="194EF8A6" w:rsidR="7E5BE953" w:rsidRDefault="1FCC726D" w:rsidP="1FCC726D">
      <w:r>
        <w:t xml:space="preserve">In class, the children had been given the opportunity to choose what they wanted to learn from various themes (See Appendix 2) and they chose minibeasts. Allowing the children to choose their theme will engage them in their learning (Donaldson, 2015, p. 61). This broad theme gives many opportunities for learning for the children and will be perfect for this outdoor visit to </w:t>
      </w:r>
      <w:proofErr w:type="spellStart"/>
      <w:r>
        <w:t>Puzzlewood</w:t>
      </w:r>
      <w:proofErr w:type="spellEnd"/>
      <w:r>
        <w:t xml:space="preserve"> as the staff of </w:t>
      </w:r>
      <w:proofErr w:type="spellStart"/>
      <w:r>
        <w:t>Puzzlewood</w:t>
      </w:r>
      <w:proofErr w:type="spellEnd"/>
      <w:r>
        <w:t xml:space="preserve"> can complete a minibeast hunt activity. The children of the class all find creatures and minibeasts such as woodlouse and spiders interesting which means that they will enjoy having the opportunity on this school visit to look for these critters in real life. Along with the minibeasts theme, there is an underlining theme of sustainability that the children have been learning. Throughout the visit, the children will be encouraged to pick up litter for their tasks. The children have been learning about this theme prior to the visit and understand why they will be picking up litter. However, this message will be reinforced throughout the trip to ensure they become ‘ethical, informed citizens of the world’ Donaldson (2015, p. 29).</w:t>
      </w:r>
    </w:p>
    <w:p w14:paraId="4D4A5ABB" w14:textId="1CFB6EC2" w:rsidR="48DDDB04" w:rsidRDefault="1FCC726D" w:rsidP="1FCC726D">
      <w:pPr>
        <w:rPr>
          <w:b/>
          <w:bCs/>
        </w:rPr>
      </w:pPr>
      <w:r w:rsidRPr="1FCC726D">
        <w:rPr>
          <w:b/>
          <w:bCs/>
        </w:rPr>
        <w:t>Before</w:t>
      </w:r>
    </w:p>
    <w:p w14:paraId="363D3C80" w14:textId="4E891AAE" w:rsidR="6088CA5A" w:rsidRDefault="1FCC726D" w:rsidP="70BB5D4D">
      <w:r>
        <w:t>Prior to the visit, the children have had a lesson where Angela Maddock came into the class with examples of her artwork from her exhibition ‘Sometimes all you can do is walk’. This artwork encourages children to become “ethical, informed citizens” (Donaldson, 2015, p.29) as Maddock picked up litter and natural objects on her walk and made artwork out of what other people saw as rubbish.</w:t>
      </w:r>
    </w:p>
    <w:p w14:paraId="50BD72D8" w14:textId="29B5701D" w:rsidR="7E5BE953" w:rsidRDefault="1FCC726D" w:rsidP="70BB5D4D">
      <w:r>
        <w:t xml:space="preserve">Although the teacher has visited </w:t>
      </w:r>
      <w:proofErr w:type="spellStart"/>
      <w:r>
        <w:t>Puzzlewood</w:t>
      </w:r>
      <w:proofErr w:type="spellEnd"/>
      <w:r>
        <w:t xml:space="preserve"> before, it was still vital that she completed a pre-visit to the wood to assess the area. This allowed the teacher to ensure that she could provide access for all pupils, including the child in the wheelchair. It also allowed the teacher to assess the log circle area and ensure that the area was suitable for the children to complete all the activities that were planned. Although </w:t>
      </w:r>
      <w:proofErr w:type="spellStart"/>
      <w:r>
        <w:t>Puzzlewood</w:t>
      </w:r>
      <w:proofErr w:type="spellEnd"/>
      <w:r>
        <w:t xml:space="preserve"> give a risk assessment themselves (See Appendix 3), the teacher also completed a risk assessment of her own (See Appendix 4) to ensure that all areas of the trip would be safe and secure for the children. When taking children on school visits, risks should not be eliminated but should be reduced to ensure that the children remain safe (</w:t>
      </w:r>
      <w:proofErr w:type="spellStart"/>
      <w:r>
        <w:t>nidirect</w:t>
      </w:r>
      <w:proofErr w:type="spellEnd"/>
      <w:r>
        <w:t>, no date).</w:t>
      </w:r>
    </w:p>
    <w:p w14:paraId="1DFE933A" w14:textId="552E1FA6" w:rsidR="7E5BE953" w:rsidRDefault="1FCC726D" w:rsidP="1FCC726D">
      <w:r>
        <w:t xml:space="preserve">Gail Parker (2019) states that children will always say that the best part of any school trip is the bus journey and lunchtime. Therefore, the short bus journey will allow the children to have the fun experience whilst not taking much time out of the day as </w:t>
      </w:r>
      <w:proofErr w:type="spellStart"/>
      <w:r>
        <w:t>Puzzlewood</w:t>
      </w:r>
      <w:proofErr w:type="spellEnd"/>
      <w:r>
        <w:t xml:space="preserve"> is in the local area of the school, being only twenty minutes away. After getting quotes for this journey, it appears that the cost of the journey will be £5 per pupil. This is the only cost that the parents will have to pay as the </w:t>
      </w:r>
      <w:proofErr w:type="spellStart"/>
      <w:r>
        <w:t>Puzzlewood</w:t>
      </w:r>
      <w:proofErr w:type="spellEnd"/>
      <w:r>
        <w:t xml:space="preserve"> entrance is free.</w:t>
      </w:r>
    </w:p>
    <w:p w14:paraId="369BEA1D" w14:textId="0EFA56E5" w:rsidR="7E5BE953" w:rsidRDefault="1FCC726D" w:rsidP="1FCC726D">
      <w:r>
        <w:t>As it is a woodland area, the children will be asked to wear their own clothes which they would not mind getting muddy or wet. This is due to the weather conditions. If there had been rain the night before the visit or in the morning of the visit, then the ground would be slightly wet and muddy. Therefore, the teacher will ask the children to wear old trainers and clothes. If it starts to rain whilst on the visit, the teacher will do an on-the-spot assessment to assess if the weather is bad enough to have to go inside or whether the rain will stop or only be light rain. If it starts to rain too badly then the class will have to go back to the café where there is an open space where they could complete the activities.</w:t>
      </w:r>
    </w:p>
    <w:p w14:paraId="5EDEA081" w14:textId="33A26C4A" w:rsidR="1FCC726D" w:rsidRDefault="1FCC726D" w:rsidP="1FCC726D"/>
    <w:p w14:paraId="0C9F66A1" w14:textId="19109F62" w:rsidR="1FCC726D" w:rsidRDefault="1FCC726D" w:rsidP="1FCC726D"/>
    <w:p w14:paraId="79BD9164" w14:textId="64097FF8" w:rsidR="7E5BE953" w:rsidRDefault="1FCC726D" w:rsidP="1FCC726D">
      <w:r>
        <w:lastRenderedPageBreak/>
        <w:t xml:space="preserve">The teacher will send consent forms to parents/guardians containing all the information needed about the visit (See Appendix 5).  The consent forms are essential to school trips as they will allow the teacher to be aware of any medical conditions that children have and will be able to add any extra medical equipment into the first aid box that is needed. </w:t>
      </w:r>
    </w:p>
    <w:p w14:paraId="74B67987" w14:textId="6A48CC20" w:rsidR="70BB5D4D" w:rsidRDefault="1FCC726D" w:rsidP="1FCC726D">
      <w:r w:rsidRPr="1FCC726D">
        <w:t xml:space="preserve">Throughout the visit there will be a 1:5 adult to child ratio as stated by </w:t>
      </w:r>
      <w:proofErr w:type="spellStart"/>
      <w:r w:rsidRPr="1FCC726D">
        <w:t>Puzzlewood’s</w:t>
      </w:r>
      <w:proofErr w:type="spellEnd"/>
      <w:r w:rsidRPr="1FCC726D">
        <w:t xml:space="preserve"> risk assessment (See Appendix 3) which contrasts the Outdoor Education Advisers’ Panel (2019) who suggest a 1:8 ratio. The teacher believed that it would be best to adhere to the </w:t>
      </w:r>
      <w:proofErr w:type="spellStart"/>
      <w:r w:rsidRPr="1FCC726D">
        <w:t>Puzzlewood’s</w:t>
      </w:r>
      <w:proofErr w:type="spellEnd"/>
      <w:r w:rsidRPr="1FCC726D">
        <w:t xml:space="preserve"> ratio as they know the risks and safety measures that will be needed for this visit. As there are thirty pupils, there will be six adults attending this trip consisting of two teaching staff, one teaching assistant as well as three members of the school PTA who volunteered to support this visit. Each adult will be assigned five pupils that they will have key contact with. This means that throughout the day the adults can do quick and easy headcounts for their group to ensure that no child has gone missing. The children will be together </w:t>
      </w:r>
      <w:proofErr w:type="gramStart"/>
      <w:r w:rsidRPr="1FCC726D">
        <w:t>as a whole cohort</w:t>
      </w:r>
      <w:proofErr w:type="gramEnd"/>
      <w:r w:rsidRPr="1FCC726D">
        <w:t xml:space="preserve"> throughout the visit so there will not be a need for the children to rely on one specific adult other than for registration purposes – for which the children will have different coloured stickers to allocate them easily to their group when registering.</w:t>
      </w:r>
    </w:p>
    <w:p w14:paraId="6BF9B2FD" w14:textId="46EF9F6A" w:rsidR="6088CA5A" w:rsidRDefault="1FCC726D" w:rsidP="1FCC726D">
      <w:pPr>
        <w:rPr>
          <w:b/>
          <w:bCs/>
        </w:rPr>
      </w:pPr>
      <w:r w:rsidRPr="1FCC726D">
        <w:rPr>
          <w:b/>
          <w:bCs/>
        </w:rPr>
        <w:t xml:space="preserve">During </w:t>
      </w:r>
    </w:p>
    <w:p w14:paraId="73082FA8" w14:textId="014DBC1F" w:rsidR="70BB5D4D" w:rsidRDefault="1FCC726D" w:rsidP="1FCC726D">
      <w:r w:rsidRPr="1FCC726D">
        <w:t xml:space="preserve">As the class will be leaving at 9:40 (See Appendix 6), there will be an hour in the morning where the children will be in school before the visit. During this hour, the children will remember everything they have learnt about minibeasts and sustainability before the trip through a mind-mapping and group discussion session. The children should reflect on their knowledge of Angela Maddock and minibeasts. This time will also allow the teacher to go over the rules of a school visit so the children are aware of how they are expected to act and how there will be consequences if they misbehave. This time also allows for any unexpected issues to be solved, for example if a child forgot their packed lunch or forgot to wear old clothes then their parent/guardian can be contacted to receive these items. </w:t>
      </w:r>
    </w:p>
    <w:p w14:paraId="6EBC531D" w14:textId="276AECAE" w:rsidR="70BB5D4D" w:rsidRDefault="1FCC726D" w:rsidP="1FCC726D">
      <w:pPr>
        <w:rPr>
          <w:lang w:val="en"/>
        </w:rPr>
      </w:pPr>
      <w:r w:rsidRPr="1FCC726D">
        <w:t xml:space="preserve">The first activity is a talk by Amy Barr (an employee of </w:t>
      </w:r>
      <w:proofErr w:type="spellStart"/>
      <w:r w:rsidRPr="1FCC726D">
        <w:t>Puzzlewood</w:t>
      </w:r>
      <w:proofErr w:type="spellEnd"/>
      <w:r w:rsidRPr="1FCC726D">
        <w:t>) who will explain the history of the area so the children can learn how the woodland was made to look how it does in the 21st century compared to how it looked in the 19th century after a local landowner made paths for his friends and family to enjoy the woodland. During this talk, Amy Barr will also explain to the children the history of the iron ore within the forest (</w:t>
      </w:r>
      <w:proofErr w:type="spellStart"/>
      <w:r w:rsidRPr="1FCC726D">
        <w:t>Puzzlewood</w:t>
      </w:r>
      <w:proofErr w:type="spellEnd"/>
      <w:r w:rsidRPr="1FCC726D">
        <w:t>, 2019a). This talk will encourage the learning of skills from the Knowledge and Understanding of the World section of the Foundation Phase Framework. The children will learn to ‘look at different representations and interpretations of the past’ Department of Education and Skills (2015). Through teaching this in the outdoor environment, the children will be able to visually see pictures of how the woodland looked in the 1800s and will see the difference of how it looks in present day, developing the skill “recognise how people’s actions can improve or damage the environment” (</w:t>
      </w:r>
      <w:r w:rsidRPr="1FCC726D">
        <w:rPr>
          <w:lang w:val="en"/>
        </w:rPr>
        <w:t>Department for Education and Skills, 2015).</w:t>
      </w:r>
    </w:p>
    <w:p w14:paraId="49B977F1" w14:textId="1E2ADA17" w:rsidR="1FCC726D" w:rsidRDefault="1FCC726D" w:rsidP="1FCC726D"/>
    <w:p w14:paraId="741B9247" w14:textId="36AE564C" w:rsidR="1FCC726D" w:rsidRDefault="1FCC726D" w:rsidP="1FCC726D"/>
    <w:p w14:paraId="3C5A007C" w14:textId="3844C2D5" w:rsidR="1FCC726D" w:rsidRDefault="1FCC726D" w:rsidP="1FCC726D"/>
    <w:p w14:paraId="6AAA59CA" w14:textId="6C969B82" w:rsidR="1FCC726D" w:rsidRDefault="1FCC726D" w:rsidP="1FCC726D"/>
    <w:p w14:paraId="4D54CABF" w14:textId="484CAC1C" w:rsidR="1FCC726D" w:rsidRDefault="1FCC726D" w:rsidP="1FCC726D"/>
    <w:p w14:paraId="283AF977" w14:textId="79827144" w:rsidR="1FCC726D" w:rsidRDefault="1FCC726D" w:rsidP="1FCC726D"/>
    <w:p w14:paraId="24C38E98" w14:textId="3B55B8EB" w:rsidR="1FCC726D" w:rsidRDefault="1FCC726D" w:rsidP="1FCC726D"/>
    <w:p w14:paraId="2CF2F636" w14:textId="6E1FBCD1" w:rsidR="1FCC726D" w:rsidRDefault="1FCC726D" w:rsidP="1FCC726D"/>
    <w:p w14:paraId="61685714" w14:textId="757405FB" w:rsidR="1FCC726D" w:rsidRDefault="1FCC726D" w:rsidP="1FCC726D"/>
    <w:p w14:paraId="7FEE0363" w14:textId="5362FCED" w:rsidR="70BB5D4D" w:rsidRDefault="1FCC726D" w:rsidP="1FCC726D">
      <w:pPr>
        <w:rPr>
          <w:rFonts w:ascii="Calibri" w:eastAsia="Calibri" w:hAnsi="Calibri" w:cs="Calibri"/>
          <w:lang w:val="en"/>
        </w:rPr>
      </w:pPr>
      <w:r w:rsidRPr="1FCC726D">
        <w:t>Amy Barr will also lead a minibeast hunt where the children will be developing their identification skills by looking through designated areas of the forest, trying to find minibeasts that they have previously learnt about in class, such as worms, woodlouse and birds. The main skill developed from this activity is that children will be able to “identify some animals and plants that live in the outdoor environment” (</w:t>
      </w:r>
      <w:r w:rsidRPr="1FCC726D">
        <w:rPr>
          <w:lang w:val="en"/>
        </w:rPr>
        <w:t xml:space="preserve">Department for Education and Skills, 2015). This skill, like all other skills from the curriculum, is vital to a child’s learning. The children could have learnt </w:t>
      </w:r>
      <w:proofErr w:type="gramStart"/>
      <w:r w:rsidRPr="1FCC726D">
        <w:rPr>
          <w:lang w:val="en"/>
        </w:rPr>
        <w:t>this skills</w:t>
      </w:r>
      <w:proofErr w:type="gramEnd"/>
      <w:r w:rsidRPr="1FCC726D">
        <w:rPr>
          <w:lang w:val="en"/>
        </w:rPr>
        <w:t xml:space="preserve"> from looking at photos of the different critters in the classroom. However, when learning about the minibeasts in the outdoors, they can see the actual critter and could potentially hold some of them. Sue Palmer (2006, p.50) writes that “children too are becoming more fearful” so to prevent this from happening, children should be exposed to the outdoor environment more and should be able to have the opportunity to hold worms without getting scared as they will not harm anyone. </w:t>
      </w:r>
    </w:p>
    <w:p w14:paraId="54DEAD2A" w14:textId="2CAC5D8C" w:rsidR="70BB5D4D" w:rsidRDefault="1FCC726D" w:rsidP="1FCC726D">
      <w:pPr>
        <w:rPr>
          <w:rFonts w:ascii="Calibri" w:eastAsia="Calibri" w:hAnsi="Calibri" w:cs="Calibri"/>
          <w:lang w:val="en"/>
        </w:rPr>
      </w:pPr>
      <w:r w:rsidRPr="1FCC726D">
        <w:rPr>
          <w:lang w:val="en"/>
        </w:rPr>
        <w:t xml:space="preserve">The next activity will be led by the teacher. The children will be asked to collect different items from the wood and place them in a paper bag – these items being natural objects and could be any litter they find. The teacher would encourage the children to pick up litter more than the natural objects as they have been learning about sustainability and this can help them learn skills from the ESDGC documentation as they will learn to “care for the environment and </w:t>
      </w:r>
      <w:proofErr w:type="spellStart"/>
      <w:r w:rsidRPr="1FCC726D">
        <w:rPr>
          <w:lang w:val="en"/>
        </w:rPr>
        <w:t>recognise</w:t>
      </w:r>
      <w:proofErr w:type="spellEnd"/>
      <w:r w:rsidRPr="1FCC726D">
        <w:rPr>
          <w:lang w:val="en"/>
        </w:rPr>
        <w:t xml:space="preserve"> its importance” (DCELLS, 2008). After collecting these </w:t>
      </w:r>
      <w:proofErr w:type="gramStart"/>
      <w:r w:rsidRPr="1FCC726D">
        <w:rPr>
          <w:lang w:val="en"/>
        </w:rPr>
        <w:t>items</w:t>
      </w:r>
      <w:proofErr w:type="gramEnd"/>
      <w:r w:rsidRPr="1FCC726D">
        <w:rPr>
          <w:lang w:val="en"/>
        </w:rPr>
        <w:t xml:space="preserve"> the children will then reflect on when Angela Maddock came into the class to teach the children about her artwork. They will use the objects they picked up to create their own minibeasts in groups of 3. This will not only encourage their social skills to develop but will also encourage them to learn various skills from the Creative Development section of the Foundation Phase Framework. The main skill they will learn is to “explore and experiment with a variety of techniques and materials” </w:t>
      </w:r>
      <w:r w:rsidRPr="1FCC726D">
        <w:t>(</w:t>
      </w:r>
      <w:r w:rsidRPr="1FCC726D">
        <w:rPr>
          <w:lang w:val="en"/>
        </w:rPr>
        <w:t>Department for Education and Skills, 2015). Having this activity in the outdoor environment enables the children to experience different and natural materials compared to the man-made materials that they would find in the school environment.</w:t>
      </w:r>
    </w:p>
    <w:p w14:paraId="2B230DEB" w14:textId="754811D6" w:rsidR="70BB5D4D" w:rsidRDefault="1FCC726D" w:rsidP="1FCC726D">
      <w:pPr>
        <w:rPr>
          <w:lang w:val="en"/>
        </w:rPr>
      </w:pPr>
      <w:r w:rsidRPr="1FCC726D">
        <w:rPr>
          <w:lang w:val="en"/>
        </w:rPr>
        <w:t>After a break, the teacher will then lead an activity where the children, in their groups of 3, must make habitats for their minibeasts that they created. This activity will require the children to use their thinking skills as they will “t</w:t>
      </w:r>
      <w:r w:rsidRPr="1FCC726D">
        <w:rPr>
          <w:rFonts w:ascii="Calibri" w:eastAsia="Calibri" w:hAnsi="Calibri" w:cs="Calibri"/>
          <w:lang w:val="en"/>
        </w:rPr>
        <w:t>ake account of possible problems when justifying why the strategy(</w:t>
      </w:r>
      <w:proofErr w:type="spellStart"/>
      <w:r w:rsidRPr="1FCC726D">
        <w:rPr>
          <w:rFonts w:ascii="Calibri" w:eastAsia="Calibri" w:hAnsi="Calibri" w:cs="Calibri"/>
          <w:lang w:val="en"/>
        </w:rPr>
        <w:t>ies</w:t>
      </w:r>
      <w:proofErr w:type="spellEnd"/>
      <w:r w:rsidRPr="1FCC726D">
        <w:rPr>
          <w:rFonts w:ascii="Calibri" w:eastAsia="Calibri" w:hAnsi="Calibri" w:cs="Calibri"/>
          <w:lang w:val="en"/>
        </w:rPr>
        <w:t xml:space="preserve">) is to be used” when building their habitat to ensure that it fits the criteria of a good shelter, ensuring that it will keep their minibeast warm, dry and safe. After completing this activity, the children will be encouraged to use the iPads (each teacher has one iPad) to take a picture of their minibeast in their habitat and e-mail it to their </w:t>
      </w:r>
      <w:proofErr w:type="spellStart"/>
      <w:r w:rsidRPr="1FCC726D">
        <w:rPr>
          <w:rFonts w:ascii="Calibri" w:eastAsia="Calibri" w:hAnsi="Calibri" w:cs="Calibri"/>
          <w:lang w:val="en"/>
        </w:rPr>
        <w:t>Hwb</w:t>
      </w:r>
      <w:proofErr w:type="spellEnd"/>
      <w:r w:rsidRPr="1FCC726D">
        <w:rPr>
          <w:rFonts w:ascii="Calibri" w:eastAsia="Calibri" w:hAnsi="Calibri" w:cs="Calibri"/>
          <w:lang w:val="en"/>
        </w:rPr>
        <w:t xml:space="preserve"> account. This will help the children develop their prior knowledge of how to “send a simple online communication from a single user account” (Welsh Government, 2019).</w:t>
      </w:r>
    </w:p>
    <w:p w14:paraId="659B72DA" w14:textId="17062163" w:rsidR="1FCC726D" w:rsidRDefault="1FCC726D" w:rsidP="1FCC726D">
      <w:pPr>
        <w:rPr>
          <w:b/>
          <w:bCs/>
          <w:lang w:val="en"/>
        </w:rPr>
      </w:pPr>
    </w:p>
    <w:p w14:paraId="5F8A539C" w14:textId="3F15DE16" w:rsidR="1FCC726D" w:rsidRDefault="1FCC726D" w:rsidP="1FCC726D">
      <w:pPr>
        <w:rPr>
          <w:b/>
          <w:bCs/>
          <w:lang w:val="en"/>
        </w:rPr>
      </w:pPr>
    </w:p>
    <w:p w14:paraId="0E2C4B45" w14:textId="29918CE8" w:rsidR="1FCC726D" w:rsidRDefault="1FCC726D" w:rsidP="1FCC726D">
      <w:pPr>
        <w:rPr>
          <w:b/>
          <w:bCs/>
          <w:lang w:val="en"/>
        </w:rPr>
      </w:pPr>
    </w:p>
    <w:p w14:paraId="0DB984EE" w14:textId="62BF4461" w:rsidR="1FCC726D" w:rsidRDefault="1FCC726D" w:rsidP="1FCC726D">
      <w:pPr>
        <w:rPr>
          <w:b/>
          <w:bCs/>
          <w:lang w:val="en"/>
        </w:rPr>
      </w:pPr>
    </w:p>
    <w:p w14:paraId="429799C6" w14:textId="79FD7BB0" w:rsidR="1FCC726D" w:rsidRDefault="1FCC726D" w:rsidP="1FCC726D">
      <w:pPr>
        <w:rPr>
          <w:b/>
          <w:bCs/>
          <w:lang w:val="en"/>
        </w:rPr>
      </w:pPr>
    </w:p>
    <w:p w14:paraId="56E15A49" w14:textId="10555CF2" w:rsidR="1FCC726D" w:rsidRDefault="1FCC726D" w:rsidP="1FCC726D">
      <w:pPr>
        <w:rPr>
          <w:b/>
          <w:bCs/>
          <w:lang w:val="en"/>
        </w:rPr>
      </w:pPr>
    </w:p>
    <w:p w14:paraId="61FA3D16" w14:textId="097C200A" w:rsidR="1FCC726D" w:rsidRDefault="1FCC726D" w:rsidP="1FCC726D">
      <w:pPr>
        <w:rPr>
          <w:b/>
          <w:bCs/>
          <w:lang w:val="en"/>
        </w:rPr>
      </w:pPr>
    </w:p>
    <w:p w14:paraId="0597275F" w14:textId="3930C00A" w:rsidR="70BB5D4D" w:rsidRDefault="1FCC726D" w:rsidP="1FCC726D">
      <w:pPr>
        <w:rPr>
          <w:lang w:val="en"/>
        </w:rPr>
      </w:pPr>
      <w:r w:rsidRPr="1FCC726D">
        <w:rPr>
          <w:b/>
          <w:bCs/>
          <w:lang w:val="en"/>
        </w:rPr>
        <w:t>Post Visit</w:t>
      </w:r>
    </w:p>
    <w:p w14:paraId="056CCA70" w14:textId="18AB6DCD" w:rsidR="1FCC726D" w:rsidRDefault="1FCC726D" w:rsidP="1FCC726D">
      <w:pPr>
        <w:rPr>
          <w:rFonts w:ascii="Calibri" w:eastAsia="Calibri" w:hAnsi="Calibri" w:cs="Calibri"/>
          <w:lang w:val="en"/>
        </w:rPr>
      </w:pPr>
      <w:r w:rsidRPr="1FCC726D">
        <w:rPr>
          <w:lang w:val="en"/>
        </w:rPr>
        <w:t xml:space="preserve">On the Monday after the visit the children will reflect on their outdoor experience in the classroom. </w:t>
      </w:r>
      <w:proofErr w:type="spellStart"/>
      <w:r w:rsidRPr="1FCC726D">
        <w:rPr>
          <w:lang w:val="en"/>
        </w:rPr>
        <w:t>Mezirow</w:t>
      </w:r>
      <w:proofErr w:type="spellEnd"/>
      <w:r w:rsidRPr="1FCC726D">
        <w:rPr>
          <w:lang w:val="en"/>
        </w:rPr>
        <w:t xml:space="preserve"> states, “a</w:t>
      </w:r>
      <w:r w:rsidRPr="1FCC726D">
        <w:rPr>
          <w:rFonts w:ascii="Calibri" w:eastAsia="Calibri" w:hAnsi="Calibri" w:cs="Calibri"/>
          <w:lang w:val="en"/>
        </w:rPr>
        <w:t xml:space="preserve"> defining condition of being human is that we have to understand the meaning of our experience” (Costa and </w:t>
      </w:r>
      <w:proofErr w:type="spellStart"/>
      <w:r w:rsidRPr="1FCC726D">
        <w:rPr>
          <w:rFonts w:ascii="Calibri" w:eastAsia="Calibri" w:hAnsi="Calibri" w:cs="Calibri"/>
          <w:lang w:val="en"/>
        </w:rPr>
        <w:t>Kallick</w:t>
      </w:r>
      <w:proofErr w:type="spellEnd"/>
      <w:r w:rsidRPr="1FCC726D">
        <w:rPr>
          <w:rFonts w:ascii="Calibri" w:eastAsia="Calibri" w:hAnsi="Calibri" w:cs="Calibri"/>
          <w:lang w:val="en"/>
        </w:rPr>
        <w:t xml:space="preserve">, 2008). Therefore, the children will be encouraged to reflect on their school visit to </w:t>
      </w:r>
      <w:proofErr w:type="spellStart"/>
      <w:r w:rsidRPr="1FCC726D">
        <w:rPr>
          <w:rFonts w:ascii="Calibri" w:eastAsia="Calibri" w:hAnsi="Calibri" w:cs="Calibri"/>
          <w:lang w:val="en"/>
        </w:rPr>
        <w:t>Puzzlewood</w:t>
      </w:r>
      <w:proofErr w:type="spellEnd"/>
      <w:r w:rsidRPr="1FCC726D">
        <w:rPr>
          <w:rFonts w:ascii="Calibri" w:eastAsia="Calibri" w:hAnsi="Calibri" w:cs="Calibri"/>
          <w:lang w:val="en"/>
        </w:rPr>
        <w:t xml:space="preserve"> to help them understand why they went there.</w:t>
      </w:r>
      <w:r w:rsidRPr="1FCC726D">
        <w:rPr>
          <w:lang w:val="en"/>
        </w:rPr>
        <w:t xml:space="preserve"> The children will recap what they did on the school visit through the ‘Think. Pair. Share’ strategy which will encourage the reflection through Bloom’s taxonomy, starting with ‘remember’, following the process until they ‘create’ presentations of what they learnt on the school visit (Armstrong, 2019).  The children will gather into their groups from the trip for this session and will create a presentation using their digital literacy skills as they will be able to find the picture of their minibeast in their habitat through accessing their e-mails. They could then add this picture to their presentation to help them explain to their peers how they created their minibeast and habitat. This activity after the visit will enable the children to remember their learning and reflect on what they have learnt. </w:t>
      </w:r>
    </w:p>
    <w:p w14:paraId="74AA1CA1" w14:textId="53BF196C" w:rsidR="70BB5D4D" w:rsidRDefault="1FCC726D" w:rsidP="1FCC726D">
      <w:pPr>
        <w:rPr>
          <w:b/>
          <w:bCs/>
          <w:lang w:val="en"/>
        </w:rPr>
      </w:pPr>
      <w:r w:rsidRPr="1FCC726D">
        <w:rPr>
          <w:b/>
          <w:bCs/>
          <w:lang w:val="en"/>
        </w:rPr>
        <w:t>Conclusion</w:t>
      </w:r>
    </w:p>
    <w:p w14:paraId="3A3836D0" w14:textId="2709C1FB" w:rsidR="70BB5D4D" w:rsidRDefault="1FCC726D" w:rsidP="1FCC726D">
      <w:pPr>
        <w:rPr>
          <w:lang w:val="en"/>
        </w:rPr>
      </w:pPr>
      <w:r w:rsidRPr="1FCC726D">
        <w:rPr>
          <w:lang w:val="en"/>
        </w:rPr>
        <w:t xml:space="preserve">Visiting </w:t>
      </w:r>
      <w:proofErr w:type="spellStart"/>
      <w:r w:rsidRPr="1FCC726D">
        <w:rPr>
          <w:lang w:val="en"/>
        </w:rPr>
        <w:t>Puzzlewood</w:t>
      </w:r>
      <w:proofErr w:type="spellEnd"/>
      <w:r w:rsidRPr="1FCC726D">
        <w:rPr>
          <w:lang w:val="en"/>
        </w:rPr>
        <w:t xml:space="preserve"> is shown to support learning in many ways throughout this assignment. It is present that many skills can be learned throughout this opportunity. The outdoor environment can give the children the opportunity to experience different locations and compare their school environment with the outdoors. Taking the class who are based in Monmouth over to a local area which is in England can help them experience going into a new country, which some children may not have the opportunity to do in their everyday lives due to homelife and price issues. </w:t>
      </w:r>
    </w:p>
    <w:p w14:paraId="7C37B136" w14:textId="0CB031DE" w:rsidR="1FCC726D" w:rsidRDefault="1FCC726D" w:rsidP="1FCC726D">
      <w:pPr>
        <w:rPr>
          <w:b/>
          <w:bCs/>
        </w:rPr>
      </w:pPr>
    </w:p>
    <w:p w14:paraId="584AF8DC" w14:textId="1355E795" w:rsidR="1FCC726D" w:rsidRDefault="1FCC726D" w:rsidP="1FCC726D">
      <w:pPr>
        <w:rPr>
          <w:b/>
          <w:bCs/>
        </w:rPr>
      </w:pPr>
    </w:p>
    <w:p w14:paraId="5E2C2040" w14:textId="17CFBA1C" w:rsidR="1FCC726D" w:rsidRDefault="1FCC726D" w:rsidP="1FCC726D">
      <w:pPr>
        <w:rPr>
          <w:b/>
          <w:bCs/>
        </w:rPr>
      </w:pPr>
    </w:p>
    <w:p w14:paraId="78BA2C19" w14:textId="5A1B212F" w:rsidR="1FCC726D" w:rsidRDefault="1FCC726D" w:rsidP="1FCC726D">
      <w:pPr>
        <w:rPr>
          <w:b/>
          <w:bCs/>
        </w:rPr>
      </w:pPr>
    </w:p>
    <w:p w14:paraId="4C648D27" w14:textId="643D1F2E" w:rsidR="1FCC726D" w:rsidRDefault="1FCC726D" w:rsidP="1FCC726D">
      <w:pPr>
        <w:rPr>
          <w:b/>
          <w:bCs/>
        </w:rPr>
      </w:pPr>
    </w:p>
    <w:p w14:paraId="5A0987A4" w14:textId="15D92BE5" w:rsidR="1FCC726D" w:rsidRDefault="1FCC726D" w:rsidP="1FCC726D">
      <w:pPr>
        <w:rPr>
          <w:b/>
          <w:bCs/>
        </w:rPr>
      </w:pPr>
    </w:p>
    <w:p w14:paraId="130DBEA4" w14:textId="7887689D" w:rsidR="1FCC726D" w:rsidRDefault="1FCC726D" w:rsidP="1FCC726D">
      <w:pPr>
        <w:rPr>
          <w:b/>
          <w:bCs/>
        </w:rPr>
      </w:pPr>
    </w:p>
    <w:p w14:paraId="74EFE98B" w14:textId="68617F45" w:rsidR="1FCC726D" w:rsidRDefault="1FCC726D" w:rsidP="1FCC726D">
      <w:pPr>
        <w:rPr>
          <w:b/>
          <w:bCs/>
        </w:rPr>
      </w:pPr>
    </w:p>
    <w:p w14:paraId="3FDC83A4" w14:textId="63398BB2" w:rsidR="1FCC726D" w:rsidRDefault="1FCC726D" w:rsidP="1FCC726D">
      <w:pPr>
        <w:rPr>
          <w:b/>
          <w:bCs/>
        </w:rPr>
      </w:pPr>
    </w:p>
    <w:p w14:paraId="7B2D5EF3" w14:textId="28912C3E" w:rsidR="1FCC726D" w:rsidRDefault="1FCC726D" w:rsidP="1FCC726D">
      <w:pPr>
        <w:rPr>
          <w:b/>
          <w:bCs/>
        </w:rPr>
      </w:pPr>
    </w:p>
    <w:p w14:paraId="03341E45" w14:textId="78B9BEAB" w:rsidR="1FCC726D" w:rsidRDefault="1FCC726D" w:rsidP="1FCC726D">
      <w:pPr>
        <w:rPr>
          <w:b/>
          <w:bCs/>
        </w:rPr>
      </w:pPr>
    </w:p>
    <w:p w14:paraId="6A33D877" w14:textId="147C2C14" w:rsidR="1FCC726D" w:rsidRDefault="1FCC726D" w:rsidP="1FCC726D">
      <w:pPr>
        <w:rPr>
          <w:b/>
          <w:bCs/>
        </w:rPr>
      </w:pPr>
    </w:p>
    <w:p w14:paraId="74F026BD" w14:textId="3BB2C2C0" w:rsidR="1FCC726D" w:rsidRDefault="1FCC726D" w:rsidP="1FCC726D">
      <w:pPr>
        <w:rPr>
          <w:b/>
          <w:bCs/>
        </w:rPr>
      </w:pPr>
    </w:p>
    <w:p w14:paraId="6633D694" w14:textId="6C70207F" w:rsidR="1FCC726D" w:rsidRDefault="1FCC726D" w:rsidP="1FCC726D">
      <w:pPr>
        <w:rPr>
          <w:b/>
          <w:bCs/>
        </w:rPr>
      </w:pPr>
    </w:p>
    <w:p w14:paraId="16F45862" w14:textId="2C7CEFE6" w:rsidR="1FCC726D" w:rsidRDefault="1FCC726D" w:rsidP="1FCC726D">
      <w:pPr>
        <w:rPr>
          <w:b/>
          <w:bCs/>
        </w:rPr>
      </w:pPr>
    </w:p>
    <w:p w14:paraId="50C3E4B6" w14:textId="3FC7EEFD" w:rsidR="1FCC726D" w:rsidRDefault="1FCC726D" w:rsidP="1FCC726D">
      <w:pPr>
        <w:rPr>
          <w:b/>
          <w:bCs/>
        </w:rPr>
      </w:pPr>
    </w:p>
    <w:p w14:paraId="54E254C4" w14:textId="3EBB0A35" w:rsidR="1FCC726D" w:rsidRDefault="1FCC726D" w:rsidP="1FCC726D">
      <w:pPr>
        <w:rPr>
          <w:b/>
          <w:bCs/>
        </w:rPr>
      </w:pPr>
    </w:p>
    <w:p w14:paraId="38FD3CF9" w14:textId="44AF4FFB" w:rsidR="70BB5D4D" w:rsidRDefault="1FCC726D" w:rsidP="1FCC726D">
      <w:pPr>
        <w:rPr>
          <w:b/>
          <w:bCs/>
        </w:rPr>
      </w:pPr>
      <w:r w:rsidRPr="1FCC726D">
        <w:rPr>
          <w:b/>
          <w:bCs/>
        </w:rPr>
        <w:t>Reference List</w:t>
      </w:r>
    </w:p>
    <w:p w14:paraId="4697BE3B" w14:textId="6C215CE3" w:rsidR="70BB5D4D" w:rsidRDefault="1FCC726D" w:rsidP="1FCC726D">
      <w:r w:rsidRPr="1FCC726D">
        <w:t xml:space="preserve">Armstrong, P. (2019) </w:t>
      </w:r>
      <w:r w:rsidRPr="1FCC726D">
        <w:rPr>
          <w:i/>
          <w:iCs/>
        </w:rPr>
        <w:t xml:space="preserve">Bloom’s Taxonomy </w:t>
      </w:r>
      <w:r w:rsidRPr="1FCC726D">
        <w:t xml:space="preserve">Available at:- </w:t>
      </w:r>
      <w:hyperlink r:id="rId4">
        <w:r w:rsidRPr="1FCC726D">
          <w:rPr>
            <w:rStyle w:val="Hyperlink"/>
            <w:rFonts w:ascii="Calibri" w:eastAsia="Calibri" w:hAnsi="Calibri" w:cs="Calibri"/>
          </w:rPr>
          <w:t>https://cft.vanderbilt.edu/guides-sub-pages/blooms-taxonomy/</w:t>
        </w:r>
      </w:hyperlink>
      <w:r w:rsidRPr="1FCC726D">
        <w:rPr>
          <w:rFonts w:ascii="Calibri" w:eastAsia="Calibri" w:hAnsi="Calibri" w:cs="Calibri"/>
        </w:rPr>
        <w:t xml:space="preserve"> [Accessed 20 May 2019]</w:t>
      </w:r>
    </w:p>
    <w:p w14:paraId="58F147F1" w14:textId="5A1AEF9D" w:rsidR="1FCC726D" w:rsidRDefault="1FCC726D" w:rsidP="1FCC726D">
      <w:pPr>
        <w:rPr>
          <w:rFonts w:eastAsiaTheme="minorEastAsia"/>
        </w:rPr>
      </w:pPr>
      <w:r w:rsidRPr="1FCC726D">
        <w:rPr>
          <w:rFonts w:ascii="Calibri" w:eastAsia="Calibri" w:hAnsi="Calibri" w:cs="Calibri"/>
        </w:rPr>
        <w:t xml:space="preserve">Costa, A. and </w:t>
      </w:r>
      <w:proofErr w:type="spellStart"/>
      <w:r w:rsidRPr="1FCC726D">
        <w:rPr>
          <w:rFonts w:ascii="Calibri" w:eastAsia="Calibri" w:hAnsi="Calibri" w:cs="Calibri"/>
        </w:rPr>
        <w:t>Kallick</w:t>
      </w:r>
      <w:proofErr w:type="spellEnd"/>
      <w:r w:rsidRPr="1FCC726D">
        <w:rPr>
          <w:rFonts w:ascii="Calibri" w:eastAsia="Calibri" w:hAnsi="Calibri" w:cs="Calibri"/>
        </w:rPr>
        <w:t xml:space="preserve">, B. (2008) </w:t>
      </w:r>
      <w:r w:rsidRPr="1FCC726D">
        <w:rPr>
          <w:rFonts w:eastAsiaTheme="minorEastAsia"/>
          <w:i/>
          <w:iCs/>
        </w:rPr>
        <w:t xml:space="preserve">Learning and Leading with Habits of Mind. Chapter 12. </w:t>
      </w:r>
      <w:r w:rsidRPr="1FCC726D">
        <w:rPr>
          <w:i/>
          <w:iCs/>
        </w:rPr>
        <w:t xml:space="preserve">Learning Through Reflection. </w:t>
      </w:r>
      <w:r w:rsidRPr="1FCC726D">
        <w:t xml:space="preserve">Available at:- </w:t>
      </w:r>
      <w:hyperlink r:id="rId5">
        <w:r w:rsidRPr="1FCC726D">
          <w:rPr>
            <w:rStyle w:val="Hyperlink"/>
            <w:rFonts w:ascii="Calibri" w:eastAsia="Calibri" w:hAnsi="Calibri" w:cs="Calibri"/>
          </w:rPr>
          <w:t>http://www.ascd.org/publications/books/108008/chapters/Learning-Through-Reflection.aspx</w:t>
        </w:r>
      </w:hyperlink>
      <w:r w:rsidRPr="1FCC726D">
        <w:rPr>
          <w:rFonts w:ascii="Calibri" w:eastAsia="Calibri" w:hAnsi="Calibri" w:cs="Calibri"/>
        </w:rPr>
        <w:t xml:space="preserve"> [Accessed 20 May 2019]</w:t>
      </w:r>
    </w:p>
    <w:p w14:paraId="443BEE76" w14:textId="39945065" w:rsidR="70BB5D4D" w:rsidRDefault="70BB5D4D" w:rsidP="70BB5D4D">
      <w:pPr>
        <w:rPr>
          <w:rFonts w:ascii="Calibri" w:eastAsia="Calibri" w:hAnsi="Calibri" w:cs="Calibri"/>
        </w:rPr>
      </w:pPr>
      <w:r w:rsidRPr="70BB5D4D">
        <w:t xml:space="preserve">DCELLS (2008) </w:t>
      </w:r>
      <w:r w:rsidRPr="70BB5D4D">
        <w:rPr>
          <w:i/>
          <w:iCs/>
        </w:rPr>
        <w:t>Education for Sustainable Development and Global Citizenship A Common Understanding for Schools</w:t>
      </w:r>
      <w:r w:rsidRPr="70BB5D4D">
        <w:t>. Cardiff: Welsh Government.</w:t>
      </w:r>
    </w:p>
    <w:p w14:paraId="5F3BB0FB" w14:textId="475A6A0F" w:rsidR="6088CA5A" w:rsidRDefault="70BB5D4D" w:rsidP="70BB5D4D">
      <w:pPr>
        <w:rPr>
          <w:lang w:val="en"/>
        </w:rPr>
      </w:pPr>
      <w:r w:rsidRPr="70BB5D4D">
        <w:rPr>
          <w:lang w:val="en"/>
        </w:rPr>
        <w:t>Donaldson, G. (2015)</w:t>
      </w:r>
      <w:r w:rsidRPr="70BB5D4D">
        <w:rPr>
          <w:i/>
          <w:iCs/>
          <w:lang w:val="en"/>
        </w:rPr>
        <w:t xml:space="preserve"> Successful Futures: Independent Review of Curriculum and Assessment Arrangements in Wales</w:t>
      </w:r>
      <w:r w:rsidRPr="70BB5D4D">
        <w:rPr>
          <w:lang w:val="en"/>
        </w:rPr>
        <w:t>. Crown copyright. Available at:-</w:t>
      </w:r>
      <w:hyperlink r:id="rId6">
        <w:r w:rsidRPr="70BB5D4D">
          <w:rPr>
            <w:rStyle w:val="Hyperlink"/>
            <w:lang w:val="en"/>
          </w:rPr>
          <w:t xml:space="preserve"> </w:t>
        </w:r>
      </w:hyperlink>
      <w:hyperlink r:id="rId7">
        <w:r w:rsidRPr="70BB5D4D">
          <w:rPr>
            <w:rStyle w:val="Hyperlink"/>
            <w:lang w:val="en"/>
          </w:rPr>
          <w:t>https://gov.wales/sites/default/files/publications/2018-03/successful-futures.pdf</w:t>
        </w:r>
      </w:hyperlink>
      <w:r w:rsidRPr="70BB5D4D">
        <w:rPr>
          <w:lang w:val="en"/>
        </w:rPr>
        <w:t xml:space="preserve"> [Accessed 15 May 2019]</w:t>
      </w:r>
    </w:p>
    <w:p w14:paraId="26FDBC5F" w14:textId="2A17F9A1" w:rsidR="7E5BE953" w:rsidRDefault="70BB5D4D" w:rsidP="70BB5D4D">
      <w:r w:rsidRPr="70BB5D4D">
        <w:rPr>
          <w:lang w:val="en"/>
        </w:rPr>
        <w:t>Department for Education and Skills (2015)</w:t>
      </w:r>
      <w:r w:rsidRPr="70BB5D4D">
        <w:rPr>
          <w:i/>
          <w:iCs/>
          <w:lang w:val="en"/>
        </w:rPr>
        <w:t xml:space="preserve"> Foundation Phase Framework (Revised 2015)</w:t>
      </w:r>
      <w:r w:rsidRPr="70BB5D4D">
        <w:rPr>
          <w:lang w:val="en"/>
        </w:rPr>
        <w:t>. Cardiff: Welsh Government. Available at:-</w:t>
      </w:r>
      <w:hyperlink r:id="rId8">
        <w:r w:rsidRPr="70BB5D4D">
          <w:rPr>
            <w:rStyle w:val="Hyperlink"/>
            <w:lang w:val="en"/>
          </w:rPr>
          <w:t xml:space="preserve"> </w:t>
        </w:r>
      </w:hyperlink>
      <w:hyperlink r:id="rId9">
        <w:r w:rsidRPr="70BB5D4D">
          <w:rPr>
            <w:rStyle w:val="Hyperlink"/>
            <w:lang w:val="en"/>
          </w:rPr>
          <w:t>https://learning.gov.wales/docs/learningwales/publications/150803-fp-framework-en.pdf</w:t>
        </w:r>
      </w:hyperlink>
      <w:r w:rsidRPr="70BB5D4D">
        <w:rPr>
          <w:lang w:val="en"/>
        </w:rPr>
        <w:t xml:space="preserve"> [Accessed 15 May 2019]</w:t>
      </w:r>
    </w:p>
    <w:p w14:paraId="4FCE804A" w14:textId="22CFE657" w:rsidR="70BB5D4D" w:rsidRDefault="70BB5D4D" w:rsidP="70BB5D4D">
      <w:pPr>
        <w:rPr>
          <w:rFonts w:ascii="Calibri" w:eastAsia="Calibri" w:hAnsi="Calibri" w:cs="Calibri"/>
          <w:lang w:val="en"/>
        </w:rPr>
      </w:pPr>
      <w:r w:rsidRPr="70BB5D4D">
        <w:rPr>
          <w:lang w:val="en"/>
        </w:rPr>
        <w:t xml:space="preserve">Fraser, S. (2012) </w:t>
      </w:r>
      <w:r w:rsidRPr="70BB5D4D">
        <w:rPr>
          <w:i/>
          <w:iCs/>
          <w:lang w:val="en"/>
        </w:rPr>
        <w:t>Authentic Childhood</w:t>
      </w:r>
      <w:r w:rsidRPr="70BB5D4D">
        <w:rPr>
          <w:lang w:val="en"/>
        </w:rPr>
        <w:t>. To, ON: Nelson Education.</w:t>
      </w:r>
    </w:p>
    <w:p w14:paraId="064E3329" w14:textId="7D66151B" w:rsidR="48DDDB04" w:rsidRDefault="1FCC726D" w:rsidP="1FCC726D">
      <w:pPr>
        <w:rPr>
          <w:rFonts w:ascii="Calibri" w:eastAsia="Calibri" w:hAnsi="Calibri" w:cs="Calibri"/>
          <w:lang w:val="en"/>
        </w:rPr>
      </w:pPr>
      <w:r w:rsidRPr="1FCC726D">
        <w:rPr>
          <w:lang w:val="en"/>
        </w:rPr>
        <w:t xml:space="preserve">Gail Parker (2019) Lecture. Caitlin Wright et al. Conversation. 13 May. </w:t>
      </w:r>
    </w:p>
    <w:p w14:paraId="61996BAA" w14:textId="4A632B16" w:rsidR="70BB5D4D" w:rsidRDefault="70BB5D4D" w:rsidP="70BB5D4D">
      <w:pPr>
        <w:rPr>
          <w:rFonts w:eastAsiaTheme="minorEastAsia"/>
          <w:i/>
          <w:iCs/>
        </w:rPr>
      </w:pPr>
      <w:r w:rsidRPr="70BB5D4D">
        <w:rPr>
          <w:lang w:val="en"/>
        </w:rPr>
        <w:t>McLeod, S. (2018)</w:t>
      </w:r>
      <w:r w:rsidRPr="70BB5D4D">
        <w:rPr>
          <w:i/>
          <w:iCs/>
          <w:lang w:val="en"/>
        </w:rPr>
        <w:t xml:space="preserve"> Simply Psychology. </w:t>
      </w:r>
      <w:r w:rsidRPr="70BB5D4D">
        <w:rPr>
          <w:i/>
          <w:iCs/>
        </w:rPr>
        <w:t>Jean Piaget's Theory of Cognitive Development</w:t>
      </w:r>
      <w:r w:rsidRPr="70BB5D4D">
        <w:t xml:space="preserve">. Available </w:t>
      </w:r>
      <w:proofErr w:type="gramStart"/>
      <w:r w:rsidRPr="70BB5D4D">
        <w:t>at:-</w:t>
      </w:r>
      <w:proofErr w:type="gramEnd"/>
      <w:r w:rsidRPr="70BB5D4D">
        <w:t xml:space="preserve"> </w:t>
      </w:r>
      <w:hyperlink r:id="rId10">
        <w:r w:rsidRPr="70BB5D4D">
          <w:rPr>
            <w:rStyle w:val="Hyperlink"/>
          </w:rPr>
          <w:t>https://www.simplypsychology.org/piaget.html</w:t>
        </w:r>
      </w:hyperlink>
      <w:r w:rsidRPr="70BB5D4D">
        <w:t xml:space="preserve"> [Accessed 19 May 2019]</w:t>
      </w:r>
    </w:p>
    <w:p w14:paraId="4DF92C64" w14:textId="364464A0" w:rsidR="7E5BE953" w:rsidRDefault="70BB5D4D" w:rsidP="70BB5D4D">
      <w:pPr>
        <w:rPr>
          <w:lang w:val="en"/>
        </w:rPr>
      </w:pPr>
      <w:proofErr w:type="spellStart"/>
      <w:r w:rsidRPr="70BB5D4D">
        <w:rPr>
          <w:lang w:val="en"/>
        </w:rPr>
        <w:t>Mygind</w:t>
      </w:r>
      <w:proofErr w:type="spellEnd"/>
      <w:r w:rsidRPr="70BB5D4D">
        <w:rPr>
          <w:lang w:val="en"/>
        </w:rPr>
        <w:t>, E. (2007)</w:t>
      </w:r>
      <w:r w:rsidRPr="70BB5D4D">
        <w:rPr>
          <w:i/>
          <w:iCs/>
          <w:lang w:val="en"/>
        </w:rPr>
        <w:t xml:space="preserve"> A comparison between children's physical activity levels at school and learning in an outdoor environment</w:t>
      </w:r>
      <w:r w:rsidRPr="70BB5D4D">
        <w:rPr>
          <w:lang w:val="en"/>
        </w:rPr>
        <w:t xml:space="preserve"> Available at:- </w:t>
      </w:r>
      <w:hyperlink r:id="rId11">
        <w:r w:rsidRPr="70BB5D4D">
          <w:rPr>
            <w:rStyle w:val="Hyperlink"/>
            <w:lang w:val="en"/>
          </w:rPr>
          <w:t>https://www-tandfonline-com.ezproxy.uwtsd.ac.uk/doi/citedby/10.1080/14729670701717580?scroll=top&amp;needAccess=true</w:t>
        </w:r>
      </w:hyperlink>
      <w:r w:rsidRPr="70BB5D4D">
        <w:rPr>
          <w:lang w:val="en"/>
        </w:rPr>
        <w:t xml:space="preserve"> [Accessed 19 May 2019]</w:t>
      </w:r>
    </w:p>
    <w:p w14:paraId="2833DB29" w14:textId="3C372F79" w:rsidR="70BB5D4D" w:rsidRDefault="70BB5D4D" w:rsidP="70BB5D4D">
      <w:pPr>
        <w:rPr>
          <w:lang w:val="en"/>
        </w:rPr>
      </w:pPr>
      <w:proofErr w:type="spellStart"/>
      <w:r w:rsidRPr="70BB5D4D">
        <w:rPr>
          <w:lang w:val="en"/>
        </w:rPr>
        <w:t>Nidirect</w:t>
      </w:r>
      <w:proofErr w:type="spellEnd"/>
      <w:r w:rsidRPr="70BB5D4D">
        <w:rPr>
          <w:lang w:val="en"/>
        </w:rPr>
        <w:t xml:space="preserve"> (no date) </w:t>
      </w:r>
      <w:r w:rsidRPr="70BB5D4D">
        <w:rPr>
          <w:i/>
          <w:iCs/>
        </w:rPr>
        <w:t xml:space="preserve">Pupil health and safety </w:t>
      </w:r>
      <w:r w:rsidRPr="70BB5D4D">
        <w:t xml:space="preserve">Available at:- </w:t>
      </w:r>
      <w:hyperlink r:id="rId12">
        <w:r w:rsidRPr="70BB5D4D">
          <w:rPr>
            <w:rStyle w:val="Hyperlink"/>
            <w:rFonts w:ascii="Calibri" w:eastAsia="Calibri" w:hAnsi="Calibri" w:cs="Calibri"/>
          </w:rPr>
          <w:t>https://www.nidirect.gov.uk/articles/pupil-health-and-safety</w:t>
        </w:r>
      </w:hyperlink>
      <w:r w:rsidRPr="70BB5D4D">
        <w:rPr>
          <w:rFonts w:ascii="Calibri" w:eastAsia="Calibri" w:hAnsi="Calibri" w:cs="Calibri"/>
        </w:rPr>
        <w:t xml:space="preserve"> [Accessed 19 May 2019]</w:t>
      </w:r>
    </w:p>
    <w:p w14:paraId="10B6E6EE" w14:textId="5112A3A4" w:rsidR="70BB5D4D" w:rsidRDefault="70BB5D4D" w:rsidP="70BB5D4D">
      <w:pPr>
        <w:rPr>
          <w:rFonts w:ascii="Calibri" w:eastAsia="Calibri" w:hAnsi="Calibri" w:cs="Calibri"/>
        </w:rPr>
      </w:pPr>
      <w:r w:rsidRPr="70BB5D4D">
        <w:rPr>
          <w:rFonts w:ascii="Calibri" w:eastAsia="Calibri" w:hAnsi="Calibri" w:cs="Calibri"/>
        </w:rPr>
        <w:t xml:space="preserve">Outdoor Education Advisers’ Panel (2019) </w:t>
      </w:r>
      <w:r w:rsidRPr="70BB5D4D">
        <w:rPr>
          <w:rFonts w:ascii="Calibri" w:eastAsia="Calibri" w:hAnsi="Calibri" w:cs="Calibri"/>
          <w:i/>
          <w:iCs/>
        </w:rPr>
        <w:t>Ratios and Effective Supervision</w:t>
      </w:r>
      <w:r w:rsidRPr="70BB5D4D">
        <w:rPr>
          <w:rFonts w:ascii="Calibri" w:eastAsia="Calibri" w:hAnsi="Calibri" w:cs="Calibri"/>
        </w:rPr>
        <w:t xml:space="preserve"> Available </w:t>
      </w:r>
      <w:proofErr w:type="gramStart"/>
      <w:r w:rsidRPr="70BB5D4D">
        <w:rPr>
          <w:rFonts w:ascii="Calibri" w:eastAsia="Calibri" w:hAnsi="Calibri" w:cs="Calibri"/>
        </w:rPr>
        <w:t>at:-</w:t>
      </w:r>
      <w:proofErr w:type="gramEnd"/>
      <w:r w:rsidRPr="70BB5D4D">
        <w:rPr>
          <w:rFonts w:ascii="Calibri" w:eastAsia="Calibri" w:hAnsi="Calibri" w:cs="Calibri"/>
        </w:rPr>
        <w:t xml:space="preserve"> </w:t>
      </w:r>
      <w:hyperlink r:id="rId13">
        <w:r w:rsidRPr="70BB5D4D">
          <w:rPr>
            <w:rStyle w:val="Hyperlink"/>
            <w:rFonts w:ascii="Calibri" w:eastAsia="Calibri" w:hAnsi="Calibri" w:cs="Calibri"/>
          </w:rPr>
          <w:t>https://oeapng.info/</w:t>
        </w:r>
      </w:hyperlink>
      <w:r w:rsidRPr="70BB5D4D">
        <w:rPr>
          <w:rFonts w:ascii="Calibri" w:eastAsia="Calibri" w:hAnsi="Calibri" w:cs="Calibri"/>
        </w:rPr>
        <w:t xml:space="preserve"> [Accessed 19 May 2019]</w:t>
      </w:r>
    </w:p>
    <w:p w14:paraId="36A73368" w14:textId="38852BD6" w:rsidR="7E5BE953" w:rsidRDefault="70BB5D4D" w:rsidP="70BB5D4D">
      <w:pPr>
        <w:rPr>
          <w:lang w:val="en"/>
        </w:rPr>
      </w:pPr>
      <w:r w:rsidRPr="70BB5D4D">
        <w:rPr>
          <w:lang w:val="en"/>
        </w:rPr>
        <w:t xml:space="preserve">Piaget (1964) </w:t>
      </w:r>
      <w:r w:rsidRPr="70BB5D4D">
        <w:rPr>
          <w:i/>
          <w:iCs/>
          <w:lang w:val="en"/>
        </w:rPr>
        <w:t>Part I: Cognitive development in children: Piaget development and learning</w:t>
      </w:r>
      <w:r w:rsidRPr="70BB5D4D">
        <w:rPr>
          <w:lang w:val="en"/>
        </w:rPr>
        <w:t xml:space="preserve"> Available at:- </w:t>
      </w:r>
      <w:hyperlink r:id="rId14">
        <w:r w:rsidRPr="70BB5D4D">
          <w:rPr>
            <w:rStyle w:val="Hyperlink"/>
            <w:lang w:val="en"/>
          </w:rPr>
          <w:t>https://www.researchgate.net/profile/Rasoul_Masoomi/post/Has_anyobody_got_that_in_PDF-Part_I_Cognitive_development_in_children_Piaget_development_and_learning/attachment/5a9d3591b53d2f0bba55fd53/AS%3A600795867254784%401520252305150/download/piaget1964.pdf</w:t>
        </w:r>
      </w:hyperlink>
      <w:r w:rsidRPr="70BB5D4D">
        <w:rPr>
          <w:lang w:val="en"/>
        </w:rPr>
        <w:t xml:space="preserve"> [Accessed 19 May 2019]</w:t>
      </w:r>
    </w:p>
    <w:p w14:paraId="426AFEE7" w14:textId="4A5F17F1" w:rsidR="7FAD7735" w:rsidRDefault="70BB5D4D" w:rsidP="70BB5D4D">
      <w:proofErr w:type="spellStart"/>
      <w:r w:rsidRPr="70BB5D4D">
        <w:t>Puzzlewood</w:t>
      </w:r>
      <w:proofErr w:type="spellEnd"/>
      <w:r w:rsidRPr="70BB5D4D">
        <w:t xml:space="preserve"> (2019) </w:t>
      </w:r>
      <w:r w:rsidRPr="70BB5D4D">
        <w:rPr>
          <w:i/>
          <w:iCs/>
        </w:rPr>
        <w:t xml:space="preserve">Discover the magic of </w:t>
      </w:r>
      <w:proofErr w:type="spellStart"/>
      <w:r w:rsidRPr="70BB5D4D">
        <w:rPr>
          <w:i/>
          <w:iCs/>
        </w:rPr>
        <w:t>Puzzlewood</w:t>
      </w:r>
      <w:proofErr w:type="spellEnd"/>
      <w:r w:rsidRPr="70BB5D4D">
        <w:t xml:space="preserve"> Available </w:t>
      </w:r>
      <w:proofErr w:type="gramStart"/>
      <w:r w:rsidRPr="70BB5D4D">
        <w:t>at:-</w:t>
      </w:r>
      <w:proofErr w:type="gramEnd"/>
      <w:r w:rsidRPr="70BB5D4D">
        <w:t xml:space="preserve">  </w:t>
      </w:r>
      <w:hyperlink r:id="rId15">
        <w:r w:rsidRPr="70BB5D4D">
          <w:rPr>
            <w:rStyle w:val="Hyperlink"/>
          </w:rPr>
          <w:t>https://www.puzzlewood.net/index.php</w:t>
        </w:r>
      </w:hyperlink>
      <w:r w:rsidRPr="70BB5D4D">
        <w:t xml:space="preserve"> [Accessed 17 May 2019]</w:t>
      </w:r>
    </w:p>
    <w:p w14:paraId="2DF6AF16" w14:textId="63C22FC4" w:rsidR="7E5BE953" w:rsidRDefault="70BB5D4D" w:rsidP="70BB5D4D">
      <w:pPr>
        <w:rPr>
          <w:rFonts w:ascii="Calibri" w:eastAsia="Calibri" w:hAnsi="Calibri" w:cs="Calibri"/>
        </w:rPr>
      </w:pPr>
      <w:proofErr w:type="spellStart"/>
      <w:r w:rsidRPr="70BB5D4D">
        <w:lastRenderedPageBreak/>
        <w:t>Puzzlewood</w:t>
      </w:r>
      <w:proofErr w:type="spellEnd"/>
      <w:r w:rsidRPr="70BB5D4D">
        <w:t xml:space="preserve"> (2019a) </w:t>
      </w:r>
      <w:r w:rsidRPr="70BB5D4D">
        <w:rPr>
          <w:i/>
          <w:iCs/>
        </w:rPr>
        <w:t>The Wood: A Brief History</w:t>
      </w:r>
      <w:r w:rsidRPr="70BB5D4D">
        <w:t xml:space="preserve"> Available at:- </w:t>
      </w:r>
      <w:hyperlink r:id="rId16">
        <w:r w:rsidRPr="70BB5D4D">
          <w:rPr>
            <w:rStyle w:val="Hyperlink"/>
          </w:rPr>
          <w:t>https://www.puzzlewood.net/index.php/puzzlewood-facilties/about-the-wood</w:t>
        </w:r>
      </w:hyperlink>
      <w:r w:rsidRPr="70BB5D4D">
        <w:t xml:space="preserve"> [Accessed 18 May 2019]</w:t>
      </w:r>
    </w:p>
    <w:p w14:paraId="6EE15337" w14:textId="070B9DF2" w:rsidR="70BB5D4D" w:rsidRDefault="70BB5D4D" w:rsidP="70BB5D4D">
      <w:pPr>
        <w:rPr>
          <w:rFonts w:ascii="Calibri" w:eastAsia="Calibri" w:hAnsi="Calibri" w:cs="Calibri"/>
        </w:rPr>
      </w:pPr>
      <w:r w:rsidRPr="70BB5D4D">
        <w:t xml:space="preserve">Palmer, S. (2006) </w:t>
      </w:r>
      <w:r w:rsidRPr="70BB5D4D">
        <w:rPr>
          <w:i/>
          <w:iCs/>
        </w:rPr>
        <w:t>Toxic childhood how to modern world is damaging out children and what we can do about it</w:t>
      </w:r>
      <w:r w:rsidRPr="70BB5D4D">
        <w:t>. London: Orion Books Ltd.</w:t>
      </w:r>
    </w:p>
    <w:p w14:paraId="21252871" w14:textId="786AEDEA" w:rsidR="7FAD7735" w:rsidRDefault="70BB5D4D" w:rsidP="70BB5D4D">
      <w:r w:rsidRPr="70BB5D4D">
        <w:t xml:space="preserve">The Council for Learning Outside the Classroom (2009) </w:t>
      </w:r>
      <w:r w:rsidRPr="70BB5D4D">
        <w:rPr>
          <w:i/>
          <w:iCs/>
        </w:rPr>
        <w:t xml:space="preserve">Benefits for Early Years of Learning Outside the Classroom </w:t>
      </w:r>
      <w:r w:rsidRPr="70BB5D4D">
        <w:t xml:space="preserve">Available at:- </w:t>
      </w:r>
      <w:hyperlink r:id="rId17">
        <w:r w:rsidRPr="70BB5D4D">
          <w:rPr>
            <w:rStyle w:val="Hyperlink"/>
          </w:rPr>
          <w:t>https://www.lotc.org.uk/wp-content/uploads/2010/12/Benefits-for-Early-Years-LOtC-Final-5AUG09.pdf</w:t>
        </w:r>
      </w:hyperlink>
      <w:r w:rsidRPr="70BB5D4D">
        <w:t xml:space="preserve"> [Accessed 17 May 2019]</w:t>
      </w:r>
    </w:p>
    <w:p w14:paraId="39210B66" w14:textId="5B83B8D0" w:rsidR="7FAD7735" w:rsidRDefault="70BB5D4D" w:rsidP="7FAD7735">
      <w:r w:rsidRPr="70BB5D4D">
        <w:t>The Glossary of Education Reform (2013) L</w:t>
      </w:r>
      <w:r w:rsidRPr="70BB5D4D">
        <w:rPr>
          <w:i/>
          <w:iCs/>
        </w:rPr>
        <w:t>earning Environment</w:t>
      </w:r>
      <w:r w:rsidRPr="70BB5D4D">
        <w:t xml:space="preserve"> Available at: - </w:t>
      </w:r>
      <w:hyperlink r:id="rId18">
        <w:r w:rsidRPr="70BB5D4D">
          <w:rPr>
            <w:rStyle w:val="Hyperlink"/>
          </w:rPr>
          <w:t>https://www.edglossary.org/learning-environment/</w:t>
        </w:r>
      </w:hyperlink>
      <w:r w:rsidRPr="70BB5D4D">
        <w:t xml:space="preserve"> [Accessed 17 May 2019]</w:t>
      </w:r>
    </w:p>
    <w:p w14:paraId="4FEADDDD" w14:textId="2EFC5FDB" w:rsidR="70BB5D4D" w:rsidRDefault="70BB5D4D" w:rsidP="70BB5D4D">
      <w:pPr>
        <w:rPr>
          <w:i/>
          <w:iCs/>
        </w:rPr>
      </w:pPr>
      <w:r w:rsidRPr="70BB5D4D">
        <w:t xml:space="preserve">Welsh Government (2019) </w:t>
      </w:r>
      <w:r w:rsidRPr="70BB5D4D">
        <w:rPr>
          <w:i/>
          <w:iCs/>
        </w:rPr>
        <w:t xml:space="preserve">Digital Competence Framework Foundation Phase </w:t>
      </w:r>
      <w:r w:rsidRPr="70BB5D4D">
        <w:t xml:space="preserve">Available at:- </w:t>
      </w:r>
      <w:hyperlink r:id="rId19">
        <w:r w:rsidRPr="70BB5D4D">
          <w:rPr>
            <w:rStyle w:val="Hyperlink"/>
            <w:rFonts w:ascii="Calibri" w:eastAsia="Calibri" w:hAnsi="Calibri" w:cs="Calibri"/>
          </w:rPr>
          <w:t>https://s3-eu-west-1.amazonaws.com/hwb-live-storage/68/81/ea/85/8982401eaabf68ed34d81963/dcf-foundation-phase.pdf</w:t>
        </w:r>
      </w:hyperlink>
      <w:r w:rsidRPr="70BB5D4D">
        <w:rPr>
          <w:rFonts w:ascii="Calibri" w:eastAsia="Calibri" w:hAnsi="Calibri" w:cs="Calibri"/>
        </w:rPr>
        <w:t xml:space="preserve"> [Accessed 19 May 2019]</w:t>
      </w:r>
    </w:p>
    <w:sectPr w:rsidR="70BB5D4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B3ABC"/>
    <w:rsid w:val="00076587"/>
    <w:rsid w:val="018B3ABC"/>
    <w:rsid w:val="0E02EF5D"/>
    <w:rsid w:val="1FCC726D"/>
    <w:rsid w:val="3419F005"/>
    <w:rsid w:val="3FAE9938"/>
    <w:rsid w:val="40CC96CA"/>
    <w:rsid w:val="48DDDB04"/>
    <w:rsid w:val="6088CA5A"/>
    <w:rsid w:val="70BB5D4D"/>
    <w:rsid w:val="7E5BE953"/>
    <w:rsid w:val="7FAD7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96CA"/>
  <w15:chartTrackingRefBased/>
  <w15:docId w15:val="{E09C68DF-19EA-44BC-B73F-B97FE0826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803-fp-framework-en.pdf" TargetMode="External"/><Relationship Id="rId13" Type="http://schemas.openxmlformats.org/officeDocument/2006/relationships/hyperlink" Target="https://oeapng.info/" TargetMode="External"/><Relationship Id="rId18" Type="http://schemas.openxmlformats.org/officeDocument/2006/relationships/hyperlink" Target="https://www.edglossary.org/learning-environ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nidirect.gov.uk/articles/pupil-health-and-safety" TargetMode="External"/><Relationship Id="rId17" Type="http://schemas.openxmlformats.org/officeDocument/2006/relationships/hyperlink" Target="https://www.lotc.org.uk/wp-content/uploads/2010/12/Benefits-for-Early-Years-LOtC-Final-5AUG09.pdf" TargetMode="External"/><Relationship Id="rId2" Type="http://schemas.openxmlformats.org/officeDocument/2006/relationships/settings" Target="settings.xml"/><Relationship Id="rId16" Type="http://schemas.openxmlformats.org/officeDocument/2006/relationships/hyperlink" Target="https://www.puzzlewood.net/index.php/puzzlewood-facilties/about-the-wood"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tandfonline-com.ezproxy.uwtsd.ac.uk/doi/citedby/10.1080/14729670701717580?scroll=top&amp;needAccess=true" TargetMode="External"/><Relationship Id="rId5" Type="http://schemas.openxmlformats.org/officeDocument/2006/relationships/hyperlink" Target="http://www.ascd.org/publications/books/108008/chapters/Learning-Through-Reflection.aspx" TargetMode="External"/><Relationship Id="rId15" Type="http://schemas.openxmlformats.org/officeDocument/2006/relationships/hyperlink" Target="https://www.puzzlewood.net/index.php" TargetMode="External"/><Relationship Id="rId10" Type="http://schemas.openxmlformats.org/officeDocument/2006/relationships/hyperlink" Target="https://www.simplypsychology.org/piaget.html" TargetMode="External"/><Relationship Id="rId19" Type="http://schemas.openxmlformats.org/officeDocument/2006/relationships/hyperlink" Target="https://s3-eu-west-1.amazonaws.com/hwb-live-storage/68/81/ea/85/8982401eaabf68ed34d81963/dcf-foundation-phase.pdf" TargetMode="External"/><Relationship Id="rId4" Type="http://schemas.openxmlformats.org/officeDocument/2006/relationships/hyperlink" Target="https://cft.vanderbilt.edu/guides-sub-pages/blooms-taxonomy/" TargetMode="External"/><Relationship Id="rId9" Type="http://schemas.openxmlformats.org/officeDocument/2006/relationships/hyperlink" Target="https://learning.gov.wales/docs/learningwales/publications/150803-fp-framework-en.pdf" TargetMode="External"/><Relationship Id="rId14" Type="http://schemas.openxmlformats.org/officeDocument/2006/relationships/hyperlink" Target="https://www.researchgate.net/profile/Rasoul_Masoomi/post/Has_anyobody_got_that_in_PDF-Part_I_Cognitive_development_in_children_Piaget_development_and_learning/attachment/5a9d3591b53d2f0bba55fd53/AS%3A600795867254784%401520252305150/download/piaget196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3389</Words>
  <Characters>19323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Wright (1801326)</dc:creator>
  <cp:keywords/>
  <dc:description/>
  <cp:lastModifiedBy>caitlin wright</cp:lastModifiedBy>
  <cp:revision>2</cp:revision>
  <dcterms:created xsi:type="dcterms:W3CDTF">2019-05-22T10:25:00Z</dcterms:created>
  <dcterms:modified xsi:type="dcterms:W3CDTF">2019-05-22T10:25:00Z</dcterms:modified>
</cp:coreProperties>
</file>