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BFE8D" w14:textId="77777777" w:rsidR="00245F28" w:rsidRDefault="00DF75C7">
      <w:r>
        <w:rPr>
          <w:noProof/>
        </w:rPr>
        <w:drawing>
          <wp:anchor distT="0" distB="0" distL="114300" distR="114300" simplePos="0" relativeHeight="251658240" behindDoc="1" locked="0" layoutInCell="1" allowOverlap="1" wp14:anchorId="3B3B90A9" wp14:editId="77296BFF">
            <wp:simplePos x="0" y="0"/>
            <wp:positionH relativeFrom="column">
              <wp:posOffset>69215</wp:posOffset>
            </wp:positionH>
            <wp:positionV relativeFrom="paragraph">
              <wp:posOffset>5080</wp:posOffset>
            </wp:positionV>
            <wp:extent cx="2750186" cy="994632"/>
            <wp:effectExtent l="0" t="0" r="0" b="0"/>
            <wp:wrapNone/>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8">
                      <a:extLst>
                        <a:ext uri="{28A0092B-C50C-407E-A947-70E740481C1C}">
                          <a14:useLocalDpi xmlns:a14="http://schemas.microsoft.com/office/drawing/2010/main" val="0"/>
                        </a:ext>
                      </a:extLst>
                    </a:blip>
                    <a:stretch>
                      <a:fillRect/>
                    </a:stretch>
                  </pic:blipFill>
                  <pic:spPr>
                    <a:xfrm>
                      <a:off x="0" y="0"/>
                      <a:ext cx="2750186" cy="994632"/>
                    </a:xfrm>
                    <a:prstGeom prst="rect">
                      <a:avLst/>
                    </a:prstGeom>
                  </pic:spPr>
                </pic:pic>
              </a:graphicData>
            </a:graphic>
            <wp14:sizeRelH relativeFrom="page">
              <wp14:pctWidth>0</wp14:pctWidth>
            </wp14:sizeRelH>
            <wp14:sizeRelV relativeFrom="page">
              <wp14:pctHeight>0</wp14:pctHeight>
            </wp14:sizeRelV>
          </wp:anchor>
        </w:drawing>
      </w:r>
    </w:p>
    <w:p w14:paraId="7DA12017" w14:textId="77777777" w:rsidR="00245F28" w:rsidRPr="00245F28" w:rsidRDefault="00245F28" w:rsidP="00245F28"/>
    <w:tbl>
      <w:tblPr>
        <w:tblStyle w:val="TableGrid"/>
        <w:tblpPr w:leftFromText="180" w:rightFromText="180" w:vertAnchor="text" w:tblpY="474"/>
        <w:tblW w:w="10185" w:type="dxa"/>
        <w:tblInd w:w="0" w:type="dxa"/>
        <w:tblCellMar>
          <w:top w:w="11" w:type="dxa"/>
          <w:left w:w="107" w:type="dxa"/>
          <w:right w:w="43" w:type="dxa"/>
        </w:tblCellMar>
        <w:tblLook w:val="04A0" w:firstRow="1" w:lastRow="0" w:firstColumn="1" w:lastColumn="0" w:noHBand="0" w:noVBand="1"/>
      </w:tblPr>
      <w:tblGrid>
        <w:gridCol w:w="1853"/>
        <w:gridCol w:w="3927"/>
        <w:gridCol w:w="2461"/>
        <w:gridCol w:w="1944"/>
      </w:tblGrid>
      <w:tr w:rsidR="00DD048C" w14:paraId="3442862F" w14:textId="77777777" w:rsidTr="00DD048C">
        <w:trPr>
          <w:trHeight w:val="987"/>
        </w:trPr>
        <w:tc>
          <w:tcPr>
            <w:tcW w:w="10185" w:type="dxa"/>
            <w:gridSpan w:val="4"/>
            <w:tcBorders>
              <w:top w:val="single" w:sz="4" w:space="0" w:color="000000"/>
              <w:left w:val="single" w:sz="4" w:space="0" w:color="000000"/>
              <w:bottom w:val="single" w:sz="4" w:space="0" w:color="000000"/>
              <w:right w:val="single" w:sz="4" w:space="0" w:color="000000"/>
            </w:tcBorders>
            <w:shd w:val="clear" w:color="auto" w:fill="C0C0C0"/>
          </w:tcPr>
          <w:p w14:paraId="29590D64" w14:textId="77777777" w:rsidR="00DD048C" w:rsidRDefault="00DD048C" w:rsidP="00DD048C">
            <w:pPr>
              <w:ind w:right="68"/>
              <w:jc w:val="center"/>
            </w:pPr>
            <w:r>
              <w:rPr>
                <w:rFonts w:eastAsia="Arial" w:cs="Arial"/>
                <w:b/>
                <w:sz w:val="44"/>
              </w:rPr>
              <w:t xml:space="preserve">LEVEL 5 DEGREE ASSIGNMENT </w:t>
            </w:r>
          </w:p>
          <w:p w14:paraId="586372B1" w14:textId="77777777" w:rsidR="00DD048C" w:rsidRDefault="00DD048C" w:rsidP="00DD048C">
            <w:pPr>
              <w:ind w:right="67"/>
              <w:jc w:val="center"/>
            </w:pPr>
            <w:r>
              <w:rPr>
                <w:rFonts w:eastAsia="Arial" w:cs="Arial"/>
                <w:b/>
                <w:sz w:val="44"/>
              </w:rPr>
              <w:t xml:space="preserve">SPECIFICATION </w:t>
            </w:r>
          </w:p>
          <w:p w14:paraId="7A33E76F" w14:textId="77777777" w:rsidR="00DD048C" w:rsidRDefault="00DD048C" w:rsidP="00DD048C">
            <w:pPr>
              <w:ind w:right="69"/>
              <w:jc w:val="center"/>
            </w:pPr>
            <w:r>
              <w:rPr>
                <w:rFonts w:eastAsia="Arial" w:cs="Arial"/>
                <w:sz w:val="28"/>
              </w:rPr>
              <w:t xml:space="preserve">SCHOOL OF INTERNATIONAL HOTEL MANAGEMENT </w:t>
            </w:r>
          </w:p>
        </w:tc>
      </w:tr>
      <w:tr w:rsidR="00DD048C" w14:paraId="672559AC" w14:textId="77777777" w:rsidTr="00DD048C">
        <w:trPr>
          <w:trHeight w:val="335"/>
        </w:trPr>
        <w:tc>
          <w:tcPr>
            <w:tcW w:w="18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229276" w14:textId="77777777" w:rsidR="00DD048C" w:rsidRDefault="00DD048C" w:rsidP="00DD048C">
            <w:r>
              <w:rPr>
                <w:rFonts w:eastAsia="Arial" w:cs="Arial"/>
                <w:b/>
              </w:rPr>
              <w:t xml:space="preserve">Student name: </w:t>
            </w:r>
          </w:p>
        </w:tc>
        <w:tc>
          <w:tcPr>
            <w:tcW w:w="3927" w:type="dxa"/>
            <w:tcBorders>
              <w:top w:val="single" w:sz="4" w:space="0" w:color="000000"/>
              <w:left w:val="single" w:sz="4" w:space="0" w:color="000000"/>
              <w:bottom w:val="single" w:sz="4" w:space="0" w:color="000000"/>
              <w:right w:val="single" w:sz="4" w:space="0" w:color="000000"/>
            </w:tcBorders>
            <w:vAlign w:val="center"/>
          </w:tcPr>
          <w:p w14:paraId="0459AD76" w14:textId="67FF9C8E" w:rsidR="00DD048C" w:rsidRDefault="00DD048C" w:rsidP="00DD048C">
            <w:pPr>
              <w:ind w:left="2"/>
            </w:pPr>
            <w:r>
              <w:rPr>
                <w:rFonts w:eastAsia="Arial" w:cs="Arial"/>
                <w:b/>
              </w:rPr>
              <w:t xml:space="preserve"> </w:t>
            </w:r>
            <w:r w:rsidR="00901B9C">
              <w:rPr>
                <w:rFonts w:cs="Arial"/>
                <w:b/>
              </w:rPr>
              <w:t>Nina Sokhan Kalashnikova</w:t>
            </w:r>
          </w:p>
        </w:tc>
        <w:tc>
          <w:tcPr>
            <w:tcW w:w="24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602D41" w14:textId="77777777" w:rsidR="00DD048C" w:rsidRDefault="00DD048C" w:rsidP="00DD048C">
            <w:proofErr w:type="gramStart"/>
            <w:r>
              <w:rPr>
                <w:rFonts w:eastAsia="Arial" w:cs="Arial"/>
                <w:b/>
              </w:rPr>
              <w:t>Student  number</w:t>
            </w:r>
            <w:proofErr w:type="gramEnd"/>
            <w:r>
              <w:rPr>
                <w:rFonts w:eastAsia="Arial" w:cs="Arial"/>
                <w:b/>
              </w:rPr>
              <w:t xml:space="preserve">: </w:t>
            </w:r>
          </w:p>
        </w:tc>
        <w:tc>
          <w:tcPr>
            <w:tcW w:w="1944" w:type="dxa"/>
            <w:tcBorders>
              <w:top w:val="single" w:sz="4" w:space="0" w:color="000000"/>
              <w:left w:val="single" w:sz="4" w:space="0" w:color="000000"/>
              <w:bottom w:val="single" w:sz="4" w:space="0" w:color="000000"/>
              <w:right w:val="single" w:sz="4" w:space="0" w:color="000000"/>
            </w:tcBorders>
            <w:vAlign w:val="center"/>
          </w:tcPr>
          <w:p w14:paraId="27B508F5" w14:textId="40509FB9" w:rsidR="00DD048C" w:rsidRDefault="00DD048C" w:rsidP="00DD048C">
            <w:pPr>
              <w:ind w:left="3"/>
            </w:pPr>
            <w:r>
              <w:rPr>
                <w:rFonts w:eastAsia="Arial" w:cs="Arial"/>
                <w:b/>
              </w:rPr>
              <w:t xml:space="preserve"> </w:t>
            </w:r>
            <w:r w:rsidR="00901B9C">
              <w:rPr>
                <w:rFonts w:eastAsia="Arial" w:cs="Arial"/>
                <w:b/>
              </w:rPr>
              <w:t>2234899</w:t>
            </w:r>
          </w:p>
        </w:tc>
      </w:tr>
      <w:tr w:rsidR="00DD048C" w14:paraId="7E570377" w14:textId="77777777" w:rsidTr="00DD048C">
        <w:trPr>
          <w:trHeight w:val="334"/>
        </w:trPr>
        <w:tc>
          <w:tcPr>
            <w:tcW w:w="18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EDFDF1" w14:textId="77777777" w:rsidR="00DD048C" w:rsidRDefault="00DD048C" w:rsidP="00DD048C">
            <w:proofErr w:type="spellStart"/>
            <w:r>
              <w:rPr>
                <w:rFonts w:eastAsia="Arial" w:cs="Arial"/>
                <w:b/>
              </w:rPr>
              <w:t>Programmes</w:t>
            </w:r>
            <w:proofErr w:type="spellEnd"/>
            <w:r>
              <w:rPr>
                <w:rFonts w:eastAsia="Arial" w:cs="Arial"/>
                <w:b/>
              </w:rPr>
              <w:t xml:space="preserve">: </w:t>
            </w:r>
          </w:p>
        </w:tc>
        <w:tc>
          <w:tcPr>
            <w:tcW w:w="8332" w:type="dxa"/>
            <w:gridSpan w:val="3"/>
            <w:tcBorders>
              <w:top w:val="single" w:sz="4" w:space="0" w:color="000000"/>
              <w:left w:val="single" w:sz="4" w:space="0" w:color="000000"/>
              <w:bottom w:val="single" w:sz="4" w:space="0" w:color="000000"/>
              <w:right w:val="single" w:sz="4" w:space="0" w:color="000000"/>
            </w:tcBorders>
            <w:vAlign w:val="center"/>
          </w:tcPr>
          <w:p w14:paraId="2B33D3F4" w14:textId="77777777" w:rsidR="00DD048C" w:rsidRDefault="00DD048C" w:rsidP="00DD048C">
            <w:pPr>
              <w:ind w:left="2"/>
            </w:pPr>
            <w:r>
              <w:rPr>
                <w:rFonts w:eastAsia="Arial" w:cs="Arial"/>
                <w:b/>
              </w:rPr>
              <w:t xml:space="preserve">BA (Hons) International Hotel Management </w:t>
            </w:r>
          </w:p>
        </w:tc>
      </w:tr>
      <w:tr w:rsidR="00DD048C" w14:paraId="7B3377F1" w14:textId="77777777" w:rsidTr="00DD048C">
        <w:trPr>
          <w:trHeight w:val="746"/>
        </w:trPr>
        <w:tc>
          <w:tcPr>
            <w:tcW w:w="1853" w:type="dxa"/>
            <w:tcBorders>
              <w:top w:val="single" w:sz="4" w:space="0" w:color="000000"/>
              <w:left w:val="single" w:sz="4" w:space="0" w:color="000000"/>
              <w:bottom w:val="single" w:sz="4" w:space="0" w:color="000000"/>
              <w:right w:val="single" w:sz="4" w:space="0" w:color="000000"/>
            </w:tcBorders>
            <w:shd w:val="clear" w:color="auto" w:fill="D9D9D9"/>
          </w:tcPr>
          <w:p w14:paraId="6B2CE589" w14:textId="77777777" w:rsidR="00DD048C" w:rsidRDefault="00DD048C" w:rsidP="00DD048C">
            <w:r>
              <w:rPr>
                <w:rFonts w:eastAsia="Arial" w:cs="Arial"/>
                <w:b/>
              </w:rPr>
              <w:t xml:space="preserve">Module: </w:t>
            </w:r>
          </w:p>
        </w:tc>
        <w:tc>
          <w:tcPr>
            <w:tcW w:w="3927" w:type="dxa"/>
            <w:tcBorders>
              <w:top w:val="single" w:sz="4" w:space="0" w:color="000000"/>
              <w:left w:val="single" w:sz="4" w:space="0" w:color="000000"/>
              <w:bottom w:val="single" w:sz="4" w:space="0" w:color="000000"/>
              <w:right w:val="single" w:sz="4" w:space="0" w:color="000000"/>
            </w:tcBorders>
          </w:tcPr>
          <w:p w14:paraId="346EBBF8" w14:textId="77777777" w:rsidR="00DD048C" w:rsidRDefault="00DD048C" w:rsidP="00DD048C">
            <w:pPr>
              <w:spacing w:after="192" w:line="279" w:lineRule="auto"/>
              <w:ind w:left="2"/>
            </w:pPr>
            <w:r>
              <w:rPr>
                <w:rFonts w:eastAsia="Arial" w:cs="Arial"/>
                <w:b/>
              </w:rPr>
              <w:t xml:space="preserve">Personnel Resourcing and Development </w:t>
            </w:r>
          </w:p>
          <w:p w14:paraId="172DF509" w14:textId="77777777" w:rsidR="00DD048C" w:rsidRDefault="00DD048C" w:rsidP="00DD048C">
            <w:pPr>
              <w:ind w:left="2"/>
            </w:pPr>
            <w:r>
              <w:rPr>
                <w:rFonts w:eastAsia="Arial" w:cs="Arial"/>
                <w:b/>
              </w:rPr>
              <w:t xml:space="preserve"> </w:t>
            </w:r>
          </w:p>
        </w:tc>
        <w:tc>
          <w:tcPr>
            <w:tcW w:w="2461" w:type="dxa"/>
            <w:tcBorders>
              <w:top w:val="single" w:sz="4" w:space="0" w:color="000000"/>
              <w:left w:val="single" w:sz="4" w:space="0" w:color="000000"/>
              <w:bottom w:val="single" w:sz="4" w:space="0" w:color="000000"/>
              <w:right w:val="single" w:sz="4" w:space="0" w:color="000000"/>
            </w:tcBorders>
            <w:shd w:val="clear" w:color="auto" w:fill="D9D9D9"/>
          </w:tcPr>
          <w:p w14:paraId="591E08E0" w14:textId="77777777" w:rsidR="00DD048C" w:rsidRDefault="00DD048C" w:rsidP="00DD048C">
            <w:r>
              <w:rPr>
                <w:rFonts w:eastAsia="Arial" w:cs="Arial"/>
                <w:b/>
              </w:rPr>
              <w:t xml:space="preserve">Module Level (4, 5, 6): </w:t>
            </w:r>
          </w:p>
        </w:tc>
        <w:tc>
          <w:tcPr>
            <w:tcW w:w="1944" w:type="dxa"/>
            <w:tcBorders>
              <w:top w:val="single" w:sz="4" w:space="0" w:color="000000"/>
              <w:left w:val="single" w:sz="4" w:space="0" w:color="000000"/>
              <w:bottom w:val="single" w:sz="4" w:space="0" w:color="000000"/>
              <w:right w:val="single" w:sz="4" w:space="0" w:color="000000"/>
            </w:tcBorders>
          </w:tcPr>
          <w:p w14:paraId="70475276" w14:textId="77777777" w:rsidR="00DD048C" w:rsidRDefault="00DD048C" w:rsidP="00DD048C">
            <w:pPr>
              <w:ind w:left="3"/>
            </w:pPr>
            <w:r>
              <w:rPr>
                <w:rFonts w:eastAsia="Arial" w:cs="Arial"/>
                <w:b/>
              </w:rPr>
              <w:t xml:space="preserve">5 </w:t>
            </w:r>
          </w:p>
        </w:tc>
      </w:tr>
      <w:tr w:rsidR="00DD048C" w14:paraId="20971977" w14:textId="77777777" w:rsidTr="00DD048C">
        <w:trPr>
          <w:trHeight w:val="633"/>
        </w:trPr>
        <w:tc>
          <w:tcPr>
            <w:tcW w:w="1853" w:type="dxa"/>
            <w:tcBorders>
              <w:top w:val="single" w:sz="4" w:space="0" w:color="000000"/>
              <w:left w:val="single" w:sz="4" w:space="0" w:color="000000"/>
              <w:bottom w:val="single" w:sz="4" w:space="0" w:color="000000"/>
              <w:right w:val="single" w:sz="4" w:space="0" w:color="000000"/>
            </w:tcBorders>
            <w:shd w:val="clear" w:color="auto" w:fill="D9D9D9"/>
          </w:tcPr>
          <w:p w14:paraId="008D5B28" w14:textId="77777777" w:rsidR="00DD048C" w:rsidRDefault="00DD048C" w:rsidP="00DD048C">
            <w:r>
              <w:rPr>
                <w:rFonts w:eastAsia="Arial" w:cs="Arial"/>
                <w:b/>
              </w:rPr>
              <w:t xml:space="preserve">Module code: </w:t>
            </w:r>
          </w:p>
        </w:tc>
        <w:tc>
          <w:tcPr>
            <w:tcW w:w="3927" w:type="dxa"/>
            <w:tcBorders>
              <w:top w:val="single" w:sz="4" w:space="0" w:color="000000"/>
              <w:left w:val="single" w:sz="4" w:space="0" w:color="000000"/>
              <w:bottom w:val="single" w:sz="4" w:space="0" w:color="000000"/>
              <w:right w:val="single" w:sz="4" w:space="0" w:color="000000"/>
            </w:tcBorders>
          </w:tcPr>
          <w:p w14:paraId="49EEB1B9" w14:textId="77777777" w:rsidR="00DD048C" w:rsidRDefault="00DD048C" w:rsidP="00DD048C">
            <w:pPr>
              <w:ind w:left="2"/>
            </w:pPr>
            <w:r>
              <w:rPr>
                <w:rFonts w:eastAsia="Arial" w:cs="Arial"/>
                <w:b/>
              </w:rPr>
              <w:t xml:space="preserve">BMIH5005 </w:t>
            </w:r>
          </w:p>
        </w:tc>
        <w:tc>
          <w:tcPr>
            <w:tcW w:w="2461" w:type="dxa"/>
            <w:tcBorders>
              <w:top w:val="single" w:sz="4" w:space="0" w:color="000000"/>
              <w:left w:val="single" w:sz="4" w:space="0" w:color="000000"/>
              <w:bottom w:val="single" w:sz="4" w:space="0" w:color="000000"/>
              <w:right w:val="single" w:sz="4" w:space="0" w:color="000000"/>
            </w:tcBorders>
            <w:shd w:val="clear" w:color="auto" w:fill="D9D9D9"/>
          </w:tcPr>
          <w:p w14:paraId="6524D5C8" w14:textId="77777777" w:rsidR="00DD048C" w:rsidRDefault="00DD048C" w:rsidP="00DD048C">
            <w:r>
              <w:rPr>
                <w:rFonts w:eastAsia="Arial" w:cs="Arial"/>
                <w:b/>
              </w:rPr>
              <w:t xml:space="preserve">Contribution to </w:t>
            </w:r>
          </w:p>
          <w:p w14:paraId="512A3B36" w14:textId="77777777" w:rsidR="00DD048C" w:rsidRDefault="00DD048C" w:rsidP="00DD048C">
            <w:r>
              <w:rPr>
                <w:rFonts w:eastAsia="Arial" w:cs="Arial"/>
                <w:b/>
              </w:rPr>
              <w:t xml:space="preserve">Overall  </w:t>
            </w:r>
          </w:p>
          <w:p w14:paraId="5C2E737D" w14:textId="77777777" w:rsidR="00DD048C" w:rsidRDefault="00DD048C" w:rsidP="00DD048C">
            <w:r>
              <w:rPr>
                <w:rFonts w:eastAsia="Arial" w:cs="Arial"/>
                <w:b/>
              </w:rPr>
              <w:t xml:space="preserve">Module Assessment </w:t>
            </w:r>
          </w:p>
          <w:p w14:paraId="7D115953" w14:textId="77777777" w:rsidR="00DD048C" w:rsidRDefault="00DD048C" w:rsidP="00DD048C">
            <w:r>
              <w:rPr>
                <w:rFonts w:eastAsia="Arial" w:cs="Arial"/>
                <w:b/>
              </w:rPr>
              <w:t xml:space="preserve">(%): </w:t>
            </w:r>
          </w:p>
        </w:tc>
        <w:tc>
          <w:tcPr>
            <w:tcW w:w="1944" w:type="dxa"/>
            <w:tcBorders>
              <w:top w:val="single" w:sz="4" w:space="0" w:color="000000"/>
              <w:left w:val="single" w:sz="4" w:space="0" w:color="000000"/>
              <w:bottom w:val="single" w:sz="4" w:space="0" w:color="000000"/>
              <w:right w:val="single" w:sz="4" w:space="0" w:color="000000"/>
            </w:tcBorders>
          </w:tcPr>
          <w:p w14:paraId="1D9CB9F8" w14:textId="77777777" w:rsidR="00DD048C" w:rsidRDefault="00DD048C" w:rsidP="00DD048C">
            <w:pPr>
              <w:ind w:left="3"/>
            </w:pPr>
            <w:r>
              <w:rPr>
                <w:rFonts w:eastAsia="Arial" w:cs="Arial"/>
                <w:b/>
              </w:rPr>
              <w:t xml:space="preserve">50% </w:t>
            </w:r>
          </w:p>
        </w:tc>
      </w:tr>
      <w:tr w:rsidR="00DD048C" w14:paraId="52F986B6" w14:textId="77777777" w:rsidTr="00DD048C">
        <w:trPr>
          <w:trHeight w:val="335"/>
        </w:trPr>
        <w:tc>
          <w:tcPr>
            <w:tcW w:w="18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B8B0D0" w14:textId="77777777" w:rsidR="00DD048C" w:rsidRDefault="00DD048C" w:rsidP="00DD048C">
            <w:r>
              <w:rPr>
                <w:rFonts w:eastAsia="Arial" w:cs="Arial"/>
                <w:b/>
              </w:rPr>
              <w:t xml:space="preserve">Lecturer: </w:t>
            </w:r>
          </w:p>
        </w:tc>
        <w:tc>
          <w:tcPr>
            <w:tcW w:w="3927" w:type="dxa"/>
            <w:tcBorders>
              <w:top w:val="single" w:sz="4" w:space="0" w:color="000000"/>
              <w:left w:val="single" w:sz="4" w:space="0" w:color="000000"/>
              <w:bottom w:val="single" w:sz="4" w:space="0" w:color="000000"/>
              <w:right w:val="single" w:sz="4" w:space="0" w:color="000000"/>
            </w:tcBorders>
          </w:tcPr>
          <w:p w14:paraId="4B63F973" w14:textId="77777777" w:rsidR="00DD048C" w:rsidRDefault="00DD048C" w:rsidP="00DD048C">
            <w:pPr>
              <w:ind w:left="2"/>
            </w:pPr>
            <w:r>
              <w:rPr>
                <w:rFonts w:eastAsia="Arial" w:cs="Arial"/>
                <w:b/>
              </w:rPr>
              <w:t xml:space="preserve">Helen Lee  </w:t>
            </w:r>
          </w:p>
          <w:p w14:paraId="55657B1B" w14:textId="77777777" w:rsidR="00DD048C" w:rsidRDefault="00DD048C" w:rsidP="00DD048C">
            <w:pPr>
              <w:ind w:left="2"/>
            </w:pPr>
            <w:r>
              <w:rPr>
                <w:rFonts w:eastAsia="Arial" w:cs="Arial"/>
                <w:b/>
              </w:rPr>
              <w:t xml:space="preserve"> </w:t>
            </w:r>
          </w:p>
        </w:tc>
        <w:tc>
          <w:tcPr>
            <w:tcW w:w="24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309BD8" w14:textId="77777777" w:rsidR="00DD048C" w:rsidRDefault="00DD048C" w:rsidP="00DD048C">
            <w:r>
              <w:rPr>
                <w:rFonts w:eastAsia="Arial" w:cs="Arial"/>
                <w:b/>
              </w:rPr>
              <w:t xml:space="preserve">Internal Verifier: </w:t>
            </w:r>
          </w:p>
        </w:tc>
        <w:tc>
          <w:tcPr>
            <w:tcW w:w="1944" w:type="dxa"/>
            <w:tcBorders>
              <w:top w:val="single" w:sz="4" w:space="0" w:color="000000"/>
              <w:left w:val="single" w:sz="4" w:space="0" w:color="000000"/>
              <w:bottom w:val="single" w:sz="4" w:space="0" w:color="000000"/>
              <w:right w:val="single" w:sz="4" w:space="0" w:color="000000"/>
            </w:tcBorders>
            <w:vAlign w:val="center"/>
          </w:tcPr>
          <w:p w14:paraId="30D76990" w14:textId="77777777" w:rsidR="00DD048C" w:rsidRDefault="00DD048C" w:rsidP="00DD048C">
            <w:pPr>
              <w:ind w:left="3"/>
            </w:pPr>
            <w:r>
              <w:rPr>
                <w:rFonts w:eastAsia="Arial" w:cs="Arial"/>
                <w:b/>
              </w:rPr>
              <w:t xml:space="preserve">Kathryn Roberts </w:t>
            </w:r>
          </w:p>
        </w:tc>
      </w:tr>
      <w:tr w:rsidR="00DD048C" w14:paraId="45907D6A" w14:textId="77777777" w:rsidTr="00DD048C">
        <w:trPr>
          <w:trHeight w:val="1702"/>
        </w:trPr>
        <w:tc>
          <w:tcPr>
            <w:tcW w:w="1853" w:type="dxa"/>
            <w:tcBorders>
              <w:top w:val="single" w:sz="4" w:space="0" w:color="000000"/>
              <w:left w:val="single" w:sz="4" w:space="0" w:color="000000"/>
              <w:bottom w:val="single" w:sz="4" w:space="0" w:color="000000"/>
              <w:right w:val="single" w:sz="4" w:space="0" w:color="000000"/>
            </w:tcBorders>
            <w:shd w:val="clear" w:color="auto" w:fill="D9D9D9"/>
          </w:tcPr>
          <w:p w14:paraId="49B1E64F" w14:textId="77777777" w:rsidR="00DD048C" w:rsidRDefault="00DD048C" w:rsidP="00DD048C">
            <w:pPr>
              <w:spacing w:after="16"/>
            </w:pPr>
            <w:r>
              <w:rPr>
                <w:rFonts w:eastAsia="Arial" w:cs="Arial"/>
                <w:b/>
              </w:rPr>
              <w:t xml:space="preserve">Assignment </w:t>
            </w:r>
          </w:p>
          <w:p w14:paraId="48DD37A5" w14:textId="77777777" w:rsidR="00DD048C" w:rsidRDefault="00DD048C" w:rsidP="00DD048C">
            <w:r>
              <w:rPr>
                <w:rFonts w:eastAsia="Arial" w:cs="Arial"/>
                <w:b/>
              </w:rPr>
              <w:t xml:space="preserve">Title: </w:t>
            </w:r>
          </w:p>
        </w:tc>
        <w:tc>
          <w:tcPr>
            <w:tcW w:w="3927" w:type="dxa"/>
            <w:tcBorders>
              <w:top w:val="single" w:sz="4" w:space="0" w:color="000000"/>
              <w:left w:val="single" w:sz="4" w:space="0" w:color="000000"/>
              <w:bottom w:val="single" w:sz="4" w:space="0" w:color="000000"/>
              <w:right w:val="single" w:sz="4" w:space="0" w:color="000000"/>
            </w:tcBorders>
          </w:tcPr>
          <w:p w14:paraId="69AC91B3" w14:textId="77777777" w:rsidR="00DD048C" w:rsidRDefault="00DD048C" w:rsidP="00DF75C7">
            <w:pPr>
              <w:ind w:left="2" w:right="64"/>
            </w:pPr>
            <w:r>
              <w:rPr>
                <w:rFonts w:eastAsia="Arial" w:cs="Arial"/>
                <w:b/>
              </w:rPr>
              <w:t xml:space="preserve">Essay:  Discuss how the evolution of HRM facilitates the strategic development of an international hotel brand through workforce planning, recruitment and selection.  </w:t>
            </w:r>
          </w:p>
        </w:tc>
        <w:tc>
          <w:tcPr>
            <w:tcW w:w="2461" w:type="dxa"/>
            <w:tcBorders>
              <w:top w:val="single" w:sz="4" w:space="0" w:color="000000"/>
              <w:left w:val="single" w:sz="4" w:space="0" w:color="000000"/>
              <w:bottom w:val="single" w:sz="4" w:space="0" w:color="000000"/>
              <w:right w:val="single" w:sz="4" w:space="0" w:color="000000"/>
            </w:tcBorders>
            <w:shd w:val="clear" w:color="auto" w:fill="D9D9D9"/>
          </w:tcPr>
          <w:p w14:paraId="1C5E7B49" w14:textId="77777777" w:rsidR="00DD048C" w:rsidRDefault="00DD048C" w:rsidP="00DD048C">
            <w:r>
              <w:rPr>
                <w:rFonts w:eastAsia="Arial" w:cs="Arial"/>
                <w:b/>
              </w:rPr>
              <w:t xml:space="preserve">Assignment No: </w:t>
            </w:r>
          </w:p>
        </w:tc>
        <w:tc>
          <w:tcPr>
            <w:tcW w:w="1944" w:type="dxa"/>
            <w:tcBorders>
              <w:top w:val="single" w:sz="4" w:space="0" w:color="000000"/>
              <w:left w:val="single" w:sz="4" w:space="0" w:color="000000"/>
              <w:bottom w:val="single" w:sz="4" w:space="0" w:color="000000"/>
              <w:right w:val="single" w:sz="4" w:space="0" w:color="000000"/>
            </w:tcBorders>
          </w:tcPr>
          <w:p w14:paraId="6FAC71A3" w14:textId="77777777" w:rsidR="00DD048C" w:rsidRDefault="00DD048C" w:rsidP="00DD048C">
            <w:pPr>
              <w:ind w:left="3"/>
            </w:pPr>
            <w:r>
              <w:rPr>
                <w:rFonts w:eastAsia="Arial" w:cs="Arial"/>
                <w:b/>
              </w:rPr>
              <w:t xml:space="preserve">1 of 2 </w:t>
            </w:r>
          </w:p>
        </w:tc>
      </w:tr>
      <w:tr w:rsidR="00DD048C" w14:paraId="32F89E8E" w14:textId="77777777" w:rsidTr="00DD048C">
        <w:trPr>
          <w:trHeight w:val="632"/>
        </w:trPr>
        <w:tc>
          <w:tcPr>
            <w:tcW w:w="1853" w:type="dxa"/>
            <w:tcBorders>
              <w:top w:val="single" w:sz="4" w:space="0" w:color="000000"/>
              <w:left w:val="single" w:sz="4" w:space="0" w:color="000000"/>
              <w:bottom w:val="single" w:sz="4" w:space="0" w:color="000000"/>
              <w:right w:val="single" w:sz="4" w:space="0" w:color="000000"/>
            </w:tcBorders>
            <w:shd w:val="clear" w:color="auto" w:fill="D9D9D9"/>
          </w:tcPr>
          <w:p w14:paraId="53282772" w14:textId="77777777" w:rsidR="00DD048C" w:rsidRDefault="00DD048C" w:rsidP="00DD048C">
            <w:r>
              <w:rPr>
                <w:rFonts w:eastAsia="Arial" w:cs="Arial"/>
                <w:b/>
              </w:rPr>
              <w:t xml:space="preserve">Submission deadlines: </w:t>
            </w:r>
          </w:p>
          <w:p w14:paraId="467E1562" w14:textId="77777777" w:rsidR="00DD048C" w:rsidRDefault="00DD048C" w:rsidP="00DD048C">
            <w:r>
              <w:rPr>
                <w:rFonts w:eastAsia="Arial" w:cs="Arial"/>
                <w:b/>
              </w:rPr>
              <w:t xml:space="preserve"> </w:t>
            </w:r>
          </w:p>
        </w:tc>
        <w:tc>
          <w:tcPr>
            <w:tcW w:w="3927" w:type="dxa"/>
            <w:tcBorders>
              <w:top w:val="single" w:sz="4" w:space="0" w:color="000000"/>
              <w:left w:val="single" w:sz="4" w:space="0" w:color="000000"/>
              <w:bottom w:val="single" w:sz="4" w:space="0" w:color="000000"/>
              <w:right w:val="single" w:sz="4" w:space="0" w:color="000000"/>
            </w:tcBorders>
          </w:tcPr>
          <w:p w14:paraId="6E0729B0" w14:textId="77777777" w:rsidR="00DD048C" w:rsidRDefault="00DD048C" w:rsidP="00DD048C">
            <w:pPr>
              <w:ind w:left="2"/>
            </w:pPr>
            <w:r>
              <w:rPr>
                <w:rFonts w:eastAsia="Arial" w:cs="Arial"/>
                <w:b/>
              </w:rPr>
              <w:t>Monday 5</w:t>
            </w:r>
            <w:r>
              <w:rPr>
                <w:rFonts w:eastAsia="Arial" w:cs="Arial"/>
                <w:b/>
                <w:vertAlign w:val="superscript"/>
              </w:rPr>
              <w:t>th</w:t>
            </w:r>
            <w:r>
              <w:rPr>
                <w:rFonts w:eastAsia="Arial" w:cs="Arial"/>
                <w:b/>
              </w:rPr>
              <w:t xml:space="preserve"> February 2024 by 23.59 </w:t>
            </w:r>
          </w:p>
          <w:p w14:paraId="23D74405" w14:textId="77777777" w:rsidR="00DD048C" w:rsidRDefault="00DD048C" w:rsidP="00DD048C">
            <w:pPr>
              <w:spacing w:after="1"/>
              <w:ind w:left="2"/>
            </w:pPr>
            <w:r>
              <w:rPr>
                <w:rFonts w:eastAsia="Arial" w:cs="Arial"/>
                <w:b/>
              </w:rPr>
              <w:t>Assessment drop ins WC 29</w:t>
            </w:r>
            <w:r>
              <w:rPr>
                <w:rFonts w:eastAsia="Arial" w:cs="Arial"/>
                <w:b/>
                <w:vertAlign w:val="superscript"/>
              </w:rPr>
              <w:t>th</w:t>
            </w:r>
            <w:r>
              <w:rPr>
                <w:rFonts w:eastAsia="Arial" w:cs="Arial"/>
                <w:b/>
              </w:rPr>
              <w:t xml:space="preserve"> </w:t>
            </w:r>
          </w:p>
          <w:p w14:paraId="145929B1" w14:textId="77777777" w:rsidR="00DD048C" w:rsidRDefault="00DD048C" w:rsidP="00DD048C">
            <w:pPr>
              <w:ind w:left="2"/>
            </w:pPr>
            <w:r>
              <w:rPr>
                <w:rFonts w:eastAsia="Arial" w:cs="Arial"/>
                <w:b/>
              </w:rPr>
              <w:t xml:space="preserve">January 2024 </w:t>
            </w:r>
          </w:p>
        </w:tc>
        <w:tc>
          <w:tcPr>
            <w:tcW w:w="2461" w:type="dxa"/>
            <w:tcBorders>
              <w:top w:val="single" w:sz="4" w:space="0" w:color="000000"/>
              <w:left w:val="single" w:sz="4" w:space="0" w:color="000000"/>
              <w:bottom w:val="single" w:sz="4" w:space="0" w:color="000000"/>
              <w:right w:val="single" w:sz="4" w:space="0" w:color="000000"/>
            </w:tcBorders>
            <w:shd w:val="clear" w:color="auto" w:fill="D9D9D9"/>
          </w:tcPr>
          <w:p w14:paraId="3BA135C8" w14:textId="77777777" w:rsidR="00DD048C" w:rsidRDefault="00DD048C" w:rsidP="00DD048C">
            <w:r>
              <w:rPr>
                <w:rFonts w:eastAsia="Arial" w:cs="Arial"/>
                <w:b/>
                <w:sz w:val="20"/>
              </w:rPr>
              <w:t xml:space="preserve">Return date of </w:t>
            </w:r>
            <w:r>
              <w:rPr>
                <w:rFonts w:eastAsia="Arial" w:cs="Arial"/>
                <w:b/>
                <w:sz w:val="20"/>
                <w:u w:val="single" w:color="000000"/>
              </w:rPr>
              <w:t>provisional</w:t>
            </w:r>
            <w:r>
              <w:rPr>
                <w:rFonts w:eastAsia="Arial" w:cs="Arial"/>
                <w:b/>
                <w:sz w:val="20"/>
              </w:rPr>
              <w:t xml:space="preserve"> marks &amp; written feedback: </w:t>
            </w:r>
          </w:p>
        </w:tc>
        <w:tc>
          <w:tcPr>
            <w:tcW w:w="1944" w:type="dxa"/>
            <w:tcBorders>
              <w:top w:val="single" w:sz="4" w:space="0" w:color="000000"/>
              <w:left w:val="single" w:sz="4" w:space="0" w:color="000000"/>
              <w:bottom w:val="single" w:sz="4" w:space="0" w:color="000000"/>
              <w:right w:val="single" w:sz="4" w:space="0" w:color="000000"/>
            </w:tcBorders>
          </w:tcPr>
          <w:p w14:paraId="32990243" w14:textId="77777777" w:rsidR="00DD048C" w:rsidRDefault="00DD048C" w:rsidP="00DD048C">
            <w:pPr>
              <w:ind w:left="3"/>
            </w:pPr>
            <w:r>
              <w:rPr>
                <w:rFonts w:eastAsia="Arial" w:cs="Arial"/>
                <w:b/>
              </w:rPr>
              <w:t>4</w:t>
            </w:r>
            <w:r>
              <w:rPr>
                <w:rFonts w:eastAsia="Arial" w:cs="Arial"/>
                <w:b/>
                <w:vertAlign w:val="superscript"/>
              </w:rPr>
              <w:t>th</w:t>
            </w:r>
            <w:r>
              <w:rPr>
                <w:rFonts w:eastAsia="Arial" w:cs="Arial"/>
                <w:b/>
              </w:rPr>
              <w:t xml:space="preserve"> March 2024 </w:t>
            </w:r>
          </w:p>
        </w:tc>
      </w:tr>
    </w:tbl>
    <w:p w14:paraId="06E77BBD" w14:textId="77777777" w:rsidR="00245F28" w:rsidRPr="00245F28" w:rsidRDefault="00245F28" w:rsidP="00245F28"/>
    <w:p w14:paraId="7982C671" w14:textId="77777777" w:rsidR="00245F28" w:rsidRPr="00245F28" w:rsidRDefault="00245F28" w:rsidP="00245F28"/>
    <w:sdt>
      <w:sdtPr>
        <w:rPr>
          <w:rFonts w:eastAsiaTheme="minorHAnsi" w:cstheme="minorBidi"/>
          <w:color w:val="auto"/>
          <w:sz w:val="24"/>
          <w:szCs w:val="22"/>
        </w:rPr>
        <w:id w:val="965547545"/>
        <w:docPartObj>
          <w:docPartGallery w:val="Table of Contents"/>
          <w:docPartUnique/>
        </w:docPartObj>
      </w:sdtPr>
      <w:sdtEndPr>
        <w:rPr>
          <w:b/>
          <w:bCs/>
          <w:noProof/>
        </w:rPr>
      </w:sdtEndPr>
      <w:sdtContent>
        <w:p w14:paraId="2903D384" w14:textId="77777777" w:rsidR="00663337" w:rsidRDefault="00DF75C7">
          <w:pPr>
            <w:pStyle w:val="TOCHeading"/>
          </w:pPr>
          <w:r>
            <w:t>Contents</w:t>
          </w:r>
        </w:p>
        <w:p w14:paraId="12D6292D" w14:textId="77777777" w:rsidR="00DF75C7" w:rsidRDefault="00DF75C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6123606" w:history="1">
            <w:r w:rsidRPr="00B171A8">
              <w:rPr>
                <w:rStyle w:val="Hyperlink"/>
                <w:rFonts w:eastAsia="Arial"/>
                <w:noProof/>
              </w:rPr>
              <w:t>Discuss how the evolution of HRM facilitates the strategic development of an international hotel brand through workforce planning, recruitment and selection.</w:t>
            </w:r>
            <w:r>
              <w:rPr>
                <w:noProof/>
                <w:webHidden/>
              </w:rPr>
              <w:tab/>
            </w:r>
            <w:r>
              <w:rPr>
                <w:noProof/>
                <w:webHidden/>
              </w:rPr>
              <w:fldChar w:fldCharType="begin"/>
            </w:r>
            <w:r>
              <w:rPr>
                <w:noProof/>
                <w:webHidden/>
              </w:rPr>
              <w:instrText xml:space="preserve"> PAGEREF _Toc156123606 \h </w:instrText>
            </w:r>
            <w:r>
              <w:rPr>
                <w:noProof/>
                <w:webHidden/>
              </w:rPr>
            </w:r>
            <w:r>
              <w:rPr>
                <w:noProof/>
                <w:webHidden/>
              </w:rPr>
              <w:fldChar w:fldCharType="separate"/>
            </w:r>
            <w:r>
              <w:rPr>
                <w:noProof/>
                <w:webHidden/>
              </w:rPr>
              <w:t>3</w:t>
            </w:r>
            <w:r>
              <w:rPr>
                <w:noProof/>
                <w:webHidden/>
              </w:rPr>
              <w:fldChar w:fldCharType="end"/>
            </w:r>
          </w:hyperlink>
        </w:p>
        <w:p w14:paraId="3CF65BFE" w14:textId="77777777" w:rsidR="00DF75C7" w:rsidRDefault="00000000">
          <w:pPr>
            <w:pStyle w:val="TOC1"/>
            <w:tabs>
              <w:tab w:val="right" w:leader="dot" w:pos="9350"/>
            </w:tabs>
            <w:rPr>
              <w:rFonts w:asciiTheme="minorHAnsi" w:eastAsiaTheme="minorEastAsia" w:hAnsiTheme="minorHAnsi"/>
              <w:noProof/>
              <w:sz w:val="22"/>
            </w:rPr>
          </w:pPr>
          <w:hyperlink w:anchor="_Toc156123607" w:history="1">
            <w:r w:rsidR="00DF75C7" w:rsidRPr="00B171A8">
              <w:rPr>
                <w:rStyle w:val="Hyperlink"/>
                <w:noProof/>
              </w:rPr>
              <w:t>References</w:t>
            </w:r>
            <w:r w:rsidR="00DF75C7">
              <w:rPr>
                <w:noProof/>
                <w:webHidden/>
              </w:rPr>
              <w:tab/>
            </w:r>
            <w:r w:rsidR="00DF75C7">
              <w:rPr>
                <w:noProof/>
                <w:webHidden/>
              </w:rPr>
              <w:fldChar w:fldCharType="begin"/>
            </w:r>
            <w:r w:rsidR="00DF75C7">
              <w:rPr>
                <w:noProof/>
                <w:webHidden/>
              </w:rPr>
              <w:instrText xml:space="preserve"> PAGEREF _Toc156123607 \h </w:instrText>
            </w:r>
            <w:r w:rsidR="00DF75C7">
              <w:rPr>
                <w:noProof/>
                <w:webHidden/>
              </w:rPr>
            </w:r>
            <w:r w:rsidR="00DF75C7">
              <w:rPr>
                <w:noProof/>
                <w:webHidden/>
              </w:rPr>
              <w:fldChar w:fldCharType="separate"/>
            </w:r>
            <w:r w:rsidR="00DF75C7">
              <w:rPr>
                <w:noProof/>
                <w:webHidden/>
              </w:rPr>
              <w:t>10</w:t>
            </w:r>
            <w:r w:rsidR="00DF75C7">
              <w:rPr>
                <w:noProof/>
                <w:webHidden/>
              </w:rPr>
              <w:fldChar w:fldCharType="end"/>
            </w:r>
          </w:hyperlink>
        </w:p>
        <w:p w14:paraId="52340566" w14:textId="77777777" w:rsidR="00663337" w:rsidRDefault="00DF75C7">
          <w:r>
            <w:rPr>
              <w:b/>
              <w:bCs/>
              <w:noProof/>
            </w:rPr>
            <w:fldChar w:fldCharType="end"/>
          </w:r>
        </w:p>
      </w:sdtContent>
    </w:sdt>
    <w:p w14:paraId="30C00A00" w14:textId="77777777" w:rsidR="00663337" w:rsidRDefault="00DF75C7">
      <w:r>
        <w:br w:type="page"/>
      </w:r>
    </w:p>
    <w:p w14:paraId="524C63B6" w14:textId="77777777" w:rsidR="00245F28" w:rsidRDefault="00DF75C7" w:rsidP="009D14F8">
      <w:pPr>
        <w:pStyle w:val="Heading1"/>
        <w:rPr>
          <w:rFonts w:eastAsia="Arial"/>
        </w:rPr>
      </w:pPr>
      <w:bookmarkStart w:id="0" w:name="_Toc156123606"/>
      <w:r>
        <w:rPr>
          <w:rFonts w:eastAsia="Arial"/>
        </w:rPr>
        <w:lastRenderedPageBreak/>
        <w:t>Discuss how the evolution of HRM facilitates the strategic development of an international hotel brand through workforce planning, recruitment and selection.</w:t>
      </w:r>
      <w:bookmarkEnd w:id="0"/>
    </w:p>
    <w:p w14:paraId="579A226B" w14:textId="77777777" w:rsidR="009D14F8" w:rsidRDefault="00DF75C7" w:rsidP="009D14F8">
      <w:r w:rsidRPr="00620E23">
        <w:t>The success and expansion of organisations are greatly influenced by human resources management (HRM), especially in the fast-paced, fiercely competitive global hotel sector</w:t>
      </w:r>
      <w:r w:rsidR="00204FFD">
        <w:t xml:space="preserve"> (Al Ariss, 2022)</w:t>
      </w:r>
      <w:r w:rsidRPr="00620E23">
        <w:t>. This paper examines the development of HRM and its strategic roles, with a particular emphasis on how it supports the expansion of Hilton Worldwide Holdings Inc., a global chain of hotels. The path of HRM has seen a paradigm change over time, moving from traditional administrative duties to a strategic, business-centric role. HRM's critical role in talent management, organisational culture development, and decision-making processes serves as an example of this shift.</w:t>
      </w:r>
      <w:r w:rsidR="00FD49CF">
        <w:t xml:space="preserve"> </w:t>
      </w:r>
      <w:r w:rsidR="00FD49CF" w:rsidRPr="00FD49CF">
        <w:t>Hilton's HR strategic role functions as a beacon of light, demonstrating how HRM advances the attainment of corporate objectives</w:t>
      </w:r>
      <w:r w:rsidR="009A568A">
        <w:t xml:space="preserve"> (Sims, 2022)</w:t>
      </w:r>
      <w:r w:rsidR="00FD49CF" w:rsidRPr="00FD49CF">
        <w:t>. The strategic HR planning process is examined in more detail in the essay. This includes goal-setting, labour demand and supply forecasting, and programme implementation and evaluation. Within this dynamic environment, the hiring and selection procedures take centre stage, offering a closer examination of Hilton's creative methods for luring, evaluating, and keeping elite talent</w:t>
      </w:r>
      <w:r w:rsidR="00593CEE">
        <w:t xml:space="preserve"> (Armstrong, 2020)</w:t>
      </w:r>
      <w:r w:rsidR="00FD49CF" w:rsidRPr="00FD49CF">
        <w:t>. This essay seeks to clarify the complex relationship between HRM and the strategic development of a global hotel brand by carefully examining these components. It also sheds light on the transformative journey within the context of Hilton Worldwide Holdings Inc.</w:t>
      </w:r>
    </w:p>
    <w:p w14:paraId="4F2752E3" w14:textId="77777777" w:rsidR="00A67D29" w:rsidRPr="00C00F49" w:rsidRDefault="00DF75C7" w:rsidP="00EC1BD3">
      <w:r w:rsidRPr="004C3210">
        <w:t>The hospitality industry leader Hilton Worldwide Holdings Inc. has seen a substantial change in its approach to human resources management (HRM) over the years</w:t>
      </w:r>
      <w:r w:rsidR="009A568A">
        <w:t xml:space="preserve"> (Pearson, 2022)</w:t>
      </w:r>
      <w:r w:rsidRPr="004C3210">
        <w:t>. The way Hilton has evolved is a reflection of the way the industry has changed overall as well as the fluidity of workforce management. Analysing the development of HRM within Hilton Worldwide Holdings Inc. offers valuable insights into how a well-known global hotel chain modifies its HRM strategies to remain competitive and in line with emerging trends</w:t>
      </w:r>
      <w:r w:rsidR="00204FFD">
        <w:t xml:space="preserve"> (Al Ariss, 2022)</w:t>
      </w:r>
      <w:r w:rsidRPr="004C3210">
        <w:t xml:space="preserve">. When Hilton first started, it most likely followed standard HRM procedures, concentrating mostly on administrative duties like payroll, compliance, and employee record-keeping. At this point, HRM's function may have been more </w:t>
      </w:r>
      <w:r w:rsidRPr="004C3210">
        <w:lastRenderedPageBreak/>
        <w:t>transactional, ensuring the seamless running of tasks about personnel.</w:t>
      </w:r>
      <w:r w:rsidR="009C7B8D">
        <w:t xml:space="preserve"> </w:t>
      </w:r>
      <w:r w:rsidR="00CA19F8" w:rsidRPr="00CA19F8">
        <w:t>Hilton most likely moved to an HRM strategy that put employee engagement first as the hospitality sector realised how important guest experience and customer service were</w:t>
      </w:r>
      <w:r w:rsidR="00C17FAB">
        <w:t xml:space="preserve"> (Kosheleva &amp; </w:t>
      </w:r>
      <w:proofErr w:type="spellStart"/>
      <w:r w:rsidR="00C17FAB">
        <w:t>Bordunos</w:t>
      </w:r>
      <w:proofErr w:type="spellEnd"/>
      <w:r w:rsidR="00C17FAB">
        <w:t>, 2018)</w:t>
      </w:r>
      <w:r w:rsidR="00CA19F8" w:rsidRPr="00CA19F8">
        <w:t>. This change entails realising how crucial a contented and driven staff is to providing outstanding guest service. Hilton's HRM development probably followed the general pattern in the latter half of the 20th century, when HRM became a strategic ally. Hilton's HRM would have moved beyond conventional administrative responsibilities to strategically contribute to the company's success, better aligning itself with the business goals of the organisation.</w:t>
      </w:r>
      <w:r w:rsidR="009C7B8D">
        <w:t xml:space="preserve"> </w:t>
      </w:r>
      <w:r w:rsidR="009C7B8D" w:rsidRPr="009C7B8D">
        <w:t>Hilton's HRM would have changed as the company went worldwide to handle a workforce that was varied and culturally varied. The globalisation of Hilton and the hospitality sector would have meant that strategies for attracting, keeping, and developing talent would have been modified to meet the particular difficulties of operating in different areas</w:t>
      </w:r>
      <w:r w:rsidR="00416B63">
        <w:t xml:space="preserve"> (Armstrong, 2020)</w:t>
      </w:r>
      <w:r w:rsidR="009C7B8D" w:rsidRPr="009C7B8D">
        <w:t>. Technology-driven talent management solutions were probably implemented by Hilton's HRM in response to the digital era. It would have become essential to use employee management software, online job boards, and data analytics to improve decision-making and expedite HR procedures.</w:t>
      </w:r>
      <w:r w:rsidR="009C7B8D">
        <w:t xml:space="preserve"> </w:t>
      </w:r>
      <w:r w:rsidR="009C7B8D" w:rsidRPr="009C7B8D">
        <w:t>In the modern era, there is an increase in work-life balance, gig economy engagements, and remote work</w:t>
      </w:r>
      <w:r w:rsidR="002D7796">
        <w:t xml:space="preserve"> (Jayanti, 2023)</w:t>
      </w:r>
      <w:r w:rsidR="009C7B8D" w:rsidRPr="009C7B8D">
        <w:t>. To meet these trends, Hilton's HRM would probably create procedures and policies that support flexibility, guarantee a satisfying work environment, and draw in a varied talent pool. Investing in employee development is essential in the highly competitive hospitality industry. To develop talent internally and support the strategic objective of retaining a knowledgeable and driven workforce, Hilton's HRM is probably going to place a strong emphasis on leadership development and ongoing training</w:t>
      </w:r>
      <w:r w:rsidR="001214D4">
        <w:t xml:space="preserve"> (Armstrong &amp; Taylor, 2023)</w:t>
      </w:r>
      <w:r w:rsidR="009C7B8D" w:rsidRPr="009C7B8D">
        <w:t>. Considering how globally Hilton operates, HRM would probably concentrate on encouraging inclusion and diversity in the workforce. Hilton's HRM strategy would be reliant on initiatives that support inclusive policies, equal opportunity, and a diverse workplace.</w:t>
      </w:r>
    </w:p>
    <w:p w14:paraId="32A3BD82" w14:textId="77777777" w:rsidR="00C00F49" w:rsidRDefault="00C00F49" w:rsidP="009D14F8"/>
    <w:p w14:paraId="4EAA0568" w14:textId="77777777" w:rsidR="00EC1BD3" w:rsidRDefault="00EC1BD3" w:rsidP="009D14F8"/>
    <w:p w14:paraId="6B9E572C" w14:textId="77777777" w:rsidR="00C00F49" w:rsidRDefault="00DF75C7" w:rsidP="009D14F8">
      <w:r w:rsidRPr="009C7B8D">
        <w:lastRenderedPageBreak/>
        <w:t>Over time, Human Resources (HR) functions have undergone significant evolution in their strategic role. They have gone from being a traditional administrative department to becoming an essential strategic partner within organisations. This change is especially noticeable in the global hospitality sector, where HR is crucial to the success of well-known companies like Hilton Worldwide Holdings Inc</w:t>
      </w:r>
      <w:r w:rsidR="009A4908">
        <w:t xml:space="preserve"> (HUSSEY, 2023)</w:t>
      </w:r>
      <w:r w:rsidRPr="009C7B8D">
        <w:t>. The strategic responsibilities of HR cover a wide range of topics that directly support the accomplishment of corporate objectives and long-term commercial success.</w:t>
      </w:r>
      <w:r w:rsidR="0029270C">
        <w:t xml:space="preserve"> </w:t>
      </w:r>
      <w:r w:rsidR="00A339E5" w:rsidRPr="00A339E5">
        <w:t>Aligning HR operations with the organization's overarching business goals is one of their main strategic responsibilities</w:t>
      </w:r>
      <w:r w:rsidR="007B30F5">
        <w:t xml:space="preserve"> (Armstrong &amp; Taylor, 2023)</w:t>
      </w:r>
      <w:r w:rsidR="00A339E5" w:rsidRPr="00A339E5">
        <w:t>. To support and contribute to these larger goals, HR strategies must be tailored to the company's mission, vision, and long-term goals. Within Hilton, human resources (HR) are vital to the company's ability to match its employees' dedication to delivering world-class hospitality services. Talent management is the responsibility of HR departments, who make sure that the company employs qualified individuals in the appropriate roles. Talent acquisition becomes a strategic imperative in the hospitality industry, where service quality is directly correlated with workforce competency</w:t>
      </w:r>
      <w:r w:rsidR="00B90201">
        <w:t xml:space="preserve"> (Bassett-Jones, 2023)</w:t>
      </w:r>
      <w:r w:rsidR="00A339E5" w:rsidRPr="00A339E5">
        <w:t xml:space="preserve">. </w:t>
      </w:r>
      <w:r w:rsidR="0029270C">
        <w:t xml:space="preserve"> </w:t>
      </w:r>
      <w:r w:rsidR="00F8486C" w:rsidRPr="00F8486C">
        <w:t>The organization's leadership talent must be identified and developed as part of strategic HR functions. HR is involved in succession planning, mentorship programmes, and leadership development initiatives. Strong leadership is essential for overcoming the difficulties faced by the hospitality sector. HR supports the organization's long-term viability and expansion by fostering internal leadership. HR plans strategically for the workforce to foresee and meet future staffing demands</w:t>
      </w:r>
      <w:r w:rsidR="001A2D69">
        <w:t xml:space="preserve"> (</w:t>
      </w:r>
      <w:proofErr w:type="spellStart"/>
      <w:r w:rsidR="001A2D69">
        <w:t>Holbeche</w:t>
      </w:r>
      <w:proofErr w:type="spellEnd"/>
      <w:r w:rsidR="001A2D69">
        <w:t>, 2022)</w:t>
      </w:r>
      <w:r w:rsidR="00F8486C" w:rsidRPr="00F8486C">
        <w:t>. HR's capacity to predict labour requirements is essential in a dynamic industry like hospitality, where demand is subject to fluctuations. Hilton HR maintains operational excellence and can adjust to changing market conditions through careful workforce planning that makes sure staffing levels are in line with business demand.</w:t>
      </w:r>
      <w:r w:rsidR="0029270C">
        <w:t xml:space="preserve"> </w:t>
      </w:r>
      <w:r w:rsidR="0029270C" w:rsidRPr="0029270C">
        <w:t>In addition to creating a happy workplace, HR also plays a strategic role in encouraging employee engagement. Employees who are happy and engaged are more likely to provide great customer service and add to the organization's success as a whole</w:t>
      </w:r>
      <w:r w:rsidR="00C56D95">
        <w:t xml:space="preserve"> (Cseh Papp et al., 2023)</w:t>
      </w:r>
      <w:r w:rsidR="0029270C" w:rsidRPr="0029270C">
        <w:t xml:space="preserve">. Hilton's HR initiatives centre on fostering a culture of long-term commitment, employee well-being, and recognition programmes. The HR departments at Hilton play a critical role in managing organisational change in a sector </w:t>
      </w:r>
      <w:r w:rsidR="0029270C" w:rsidRPr="0029270C">
        <w:lastRenderedPageBreak/>
        <w:t>that is changing quickly. HR plays a strategic role in making sure that the workforce is equipped and ready for change, whether it's adjusting to industry trends, technological advancements, or changes in consumer behaviour. This covers training courses, transitional support systems, and efficient communication.</w:t>
      </w:r>
    </w:p>
    <w:p w14:paraId="34831E82" w14:textId="77777777" w:rsidR="00A67D29" w:rsidRPr="00A66BBC" w:rsidRDefault="00DF75C7" w:rsidP="00A66BBC">
      <w:r w:rsidRPr="0087066E">
        <w:t>The process of strategic planning for Human Resources (HR) is an essential element in coordinating HR operations with an organization's overarching business plan</w:t>
      </w:r>
      <w:r w:rsidR="006A45F4">
        <w:t xml:space="preserve"> (</w:t>
      </w:r>
      <w:proofErr w:type="spellStart"/>
      <w:r w:rsidR="006A45F4">
        <w:t>Hajbulaeva</w:t>
      </w:r>
      <w:proofErr w:type="spellEnd"/>
      <w:r w:rsidR="006A45F4">
        <w:t>, 2021)</w:t>
      </w:r>
      <w:r w:rsidRPr="0087066E">
        <w:t>. The strategic HR planning process at Hilton Worldwide Holdings Inc., a worldwide hospitality brand, entails goal-setting, strategic planning, labour demand and supply forecasting, programme implementation, and evaluation. Strategic HR planning starts with labour demand and supply forecasting. At Hilton, this process entails forecasting future staffing needs based on multiple variables, as the need for competent and customer-focused employees is essential to upholding high service standards. Historical patterns, industry standards, plans for growth, and projected shifts in consumer preferences are a few examples of these variables</w:t>
      </w:r>
      <w:r w:rsidR="00B90201">
        <w:t xml:space="preserve"> (Bassett-Jones, 2023)</w:t>
      </w:r>
      <w:r w:rsidRPr="0087066E">
        <w:t>.</w:t>
      </w:r>
      <w:r w:rsidR="00975123">
        <w:t xml:space="preserve"> </w:t>
      </w:r>
      <w:r w:rsidR="00975123" w:rsidRPr="00975123">
        <w:t>Hilton HR can proactively identify potential workforce gaps and develop strategies to fill them by forecasting demand, which guarantees that the right talent is available when and where it is needed.</w:t>
      </w:r>
    </w:p>
    <w:p w14:paraId="25362DE1" w14:textId="77777777" w:rsidR="00975123" w:rsidRPr="005B36FE" w:rsidRDefault="00DF75C7" w:rsidP="00A66BBC">
      <w:r w:rsidRPr="00975123">
        <w:t>HR initiatives must be in line with the larger business goals, which can only be achieved by setting goals and applying strategic planning. Establishing HR objectives that directly support the company's strategic vision is a joint effort between Hilton's HR departments and senior leadership</w:t>
      </w:r>
      <w:r w:rsidR="00445147">
        <w:t xml:space="preserve"> (Cseh Papp et al., 2023)</w:t>
      </w:r>
      <w:r w:rsidRPr="00975123">
        <w:t>. For talent acquisition, employee development, and workforce diversity, key performance indicators (KPIs) must be identified.</w:t>
      </w:r>
    </w:p>
    <w:p w14:paraId="2A8AE39C" w14:textId="77777777" w:rsidR="005B36FE" w:rsidRDefault="00DF75C7" w:rsidP="009D14F8">
      <w:r w:rsidRPr="00242EA7">
        <w:t xml:space="preserve">HR proceeds with programme execution after objectives are set and tactical strategies are in place. About Hilton, this can entail the start of particular HR projects and programmes meant to address needs that have been identified. HR might put in place mentoring programmes, training sessions, or leadership development programmes, for instance, if the organization's strategic goal is to improve leadership capabilities. Transforming strategic goals into concrete actions that have a positive effect on the workforce requires effective </w:t>
      </w:r>
      <w:proofErr w:type="spellStart"/>
      <w:r w:rsidRPr="00242EA7">
        <w:t>programme</w:t>
      </w:r>
      <w:proofErr w:type="spellEnd"/>
      <w:r w:rsidRPr="00242EA7">
        <w:t xml:space="preserve"> implementation</w:t>
      </w:r>
      <w:r w:rsidR="001D7B11">
        <w:t xml:space="preserve"> (Gallagher, 2022)</w:t>
      </w:r>
      <w:r w:rsidRPr="00242EA7">
        <w:t>.</w:t>
      </w:r>
      <w:r w:rsidR="00E734B5">
        <w:t xml:space="preserve"> </w:t>
      </w:r>
      <w:r w:rsidRPr="00DB5DB3">
        <w:t xml:space="preserve">The last stage </w:t>
      </w:r>
      <w:r w:rsidRPr="00DB5DB3">
        <w:lastRenderedPageBreak/>
        <w:t xml:space="preserve">of the strategic HR planning process is assessing the success of the programmes that have been put into place. Hilton HR thoroughly evaluates the initiatives to ascertain how they will affect the company. Key performance indicators are being measured, manager and staff input is being gathered, and the program's results are being compared to the original objectives as part of this evaluation. Hilton can improve and streamline its strategies and make sure they continue to work in a competitive and changing industry by critically analysing the effectiveness of HR </w:t>
      </w:r>
      <w:proofErr w:type="spellStart"/>
      <w:r w:rsidRPr="00DB5DB3">
        <w:t>programmes</w:t>
      </w:r>
      <w:proofErr w:type="spellEnd"/>
      <w:r w:rsidR="004B11E7">
        <w:t xml:space="preserve"> (</w:t>
      </w:r>
      <w:proofErr w:type="spellStart"/>
      <w:r w:rsidR="004B11E7">
        <w:t>Iberaheem</w:t>
      </w:r>
      <w:proofErr w:type="spellEnd"/>
      <w:r w:rsidR="004B11E7">
        <w:t>, 2023)</w:t>
      </w:r>
      <w:r w:rsidRPr="00DB5DB3">
        <w:t>.</w:t>
      </w:r>
    </w:p>
    <w:p w14:paraId="2D4AAD77" w14:textId="77777777" w:rsidR="00A67D29" w:rsidRPr="00A66BBC" w:rsidRDefault="00DF75C7" w:rsidP="00A66BBC">
      <w:r w:rsidRPr="0097350D">
        <w:t>Hilton performs a comprehensive job analysis to determine the precise abilities, credentials, and qualities needed for each role before starting the hiring process</w:t>
      </w:r>
      <w:r w:rsidR="0069214B">
        <w:t xml:space="preserve"> (Crumpton, 2020)</w:t>
      </w:r>
      <w:r w:rsidRPr="0097350D">
        <w:t>. To make sure that applicants share the brand's dedication to providing exceptional guest experiences, a job analysis for a position involving direct interaction with customers might place a strong emphasis on interpersonal and communication skills. Hilton employs a variety of sourcing strategies to draw applicants from a large pool. These could include social media sites, industry alliances, online job portals, and hiring events</w:t>
      </w:r>
      <w:r w:rsidR="00E734B5">
        <w:t xml:space="preserve"> (Gallagher, 2022)</w:t>
      </w:r>
      <w:r w:rsidRPr="0097350D">
        <w:t>. Hilton makes sure it can find applicants with a range of experiences and backgrounds by sweeping the search wide, which adds to the diversity of its staff.</w:t>
      </w:r>
      <w:r w:rsidR="009D7F1F">
        <w:t xml:space="preserve"> </w:t>
      </w:r>
      <w:r w:rsidR="009D7F1F" w:rsidRPr="009D7F1F">
        <w:t>A preliminary evaluation of resumes and applications is part of the screening process. To expedite the screening process, Hilton's HR staff may make use of technology, such as applicant tracking systems. Finding applicants who not only meet the requirements but also share Hilton's service-oriented culture and values is the main goal. Hilton, for instance: Hilton uses a structured interviewing process in which candidates are evaluated based on their cultural fit and technical proficiency</w:t>
      </w:r>
      <w:r w:rsidR="00754948">
        <w:t xml:space="preserve"> (</w:t>
      </w:r>
      <w:proofErr w:type="spellStart"/>
      <w:r w:rsidR="00754948">
        <w:t>Iberaheem</w:t>
      </w:r>
      <w:proofErr w:type="spellEnd"/>
      <w:r w:rsidR="00754948">
        <w:t>, 2023)</w:t>
      </w:r>
      <w:r w:rsidR="009D7F1F" w:rsidRPr="009D7F1F">
        <w:t>. Candidates' responses to hypothetical situations can be assessed using situational and behavioural interview questions, which help to make sure they uphold Hilton's customer-centric principles.</w:t>
      </w:r>
    </w:p>
    <w:p w14:paraId="24ED873F" w14:textId="77777777" w:rsidR="00A67D29" w:rsidRPr="00A66BBC" w:rsidRDefault="00DF75C7" w:rsidP="00A66BBC">
      <w:r w:rsidRPr="009D7F1F">
        <w:t>Hilton may make use of assessment centres for specific positions, particularly those involving leadership. These centres allow candidates to demonstrate their skills and decision-making abilities by simulating real-world work scenarios</w:t>
      </w:r>
      <w:r w:rsidR="00390464">
        <w:t xml:space="preserve"> (Wilkinson &amp; Redman, 2016)</w:t>
      </w:r>
      <w:r w:rsidRPr="009D7F1F">
        <w:t xml:space="preserve">. This makes it easier for Hilton to find people who not only have the necessary technical skills but also show promise as leaders. Hilton thoroughly investigates </w:t>
      </w:r>
      <w:r w:rsidRPr="009D7F1F">
        <w:lastRenderedPageBreak/>
        <w:t>references as part of the hiring process to confirm the applicant's credentials and employment history. Making educated hiring decisions is aided by this step, which guarantees that the information supplied corresponds with the candidate's actual performance. Hilton is aware of the value of offering a benefits and compensation package that is competitive. In addition to pay, the job offer takes into account benefits like employee wellness programmes, professional development opportunities, and other perks. This all-encompassing strategy aids in drawing and keeping elite talent</w:t>
      </w:r>
      <w:r w:rsidR="004855C8">
        <w:t xml:space="preserve"> (</w:t>
      </w:r>
      <w:proofErr w:type="spellStart"/>
      <w:r w:rsidR="004855C8">
        <w:t>Chulkova</w:t>
      </w:r>
      <w:proofErr w:type="spellEnd"/>
      <w:r w:rsidR="004855C8">
        <w:t>, 2023)</w:t>
      </w:r>
      <w:r w:rsidRPr="009D7F1F">
        <w:t>.</w:t>
      </w:r>
    </w:p>
    <w:p w14:paraId="476A4DA2" w14:textId="77777777" w:rsidR="004615CE" w:rsidRDefault="00DF75C7" w:rsidP="009D14F8">
      <w:r w:rsidRPr="009D7F1F">
        <w:t>Hilton Worldwide Holdings Inc.'s business units have developed in a way that makes the strategic alignment of HR planning, recruitment, and selection clear. Planning for future staffing needs in HR involves projecting demand in the market and company growth strategies</w:t>
      </w:r>
      <w:r w:rsidR="00C73648">
        <w:t xml:space="preserve"> (Picardi, 2020)</w:t>
      </w:r>
      <w:r w:rsidRPr="009D7F1F">
        <w:t>. As an example, HR takes proactive steps to guarantee the availability of qualified personnel when Hilton intends to open a new property or enter a new market. Both the short-term and long-term goals of each business unit are served by the recruitment and selection procedures in addition to meeting staffing demands. The company guarantees a workforce that continuously provides great guest experiences by carefully choosing applicants who share Hilton's values and service standards.</w:t>
      </w:r>
      <w:r>
        <w:t xml:space="preserve"> </w:t>
      </w:r>
      <w:r w:rsidRPr="009D7F1F">
        <w:t>Moreover, talent development programmes are part of Hilton's HR planning. Hilton finds people who have room to grow through recruitment, and part of the selection process involves evaluating applicants' potential for leadership</w:t>
      </w:r>
      <w:r w:rsidR="008E4190">
        <w:t xml:space="preserve"> (Thompson, 2023)</w:t>
      </w:r>
      <w:r w:rsidRPr="009D7F1F">
        <w:t>. With the help of this strategic approach, every business unit is guaranteed to have leaders capable of fostering operational excellence and bolstering the organization's overall performance, in addition to being suitably staffed.</w:t>
      </w:r>
    </w:p>
    <w:p w14:paraId="54312035" w14:textId="77777777" w:rsidR="00003ECA" w:rsidRDefault="00DF75C7" w:rsidP="009D14F8">
      <w:r>
        <w:t>T</w:t>
      </w:r>
      <w:r w:rsidR="0083076A" w:rsidRPr="0083076A">
        <w:t>he development of HRM at Hilton Worldwide Holdings Inc. is evidence of the revolutionary potential of strategic HRM operations within the dynamic hotel sector. HRM at Hilton has come a long way, from its beginnings in traditional personnel management to its current position as a critical strategic partner. It has adapted to meet the demands of the global hospitality industry, evolving technology, and industry trends</w:t>
      </w:r>
      <w:r w:rsidR="00C73648">
        <w:t xml:space="preserve"> (Picardi, 2020)</w:t>
      </w:r>
      <w:r w:rsidR="0083076A" w:rsidRPr="0083076A">
        <w:t xml:space="preserve">. HR initiatives have been largely aligned with the organization's overarching goals thanks to the strategic HR planning process, which includes goal-setting, programme </w:t>
      </w:r>
      <w:r w:rsidR="0083076A" w:rsidRPr="0083076A">
        <w:lastRenderedPageBreak/>
        <w:t>implementation, and labour demand and supply forecasting. Hilton makes sure its personnel not only fills open positions but also adds to the long-term success of the company by implementing cutting-edge recruiting and selection procedures</w:t>
      </w:r>
      <w:r w:rsidR="00AF05EE">
        <w:t xml:space="preserve"> (</w:t>
      </w:r>
      <w:proofErr w:type="spellStart"/>
      <w:r w:rsidR="00AF05EE">
        <w:t>Budhwar</w:t>
      </w:r>
      <w:proofErr w:type="spellEnd"/>
      <w:r w:rsidR="00AF05EE">
        <w:t>, 2023)</w:t>
      </w:r>
      <w:r w:rsidR="0083076A" w:rsidRPr="0083076A">
        <w:t>.</w:t>
      </w:r>
      <w:r w:rsidR="0083076A">
        <w:t xml:space="preserve"> </w:t>
      </w:r>
      <w:r w:rsidRPr="00063273">
        <w:t>The evolution of Hilton's business units demonstrates the influence of these strategic HRM functions, as a trained, diverse, and engaged workforce is essential to upholding the brand's dedication to quality and spurring expansion in the cutthroat hotel sector</w:t>
      </w:r>
      <w:r w:rsidR="008E4190">
        <w:t xml:space="preserve"> (Thompson, 2023)</w:t>
      </w:r>
      <w:r w:rsidRPr="00063273">
        <w:t>. Hilton's strategic HRM practices are a shining example of how a progressive and adaptable HRM approach is necessary for long-term success and company expansion as the hotel industry changes.</w:t>
      </w:r>
    </w:p>
    <w:p w14:paraId="7BAD81B8" w14:textId="77777777" w:rsidR="00231556" w:rsidRDefault="00231556" w:rsidP="009D14F8"/>
    <w:p w14:paraId="4A566255" w14:textId="77777777" w:rsidR="008E0507" w:rsidRDefault="00DF75C7">
      <w:pPr>
        <w:spacing w:line="259" w:lineRule="auto"/>
        <w:jc w:val="left"/>
      </w:pPr>
      <w:r>
        <w:br w:type="page"/>
      </w:r>
    </w:p>
    <w:p w14:paraId="6F0745B2" w14:textId="77777777" w:rsidR="00FA022A" w:rsidRDefault="000E52C3" w:rsidP="000E52C3">
      <w:pPr>
        <w:pStyle w:val="Heading1"/>
      </w:pPr>
      <w:bookmarkStart w:id="1" w:name="_Toc156123607"/>
      <w:r>
        <w:lastRenderedPageBreak/>
        <w:t>References</w:t>
      </w:r>
      <w:bookmarkEnd w:id="1"/>
    </w:p>
    <w:p w14:paraId="0509B04F"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r w:rsidRPr="00B503DE">
        <w:rPr>
          <w:rFonts w:ascii="Times New Roman" w:eastAsia="Times New Roman" w:hAnsi="Times New Roman" w:cs="Times New Roman"/>
          <w:szCs w:val="24"/>
        </w:rPr>
        <w:t xml:space="preserve">Al Ariss, A. (2022) ‘Human resource </w:t>
      </w:r>
      <w:proofErr w:type="spellStart"/>
      <w:r w:rsidRPr="00B503DE">
        <w:rPr>
          <w:rFonts w:ascii="Times New Roman" w:eastAsia="Times New Roman" w:hAnsi="Times New Roman" w:cs="Times New Roman"/>
          <w:szCs w:val="24"/>
        </w:rPr>
        <w:t>managementhuman</w:t>
      </w:r>
      <w:proofErr w:type="spellEnd"/>
      <w:r w:rsidRPr="00B503DE">
        <w:rPr>
          <w:rFonts w:ascii="Times New Roman" w:eastAsia="Times New Roman" w:hAnsi="Times New Roman" w:cs="Times New Roman"/>
          <w:szCs w:val="24"/>
        </w:rPr>
        <w:t xml:space="preserve"> resource management, (2nd ed.), by </w:t>
      </w:r>
      <w:proofErr w:type="spellStart"/>
      <w:r w:rsidRPr="00B503DE">
        <w:rPr>
          <w:rFonts w:ascii="Times New Roman" w:eastAsia="Times New Roman" w:hAnsi="Times New Roman" w:cs="Times New Roman"/>
          <w:szCs w:val="24"/>
        </w:rPr>
        <w:t>Härtelcharmine</w:t>
      </w:r>
      <w:proofErr w:type="spellEnd"/>
      <w:r w:rsidRPr="00B503DE">
        <w:rPr>
          <w:rFonts w:ascii="Times New Roman" w:eastAsia="Times New Roman" w:hAnsi="Times New Roman" w:cs="Times New Roman"/>
          <w:szCs w:val="24"/>
        </w:rPr>
        <w:t xml:space="preserve"> E. J. &amp; </w:t>
      </w:r>
      <w:proofErr w:type="spellStart"/>
      <w:r w:rsidRPr="00B503DE">
        <w:rPr>
          <w:rFonts w:ascii="Times New Roman" w:eastAsia="Times New Roman" w:hAnsi="Times New Roman" w:cs="Times New Roman"/>
          <w:szCs w:val="24"/>
        </w:rPr>
        <w:t>Fujimotoyuka</w:t>
      </w:r>
      <w:proofErr w:type="spellEnd"/>
      <w:r w:rsidRPr="00B503DE">
        <w:rPr>
          <w:rFonts w:ascii="Times New Roman" w:eastAsia="Times New Roman" w:hAnsi="Times New Roman" w:cs="Times New Roman"/>
          <w:szCs w:val="24"/>
        </w:rPr>
        <w:t xml:space="preserve">. </w:t>
      </w:r>
      <w:proofErr w:type="spellStart"/>
      <w:r w:rsidRPr="00B503DE">
        <w:rPr>
          <w:rFonts w:ascii="Times New Roman" w:eastAsia="Times New Roman" w:hAnsi="Times New Roman" w:cs="Times New Roman"/>
          <w:szCs w:val="24"/>
        </w:rPr>
        <w:t>Frenchs</w:t>
      </w:r>
      <w:proofErr w:type="spellEnd"/>
      <w:r w:rsidRPr="00B503DE">
        <w:rPr>
          <w:rFonts w:ascii="Times New Roman" w:eastAsia="Times New Roman" w:hAnsi="Times New Roman" w:cs="Times New Roman"/>
          <w:szCs w:val="24"/>
        </w:rPr>
        <w:t xml:space="preserve"> Forest: Pearson, Australia. 2010. 368 pages, hard cover.’, </w:t>
      </w:r>
      <w:r w:rsidRPr="00B503DE">
        <w:rPr>
          <w:rFonts w:ascii="Times New Roman" w:eastAsia="Times New Roman" w:hAnsi="Times New Roman" w:cs="Times New Roman"/>
          <w:i/>
          <w:iCs/>
          <w:szCs w:val="24"/>
        </w:rPr>
        <w:t>Academy of Management Learning &amp;amp; Education</w:t>
      </w:r>
      <w:r w:rsidRPr="00B503DE">
        <w:rPr>
          <w:rFonts w:ascii="Times New Roman" w:eastAsia="Times New Roman" w:hAnsi="Times New Roman" w:cs="Times New Roman"/>
          <w:szCs w:val="24"/>
        </w:rPr>
        <w:t xml:space="preserve">, 11(1), pp. 147–151. doi:10.5465/amle.2012.0003. </w:t>
      </w:r>
    </w:p>
    <w:p w14:paraId="5FBD76E0"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r w:rsidRPr="00B503DE">
        <w:rPr>
          <w:rFonts w:ascii="Times New Roman" w:eastAsia="Times New Roman" w:hAnsi="Times New Roman" w:cs="Times New Roman"/>
          <w:szCs w:val="24"/>
        </w:rPr>
        <w:t xml:space="preserve">Armstrong, M. (2020) </w:t>
      </w:r>
      <w:r w:rsidRPr="00B503DE">
        <w:rPr>
          <w:rFonts w:ascii="Times New Roman" w:eastAsia="Times New Roman" w:hAnsi="Times New Roman" w:cs="Times New Roman"/>
          <w:i/>
          <w:iCs/>
          <w:szCs w:val="24"/>
        </w:rPr>
        <w:t>Armstrong’s Handbook of Human Resource Management Practice A Guide to managing for results</w:t>
      </w:r>
      <w:r w:rsidRPr="00B503DE">
        <w:rPr>
          <w:rFonts w:ascii="Times New Roman" w:eastAsia="Times New Roman" w:hAnsi="Times New Roman" w:cs="Times New Roman"/>
          <w:szCs w:val="24"/>
        </w:rPr>
        <w:t xml:space="preserve">. London </w:t>
      </w:r>
      <w:proofErr w:type="spellStart"/>
      <w:r w:rsidRPr="00B503DE">
        <w:rPr>
          <w:rFonts w:ascii="Times New Roman" w:eastAsia="Times New Roman" w:hAnsi="Times New Roman" w:cs="Times New Roman"/>
          <w:szCs w:val="24"/>
        </w:rPr>
        <w:t>u.a.</w:t>
      </w:r>
      <w:proofErr w:type="spellEnd"/>
      <w:r w:rsidRPr="00B503DE">
        <w:rPr>
          <w:rFonts w:ascii="Times New Roman" w:eastAsia="Times New Roman" w:hAnsi="Times New Roman" w:cs="Times New Roman"/>
          <w:szCs w:val="24"/>
        </w:rPr>
        <w:t xml:space="preserve">, UKI: Kogan Page. </w:t>
      </w:r>
    </w:p>
    <w:p w14:paraId="028667B7"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r w:rsidRPr="00B503DE">
        <w:rPr>
          <w:rFonts w:ascii="Times New Roman" w:eastAsia="Times New Roman" w:hAnsi="Times New Roman" w:cs="Times New Roman"/>
          <w:szCs w:val="24"/>
        </w:rPr>
        <w:t xml:space="preserve">Armstrong, M. and Taylor, S. (2023) </w:t>
      </w:r>
      <w:r w:rsidRPr="00B503DE">
        <w:rPr>
          <w:rFonts w:ascii="Times New Roman" w:eastAsia="Times New Roman" w:hAnsi="Times New Roman" w:cs="Times New Roman"/>
          <w:i/>
          <w:iCs/>
          <w:szCs w:val="24"/>
        </w:rPr>
        <w:t>Armstrong’s Handbook of Human Resource Management Practice: A Guide to the theory and practice of people management</w:t>
      </w:r>
      <w:r w:rsidRPr="00B503DE">
        <w:rPr>
          <w:rFonts w:ascii="Times New Roman" w:eastAsia="Times New Roman" w:hAnsi="Times New Roman" w:cs="Times New Roman"/>
          <w:szCs w:val="24"/>
        </w:rPr>
        <w:t xml:space="preserve"> (2 vols). 15th </w:t>
      </w:r>
      <w:proofErr w:type="spellStart"/>
      <w:r w:rsidRPr="00B503DE">
        <w:rPr>
          <w:rFonts w:ascii="Times New Roman" w:eastAsia="Times New Roman" w:hAnsi="Times New Roman" w:cs="Times New Roman"/>
          <w:szCs w:val="24"/>
        </w:rPr>
        <w:t>edn</w:t>
      </w:r>
      <w:proofErr w:type="spellEnd"/>
      <w:r w:rsidRPr="00B503DE">
        <w:rPr>
          <w:rFonts w:ascii="Times New Roman" w:eastAsia="Times New Roman" w:hAnsi="Times New Roman" w:cs="Times New Roman"/>
          <w:szCs w:val="24"/>
        </w:rPr>
        <w:t xml:space="preserve">. London, UK: Kogan Page (3). </w:t>
      </w:r>
    </w:p>
    <w:p w14:paraId="79458003"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r w:rsidRPr="00B503DE">
        <w:rPr>
          <w:rFonts w:ascii="Times New Roman" w:eastAsia="Times New Roman" w:hAnsi="Times New Roman" w:cs="Times New Roman"/>
          <w:szCs w:val="24"/>
        </w:rPr>
        <w:t>Bassett-Jones, N. (2023) ‘</w:t>
      </w:r>
      <w:proofErr w:type="spellStart"/>
      <w:r w:rsidRPr="00B503DE">
        <w:rPr>
          <w:rFonts w:ascii="Times New Roman" w:eastAsia="Times New Roman" w:hAnsi="Times New Roman" w:cs="Times New Roman"/>
          <w:szCs w:val="24"/>
        </w:rPr>
        <w:t>Labour</w:t>
      </w:r>
      <w:proofErr w:type="spellEnd"/>
      <w:r w:rsidRPr="00B503DE">
        <w:rPr>
          <w:rFonts w:ascii="Times New Roman" w:eastAsia="Times New Roman" w:hAnsi="Times New Roman" w:cs="Times New Roman"/>
          <w:szCs w:val="24"/>
        </w:rPr>
        <w:t xml:space="preserve"> markets, HR Planning and recruitment and selection’, </w:t>
      </w:r>
      <w:r w:rsidRPr="00B503DE">
        <w:rPr>
          <w:rFonts w:ascii="Times New Roman" w:eastAsia="Times New Roman" w:hAnsi="Times New Roman" w:cs="Times New Roman"/>
          <w:i/>
          <w:iCs/>
          <w:szCs w:val="24"/>
        </w:rPr>
        <w:t>Strategic Human Resource Management</w:t>
      </w:r>
      <w:r w:rsidRPr="00B503DE">
        <w:rPr>
          <w:rFonts w:ascii="Times New Roman" w:eastAsia="Times New Roman" w:hAnsi="Times New Roman" w:cs="Times New Roman"/>
          <w:szCs w:val="24"/>
        </w:rPr>
        <w:t xml:space="preserve">, pp. 125–144. doi:10.4324/9781315630557-9. </w:t>
      </w:r>
    </w:p>
    <w:p w14:paraId="7A4CFD8E"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proofErr w:type="spellStart"/>
      <w:r w:rsidRPr="006B0EA5">
        <w:rPr>
          <w:rFonts w:ascii="Times New Roman" w:eastAsia="Times New Roman" w:hAnsi="Times New Roman" w:cs="Times New Roman"/>
          <w:szCs w:val="24"/>
        </w:rPr>
        <w:t>Budhwar</w:t>
      </w:r>
      <w:proofErr w:type="spellEnd"/>
      <w:r w:rsidRPr="006B0EA5">
        <w:rPr>
          <w:rFonts w:ascii="Times New Roman" w:eastAsia="Times New Roman" w:hAnsi="Times New Roman" w:cs="Times New Roman"/>
          <w:szCs w:val="24"/>
        </w:rPr>
        <w:t xml:space="preserve">, P.S. (2023) ‘International Human Resource Management’, </w:t>
      </w:r>
      <w:r w:rsidRPr="006B0EA5">
        <w:rPr>
          <w:rFonts w:ascii="Times New Roman" w:eastAsia="Times New Roman" w:hAnsi="Times New Roman" w:cs="Times New Roman"/>
          <w:i/>
          <w:iCs/>
          <w:szCs w:val="24"/>
        </w:rPr>
        <w:t>Encyclopedia of Human Resource Management</w:t>
      </w:r>
      <w:r w:rsidRPr="006B0EA5">
        <w:rPr>
          <w:rFonts w:ascii="Times New Roman" w:eastAsia="Times New Roman" w:hAnsi="Times New Roman" w:cs="Times New Roman"/>
          <w:szCs w:val="24"/>
        </w:rPr>
        <w:t>, pp. 205–206. doi:10.4337/</w:t>
      </w:r>
      <w:proofErr w:type="gramStart"/>
      <w:r w:rsidRPr="006B0EA5">
        <w:rPr>
          <w:rFonts w:ascii="Times New Roman" w:eastAsia="Times New Roman" w:hAnsi="Times New Roman" w:cs="Times New Roman"/>
          <w:szCs w:val="24"/>
        </w:rPr>
        <w:t>9781800378841.i.</w:t>
      </w:r>
      <w:proofErr w:type="gramEnd"/>
      <w:r w:rsidRPr="006B0EA5">
        <w:rPr>
          <w:rFonts w:ascii="Times New Roman" w:eastAsia="Times New Roman" w:hAnsi="Times New Roman" w:cs="Times New Roman"/>
          <w:szCs w:val="24"/>
        </w:rPr>
        <w:t xml:space="preserve">18. </w:t>
      </w:r>
    </w:p>
    <w:p w14:paraId="76A83B46"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proofErr w:type="spellStart"/>
      <w:r w:rsidRPr="006B0EA5">
        <w:rPr>
          <w:rFonts w:ascii="Times New Roman" w:eastAsia="Times New Roman" w:hAnsi="Times New Roman" w:cs="Times New Roman"/>
          <w:szCs w:val="24"/>
        </w:rPr>
        <w:t>Chulkova</w:t>
      </w:r>
      <w:proofErr w:type="spellEnd"/>
      <w:r w:rsidRPr="006B0EA5">
        <w:rPr>
          <w:rFonts w:ascii="Times New Roman" w:eastAsia="Times New Roman" w:hAnsi="Times New Roman" w:cs="Times New Roman"/>
          <w:szCs w:val="24"/>
        </w:rPr>
        <w:t>, G. (2023) ‘Staff policy and personnel practices. review of the monograph “The Project: An Experience of human resourcing</w:t>
      </w:r>
      <w:proofErr w:type="gramStart"/>
      <w:r w:rsidRPr="006B0EA5">
        <w:rPr>
          <w:rFonts w:ascii="Times New Roman" w:eastAsia="Times New Roman" w:hAnsi="Times New Roman" w:cs="Times New Roman"/>
          <w:szCs w:val="24"/>
        </w:rPr>
        <w:t>” ’</w:t>
      </w:r>
      <w:proofErr w:type="gramEnd"/>
      <w:r w:rsidRPr="006B0EA5">
        <w:rPr>
          <w:rFonts w:ascii="Times New Roman" w:eastAsia="Times New Roman" w:hAnsi="Times New Roman" w:cs="Times New Roman"/>
          <w:szCs w:val="24"/>
        </w:rPr>
        <w:t xml:space="preserve">, </w:t>
      </w:r>
      <w:r w:rsidRPr="006B0EA5">
        <w:rPr>
          <w:rFonts w:ascii="Times New Roman" w:eastAsia="Times New Roman" w:hAnsi="Times New Roman" w:cs="Times New Roman"/>
          <w:i/>
          <w:iCs/>
          <w:szCs w:val="24"/>
        </w:rPr>
        <w:t>Science Management: Theory and Practice</w:t>
      </w:r>
      <w:r w:rsidRPr="006B0EA5">
        <w:rPr>
          <w:rFonts w:ascii="Times New Roman" w:eastAsia="Times New Roman" w:hAnsi="Times New Roman" w:cs="Times New Roman"/>
          <w:szCs w:val="24"/>
        </w:rPr>
        <w:t xml:space="preserve">, 5(4), pp. 220–0. doi:10.19181/smtp.2023.5.4.15. </w:t>
      </w:r>
    </w:p>
    <w:p w14:paraId="2EF6F506"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r w:rsidRPr="006B0EA5">
        <w:rPr>
          <w:rFonts w:ascii="Times New Roman" w:eastAsia="Times New Roman" w:hAnsi="Times New Roman" w:cs="Times New Roman"/>
          <w:szCs w:val="24"/>
        </w:rPr>
        <w:t xml:space="preserve">Crumpton, M.A. (2020) ‘Human resources as a strategic partner’, </w:t>
      </w:r>
      <w:r w:rsidRPr="006B0EA5">
        <w:rPr>
          <w:rFonts w:ascii="Times New Roman" w:eastAsia="Times New Roman" w:hAnsi="Times New Roman" w:cs="Times New Roman"/>
          <w:i/>
          <w:iCs/>
          <w:szCs w:val="24"/>
        </w:rPr>
        <w:t>Strategic Human Resource Planning for Academic Libraries</w:t>
      </w:r>
      <w:r w:rsidRPr="006B0EA5">
        <w:rPr>
          <w:rFonts w:ascii="Times New Roman" w:eastAsia="Times New Roman" w:hAnsi="Times New Roman" w:cs="Times New Roman"/>
          <w:szCs w:val="24"/>
        </w:rPr>
        <w:t xml:space="preserve">, pp. 23–29. doi:10.1016/b978-1-84334-764-4.00003-4. </w:t>
      </w:r>
    </w:p>
    <w:p w14:paraId="5322C61D"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r w:rsidRPr="00B503DE">
        <w:rPr>
          <w:rFonts w:ascii="Times New Roman" w:eastAsia="Times New Roman" w:hAnsi="Times New Roman" w:cs="Times New Roman"/>
          <w:szCs w:val="24"/>
        </w:rPr>
        <w:t xml:space="preserve">Cseh Papp, I., Molnar, C. and Juhász, T. (2023) ‘Soft skills of business students in relation to Higher Education Internships’, </w:t>
      </w:r>
      <w:r w:rsidRPr="00B503DE">
        <w:rPr>
          <w:rFonts w:ascii="Times New Roman" w:eastAsia="Times New Roman" w:hAnsi="Times New Roman" w:cs="Times New Roman"/>
          <w:i/>
          <w:iCs/>
          <w:szCs w:val="24"/>
        </w:rPr>
        <w:t>Problems and Perspectives in Management</w:t>
      </w:r>
      <w:r w:rsidRPr="00B503DE">
        <w:rPr>
          <w:rFonts w:ascii="Times New Roman" w:eastAsia="Times New Roman" w:hAnsi="Times New Roman" w:cs="Times New Roman"/>
          <w:szCs w:val="24"/>
        </w:rPr>
        <w:t xml:space="preserve">, 21(4), pp. 113–126. doi:10.21511/ppm.21(4).2023.09. </w:t>
      </w:r>
    </w:p>
    <w:p w14:paraId="781725B1"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r w:rsidRPr="00B503DE">
        <w:rPr>
          <w:rFonts w:ascii="Times New Roman" w:eastAsia="Times New Roman" w:hAnsi="Times New Roman" w:cs="Times New Roman"/>
          <w:szCs w:val="24"/>
        </w:rPr>
        <w:t xml:space="preserve">Gallagher, K. (2022) ‘Developing skills for business and management students’, </w:t>
      </w:r>
      <w:r w:rsidRPr="00B503DE">
        <w:rPr>
          <w:rFonts w:ascii="Times New Roman" w:eastAsia="Times New Roman" w:hAnsi="Times New Roman" w:cs="Times New Roman"/>
          <w:i/>
          <w:iCs/>
          <w:szCs w:val="24"/>
        </w:rPr>
        <w:t>Essential Study and Employment Skills for Business and Management Students</w:t>
      </w:r>
      <w:r w:rsidRPr="00B503DE">
        <w:rPr>
          <w:rFonts w:ascii="Times New Roman" w:eastAsia="Times New Roman" w:hAnsi="Times New Roman" w:cs="Times New Roman"/>
          <w:szCs w:val="24"/>
        </w:rPr>
        <w:t xml:space="preserve"> [Preprint]. doi:10.1093/</w:t>
      </w:r>
      <w:proofErr w:type="spellStart"/>
      <w:r w:rsidRPr="00B503DE">
        <w:rPr>
          <w:rFonts w:ascii="Times New Roman" w:eastAsia="Times New Roman" w:hAnsi="Times New Roman" w:cs="Times New Roman"/>
          <w:szCs w:val="24"/>
        </w:rPr>
        <w:t>hebz</w:t>
      </w:r>
      <w:proofErr w:type="spellEnd"/>
      <w:r w:rsidRPr="00B503DE">
        <w:rPr>
          <w:rFonts w:ascii="Times New Roman" w:eastAsia="Times New Roman" w:hAnsi="Times New Roman" w:cs="Times New Roman"/>
          <w:szCs w:val="24"/>
        </w:rPr>
        <w:t xml:space="preserve">/9780198809883.003.0001. </w:t>
      </w:r>
    </w:p>
    <w:p w14:paraId="2B0DEB5E"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proofErr w:type="spellStart"/>
      <w:r w:rsidRPr="006B0EA5">
        <w:rPr>
          <w:rFonts w:ascii="Times New Roman" w:eastAsia="Times New Roman" w:hAnsi="Times New Roman" w:cs="Times New Roman"/>
          <w:szCs w:val="24"/>
        </w:rPr>
        <w:t>Hajbulaeva</w:t>
      </w:r>
      <w:proofErr w:type="spellEnd"/>
      <w:r w:rsidRPr="006B0EA5">
        <w:rPr>
          <w:rFonts w:ascii="Times New Roman" w:eastAsia="Times New Roman" w:hAnsi="Times New Roman" w:cs="Times New Roman"/>
          <w:szCs w:val="24"/>
        </w:rPr>
        <w:t xml:space="preserve">, Z.R. (2021) ‘Personnel Adaptation System in a hotel enterprise’, </w:t>
      </w:r>
      <w:r w:rsidRPr="006B0EA5">
        <w:rPr>
          <w:rFonts w:ascii="Times New Roman" w:eastAsia="Times New Roman" w:hAnsi="Times New Roman" w:cs="Times New Roman"/>
          <w:i/>
          <w:iCs/>
          <w:szCs w:val="24"/>
        </w:rPr>
        <w:t>TRENDS IN THE DEVELOPMENT OF SCIENCE AND EDUCATION</w:t>
      </w:r>
      <w:r w:rsidRPr="006B0EA5">
        <w:rPr>
          <w:rFonts w:ascii="Times New Roman" w:eastAsia="Times New Roman" w:hAnsi="Times New Roman" w:cs="Times New Roman"/>
          <w:szCs w:val="24"/>
        </w:rPr>
        <w:t xml:space="preserve"> [Preprint]. doi:10.18411/lj-01-2021-219. </w:t>
      </w:r>
    </w:p>
    <w:p w14:paraId="500B368F"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proofErr w:type="spellStart"/>
      <w:r w:rsidRPr="006B0EA5">
        <w:rPr>
          <w:rFonts w:ascii="Times New Roman" w:eastAsia="Times New Roman" w:hAnsi="Times New Roman" w:cs="Times New Roman"/>
          <w:szCs w:val="24"/>
        </w:rPr>
        <w:t>Holbeche</w:t>
      </w:r>
      <w:proofErr w:type="spellEnd"/>
      <w:r w:rsidRPr="006B0EA5">
        <w:rPr>
          <w:rFonts w:ascii="Times New Roman" w:eastAsia="Times New Roman" w:hAnsi="Times New Roman" w:cs="Times New Roman"/>
          <w:szCs w:val="24"/>
        </w:rPr>
        <w:t xml:space="preserve">, L. (2022) ‘A strategic agenda for HR’, </w:t>
      </w:r>
      <w:r w:rsidRPr="006B0EA5">
        <w:rPr>
          <w:rFonts w:ascii="Times New Roman" w:eastAsia="Times New Roman" w:hAnsi="Times New Roman" w:cs="Times New Roman"/>
          <w:i/>
          <w:iCs/>
          <w:szCs w:val="24"/>
        </w:rPr>
        <w:t>Aligning Human Resources and Business Strategy</w:t>
      </w:r>
      <w:r w:rsidRPr="006B0EA5">
        <w:rPr>
          <w:rFonts w:ascii="Times New Roman" w:eastAsia="Times New Roman" w:hAnsi="Times New Roman" w:cs="Times New Roman"/>
          <w:szCs w:val="24"/>
        </w:rPr>
        <w:t xml:space="preserve">, pp. 86–109. doi:10.4324/9781003219996-5. </w:t>
      </w:r>
    </w:p>
    <w:p w14:paraId="5938FBBE"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r w:rsidRPr="006B0EA5">
        <w:rPr>
          <w:rFonts w:ascii="Times New Roman" w:eastAsia="Times New Roman" w:hAnsi="Times New Roman" w:cs="Times New Roman"/>
          <w:szCs w:val="24"/>
        </w:rPr>
        <w:t xml:space="preserve">HUSSEY, D. (2023) ‘Strategic Planning for Human Resources’, </w:t>
      </w:r>
      <w:r w:rsidRPr="006B0EA5">
        <w:rPr>
          <w:rFonts w:ascii="Times New Roman" w:eastAsia="Times New Roman" w:hAnsi="Times New Roman" w:cs="Times New Roman"/>
          <w:i/>
          <w:iCs/>
          <w:szCs w:val="24"/>
        </w:rPr>
        <w:t>Strategic Management</w:t>
      </w:r>
      <w:r w:rsidRPr="006B0EA5">
        <w:rPr>
          <w:rFonts w:ascii="Times New Roman" w:eastAsia="Times New Roman" w:hAnsi="Times New Roman" w:cs="Times New Roman"/>
          <w:szCs w:val="24"/>
        </w:rPr>
        <w:t xml:space="preserve">, pp. 432–461. doi:10.1016/b978-0-7506-3849-4.50025-2. </w:t>
      </w:r>
    </w:p>
    <w:p w14:paraId="7A1E8229"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proofErr w:type="spellStart"/>
      <w:r w:rsidRPr="00B503DE">
        <w:rPr>
          <w:rFonts w:ascii="Times New Roman" w:eastAsia="Times New Roman" w:hAnsi="Times New Roman" w:cs="Times New Roman"/>
          <w:szCs w:val="24"/>
        </w:rPr>
        <w:lastRenderedPageBreak/>
        <w:t>Iberaheem</w:t>
      </w:r>
      <w:proofErr w:type="spellEnd"/>
      <w:r w:rsidRPr="00B503DE">
        <w:rPr>
          <w:rFonts w:ascii="Times New Roman" w:eastAsia="Times New Roman" w:hAnsi="Times New Roman" w:cs="Times New Roman"/>
          <w:szCs w:val="24"/>
        </w:rPr>
        <w:t xml:space="preserve">, M. (2023) ‘The role of Business Analysis in strategic planning: Discuss how business analysis contributes to the strategic planning process in businesses’, </w:t>
      </w:r>
      <w:r w:rsidRPr="00B503DE">
        <w:rPr>
          <w:rFonts w:ascii="Times New Roman" w:eastAsia="Times New Roman" w:hAnsi="Times New Roman" w:cs="Times New Roman"/>
          <w:i/>
          <w:iCs/>
          <w:szCs w:val="24"/>
        </w:rPr>
        <w:t>East Asian Journal of Multidisciplinary Research</w:t>
      </w:r>
      <w:r w:rsidRPr="00B503DE">
        <w:rPr>
          <w:rFonts w:ascii="Times New Roman" w:eastAsia="Times New Roman" w:hAnsi="Times New Roman" w:cs="Times New Roman"/>
          <w:szCs w:val="24"/>
        </w:rPr>
        <w:t>, 2(7), pp. 2709–2730. doi:10.55927/</w:t>
      </w:r>
      <w:proofErr w:type="gramStart"/>
      <w:r w:rsidRPr="00B503DE">
        <w:rPr>
          <w:rFonts w:ascii="Times New Roman" w:eastAsia="Times New Roman" w:hAnsi="Times New Roman" w:cs="Times New Roman"/>
          <w:szCs w:val="24"/>
        </w:rPr>
        <w:t>eajmr.v</w:t>
      </w:r>
      <w:proofErr w:type="gramEnd"/>
      <w:r w:rsidRPr="00B503DE">
        <w:rPr>
          <w:rFonts w:ascii="Times New Roman" w:eastAsia="Times New Roman" w:hAnsi="Times New Roman" w:cs="Times New Roman"/>
          <w:szCs w:val="24"/>
        </w:rPr>
        <w:t xml:space="preserve">2i7.5174. </w:t>
      </w:r>
    </w:p>
    <w:p w14:paraId="7F744C70"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r w:rsidRPr="006B0EA5">
        <w:rPr>
          <w:rFonts w:ascii="Times New Roman" w:eastAsia="Times New Roman" w:hAnsi="Times New Roman" w:cs="Times New Roman"/>
          <w:szCs w:val="24"/>
        </w:rPr>
        <w:t xml:space="preserve">Jayanti, J. (2023) ‘Managing housekeeping personnel’, </w:t>
      </w:r>
      <w:r w:rsidRPr="006B0EA5">
        <w:rPr>
          <w:rFonts w:ascii="Times New Roman" w:eastAsia="Times New Roman" w:hAnsi="Times New Roman" w:cs="Times New Roman"/>
          <w:i/>
          <w:iCs/>
          <w:szCs w:val="24"/>
        </w:rPr>
        <w:t>Hotel Housekeeping Management</w:t>
      </w:r>
      <w:r w:rsidRPr="006B0EA5">
        <w:rPr>
          <w:rFonts w:ascii="Times New Roman" w:eastAsia="Times New Roman" w:hAnsi="Times New Roman" w:cs="Times New Roman"/>
          <w:szCs w:val="24"/>
        </w:rPr>
        <w:t xml:space="preserve"> [Preprint]. doi:10.23912/9781911635543-5499. </w:t>
      </w:r>
    </w:p>
    <w:p w14:paraId="2BA5541C"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r w:rsidRPr="006B0EA5">
        <w:rPr>
          <w:rFonts w:ascii="Times New Roman" w:eastAsia="Times New Roman" w:hAnsi="Times New Roman" w:cs="Times New Roman"/>
          <w:szCs w:val="24"/>
        </w:rPr>
        <w:t xml:space="preserve">Kosheleva, S. and </w:t>
      </w:r>
      <w:proofErr w:type="spellStart"/>
      <w:r w:rsidRPr="006B0EA5">
        <w:rPr>
          <w:rFonts w:ascii="Times New Roman" w:eastAsia="Times New Roman" w:hAnsi="Times New Roman" w:cs="Times New Roman"/>
          <w:szCs w:val="24"/>
        </w:rPr>
        <w:t>Bordunos</w:t>
      </w:r>
      <w:proofErr w:type="spellEnd"/>
      <w:r w:rsidRPr="006B0EA5">
        <w:rPr>
          <w:rFonts w:ascii="Times New Roman" w:eastAsia="Times New Roman" w:hAnsi="Times New Roman" w:cs="Times New Roman"/>
          <w:szCs w:val="24"/>
        </w:rPr>
        <w:t xml:space="preserve">, A. (2018) ‘HRM systems effects as a basis for strategic HR planning’, </w:t>
      </w:r>
      <w:r w:rsidRPr="006B0EA5">
        <w:rPr>
          <w:rFonts w:ascii="Times New Roman" w:eastAsia="Times New Roman" w:hAnsi="Times New Roman" w:cs="Times New Roman"/>
          <w:i/>
          <w:iCs/>
          <w:szCs w:val="24"/>
        </w:rPr>
        <w:t>Human Resource Planning for the 21st Century</w:t>
      </w:r>
      <w:r w:rsidRPr="006B0EA5">
        <w:rPr>
          <w:rFonts w:ascii="Times New Roman" w:eastAsia="Times New Roman" w:hAnsi="Times New Roman" w:cs="Times New Roman"/>
          <w:szCs w:val="24"/>
        </w:rPr>
        <w:t xml:space="preserve"> [Preprint]. doi:10.5772/intechopen.75456. </w:t>
      </w:r>
    </w:p>
    <w:p w14:paraId="00986D8C"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r w:rsidRPr="006B0EA5">
        <w:rPr>
          <w:rFonts w:ascii="Times New Roman" w:eastAsia="Times New Roman" w:hAnsi="Times New Roman" w:cs="Times New Roman"/>
          <w:szCs w:val="24"/>
        </w:rPr>
        <w:t xml:space="preserve">Pearson, W. (2022) ‘Chapter 11: Strategic Planning and Change Management in HR’, </w:t>
      </w:r>
      <w:r w:rsidRPr="006B0EA5">
        <w:rPr>
          <w:rFonts w:ascii="Times New Roman" w:eastAsia="Times New Roman" w:hAnsi="Times New Roman" w:cs="Times New Roman"/>
          <w:i/>
          <w:iCs/>
          <w:szCs w:val="24"/>
        </w:rPr>
        <w:t>Human Resources Management in Pharmacy: Managing and Motivating Staff to Excel</w:t>
      </w:r>
      <w:r w:rsidRPr="006B0EA5">
        <w:rPr>
          <w:rFonts w:ascii="Times New Roman" w:eastAsia="Times New Roman" w:hAnsi="Times New Roman" w:cs="Times New Roman"/>
          <w:szCs w:val="24"/>
        </w:rPr>
        <w:t xml:space="preserve"> [Preprint]. doi:10.21019/9781582123806.ch11. </w:t>
      </w:r>
    </w:p>
    <w:p w14:paraId="72AF5040"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r w:rsidRPr="00B503DE">
        <w:rPr>
          <w:rFonts w:ascii="Times New Roman" w:eastAsia="Times New Roman" w:hAnsi="Times New Roman" w:cs="Times New Roman"/>
          <w:szCs w:val="24"/>
        </w:rPr>
        <w:t xml:space="preserve">Picardi, C.A. (2020) </w:t>
      </w:r>
      <w:r w:rsidRPr="00B503DE">
        <w:rPr>
          <w:rFonts w:ascii="Times New Roman" w:eastAsia="Times New Roman" w:hAnsi="Times New Roman" w:cs="Times New Roman"/>
          <w:i/>
          <w:iCs/>
          <w:szCs w:val="24"/>
        </w:rPr>
        <w:t>Recruitment and selection: Strategies for Workforce Planning and Assessment</w:t>
      </w:r>
      <w:r w:rsidRPr="00B503DE">
        <w:rPr>
          <w:rFonts w:ascii="Times New Roman" w:eastAsia="Times New Roman" w:hAnsi="Times New Roman" w:cs="Times New Roman"/>
          <w:szCs w:val="24"/>
        </w:rPr>
        <w:t xml:space="preserve"> [Preprint]. doi:10.4135/9781483396439. </w:t>
      </w:r>
    </w:p>
    <w:p w14:paraId="4AA69086" w14:textId="77777777" w:rsidR="0041376E" w:rsidRPr="006B0EA5" w:rsidRDefault="0041376E" w:rsidP="006B0EA5">
      <w:pPr>
        <w:spacing w:before="100" w:beforeAutospacing="1" w:after="100" w:afterAutospacing="1" w:line="240" w:lineRule="auto"/>
        <w:ind w:left="567" w:hanging="567"/>
        <w:jc w:val="left"/>
        <w:rPr>
          <w:rFonts w:ascii="Times New Roman" w:eastAsia="Times New Roman" w:hAnsi="Times New Roman" w:cs="Times New Roman"/>
          <w:szCs w:val="24"/>
        </w:rPr>
      </w:pPr>
      <w:r w:rsidRPr="006B0EA5">
        <w:rPr>
          <w:rFonts w:ascii="Times New Roman" w:eastAsia="Times New Roman" w:hAnsi="Times New Roman" w:cs="Times New Roman"/>
          <w:szCs w:val="24"/>
        </w:rPr>
        <w:t xml:space="preserve">Sims, J. (2022) ‘HR executives share their experience in human resources’, </w:t>
      </w:r>
      <w:r w:rsidRPr="006B0EA5">
        <w:rPr>
          <w:rFonts w:ascii="Times New Roman" w:eastAsia="Times New Roman" w:hAnsi="Times New Roman" w:cs="Times New Roman"/>
          <w:i/>
          <w:iCs/>
          <w:szCs w:val="24"/>
        </w:rPr>
        <w:t>Strategic HR Review</w:t>
      </w:r>
      <w:r w:rsidRPr="006B0EA5">
        <w:rPr>
          <w:rFonts w:ascii="Times New Roman" w:eastAsia="Times New Roman" w:hAnsi="Times New Roman" w:cs="Times New Roman"/>
          <w:szCs w:val="24"/>
        </w:rPr>
        <w:t xml:space="preserve">, 11(2). </w:t>
      </w:r>
      <w:proofErr w:type="gramStart"/>
      <w:r w:rsidRPr="006B0EA5">
        <w:rPr>
          <w:rFonts w:ascii="Times New Roman" w:eastAsia="Times New Roman" w:hAnsi="Times New Roman" w:cs="Times New Roman"/>
          <w:szCs w:val="24"/>
        </w:rPr>
        <w:t>doi:10.1108/shr.2012.37211baa</w:t>
      </w:r>
      <w:proofErr w:type="gramEnd"/>
      <w:r w:rsidRPr="006B0EA5">
        <w:rPr>
          <w:rFonts w:ascii="Times New Roman" w:eastAsia="Times New Roman" w:hAnsi="Times New Roman" w:cs="Times New Roman"/>
          <w:szCs w:val="24"/>
        </w:rPr>
        <w:t xml:space="preserve">.005. </w:t>
      </w:r>
    </w:p>
    <w:p w14:paraId="730351FF"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r w:rsidRPr="00B503DE">
        <w:rPr>
          <w:rFonts w:ascii="Times New Roman" w:eastAsia="Times New Roman" w:hAnsi="Times New Roman" w:cs="Times New Roman"/>
          <w:szCs w:val="24"/>
        </w:rPr>
        <w:t xml:space="preserve">Thompson, N. (2023) ‘Recruitment, selection and Workforce Planning’, </w:t>
      </w:r>
      <w:r w:rsidRPr="00B503DE">
        <w:rPr>
          <w:rFonts w:ascii="Times New Roman" w:eastAsia="Times New Roman" w:hAnsi="Times New Roman" w:cs="Times New Roman"/>
          <w:i/>
          <w:iCs/>
          <w:szCs w:val="24"/>
        </w:rPr>
        <w:t>People management</w:t>
      </w:r>
      <w:r w:rsidRPr="00B503DE">
        <w:rPr>
          <w:rFonts w:ascii="Times New Roman" w:eastAsia="Times New Roman" w:hAnsi="Times New Roman" w:cs="Times New Roman"/>
          <w:szCs w:val="24"/>
        </w:rPr>
        <w:t xml:space="preserve">, pp. 35–44. doi:10.1007/978-1-137-30845-0_4. </w:t>
      </w:r>
    </w:p>
    <w:p w14:paraId="616DA45D" w14:textId="77777777" w:rsidR="0041376E" w:rsidRPr="00B503DE" w:rsidRDefault="0041376E" w:rsidP="00B503DE">
      <w:pPr>
        <w:spacing w:before="100" w:beforeAutospacing="1" w:after="100" w:afterAutospacing="1" w:line="240" w:lineRule="auto"/>
        <w:ind w:left="567" w:hanging="567"/>
        <w:jc w:val="left"/>
        <w:rPr>
          <w:rFonts w:ascii="Times New Roman" w:eastAsia="Times New Roman" w:hAnsi="Times New Roman" w:cs="Times New Roman"/>
          <w:szCs w:val="24"/>
        </w:rPr>
      </w:pPr>
      <w:r w:rsidRPr="00B503DE">
        <w:rPr>
          <w:rFonts w:ascii="Times New Roman" w:eastAsia="Times New Roman" w:hAnsi="Times New Roman" w:cs="Times New Roman"/>
          <w:szCs w:val="24"/>
        </w:rPr>
        <w:t xml:space="preserve">Wilkinson, A. and Redman, T. (2016) </w:t>
      </w:r>
      <w:r w:rsidRPr="00B503DE">
        <w:rPr>
          <w:rFonts w:ascii="Times New Roman" w:eastAsia="Times New Roman" w:hAnsi="Times New Roman" w:cs="Times New Roman"/>
          <w:i/>
          <w:iCs/>
          <w:szCs w:val="24"/>
        </w:rPr>
        <w:t xml:space="preserve">Contemporary Human Resource Management 5th edition Pdf </w:t>
      </w:r>
      <w:proofErr w:type="spellStart"/>
      <w:r w:rsidRPr="00B503DE">
        <w:rPr>
          <w:rFonts w:ascii="Times New Roman" w:eastAsia="Times New Roman" w:hAnsi="Times New Roman" w:cs="Times New Roman"/>
          <w:i/>
          <w:iCs/>
          <w:szCs w:val="24"/>
        </w:rPr>
        <w:t>ebook</w:t>
      </w:r>
      <w:proofErr w:type="spellEnd"/>
      <w:r w:rsidRPr="00B503DE">
        <w:rPr>
          <w:rFonts w:ascii="Times New Roman" w:eastAsia="Times New Roman" w:hAnsi="Times New Roman" w:cs="Times New Roman"/>
          <w:szCs w:val="24"/>
        </w:rPr>
        <w:t xml:space="preserve">. Harlow, United Kingdom: Pearson Education, Limited. </w:t>
      </w:r>
    </w:p>
    <w:p w14:paraId="46476006" w14:textId="77777777" w:rsidR="00822A80" w:rsidRPr="009D14F8" w:rsidRDefault="00822A80" w:rsidP="009D14F8"/>
    <w:sectPr w:rsidR="00822A80" w:rsidRPr="009D14F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D2CC6" w14:textId="77777777" w:rsidR="008D5D17" w:rsidRDefault="008D5D17" w:rsidP="00FF07D3">
      <w:pPr>
        <w:spacing w:after="0" w:line="240" w:lineRule="auto"/>
      </w:pPr>
      <w:r>
        <w:separator/>
      </w:r>
    </w:p>
  </w:endnote>
  <w:endnote w:type="continuationSeparator" w:id="0">
    <w:p w14:paraId="7857B5E6" w14:textId="77777777" w:rsidR="008D5D17" w:rsidRDefault="008D5D17" w:rsidP="00FF0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778016"/>
      <w:docPartObj>
        <w:docPartGallery w:val="Page Numbers (Bottom of Page)"/>
        <w:docPartUnique/>
      </w:docPartObj>
    </w:sdtPr>
    <w:sdtEndPr>
      <w:rPr>
        <w:noProof/>
      </w:rPr>
    </w:sdtEndPr>
    <w:sdtContent>
      <w:p w14:paraId="2951F53D" w14:textId="77777777" w:rsidR="00FF07D3" w:rsidRDefault="00FF07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39E96B" w14:textId="77777777" w:rsidR="00FF07D3" w:rsidRDefault="00FF0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156E9" w14:textId="77777777" w:rsidR="008D5D17" w:rsidRDefault="008D5D17" w:rsidP="00FF07D3">
      <w:pPr>
        <w:spacing w:after="0" w:line="240" w:lineRule="auto"/>
      </w:pPr>
      <w:r>
        <w:separator/>
      </w:r>
    </w:p>
  </w:footnote>
  <w:footnote w:type="continuationSeparator" w:id="0">
    <w:p w14:paraId="04FE9AEB" w14:textId="77777777" w:rsidR="008D5D17" w:rsidRDefault="008D5D17" w:rsidP="00FF0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407"/>
    <w:multiLevelType w:val="hybridMultilevel"/>
    <w:tmpl w:val="D4042CB6"/>
    <w:lvl w:ilvl="0" w:tplc="FCF009B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9C84A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A401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70205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60F31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5CFB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F668F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DA77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AE6AC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077772"/>
    <w:multiLevelType w:val="multilevel"/>
    <w:tmpl w:val="6308B5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3380617"/>
    <w:multiLevelType w:val="multilevel"/>
    <w:tmpl w:val="B464EC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6532C33"/>
    <w:multiLevelType w:val="multilevel"/>
    <w:tmpl w:val="C1A43C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47827EE1"/>
    <w:multiLevelType w:val="multilevel"/>
    <w:tmpl w:val="99FA9BD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501A44E4"/>
    <w:multiLevelType w:val="multilevel"/>
    <w:tmpl w:val="51E0622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50714473"/>
    <w:multiLevelType w:val="multilevel"/>
    <w:tmpl w:val="42F4F6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788A2945"/>
    <w:multiLevelType w:val="multilevel"/>
    <w:tmpl w:val="072210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7E711B83"/>
    <w:multiLevelType w:val="multilevel"/>
    <w:tmpl w:val="722EC65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998872844">
    <w:abstractNumId w:val="8"/>
  </w:num>
  <w:num w:numId="2" w16cid:durableId="1061365974">
    <w:abstractNumId w:val="3"/>
  </w:num>
  <w:num w:numId="3" w16cid:durableId="2017270452">
    <w:abstractNumId w:val="6"/>
  </w:num>
  <w:num w:numId="4" w16cid:durableId="502205355">
    <w:abstractNumId w:val="7"/>
  </w:num>
  <w:num w:numId="5" w16cid:durableId="475757868">
    <w:abstractNumId w:val="5"/>
  </w:num>
  <w:num w:numId="6" w16cid:durableId="639192716">
    <w:abstractNumId w:val="1"/>
  </w:num>
  <w:num w:numId="7" w16cid:durableId="50927618">
    <w:abstractNumId w:val="4"/>
  </w:num>
  <w:num w:numId="8" w16cid:durableId="1842431240">
    <w:abstractNumId w:val="2"/>
  </w:num>
  <w:num w:numId="9" w16cid:durableId="1231577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1" w:cryptProviderType="rsaAES" w:cryptAlgorithmClass="hash" w:cryptAlgorithmType="typeAny" w:cryptAlgorithmSid="14" w:cryptSpinCount="100000" w:hash="eK55Dj3Aur41sUQIRAxEuPmt3snfyjKhbnkL8z4/tEpHYKxWNh3zopjsb+8tuFE4DCs/8l+KVLmtyFD3RRLNsw==" w:salt="sOZ6ex9grh3PbSxkPwqOk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F28"/>
    <w:rsid w:val="00003ECA"/>
    <w:rsid w:val="00034898"/>
    <w:rsid w:val="00063273"/>
    <w:rsid w:val="00090062"/>
    <w:rsid w:val="000B66B8"/>
    <w:rsid w:val="000C5E73"/>
    <w:rsid w:val="000E52C3"/>
    <w:rsid w:val="000F604D"/>
    <w:rsid w:val="00102357"/>
    <w:rsid w:val="001214D4"/>
    <w:rsid w:val="001628A0"/>
    <w:rsid w:val="00164080"/>
    <w:rsid w:val="001834FC"/>
    <w:rsid w:val="001A2D69"/>
    <w:rsid w:val="001D7B11"/>
    <w:rsid w:val="001F18A2"/>
    <w:rsid w:val="00204FFD"/>
    <w:rsid w:val="00217432"/>
    <w:rsid w:val="00224259"/>
    <w:rsid w:val="00231556"/>
    <w:rsid w:val="00242EA7"/>
    <w:rsid w:val="00245F28"/>
    <w:rsid w:val="00257BAB"/>
    <w:rsid w:val="0029270C"/>
    <w:rsid w:val="002A0EA4"/>
    <w:rsid w:val="002B2C46"/>
    <w:rsid w:val="002D4B8D"/>
    <w:rsid w:val="002D7796"/>
    <w:rsid w:val="00320640"/>
    <w:rsid w:val="00326D61"/>
    <w:rsid w:val="0033275E"/>
    <w:rsid w:val="00373C62"/>
    <w:rsid w:val="00390464"/>
    <w:rsid w:val="003E48EB"/>
    <w:rsid w:val="003F66D9"/>
    <w:rsid w:val="003F69A5"/>
    <w:rsid w:val="0041376E"/>
    <w:rsid w:val="00416B63"/>
    <w:rsid w:val="00441DAF"/>
    <w:rsid w:val="00445147"/>
    <w:rsid w:val="00457A51"/>
    <w:rsid w:val="004615CE"/>
    <w:rsid w:val="004855C8"/>
    <w:rsid w:val="004B11E7"/>
    <w:rsid w:val="004C3210"/>
    <w:rsid w:val="004C40BD"/>
    <w:rsid w:val="00501E21"/>
    <w:rsid w:val="00524582"/>
    <w:rsid w:val="0054337F"/>
    <w:rsid w:val="005502F6"/>
    <w:rsid w:val="005824F8"/>
    <w:rsid w:val="00593CEE"/>
    <w:rsid w:val="005A4A5D"/>
    <w:rsid w:val="005B36FE"/>
    <w:rsid w:val="005C0E5A"/>
    <w:rsid w:val="005D367C"/>
    <w:rsid w:val="006007B3"/>
    <w:rsid w:val="00620E23"/>
    <w:rsid w:val="00657594"/>
    <w:rsid w:val="00663337"/>
    <w:rsid w:val="0069214B"/>
    <w:rsid w:val="006A45F4"/>
    <w:rsid w:val="006B0EA5"/>
    <w:rsid w:val="006B2A4C"/>
    <w:rsid w:val="006D6A47"/>
    <w:rsid w:val="006F064E"/>
    <w:rsid w:val="00711B68"/>
    <w:rsid w:val="00716184"/>
    <w:rsid w:val="00754948"/>
    <w:rsid w:val="00777BEC"/>
    <w:rsid w:val="0079561B"/>
    <w:rsid w:val="007B30F5"/>
    <w:rsid w:val="007D0F48"/>
    <w:rsid w:val="007D33B9"/>
    <w:rsid w:val="0081310E"/>
    <w:rsid w:val="00822A80"/>
    <w:rsid w:val="0083076A"/>
    <w:rsid w:val="0087066E"/>
    <w:rsid w:val="008C191C"/>
    <w:rsid w:val="008D5D17"/>
    <w:rsid w:val="008E0507"/>
    <w:rsid w:val="008E4190"/>
    <w:rsid w:val="008E52A4"/>
    <w:rsid w:val="008F1FBB"/>
    <w:rsid w:val="00901B9C"/>
    <w:rsid w:val="00905099"/>
    <w:rsid w:val="00932707"/>
    <w:rsid w:val="009456C4"/>
    <w:rsid w:val="0097350D"/>
    <w:rsid w:val="0097406D"/>
    <w:rsid w:val="00975123"/>
    <w:rsid w:val="00985085"/>
    <w:rsid w:val="009A4908"/>
    <w:rsid w:val="009A568A"/>
    <w:rsid w:val="009C7B8D"/>
    <w:rsid w:val="009D14F8"/>
    <w:rsid w:val="009D7F1F"/>
    <w:rsid w:val="00A072D4"/>
    <w:rsid w:val="00A26816"/>
    <w:rsid w:val="00A339E5"/>
    <w:rsid w:val="00A66BBC"/>
    <w:rsid w:val="00A67D29"/>
    <w:rsid w:val="00A85BE3"/>
    <w:rsid w:val="00AF05EE"/>
    <w:rsid w:val="00B503DE"/>
    <w:rsid w:val="00B85AE9"/>
    <w:rsid w:val="00B87883"/>
    <w:rsid w:val="00B900B9"/>
    <w:rsid w:val="00B90201"/>
    <w:rsid w:val="00BA17AC"/>
    <w:rsid w:val="00BD6567"/>
    <w:rsid w:val="00C00F49"/>
    <w:rsid w:val="00C17FAB"/>
    <w:rsid w:val="00C51003"/>
    <w:rsid w:val="00C565A6"/>
    <w:rsid w:val="00C56D95"/>
    <w:rsid w:val="00C56E28"/>
    <w:rsid w:val="00C73648"/>
    <w:rsid w:val="00C81D2C"/>
    <w:rsid w:val="00CA19F8"/>
    <w:rsid w:val="00CB6D37"/>
    <w:rsid w:val="00CD006F"/>
    <w:rsid w:val="00D505A7"/>
    <w:rsid w:val="00D63817"/>
    <w:rsid w:val="00DB5DB3"/>
    <w:rsid w:val="00DD048C"/>
    <w:rsid w:val="00DF75C7"/>
    <w:rsid w:val="00E05C3B"/>
    <w:rsid w:val="00E50CD4"/>
    <w:rsid w:val="00E734B5"/>
    <w:rsid w:val="00EC1BD3"/>
    <w:rsid w:val="00EC53DE"/>
    <w:rsid w:val="00F7431E"/>
    <w:rsid w:val="00F8486C"/>
    <w:rsid w:val="00FA022A"/>
    <w:rsid w:val="00FC5704"/>
    <w:rsid w:val="00FD3653"/>
    <w:rsid w:val="00FD49CF"/>
    <w:rsid w:val="00FF0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7134C"/>
  <w15:chartTrackingRefBased/>
  <w15:docId w15:val="{C5F92D75-2B1A-482B-B504-E243C3114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E73"/>
    <w:pPr>
      <w:spacing w:line="360" w:lineRule="auto"/>
      <w:jc w:val="both"/>
    </w:pPr>
    <w:rPr>
      <w:rFonts w:ascii="Arial" w:hAnsi="Arial"/>
      <w:sz w:val="24"/>
    </w:rPr>
  </w:style>
  <w:style w:type="paragraph" w:styleId="Heading1">
    <w:name w:val="heading 1"/>
    <w:basedOn w:val="Normal"/>
    <w:next w:val="Normal"/>
    <w:link w:val="Heading1Char"/>
    <w:uiPriority w:val="9"/>
    <w:qFormat/>
    <w:rsid w:val="002D4B8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4B8D"/>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7D33B9"/>
    <w:pPr>
      <w:keepNext/>
      <w:keepLines/>
      <w:spacing w:before="40" w:after="0"/>
      <w:outlineLvl w:val="2"/>
    </w:pPr>
    <w:rPr>
      <w:rFonts w:eastAsiaTheme="majorEastAsia" w:cstheme="majorBidi"/>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B8D"/>
    <w:rPr>
      <w:rFonts w:ascii="Times New Roman" w:eastAsiaTheme="majorEastAsia" w:hAnsi="Times New Roman" w:cstheme="majorBidi"/>
      <w:color w:val="2F5496" w:themeColor="accent1" w:themeShade="BF"/>
      <w:sz w:val="32"/>
      <w:szCs w:val="32"/>
    </w:rPr>
  </w:style>
  <w:style w:type="paragraph" w:styleId="TOCHeading">
    <w:name w:val="TOC Heading"/>
    <w:basedOn w:val="Heading1"/>
    <w:next w:val="Normal"/>
    <w:uiPriority w:val="39"/>
    <w:unhideWhenUsed/>
    <w:qFormat/>
    <w:rsid w:val="00663337"/>
    <w:pPr>
      <w:outlineLvl w:val="9"/>
    </w:pPr>
  </w:style>
  <w:style w:type="character" w:customStyle="1" w:styleId="Heading2Char">
    <w:name w:val="Heading 2 Char"/>
    <w:basedOn w:val="DefaultParagraphFont"/>
    <w:link w:val="Heading2"/>
    <w:uiPriority w:val="9"/>
    <w:rsid w:val="002D4B8D"/>
    <w:rPr>
      <w:rFonts w:ascii="Times New Roman" w:eastAsiaTheme="majorEastAsia" w:hAnsi="Times New Roman" w:cstheme="majorBidi"/>
      <w:color w:val="2F5496" w:themeColor="accent1" w:themeShade="BF"/>
      <w:sz w:val="28"/>
      <w:szCs w:val="26"/>
    </w:rPr>
  </w:style>
  <w:style w:type="paragraph" w:styleId="NormalWeb">
    <w:name w:val="Normal (Web)"/>
    <w:basedOn w:val="Normal"/>
    <w:uiPriority w:val="99"/>
    <w:semiHidden/>
    <w:unhideWhenUsed/>
    <w:rsid w:val="00C51003"/>
    <w:rPr>
      <w:rFonts w:ascii="Times New Roman" w:hAnsi="Times New Roman" w:cs="Times New Roman"/>
      <w:szCs w:val="24"/>
    </w:rPr>
  </w:style>
  <w:style w:type="character" w:customStyle="1" w:styleId="Heading3Char">
    <w:name w:val="Heading 3 Char"/>
    <w:basedOn w:val="DefaultParagraphFont"/>
    <w:link w:val="Heading3"/>
    <w:uiPriority w:val="9"/>
    <w:rsid w:val="007D33B9"/>
    <w:rPr>
      <w:rFonts w:ascii="Arial" w:eastAsiaTheme="majorEastAsia" w:hAnsi="Arial" w:cstheme="majorBidi"/>
      <w:color w:val="4472C4" w:themeColor="accent1"/>
      <w:sz w:val="24"/>
      <w:szCs w:val="24"/>
    </w:rPr>
  </w:style>
  <w:style w:type="paragraph" w:styleId="TOC1">
    <w:name w:val="toc 1"/>
    <w:basedOn w:val="Normal"/>
    <w:next w:val="Normal"/>
    <w:autoRedefine/>
    <w:uiPriority w:val="39"/>
    <w:unhideWhenUsed/>
    <w:rsid w:val="003E48EB"/>
    <w:pPr>
      <w:spacing w:after="100"/>
    </w:pPr>
  </w:style>
  <w:style w:type="paragraph" w:styleId="TOC2">
    <w:name w:val="toc 2"/>
    <w:basedOn w:val="Normal"/>
    <w:next w:val="Normal"/>
    <w:autoRedefine/>
    <w:uiPriority w:val="39"/>
    <w:unhideWhenUsed/>
    <w:rsid w:val="003E48EB"/>
    <w:pPr>
      <w:spacing w:after="100"/>
      <w:ind w:left="240"/>
    </w:pPr>
  </w:style>
  <w:style w:type="paragraph" w:styleId="TOC3">
    <w:name w:val="toc 3"/>
    <w:basedOn w:val="Normal"/>
    <w:next w:val="Normal"/>
    <w:autoRedefine/>
    <w:uiPriority w:val="39"/>
    <w:unhideWhenUsed/>
    <w:rsid w:val="003E48EB"/>
    <w:pPr>
      <w:spacing w:after="100"/>
      <w:ind w:left="480"/>
    </w:pPr>
  </w:style>
  <w:style w:type="character" w:styleId="Hyperlink">
    <w:name w:val="Hyperlink"/>
    <w:basedOn w:val="DefaultParagraphFont"/>
    <w:uiPriority w:val="99"/>
    <w:unhideWhenUsed/>
    <w:rsid w:val="003E48EB"/>
    <w:rPr>
      <w:color w:val="0563C1" w:themeColor="hyperlink"/>
      <w:u w:val="single"/>
    </w:rPr>
  </w:style>
  <w:style w:type="table" w:customStyle="1" w:styleId="TableGrid">
    <w:name w:val="TableGrid"/>
    <w:rsid w:val="00DD048C"/>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FF07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07D3"/>
    <w:rPr>
      <w:rFonts w:ascii="Arial" w:hAnsi="Arial"/>
      <w:sz w:val="24"/>
    </w:rPr>
  </w:style>
  <w:style w:type="paragraph" w:styleId="Footer">
    <w:name w:val="footer"/>
    <w:basedOn w:val="Normal"/>
    <w:link w:val="FooterChar"/>
    <w:uiPriority w:val="99"/>
    <w:unhideWhenUsed/>
    <w:rsid w:val="00FF07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07D3"/>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452439">
      <w:bodyDiv w:val="1"/>
      <w:marLeft w:val="0"/>
      <w:marRight w:val="0"/>
      <w:marTop w:val="0"/>
      <w:marBottom w:val="0"/>
      <w:divBdr>
        <w:top w:val="none" w:sz="0" w:space="0" w:color="auto"/>
        <w:left w:val="none" w:sz="0" w:space="0" w:color="auto"/>
        <w:bottom w:val="none" w:sz="0" w:space="0" w:color="auto"/>
        <w:right w:val="none" w:sz="0" w:space="0" w:color="auto"/>
      </w:divBdr>
    </w:div>
    <w:div w:id="980966126">
      <w:bodyDiv w:val="1"/>
      <w:marLeft w:val="0"/>
      <w:marRight w:val="0"/>
      <w:marTop w:val="0"/>
      <w:marBottom w:val="0"/>
      <w:divBdr>
        <w:top w:val="none" w:sz="0" w:space="0" w:color="auto"/>
        <w:left w:val="none" w:sz="0" w:space="0" w:color="auto"/>
        <w:bottom w:val="none" w:sz="0" w:space="0" w:color="auto"/>
        <w:right w:val="none" w:sz="0" w:space="0" w:color="auto"/>
      </w:divBdr>
    </w:div>
    <w:div w:id="1179781091">
      <w:bodyDiv w:val="1"/>
      <w:marLeft w:val="0"/>
      <w:marRight w:val="0"/>
      <w:marTop w:val="0"/>
      <w:marBottom w:val="0"/>
      <w:divBdr>
        <w:top w:val="none" w:sz="0" w:space="0" w:color="auto"/>
        <w:left w:val="none" w:sz="0" w:space="0" w:color="auto"/>
        <w:bottom w:val="none" w:sz="0" w:space="0" w:color="auto"/>
        <w:right w:val="none" w:sz="0" w:space="0" w:color="auto"/>
      </w:divBdr>
    </w:div>
    <w:div w:id="1259175437">
      <w:bodyDiv w:val="1"/>
      <w:marLeft w:val="0"/>
      <w:marRight w:val="0"/>
      <w:marTop w:val="0"/>
      <w:marBottom w:val="0"/>
      <w:divBdr>
        <w:top w:val="none" w:sz="0" w:space="0" w:color="auto"/>
        <w:left w:val="none" w:sz="0" w:space="0" w:color="auto"/>
        <w:bottom w:val="none" w:sz="0" w:space="0" w:color="auto"/>
        <w:right w:val="none" w:sz="0" w:space="0" w:color="auto"/>
      </w:divBdr>
    </w:div>
    <w:div w:id="165868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BFF4C-6C33-42FD-BC49-D0F906999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3016</Words>
  <Characters>17192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Ashraful Biswas</dc:creator>
  <cp:lastModifiedBy>Nina Andriyivna Sokhan Kalashnikova (2234899)</cp:lastModifiedBy>
  <cp:revision>7</cp:revision>
  <dcterms:created xsi:type="dcterms:W3CDTF">2024-01-14T05:17:00Z</dcterms:created>
  <dcterms:modified xsi:type="dcterms:W3CDTF">2024-01-22T21:19:00Z</dcterms:modified>
</cp:coreProperties>
</file>