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9BE2EC" w14:textId="2496B36C" w:rsidR="0058729F" w:rsidRDefault="00C343D2" w:rsidP="00C343D2">
      <w:pPr>
        <w:jc w:val="center"/>
      </w:pPr>
      <w:r>
        <w:rPr>
          <w:noProof/>
        </w:rPr>
        <w:drawing>
          <wp:inline distT="0" distB="0" distL="0" distR="0" wp14:anchorId="446DEB35" wp14:editId="47E53A34">
            <wp:extent cx="3209925" cy="1428750"/>
            <wp:effectExtent l="0" t="0" r="9525" b="0"/>
            <wp:docPr id="1322956041"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6E0AD727" w14:textId="77777777" w:rsidR="00C343D2" w:rsidRDefault="00C343D2" w:rsidP="00C343D2">
      <w:pPr>
        <w:jc w:val="center"/>
      </w:pPr>
    </w:p>
    <w:p w14:paraId="0BB4A71C" w14:textId="77777777" w:rsidR="00C343D2" w:rsidRDefault="00C343D2" w:rsidP="00C343D2">
      <w:pPr>
        <w:jc w:val="center"/>
      </w:pPr>
    </w:p>
    <w:p w14:paraId="1B60625E" w14:textId="77777777" w:rsidR="00C343D2" w:rsidRDefault="00C343D2" w:rsidP="00C343D2">
      <w:pPr>
        <w:jc w:val="center"/>
      </w:pPr>
    </w:p>
    <w:p w14:paraId="3485CE3C" w14:textId="77777777" w:rsidR="00C343D2" w:rsidRDefault="00C343D2" w:rsidP="00C343D2">
      <w:pPr>
        <w:jc w:val="center"/>
      </w:pPr>
    </w:p>
    <w:p w14:paraId="1CB1810F" w14:textId="77777777" w:rsidR="00166F80" w:rsidRDefault="00166F80" w:rsidP="00C343D2">
      <w:pPr>
        <w:jc w:val="center"/>
      </w:pPr>
    </w:p>
    <w:p w14:paraId="7DEB5D50" w14:textId="77777777" w:rsidR="00166F80" w:rsidRDefault="00166F80" w:rsidP="00C343D2">
      <w:pPr>
        <w:jc w:val="center"/>
      </w:pPr>
    </w:p>
    <w:p w14:paraId="679BFDF7" w14:textId="77777777" w:rsidR="00C343D2" w:rsidRDefault="00C343D2" w:rsidP="00C343D2"/>
    <w:p w14:paraId="29873E41" w14:textId="77777777" w:rsidR="00C343D2" w:rsidRDefault="00C343D2" w:rsidP="00C343D2"/>
    <w:p w14:paraId="0265204F" w14:textId="77777777" w:rsidR="00C343D2" w:rsidRDefault="00C343D2" w:rsidP="00C343D2"/>
    <w:p w14:paraId="11FB6672" w14:textId="77777777" w:rsidR="00C343D2" w:rsidRPr="00CF61E4" w:rsidRDefault="00C343D2" w:rsidP="00C343D2">
      <w:pPr>
        <w:spacing w:line="360" w:lineRule="auto"/>
        <w:rPr>
          <w:rFonts w:ascii="Arial" w:hAnsi="Arial" w:cs="Arial"/>
          <w:sz w:val="22"/>
          <w:szCs w:val="22"/>
        </w:rPr>
      </w:pPr>
      <w:r w:rsidRPr="00CF61E4">
        <w:rPr>
          <w:rFonts w:ascii="Arial" w:hAnsi="Arial" w:cs="Arial"/>
          <w:sz w:val="22"/>
          <w:szCs w:val="22"/>
        </w:rPr>
        <w:t>Name: Cheila Patricia Lopes Tavares</w:t>
      </w:r>
    </w:p>
    <w:p w14:paraId="7495D337" w14:textId="77777777" w:rsidR="00C343D2" w:rsidRPr="00CF61E4" w:rsidRDefault="00C343D2" w:rsidP="00C343D2">
      <w:pPr>
        <w:spacing w:line="360" w:lineRule="auto"/>
        <w:rPr>
          <w:rFonts w:ascii="Arial" w:hAnsi="Arial" w:cs="Arial"/>
          <w:sz w:val="22"/>
          <w:szCs w:val="22"/>
        </w:rPr>
      </w:pPr>
      <w:r w:rsidRPr="00CF61E4">
        <w:rPr>
          <w:rFonts w:ascii="Arial" w:hAnsi="Arial" w:cs="Arial"/>
          <w:sz w:val="22"/>
          <w:szCs w:val="22"/>
        </w:rPr>
        <w:t>Student’s ID number: 2430825</w:t>
      </w:r>
    </w:p>
    <w:p w14:paraId="32D4EC57" w14:textId="7F03A56D" w:rsidR="00C343D2" w:rsidRPr="00CF61E4" w:rsidRDefault="00C343D2" w:rsidP="00C343D2">
      <w:pPr>
        <w:spacing w:line="360" w:lineRule="auto"/>
        <w:rPr>
          <w:rFonts w:ascii="Arial" w:hAnsi="Arial" w:cs="Arial"/>
          <w:sz w:val="22"/>
          <w:szCs w:val="22"/>
        </w:rPr>
      </w:pPr>
      <w:r w:rsidRPr="00CF61E4">
        <w:rPr>
          <w:rFonts w:ascii="Arial" w:hAnsi="Arial" w:cs="Arial"/>
          <w:sz w:val="22"/>
          <w:szCs w:val="22"/>
        </w:rPr>
        <w:t>Module Cod</w:t>
      </w:r>
      <w:r>
        <w:rPr>
          <w:rFonts w:ascii="Arial" w:hAnsi="Arial" w:cs="Arial"/>
          <w:sz w:val="22"/>
          <w:szCs w:val="22"/>
        </w:rPr>
        <w:t xml:space="preserve">e: </w:t>
      </w:r>
      <w:r w:rsidR="005421CE" w:rsidRPr="005421CE">
        <w:rPr>
          <w:rFonts w:ascii="Arial" w:hAnsi="Arial" w:cs="Arial"/>
          <w:sz w:val="22"/>
          <w:szCs w:val="22"/>
        </w:rPr>
        <w:t>LCHS4010</w:t>
      </w:r>
    </w:p>
    <w:p w14:paraId="2D7B9182" w14:textId="22E16BE0" w:rsidR="00C343D2" w:rsidRPr="00CF61E4" w:rsidRDefault="00C343D2" w:rsidP="00C343D2">
      <w:pPr>
        <w:spacing w:line="360" w:lineRule="auto"/>
        <w:rPr>
          <w:rFonts w:ascii="Arial" w:hAnsi="Arial" w:cs="Arial"/>
          <w:sz w:val="22"/>
          <w:szCs w:val="22"/>
        </w:rPr>
      </w:pPr>
      <w:r w:rsidRPr="00CF61E4">
        <w:rPr>
          <w:rFonts w:ascii="Arial" w:hAnsi="Arial" w:cs="Arial"/>
          <w:sz w:val="22"/>
          <w:szCs w:val="22"/>
        </w:rPr>
        <w:t>Module name:</w:t>
      </w:r>
      <w:r w:rsidR="005421CE" w:rsidRPr="005421CE">
        <w:t xml:space="preserve"> </w:t>
      </w:r>
      <w:r w:rsidR="005421CE" w:rsidRPr="005421CE">
        <w:rPr>
          <w:rFonts w:ascii="Arial" w:hAnsi="Arial" w:cs="Arial"/>
          <w:sz w:val="22"/>
          <w:szCs w:val="22"/>
        </w:rPr>
        <w:t>Psychology in Health and Social Care</w:t>
      </w:r>
    </w:p>
    <w:p w14:paraId="788A0223" w14:textId="2A9D6FA7" w:rsidR="00C343D2" w:rsidRDefault="00C343D2" w:rsidP="00C343D2">
      <w:pPr>
        <w:spacing w:line="360" w:lineRule="auto"/>
        <w:rPr>
          <w:rFonts w:ascii="Arial" w:hAnsi="Arial" w:cs="Arial"/>
          <w:sz w:val="22"/>
          <w:szCs w:val="22"/>
        </w:rPr>
      </w:pPr>
      <w:r w:rsidRPr="00CF61E4">
        <w:rPr>
          <w:rFonts w:ascii="Arial" w:hAnsi="Arial" w:cs="Arial"/>
          <w:sz w:val="22"/>
          <w:szCs w:val="22"/>
        </w:rPr>
        <w:t xml:space="preserve">Lecturer: </w:t>
      </w:r>
      <w:r w:rsidR="005421CE">
        <w:rPr>
          <w:rFonts w:ascii="Arial" w:hAnsi="Arial" w:cs="Arial"/>
          <w:sz w:val="22"/>
          <w:szCs w:val="22"/>
        </w:rPr>
        <w:t xml:space="preserve">Christopher </w:t>
      </w:r>
      <w:proofErr w:type="spellStart"/>
      <w:r w:rsidR="005421CE">
        <w:rPr>
          <w:rFonts w:ascii="Arial" w:hAnsi="Arial" w:cs="Arial"/>
          <w:sz w:val="22"/>
          <w:szCs w:val="22"/>
        </w:rPr>
        <w:t>Mafuva</w:t>
      </w:r>
      <w:proofErr w:type="spellEnd"/>
    </w:p>
    <w:p w14:paraId="245E976F" w14:textId="77777777" w:rsidR="005421CE" w:rsidRDefault="005421CE" w:rsidP="00C343D2">
      <w:pPr>
        <w:spacing w:line="360" w:lineRule="auto"/>
        <w:rPr>
          <w:rFonts w:ascii="Arial" w:hAnsi="Arial" w:cs="Arial"/>
          <w:sz w:val="22"/>
          <w:szCs w:val="22"/>
        </w:rPr>
      </w:pPr>
    </w:p>
    <w:p w14:paraId="746CD042" w14:textId="77777777" w:rsidR="00785340" w:rsidRDefault="00785340" w:rsidP="00C343D2">
      <w:pPr>
        <w:spacing w:line="360" w:lineRule="auto"/>
        <w:rPr>
          <w:rFonts w:ascii="Arial" w:hAnsi="Arial" w:cs="Arial"/>
          <w:sz w:val="22"/>
          <w:szCs w:val="22"/>
        </w:rPr>
      </w:pPr>
    </w:p>
    <w:p w14:paraId="47670F85" w14:textId="77777777" w:rsidR="00785340" w:rsidRDefault="00785340" w:rsidP="00C343D2">
      <w:pPr>
        <w:spacing w:line="360" w:lineRule="auto"/>
        <w:rPr>
          <w:rFonts w:ascii="Arial" w:hAnsi="Arial" w:cs="Arial"/>
          <w:sz w:val="22"/>
          <w:szCs w:val="22"/>
        </w:rPr>
      </w:pPr>
    </w:p>
    <w:p w14:paraId="2C8389DE" w14:textId="77777777" w:rsidR="00785340" w:rsidRDefault="00785340" w:rsidP="00C343D2">
      <w:pPr>
        <w:spacing w:line="360" w:lineRule="auto"/>
        <w:rPr>
          <w:rFonts w:ascii="Arial" w:hAnsi="Arial" w:cs="Arial"/>
          <w:sz w:val="22"/>
          <w:szCs w:val="22"/>
        </w:rPr>
      </w:pPr>
    </w:p>
    <w:p w14:paraId="5D420DDB" w14:textId="77777777" w:rsidR="005421CE" w:rsidRDefault="005421CE" w:rsidP="005421CE">
      <w:pPr>
        <w:spacing w:line="360" w:lineRule="auto"/>
        <w:jc w:val="center"/>
        <w:rPr>
          <w:rFonts w:ascii="Arial" w:hAnsi="Arial" w:cs="Arial"/>
          <w:sz w:val="22"/>
          <w:szCs w:val="22"/>
        </w:rPr>
      </w:pPr>
    </w:p>
    <w:p w14:paraId="23128D1E" w14:textId="2C92B76F" w:rsidR="005421CE" w:rsidRDefault="005421CE" w:rsidP="005421CE">
      <w:pPr>
        <w:spacing w:line="360" w:lineRule="auto"/>
        <w:jc w:val="center"/>
        <w:rPr>
          <w:rFonts w:ascii="Arial" w:hAnsi="Arial" w:cs="Arial"/>
          <w:sz w:val="22"/>
          <w:szCs w:val="22"/>
        </w:rPr>
      </w:pPr>
      <w:r w:rsidRPr="00CF61E4">
        <w:rPr>
          <w:rFonts w:ascii="Arial" w:hAnsi="Arial" w:cs="Arial"/>
          <w:sz w:val="22"/>
          <w:szCs w:val="22"/>
        </w:rPr>
        <w:t xml:space="preserve">Submitted on: </w:t>
      </w:r>
      <w:r>
        <w:rPr>
          <w:rFonts w:ascii="Arial" w:hAnsi="Arial" w:cs="Arial"/>
          <w:sz w:val="22"/>
          <w:szCs w:val="22"/>
        </w:rPr>
        <w:t>1</w:t>
      </w:r>
      <w:r w:rsidR="00166F80">
        <w:rPr>
          <w:rFonts w:ascii="Arial" w:hAnsi="Arial" w:cs="Arial"/>
          <w:sz w:val="22"/>
          <w:szCs w:val="22"/>
        </w:rPr>
        <w:t>7</w:t>
      </w:r>
      <w:r w:rsidRPr="005421CE">
        <w:rPr>
          <w:rFonts w:ascii="Arial" w:hAnsi="Arial" w:cs="Arial"/>
          <w:sz w:val="22"/>
          <w:szCs w:val="22"/>
          <w:vertAlign w:val="superscript"/>
        </w:rPr>
        <w:t>th</w:t>
      </w:r>
      <w:r>
        <w:rPr>
          <w:rFonts w:ascii="Arial" w:hAnsi="Arial" w:cs="Arial"/>
          <w:sz w:val="22"/>
          <w:szCs w:val="22"/>
        </w:rPr>
        <w:t xml:space="preserve"> December</w:t>
      </w:r>
      <w:r w:rsidRPr="00CF61E4">
        <w:rPr>
          <w:rFonts w:ascii="Arial" w:hAnsi="Arial" w:cs="Arial"/>
          <w:sz w:val="22"/>
          <w:szCs w:val="22"/>
        </w:rPr>
        <w:t xml:space="preserve"> 2025</w:t>
      </w:r>
    </w:p>
    <w:p w14:paraId="25CEAAEB" w14:textId="77777777" w:rsidR="005421CE" w:rsidRDefault="005421CE" w:rsidP="005421CE">
      <w:pPr>
        <w:spacing w:line="360" w:lineRule="auto"/>
        <w:jc w:val="center"/>
        <w:rPr>
          <w:rFonts w:ascii="Arial" w:hAnsi="Arial" w:cs="Arial"/>
          <w:sz w:val="22"/>
          <w:szCs w:val="22"/>
        </w:rPr>
      </w:pPr>
    </w:p>
    <w:p w14:paraId="33A63505" w14:textId="4D4CC73D" w:rsidR="00785340" w:rsidRDefault="00785340">
      <w:pPr>
        <w:rPr>
          <w:rFonts w:ascii="Arial" w:hAnsi="Arial" w:cs="Arial"/>
          <w:sz w:val="22"/>
          <w:szCs w:val="22"/>
        </w:rPr>
      </w:pPr>
      <w:r>
        <w:rPr>
          <w:rFonts w:ascii="Arial" w:hAnsi="Arial" w:cs="Arial"/>
          <w:sz w:val="22"/>
          <w:szCs w:val="22"/>
        </w:rPr>
        <w:br w:type="page"/>
      </w:r>
    </w:p>
    <w:sdt>
      <w:sdtPr>
        <w:rPr>
          <w:rFonts w:asciiTheme="minorHAnsi" w:eastAsiaTheme="minorHAnsi" w:hAnsiTheme="minorHAnsi" w:cstheme="minorBidi"/>
          <w:color w:val="auto"/>
          <w:kern w:val="2"/>
          <w:sz w:val="24"/>
          <w:szCs w:val="24"/>
          <w:lang w:eastAsia="en-US"/>
          <w14:ligatures w14:val="standardContextual"/>
        </w:rPr>
        <w:id w:val="-127781376"/>
        <w:docPartObj>
          <w:docPartGallery w:val="Table of Contents"/>
          <w:docPartUnique/>
        </w:docPartObj>
      </w:sdtPr>
      <w:sdtEndPr>
        <w:rPr>
          <w:b/>
          <w:bCs/>
        </w:rPr>
      </w:sdtEndPr>
      <w:sdtContent>
        <w:p w14:paraId="0EECE1D7" w14:textId="240202CA" w:rsidR="00366BB7" w:rsidRDefault="00366BB7">
          <w:pPr>
            <w:pStyle w:val="TOCHeading"/>
          </w:pPr>
          <w:r>
            <w:t>Table of Contents</w:t>
          </w:r>
        </w:p>
        <w:p w14:paraId="25F7DEDE" w14:textId="01B2BAFC" w:rsidR="00E553C7" w:rsidRDefault="00366BB7">
          <w:pPr>
            <w:pStyle w:val="TOC1"/>
            <w:tabs>
              <w:tab w:val="right" w:leader="dot" w:pos="9016"/>
            </w:tabs>
            <w:rPr>
              <w:rFonts w:eastAsiaTheme="minorEastAsia"/>
              <w:noProof/>
              <w:lang w:eastAsia="en-GB"/>
            </w:rPr>
          </w:pPr>
          <w:r w:rsidRPr="00B55240">
            <w:rPr>
              <w:b/>
              <w:bCs/>
            </w:rPr>
            <w:fldChar w:fldCharType="begin"/>
          </w:r>
          <w:r w:rsidRPr="00B55240">
            <w:rPr>
              <w:b/>
              <w:bCs/>
            </w:rPr>
            <w:instrText xml:space="preserve"> TOC \o "1-3" \h \z \u </w:instrText>
          </w:r>
          <w:r w:rsidRPr="00B55240">
            <w:rPr>
              <w:b/>
              <w:bCs/>
            </w:rPr>
            <w:fldChar w:fldCharType="separate"/>
          </w:r>
          <w:hyperlink w:anchor="_Toc216889622" w:history="1">
            <w:r w:rsidR="00E553C7" w:rsidRPr="009923B2">
              <w:rPr>
                <w:rStyle w:val="Hyperlink"/>
                <w:rFonts w:ascii="Arial" w:hAnsi="Arial" w:cs="Arial"/>
                <w:b/>
                <w:noProof/>
              </w:rPr>
              <w:t>Introduction</w:t>
            </w:r>
            <w:r w:rsidR="00E553C7">
              <w:rPr>
                <w:noProof/>
                <w:webHidden/>
              </w:rPr>
              <w:tab/>
            </w:r>
            <w:r w:rsidR="00E553C7">
              <w:rPr>
                <w:noProof/>
                <w:webHidden/>
              </w:rPr>
              <w:fldChar w:fldCharType="begin"/>
            </w:r>
            <w:r w:rsidR="00E553C7">
              <w:rPr>
                <w:noProof/>
                <w:webHidden/>
              </w:rPr>
              <w:instrText xml:space="preserve"> PAGEREF _Toc216889622 \h </w:instrText>
            </w:r>
            <w:r w:rsidR="00E553C7">
              <w:rPr>
                <w:noProof/>
                <w:webHidden/>
              </w:rPr>
            </w:r>
            <w:r w:rsidR="00E553C7">
              <w:rPr>
                <w:noProof/>
                <w:webHidden/>
              </w:rPr>
              <w:fldChar w:fldCharType="separate"/>
            </w:r>
            <w:r w:rsidR="00E553C7">
              <w:rPr>
                <w:noProof/>
                <w:webHidden/>
              </w:rPr>
              <w:t>3</w:t>
            </w:r>
            <w:r w:rsidR="00E553C7">
              <w:rPr>
                <w:noProof/>
                <w:webHidden/>
              </w:rPr>
              <w:fldChar w:fldCharType="end"/>
            </w:r>
          </w:hyperlink>
        </w:p>
        <w:p w14:paraId="312DB727" w14:textId="05E45D30" w:rsidR="00E553C7" w:rsidRDefault="00E553C7">
          <w:pPr>
            <w:pStyle w:val="TOC1"/>
            <w:tabs>
              <w:tab w:val="right" w:leader="dot" w:pos="9016"/>
            </w:tabs>
            <w:rPr>
              <w:rFonts w:eastAsiaTheme="minorEastAsia"/>
              <w:noProof/>
              <w:lang w:eastAsia="en-GB"/>
            </w:rPr>
          </w:pPr>
          <w:hyperlink w:anchor="_Toc216889623" w:history="1">
            <w:r w:rsidRPr="009923B2">
              <w:rPr>
                <w:rStyle w:val="Hyperlink"/>
                <w:rFonts w:ascii="Arial" w:hAnsi="Arial" w:cs="Arial"/>
                <w:b/>
                <w:bCs/>
                <w:noProof/>
              </w:rPr>
              <w:t>First Theory: Erikson’s Psychosocial Development Theory</w:t>
            </w:r>
            <w:r>
              <w:rPr>
                <w:noProof/>
                <w:webHidden/>
              </w:rPr>
              <w:tab/>
            </w:r>
            <w:r>
              <w:rPr>
                <w:noProof/>
                <w:webHidden/>
              </w:rPr>
              <w:fldChar w:fldCharType="begin"/>
            </w:r>
            <w:r>
              <w:rPr>
                <w:noProof/>
                <w:webHidden/>
              </w:rPr>
              <w:instrText xml:space="preserve"> PAGEREF _Toc216889623 \h </w:instrText>
            </w:r>
            <w:r>
              <w:rPr>
                <w:noProof/>
                <w:webHidden/>
              </w:rPr>
            </w:r>
            <w:r>
              <w:rPr>
                <w:noProof/>
                <w:webHidden/>
              </w:rPr>
              <w:fldChar w:fldCharType="separate"/>
            </w:r>
            <w:r>
              <w:rPr>
                <w:noProof/>
                <w:webHidden/>
              </w:rPr>
              <w:t>4</w:t>
            </w:r>
            <w:r>
              <w:rPr>
                <w:noProof/>
                <w:webHidden/>
              </w:rPr>
              <w:fldChar w:fldCharType="end"/>
            </w:r>
          </w:hyperlink>
        </w:p>
        <w:p w14:paraId="41D8181A" w14:textId="03C43E54" w:rsidR="00E553C7" w:rsidRDefault="00E553C7">
          <w:pPr>
            <w:pStyle w:val="TOC1"/>
            <w:tabs>
              <w:tab w:val="right" w:leader="dot" w:pos="9016"/>
            </w:tabs>
            <w:rPr>
              <w:rFonts w:eastAsiaTheme="minorEastAsia"/>
              <w:noProof/>
              <w:lang w:eastAsia="en-GB"/>
            </w:rPr>
          </w:pPr>
          <w:hyperlink w:anchor="_Toc216889624" w:history="1">
            <w:r w:rsidRPr="009923B2">
              <w:rPr>
                <w:rStyle w:val="Hyperlink"/>
                <w:rFonts w:ascii="Arial" w:hAnsi="Arial" w:cs="Arial"/>
                <w:b/>
                <w:bCs/>
                <w:noProof/>
              </w:rPr>
              <w:t>Second Theory: Bandura’s Social Learning Theory</w:t>
            </w:r>
            <w:r>
              <w:rPr>
                <w:noProof/>
                <w:webHidden/>
              </w:rPr>
              <w:tab/>
            </w:r>
            <w:r>
              <w:rPr>
                <w:noProof/>
                <w:webHidden/>
              </w:rPr>
              <w:fldChar w:fldCharType="begin"/>
            </w:r>
            <w:r>
              <w:rPr>
                <w:noProof/>
                <w:webHidden/>
              </w:rPr>
              <w:instrText xml:space="preserve"> PAGEREF _Toc216889624 \h </w:instrText>
            </w:r>
            <w:r>
              <w:rPr>
                <w:noProof/>
                <w:webHidden/>
              </w:rPr>
            </w:r>
            <w:r>
              <w:rPr>
                <w:noProof/>
                <w:webHidden/>
              </w:rPr>
              <w:fldChar w:fldCharType="separate"/>
            </w:r>
            <w:r>
              <w:rPr>
                <w:noProof/>
                <w:webHidden/>
              </w:rPr>
              <w:t>7</w:t>
            </w:r>
            <w:r>
              <w:rPr>
                <w:noProof/>
                <w:webHidden/>
              </w:rPr>
              <w:fldChar w:fldCharType="end"/>
            </w:r>
          </w:hyperlink>
        </w:p>
        <w:p w14:paraId="1A217B7C" w14:textId="4ACB8F33" w:rsidR="00E553C7" w:rsidRDefault="00E553C7">
          <w:pPr>
            <w:pStyle w:val="TOC1"/>
            <w:tabs>
              <w:tab w:val="right" w:leader="dot" w:pos="9016"/>
            </w:tabs>
            <w:rPr>
              <w:rFonts w:eastAsiaTheme="minorEastAsia"/>
              <w:noProof/>
              <w:lang w:eastAsia="en-GB"/>
            </w:rPr>
          </w:pPr>
          <w:hyperlink w:anchor="_Toc216889625" w:history="1">
            <w:r w:rsidRPr="009923B2">
              <w:rPr>
                <w:rStyle w:val="Hyperlink"/>
                <w:rFonts w:ascii="Arial" w:hAnsi="Arial" w:cs="Arial"/>
                <w:b/>
                <w:noProof/>
              </w:rPr>
              <w:t>Application in the Dementia Care Home</w:t>
            </w:r>
            <w:r>
              <w:rPr>
                <w:noProof/>
                <w:webHidden/>
              </w:rPr>
              <w:tab/>
            </w:r>
            <w:r>
              <w:rPr>
                <w:noProof/>
                <w:webHidden/>
              </w:rPr>
              <w:fldChar w:fldCharType="begin"/>
            </w:r>
            <w:r>
              <w:rPr>
                <w:noProof/>
                <w:webHidden/>
              </w:rPr>
              <w:instrText xml:space="preserve"> PAGEREF _Toc216889625 \h </w:instrText>
            </w:r>
            <w:r>
              <w:rPr>
                <w:noProof/>
                <w:webHidden/>
              </w:rPr>
            </w:r>
            <w:r>
              <w:rPr>
                <w:noProof/>
                <w:webHidden/>
              </w:rPr>
              <w:fldChar w:fldCharType="separate"/>
            </w:r>
            <w:r>
              <w:rPr>
                <w:noProof/>
                <w:webHidden/>
              </w:rPr>
              <w:t>7</w:t>
            </w:r>
            <w:r>
              <w:rPr>
                <w:noProof/>
                <w:webHidden/>
              </w:rPr>
              <w:fldChar w:fldCharType="end"/>
            </w:r>
          </w:hyperlink>
        </w:p>
        <w:p w14:paraId="118AF5F4" w14:textId="2E792267" w:rsidR="00E553C7" w:rsidRDefault="00E553C7">
          <w:pPr>
            <w:pStyle w:val="TOC1"/>
            <w:tabs>
              <w:tab w:val="right" w:leader="dot" w:pos="9016"/>
            </w:tabs>
            <w:rPr>
              <w:rFonts w:eastAsiaTheme="minorEastAsia"/>
              <w:noProof/>
              <w:lang w:eastAsia="en-GB"/>
            </w:rPr>
          </w:pPr>
          <w:hyperlink w:anchor="_Toc216889626" w:history="1">
            <w:r w:rsidRPr="009923B2">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_Toc216889626 \h </w:instrText>
            </w:r>
            <w:r>
              <w:rPr>
                <w:noProof/>
                <w:webHidden/>
              </w:rPr>
            </w:r>
            <w:r>
              <w:rPr>
                <w:noProof/>
                <w:webHidden/>
              </w:rPr>
              <w:fldChar w:fldCharType="separate"/>
            </w:r>
            <w:r>
              <w:rPr>
                <w:noProof/>
                <w:webHidden/>
              </w:rPr>
              <w:t>10</w:t>
            </w:r>
            <w:r>
              <w:rPr>
                <w:noProof/>
                <w:webHidden/>
              </w:rPr>
              <w:fldChar w:fldCharType="end"/>
            </w:r>
          </w:hyperlink>
        </w:p>
        <w:p w14:paraId="1B0A4412" w14:textId="6C35DD04" w:rsidR="00E553C7" w:rsidRDefault="00E553C7">
          <w:pPr>
            <w:pStyle w:val="TOC1"/>
            <w:tabs>
              <w:tab w:val="right" w:leader="dot" w:pos="9016"/>
            </w:tabs>
            <w:rPr>
              <w:rFonts w:eastAsiaTheme="minorEastAsia"/>
              <w:noProof/>
              <w:lang w:eastAsia="en-GB"/>
            </w:rPr>
          </w:pPr>
          <w:hyperlink w:anchor="_Toc216889627" w:history="1">
            <w:r w:rsidRPr="009923B2">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_Toc216889627 \h </w:instrText>
            </w:r>
            <w:r>
              <w:rPr>
                <w:noProof/>
                <w:webHidden/>
              </w:rPr>
            </w:r>
            <w:r>
              <w:rPr>
                <w:noProof/>
                <w:webHidden/>
              </w:rPr>
              <w:fldChar w:fldCharType="separate"/>
            </w:r>
            <w:r>
              <w:rPr>
                <w:noProof/>
                <w:webHidden/>
              </w:rPr>
              <w:t>11</w:t>
            </w:r>
            <w:r>
              <w:rPr>
                <w:noProof/>
                <w:webHidden/>
              </w:rPr>
              <w:fldChar w:fldCharType="end"/>
            </w:r>
          </w:hyperlink>
        </w:p>
        <w:p w14:paraId="30A0A24A" w14:textId="73E22361" w:rsidR="00366BB7" w:rsidRPr="00B55240" w:rsidRDefault="00366BB7">
          <w:pPr>
            <w:rPr>
              <w:b/>
              <w:bCs/>
            </w:rPr>
          </w:pPr>
          <w:r w:rsidRPr="00B55240">
            <w:rPr>
              <w:b/>
              <w:bCs/>
            </w:rPr>
            <w:fldChar w:fldCharType="end"/>
          </w:r>
        </w:p>
      </w:sdtContent>
    </w:sdt>
    <w:p w14:paraId="158454D7" w14:textId="3D8BABB7" w:rsidR="005421CE" w:rsidRPr="00366BB7" w:rsidRDefault="005421CE" w:rsidP="00366BB7">
      <w:pPr>
        <w:pStyle w:val="TOCHeading"/>
      </w:pPr>
    </w:p>
    <w:p w14:paraId="3E879212" w14:textId="77777777" w:rsidR="005421CE" w:rsidRDefault="005421CE" w:rsidP="005421CE">
      <w:pPr>
        <w:spacing w:line="360" w:lineRule="auto"/>
        <w:jc w:val="center"/>
        <w:rPr>
          <w:rFonts w:ascii="Arial" w:hAnsi="Arial" w:cs="Arial"/>
          <w:sz w:val="22"/>
          <w:szCs w:val="22"/>
        </w:rPr>
      </w:pPr>
    </w:p>
    <w:p w14:paraId="74E7B069" w14:textId="77777777" w:rsidR="00366BB7" w:rsidRDefault="00366BB7" w:rsidP="005421CE">
      <w:pPr>
        <w:spacing w:line="360" w:lineRule="auto"/>
        <w:jc w:val="center"/>
        <w:rPr>
          <w:rFonts w:ascii="Arial" w:hAnsi="Arial" w:cs="Arial"/>
          <w:sz w:val="22"/>
          <w:szCs w:val="22"/>
        </w:rPr>
      </w:pPr>
    </w:p>
    <w:p w14:paraId="0BF4749D" w14:textId="77777777" w:rsidR="00366BB7" w:rsidRDefault="00366BB7" w:rsidP="005421CE">
      <w:pPr>
        <w:spacing w:line="360" w:lineRule="auto"/>
        <w:jc w:val="center"/>
        <w:rPr>
          <w:rFonts w:ascii="Arial" w:hAnsi="Arial" w:cs="Arial"/>
          <w:sz w:val="22"/>
          <w:szCs w:val="22"/>
        </w:rPr>
      </w:pPr>
    </w:p>
    <w:p w14:paraId="43D132B9" w14:textId="77777777" w:rsidR="00366BB7" w:rsidRDefault="00366BB7" w:rsidP="005421CE">
      <w:pPr>
        <w:spacing w:line="360" w:lineRule="auto"/>
        <w:jc w:val="center"/>
        <w:rPr>
          <w:rFonts w:ascii="Arial" w:hAnsi="Arial" w:cs="Arial"/>
          <w:sz w:val="22"/>
          <w:szCs w:val="22"/>
        </w:rPr>
      </w:pPr>
    </w:p>
    <w:p w14:paraId="7DA5C894" w14:textId="77777777" w:rsidR="00366BB7" w:rsidRDefault="00366BB7" w:rsidP="005421CE">
      <w:pPr>
        <w:spacing w:line="360" w:lineRule="auto"/>
        <w:jc w:val="center"/>
        <w:rPr>
          <w:rFonts w:ascii="Arial" w:hAnsi="Arial" w:cs="Arial"/>
          <w:sz w:val="22"/>
          <w:szCs w:val="22"/>
        </w:rPr>
      </w:pPr>
    </w:p>
    <w:p w14:paraId="75118A79" w14:textId="77777777" w:rsidR="00366BB7" w:rsidRDefault="00366BB7" w:rsidP="005421CE">
      <w:pPr>
        <w:spacing w:line="360" w:lineRule="auto"/>
        <w:jc w:val="center"/>
        <w:rPr>
          <w:rFonts w:ascii="Arial" w:hAnsi="Arial" w:cs="Arial"/>
          <w:sz w:val="22"/>
          <w:szCs w:val="22"/>
        </w:rPr>
      </w:pPr>
    </w:p>
    <w:p w14:paraId="679A1020" w14:textId="77777777" w:rsidR="00366BB7" w:rsidRDefault="00366BB7" w:rsidP="005421CE">
      <w:pPr>
        <w:spacing w:line="360" w:lineRule="auto"/>
        <w:jc w:val="center"/>
        <w:rPr>
          <w:rFonts w:ascii="Arial" w:hAnsi="Arial" w:cs="Arial"/>
          <w:sz w:val="22"/>
          <w:szCs w:val="22"/>
        </w:rPr>
      </w:pPr>
    </w:p>
    <w:p w14:paraId="184A1FAF" w14:textId="77777777" w:rsidR="00366BB7" w:rsidRDefault="00366BB7" w:rsidP="005421CE">
      <w:pPr>
        <w:spacing w:line="360" w:lineRule="auto"/>
        <w:jc w:val="center"/>
        <w:rPr>
          <w:rFonts w:ascii="Arial" w:hAnsi="Arial" w:cs="Arial"/>
          <w:sz w:val="22"/>
          <w:szCs w:val="22"/>
        </w:rPr>
      </w:pPr>
    </w:p>
    <w:p w14:paraId="2ECBEDFC" w14:textId="77777777" w:rsidR="00366BB7" w:rsidRDefault="00366BB7" w:rsidP="005421CE">
      <w:pPr>
        <w:spacing w:line="360" w:lineRule="auto"/>
        <w:jc w:val="center"/>
        <w:rPr>
          <w:rFonts w:ascii="Arial" w:hAnsi="Arial" w:cs="Arial"/>
          <w:sz w:val="22"/>
          <w:szCs w:val="22"/>
        </w:rPr>
      </w:pPr>
    </w:p>
    <w:p w14:paraId="1F613FF3" w14:textId="77777777" w:rsidR="00366BB7" w:rsidRDefault="00366BB7" w:rsidP="005421CE">
      <w:pPr>
        <w:spacing w:line="360" w:lineRule="auto"/>
        <w:jc w:val="center"/>
        <w:rPr>
          <w:rFonts w:ascii="Arial" w:hAnsi="Arial" w:cs="Arial"/>
          <w:sz w:val="22"/>
          <w:szCs w:val="22"/>
        </w:rPr>
      </w:pPr>
    </w:p>
    <w:p w14:paraId="37ADEC75" w14:textId="77777777" w:rsidR="00366BB7" w:rsidRDefault="00366BB7" w:rsidP="005421CE">
      <w:pPr>
        <w:spacing w:line="360" w:lineRule="auto"/>
        <w:jc w:val="center"/>
        <w:rPr>
          <w:rFonts w:ascii="Arial" w:hAnsi="Arial" w:cs="Arial"/>
          <w:sz w:val="22"/>
          <w:szCs w:val="22"/>
        </w:rPr>
      </w:pPr>
    </w:p>
    <w:p w14:paraId="2824028B" w14:textId="77777777" w:rsidR="00366BB7" w:rsidRDefault="00366BB7" w:rsidP="005421CE">
      <w:pPr>
        <w:spacing w:line="360" w:lineRule="auto"/>
        <w:jc w:val="center"/>
        <w:rPr>
          <w:rFonts w:ascii="Arial" w:hAnsi="Arial" w:cs="Arial"/>
          <w:sz w:val="22"/>
          <w:szCs w:val="22"/>
        </w:rPr>
      </w:pPr>
    </w:p>
    <w:p w14:paraId="0A126926" w14:textId="77777777" w:rsidR="00366BB7" w:rsidRDefault="00366BB7" w:rsidP="005421CE">
      <w:pPr>
        <w:spacing w:line="360" w:lineRule="auto"/>
        <w:jc w:val="center"/>
        <w:rPr>
          <w:rFonts w:ascii="Arial" w:hAnsi="Arial" w:cs="Arial"/>
          <w:sz w:val="22"/>
          <w:szCs w:val="22"/>
        </w:rPr>
      </w:pPr>
    </w:p>
    <w:p w14:paraId="012B4FF0" w14:textId="77777777" w:rsidR="00366BB7" w:rsidRDefault="00366BB7" w:rsidP="005421CE">
      <w:pPr>
        <w:spacing w:line="360" w:lineRule="auto"/>
        <w:jc w:val="center"/>
        <w:rPr>
          <w:rFonts w:ascii="Arial" w:hAnsi="Arial" w:cs="Arial"/>
          <w:sz w:val="22"/>
          <w:szCs w:val="22"/>
        </w:rPr>
      </w:pPr>
    </w:p>
    <w:p w14:paraId="0A92125D" w14:textId="77777777" w:rsidR="00366BB7" w:rsidRDefault="00366BB7" w:rsidP="005421CE">
      <w:pPr>
        <w:spacing w:line="360" w:lineRule="auto"/>
        <w:jc w:val="center"/>
        <w:rPr>
          <w:rFonts w:ascii="Arial" w:hAnsi="Arial" w:cs="Arial"/>
          <w:sz w:val="22"/>
          <w:szCs w:val="22"/>
        </w:rPr>
      </w:pPr>
    </w:p>
    <w:p w14:paraId="7D378F3F" w14:textId="77777777" w:rsidR="00366BB7" w:rsidRDefault="00366BB7" w:rsidP="005421CE">
      <w:pPr>
        <w:spacing w:line="360" w:lineRule="auto"/>
        <w:jc w:val="center"/>
        <w:rPr>
          <w:rFonts w:ascii="Arial" w:hAnsi="Arial" w:cs="Arial"/>
          <w:sz w:val="22"/>
          <w:szCs w:val="22"/>
        </w:rPr>
      </w:pPr>
    </w:p>
    <w:p w14:paraId="4B01F131" w14:textId="77777777" w:rsidR="00366BB7" w:rsidRDefault="00366BB7" w:rsidP="005421CE">
      <w:pPr>
        <w:spacing w:line="360" w:lineRule="auto"/>
        <w:jc w:val="center"/>
        <w:rPr>
          <w:rFonts w:ascii="Arial" w:hAnsi="Arial" w:cs="Arial"/>
          <w:sz w:val="22"/>
          <w:szCs w:val="22"/>
        </w:rPr>
      </w:pPr>
    </w:p>
    <w:p w14:paraId="1342CA9B" w14:textId="77777777" w:rsidR="00366BB7" w:rsidRDefault="00366BB7" w:rsidP="005421CE">
      <w:pPr>
        <w:spacing w:line="360" w:lineRule="auto"/>
        <w:jc w:val="center"/>
        <w:rPr>
          <w:rFonts w:ascii="Arial" w:hAnsi="Arial" w:cs="Arial"/>
          <w:sz w:val="22"/>
          <w:szCs w:val="22"/>
        </w:rPr>
      </w:pPr>
    </w:p>
    <w:p w14:paraId="6B0C3899" w14:textId="77777777" w:rsidR="00785340" w:rsidRDefault="00785340" w:rsidP="00B55240">
      <w:pPr>
        <w:spacing w:line="360" w:lineRule="auto"/>
        <w:rPr>
          <w:rFonts w:ascii="Arial" w:hAnsi="Arial" w:cs="Arial"/>
          <w:sz w:val="22"/>
          <w:szCs w:val="22"/>
        </w:rPr>
      </w:pPr>
    </w:p>
    <w:p w14:paraId="21F7D427" w14:textId="77777777" w:rsidR="00785340" w:rsidRDefault="00785340" w:rsidP="005421CE">
      <w:pPr>
        <w:spacing w:line="360" w:lineRule="auto"/>
        <w:jc w:val="center"/>
        <w:rPr>
          <w:rFonts w:ascii="Arial" w:hAnsi="Arial" w:cs="Arial"/>
          <w:sz w:val="22"/>
          <w:szCs w:val="22"/>
        </w:rPr>
      </w:pPr>
    </w:p>
    <w:p w14:paraId="1CB4D826" w14:textId="77777777" w:rsidR="00366BB7" w:rsidRPr="00B55240" w:rsidRDefault="00366BB7" w:rsidP="00366BB7">
      <w:pPr>
        <w:pStyle w:val="Heading1"/>
        <w:rPr>
          <w:rFonts w:ascii="Arial" w:hAnsi="Arial" w:cs="Arial"/>
          <w:b/>
          <w:color w:val="auto"/>
        </w:rPr>
      </w:pPr>
      <w:bookmarkStart w:id="0" w:name="_Toc216448456"/>
      <w:bookmarkStart w:id="1" w:name="_Toc216889622"/>
      <w:r w:rsidRPr="00B55240">
        <w:rPr>
          <w:rFonts w:ascii="Arial" w:hAnsi="Arial" w:cs="Arial"/>
          <w:b/>
          <w:color w:val="auto"/>
        </w:rPr>
        <w:t>Introduction</w:t>
      </w:r>
      <w:bookmarkEnd w:id="0"/>
      <w:bookmarkEnd w:id="1"/>
      <w:r w:rsidRPr="00B55240">
        <w:rPr>
          <w:rFonts w:ascii="Arial" w:hAnsi="Arial" w:cs="Arial"/>
          <w:b/>
          <w:color w:val="auto"/>
        </w:rPr>
        <w:t xml:space="preserve"> </w:t>
      </w:r>
    </w:p>
    <w:p w14:paraId="2BB682E7" w14:textId="77777777" w:rsidR="00366BB7" w:rsidRPr="00366BB7" w:rsidRDefault="00366BB7" w:rsidP="00366BB7"/>
    <w:p w14:paraId="60D4DB8E" w14:textId="77777777" w:rsidR="00366BB7" w:rsidRPr="00366BB7" w:rsidRDefault="00366BB7" w:rsidP="00366BB7">
      <w:pPr>
        <w:spacing w:line="360" w:lineRule="auto"/>
        <w:rPr>
          <w:rFonts w:ascii="Arial" w:hAnsi="Arial" w:cs="Arial"/>
        </w:rPr>
      </w:pPr>
      <w:r w:rsidRPr="00366BB7">
        <w:rPr>
          <w:rFonts w:ascii="Arial" w:hAnsi="Arial" w:cs="Arial"/>
        </w:rPr>
        <w:t>Psychological theories provide essential frameworks for comprehending, predicting, and facilitating human behaviour across the lifespan, particularly in late adulthood. For individuals aged 65 and older residing in dementia care facilities, the difficulties associated with cognitive decline often intersect with emotional turmoil, behavioural alterations, and disturbances in identity (Journal of Gerontology &amp; Geriatrics, 2025). Dementia might worsen concurrent psychological health disorders, including despair, anxiety, and social disengagement, rendering supportive treatment both intricate and essential (PubMed, 2020). Interventions based on psychological theory may assist health and social care workers in understanding the emotional and behavioural requirements of residents, hence guiding therapeutic approaches that enhance well-being and dignity (OpenStax, 2025a).</w:t>
      </w:r>
    </w:p>
    <w:p w14:paraId="60F7C7CD" w14:textId="77777777" w:rsidR="00366BB7" w:rsidRPr="00366BB7" w:rsidRDefault="00366BB7" w:rsidP="00366BB7">
      <w:pPr>
        <w:spacing w:line="360" w:lineRule="auto"/>
        <w:rPr>
          <w:rFonts w:ascii="Arial" w:hAnsi="Arial" w:cs="Arial"/>
        </w:rPr>
      </w:pPr>
      <w:r w:rsidRPr="00366BB7">
        <w:rPr>
          <w:rFonts w:ascii="Arial" w:hAnsi="Arial" w:cs="Arial"/>
        </w:rPr>
        <w:t xml:space="preserve">This report seeks to </w:t>
      </w:r>
      <w:proofErr w:type="gramStart"/>
      <w:r w:rsidRPr="00366BB7">
        <w:rPr>
          <w:rFonts w:ascii="Arial" w:hAnsi="Arial" w:cs="Arial"/>
        </w:rPr>
        <w:t>investigate  health</w:t>
      </w:r>
      <w:proofErr w:type="gramEnd"/>
      <w:r w:rsidRPr="00366BB7">
        <w:rPr>
          <w:rFonts w:ascii="Arial" w:hAnsi="Arial" w:cs="Arial"/>
        </w:rPr>
        <w:t xml:space="preserve"> and social care workers by demonstrating the use of two significant psychological theories, Erikson’s Psychosocial Development Theory and Bandura’s Social Learning Theory in dementia care environments. Each theory is rigorously assessed via practical examples, challenges, and tactics, illustrating their significance in improving the quality of life for older individuals with dementia (Erikson &amp; Erikson, 1997; Bandura, 1986).</w:t>
      </w:r>
    </w:p>
    <w:p w14:paraId="1F03BD2E" w14:textId="13EAF387" w:rsidR="00785340" w:rsidRDefault="00785340" w:rsidP="005421CE">
      <w:pPr>
        <w:spacing w:line="360" w:lineRule="auto"/>
        <w:jc w:val="center"/>
        <w:rPr>
          <w:rFonts w:ascii="Arial" w:hAnsi="Arial" w:cs="Arial"/>
          <w:sz w:val="22"/>
          <w:szCs w:val="22"/>
        </w:rPr>
      </w:pPr>
    </w:p>
    <w:p w14:paraId="708508F4" w14:textId="77777777" w:rsidR="00785340" w:rsidRDefault="00785340" w:rsidP="005421CE">
      <w:pPr>
        <w:spacing w:line="360" w:lineRule="auto"/>
        <w:jc w:val="center"/>
        <w:rPr>
          <w:rFonts w:ascii="Arial" w:hAnsi="Arial" w:cs="Arial"/>
          <w:sz w:val="22"/>
          <w:szCs w:val="22"/>
        </w:rPr>
      </w:pPr>
    </w:p>
    <w:p w14:paraId="2D11A683" w14:textId="77777777" w:rsidR="005421CE" w:rsidRPr="005421CE" w:rsidRDefault="005421CE" w:rsidP="005421CE"/>
    <w:p w14:paraId="760B1ADD" w14:textId="77777777" w:rsidR="005421CE" w:rsidRPr="00CF61E4" w:rsidRDefault="005421CE" w:rsidP="00785340">
      <w:pPr>
        <w:spacing w:line="360" w:lineRule="auto"/>
        <w:rPr>
          <w:rFonts w:ascii="Arial" w:hAnsi="Arial" w:cs="Arial"/>
          <w:sz w:val="22"/>
          <w:szCs w:val="22"/>
        </w:rPr>
      </w:pPr>
    </w:p>
    <w:p w14:paraId="00DBF966" w14:textId="77777777" w:rsidR="00C343D2" w:rsidRDefault="00C343D2" w:rsidP="00C343D2"/>
    <w:p w14:paraId="14906A06" w14:textId="77777777" w:rsidR="005421CE" w:rsidRDefault="005421CE" w:rsidP="00C343D2"/>
    <w:p w14:paraId="4D04929E" w14:textId="77777777" w:rsidR="005421CE" w:rsidRDefault="005421CE" w:rsidP="00C343D2"/>
    <w:p w14:paraId="6C371A48" w14:textId="77777777" w:rsidR="005421CE" w:rsidRDefault="005421CE" w:rsidP="00C343D2"/>
    <w:p w14:paraId="75E7660E" w14:textId="77777777" w:rsidR="00366BB7" w:rsidRPr="00B55240" w:rsidRDefault="00366BB7" w:rsidP="00366BB7">
      <w:pPr>
        <w:pStyle w:val="Heading1"/>
        <w:rPr>
          <w:rFonts w:ascii="Arial" w:hAnsi="Arial" w:cs="Arial"/>
          <w:b/>
          <w:bCs/>
          <w:color w:val="auto"/>
        </w:rPr>
      </w:pPr>
      <w:bookmarkStart w:id="2" w:name="_Toc216448457"/>
      <w:bookmarkStart w:id="3" w:name="_Toc216889623"/>
      <w:r w:rsidRPr="00B55240">
        <w:rPr>
          <w:rFonts w:ascii="Arial" w:hAnsi="Arial" w:cs="Arial"/>
          <w:b/>
          <w:bCs/>
          <w:color w:val="auto"/>
        </w:rPr>
        <w:lastRenderedPageBreak/>
        <w:t>First Theory: Erikson’s Psychosocial Development Theory</w:t>
      </w:r>
      <w:bookmarkEnd w:id="2"/>
      <w:bookmarkEnd w:id="3"/>
    </w:p>
    <w:p w14:paraId="28B69F42" w14:textId="77777777" w:rsidR="00E553C7" w:rsidRDefault="00E553C7" w:rsidP="00366BB7"/>
    <w:p w14:paraId="2DB4D152" w14:textId="47C3418D" w:rsidR="00366BB7" w:rsidRDefault="00366BB7" w:rsidP="00366BB7">
      <w:r w:rsidRPr="00366BB7">
        <w:t xml:space="preserve">Erik Erikson's lifetime model of psychosocial development delineates eight successive phases that humans traverse from infancy to old age, each characterized by a principal psychosocial crisis (Erikson, 1950). The last stage, Integrity vs. Despair, usually happens in later adulthood (65+). In this stage, people think over their life story and either feel fulfilled and wise (integrity) or regret and sad (despair) (Erikson &amp; Erikson, 1997). Successful resolution promotes psychological well-being, purpose, and emotional equilibrium by enabling older persons to acknowledge their life’s achievements and constraints (Social Sci </w:t>
      </w:r>
      <w:proofErr w:type="spellStart"/>
      <w:r w:rsidRPr="00366BB7">
        <w:t>LibreTexts</w:t>
      </w:r>
      <w:proofErr w:type="spellEnd"/>
      <w:r w:rsidRPr="00366BB7">
        <w:t>, 2025). On the other hand, unresolved introspection may cause despair, bitterness, and mental pain (Springer, 2025).</w:t>
      </w:r>
    </w:p>
    <w:p w14:paraId="31F75D60" w14:textId="77777777" w:rsidR="00366BB7" w:rsidRDefault="00366BB7" w:rsidP="00366BB7"/>
    <w:p w14:paraId="5E0711B2" w14:textId="77777777" w:rsidR="00E553C7" w:rsidRDefault="00366BB7" w:rsidP="00E553C7">
      <w:r w:rsidRPr="00366BB7">
        <w:t>This stage is particularly significant in the context of dementia, as cognitive deterioration may impede life review processes and threaten identity continuity, complicating persons' ability to engage with prior experiences and sustain a coherent self-concept (Journal of Gerontology &amp; Geriatrics, 2025). Nonetheless, Erikson's theory continues to be crucial in conceptualizing emotional reactions to aging and dementia, as well as guiding supportive therapies (OpenStax, 2025b)</w:t>
      </w:r>
      <w:bookmarkStart w:id="4" w:name="_Toc216448459"/>
    </w:p>
    <w:p w14:paraId="10BB4A90" w14:textId="77777777" w:rsidR="00E553C7" w:rsidRDefault="00E553C7" w:rsidP="00E553C7"/>
    <w:p w14:paraId="2ED1B9C9" w14:textId="77777777" w:rsidR="00E553C7" w:rsidRPr="00E553C7" w:rsidRDefault="00E553C7" w:rsidP="00E553C7">
      <w:pPr>
        <w:rPr>
          <w:sz w:val="40"/>
          <w:szCs w:val="40"/>
        </w:rPr>
      </w:pPr>
    </w:p>
    <w:p w14:paraId="63AD3128" w14:textId="771BC225" w:rsidR="00366BB7" w:rsidRPr="00E553C7" w:rsidRDefault="00366BB7" w:rsidP="00E553C7">
      <w:pPr>
        <w:rPr>
          <w:sz w:val="40"/>
          <w:szCs w:val="40"/>
        </w:rPr>
      </w:pPr>
      <w:r w:rsidRPr="00E553C7">
        <w:rPr>
          <w:rFonts w:ascii="Arial" w:hAnsi="Arial" w:cs="Arial"/>
          <w:b/>
          <w:sz w:val="40"/>
          <w:szCs w:val="40"/>
        </w:rPr>
        <w:t>Application in the Dementia Care Home</w:t>
      </w:r>
      <w:bookmarkEnd w:id="4"/>
    </w:p>
    <w:p w14:paraId="0643A73F" w14:textId="77777777" w:rsidR="00366BB7" w:rsidRPr="00366BB7" w:rsidRDefault="00366BB7" w:rsidP="00366BB7"/>
    <w:p w14:paraId="6C73DBF3" w14:textId="77777777" w:rsidR="00366BB7" w:rsidRPr="00366BB7" w:rsidRDefault="00366BB7" w:rsidP="00366BB7">
      <w:pPr>
        <w:rPr>
          <w:b/>
          <w:bCs/>
        </w:rPr>
      </w:pPr>
      <w:r w:rsidRPr="00366BB7">
        <w:rPr>
          <w:b/>
          <w:bCs/>
        </w:rPr>
        <w:t>Understanding Behaviour, Emotions, and Cognition</w:t>
      </w:r>
    </w:p>
    <w:p w14:paraId="33C9DEBB" w14:textId="77777777" w:rsidR="00366BB7" w:rsidRPr="00366BB7" w:rsidRDefault="00366BB7" w:rsidP="00366BB7">
      <w:r w:rsidRPr="00366BB7">
        <w:t>Dementia often diminishes memory, thinking, and communication abilities, eroding residents' confidence and intensifying anxiety, despair, or agitation (PubMed, 2020). Erikson's stage of Integrity vs. Despair aids professionals in comprehending that older persons may have challenges related to life reflection, identity loss, and existential issues when memory declines (Springer, 2025). Encouraging residents to meaningfully interact with their prior experiences might help them feel more connected and less stressed (OpenStax, 2025a).</w:t>
      </w:r>
    </w:p>
    <w:p w14:paraId="627283AC" w14:textId="77777777" w:rsidR="00366BB7" w:rsidRPr="00366BB7" w:rsidRDefault="00366BB7" w:rsidP="00366BB7">
      <w:r w:rsidRPr="00366BB7">
        <w:t xml:space="preserve">Reminiscence and life review therapy, based on Erikson's model, may assist clients in reestablishing connections with significant life events, offering emotional solace and a </w:t>
      </w:r>
      <w:r w:rsidRPr="00366BB7">
        <w:lastRenderedPageBreak/>
        <w:t>feeling of continuity. Research indicates that these activities may enhance psychological well-being, alleviate depressive symptoms, and encourage social interaction among older persons in care environments (ScienceDirect, 2025).</w:t>
      </w:r>
    </w:p>
    <w:p w14:paraId="5E325239" w14:textId="77777777" w:rsidR="00366BB7" w:rsidRPr="00366BB7" w:rsidRDefault="00366BB7" w:rsidP="00366BB7"/>
    <w:p w14:paraId="4B892E65" w14:textId="77777777" w:rsidR="00366BB7" w:rsidRPr="00366BB7" w:rsidRDefault="00366BB7" w:rsidP="00366BB7">
      <w:pPr>
        <w:rPr>
          <w:b/>
          <w:bCs/>
        </w:rPr>
      </w:pPr>
      <w:r w:rsidRPr="00366BB7">
        <w:rPr>
          <w:b/>
          <w:bCs/>
        </w:rPr>
        <w:t>Practical Examples</w:t>
      </w:r>
    </w:p>
    <w:p w14:paraId="68C5C2CA" w14:textId="77777777" w:rsidR="00366BB7" w:rsidRPr="00366BB7" w:rsidRDefault="00366BB7" w:rsidP="00366BB7">
      <w:r w:rsidRPr="00366BB7">
        <w:t>Structured reminiscence therapy sessions that include images, music, and suggestions about life stories may help residents remember important events in their lives, strengthen their sense of self, and make them feel like they belong (Journal of Gerontology &amp; Geriatrics, 2025).</w:t>
      </w:r>
    </w:p>
    <w:p w14:paraId="05CEA105" w14:textId="77777777" w:rsidR="00366BB7" w:rsidRPr="00366BB7" w:rsidRDefault="00366BB7" w:rsidP="00366BB7">
      <w:r w:rsidRPr="00366BB7">
        <w:rPr>
          <w:b/>
          <w:bCs/>
        </w:rPr>
        <w:t>Life Story Work</w:t>
      </w:r>
      <w:r w:rsidRPr="00366BB7">
        <w:t>: Writing down or drawing pictures of your life story and personal successes might help you feel better about yourself and less hopeless. This has been demonstrated in controlled trials with older people (ScienceDirect, 2025).</w:t>
      </w:r>
    </w:p>
    <w:p w14:paraId="6303E3ED" w14:textId="77777777" w:rsidR="00366BB7" w:rsidRPr="00366BB7" w:rsidRDefault="00366BB7" w:rsidP="00366BB7">
      <w:r w:rsidRPr="00366BB7">
        <w:rPr>
          <w:b/>
          <w:bCs/>
        </w:rPr>
        <w:t>Autonomy Support:</w:t>
      </w:r>
      <w:r w:rsidRPr="00366BB7">
        <w:t xml:space="preserve"> Even when their minds are becoming worse, letting residents make decisions about their daily routines and personal preferences may help them feel more in control and respect themselves, which are important parts of developing integrity (OpenStax, 2025b).</w:t>
      </w:r>
    </w:p>
    <w:p w14:paraId="274BF442" w14:textId="77777777" w:rsidR="00366BB7" w:rsidRPr="00366BB7" w:rsidRDefault="00366BB7" w:rsidP="00366BB7"/>
    <w:p w14:paraId="27E656CE" w14:textId="77777777" w:rsidR="00366BB7" w:rsidRPr="00366BB7" w:rsidRDefault="00366BB7" w:rsidP="00366BB7">
      <w:pPr>
        <w:rPr>
          <w:b/>
          <w:bCs/>
        </w:rPr>
      </w:pPr>
      <w:r w:rsidRPr="00366BB7">
        <w:rPr>
          <w:b/>
          <w:bCs/>
        </w:rPr>
        <w:t>Challenges for Professionals</w:t>
      </w:r>
    </w:p>
    <w:p w14:paraId="4A9CD39C" w14:textId="77777777" w:rsidR="00366BB7" w:rsidRPr="00366BB7" w:rsidRDefault="00366BB7" w:rsidP="00366BB7">
      <w:r w:rsidRPr="00366BB7">
        <w:t>There are a few things that might make it hard to use Erikson's theory effectively:</w:t>
      </w:r>
    </w:p>
    <w:p w14:paraId="7D6ED90A" w14:textId="77777777" w:rsidR="00366BB7" w:rsidRPr="00366BB7" w:rsidRDefault="00366BB7" w:rsidP="00366BB7"/>
    <w:p w14:paraId="20895EE1" w14:textId="77777777" w:rsidR="00366BB7" w:rsidRPr="00366BB7" w:rsidRDefault="00366BB7" w:rsidP="00366BB7">
      <w:r w:rsidRPr="00366BB7">
        <w:rPr>
          <w:b/>
          <w:bCs/>
        </w:rPr>
        <w:t>Cognitive Limitations</w:t>
      </w:r>
      <w:r w:rsidRPr="00366BB7">
        <w:t>: Significant memory deficits might hinder meaningful life reflection, making reminiscence activities less accessible for some residents (Journal of Gerontology &amp; Geriatrics, 2025).</w:t>
      </w:r>
    </w:p>
    <w:p w14:paraId="51099629" w14:textId="77777777" w:rsidR="00366BB7" w:rsidRPr="00366BB7" w:rsidRDefault="00366BB7" w:rsidP="00366BB7">
      <w:r w:rsidRPr="00366BB7">
        <w:rPr>
          <w:b/>
          <w:bCs/>
        </w:rPr>
        <w:t>Emotional Discomfort:</w:t>
      </w:r>
      <w:r w:rsidRPr="00366BB7">
        <w:t xml:space="preserve"> Talking about things that went wrong in the past or things that are now bothering you may make you feel bad, which might lead to more difficult behaviours.</w:t>
      </w:r>
    </w:p>
    <w:p w14:paraId="77D2741D" w14:textId="77777777" w:rsidR="00366BB7" w:rsidRPr="00366BB7" w:rsidRDefault="00366BB7" w:rsidP="00366BB7">
      <w:r w:rsidRPr="00366BB7">
        <w:rPr>
          <w:b/>
          <w:bCs/>
        </w:rPr>
        <w:t>Cultural Variability:</w:t>
      </w:r>
      <w:r w:rsidRPr="00366BB7">
        <w:t xml:space="preserve"> Different cultures have different views on aging and reflecting on life, which affects how well people adopt intervention methods (Springer, 2025).</w:t>
      </w:r>
    </w:p>
    <w:p w14:paraId="5FBD78D7" w14:textId="77777777" w:rsidR="00366BB7" w:rsidRPr="00366BB7" w:rsidRDefault="00366BB7" w:rsidP="00366BB7"/>
    <w:p w14:paraId="02D1B723" w14:textId="77777777" w:rsidR="00366BB7" w:rsidRPr="00366BB7" w:rsidRDefault="00366BB7" w:rsidP="00366BB7">
      <w:pPr>
        <w:rPr>
          <w:b/>
          <w:bCs/>
        </w:rPr>
      </w:pPr>
      <w:r w:rsidRPr="00366BB7">
        <w:rPr>
          <w:b/>
          <w:bCs/>
        </w:rPr>
        <w:t>Strategies to Overcome Challenges</w:t>
      </w:r>
    </w:p>
    <w:p w14:paraId="426B63D3" w14:textId="77777777" w:rsidR="00366BB7" w:rsidRPr="00366BB7" w:rsidRDefault="00366BB7" w:rsidP="00366BB7">
      <w:r w:rsidRPr="00366BB7">
        <w:t>Personalized Care Plans: Use each person's life story and preferences to make the recollection material more relevant and safer for their emotions (OpenStax, 2025a).</w:t>
      </w:r>
    </w:p>
    <w:p w14:paraId="2CE172A4" w14:textId="77777777" w:rsidR="00366BB7" w:rsidRPr="00366BB7" w:rsidRDefault="00366BB7" w:rsidP="00366BB7"/>
    <w:p w14:paraId="5FF7D804" w14:textId="77777777" w:rsidR="00366BB7" w:rsidRPr="00366BB7" w:rsidRDefault="00366BB7" w:rsidP="00366BB7">
      <w:r w:rsidRPr="00366BB7">
        <w:rPr>
          <w:b/>
          <w:bCs/>
        </w:rPr>
        <w:lastRenderedPageBreak/>
        <w:t>Staff Training:</w:t>
      </w:r>
      <w:r w:rsidRPr="00366BB7">
        <w:t xml:space="preserve"> Teach care professionals how to talk to people with memory problems in a way that helps them examine their lives (OpenStax, 2025b).</w:t>
      </w:r>
    </w:p>
    <w:p w14:paraId="4226F482" w14:textId="77777777" w:rsidR="00366BB7" w:rsidRPr="00366BB7" w:rsidRDefault="00366BB7" w:rsidP="00366BB7"/>
    <w:p w14:paraId="6B7EFE02" w14:textId="77777777" w:rsidR="00366BB7" w:rsidRPr="00366BB7" w:rsidRDefault="00366BB7" w:rsidP="00366BB7">
      <w:r w:rsidRPr="00366BB7">
        <w:t>Family Involvement: Include what family members say in life story activities to improve person-centred care and keep a person's identity consistent (Journal of Gerontology &amp; Geriatrics, 2025).</w:t>
      </w:r>
    </w:p>
    <w:p w14:paraId="01E38A51" w14:textId="77777777" w:rsidR="00366BB7" w:rsidRPr="00366BB7" w:rsidRDefault="00366BB7" w:rsidP="00366BB7"/>
    <w:p w14:paraId="113DF502" w14:textId="77777777" w:rsidR="00366BB7" w:rsidRPr="00366BB7" w:rsidRDefault="00366BB7" w:rsidP="00366BB7">
      <w:pPr>
        <w:rPr>
          <w:b/>
        </w:rPr>
      </w:pPr>
      <w:bookmarkStart w:id="5" w:name="_Toc216448460"/>
      <w:r w:rsidRPr="00366BB7">
        <w:rPr>
          <w:b/>
        </w:rPr>
        <w:t>Critical Evaluation</w:t>
      </w:r>
      <w:bookmarkEnd w:id="5"/>
    </w:p>
    <w:p w14:paraId="10ED0E52" w14:textId="77777777" w:rsidR="00366BB7" w:rsidRPr="00366BB7" w:rsidRDefault="00366BB7" w:rsidP="00366BB7">
      <w:r w:rsidRPr="00366BB7">
        <w:t xml:space="preserve">Studies demonstrate that life review and remembrance therapies significantly improve psychological well-being in older persons, even those residing in care facilities (PubMed, 2020; ScienceDirect, 2025). Nevertheless, not all residents exhibit </w:t>
      </w:r>
      <w:proofErr w:type="spellStart"/>
      <w:r w:rsidRPr="00366BB7">
        <w:t>favorable</w:t>
      </w:r>
      <w:proofErr w:type="spellEnd"/>
      <w:r w:rsidRPr="00366BB7">
        <w:t xml:space="preserve"> responses; those with limited recollection or significant cognitive impairment may experience frustration or confusion during life review (Springer, 2025). </w:t>
      </w:r>
    </w:p>
    <w:p w14:paraId="714B19EE" w14:textId="77777777" w:rsidR="00366BB7" w:rsidRPr="00366BB7" w:rsidRDefault="00366BB7" w:rsidP="00366BB7">
      <w:r w:rsidRPr="00366BB7">
        <w:t xml:space="preserve">Even with these flaws, Erikson's framework is nevertheless very useful for dementia care since it shows that keeping your identity and resolving your emotions are important for mental health in late adulthood (Social Sci </w:t>
      </w:r>
      <w:proofErr w:type="spellStart"/>
      <w:r w:rsidRPr="00366BB7">
        <w:t>LibreTexts</w:t>
      </w:r>
      <w:proofErr w:type="spellEnd"/>
      <w:r w:rsidRPr="00366BB7">
        <w:t>, 2025). Professionals may create supportive spaces that promote dignity, connectivity, and emotional comfort by learning about the psychological issues of Integrity vs. Despair (OpenStax, 2025a).</w:t>
      </w:r>
    </w:p>
    <w:p w14:paraId="388C008E" w14:textId="77777777" w:rsidR="00366BB7" w:rsidRPr="00366BB7" w:rsidRDefault="00366BB7" w:rsidP="00366BB7"/>
    <w:p w14:paraId="267A2158" w14:textId="77777777" w:rsidR="005421CE" w:rsidRDefault="005421CE" w:rsidP="005421CE"/>
    <w:p w14:paraId="700A8B40" w14:textId="77777777" w:rsidR="00E553C7" w:rsidRDefault="00E553C7" w:rsidP="005421CE"/>
    <w:p w14:paraId="4180DF06" w14:textId="77777777" w:rsidR="00E553C7" w:rsidRDefault="00E553C7" w:rsidP="005421CE"/>
    <w:p w14:paraId="6E867B2A" w14:textId="77777777" w:rsidR="00E553C7" w:rsidRDefault="00E553C7" w:rsidP="005421CE"/>
    <w:p w14:paraId="23383796" w14:textId="77777777" w:rsidR="00E553C7" w:rsidRDefault="00E553C7" w:rsidP="005421CE"/>
    <w:p w14:paraId="616B17FF" w14:textId="77777777" w:rsidR="00E553C7" w:rsidRDefault="00E553C7" w:rsidP="005421CE"/>
    <w:p w14:paraId="48554AE5" w14:textId="77777777" w:rsidR="00E553C7" w:rsidRDefault="00E553C7" w:rsidP="005421CE"/>
    <w:p w14:paraId="75C6CB15" w14:textId="77777777" w:rsidR="00E553C7" w:rsidRDefault="00E553C7" w:rsidP="005421CE"/>
    <w:p w14:paraId="055789C2" w14:textId="77777777" w:rsidR="00E553C7" w:rsidRDefault="00E553C7" w:rsidP="005421CE"/>
    <w:p w14:paraId="4CE24B48" w14:textId="77777777" w:rsidR="005421CE" w:rsidRPr="00B55240" w:rsidRDefault="005421CE" w:rsidP="005421CE">
      <w:pPr>
        <w:rPr>
          <w:rFonts w:ascii="Arial" w:hAnsi="Arial" w:cs="Arial"/>
          <w:b/>
          <w:bCs/>
        </w:rPr>
      </w:pPr>
    </w:p>
    <w:p w14:paraId="1A776235" w14:textId="77777777" w:rsidR="00366BB7" w:rsidRPr="00B55240" w:rsidRDefault="00366BB7" w:rsidP="00366BB7">
      <w:pPr>
        <w:pStyle w:val="Heading1"/>
        <w:rPr>
          <w:rFonts w:ascii="Arial" w:hAnsi="Arial" w:cs="Arial"/>
          <w:b/>
          <w:bCs/>
          <w:color w:val="auto"/>
        </w:rPr>
      </w:pPr>
      <w:bookmarkStart w:id="6" w:name="_Toc216448461"/>
      <w:bookmarkStart w:id="7" w:name="_Toc216889624"/>
      <w:r w:rsidRPr="00B55240">
        <w:rPr>
          <w:rFonts w:ascii="Arial" w:hAnsi="Arial" w:cs="Arial"/>
          <w:b/>
          <w:bCs/>
          <w:color w:val="auto"/>
        </w:rPr>
        <w:lastRenderedPageBreak/>
        <w:t>Second Theory: Bandura’s Social Learning Theory</w:t>
      </w:r>
      <w:bookmarkEnd w:id="6"/>
      <w:bookmarkEnd w:id="7"/>
      <w:r w:rsidRPr="00B55240">
        <w:rPr>
          <w:rFonts w:ascii="Arial" w:hAnsi="Arial" w:cs="Arial"/>
          <w:b/>
          <w:bCs/>
          <w:color w:val="auto"/>
        </w:rPr>
        <w:t xml:space="preserve"> </w:t>
      </w:r>
    </w:p>
    <w:p w14:paraId="0A52E667" w14:textId="77777777" w:rsidR="00366BB7" w:rsidRPr="00366BB7" w:rsidRDefault="00366BB7" w:rsidP="00366BB7"/>
    <w:p w14:paraId="295DBC49" w14:textId="77777777" w:rsidR="00366BB7" w:rsidRPr="00366BB7" w:rsidRDefault="00366BB7" w:rsidP="00366BB7">
      <w:r w:rsidRPr="00366BB7">
        <w:t>Albert Bandura's Social Learning Theory asserts that individuals acquire behaviours, attitudes, and emotional reactions via the observation of others, then mimicking and modelling these activities (Bandura, 1977). In contrast to traditional behaviourism, Bandura focused on cognitive processes—attention, memory, and motivation that facilitate observational learning and established the concept of self-efficacy, which refers to the belief in one's capacity to execute behaviours that yield desired results (</w:t>
      </w:r>
      <w:proofErr w:type="spellStart"/>
      <w:r w:rsidRPr="00366BB7">
        <w:t>SimplyPsychology</w:t>
      </w:r>
      <w:proofErr w:type="spellEnd"/>
      <w:r w:rsidRPr="00366BB7">
        <w:t>, 2025).</w:t>
      </w:r>
    </w:p>
    <w:p w14:paraId="0C0CFF36" w14:textId="77777777" w:rsidR="00366BB7" w:rsidRPr="00366BB7" w:rsidRDefault="00366BB7" w:rsidP="00366BB7"/>
    <w:p w14:paraId="69A7610E" w14:textId="77777777" w:rsidR="00366BB7" w:rsidRPr="00366BB7" w:rsidRDefault="00366BB7" w:rsidP="00366BB7">
      <w:r w:rsidRPr="00366BB7">
        <w:t xml:space="preserve">Bandura further developed the idea into a more comprehensive Social Cognitive idea that underscores reciprocal </w:t>
      </w:r>
      <w:proofErr w:type="gramStart"/>
      <w:r w:rsidRPr="00366BB7">
        <w:t>determinism(</w:t>
      </w:r>
      <w:proofErr w:type="spellStart"/>
      <w:proofErr w:type="gramEnd"/>
      <w:r w:rsidRPr="00366BB7">
        <w:t>Mukhalalati</w:t>
      </w:r>
      <w:proofErr w:type="spellEnd"/>
      <w:r w:rsidRPr="00366BB7">
        <w:t>, 2022: behaviour, personal characteristics, and environmental influences interact dynamically to impact learning (Bandura, 1986; Springer, 2025). In health and social care, social learning concepts have been used to facilitate behavioural modification, self-management, and adaptive coping mechanisms (Islam et al., 2023).</w:t>
      </w:r>
    </w:p>
    <w:p w14:paraId="54C0A8A3" w14:textId="77777777" w:rsidR="00035B61" w:rsidRPr="00035B61" w:rsidRDefault="00035B61" w:rsidP="00035B61"/>
    <w:p w14:paraId="0EFE14C2" w14:textId="77777777" w:rsidR="00366BB7" w:rsidRDefault="00366BB7" w:rsidP="00035B61">
      <w:pPr>
        <w:pStyle w:val="Heading1"/>
        <w:rPr>
          <w:rFonts w:ascii="Arial" w:hAnsi="Arial" w:cs="Arial"/>
          <w:b/>
          <w:color w:val="auto"/>
        </w:rPr>
      </w:pPr>
      <w:bookmarkStart w:id="8" w:name="_Toc216448463"/>
      <w:bookmarkStart w:id="9" w:name="_Toc216889625"/>
      <w:r w:rsidRPr="00035B61">
        <w:rPr>
          <w:rFonts w:ascii="Arial" w:hAnsi="Arial" w:cs="Arial"/>
          <w:b/>
          <w:color w:val="auto"/>
        </w:rPr>
        <w:t>Application in the Dementia Care Home</w:t>
      </w:r>
      <w:bookmarkEnd w:id="8"/>
      <w:bookmarkEnd w:id="9"/>
    </w:p>
    <w:p w14:paraId="765ECB7C" w14:textId="77777777" w:rsidR="00035B61" w:rsidRPr="00035B61" w:rsidRDefault="00035B61" w:rsidP="00035B61"/>
    <w:p w14:paraId="446F10B2" w14:textId="77777777" w:rsidR="00366BB7" w:rsidRPr="00366BB7" w:rsidRDefault="00366BB7" w:rsidP="00366BB7">
      <w:pPr>
        <w:rPr>
          <w:b/>
          <w:bCs/>
        </w:rPr>
      </w:pPr>
      <w:r w:rsidRPr="00366BB7">
        <w:rPr>
          <w:b/>
          <w:bCs/>
        </w:rPr>
        <w:t>Understanding Behaviour, Emotions, and Cognition</w:t>
      </w:r>
    </w:p>
    <w:p w14:paraId="73E05BAC" w14:textId="77777777" w:rsidR="00366BB7" w:rsidRPr="00366BB7" w:rsidRDefault="00366BB7" w:rsidP="00366BB7">
      <w:r w:rsidRPr="00366BB7">
        <w:t>In dementia care facilities, individuals may get advantages from seeing good behavioural models shown by staff or peers. For instance, residents who see calm and helpful interactions might feel less anxious and respond in the same way in social situations (</w:t>
      </w:r>
      <w:proofErr w:type="spellStart"/>
      <w:r w:rsidRPr="00366BB7">
        <w:t>SimplyPsychology</w:t>
      </w:r>
      <w:proofErr w:type="spellEnd"/>
      <w:r w:rsidRPr="00366BB7">
        <w:t>, 2025; Islam et al., 2023). Observational learning encompasses routines, including engagement in everyday activities, physical exercises, or coping mechanisms for discomfort (</w:t>
      </w:r>
      <w:proofErr w:type="spellStart"/>
      <w:r w:rsidRPr="00366BB7">
        <w:t>Mukhalalati</w:t>
      </w:r>
      <w:proofErr w:type="spellEnd"/>
      <w:r w:rsidRPr="00366BB7">
        <w:t>, 2022).</w:t>
      </w:r>
    </w:p>
    <w:p w14:paraId="0129BB9E" w14:textId="77777777" w:rsidR="00366BB7" w:rsidRPr="00366BB7" w:rsidRDefault="00366BB7" w:rsidP="00366BB7">
      <w:r w:rsidRPr="00366BB7">
        <w:t>Self-efficacy, a fundamental notion in Bandura’s paradigm, is especially pertinent: persons exhibiting elevated self-efficacy are more inclined to engage in adaptive behaviours, maintain social contacts, and partake in therapeutic activities (Safavi et al., 2025).</w:t>
      </w:r>
    </w:p>
    <w:p w14:paraId="390F3FB1" w14:textId="77777777" w:rsidR="00366BB7" w:rsidRPr="00366BB7" w:rsidRDefault="00366BB7" w:rsidP="00366BB7"/>
    <w:p w14:paraId="190B31FC" w14:textId="77777777" w:rsidR="00366BB7" w:rsidRPr="00366BB7" w:rsidRDefault="00366BB7" w:rsidP="00366BB7">
      <w:pPr>
        <w:rPr>
          <w:b/>
          <w:bCs/>
        </w:rPr>
      </w:pPr>
      <w:r w:rsidRPr="00366BB7">
        <w:rPr>
          <w:b/>
          <w:bCs/>
        </w:rPr>
        <w:t>Practical Examples</w:t>
      </w:r>
    </w:p>
    <w:p w14:paraId="5D8956D4" w14:textId="77777777" w:rsidR="00366BB7" w:rsidRPr="00366BB7" w:rsidRDefault="00366BB7" w:rsidP="00366BB7"/>
    <w:p w14:paraId="78D4EB63" w14:textId="77777777" w:rsidR="00366BB7" w:rsidRPr="00366BB7" w:rsidRDefault="00366BB7" w:rsidP="00366BB7">
      <w:r w:rsidRPr="00366BB7">
        <w:rPr>
          <w:b/>
          <w:bCs/>
        </w:rPr>
        <w:t>Group Modelling Activities:</w:t>
      </w:r>
      <w:r w:rsidRPr="00366BB7">
        <w:t xml:space="preserve"> Residents might be more likely to join in if they see their peers doing physical or social activities in structured group sessions. For instance, seeing other people do basic tasks or tell stories might boost your confidence by reinforcing what they do (PMC, 2025).</w:t>
      </w:r>
    </w:p>
    <w:p w14:paraId="1B573625" w14:textId="77777777" w:rsidR="00366BB7" w:rsidRPr="00366BB7" w:rsidRDefault="00366BB7" w:rsidP="00366BB7">
      <w:r w:rsidRPr="00366BB7">
        <w:rPr>
          <w:b/>
          <w:bCs/>
        </w:rPr>
        <w:t>Staff Demonstration of Coping Strategies:</w:t>
      </w:r>
      <w:r w:rsidRPr="00366BB7">
        <w:t xml:space="preserve"> Training staff to model calming tactics (e.g., deep breathing, structured interaction) allows residents to see ways to deal with stress and copy those behaviours (</w:t>
      </w:r>
      <w:proofErr w:type="spellStart"/>
      <w:r w:rsidRPr="00366BB7">
        <w:t>Mukhalalati</w:t>
      </w:r>
      <w:proofErr w:type="spellEnd"/>
      <w:r w:rsidRPr="00366BB7">
        <w:t>, 2022).</w:t>
      </w:r>
    </w:p>
    <w:p w14:paraId="7BC4E29C" w14:textId="77777777" w:rsidR="00366BB7" w:rsidRPr="00366BB7" w:rsidRDefault="00366BB7" w:rsidP="00366BB7">
      <w:r w:rsidRPr="00366BB7">
        <w:rPr>
          <w:b/>
          <w:bCs/>
        </w:rPr>
        <w:t>Positive Reinforcement Systems:</w:t>
      </w:r>
      <w:r w:rsidRPr="00366BB7">
        <w:t xml:space="preserve"> Rewarding participation in activities (praise, recognition) reinforces adaptive behaviours, promoting continued involvement and enhancing self-efficacy beliefs (Bandura, 1977; Islam et al., 2023).</w:t>
      </w:r>
    </w:p>
    <w:p w14:paraId="4B366B37" w14:textId="77777777" w:rsidR="00366BB7" w:rsidRPr="00366BB7" w:rsidRDefault="00366BB7" w:rsidP="00366BB7">
      <w:pPr>
        <w:rPr>
          <w:b/>
          <w:bCs/>
        </w:rPr>
      </w:pPr>
      <w:r w:rsidRPr="00366BB7">
        <w:rPr>
          <w:b/>
          <w:bCs/>
        </w:rPr>
        <w:t>Challenges for Professionals</w:t>
      </w:r>
    </w:p>
    <w:p w14:paraId="01BBF03B" w14:textId="77777777" w:rsidR="00366BB7" w:rsidRPr="00366BB7" w:rsidRDefault="00366BB7" w:rsidP="00366BB7"/>
    <w:p w14:paraId="21FBB358" w14:textId="77777777" w:rsidR="00366BB7" w:rsidRPr="00366BB7" w:rsidRDefault="00366BB7" w:rsidP="00366BB7">
      <w:r w:rsidRPr="00366BB7">
        <w:rPr>
          <w:b/>
          <w:bCs/>
        </w:rPr>
        <w:t>Cognitive Impairment:</w:t>
      </w:r>
      <w:r w:rsidRPr="00366BB7">
        <w:t xml:space="preserve"> A reduction in memory may hinder residents' capacity to recall observed behaviours, hence diminishing the impacts of observational learning (PMC, 2025).</w:t>
      </w:r>
    </w:p>
    <w:p w14:paraId="501BFB61" w14:textId="77777777" w:rsidR="00366BB7" w:rsidRPr="00366BB7" w:rsidRDefault="00366BB7" w:rsidP="00366BB7"/>
    <w:p w14:paraId="5C87A2DC" w14:textId="77777777" w:rsidR="00366BB7" w:rsidRPr="00366BB7" w:rsidRDefault="00366BB7" w:rsidP="00366BB7">
      <w:r w:rsidRPr="00366BB7">
        <w:rPr>
          <w:b/>
          <w:bCs/>
        </w:rPr>
        <w:t>Negative Modelling Risk:</w:t>
      </w:r>
      <w:r w:rsidRPr="00366BB7">
        <w:t xml:space="preserve"> Residents could unintentionally model less adapted behaviours if they aren't closely watched (</w:t>
      </w:r>
      <w:proofErr w:type="spellStart"/>
      <w:r w:rsidRPr="00366BB7">
        <w:t>SimplyPsychology</w:t>
      </w:r>
      <w:proofErr w:type="spellEnd"/>
      <w:r w:rsidRPr="00366BB7">
        <w:t>, 2025).</w:t>
      </w:r>
    </w:p>
    <w:p w14:paraId="5A7FBDF8" w14:textId="77777777" w:rsidR="00366BB7" w:rsidRDefault="00366BB7" w:rsidP="00366BB7">
      <w:r w:rsidRPr="00366BB7">
        <w:rPr>
          <w:b/>
          <w:bCs/>
        </w:rPr>
        <w:t>Environmental Constraints:</w:t>
      </w:r>
      <w:r w:rsidRPr="00366BB7">
        <w:t xml:space="preserve"> Care settings that are busy may not provide the constant </w:t>
      </w:r>
      <w:proofErr w:type="spellStart"/>
      <w:r w:rsidRPr="00366BB7">
        <w:t>modeling</w:t>
      </w:r>
      <w:proofErr w:type="spellEnd"/>
      <w:r w:rsidRPr="00366BB7">
        <w:t xml:space="preserve"> opportunities or organized surroundings that are essential for successful observational learning (</w:t>
      </w:r>
      <w:proofErr w:type="spellStart"/>
      <w:r w:rsidRPr="00366BB7">
        <w:t>Mukhalalati</w:t>
      </w:r>
      <w:proofErr w:type="spellEnd"/>
      <w:r w:rsidRPr="00366BB7">
        <w:t>, 2022).</w:t>
      </w:r>
    </w:p>
    <w:p w14:paraId="3800C273" w14:textId="77777777" w:rsidR="00B55240" w:rsidRPr="00B55240" w:rsidRDefault="00B55240" w:rsidP="00B55240">
      <w:pPr>
        <w:rPr>
          <w:b/>
        </w:rPr>
      </w:pPr>
      <w:bookmarkStart w:id="10" w:name="_Toc216448464"/>
      <w:r w:rsidRPr="00B55240">
        <w:rPr>
          <w:b/>
        </w:rPr>
        <w:t>Strategies to Overcome Challenges</w:t>
      </w:r>
      <w:bookmarkEnd w:id="10"/>
    </w:p>
    <w:p w14:paraId="10308A99" w14:textId="77777777" w:rsidR="00B55240" w:rsidRPr="00B55240" w:rsidRDefault="00B55240" w:rsidP="00B55240">
      <w:r w:rsidRPr="00B55240">
        <w:rPr>
          <w:b/>
          <w:bCs/>
        </w:rPr>
        <w:t>Task Breakdown:</w:t>
      </w:r>
      <w:r w:rsidRPr="00B55240">
        <w:t xml:space="preserve"> Break down behaviours into phases that may be repeated and show them often to improve observational learning (Safavi et al., 2025).</w:t>
      </w:r>
    </w:p>
    <w:p w14:paraId="3141DABD" w14:textId="77777777" w:rsidR="00B55240" w:rsidRPr="00B55240" w:rsidRDefault="00B55240" w:rsidP="00B55240">
      <w:r w:rsidRPr="00B55240">
        <w:rPr>
          <w:b/>
          <w:bCs/>
        </w:rPr>
        <w:t>Encourage all staff</w:t>
      </w:r>
      <w:r w:rsidRPr="00B55240">
        <w:t xml:space="preserve"> members to continually model constructive relationships, communication, and coping methods (Bandura, 1986).</w:t>
      </w:r>
    </w:p>
    <w:p w14:paraId="46713F41" w14:textId="77777777" w:rsidR="00B55240" w:rsidRPr="00B55240" w:rsidRDefault="00B55240" w:rsidP="00B55240">
      <w:r w:rsidRPr="00B55240">
        <w:rPr>
          <w:b/>
          <w:bCs/>
        </w:rPr>
        <w:t>Environment Adaptation</w:t>
      </w:r>
      <w:r w:rsidRPr="00B55240">
        <w:t>: Make peaceful, organized environments that help people pay attention and become involved in modelling activities (Islam et al., 2023).</w:t>
      </w:r>
    </w:p>
    <w:p w14:paraId="01947C1B" w14:textId="77777777" w:rsidR="00B55240" w:rsidRPr="00B55240" w:rsidRDefault="00B55240" w:rsidP="00B55240"/>
    <w:p w14:paraId="3869C2F8" w14:textId="77777777" w:rsidR="00B55240" w:rsidRPr="00B55240" w:rsidRDefault="00B55240" w:rsidP="00B55240">
      <w:pPr>
        <w:rPr>
          <w:b/>
        </w:rPr>
      </w:pPr>
      <w:bookmarkStart w:id="11" w:name="_Toc216448465"/>
      <w:r w:rsidRPr="00B55240">
        <w:rPr>
          <w:b/>
        </w:rPr>
        <w:t>Critical Evaluation</w:t>
      </w:r>
      <w:bookmarkEnd w:id="11"/>
    </w:p>
    <w:p w14:paraId="4C696F8C" w14:textId="77777777" w:rsidR="00B55240" w:rsidRPr="00B55240" w:rsidRDefault="00B55240" w:rsidP="00B55240">
      <w:r w:rsidRPr="00B55240">
        <w:t xml:space="preserve">Studies endorse the use of social learning concepts in healthcare education, behavioural modification, and support methodologies (PMC, 2025;). Bandura's focus on </w:t>
      </w:r>
      <w:r w:rsidRPr="00B55240">
        <w:lastRenderedPageBreak/>
        <w:t>observational learning and self-efficacy corresponds with initiatives aimed at enhancing engagement, social involvement, and adaptive behaviour in older persons (</w:t>
      </w:r>
      <w:proofErr w:type="spellStart"/>
      <w:r w:rsidRPr="00B55240">
        <w:t>Mukhalalati</w:t>
      </w:r>
      <w:proofErr w:type="spellEnd"/>
      <w:r w:rsidRPr="00B55240">
        <w:t>, 2022.</w:t>
      </w:r>
    </w:p>
    <w:p w14:paraId="03E92FCB" w14:textId="77777777" w:rsidR="00B55240" w:rsidRPr="00B55240" w:rsidRDefault="00B55240" w:rsidP="00B55240">
      <w:r w:rsidRPr="00B55240">
        <w:t>Nevertheless, observational learning relies on attention and retention, which may be impaired in advanced dementia, indicating that Bandura’s framework is most efficacious when integrated with supporting cognitive prompts and contextual scaffolding (Safavi et al., 2025; Springer, 2025). Furthermore, effective implementation requires staff training and a persistent culture of positive modelling (Islam et al., 2023).</w:t>
      </w:r>
    </w:p>
    <w:p w14:paraId="23DB41BC" w14:textId="77777777" w:rsidR="00B55240" w:rsidRPr="00B55240" w:rsidRDefault="00B55240" w:rsidP="00B55240">
      <w:r w:rsidRPr="00B55240">
        <w:t>Even with these problems, social learning is a useful way to change how people behave and think in care facilities. Professionals may create meaningful interactions that encourage engagement, emotional control, and adaptive routines (Bandura, 1977) by learning how residents learn behaviour via observation and reinforcement.</w:t>
      </w:r>
    </w:p>
    <w:p w14:paraId="2D758B9C" w14:textId="77777777" w:rsidR="00B55240" w:rsidRPr="00B55240" w:rsidRDefault="00B55240" w:rsidP="00B55240"/>
    <w:p w14:paraId="0BD1BF53" w14:textId="77777777" w:rsidR="005421CE" w:rsidRDefault="005421CE" w:rsidP="005421CE"/>
    <w:p w14:paraId="53106A4E" w14:textId="77777777" w:rsidR="005421CE" w:rsidRDefault="005421CE" w:rsidP="005421CE"/>
    <w:p w14:paraId="32A44508" w14:textId="77777777" w:rsidR="00E553C7" w:rsidRDefault="00E553C7" w:rsidP="005421CE"/>
    <w:p w14:paraId="0AEB4F12" w14:textId="77777777" w:rsidR="00E553C7" w:rsidRDefault="00E553C7" w:rsidP="005421CE"/>
    <w:p w14:paraId="750BA990" w14:textId="77777777" w:rsidR="00E553C7" w:rsidRDefault="00E553C7" w:rsidP="005421CE"/>
    <w:p w14:paraId="309B0844" w14:textId="77777777" w:rsidR="00E553C7" w:rsidRDefault="00E553C7" w:rsidP="005421CE"/>
    <w:p w14:paraId="7011648B" w14:textId="77777777" w:rsidR="00E553C7" w:rsidRDefault="00E553C7" w:rsidP="005421CE"/>
    <w:p w14:paraId="697CAE31" w14:textId="77777777" w:rsidR="00E553C7" w:rsidRDefault="00E553C7" w:rsidP="005421CE"/>
    <w:p w14:paraId="26C4BA95" w14:textId="77777777" w:rsidR="00E553C7" w:rsidRDefault="00E553C7" w:rsidP="005421CE"/>
    <w:p w14:paraId="200B45D3" w14:textId="77777777" w:rsidR="00E553C7" w:rsidRDefault="00E553C7" w:rsidP="005421CE"/>
    <w:p w14:paraId="069A1E36" w14:textId="77777777" w:rsidR="00E553C7" w:rsidRDefault="00E553C7" w:rsidP="005421CE"/>
    <w:p w14:paraId="62F89F98" w14:textId="77777777" w:rsidR="00E553C7" w:rsidRDefault="00E553C7" w:rsidP="005421CE"/>
    <w:p w14:paraId="25C61661" w14:textId="77777777" w:rsidR="00E553C7" w:rsidRDefault="00E553C7" w:rsidP="005421CE"/>
    <w:p w14:paraId="53FE9F02" w14:textId="77777777" w:rsidR="00E553C7" w:rsidRDefault="00E553C7" w:rsidP="005421CE"/>
    <w:p w14:paraId="72D26639" w14:textId="77777777" w:rsidR="00E553C7" w:rsidRDefault="00E553C7" w:rsidP="005421CE"/>
    <w:p w14:paraId="02AA9704" w14:textId="77777777" w:rsidR="005421CE" w:rsidRDefault="005421CE" w:rsidP="005421CE"/>
    <w:p w14:paraId="319ECC27" w14:textId="77777777" w:rsidR="005421CE" w:rsidRDefault="005421CE" w:rsidP="005421CE"/>
    <w:p w14:paraId="1E17EE31" w14:textId="4A69D293" w:rsidR="005421CE" w:rsidRPr="00035B61" w:rsidRDefault="005421CE" w:rsidP="00B55240">
      <w:pPr>
        <w:pStyle w:val="Heading1"/>
        <w:rPr>
          <w:rFonts w:ascii="Arial" w:hAnsi="Arial" w:cs="Arial"/>
          <w:b/>
          <w:bCs/>
          <w:color w:val="auto"/>
        </w:rPr>
      </w:pPr>
      <w:bookmarkStart w:id="12" w:name="_Toc216426700"/>
      <w:bookmarkStart w:id="13" w:name="_Toc216889626"/>
      <w:r w:rsidRPr="00035B61">
        <w:rPr>
          <w:rFonts w:ascii="Arial" w:hAnsi="Arial" w:cs="Arial"/>
          <w:b/>
          <w:bCs/>
          <w:color w:val="auto"/>
        </w:rPr>
        <w:lastRenderedPageBreak/>
        <w:t>Conclusion</w:t>
      </w:r>
      <w:bookmarkEnd w:id="12"/>
      <w:bookmarkEnd w:id="13"/>
      <w:r w:rsidRPr="00035B61">
        <w:rPr>
          <w:rFonts w:ascii="Arial" w:hAnsi="Arial" w:cs="Arial"/>
          <w:b/>
          <w:bCs/>
          <w:color w:val="auto"/>
        </w:rPr>
        <w:t xml:space="preserve"> </w:t>
      </w:r>
    </w:p>
    <w:p w14:paraId="5EE8DF76" w14:textId="77777777" w:rsidR="005421CE" w:rsidRDefault="005421CE" w:rsidP="005421CE"/>
    <w:p w14:paraId="1C1A0D4C" w14:textId="77777777" w:rsidR="00B55240" w:rsidRPr="00B55240" w:rsidRDefault="00B55240" w:rsidP="00B55240">
      <w:r w:rsidRPr="00B55240">
        <w:t>This paper has critically analysed the applicability of Erikson’s Psychosocial Development Theory and Bandura’s Social Learning Theory in enhancing care practices inside dementia care facilities for older individuals with psychological health disorders. Erikson's emphasis on Integrity vs. Despair underscores the significance of life review, meaning, and identity continuity, hence endorsing therapies like reminiscence and life narrative work that promote emotional well-</w:t>
      </w:r>
      <w:proofErr w:type="gramStart"/>
      <w:r w:rsidRPr="00B55240">
        <w:t>being .Bandura's</w:t>
      </w:r>
      <w:proofErr w:type="gramEnd"/>
      <w:r w:rsidRPr="00B55240">
        <w:t xml:space="preserve"> social learning theory focuses on observational learning, modelling, and self-efficacy. It provides a way to encourage adaptive behaviours and social interaction via organized encounters and positive reinforcement. Both theories provide complimentary insights one focusing on emotional identification demands and the other on behavioural and learning factors. Combining these theories may help holistic care approaches that deal with both the mental and social aspects of dementia. </w:t>
      </w:r>
    </w:p>
    <w:p w14:paraId="73FAE57D" w14:textId="77777777" w:rsidR="005421CE" w:rsidRDefault="005421CE" w:rsidP="005421CE"/>
    <w:p w14:paraId="4F069107" w14:textId="77777777" w:rsidR="005421CE" w:rsidRDefault="005421CE" w:rsidP="005421CE"/>
    <w:p w14:paraId="1677C622" w14:textId="77777777" w:rsidR="005421CE" w:rsidRDefault="005421CE" w:rsidP="005421CE"/>
    <w:p w14:paraId="639B620B" w14:textId="77777777" w:rsidR="005421CE" w:rsidRDefault="005421CE" w:rsidP="005421CE"/>
    <w:p w14:paraId="22EF5E09" w14:textId="77777777" w:rsidR="005421CE" w:rsidRDefault="005421CE" w:rsidP="005421CE"/>
    <w:p w14:paraId="4DCFD625" w14:textId="77777777" w:rsidR="005421CE" w:rsidRDefault="005421CE" w:rsidP="005421CE"/>
    <w:p w14:paraId="5E675909" w14:textId="77777777" w:rsidR="005421CE" w:rsidRDefault="005421CE" w:rsidP="005421CE"/>
    <w:p w14:paraId="5E7A2246" w14:textId="77777777" w:rsidR="005421CE" w:rsidRDefault="005421CE" w:rsidP="005421CE"/>
    <w:p w14:paraId="20B3F327" w14:textId="77777777" w:rsidR="005421CE" w:rsidRDefault="005421CE" w:rsidP="005421CE"/>
    <w:p w14:paraId="0B08DE02" w14:textId="77777777" w:rsidR="005421CE" w:rsidRDefault="005421CE" w:rsidP="005421CE"/>
    <w:p w14:paraId="337EF803" w14:textId="77777777" w:rsidR="005421CE" w:rsidRDefault="005421CE" w:rsidP="005421CE"/>
    <w:p w14:paraId="1D074546" w14:textId="77777777" w:rsidR="005421CE" w:rsidRDefault="005421CE" w:rsidP="005421CE"/>
    <w:p w14:paraId="072E7549" w14:textId="77777777" w:rsidR="005421CE" w:rsidRDefault="005421CE" w:rsidP="005421CE"/>
    <w:p w14:paraId="2F63217C" w14:textId="77777777" w:rsidR="005421CE" w:rsidRDefault="005421CE" w:rsidP="005421CE"/>
    <w:p w14:paraId="65295E6A" w14:textId="1B6C296C" w:rsidR="00B55240" w:rsidRDefault="00B55240" w:rsidP="00B55240">
      <w:pPr>
        <w:tabs>
          <w:tab w:val="left" w:pos="1752"/>
        </w:tabs>
      </w:pPr>
    </w:p>
    <w:p w14:paraId="073E19D1" w14:textId="2A9231C7" w:rsidR="005421CE" w:rsidRPr="00035B61" w:rsidRDefault="005421CE" w:rsidP="00B55240">
      <w:pPr>
        <w:pStyle w:val="Heading1"/>
        <w:rPr>
          <w:rFonts w:ascii="Arial" w:hAnsi="Arial" w:cs="Arial"/>
          <w:b/>
          <w:bCs/>
          <w:color w:val="auto"/>
        </w:rPr>
      </w:pPr>
      <w:bookmarkStart w:id="14" w:name="_Toc216426701"/>
      <w:bookmarkStart w:id="15" w:name="_Toc216889627"/>
      <w:r w:rsidRPr="00035B61">
        <w:rPr>
          <w:rFonts w:ascii="Arial" w:hAnsi="Arial" w:cs="Arial"/>
          <w:b/>
          <w:bCs/>
          <w:color w:val="auto"/>
        </w:rPr>
        <w:lastRenderedPageBreak/>
        <w:t>References</w:t>
      </w:r>
      <w:bookmarkEnd w:id="14"/>
      <w:bookmarkEnd w:id="15"/>
      <w:r w:rsidRPr="00035B61">
        <w:rPr>
          <w:rFonts w:ascii="Arial" w:hAnsi="Arial" w:cs="Arial"/>
          <w:b/>
          <w:bCs/>
          <w:color w:val="auto"/>
        </w:rPr>
        <w:t xml:space="preserve"> </w:t>
      </w:r>
    </w:p>
    <w:p w14:paraId="5E1799C5" w14:textId="77777777" w:rsidR="00366BB7" w:rsidRPr="00366BB7" w:rsidRDefault="00366BB7" w:rsidP="00366BB7">
      <w:pPr>
        <w:numPr>
          <w:ilvl w:val="0"/>
          <w:numId w:val="1"/>
        </w:numPr>
      </w:pPr>
      <w:r w:rsidRPr="00366BB7">
        <w:t xml:space="preserve">Erikson, E.H. (1950) </w:t>
      </w:r>
      <w:r w:rsidRPr="00366BB7">
        <w:rPr>
          <w:i/>
          <w:iCs/>
        </w:rPr>
        <w:t>Childhood and Society</w:t>
      </w:r>
      <w:r w:rsidRPr="00366BB7">
        <w:t xml:space="preserve">. New York: W. W. Norton &amp; Company. available at </w:t>
      </w:r>
      <w:hyperlink r:id="rId9" w:history="1">
        <w:r w:rsidRPr="00366BB7">
          <w:rPr>
            <w:rStyle w:val="Hyperlink"/>
          </w:rPr>
          <w:t>https://www.scirp.org/reference/referencespapers?referenceid=2240108</w:t>
        </w:r>
      </w:hyperlink>
      <w:r w:rsidRPr="00366BB7">
        <w:t xml:space="preserve"> (accessed on 10</w:t>
      </w:r>
      <w:r w:rsidRPr="00366BB7">
        <w:rPr>
          <w:vertAlign w:val="superscript"/>
        </w:rPr>
        <w:t>th</w:t>
      </w:r>
      <w:r w:rsidRPr="00366BB7">
        <w:t xml:space="preserve"> December 2025).</w:t>
      </w:r>
    </w:p>
    <w:p w14:paraId="3A1968CB" w14:textId="77777777" w:rsidR="00366BB7" w:rsidRPr="00366BB7" w:rsidRDefault="00366BB7" w:rsidP="00366BB7">
      <w:pPr>
        <w:numPr>
          <w:ilvl w:val="0"/>
          <w:numId w:val="1"/>
        </w:numPr>
        <w:rPr>
          <w:lang w:val="en-US"/>
        </w:rPr>
      </w:pPr>
      <w:r w:rsidRPr="00366BB7">
        <w:rPr>
          <w:lang w:val="en-US"/>
        </w:rPr>
        <w:t xml:space="preserve">Bandura, A. (1986) </w:t>
      </w:r>
      <w:r w:rsidRPr="00366BB7">
        <w:rPr>
          <w:i/>
          <w:iCs/>
          <w:lang w:val="en-US"/>
        </w:rPr>
        <w:t>Social Foundations of Thought and Action: A Social Cognitive Theory</w:t>
      </w:r>
      <w:r w:rsidRPr="00366BB7">
        <w:rPr>
          <w:lang w:val="en-US"/>
        </w:rPr>
        <w:t>. Englewood Cliffs, NJ: Prentice-Hall.</w:t>
      </w:r>
    </w:p>
    <w:p w14:paraId="5EF937F9" w14:textId="77777777" w:rsidR="00366BB7" w:rsidRPr="00366BB7" w:rsidRDefault="00366BB7" w:rsidP="00366BB7">
      <w:pPr>
        <w:numPr>
          <w:ilvl w:val="0"/>
          <w:numId w:val="1"/>
        </w:numPr>
        <w:rPr>
          <w:lang w:val="en-US"/>
        </w:rPr>
      </w:pPr>
      <w:r w:rsidRPr="00366BB7">
        <w:rPr>
          <w:lang w:val="en-US"/>
        </w:rPr>
        <w:t xml:space="preserve">Erikson, E.H. &amp; Erikson, J. (1997) </w:t>
      </w:r>
      <w:r w:rsidRPr="00366BB7">
        <w:rPr>
          <w:i/>
          <w:iCs/>
          <w:lang w:val="en-US"/>
        </w:rPr>
        <w:t>The Life Cycle Completed</w:t>
      </w:r>
      <w:r w:rsidRPr="00366BB7">
        <w:rPr>
          <w:lang w:val="en-US"/>
        </w:rPr>
        <w:t>. New York: W.W. Norton &amp; Company.</w:t>
      </w:r>
    </w:p>
    <w:p w14:paraId="19E5267F" w14:textId="77777777" w:rsidR="00366BB7" w:rsidRPr="00366BB7" w:rsidRDefault="00366BB7" w:rsidP="00366BB7">
      <w:pPr>
        <w:numPr>
          <w:ilvl w:val="0"/>
          <w:numId w:val="1"/>
        </w:numPr>
        <w:rPr>
          <w:lang w:val="en-US"/>
        </w:rPr>
      </w:pPr>
      <w:r w:rsidRPr="00366BB7">
        <w:rPr>
          <w:lang w:val="en-US"/>
        </w:rPr>
        <w:t>Islam, K. F., Awal, A., Mazumder, H., Munni, U. R., Majumder, K., Afroz, K., Tabassum, M. N., &amp; Hossain, M. M. (2023). Social cognitive theory-based health promotion in primary care practice: A scoping review. </w:t>
      </w:r>
      <w:proofErr w:type="spellStart"/>
      <w:r w:rsidRPr="00366BB7">
        <w:rPr>
          <w:i/>
          <w:iCs/>
          <w:lang w:val="en-US"/>
        </w:rPr>
        <w:t>Heliyon</w:t>
      </w:r>
      <w:proofErr w:type="spellEnd"/>
      <w:r w:rsidRPr="00366BB7">
        <w:rPr>
          <w:lang w:val="en-US"/>
        </w:rPr>
        <w:t>, </w:t>
      </w:r>
      <w:r w:rsidRPr="00366BB7">
        <w:rPr>
          <w:i/>
          <w:iCs/>
          <w:lang w:val="en-US"/>
        </w:rPr>
        <w:t>9</w:t>
      </w:r>
      <w:r w:rsidRPr="00366BB7">
        <w:rPr>
          <w:lang w:val="en-US"/>
        </w:rPr>
        <w:t xml:space="preserve">(4), e14889.  available via </w:t>
      </w:r>
      <w:hyperlink r:id="rId10" w:history="1">
        <w:r w:rsidRPr="00366BB7">
          <w:rPr>
            <w:rStyle w:val="Hyperlink"/>
            <w:lang w:val="en-US"/>
          </w:rPr>
          <w:t>https://doi.org/10.1016/j.heliyon.2023.e14889</w:t>
        </w:r>
      </w:hyperlink>
      <w:r w:rsidRPr="00366BB7">
        <w:rPr>
          <w:lang w:val="en-US"/>
        </w:rPr>
        <w:t xml:space="preserve"> </w:t>
      </w:r>
      <w:proofErr w:type="gramStart"/>
      <w:r w:rsidRPr="00366BB7">
        <w:rPr>
          <w:lang w:val="en-US"/>
        </w:rPr>
        <w:t>( Accessed</w:t>
      </w:r>
      <w:proofErr w:type="gramEnd"/>
      <w:r w:rsidRPr="00366BB7">
        <w:rPr>
          <w:lang w:val="en-US"/>
        </w:rPr>
        <w:t xml:space="preserve"> on 12</w:t>
      </w:r>
      <w:r w:rsidRPr="00366BB7">
        <w:rPr>
          <w:vertAlign w:val="superscript"/>
          <w:lang w:val="en-US"/>
        </w:rPr>
        <w:t>th</w:t>
      </w:r>
      <w:r w:rsidRPr="00366BB7">
        <w:rPr>
          <w:lang w:val="en-US"/>
        </w:rPr>
        <w:t xml:space="preserve"> December 2025).</w:t>
      </w:r>
    </w:p>
    <w:p w14:paraId="0702A437" w14:textId="77777777" w:rsidR="00366BB7" w:rsidRPr="00366BB7" w:rsidRDefault="00366BB7" w:rsidP="00366BB7">
      <w:pPr>
        <w:numPr>
          <w:ilvl w:val="0"/>
          <w:numId w:val="1"/>
        </w:numPr>
        <w:rPr>
          <w:lang w:val="en-US"/>
        </w:rPr>
      </w:pPr>
      <w:r w:rsidRPr="00366BB7">
        <w:rPr>
          <w:lang w:val="en-US"/>
        </w:rPr>
        <w:t>Journal of Gerontology &amp; Geriatrics (</w:t>
      </w:r>
      <w:proofErr w:type="gramStart"/>
      <w:r w:rsidRPr="00366BB7">
        <w:rPr>
          <w:lang w:val="en-US"/>
        </w:rPr>
        <w:t>2025) ‘</w:t>
      </w:r>
      <w:proofErr w:type="gramEnd"/>
      <w:r w:rsidRPr="00366BB7">
        <w:rPr>
          <w:lang w:val="en-US"/>
        </w:rPr>
        <w:t xml:space="preserve">Psychological theories of dementia’. available via </w:t>
      </w:r>
      <w:hyperlink r:id="rId11" w:history="1">
        <w:r w:rsidRPr="00366BB7">
          <w:rPr>
            <w:rStyle w:val="Hyperlink"/>
            <w:lang w:val="en-US"/>
          </w:rPr>
          <w:t>https://www.jgerontology-geriatrics.com/article/view/610</w:t>
        </w:r>
      </w:hyperlink>
      <w:r w:rsidRPr="00366BB7">
        <w:rPr>
          <w:lang w:val="en-US"/>
        </w:rPr>
        <w:t xml:space="preserve">  (Accessed on 11</w:t>
      </w:r>
      <w:r w:rsidRPr="00366BB7">
        <w:rPr>
          <w:vertAlign w:val="superscript"/>
          <w:lang w:val="en-US"/>
        </w:rPr>
        <w:t>th</w:t>
      </w:r>
      <w:r w:rsidRPr="00366BB7">
        <w:rPr>
          <w:lang w:val="en-US"/>
        </w:rPr>
        <w:t xml:space="preserve"> December 2025).</w:t>
      </w:r>
    </w:p>
    <w:p w14:paraId="0B628FCD" w14:textId="77777777" w:rsidR="00366BB7" w:rsidRPr="00366BB7" w:rsidRDefault="00366BB7" w:rsidP="00366BB7">
      <w:pPr>
        <w:numPr>
          <w:ilvl w:val="0"/>
          <w:numId w:val="1"/>
        </w:numPr>
        <w:rPr>
          <w:lang w:val="en-US"/>
        </w:rPr>
      </w:pPr>
      <w:proofErr w:type="spellStart"/>
      <w:r w:rsidRPr="00366BB7">
        <w:rPr>
          <w:lang w:val="en-US"/>
        </w:rPr>
        <w:t>Mukhalalati</w:t>
      </w:r>
      <w:proofErr w:type="spellEnd"/>
      <w:r w:rsidRPr="00366BB7">
        <w:rPr>
          <w:lang w:val="en-US"/>
        </w:rPr>
        <w:t>, B. (</w:t>
      </w:r>
      <w:proofErr w:type="gramStart"/>
      <w:r w:rsidRPr="00366BB7">
        <w:rPr>
          <w:lang w:val="en-US"/>
        </w:rPr>
        <w:t>2022) ‘</w:t>
      </w:r>
      <w:proofErr w:type="gramEnd"/>
      <w:r w:rsidRPr="00366BB7">
        <w:rPr>
          <w:lang w:val="en-US"/>
        </w:rPr>
        <w:t xml:space="preserve">Applications of social theories of learning in health care’, </w:t>
      </w:r>
      <w:r w:rsidRPr="00366BB7">
        <w:rPr>
          <w:i/>
          <w:iCs/>
          <w:lang w:val="en-US"/>
        </w:rPr>
        <w:t>Frontiers in Medicine</w:t>
      </w:r>
      <w:r w:rsidRPr="00366BB7">
        <w:rPr>
          <w:lang w:val="en-US"/>
        </w:rPr>
        <w:t>, 9, pp. 1-12.</w:t>
      </w:r>
    </w:p>
    <w:p w14:paraId="5F335954" w14:textId="77777777" w:rsidR="00366BB7" w:rsidRPr="00366BB7" w:rsidRDefault="00366BB7" w:rsidP="00366BB7">
      <w:pPr>
        <w:numPr>
          <w:ilvl w:val="0"/>
          <w:numId w:val="1"/>
        </w:numPr>
        <w:rPr>
          <w:lang w:val="en-US"/>
        </w:rPr>
      </w:pPr>
      <w:r w:rsidRPr="00366BB7">
        <w:rPr>
          <w:lang w:val="en-US"/>
        </w:rPr>
        <w:t>OpenStax (2025</w:t>
      </w:r>
      <w:proofErr w:type="gramStart"/>
      <w:r w:rsidRPr="00366BB7">
        <w:rPr>
          <w:lang w:val="en-US"/>
        </w:rPr>
        <w:t>a) ‘</w:t>
      </w:r>
      <w:proofErr w:type="gramEnd"/>
      <w:r w:rsidRPr="00366BB7">
        <w:rPr>
          <w:lang w:val="en-US"/>
        </w:rPr>
        <w:t xml:space="preserve">Theories Related to the Older Adult’, </w:t>
      </w:r>
      <w:r w:rsidRPr="00366BB7">
        <w:rPr>
          <w:i/>
          <w:iCs/>
          <w:lang w:val="en-US"/>
        </w:rPr>
        <w:t>Fundamentals of Nursing</w:t>
      </w:r>
      <w:r w:rsidRPr="00366BB7">
        <w:rPr>
          <w:lang w:val="en-US"/>
        </w:rPr>
        <w:t>.</w:t>
      </w:r>
    </w:p>
    <w:p w14:paraId="4FF6CBA6" w14:textId="77777777" w:rsidR="00366BB7" w:rsidRPr="00366BB7" w:rsidRDefault="00366BB7" w:rsidP="00366BB7">
      <w:pPr>
        <w:numPr>
          <w:ilvl w:val="0"/>
          <w:numId w:val="1"/>
        </w:numPr>
        <w:rPr>
          <w:lang w:val="en-US"/>
        </w:rPr>
      </w:pPr>
      <w:r w:rsidRPr="00366BB7">
        <w:rPr>
          <w:lang w:val="en-US"/>
        </w:rPr>
        <w:t>OpenStax (2025</w:t>
      </w:r>
      <w:proofErr w:type="gramStart"/>
      <w:r w:rsidRPr="00366BB7">
        <w:rPr>
          <w:lang w:val="en-US"/>
        </w:rPr>
        <w:t>b) ‘</w:t>
      </w:r>
      <w:proofErr w:type="gramEnd"/>
      <w:r w:rsidRPr="00366BB7">
        <w:rPr>
          <w:lang w:val="en-US"/>
        </w:rPr>
        <w:t>The Meaning of Aging in Late Adulthood’.</w:t>
      </w:r>
    </w:p>
    <w:p w14:paraId="49EF7ADE" w14:textId="77777777" w:rsidR="00366BB7" w:rsidRPr="00366BB7" w:rsidRDefault="00366BB7" w:rsidP="00366BB7">
      <w:pPr>
        <w:numPr>
          <w:ilvl w:val="0"/>
          <w:numId w:val="1"/>
        </w:numPr>
        <w:rPr>
          <w:lang w:val="en-US"/>
        </w:rPr>
      </w:pPr>
      <w:r w:rsidRPr="00366BB7">
        <w:rPr>
          <w:lang w:val="en-US"/>
        </w:rPr>
        <w:t>PubMed (</w:t>
      </w:r>
      <w:proofErr w:type="gramStart"/>
      <w:r w:rsidRPr="00366BB7">
        <w:rPr>
          <w:lang w:val="en-US"/>
        </w:rPr>
        <w:t>2020) ‘</w:t>
      </w:r>
      <w:proofErr w:type="gramEnd"/>
      <w:r w:rsidRPr="00366BB7">
        <w:rPr>
          <w:lang w:val="en-US"/>
        </w:rPr>
        <w:t xml:space="preserve">Reminiscence therapy for older adults with Alzheimer’s disease’, </w:t>
      </w:r>
      <w:r w:rsidRPr="00366BB7">
        <w:rPr>
          <w:i/>
          <w:iCs/>
          <w:lang w:val="en-US"/>
        </w:rPr>
        <w:t>PubMed Central</w:t>
      </w:r>
      <w:r w:rsidRPr="00366BB7">
        <w:rPr>
          <w:lang w:val="en-US"/>
        </w:rPr>
        <w:t xml:space="preserve">. Available via </w:t>
      </w:r>
      <w:hyperlink r:id="rId12" w:history="1">
        <w:r w:rsidRPr="00366BB7">
          <w:rPr>
            <w:rStyle w:val="Hyperlink"/>
            <w:lang w:val="en-US"/>
          </w:rPr>
          <w:t>https://pmc.ncbi.nlm.nih.gov/articles/PMC6494367/</w:t>
        </w:r>
      </w:hyperlink>
      <w:r w:rsidRPr="00366BB7">
        <w:rPr>
          <w:lang w:val="en-US"/>
        </w:rPr>
        <w:t xml:space="preserve"> (accessed on 12</w:t>
      </w:r>
      <w:r w:rsidRPr="00366BB7">
        <w:rPr>
          <w:vertAlign w:val="superscript"/>
          <w:lang w:val="en-US"/>
        </w:rPr>
        <w:t>th</w:t>
      </w:r>
      <w:r w:rsidRPr="00366BB7">
        <w:rPr>
          <w:lang w:val="en-US"/>
        </w:rPr>
        <w:t xml:space="preserve"> December 2025). </w:t>
      </w:r>
    </w:p>
    <w:p w14:paraId="03496F25" w14:textId="77777777" w:rsidR="00366BB7" w:rsidRPr="00366BB7" w:rsidRDefault="00366BB7" w:rsidP="00366BB7">
      <w:pPr>
        <w:numPr>
          <w:ilvl w:val="0"/>
          <w:numId w:val="1"/>
        </w:numPr>
        <w:rPr>
          <w:lang w:val="en-US"/>
        </w:rPr>
      </w:pPr>
      <w:r w:rsidRPr="00366BB7">
        <w:rPr>
          <w:lang w:val="en-US"/>
        </w:rPr>
        <w:t>Safavi, S.R. et al. (</w:t>
      </w:r>
      <w:proofErr w:type="gramStart"/>
      <w:r w:rsidRPr="00366BB7">
        <w:rPr>
          <w:lang w:val="en-US"/>
        </w:rPr>
        <w:t>2025) ‘</w:t>
      </w:r>
      <w:proofErr w:type="gramEnd"/>
      <w:r w:rsidRPr="00366BB7">
        <w:rPr>
          <w:lang w:val="en-US"/>
        </w:rPr>
        <w:t xml:space="preserve">The association between self-efficacy and adaptive </w:t>
      </w:r>
      <w:proofErr w:type="spellStart"/>
      <w:r w:rsidRPr="00366BB7">
        <w:rPr>
          <w:lang w:val="en-US"/>
        </w:rPr>
        <w:t>behaviours</w:t>
      </w:r>
      <w:proofErr w:type="spellEnd"/>
      <w:r w:rsidRPr="00366BB7">
        <w:rPr>
          <w:lang w:val="en-US"/>
        </w:rPr>
        <w:t xml:space="preserve"> in older adults’, </w:t>
      </w:r>
      <w:r w:rsidRPr="00366BB7">
        <w:rPr>
          <w:i/>
          <w:iCs/>
          <w:lang w:val="en-US"/>
        </w:rPr>
        <w:t>Scientific Reports</w:t>
      </w:r>
      <w:r w:rsidRPr="00366BB7">
        <w:rPr>
          <w:lang w:val="en-US"/>
        </w:rPr>
        <w:t>, 15, pp. 1-12.</w:t>
      </w:r>
    </w:p>
    <w:p w14:paraId="33397F69" w14:textId="77777777" w:rsidR="00366BB7" w:rsidRPr="00366BB7" w:rsidRDefault="00366BB7" w:rsidP="00366BB7">
      <w:pPr>
        <w:numPr>
          <w:ilvl w:val="0"/>
          <w:numId w:val="1"/>
        </w:numPr>
        <w:rPr>
          <w:lang w:val="en-US"/>
        </w:rPr>
      </w:pPr>
      <w:r w:rsidRPr="00366BB7">
        <w:rPr>
          <w:lang w:val="en-US"/>
        </w:rPr>
        <w:t>ScienceDirect (</w:t>
      </w:r>
      <w:proofErr w:type="gramStart"/>
      <w:r w:rsidRPr="00366BB7">
        <w:rPr>
          <w:lang w:val="en-US"/>
        </w:rPr>
        <w:t>2025) ‘</w:t>
      </w:r>
      <w:proofErr w:type="gramEnd"/>
      <w:r w:rsidRPr="00366BB7">
        <w:rPr>
          <w:lang w:val="en-US"/>
        </w:rPr>
        <w:t xml:space="preserve">Life story work based on Erikson’s </w:t>
      </w:r>
      <w:proofErr w:type="gramStart"/>
      <w:r w:rsidRPr="00366BB7">
        <w:rPr>
          <w:lang w:val="en-US"/>
        </w:rPr>
        <w:t>theory’.</w:t>
      </w:r>
      <w:proofErr w:type="gramEnd"/>
    </w:p>
    <w:p w14:paraId="3FD9B5FD" w14:textId="77777777" w:rsidR="00366BB7" w:rsidRPr="00366BB7" w:rsidRDefault="00366BB7" w:rsidP="00366BB7">
      <w:pPr>
        <w:numPr>
          <w:ilvl w:val="0"/>
          <w:numId w:val="1"/>
        </w:numPr>
        <w:rPr>
          <w:lang w:val="en-US"/>
        </w:rPr>
      </w:pPr>
      <w:proofErr w:type="spellStart"/>
      <w:r w:rsidRPr="00366BB7">
        <w:rPr>
          <w:lang w:val="en-US"/>
        </w:rPr>
        <w:t>SimplyPsychology</w:t>
      </w:r>
      <w:proofErr w:type="spellEnd"/>
      <w:r w:rsidRPr="00366BB7">
        <w:rPr>
          <w:lang w:val="en-US"/>
        </w:rPr>
        <w:t xml:space="preserve"> (</w:t>
      </w:r>
      <w:proofErr w:type="gramStart"/>
      <w:r w:rsidRPr="00366BB7">
        <w:rPr>
          <w:lang w:val="en-US"/>
        </w:rPr>
        <w:t>2025) ‘</w:t>
      </w:r>
      <w:proofErr w:type="gramEnd"/>
      <w:r w:rsidRPr="00366BB7">
        <w:rPr>
          <w:lang w:val="en-US"/>
        </w:rPr>
        <w:t xml:space="preserve">Albert Bandura’s Social Learning Theory’. Available at </w:t>
      </w:r>
      <w:hyperlink r:id="rId13" w:anchor=":~:text=Social%20Learning%20Theory%2C%20proposed%20by%20Albert%20Bandura%2C%20posits%20that%20people,process%20known%20as%20vicarious%20learning" w:history="1">
        <w:r w:rsidRPr="00366BB7">
          <w:rPr>
            <w:rStyle w:val="Hyperlink"/>
            <w:lang w:val="en-US"/>
          </w:rPr>
          <w:t>https://www.simplypsychology.org/bandura.html#:~:text=Social%20Learning%20Theory%2C%20proposed%20by%20Albert%20Bandura%2C%20posits%20that%20people,process%20known%20as%20vicarious%20learning</w:t>
        </w:r>
      </w:hyperlink>
      <w:r w:rsidRPr="00366BB7">
        <w:rPr>
          <w:lang w:val="en-US"/>
        </w:rPr>
        <w:t>.  (accessed on 9</w:t>
      </w:r>
      <w:r w:rsidRPr="00366BB7">
        <w:rPr>
          <w:vertAlign w:val="superscript"/>
          <w:lang w:val="en-US"/>
        </w:rPr>
        <w:t>th</w:t>
      </w:r>
      <w:r w:rsidRPr="00366BB7">
        <w:rPr>
          <w:lang w:val="en-US"/>
        </w:rPr>
        <w:t xml:space="preserve"> December 2025). </w:t>
      </w:r>
    </w:p>
    <w:p w14:paraId="1E278966" w14:textId="77777777" w:rsidR="00366BB7" w:rsidRPr="00366BB7" w:rsidRDefault="00366BB7" w:rsidP="00366BB7">
      <w:pPr>
        <w:numPr>
          <w:ilvl w:val="0"/>
          <w:numId w:val="1"/>
        </w:numPr>
        <w:rPr>
          <w:lang w:val="en-US"/>
        </w:rPr>
      </w:pPr>
      <w:r w:rsidRPr="00366BB7">
        <w:rPr>
          <w:lang w:val="en-US"/>
        </w:rPr>
        <w:lastRenderedPageBreak/>
        <w:t>Springer (</w:t>
      </w:r>
      <w:proofErr w:type="gramStart"/>
      <w:r w:rsidRPr="00366BB7">
        <w:rPr>
          <w:lang w:val="en-US"/>
        </w:rPr>
        <w:t>2025) ‘</w:t>
      </w:r>
      <w:proofErr w:type="gramEnd"/>
      <w:r w:rsidRPr="00366BB7">
        <w:rPr>
          <w:lang w:val="en-US"/>
        </w:rPr>
        <w:t xml:space="preserve">The role of ego integrity and despair in psychological well-being of older adults’, </w:t>
      </w:r>
      <w:r w:rsidRPr="00366BB7">
        <w:rPr>
          <w:i/>
          <w:iCs/>
          <w:lang w:val="en-US"/>
        </w:rPr>
        <w:t>European Journal of Ageing</w:t>
      </w:r>
      <w:r w:rsidRPr="00366BB7">
        <w:rPr>
          <w:lang w:val="en-US"/>
        </w:rPr>
        <w:t>.</w:t>
      </w:r>
    </w:p>
    <w:p w14:paraId="6F0FF8E7" w14:textId="77777777" w:rsidR="00366BB7" w:rsidRPr="00366BB7" w:rsidRDefault="00366BB7" w:rsidP="00366BB7">
      <w:pPr>
        <w:rPr>
          <w:lang w:val="en-US"/>
        </w:rPr>
      </w:pPr>
    </w:p>
    <w:sectPr w:rsidR="00366BB7" w:rsidRPr="00366B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C579E6" w14:textId="77777777" w:rsidR="00C55A39" w:rsidRDefault="00C55A39" w:rsidP="00366BB7">
      <w:pPr>
        <w:spacing w:after="0" w:line="240" w:lineRule="auto"/>
      </w:pPr>
      <w:r>
        <w:separator/>
      </w:r>
    </w:p>
  </w:endnote>
  <w:endnote w:type="continuationSeparator" w:id="0">
    <w:p w14:paraId="11CB6664" w14:textId="77777777" w:rsidR="00C55A39" w:rsidRDefault="00C55A39" w:rsidP="00366B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F3346D" w14:textId="77777777" w:rsidR="00C55A39" w:rsidRDefault="00C55A39" w:rsidP="00366BB7">
      <w:pPr>
        <w:spacing w:after="0" w:line="240" w:lineRule="auto"/>
      </w:pPr>
      <w:r>
        <w:separator/>
      </w:r>
    </w:p>
  </w:footnote>
  <w:footnote w:type="continuationSeparator" w:id="0">
    <w:p w14:paraId="013801D3" w14:textId="77777777" w:rsidR="00C55A39" w:rsidRDefault="00C55A39" w:rsidP="00366B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45335D"/>
    <w:multiLevelType w:val="hybridMultilevel"/>
    <w:tmpl w:val="5D0AC15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16cid:durableId="169129902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3D2"/>
    <w:rsid w:val="00035B61"/>
    <w:rsid w:val="00144313"/>
    <w:rsid w:val="00166F80"/>
    <w:rsid w:val="002B3947"/>
    <w:rsid w:val="00366BB7"/>
    <w:rsid w:val="003E28CD"/>
    <w:rsid w:val="005421CE"/>
    <w:rsid w:val="0058729F"/>
    <w:rsid w:val="00636F76"/>
    <w:rsid w:val="00785340"/>
    <w:rsid w:val="00794FF3"/>
    <w:rsid w:val="008C760F"/>
    <w:rsid w:val="00B103C8"/>
    <w:rsid w:val="00B55240"/>
    <w:rsid w:val="00BF4B22"/>
    <w:rsid w:val="00C343D2"/>
    <w:rsid w:val="00C55A39"/>
    <w:rsid w:val="00DC3FF4"/>
    <w:rsid w:val="00E553C7"/>
    <w:rsid w:val="00F36A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56819"/>
  <w15:chartTrackingRefBased/>
  <w15:docId w15:val="{E577DABC-D795-4146-B9D3-60152CCE7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43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43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43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43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43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43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43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43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43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43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43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43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43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43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43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43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43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43D2"/>
    <w:rPr>
      <w:rFonts w:eastAsiaTheme="majorEastAsia" w:cstheme="majorBidi"/>
      <w:color w:val="272727" w:themeColor="text1" w:themeTint="D8"/>
    </w:rPr>
  </w:style>
  <w:style w:type="paragraph" w:styleId="Title">
    <w:name w:val="Title"/>
    <w:basedOn w:val="Normal"/>
    <w:next w:val="Normal"/>
    <w:link w:val="TitleChar"/>
    <w:uiPriority w:val="10"/>
    <w:qFormat/>
    <w:rsid w:val="00C343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43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43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43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43D2"/>
    <w:pPr>
      <w:spacing w:before="160"/>
      <w:jc w:val="center"/>
    </w:pPr>
    <w:rPr>
      <w:i/>
      <w:iCs/>
      <w:color w:val="404040" w:themeColor="text1" w:themeTint="BF"/>
    </w:rPr>
  </w:style>
  <w:style w:type="character" w:customStyle="1" w:styleId="QuoteChar">
    <w:name w:val="Quote Char"/>
    <w:basedOn w:val="DefaultParagraphFont"/>
    <w:link w:val="Quote"/>
    <w:uiPriority w:val="29"/>
    <w:rsid w:val="00C343D2"/>
    <w:rPr>
      <w:i/>
      <w:iCs/>
      <w:color w:val="404040" w:themeColor="text1" w:themeTint="BF"/>
    </w:rPr>
  </w:style>
  <w:style w:type="paragraph" w:styleId="ListParagraph">
    <w:name w:val="List Paragraph"/>
    <w:basedOn w:val="Normal"/>
    <w:uiPriority w:val="34"/>
    <w:qFormat/>
    <w:rsid w:val="00C343D2"/>
    <w:pPr>
      <w:ind w:left="720"/>
      <w:contextualSpacing/>
    </w:pPr>
  </w:style>
  <w:style w:type="character" w:styleId="IntenseEmphasis">
    <w:name w:val="Intense Emphasis"/>
    <w:basedOn w:val="DefaultParagraphFont"/>
    <w:uiPriority w:val="21"/>
    <w:qFormat/>
    <w:rsid w:val="00C343D2"/>
    <w:rPr>
      <w:i/>
      <w:iCs/>
      <w:color w:val="0F4761" w:themeColor="accent1" w:themeShade="BF"/>
    </w:rPr>
  </w:style>
  <w:style w:type="paragraph" w:styleId="IntenseQuote">
    <w:name w:val="Intense Quote"/>
    <w:basedOn w:val="Normal"/>
    <w:next w:val="Normal"/>
    <w:link w:val="IntenseQuoteChar"/>
    <w:uiPriority w:val="30"/>
    <w:qFormat/>
    <w:rsid w:val="00C343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43D2"/>
    <w:rPr>
      <w:i/>
      <w:iCs/>
      <w:color w:val="0F4761" w:themeColor="accent1" w:themeShade="BF"/>
    </w:rPr>
  </w:style>
  <w:style w:type="character" w:styleId="IntenseReference">
    <w:name w:val="Intense Reference"/>
    <w:basedOn w:val="DefaultParagraphFont"/>
    <w:uiPriority w:val="32"/>
    <w:qFormat/>
    <w:rsid w:val="00C343D2"/>
    <w:rPr>
      <w:b/>
      <w:bCs/>
      <w:smallCaps/>
      <w:color w:val="0F4761" w:themeColor="accent1" w:themeShade="BF"/>
      <w:spacing w:val="5"/>
    </w:rPr>
  </w:style>
  <w:style w:type="paragraph" w:styleId="TOCHeading">
    <w:name w:val="TOC Heading"/>
    <w:basedOn w:val="Heading1"/>
    <w:next w:val="Normal"/>
    <w:uiPriority w:val="39"/>
    <w:unhideWhenUsed/>
    <w:qFormat/>
    <w:rsid w:val="0078534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85340"/>
    <w:pPr>
      <w:spacing w:after="100"/>
    </w:pPr>
  </w:style>
  <w:style w:type="character" w:styleId="Hyperlink">
    <w:name w:val="Hyperlink"/>
    <w:basedOn w:val="DefaultParagraphFont"/>
    <w:uiPriority w:val="99"/>
    <w:unhideWhenUsed/>
    <w:rsid w:val="00785340"/>
    <w:rPr>
      <w:color w:val="467886" w:themeColor="hyperlink"/>
      <w:u w:val="single"/>
    </w:rPr>
  </w:style>
  <w:style w:type="paragraph" w:styleId="Header">
    <w:name w:val="header"/>
    <w:basedOn w:val="Normal"/>
    <w:link w:val="HeaderChar"/>
    <w:uiPriority w:val="99"/>
    <w:unhideWhenUsed/>
    <w:rsid w:val="00366B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6BB7"/>
  </w:style>
  <w:style w:type="paragraph" w:styleId="Footer">
    <w:name w:val="footer"/>
    <w:basedOn w:val="Normal"/>
    <w:link w:val="FooterChar"/>
    <w:uiPriority w:val="99"/>
    <w:unhideWhenUsed/>
    <w:rsid w:val="00366B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6BB7"/>
  </w:style>
  <w:style w:type="character" w:styleId="UnresolvedMention">
    <w:name w:val="Unresolved Mention"/>
    <w:basedOn w:val="DefaultParagraphFont"/>
    <w:uiPriority w:val="99"/>
    <w:semiHidden/>
    <w:unhideWhenUsed/>
    <w:rsid w:val="00366B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implypsychology.org/bandura.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mc.ncbi.nlm.nih.gov/articles/PMC649436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gerontology-geriatrics.com/article/view/610"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016/j.heliyon.2023.e14889" TargetMode="External"/><Relationship Id="rId4" Type="http://schemas.openxmlformats.org/officeDocument/2006/relationships/settings" Target="settings.xml"/><Relationship Id="rId9" Type="http://schemas.openxmlformats.org/officeDocument/2006/relationships/hyperlink" Target="https://www.scirp.org/reference/referencespapers?referenceid=224010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43AD6E-2B0B-45C0-B698-DDD5E643D6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1</Pages>
  <Words>2355</Words>
  <Characters>13425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Cheila Patricia Lopes Tavares (2430825)</dc:creator>
  <cp:keywords/>
  <dc:description/>
  <cp:lastModifiedBy>Cheila Patricia Lopes Tavares (2430825)</cp:lastModifiedBy>
  <cp:revision>6</cp:revision>
  <dcterms:created xsi:type="dcterms:W3CDTF">2025-12-12T09:50:00Z</dcterms:created>
  <dcterms:modified xsi:type="dcterms:W3CDTF">2025-12-17T18:46:00Z</dcterms:modified>
</cp:coreProperties>
</file>