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Rae Blick, 2317729 - ECIE4010. </w:t>
      </w:r>
    </w:p>
    <w:p w:rsidR="00000000" w:rsidDel="00000000" w:rsidP="00000000" w:rsidRDefault="00000000" w:rsidRPr="00000000" w14:paraId="0000000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contemporary world, education stands as a cornerstone for societal progress and development (Schnurr, 2023). However, it faces multifaceted challenges that demand innovative solutions. This reflective essay elaborates on my group presentation experience, on our chosen ‘Wicked Problem’ of Climate Change. We adopted the PechaKucha 20x20 style </w:t>
      </w:r>
      <w:r w:rsidDel="00000000" w:rsidR="00000000" w:rsidRPr="00000000">
        <w:rPr>
          <w:rFonts w:ascii="Times New Roman" w:cs="Times New Roman" w:eastAsia="Times New Roman" w:hAnsi="Times New Roman"/>
          <w:sz w:val="24"/>
          <w:szCs w:val="24"/>
          <w:rtl w:val="0"/>
        </w:rPr>
        <w:t xml:space="preserve">(Pechakucha, 2003), t</w:t>
      </w:r>
      <w:r w:rsidDel="00000000" w:rsidR="00000000" w:rsidRPr="00000000">
        <w:rPr>
          <w:rFonts w:ascii="Times New Roman" w:cs="Times New Roman" w:eastAsia="Times New Roman" w:hAnsi="Times New Roman"/>
          <w:sz w:val="24"/>
          <w:szCs w:val="24"/>
          <w:rtl w:val="0"/>
        </w:rPr>
        <w:t xml:space="preserve">his format was used to propose solutions within an educational context, applying Design Thinking principles. Design Thinking is a user-centered problem-solving process, focusing on empathy, ideation and iteration to generate innovative solutions</w:t>
      </w:r>
      <w:r w:rsidDel="00000000" w:rsidR="00000000" w:rsidRPr="00000000">
        <w:rPr>
          <w:rFonts w:ascii="Times New Roman" w:cs="Times New Roman" w:eastAsia="Times New Roman" w:hAnsi="Times New Roman"/>
          <w:sz w:val="24"/>
          <w:szCs w:val="24"/>
          <w:rtl w:val="0"/>
        </w:rPr>
        <w:t xml:space="preserve"> (Interaction Design Foundation, 2002). </w:t>
      </w:r>
      <w:r w:rsidDel="00000000" w:rsidR="00000000" w:rsidRPr="00000000">
        <w:rPr>
          <w:rFonts w:ascii="Times New Roman" w:cs="Times New Roman" w:eastAsia="Times New Roman" w:hAnsi="Times New Roman"/>
          <w:sz w:val="24"/>
          <w:szCs w:val="24"/>
          <w:rtl w:val="0"/>
        </w:rPr>
        <w:t xml:space="preserve">The objective of the presentation was to educate the audience on government thinking on combatting climate change as well as a proposed solution. A learning action plan was employed to ensure the presentation's effectiveness. </w:t>
      </w:r>
    </w:p>
    <w:p w:rsidR="00000000" w:rsidDel="00000000" w:rsidP="00000000" w:rsidRDefault="00000000" w:rsidRPr="00000000" w14:paraId="0000000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Initially, we exercised autonomy in selecting our respective groups,</w:t>
      </w:r>
      <w:r w:rsidDel="00000000" w:rsidR="00000000" w:rsidRPr="00000000">
        <w:rPr>
          <w:rFonts w:ascii="Times New Roman" w:cs="Times New Roman" w:eastAsia="Times New Roman" w:hAnsi="Times New Roman"/>
          <w:sz w:val="24"/>
          <w:szCs w:val="24"/>
          <w:rtl w:val="0"/>
        </w:rPr>
        <w:t xml:space="preserve"> each consisted of four members,</w:t>
      </w:r>
      <w:r w:rsidDel="00000000" w:rsidR="00000000" w:rsidRPr="00000000">
        <w:rPr>
          <w:rFonts w:ascii="Times New Roman" w:cs="Times New Roman" w:eastAsia="Times New Roman" w:hAnsi="Times New Roman"/>
          <w:sz w:val="24"/>
          <w:szCs w:val="24"/>
          <w:rtl w:val="0"/>
        </w:rPr>
        <w:t xml:space="preserve"> and a deadline of eight weeks was imposed. Thinking of working in a group, filled me with dread, and throughout the process this feeling didn’t dissipate. In our initial deliberation, an exploration of racism was contemplated, but it encountered reservations from some members who expressed discomfort. Consequently, the consensus moved towards Climate Change, motivated by the abundance of accessible information.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The next step towards our group project was to allocate roles and responsibilities, which is an essential requirement and is identified to be an effective task performance for group work (</w:t>
      </w:r>
      <w:r w:rsidDel="00000000" w:rsidR="00000000" w:rsidRPr="00000000">
        <w:rPr>
          <w:rFonts w:ascii="Times New Roman" w:cs="Times New Roman" w:eastAsia="Times New Roman" w:hAnsi="Times New Roman"/>
          <w:sz w:val="24"/>
          <w:szCs w:val="24"/>
          <w:highlight w:val="white"/>
          <w:rtl w:val="0"/>
        </w:rPr>
        <w:t xml:space="preserve">Belbin and Brown. 2022)</w:t>
      </w:r>
      <w:r w:rsidDel="00000000" w:rsidR="00000000" w:rsidRPr="00000000">
        <w:rPr>
          <w:rFonts w:ascii="Times New Roman" w:cs="Times New Roman" w:eastAsia="Times New Roman" w:hAnsi="Times New Roman"/>
          <w:sz w:val="24"/>
          <w:szCs w:val="24"/>
          <w:rtl w:val="0"/>
        </w:rPr>
        <w:t xml:space="preserve">. Member A, took responsibility for setting up the shared PowerPoint presentation, as they demonstrated exceptional proficiency in I.T. The remaining tasks were to decide on a topic, gather and refine data, select the points to present, and finalize the presentation. By listing these tasks, it was easy to choose one part of the assignment that each member was comfortable doing. We agreed that each member take a section of the presentation, which when linked together by a formulating question, followed Design Thinking technique. This method was simple, logical, and an efficient way of allocating roles. It also demonstrates the same benefits as distributing resources and work load, as each member knows what the others are doing. </w:t>
      </w:r>
    </w:p>
    <w:p w:rsidR="00000000" w:rsidDel="00000000" w:rsidP="00000000" w:rsidRDefault="00000000" w:rsidRPr="00000000" w14:paraId="0000000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goal was to raise awareness of the issue of Climate Change. Historically, the first recognition of Climate Change, according to Stenchikov (2021), was that volcanic eruptions emit aerosols that reach the stratosphere, causing global dimming and ozone depletion. Orbital variations also caused an imbalance in solar radiation, leading to the Ice Age and other historical climate change events (Wanner et al, 2022). Global Climate Change causes rising temperatures, warmer oceans, shrinking ice flows, extreme weather events, acidification, and a reduction in snow cover. Warmer oceans lead to less ice, worsening glacial retreat, and reducing Arctic sea ice. Acidification harms marine life, and calcium carbonate formation. Weaker ice cover allows harmful human activity (Kumar et al., 2021). Globalization has positive aspects, like social globalization, which helps alleviate environmental concerns through knowledge sharing (Shahzad et al. 2021). Climate Change conferences bring experts together to address environmental issues. (World Health Organization, 2021). Social groups play a significant role in environmental outcomes and marginalized communities suffer the most due to limited resources and systemic inequalities (Misha et al., 2021). The environment’s impact on human health is important, degradation, pollution, and climate change can harm well being, and public health. Addressing these challenges is crucial for social justice (Ferdowsian, 2021).</w:t>
      </w:r>
    </w:p>
    <w:p w:rsidR="00000000" w:rsidDel="00000000" w:rsidP="00000000" w:rsidRDefault="00000000" w:rsidRPr="00000000" w14:paraId="0000000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group then focused on plastic pollution. Plastic pollution poses a grave threat to our planet, wreaking havoc on its fragile ecosystems, jeopardizing the well being of wild life, and posing a clear and present danger to humanity (Davis, 2022). The urgent need for action is irrefutable, as the consequences of inaction extend far beyond our generation and imperil the very survival of future ones, we must unite and commit to safeguarding the Earth and its inhabitants together, we can restore a pristine environment for the future, free from plastic pollution and preserve our planet’s vibrancy and vitality(Thunberg, 2024).</w:t>
      </w:r>
    </w:p>
    <w:p w:rsidR="00000000" w:rsidDel="00000000" w:rsidP="00000000" w:rsidRDefault="00000000" w:rsidRPr="00000000" w14:paraId="0000000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Initially, I was a bit apprehensive about this topic as it seemed too mainstream. However, after brainstorming and discussing creative ideas with the group, I started feeling more positive. We decided to keep it simple, yet include various elements of the PechaKucha Style. In this style, each presentation consists of PowerPoint slides which advance automatically. We ensured that we all met every week, and divided the elements and responsibilities among ourselves. Initially, we struggled to divide each part, but after a short time, we managed to come up with a plan. Each person had 5 slides with which to present their script. Although it may sound simple, presenting within a 20 second timeframe was a significant challenge. I used What’s App to maintain contact with one team member, occasionally having face to face discussions to ensure that everything was on track. We all agreed to prepare for our presentation, because there wasn’t much time for editing.</w:t>
      </w:r>
    </w:p>
    <w:p w:rsidR="00000000" w:rsidDel="00000000" w:rsidP="00000000" w:rsidRDefault="00000000" w:rsidRPr="00000000" w14:paraId="0000000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methodology we used to stimulate divergence and convergence in the ideas development process, was a brainstorming session (Bonnardel &amp; Didier, 2020). This was useful in the early stages, when we defined the challenge and considered possible innovative solutions. Our objective for brainstorming was embracing the divergence of different ideas and converge the vast amount of ideas and information available into a concise, abstract form. Brainstorming enabled us to widen our perspective on the assignment. Our participation in brainstorming did vary. However, there was a consensus that brainstorming was useful at different times, and in different ways. Highlighting key points in the assignment topic, and attempting to answer related questions, was a more structured, and effective way of brainstorming (Prieto-Sandoval et al.2022). In planning, discussing, and structuring our assignment, we used various collaborative working practices and design thinking techniques. Design thinking  prioritizes empathy, iteration, and collaboration, encompassing understanding users needs, brainstorming ideas, prototyping solutions and testing them. In contrast, brainstorming </w:t>
      </w:r>
      <w:r w:rsidDel="00000000" w:rsidR="00000000" w:rsidRPr="00000000">
        <w:rPr>
          <w:rFonts w:ascii="Times New Roman" w:cs="Times New Roman" w:eastAsia="Times New Roman" w:hAnsi="Times New Roman"/>
          <w:sz w:val="24"/>
          <w:szCs w:val="24"/>
          <w:rtl w:val="0"/>
        </w:rPr>
        <w:t xml:space="preserve">centres</w:t>
      </w:r>
      <w:r w:rsidDel="00000000" w:rsidR="00000000" w:rsidRPr="00000000">
        <w:rPr>
          <w:rFonts w:ascii="Times New Roman" w:cs="Times New Roman" w:eastAsia="Times New Roman" w:hAnsi="Times New Roman"/>
          <w:sz w:val="24"/>
          <w:szCs w:val="24"/>
          <w:rtl w:val="0"/>
        </w:rPr>
        <w:t xml:space="preserve"> on generating numerous ideas without judgment. While design thinking incorporates brainstorming, it also integrates  additional steps for a comprehensive problem-solving approach (Katja Thoring Anhalt University of Applied Sciences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2011). Our solution was an interactive advertising campaign, regarding plastic pollution, with parents and pupils as the primary audience, and various approaches were used to accommodate our planning, decision making, and design stages. </w:t>
      </w:r>
    </w:p>
    <w:p w:rsidR="00000000" w:rsidDel="00000000" w:rsidP="00000000" w:rsidRDefault="00000000" w:rsidRPr="00000000" w14:paraId="0000000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Delivering the group presentation was a challenging experience. My anxiety, and feelings of inadequacy overshadowed my thoughts. Having to work closely with others was also overwhelming. I felt I couldn’t let my guard down, and tried not to. I felt that I was going to be considered a fraud, and that my intellect was not going be up to par. Some researchers suggest that Trauma during childhood has a profound impact on an individual's psychological well-being, and its effects can persist well into adulthood, shaping their self-perception and overall confidence (Martín et al.2023). In all honesty, I was not considering anyone else’s abilities. While I was grateful for the opportunity to experience this group task, a genuine sense of relief was felt when matters concluded.</w:t>
      </w:r>
    </w:p>
    <w:p w:rsidR="00000000" w:rsidDel="00000000" w:rsidP="00000000" w:rsidRDefault="00000000" w:rsidRPr="00000000" w14:paraId="0000000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As a group not having tried this style before, we were unsure how it would help. The idea of avoiding standard PowerPoint presentations was concerning to us all. We felt that it would be difficult to get our points across, but it provided an insight on the complexities of formulating a group idea into an activity. Continuance checking and guessing, turned into action and confidence during the presentation. We provided qualitative and quantitative data on climate events, explaining the science behind them. The presentation strengthened our understanding of the subject, realising that, in hindsight, we could have done things differently. Our group functioned as a cohesive unit, where each person contributed equally. The presentation was approached as a cumulative project; where each small segment, or each slide, was pooled together to create our presentation. During our assignment, each member was prepared to work on whatever part of the presentation needed refining, which helped demonstrate a coordinated feel. Although our group meetings were normally at work, added contact via What’s App, made communication much easier. I feel that everyone who partook in the presentation, contributed evenly, and no one person slacked off, nor did anyone attempt to claim credit for another person's work. Our organization and proactive approach, were two factors we excelled in. Regular group meetings, correspondence via What’s App, and the manner in which we regularly checked up on one another ensured deadlines were met. This then allowed time for reflection, and bringing together all constituent parts to create a polished project.</w:t>
      </w:r>
    </w:p>
    <w:p w:rsidR="00000000" w:rsidDel="00000000" w:rsidP="00000000" w:rsidRDefault="00000000" w:rsidRPr="00000000" w14:paraId="0000000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major learning point, was how our working styles and habits could hinder group dynamics. Identifying negative traits minimized their impact. In hindsight, researching the topic and producing the presentation seemed challenging. However, this enabled us to understand that it was only through this challenge that we were able to learn more about our personalities, and enable personal development. A few key learnings and takeaways I obtained from this process, were to develop my technical skills in video production. My current technical skills are very basic and I have little interest in technology, making me a slow learner. However, I recognize that this is a disadvantage, and motivates me to overcome it. I realized that developing these skills would be enjoyable and rewarding. With the knowledge I gained as a foundation, I can make significant improvements with minimal time and effort. This skill would be useful in future academic and professional situations, where I may need to create videos for other purposes. Future steps for development were discussed, suggesting ways for participants to continue developing their skills in creating group videos. Initially skeptical, I realized that the skills learned and experiences gained from the video project have potential for further development in various situations.</w:t>
      </w:r>
    </w:p>
    <w:p w:rsidR="00000000" w:rsidDel="00000000" w:rsidP="00000000" w:rsidRDefault="00000000" w:rsidRPr="00000000" w14:paraId="0000000B">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Reference:</w:t>
      </w:r>
    </w:p>
    <w:p w:rsidR="00000000" w:rsidDel="00000000" w:rsidP="00000000" w:rsidRDefault="00000000" w:rsidRPr="00000000" w14:paraId="0000000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Ave, J. S., Beasley, D., &amp; Brogan, A., 2020. A comparative investigation of student learning through PechaKucha presentations in online higher education. Innovative higher education.</w:t>
      </w:r>
      <w:hyperlink r:id="rId6">
        <w:r w:rsidDel="00000000" w:rsidR="00000000" w:rsidRPr="00000000">
          <w:rPr>
            <w:rFonts w:ascii="Times New Roman" w:cs="Times New Roman" w:eastAsia="Times New Roman" w:hAnsi="Times New Roman"/>
            <w:sz w:val="24"/>
            <w:szCs w:val="24"/>
            <w:rtl w:val="0"/>
          </w:rPr>
          <w:t xml:space="preserve"> </w:t>
        </w:r>
      </w:hyperlink>
      <w:hyperlink r:id="rId7">
        <w:r w:rsidDel="00000000" w:rsidR="00000000" w:rsidRPr="00000000">
          <w:rPr>
            <w:rFonts w:ascii="Times New Roman" w:cs="Times New Roman" w:eastAsia="Times New Roman" w:hAnsi="Times New Roman"/>
            <w:sz w:val="24"/>
            <w:szCs w:val="24"/>
            <w:rtl w:val="0"/>
          </w:rPr>
          <w:t xml:space="preserve">[HTML]</w:t>
        </w:r>
      </w:hyperlink>
      <w:r w:rsidDel="00000000" w:rsidR="00000000" w:rsidRPr="00000000">
        <w:rPr>
          <w:rFonts w:ascii="Times New Roman" w:cs="Times New Roman" w:eastAsia="Times New Roman" w:hAnsi="Times New Roman"/>
          <w:sz w:val="24"/>
          <w:szCs w:val="24"/>
          <w:rtl w:val="0"/>
        </w:rPr>
        <w:t xml:space="preserve"> (Accessed: 20 March 2024).</w:t>
      </w:r>
    </w:p>
    <w:p w:rsidR="00000000" w:rsidDel="00000000" w:rsidP="00000000" w:rsidRDefault="00000000" w:rsidRPr="00000000" w14:paraId="00000010">
      <w:pPr>
        <w:spacing w:after="240" w:before="240"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Belbin, R.M., &amp; Brown, V. (2022). </w:t>
      </w:r>
      <w:r w:rsidDel="00000000" w:rsidR="00000000" w:rsidRPr="00000000">
        <w:rPr>
          <w:rFonts w:ascii="Times New Roman" w:cs="Times New Roman" w:eastAsia="Times New Roman" w:hAnsi="Times New Roman"/>
          <w:i w:val="1"/>
          <w:sz w:val="24"/>
          <w:szCs w:val="24"/>
          <w:highlight w:val="white"/>
          <w:rtl w:val="0"/>
        </w:rPr>
        <w:t xml:space="preserve">Team Roles at Work </w:t>
      </w:r>
      <w:r w:rsidDel="00000000" w:rsidR="00000000" w:rsidRPr="00000000">
        <w:rPr>
          <w:rFonts w:ascii="Times New Roman" w:cs="Times New Roman" w:eastAsia="Times New Roman" w:hAnsi="Times New Roman"/>
          <w:sz w:val="24"/>
          <w:szCs w:val="24"/>
          <w:highlight w:val="white"/>
          <w:rtl w:val="0"/>
        </w:rPr>
        <w:t xml:space="preserve">(3rd ed.). Routledge. Available at </w:t>
      </w:r>
      <w:hyperlink r:id="rId8">
        <w:r w:rsidDel="00000000" w:rsidR="00000000" w:rsidRPr="00000000">
          <w:rPr>
            <w:rFonts w:ascii="Times New Roman" w:cs="Times New Roman" w:eastAsia="Times New Roman" w:hAnsi="Times New Roman"/>
            <w:sz w:val="24"/>
            <w:szCs w:val="24"/>
            <w:highlight w:val="white"/>
            <w:u w:val="single"/>
            <w:rtl w:val="0"/>
          </w:rPr>
          <w:t xml:space="preserve">https://doi.org/10.4324/9781003163152</w:t>
        </w:r>
      </w:hyperlink>
      <w:r w:rsidDel="00000000" w:rsidR="00000000" w:rsidRPr="00000000">
        <w:rPr>
          <w:rFonts w:ascii="Times New Roman" w:cs="Times New Roman" w:eastAsia="Times New Roman" w:hAnsi="Times New Roman"/>
          <w:sz w:val="24"/>
          <w:szCs w:val="24"/>
          <w:highlight w:val="white"/>
          <w:rtl w:val="0"/>
        </w:rPr>
        <w:t xml:space="preserve">]</w:t>
      </w:r>
      <w:r w:rsidDel="00000000" w:rsidR="00000000" w:rsidRPr="00000000">
        <w:rPr>
          <w:rFonts w:ascii="Times New Roman" w:cs="Times New Roman" w:eastAsia="Times New Roman" w:hAnsi="Times New Roman"/>
          <w:sz w:val="24"/>
          <w:szCs w:val="24"/>
          <w:highlight w:val="white"/>
          <w:rtl w:val="0"/>
        </w:rPr>
        <w:t xml:space="preserve"> (Accessed: 23 March 2024). </w:t>
      </w:r>
    </w:p>
    <w:p w:rsidR="00000000" w:rsidDel="00000000" w:rsidP="00000000" w:rsidRDefault="00000000" w:rsidRPr="00000000" w14:paraId="0000001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Bonnardel, N. &amp; Didier, J. (2020). </w:t>
      </w:r>
      <w:r w:rsidDel="00000000" w:rsidR="00000000" w:rsidRPr="00000000">
        <w:rPr>
          <w:rFonts w:ascii="Times New Roman" w:cs="Times New Roman" w:eastAsia="Times New Roman" w:hAnsi="Times New Roman"/>
          <w:i w:val="1"/>
          <w:sz w:val="24"/>
          <w:szCs w:val="24"/>
          <w:rtl w:val="0"/>
        </w:rPr>
        <w:t xml:space="preserve">Brainstorming variants to favor creative design</w:t>
      </w:r>
      <w:r w:rsidDel="00000000" w:rsidR="00000000" w:rsidRPr="00000000">
        <w:rPr>
          <w:rFonts w:ascii="Times New Roman" w:cs="Times New Roman" w:eastAsia="Times New Roman" w:hAnsi="Times New Roman"/>
          <w:sz w:val="24"/>
          <w:szCs w:val="24"/>
          <w:rtl w:val="0"/>
        </w:rPr>
        <w:t xml:space="preserve">. Available at: https://www.ergonomics.</w:t>
      </w:r>
      <w:hyperlink r:id="rId9">
        <w:r w:rsidDel="00000000" w:rsidR="00000000" w:rsidRPr="00000000">
          <w:rPr>
            <w:rFonts w:ascii="Times New Roman" w:cs="Times New Roman" w:eastAsia="Times New Roman" w:hAnsi="Times New Roman"/>
            <w:sz w:val="24"/>
            <w:szCs w:val="24"/>
            <w:rtl w:val="0"/>
          </w:rPr>
          <w:t xml:space="preserve"> sciencedirect.com</w:t>
        </w:r>
      </w:hyperlink>
      <w:r w:rsidDel="00000000" w:rsidR="00000000" w:rsidRPr="00000000">
        <w:rPr>
          <w:rFonts w:ascii="Times New Roman" w:cs="Times New Roman" w:eastAsia="Times New Roman" w:hAnsi="Times New Roman"/>
          <w:sz w:val="24"/>
          <w:szCs w:val="24"/>
          <w:rtl w:val="0"/>
        </w:rPr>
        <w:t xml:space="preserve"> (Accessed: 19 March 2024).</w:t>
      </w:r>
    </w:p>
    <w:p w:rsidR="00000000" w:rsidDel="00000000" w:rsidP="00000000" w:rsidRDefault="00000000" w:rsidRPr="00000000" w14:paraId="0000001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Davis, H., 2022. Plastic matter.</w:t>
      </w:r>
      <w:hyperlink r:id="rId10">
        <w:r w:rsidDel="00000000" w:rsidR="00000000" w:rsidRPr="00000000">
          <w:rPr>
            <w:rFonts w:ascii="Times New Roman" w:cs="Times New Roman" w:eastAsia="Times New Roman" w:hAnsi="Times New Roman"/>
            <w:sz w:val="24"/>
            <w:szCs w:val="24"/>
            <w:rtl w:val="0"/>
          </w:rPr>
          <w:t xml:space="preserve"> </w:t>
        </w:r>
      </w:hyperlink>
      <w:hyperlink r:id="rId11">
        <w:r w:rsidDel="00000000" w:rsidR="00000000" w:rsidRPr="00000000">
          <w:rPr>
            <w:rFonts w:ascii="Times New Roman" w:cs="Times New Roman" w:eastAsia="Times New Roman" w:hAnsi="Times New Roman"/>
            <w:sz w:val="24"/>
            <w:szCs w:val="24"/>
            <w:u w:val="single"/>
            <w:rtl w:val="0"/>
          </w:rPr>
          <w:t xml:space="preserve">academia.edu</w:t>
        </w:r>
      </w:hyperlink>
      <w:r w:rsidDel="00000000" w:rsidR="00000000" w:rsidRPr="00000000">
        <w:rPr>
          <w:rFonts w:ascii="Times New Roman" w:cs="Times New Roman" w:eastAsia="Times New Roman" w:hAnsi="Times New Roman"/>
          <w:sz w:val="24"/>
          <w:szCs w:val="24"/>
          <w:u w:val="single"/>
          <w:rtl w:val="0"/>
        </w:rPr>
        <w:t xml:space="preserve"> </w:t>
      </w:r>
      <w:r w:rsidDel="00000000" w:rsidR="00000000" w:rsidRPr="00000000">
        <w:rPr>
          <w:rFonts w:ascii="Times New Roman" w:cs="Times New Roman" w:eastAsia="Times New Roman" w:hAnsi="Times New Roman"/>
          <w:sz w:val="24"/>
          <w:szCs w:val="24"/>
          <w:rtl w:val="0"/>
        </w:rPr>
        <w:t xml:space="preserve">(Accessed: 22 March 2024).</w:t>
      </w:r>
    </w:p>
    <w:p w:rsidR="00000000" w:rsidDel="00000000" w:rsidP="00000000" w:rsidRDefault="00000000" w:rsidRPr="00000000" w14:paraId="0000001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Ferdowsian, H. R., 2021. Ecological justice and the right to health: An introduction. Health and Human Rights.Available at: https://www.</w:t>
      </w:r>
      <w:hyperlink r:id="rId12">
        <w:r w:rsidDel="00000000" w:rsidR="00000000" w:rsidRPr="00000000">
          <w:rPr>
            <w:rFonts w:ascii="Times New Roman" w:cs="Times New Roman" w:eastAsia="Times New Roman" w:hAnsi="Times New Roman"/>
            <w:sz w:val="24"/>
            <w:szCs w:val="24"/>
            <w:rtl w:val="0"/>
          </w:rPr>
          <w:t xml:space="preserve"> </w:t>
        </w:r>
      </w:hyperlink>
      <w:hyperlink r:id="rId13">
        <w:r w:rsidDel="00000000" w:rsidR="00000000" w:rsidRPr="00000000">
          <w:rPr>
            <w:rFonts w:ascii="Times New Roman" w:cs="Times New Roman" w:eastAsia="Times New Roman" w:hAnsi="Times New Roman"/>
            <w:sz w:val="24"/>
            <w:szCs w:val="24"/>
            <w:u w:val="single"/>
            <w:rtl w:val="0"/>
          </w:rPr>
          <w:t xml:space="preserve">nih.gov</w:t>
        </w:r>
      </w:hyperlink>
      <w:r w:rsidDel="00000000" w:rsidR="00000000" w:rsidRPr="00000000">
        <w:rPr>
          <w:rFonts w:ascii="Times New Roman" w:cs="Times New Roman" w:eastAsia="Times New Roman" w:hAnsi="Times New Roman"/>
          <w:sz w:val="24"/>
          <w:szCs w:val="24"/>
          <w:rtl w:val="0"/>
        </w:rPr>
        <w:t xml:space="preserve"> (Accessed: 22 March 2024).</w:t>
      </w:r>
    </w:p>
    <w:p w:rsidR="00000000" w:rsidDel="00000000" w:rsidP="00000000" w:rsidRDefault="00000000" w:rsidRPr="00000000" w14:paraId="00000014">
      <w:pPr>
        <w:spacing w:after="240" w:before="240" w:line="360" w:lineRule="auto"/>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rtl w:val="0"/>
        </w:rPr>
        <w:t xml:space="preserve">Health Organization, W., 2021. COP26 special report on climate change and health: the health argument for climate action. (Accessed: 18 March 2024).</w:t>
      </w:r>
      <w:r w:rsidDel="00000000" w:rsidR="00000000" w:rsidRPr="00000000">
        <w:rPr>
          <w:rtl w:val="0"/>
        </w:rPr>
      </w:r>
    </w:p>
    <w:p w:rsidR="00000000" w:rsidDel="00000000" w:rsidP="00000000" w:rsidRDefault="00000000" w:rsidRPr="00000000" w14:paraId="0000001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 L., Chen, G., &amp; Wu, J., 2023. Teaching talk for thinking: The efficacy of a peer talk teaching program for improving group thinking. Thinking Skills and Creativity.</w:t>
      </w:r>
      <w:hyperlink r:id="rId14">
        <w:r w:rsidDel="00000000" w:rsidR="00000000" w:rsidRPr="00000000">
          <w:rPr>
            <w:rFonts w:ascii="Times New Roman" w:cs="Times New Roman" w:eastAsia="Times New Roman" w:hAnsi="Times New Roman"/>
            <w:sz w:val="24"/>
            <w:szCs w:val="24"/>
            <w:rtl w:val="0"/>
          </w:rPr>
          <w:t xml:space="preserve"> </w:t>
        </w:r>
      </w:hyperlink>
      <w:hyperlink r:id="rId15">
        <w:r w:rsidDel="00000000" w:rsidR="00000000" w:rsidRPr="00000000">
          <w:rPr>
            <w:rFonts w:ascii="Times New Roman" w:cs="Times New Roman" w:eastAsia="Times New Roman" w:hAnsi="Times New Roman"/>
            <w:sz w:val="24"/>
            <w:szCs w:val="24"/>
            <w:u w:val="single"/>
            <w:rtl w:val="0"/>
          </w:rPr>
          <w:t xml:space="preserve">[HTML]</w:t>
        </w:r>
      </w:hyperlink>
      <w:r w:rsidDel="00000000" w:rsidR="00000000" w:rsidRPr="00000000">
        <w:rPr>
          <w:rFonts w:ascii="Times New Roman" w:cs="Times New Roman" w:eastAsia="Times New Roman" w:hAnsi="Times New Roman"/>
          <w:sz w:val="24"/>
          <w:szCs w:val="24"/>
          <w:rtl w:val="0"/>
        </w:rPr>
        <w:t xml:space="preserve"> (Accessed: 15 March 2024).</w:t>
      </w:r>
    </w:p>
    <w:p w:rsidR="00000000" w:rsidDel="00000000" w:rsidP="00000000" w:rsidRDefault="00000000" w:rsidRPr="00000000" w14:paraId="0000001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Katja Thoring Anhalt University of Applied Sciences et al</w:t>
      </w:r>
      <w:r w:rsidDel="00000000" w:rsidR="00000000" w:rsidRPr="00000000">
        <w:rPr>
          <w:rFonts w:ascii="Times New Roman" w:cs="Times New Roman" w:eastAsia="Times New Roman" w:hAnsi="Times New Roman"/>
          <w:i w:val="1"/>
          <w:sz w:val="24"/>
          <w:szCs w:val="24"/>
          <w:rtl w:val="0"/>
        </w:rPr>
        <w:t xml:space="preserve">. (2011)</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Understanding the creative mechanisms of design thinking: Proceedings of the Second Conference on Creativity and Innovation in Design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ACM Other conferences</w:t>
      </w:r>
      <w:r w:rsidDel="00000000" w:rsidR="00000000" w:rsidRPr="00000000">
        <w:rPr>
          <w:rFonts w:ascii="Times New Roman" w:cs="Times New Roman" w:eastAsia="Times New Roman" w:hAnsi="Times New Roman"/>
          <w:sz w:val="24"/>
          <w:szCs w:val="24"/>
          <w:rtl w:val="0"/>
        </w:rPr>
        <w:t xml:space="preserve">. Available at: https://dl.acm.org/doi/abs/10.1145/2079216.2079236 (Accessed: 18 April 2024). </w:t>
      </w:r>
    </w:p>
    <w:p w:rsidR="00000000" w:rsidDel="00000000" w:rsidP="00000000" w:rsidRDefault="00000000" w:rsidRPr="00000000" w14:paraId="00000017">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Kumar, A., Nagar, S., &amp; Anand, S., 2021. Climate change and existential threats. Available at: https://www.Global climate change.</w:t>
      </w:r>
      <w:hyperlink r:id="rId16">
        <w:r w:rsidDel="00000000" w:rsidR="00000000" w:rsidRPr="00000000">
          <w:rPr>
            <w:rFonts w:ascii="Times New Roman" w:cs="Times New Roman" w:eastAsia="Times New Roman" w:hAnsi="Times New Roman"/>
            <w:sz w:val="24"/>
            <w:szCs w:val="24"/>
            <w:rtl w:val="0"/>
          </w:rPr>
          <w:t xml:space="preserve"> </w:t>
        </w:r>
      </w:hyperlink>
      <w:hyperlink r:id="rId17">
        <w:r w:rsidDel="00000000" w:rsidR="00000000" w:rsidRPr="00000000">
          <w:rPr>
            <w:rFonts w:ascii="Times New Roman" w:cs="Times New Roman" w:eastAsia="Times New Roman" w:hAnsi="Times New Roman"/>
            <w:sz w:val="24"/>
            <w:szCs w:val="24"/>
            <w:u w:val="single"/>
            <w:rtl w:val="0"/>
          </w:rPr>
          <w:t xml:space="preserve">researchgate.net</w:t>
        </w:r>
      </w:hyperlink>
      <w:r w:rsidDel="00000000" w:rsidR="00000000" w:rsidRPr="00000000">
        <w:rPr>
          <w:rFonts w:ascii="Times New Roman" w:cs="Times New Roman" w:eastAsia="Times New Roman" w:hAnsi="Times New Roman"/>
          <w:sz w:val="24"/>
          <w:szCs w:val="24"/>
          <w:rtl w:val="0"/>
        </w:rPr>
        <w:t xml:space="preserve"> (Accessed: 18 March 2024).</w:t>
      </w:r>
    </w:p>
    <w:p w:rsidR="00000000" w:rsidDel="00000000" w:rsidP="00000000" w:rsidRDefault="00000000" w:rsidRPr="00000000" w14:paraId="00000019">
      <w:pPr>
        <w:spacing w:after="240" w:before="240" w:line="360" w:lineRule="auto"/>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rtl w:val="0"/>
        </w:rPr>
        <w:t xml:space="preserve">Masson-Delmotte, V., Zhai, P., Pirani, A., Connors, S.L., Péan, C., Berger, S., Caud, N., Chen, Y., Goldfarb, L., Gomis, M.I. and Huang, M., 2021. Climate change 2021: the physical science basis. Contribution of working group I to the sixth assessment report of the intergovernmental panel on climate change, 2(1), p.2391.</w:t>
      </w:r>
      <w:hyperlink r:id="rId18">
        <w:r w:rsidDel="00000000" w:rsidR="00000000" w:rsidRPr="00000000">
          <w:rPr>
            <w:rFonts w:ascii="Times New Roman" w:cs="Times New Roman" w:eastAsia="Times New Roman" w:hAnsi="Times New Roman"/>
            <w:sz w:val="24"/>
            <w:szCs w:val="24"/>
            <w:rtl w:val="0"/>
          </w:rPr>
          <w:t xml:space="preserve"> </w:t>
        </w:r>
      </w:hyperlink>
      <w:hyperlink r:id="rId19">
        <w:r w:rsidDel="00000000" w:rsidR="00000000" w:rsidRPr="00000000">
          <w:rPr>
            <w:rFonts w:ascii="Times New Roman" w:cs="Times New Roman" w:eastAsia="Times New Roman" w:hAnsi="Times New Roman"/>
            <w:sz w:val="24"/>
            <w:szCs w:val="24"/>
            <w:u w:val="single"/>
            <w:rtl w:val="0"/>
          </w:rPr>
          <w:t xml:space="preserve">ipcc.ch</w:t>
        </w:r>
      </w:hyperlink>
      <w:r w:rsidDel="00000000" w:rsidR="00000000" w:rsidRPr="00000000">
        <w:rPr>
          <w:rtl w:val="0"/>
        </w:rPr>
      </w:r>
    </w:p>
    <w:p w:rsidR="00000000" w:rsidDel="00000000" w:rsidP="00000000" w:rsidRDefault="00000000" w:rsidRPr="00000000" w14:paraId="0000001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Mishra, V., Seyedzenouzi, G., Almohtadi, A., Chowdhury, T., Khashkhusha, A., Axiaq, A., Wong, W.Y.E. and Harky, A., 2021. Health inequalities during COVID-19 and their effects on morbidity and mortality. Journal of healthcare leadership, pp.1926.</w:t>
      </w:r>
      <w:hyperlink r:id="rId20">
        <w:r w:rsidDel="00000000" w:rsidR="00000000" w:rsidRPr="00000000">
          <w:rPr>
            <w:rFonts w:ascii="Times New Roman" w:cs="Times New Roman" w:eastAsia="Times New Roman" w:hAnsi="Times New Roman"/>
            <w:sz w:val="24"/>
            <w:szCs w:val="24"/>
            <w:rtl w:val="0"/>
          </w:rPr>
          <w:t xml:space="preserve">  Available at : https://www.</w:t>
        </w:r>
      </w:hyperlink>
      <w:hyperlink r:id="rId21">
        <w:r w:rsidDel="00000000" w:rsidR="00000000" w:rsidRPr="00000000">
          <w:rPr>
            <w:rFonts w:ascii="Times New Roman" w:cs="Times New Roman" w:eastAsia="Times New Roman" w:hAnsi="Times New Roman"/>
            <w:sz w:val="24"/>
            <w:szCs w:val="24"/>
            <w:u w:val="single"/>
            <w:rtl w:val="0"/>
          </w:rPr>
          <w:t xml:space="preserve">tandfonline.com</w:t>
        </w:r>
      </w:hyperlink>
      <w:r w:rsidDel="00000000" w:rsidR="00000000" w:rsidRPr="00000000">
        <w:rPr>
          <w:rFonts w:ascii="Times New Roman" w:cs="Times New Roman" w:eastAsia="Times New Roman" w:hAnsi="Times New Roman"/>
          <w:sz w:val="24"/>
          <w:szCs w:val="24"/>
          <w:rtl w:val="0"/>
        </w:rPr>
        <w:t xml:space="preserve"> (Accessed: 21 March 2024).</w:t>
      </w:r>
    </w:p>
    <w:p w:rsidR="00000000" w:rsidDel="00000000" w:rsidP="00000000" w:rsidRDefault="00000000" w:rsidRPr="00000000" w14:paraId="0000001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Moshood, T.D., Nawanir, G., Mahmud, F., Mohamad, F., Ahmad, M.H. and AbdulGhani, A., 2022. Sustainability of biodegradable plastics: new problem or solution to solve the global plastic pollution?. Current Research in Green and Sustainable Chemistry, 5, p.100273. Available at: https://www.</w:t>
      </w:r>
      <w:hyperlink r:id="rId22">
        <w:r w:rsidDel="00000000" w:rsidR="00000000" w:rsidRPr="00000000">
          <w:rPr>
            <w:rFonts w:ascii="Times New Roman" w:cs="Times New Roman" w:eastAsia="Times New Roman" w:hAnsi="Times New Roman"/>
            <w:sz w:val="24"/>
            <w:szCs w:val="24"/>
            <w:u w:val="single"/>
            <w:rtl w:val="0"/>
          </w:rPr>
          <w:t xml:space="preserve">sciencedirect.com</w:t>
        </w:r>
      </w:hyperlink>
      <w:r w:rsidDel="00000000" w:rsidR="00000000" w:rsidRPr="00000000">
        <w:rPr>
          <w:rFonts w:ascii="Times New Roman" w:cs="Times New Roman" w:eastAsia="Times New Roman" w:hAnsi="Times New Roman"/>
          <w:sz w:val="24"/>
          <w:szCs w:val="24"/>
          <w:rtl w:val="0"/>
        </w:rPr>
        <w:t xml:space="preserve"> (Accessed: 9 March 2024).</w:t>
      </w:r>
    </w:p>
    <w:p w:rsidR="00000000" w:rsidDel="00000000" w:rsidP="00000000" w:rsidRDefault="00000000" w:rsidRPr="00000000" w14:paraId="0000001C">
      <w:pPr>
        <w:spacing w:after="240" w:before="240" w:line="360" w:lineRule="auto"/>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rtl w:val="0"/>
        </w:rPr>
        <w:t xml:space="preserve">Pahl, S., Richter, I. and Wyles, K., 2020. Human perceptions and behaviour determine aquatic plastic pollution. In Plastics in the Aquatic Environment-Part II: Stakeholders' Role Against Pollution (pp. 13-38). Cham: Springer International Publishing.</w:t>
      </w:r>
      <w:hyperlink r:id="rId23">
        <w:r w:rsidDel="00000000" w:rsidR="00000000" w:rsidRPr="00000000">
          <w:rPr>
            <w:rFonts w:ascii="Times New Roman" w:cs="Times New Roman" w:eastAsia="Times New Roman" w:hAnsi="Times New Roman"/>
            <w:sz w:val="24"/>
            <w:szCs w:val="24"/>
            <w:rtl w:val="0"/>
          </w:rPr>
          <w:t xml:space="preserve"> </w:t>
        </w:r>
      </w:hyperlink>
      <w:hyperlink r:id="rId24">
        <w:r w:rsidDel="00000000" w:rsidR="00000000" w:rsidRPr="00000000">
          <w:rPr>
            <w:rFonts w:ascii="Times New Roman" w:cs="Times New Roman" w:eastAsia="Times New Roman" w:hAnsi="Times New Roman"/>
            <w:sz w:val="24"/>
            <w:szCs w:val="24"/>
            <w:u w:val="single"/>
            <w:rtl w:val="0"/>
          </w:rPr>
          <w:t xml:space="preserve">[HTML]</w:t>
        </w:r>
      </w:hyperlink>
      <w:r w:rsidDel="00000000" w:rsidR="00000000" w:rsidRPr="00000000">
        <w:rPr>
          <w:rtl w:val="0"/>
        </w:rPr>
      </w:r>
    </w:p>
    <w:p w:rsidR="00000000" w:rsidDel="00000000" w:rsidP="00000000" w:rsidRDefault="00000000" w:rsidRPr="00000000" w14:paraId="0000001D">
      <w:pPr>
        <w:spacing w:after="240" w:before="240"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Pechakucha (2003) </w:t>
      </w:r>
      <w:r w:rsidDel="00000000" w:rsidR="00000000" w:rsidRPr="00000000">
        <w:rPr>
          <w:rFonts w:ascii="Times New Roman" w:cs="Times New Roman" w:eastAsia="Times New Roman" w:hAnsi="Times New Roman"/>
          <w:i w:val="1"/>
          <w:sz w:val="24"/>
          <w:szCs w:val="24"/>
          <w:rtl w:val="0"/>
        </w:rPr>
        <w:t xml:space="preserve">Pechakucha 20x20</w:t>
      </w:r>
      <w:r w:rsidDel="00000000" w:rsidR="00000000" w:rsidRPr="00000000">
        <w:rPr>
          <w:rFonts w:ascii="Times New Roman" w:cs="Times New Roman" w:eastAsia="Times New Roman" w:hAnsi="Times New Roman"/>
          <w:sz w:val="24"/>
          <w:szCs w:val="24"/>
          <w:rtl w:val="0"/>
        </w:rPr>
        <w:t xml:space="preserve">. Available at: https://www.pechakucha.com/about (Accessed: 16 March 2024).</w:t>
      </w:r>
    </w:p>
    <w:p w:rsidR="00000000" w:rsidDel="00000000" w:rsidP="00000000" w:rsidRDefault="00000000" w:rsidRPr="00000000" w14:paraId="0000001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Prieto-Sandoval, V., Torres-Guevara, L.E. and García-Díaz, C., 2022. Green marketing innovation: Opportunities from an environmental education analysis in young consumers. Journal of Cleaner Production, 363, p.132-509.</w:t>
      </w:r>
      <w:hyperlink r:id="rId25">
        <w:r w:rsidDel="00000000" w:rsidR="00000000" w:rsidRPr="00000000">
          <w:rPr>
            <w:rFonts w:ascii="Times New Roman" w:cs="Times New Roman" w:eastAsia="Times New Roman" w:hAnsi="Times New Roman"/>
            <w:sz w:val="24"/>
            <w:szCs w:val="24"/>
            <w:rtl w:val="0"/>
          </w:rPr>
          <w:t xml:space="preserve">  Available at: https://www. sciencedirect.com</w:t>
        </w:r>
      </w:hyperlink>
      <w:r w:rsidDel="00000000" w:rsidR="00000000" w:rsidRPr="00000000">
        <w:rPr>
          <w:rFonts w:ascii="Times New Roman" w:cs="Times New Roman" w:eastAsia="Times New Roman" w:hAnsi="Times New Roman"/>
          <w:sz w:val="24"/>
          <w:szCs w:val="24"/>
          <w:rtl w:val="0"/>
        </w:rPr>
        <w:t xml:space="preserve"> (Accessed: 9 March 2024).</w:t>
      </w:r>
    </w:p>
    <w:p w:rsidR="00000000" w:rsidDel="00000000" w:rsidP="00000000" w:rsidRDefault="00000000" w:rsidRPr="00000000" w14:paraId="0000001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Schnurr, J., Holtz, S., Armstrong, G. and Bernard, A.K., 2023. </w:t>
      </w:r>
      <w:r w:rsidDel="00000000" w:rsidR="00000000" w:rsidRPr="00000000">
        <w:rPr>
          <w:rFonts w:ascii="Times New Roman" w:cs="Times New Roman" w:eastAsia="Times New Roman" w:hAnsi="Times New Roman"/>
          <w:i w:val="1"/>
          <w:sz w:val="24"/>
          <w:szCs w:val="24"/>
          <w:highlight w:val="white"/>
          <w:rtl w:val="0"/>
        </w:rPr>
        <w:t xml:space="preserve">The cornerstone of development: integrating environmental, social, and economic policies</w:t>
      </w:r>
      <w:r w:rsidDel="00000000" w:rsidR="00000000" w:rsidRPr="00000000">
        <w:rPr>
          <w:rFonts w:ascii="Times New Roman" w:cs="Times New Roman" w:eastAsia="Times New Roman" w:hAnsi="Times New Roman"/>
          <w:sz w:val="24"/>
          <w:szCs w:val="24"/>
          <w:highlight w:val="white"/>
          <w:rtl w:val="0"/>
        </w:rPr>
        <w:t xml:space="preserve">. CRC Press.</w:t>
      </w:r>
      <w:r w:rsidDel="00000000" w:rsidR="00000000" w:rsidRPr="00000000">
        <w:rPr>
          <w:rtl w:val="0"/>
        </w:rPr>
      </w:r>
    </w:p>
    <w:p w:rsidR="00000000" w:rsidDel="00000000" w:rsidP="00000000" w:rsidRDefault="00000000" w:rsidRPr="00000000" w14:paraId="0000002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Shahzad, M., Qu, Y., Zafar, A.U. and Appolloni, A., 2021. Does the interaction between the knowledge management process and sustainable development practices boost corporate green innovation?. Business Strategy and the Environment, 30(8), pp.4206-4222.</w:t>
      </w:r>
      <w:hyperlink r:id="rId26">
        <w:r w:rsidDel="00000000" w:rsidR="00000000" w:rsidRPr="00000000">
          <w:rPr>
            <w:rFonts w:ascii="Times New Roman" w:cs="Times New Roman" w:eastAsia="Times New Roman" w:hAnsi="Times New Roman"/>
            <w:sz w:val="24"/>
            <w:szCs w:val="24"/>
            <w:rtl w:val="0"/>
          </w:rPr>
          <w:t xml:space="preserve"> Available at: </w:t>
        </w:r>
      </w:hyperlink>
      <w:hyperlink r:id="rId27">
        <w:r w:rsidDel="00000000" w:rsidR="00000000" w:rsidRPr="00000000">
          <w:rPr>
            <w:rFonts w:ascii="Times New Roman" w:cs="Times New Roman" w:eastAsia="Times New Roman" w:hAnsi="Times New Roman"/>
            <w:color w:val="1155cc"/>
            <w:sz w:val="24"/>
            <w:szCs w:val="24"/>
            <w:u w:val="single"/>
            <w:rtl w:val="0"/>
          </w:rPr>
          <w:t xml:space="preserve">https://www.torvergata.it.com</w:t>
        </w:r>
      </w:hyperlink>
      <w:r w:rsidDel="00000000" w:rsidR="00000000" w:rsidRPr="00000000">
        <w:rPr>
          <w:rFonts w:ascii="Times New Roman" w:cs="Times New Roman" w:eastAsia="Times New Roman" w:hAnsi="Times New Roman"/>
          <w:sz w:val="24"/>
          <w:szCs w:val="24"/>
          <w:u w:val="single"/>
          <w:rtl w:val="0"/>
        </w:rPr>
        <w:t xml:space="preserve"> </w:t>
      </w:r>
      <w:r w:rsidDel="00000000" w:rsidR="00000000" w:rsidRPr="00000000">
        <w:rPr>
          <w:rFonts w:ascii="Times New Roman" w:cs="Times New Roman" w:eastAsia="Times New Roman" w:hAnsi="Times New Roman"/>
          <w:sz w:val="24"/>
          <w:szCs w:val="24"/>
          <w:rtl w:val="0"/>
        </w:rPr>
        <w:t xml:space="preserve">(Accessed: 9 March 2024).</w:t>
      </w:r>
    </w:p>
    <w:p w:rsidR="00000000" w:rsidDel="00000000" w:rsidP="00000000" w:rsidRDefault="00000000" w:rsidRPr="00000000" w14:paraId="0000002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Stenchikov, G., 2021. The role of volcanic activity in climate and global changes. Climate change.</w:t>
      </w:r>
      <w:hyperlink r:id="rId28">
        <w:r w:rsidDel="00000000" w:rsidR="00000000" w:rsidRPr="00000000">
          <w:rPr>
            <w:rFonts w:ascii="Times New Roman" w:cs="Times New Roman" w:eastAsia="Times New Roman" w:hAnsi="Times New Roman"/>
            <w:sz w:val="24"/>
            <w:szCs w:val="24"/>
            <w:rtl w:val="0"/>
          </w:rPr>
          <w:t xml:space="preserve"> Available at: </w:t>
        </w:r>
      </w:hyperlink>
      <w:hyperlink r:id="rId29">
        <w:r w:rsidDel="00000000" w:rsidR="00000000" w:rsidRPr="00000000">
          <w:rPr>
            <w:rFonts w:ascii="Times New Roman" w:cs="Times New Roman" w:eastAsia="Times New Roman" w:hAnsi="Times New Roman"/>
            <w:color w:val="1155cc"/>
            <w:sz w:val="24"/>
            <w:szCs w:val="24"/>
            <w:u w:val="single"/>
            <w:rtl w:val="0"/>
          </w:rPr>
          <w:t xml:space="preserve">https://www.kaust.edu.sa.com</w:t>
        </w:r>
      </w:hyperlink>
      <w:r w:rsidDel="00000000" w:rsidR="00000000" w:rsidRPr="00000000">
        <w:rPr>
          <w:rFonts w:ascii="Times New Roman" w:cs="Times New Roman" w:eastAsia="Times New Roman" w:hAnsi="Times New Roman"/>
          <w:sz w:val="24"/>
          <w:szCs w:val="24"/>
          <w:rtl w:val="0"/>
        </w:rPr>
        <w:t xml:space="preserve"> (Accessed: 20 March 2024).</w:t>
      </w:r>
    </w:p>
    <w:p w:rsidR="00000000" w:rsidDel="00000000" w:rsidP="00000000" w:rsidRDefault="00000000" w:rsidRPr="00000000" w14:paraId="00000022">
      <w:pPr>
        <w:spacing w:after="240" w:before="240" w:line="360" w:lineRule="auto"/>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rtl w:val="0"/>
        </w:rPr>
        <w:t xml:space="preserve">Thunberg, G., 2024. The climate book: The facts and the solutions.</w:t>
      </w:r>
      <w:hyperlink r:id="rId30">
        <w:r w:rsidDel="00000000" w:rsidR="00000000" w:rsidRPr="00000000">
          <w:rPr>
            <w:rFonts w:ascii="Times New Roman" w:cs="Times New Roman" w:eastAsia="Times New Roman" w:hAnsi="Times New Roman"/>
            <w:sz w:val="24"/>
            <w:szCs w:val="24"/>
            <w:rtl w:val="0"/>
          </w:rPr>
          <w:t xml:space="preserve"> </w:t>
        </w:r>
      </w:hyperlink>
      <w:hyperlink r:id="rId31">
        <w:r w:rsidDel="00000000" w:rsidR="00000000" w:rsidRPr="00000000">
          <w:rPr>
            <w:rFonts w:ascii="Times New Roman" w:cs="Times New Roman" w:eastAsia="Times New Roman" w:hAnsi="Times New Roman"/>
            <w:sz w:val="24"/>
            <w:szCs w:val="24"/>
            <w:u w:val="single"/>
            <w:rtl w:val="0"/>
          </w:rPr>
          <w:t xml:space="preserve">[HTML]</w:t>
        </w:r>
      </w:hyperlink>
      <w:r w:rsidDel="00000000" w:rsidR="00000000" w:rsidRPr="00000000">
        <w:rPr>
          <w:rtl w:val="0"/>
        </w:rPr>
      </w:r>
    </w:p>
    <w:p w:rsidR="00000000" w:rsidDel="00000000" w:rsidP="00000000" w:rsidRDefault="00000000" w:rsidRPr="00000000" w14:paraId="0000002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Wanner, H., Pfister, C., &amp; Neukom, R., 2022. The variable European little ice age. Quaternary Science Reviews. Available at: https://www.</w:t>
      </w:r>
      <w:hyperlink r:id="rId32">
        <w:r w:rsidDel="00000000" w:rsidR="00000000" w:rsidRPr="00000000">
          <w:rPr>
            <w:rFonts w:ascii="Times New Roman" w:cs="Times New Roman" w:eastAsia="Times New Roman" w:hAnsi="Times New Roman"/>
            <w:sz w:val="24"/>
            <w:szCs w:val="24"/>
            <w:rtl w:val="0"/>
          </w:rPr>
          <w:t xml:space="preserve"> </w:t>
        </w:r>
      </w:hyperlink>
      <w:hyperlink r:id="rId33">
        <w:r w:rsidDel="00000000" w:rsidR="00000000" w:rsidRPr="00000000">
          <w:rPr>
            <w:rFonts w:ascii="Times New Roman" w:cs="Times New Roman" w:eastAsia="Times New Roman" w:hAnsi="Times New Roman"/>
            <w:sz w:val="24"/>
            <w:szCs w:val="24"/>
            <w:u w:val="single"/>
            <w:rtl w:val="0"/>
          </w:rPr>
          <w:t xml:space="preserve">unibe.ch</w:t>
        </w:r>
      </w:hyperlink>
      <w:r w:rsidDel="00000000" w:rsidR="00000000" w:rsidRPr="00000000">
        <w:rPr>
          <w:rFonts w:ascii="Times New Roman" w:cs="Times New Roman" w:eastAsia="Times New Roman" w:hAnsi="Times New Roman"/>
          <w:sz w:val="24"/>
          <w:szCs w:val="24"/>
          <w:rtl w:val="0"/>
        </w:rPr>
        <w:t xml:space="preserve">.com (Accessed: 16 March 2024).</w:t>
      </w:r>
      <w:r w:rsidDel="00000000" w:rsidR="00000000" w:rsidRPr="00000000">
        <w:rPr>
          <w:rtl w:val="0"/>
        </w:rPr>
      </w:r>
    </w:p>
    <w:p w:rsidR="00000000" w:rsidDel="00000000" w:rsidP="00000000" w:rsidRDefault="00000000" w:rsidRPr="00000000" w14:paraId="0000002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Woroniecki, S., Wendo, H., Brink, E., Islar, M., Krause, T., Vargas, A.M. and Mahmoud, Y., 2020. Nature unsettled: How knowledge and power shape 'nature-based approaches to societal challenges. Global Environmental Change, 65, p.102132.</w:t>
      </w:r>
      <w:hyperlink r:id="rId34">
        <w:r w:rsidDel="00000000" w:rsidR="00000000" w:rsidRPr="00000000">
          <w:rPr>
            <w:rFonts w:ascii="Times New Roman" w:cs="Times New Roman" w:eastAsia="Times New Roman" w:hAnsi="Times New Roman"/>
            <w:sz w:val="24"/>
            <w:szCs w:val="24"/>
            <w:rtl w:val="0"/>
          </w:rPr>
          <w:t xml:space="preserve">  Available at :</w:t>
        </w:r>
      </w:hyperlink>
      <w:hyperlink r:id="rId35">
        <w:r w:rsidDel="00000000" w:rsidR="00000000" w:rsidRPr="00000000">
          <w:rPr>
            <w:rFonts w:ascii="Times New Roman" w:cs="Times New Roman" w:eastAsia="Times New Roman" w:hAnsi="Times New Roman"/>
            <w:sz w:val="24"/>
            <w:szCs w:val="24"/>
            <w:rtl w:val="0"/>
          </w:rPr>
          <w:t xml:space="preserve">https://www.</w:t>
        </w:r>
      </w:hyperlink>
      <w:hyperlink r:id="rId36">
        <w:r w:rsidDel="00000000" w:rsidR="00000000" w:rsidRPr="00000000">
          <w:rPr>
            <w:rFonts w:ascii="Times New Roman" w:cs="Times New Roman" w:eastAsia="Times New Roman" w:hAnsi="Times New Roman"/>
            <w:sz w:val="24"/>
            <w:szCs w:val="24"/>
            <w:u w:val="single"/>
            <w:rtl w:val="0"/>
          </w:rPr>
          <w:t xml:space="preserve">sciencedirect.com</w:t>
        </w:r>
      </w:hyperlink>
      <w:r w:rsidDel="00000000" w:rsidR="00000000" w:rsidRPr="00000000">
        <w:rPr>
          <w:rFonts w:ascii="Times New Roman" w:cs="Times New Roman" w:eastAsia="Times New Roman" w:hAnsi="Times New Roman"/>
          <w:sz w:val="24"/>
          <w:szCs w:val="24"/>
          <w:rtl w:val="0"/>
        </w:rPr>
        <w:t xml:space="preserve"> (Accessed: 16 March 2024).</w:t>
      </w:r>
    </w:p>
    <w:p w:rsidR="00000000" w:rsidDel="00000000" w:rsidP="00000000" w:rsidRDefault="00000000" w:rsidRPr="00000000" w14:paraId="00000025">
      <w:pPr>
        <w:spacing w:after="240" w:before="240" w:line="360" w:lineRule="auto"/>
        <w:ind w:left="580" w:hanging="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6">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7">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8">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9">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tandfonline.com/doi/pdf/10.2147/JHL.S270175" TargetMode="External"/><Relationship Id="rId22" Type="http://schemas.openxmlformats.org/officeDocument/2006/relationships/hyperlink" Target="https://www.sciencedirect.com/science/article/pii/S2666086522000157" TargetMode="External"/><Relationship Id="rId21" Type="http://schemas.openxmlformats.org/officeDocument/2006/relationships/hyperlink" Target="https://www.tandfonline.com/doi/pdf/10.2147/JHL.S270175" TargetMode="External"/><Relationship Id="rId24" Type="http://schemas.openxmlformats.org/officeDocument/2006/relationships/hyperlink" Target="https://link.springer.com/chapter/10.1007/698_2020_672" TargetMode="External"/><Relationship Id="rId23" Type="http://schemas.openxmlformats.org/officeDocument/2006/relationships/hyperlink" Target="https://link.springer.com/chapter/10.1007/698_2020_672"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sciencedirect.com/science/article/am/pii/S0003687018305520" TargetMode="External"/><Relationship Id="rId26" Type="http://schemas.openxmlformats.org/officeDocument/2006/relationships/hyperlink" Target="https://art.torvergata.it/bitstream/2108/279243/1/bse.2865-2.pdf" TargetMode="External"/><Relationship Id="rId25" Type="http://schemas.openxmlformats.org/officeDocument/2006/relationships/hyperlink" Target="https://www.sciencedirect.com/science/article/pii/S0959652622021102" TargetMode="External"/><Relationship Id="rId28" Type="http://schemas.openxmlformats.org/officeDocument/2006/relationships/hyperlink" Target="https://repository.kaust.edu.sa/bitstream/handle/10754/582649/CH26-9780444635242_GS.pdf?sequence=1&amp;isAllowed=y" TargetMode="External"/><Relationship Id="rId27" Type="http://schemas.openxmlformats.org/officeDocument/2006/relationships/hyperlink" Target="https://www.torvergata.it.com" TargetMode="External"/><Relationship Id="rId5" Type="http://schemas.openxmlformats.org/officeDocument/2006/relationships/styles" Target="styles.xml"/><Relationship Id="rId6" Type="http://schemas.openxmlformats.org/officeDocument/2006/relationships/hyperlink" Target="https://link.springer.com/article/10.1007/s10755-020-09507-9" TargetMode="External"/><Relationship Id="rId29" Type="http://schemas.openxmlformats.org/officeDocument/2006/relationships/hyperlink" Target="https://www.kaust.edu.sa.com" TargetMode="External"/><Relationship Id="rId7" Type="http://schemas.openxmlformats.org/officeDocument/2006/relationships/hyperlink" Target="https://link.springer.com/article/10.1007/s10755-020-09507-9" TargetMode="External"/><Relationship Id="rId8" Type="http://schemas.openxmlformats.org/officeDocument/2006/relationships/hyperlink" Target="https://doi.org/10.4324/9781003163152" TargetMode="External"/><Relationship Id="rId31" Type="http://schemas.openxmlformats.org/officeDocument/2006/relationships/hyperlink" Target="https://books.google.com/books?hl=en&amp;lr=&amp;id=4R3gEAAAQBAJ&amp;oi=fnd&amp;pg=PA196&amp;dq=The+urgent+need+for+action+is+irrefutable,+as+the+consequences+of+inaction+extend+far+beyond+our+generation+and+imperil+the+very+survival+of+future+ones&amp;ots=zlMttSeiVM&amp;sig=AZCwEKii__n3YgKHHCytn4H_pD8" TargetMode="External"/><Relationship Id="rId30" Type="http://schemas.openxmlformats.org/officeDocument/2006/relationships/hyperlink" Target="https://books.google.com/books?hl=en&amp;lr=&amp;id=4R3gEAAAQBAJ&amp;oi=fnd&amp;pg=PA196&amp;dq=The+urgent+need+for+action+is+irrefutable,+as+the+consequences+of+inaction+extend+far+beyond+our+generation+and+imperil+the+very+survival+of+future+ones&amp;ots=zlMttSeiVM&amp;sig=AZCwEKii__n3YgKHHCytn4H_pD8" TargetMode="External"/><Relationship Id="rId11" Type="http://schemas.openxmlformats.org/officeDocument/2006/relationships/hyperlink" Target="https://www.academia.edu/download/82715069/978_1_4780_1775_2_601.pdf" TargetMode="External"/><Relationship Id="rId33" Type="http://schemas.openxmlformats.org/officeDocument/2006/relationships/hyperlink" Target="https://www.hist.unibe.ch/unibe/portal/fak_historisch/dga/hist/content/e11168/e52524/e69145/e186327/e1458009/L-Wanner-Pfister-Neukom-Little-ice-Age-22_komp_ger.pdf" TargetMode="External"/><Relationship Id="rId10" Type="http://schemas.openxmlformats.org/officeDocument/2006/relationships/hyperlink" Target="https://www.academia.edu/download/82715069/978_1_4780_1775_2_601.pdf" TargetMode="External"/><Relationship Id="rId32" Type="http://schemas.openxmlformats.org/officeDocument/2006/relationships/hyperlink" Target="https://www.hist.unibe.ch/unibe/portal/fak_historisch/dga/hist/content/e11168/e52524/e69145/e186327/e1458009/L-Wanner-Pfister-Neukom-Little-ice-Age-22_komp_ger.pdf" TargetMode="External"/><Relationship Id="rId13" Type="http://schemas.openxmlformats.org/officeDocument/2006/relationships/hyperlink" Target="https://www.ncbi.nlm.nih.gov/pmc/articles/PMC8694302/" TargetMode="External"/><Relationship Id="rId35" Type="http://schemas.openxmlformats.org/officeDocument/2006/relationships/hyperlink" Target="https://www.sciencedirect.com" TargetMode="External"/><Relationship Id="rId12" Type="http://schemas.openxmlformats.org/officeDocument/2006/relationships/hyperlink" Target="https://www.ncbi.nlm.nih.gov/pmc/articles/PMC8694302/" TargetMode="External"/><Relationship Id="rId34" Type="http://schemas.openxmlformats.org/officeDocument/2006/relationships/hyperlink" Target="https://www.sciencedirect.com/science/article/pii/S0959378020307159" TargetMode="External"/><Relationship Id="rId15" Type="http://schemas.openxmlformats.org/officeDocument/2006/relationships/hyperlink" Target="https://www.sciencedirect.com/science/article/pii/S1871187123000615" TargetMode="External"/><Relationship Id="rId14" Type="http://schemas.openxmlformats.org/officeDocument/2006/relationships/hyperlink" Target="https://www.sciencedirect.com/science/article/pii/S1871187123000615" TargetMode="External"/><Relationship Id="rId36" Type="http://schemas.openxmlformats.org/officeDocument/2006/relationships/hyperlink" Target="https://www.sciencedirect.com" TargetMode="External"/><Relationship Id="rId17" Type="http://schemas.openxmlformats.org/officeDocument/2006/relationships/hyperlink" Target="https://www.researchgate.net/profile/Pratichi-Singh/publication/350217935_Link_between_air_pollution_and_global_climate_change/links/60a4a1cfa6fdccb2cc2151f9/Link-between-air-pollution-and-global-climate-change.pdf#page=18" TargetMode="External"/><Relationship Id="rId16" Type="http://schemas.openxmlformats.org/officeDocument/2006/relationships/hyperlink" Target="https://www.researchgate.net/profile/Pratichi-Singh/publication/350217935_Link_between_air_pollution_and_global_climate_change/links/60a4a1cfa6fdccb2cc2151f9/Link-between-air-pollution-and-global-climate-change.pdf#page=18" TargetMode="External"/><Relationship Id="rId19" Type="http://schemas.openxmlformats.org/officeDocument/2006/relationships/hyperlink" Target="https://www.ipcc.ch/report/ar6/wg1/downloads/report/IPCC_AR6_WGI_FrontMatter.pdf" TargetMode="External"/><Relationship Id="rId18" Type="http://schemas.openxmlformats.org/officeDocument/2006/relationships/hyperlink" Target="https://www.ipcc.ch/report/ar6/wg1/downloads/report/IPCC_AR6_WGI_FrontMatter.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