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C7787" w14:textId="53A82932" w:rsidR="008158D3" w:rsidRPr="00CA23F0" w:rsidRDefault="008158D3" w:rsidP="00CA23F0">
      <w:pPr>
        <w:spacing w:line="480" w:lineRule="auto"/>
        <w:jc w:val="both"/>
        <w:rPr>
          <w:rFonts w:ascii="Arial" w:hAnsi="Arial" w:cs="Arial"/>
          <w:b/>
          <w:bCs/>
          <w:sz w:val="22"/>
          <w:szCs w:val="22"/>
          <w:u w:val="single"/>
        </w:rPr>
      </w:pPr>
      <w:r w:rsidRPr="00CA23F0">
        <w:rPr>
          <w:rFonts w:ascii="Arial" w:hAnsi="Arial" w:cs="Arial"/>
          <w:b/>
          <w:bCs/>
          <w:sz w:val="22"/>
          <w:szCs w:val="22"/>
          <w:u w:val="single"/>
        </w:rPr>
        <w:t>To What Extent do Attitudes Predict Behaviour? A Critical Discussion of Social Learning Theory and Cognitive Dissonance Theory.</w:t>
      </w:r>
    </w:p>
    <w:p w14:paraId="21C77C3D" w14:textId="77777777" w:rsidR="00CA23F0" w:rsidRPr="00CA23F0" w:rsidRDefault="00CA23F0" w:rsidP="00CA23F0">
      <w:pPr>
        <w:spacing w:line="480" w:lineRule="auto"/>
        <w:jc w:val="both"/>
        <w:rPr>
          <w:rFonts w:ascii="Arial" w:hAnsi="Arial" w:cs="Arial"/>
          <w:sz w:val="22"/>
          <w:szCs w:val="22"/>
        </w:rPr>
      </w:pPr>
    </w:p>
    <w:p w14:paraId="148606DA" w14:textId="6354E8FC" w:rsidR="008D2A2F" w:rsidRPr="00CA23F0" w:rsidRDefault="008158D3" w:rsidP="00CA23F0">
      <w:pPr>
        <w:spacing w:line="480" w:lineRule="auto"/>
        <w:jc w:val="both"/>
        <w:rPr>
          <w:rFonts w:ascii="Arial" w:hAnsi="Arial" w:cs="Arial"/>
          <w:sz w:val="22"/>
          <w:szCs w:val="22"/>
        </w:rPr>
      </w:pPr>
      <w:r w:rsidRPr="00CA23F0">
        <w:rPr>
          <w:rFonts w:ascii="Arial" w:hAnsi="Arial" w:cs="Arial"/>
          <w:sz w:val="22"/>
          <w:szCs w:val="22"/>
        </w:rPr>
        <w:t>The extent to which attitudes predict behaviour has long been a central question in social psychology. Attitudes</w:t>
      </w:r>
      <w:r w:rsidR="00545634" w:rsidRPr="00CA23F0">
        <w:rPr>
          <w:rFonts w:ascii="Arial" w:hAnsi="Arial" w:cs="Arial"/>
          <w:sz w:val="22"/>
          <w:szCs w:val="22"/>
        </w:rPr>
        <w:t>,</w:t>
      </w:r>
      <w:r w:rsidRPr="00CA23F0">
        <w:rPr>
          <w:rFonts w:ascii="Arial" w:hAnsi="Arial" w:cs="Arial"/>
          <w:sz w:val="22"/>
          <w:szCs w:val="22"/>
        </w:rPr>
        <w:t xml:space="preserve"> defined as evaluative judgements about people, objects</w:t>
      </w:r>
      <w:r w:rsidR="00BE1AD4" w:rsidRPr="00CA23F0">
        <w:rPr>
          <w:rFonts w:ascii="Arial" w:hAnsi="Arial" w:cs="Arial"/>
          <w:sz w:val="22"/>
          <w:szCs w:val="22"/>
        </w:rPr>
        <w:t>, and ideas</w:t>
      </w:r>
      <w:r w:rsidR="00545634" w:rsidRPr="00CA23F0">
        <w:rPr>
          <w:rFonts w:ascii="Arial" w:hAnsi="Arial" w:cs="Arial"/>
          <w:sz w:val="22"/>
          <w:szCs w:val="22"/>
        </w:rPr>
        <w:t xml:space="preserve">, </w:t>
      </w:r>
      <w:r w:rsidR="00BE1AD4" w:rsidRPr="00CA23F0">
        <w:rPr>
          <w:rFonts w:ascii="Arial" w:hAnsi="Arial" w:cs="Arial"/>
          <w:sz w:val="22"/>
          <w:szCs w:val="22"/>
        </w:rPr>
        <w:t>have traditionally been considered reliable predictors of behaviour (</w:t>
      </w:r>
      <w:proofErr w:type="spellStart"/>
      <w:r w:rsidR="00BE1AD4" w:rsidRPr="00CA23F0">
        <w:rPr>
          <w:rFonts w:ascii="Arial" w:hAnsi="Arial" w:cs="Arial"/>
          <w:sz w:val="22"/>
          <w:szCs w:val="22"/>
        </w:rPr>
        <w:t>Eagly</w:t>
      </w:r>
      <w:proofErr w:type="spellEnd"/>
      <w:r w:rsidR="00BE1AD4" w:rsidRPr="00CA23F0">
        <w:rPr>
          <w:rFonts w:ascii="Arial" w:hAnsi="Arial" w:cs="Arial"/>
          <w:sz w:val="22"/>
          <w:szCs w:val="22"/>
        </w:rPr>
        <w:t xml:space="preserve"> &amp; Chaiken, 1933). The assumption is that if we know someone’s attitude </w:t>
      </w:r>
      <w:r w:rsidR="001B1D4F" w:rsidRPr="00CA23F0">
        <w:rPr>
          <w:rFonts w:ascii="Arial" w:hAnsi="Arial" w:cs="Arial"/>
          <w:sz w:val="22"/>
          <w:szCs w:val="22"/>
        </w:rPr>
        <w:t xml:space="preserve">toward a topic, we can infer how they will behave in related situations. However, research has repeatedly demonstrated that the link between attitudes </w:t>
      </w:r>
      <w:r w:rsidR="008D2A2F" w:rsidRPr="00CA23F0">
        <w:rPr>
          <w:rFonts w:ascii="Arial" w:hAnsi="Arial" w:cs="Arial"/>
          <w:sz w:val="22"/>
          <w:szCs w:val="22"/>
        </w:rPr>
        <w:t>a</w:t>
      </w:r>
      <w:r w:rsidR="001B1D4F" w:rsidRPr="00CA23F0">
        <w:rPr>
          <w:rFonts w:ascii="Arial" w:hAnsi="Arial" w:cs="Arial"/>
          <w:sz w:val="22"/>
          <w:szCs w:val="22"/>
        </w:rPr>
        <w:t>nd behaviours</w:t>
      </w:r>
      <w:r w:rsidR="008D2A2F" w:rsidRPr="00CA23F0">
        <w:rPr>
          <w:rFonts w:ascii="Arial" w:hAnsi="Arial" w:cs="Arial"/>
          <w:sz w:val="22"/>
          <w:szCs w:val="22"/>
        </w:rPr>
        <w:t xml:space="preserve"> is not always straightforward or strong (Wicker, 1969; Krosnick &amp; </w:t>
      </w:r>
      <w:proofErr w:type="spellStart"/>
      <w:r w:rsidR="008D2A2F" w:rsidRPr="00CA23F0">
        <w:rPr>
          <w:rFonts w:ascii="Arial" w:hAnsi="Arial" w:cs="Arial"/>
          <w:sz w:val="22"/>
          <w:szCs w:val="22"/>
        </w:rPr>
        <w:t>Fabrigar</w:t>
      </w:r>
      <w:proofErr w:type="spellEnd"/>
      <w:r w:rsidR="008D2A2F" w:rsidRPr="00CA23F0">
        <w:rPr>
          <w:rFonts w:ascii="Arial" w:hAnsi="Arial" w:cs="Arial"/>
          <w:sz w:val="22"/>
          <w:szCs w:val="22"/>
        </w:rPr>
        <w:t>, 2021). Recent meta-analytic and empirical studies confirm that while attitudes are often necessary for behavioural prediction, they are rarely sufficient on their own due to moderating variables such as context, identity, and social influence (Cohen et al., 2022).</w:t>
      </w:r>
    </w:p>
    <w:p w14:paraId="65FB9C6F" w14:textId="525669A7" w:rsidR="008158D3" w:rsidRPr="00CA23F0" w:rsidRDefault="008D2A2F" w:rsidP="00CA23F0">
      <w:pPr>
        <w:spacing w:line="480" w:lineRule="auto"/>
        <w:ind w:firstLine="720"/>
        <w:jc w:val="both"/>
        <w:rPr>
          <w:rFonts w:ascii="Arial" w:hAnsi="Arial" w:cs="Arial"/>
          <w:sz w:val="22"/>
          <w:szCs w:val="22"/>
        </w:rPr>
      </w:pPr>
      <w:r w:rsidRPr="00CA23F0">
        <w:rPr>
          <w:rFonts w:ascii="Arial" w:hAnsi="Arial" w:cs="Arial"/>
          <w:sz w:val="22"/>
          <w:szCs w:val="22"/>
        </w:rPr>
        <w:t xml:space="preserve">This essay critically </w:t>
      </w:r>
      <w:r w:rsidR="002B74BF" w:rsidRPr="00CA23F0">
        <w:rPr>
          <w:rFonts w:ascii="Arial" w:hAnsi="Arial" w:cs="Arial"/>
          <w:sz w:val="22"/>
          <w:szCs w:val="22"/>
        </w:rPr>
        <w:t>explores</w:t>
      </w:r>
      <w:r w:rsidRPr="00CA23F0">
        <w:rPr>
          <w:rFonts w:ascii="Arial" w:hAnsi="Arial" w:cs="Arial"/>
          <w:sz w:val="22"/>
          <w:szCs w:val="22"/>
        </w:rPr>
        <w:t xml:space="preserve"> this complex relationship through the lenses of two foundational psychological theories: Social Learning Theory (SLT) and Cognitive Dissonance Theory (CDT). These theories offer contrasting mechanisms for understanding how attitudes relate to </w:t>
      </w:r>
      <w:r w:rsidR="002B74BF" w:rsidRPr="00CA23F0">
        <w:rPr>
          <w:rFonts w:ascii="Arial" w:hAnsi="Arial" w:cs="Arial"/>
          <w:sz w:val="22"/>
          <w:szCs w:val="22"/>
        </w:rPr>
        <w:t>behaviour</w:t>
      </w:r>
      <w:r w:rsidR="00545634" w:rsidRPr="00CA23F0">
        <w:rPr>
          <w:rFonts w:ascii="Arial" w:hAnsi="Arial" w:cs="Arial"/>
          <w:sz w:val="22"/>
          <w:szCs w:val="22"/>
        </w:rPr>
        <w:t xml:space="preserve">, </w:t>
      </w:r>
      <w:r w:rsidRPr="00CA23F0">
        <w:rPr>
          <w:rFonts w:ascii="Arial" w:hAnsi="Arial" w:cs="Arial"/>
          <w:sz w:val="22"/>
          <w:szCs w:val="22"/>
        </w:rPr>
        <w:t xml:space="preserve">SLT focusing on environmental modelling and </w:t>
      </w:r>
      <w:r w:rsidR="002B74BF" w:rsidRPr="00CA23F0">
        <w:rPr>
          <w:rFonts w:ascii="Arial" w:hAnsi="Arial" w:cs="Arial"/>
          <w:sz w:val="22"/>
          <w:szCs w:val="22"/>
        </w:rPr>
        <w:t>reinforcement</w:t>
      </w:r>
      <w:r w:rsidRPr="00CA23F0">
        <w:rPr>
          <w:rFonts w:ascii="Arial" w:hAnsi="Arial" w:cs="Arial"/>
          <w:sz w:val="22"/>
          <w:szCs w:val="22"/>
        </w:rPr>
        <w:t xml:space="preserve"> and CDT emphasising internal psychological consistency. By evaluating theoretical concepts, empirical </w:t>
      </w:r>
      <w:r w:rsidR="00BF58E6" w:rsidRPr="00CA23F0">
        <w:rPr>
          <w:rFonts w:ascii="Arial" w:hAnsi="Arial" w:cs="Arial"/>
          <w:sz w:val="22"/>
          <w:szCs w:val="22"/>
        </w:rPr>
        <w:t>research, and</w:t>
      </w:r>
      <w:r w:rsidR="002B74BF" w:rsidRPr="00CA23F0">
        <w:rPr>
          <w:rFonts w:ascii="Arial" w:hAnsi="Arial" w:cs="Arial"/>
          <w:sz w:val="22"/>
          <w:szCs w:val="22"/>
        </w:rPr>
        <w:t xml:space="preserve"> contextual moderators such as culture, social norms, and methodological considerations, this essay aims to assess the extent to which attitudes can reliably predict behaviour.</w:t>
      </w:r>
    </w:p>
    <w:p w14:paraId="632373FF" w14:textId="4DD50191" w:rsidR="00BF58E6" w:rsidRPr="00CA23F0" w:rsidRDefault="00BF58E6" w:rsidP="00CA23F0">
      <w:pPr>
        <w:spacing w:line="480" w:lineRule="auto"/>
        <w:ind w:firstLine="720"/>
        <w:jc w:val="both"/>
        <w:rPr>
          <w:rFonts w:ascii="Arial" w:hAnsi="Arial" w:cs="Arial"/>
          <w:sz w:val="22"/>
          <w:szCs w:val="22"/>
        </w:rPr>
      </w:pPr>
      <w:r w:rsidRPr="00CA23F0">
        <w:rPr>
          <w:rFonts w:ascii="Arial" w:hAnsi="Arial" w:cs="Arial"/>
          <w:sz w:val="22"/>
          <w:szCs w:val="22"/>
        </w:rPr>
        <w:t>Social Learning Theory (Bandura, 1977) posits that attitudes and behaviours are learned through observation and imitation within a social context. Behavioural modelling, reinforcement, and the credibility of observed models are critical components of the learning process. SLT marks a departure from purely behaviourist theories by incorporating cognitive processes such as attention, retention, reproduction, and motivation.</w:t>
      </w:r>
    </w:p>
    <w:p w14:paraId="389444BE" w14:textId="790306F1" w:rsidR="00BF58E6" w:rsidRPr="00CA23F0" w:rsidRDefault="00BF58E6" w:rsidP="00CA23F0">
      <w:pPr>
        <w:spacing w:line="480" w:lineRule="auto"/>
        <w:ind w:firstLine="720"/>
        <w:jc w:val="both"/>
        <w:rPr>
          <w:rFonts w:ascii="Arial" w:hAnsi="Arial" w:cs="Arial"/>
          <w:sz w:val="22"/>
          <w:szCs w:val="22"/>
        </w:rPr>
      </w:pPr>
      <w:r w:rsidRPr="00CA23F0">
        <w:rPr>
          <w:rFonts w:ascii="Arial" w:hAnsi="Arial" w:cs="Arial"/>
          <w:sz w:val="22"/>
          <w:szCs w:val="22"/>
        </w:rPr>
        <w:lastRenderedPageBreak/>
        <w:t xml:space="preserve">One practical demonstration of SLT’s relevance is in adolescent health behaviour. </w:t>
      </w:r>
      <w:proofErr w:type="spellStart"/>
      <w:r w:rsidRPr="00CA23F0">
        <w:rPr>
          <w:rFonts w:ascii="Arial" w:hAnsi="Arial" w:cs="Arial"/>
          <w:sz w:val="22"/>
          <w:szCs w:val="22"/>
        </w:rPr>
        <w:t>B</w:t>
      </w:r>
      <w:r w:rsidR="00164E6E">
        <w:rPr>
          <w:rFonts w:ascii="Arial" w:hAnsi="Arial" w:cs="Arial"/>
          <w:sz w:val="22"/>
          <w:szCs w:val="22"/>
        </w:rPr>
        <w:t>rabandere</w:t>
      </w:r>
      <w:proofErr w:type="spellEnd"/>
      <w:r w:rsidRPr="00CA23F0">
        <w:rPr>
          <w:rFonts w:ascii="Arial" w:hAnsi="Arial" w:cs="Arial"/>
          <w:sz w:val="22"/>
          <w:szCs w:val="22"/>
        </w:rPr>
        <w:t xml:space="preserve"> et al. (202</w:t>
      </w:r>
      <w:r w:rsidR="00164E6E">
        <w:rPr>
          <w:rFonts w:ascii="Arial" w:hAnsi="Arial" w:cs="Arial"/>
          <w:sz w:val="22"/>
          <w:szCs w:val="22"/>
        </w:rPr>
        <w:t>5</w:t>
      </w:r>
      <w:r w:rsidRPr="00CA23F0">
        <w:rPr>
          <w:rFonts w:ascii="Arial" w:hAnsi="Arial" w:cs="Arial"/>
          <w:sz w:val="22"/>
          <w:szCs w:val="22"/>
        </w:rPr>
        <w:t>) investigated how adolescents’ exposure to fitness influencers on Instagram affected their health-related attitudes. The study found that those who frequently viewed fitness-related content developed more favourable attitudes toward physical activity and were more likely to engage in such behaviour themselves. This indicates that attitudes formed through social observation can indeed predict behaviour when reinforcement and identification with the model are present.</w:t>
      </w:r>
    </w:p>
    <w:p w14:paraId="6640CDF9" w14:textId="25603F2D" w:rsidR="008323C4" w:rsidRPr="00CA23F0" w:rsidRDefault="008323C4" w:rsidP="00CA23F0">
      <w:pPr>
        <w:spacing w:line="480" w:lineRule="auto"/>
        <w:ind w:firstLine="720"/>
        <w:jc w:val="both"/>
        <w:rPr>
          <w:rFonts w:ascii="Arial" w:hAnsi="Arial" w:cs="Arial"/>
          <w:sz w:val="22"/>
          <w:szCs w:val="22"/>
        </w:rPr>
      </w:pPr>
      <w:r w:rsidRPr="00CA23F0">
        <w:rPr>
          <w:rFonts w:ascii="Arial" w:hAnsi="Arial" w:cs="Arial"/>
          <w:sz w:val="22"/>
          <w:szCs w:val="22"/>
        </w:rPr>
        <w:t xml:space="preserve">Similarly, </w:t>
      </w:r>
      <w:r w:rsidR="0053165D">
        <w:rPr>
          <w:rFonts w:ascii="Arial" w:hAnsi="Arial" w:cs="Arial"/>
          <w:sz w:val="22"/>
          <w:szCs w:val="22"/>
        </w:rPr>
        <w:t>Martens</w:t>
      </w:r>
      <w:r w:rsidRPr="00CA23F0">
        <w:rPr>
          <w:rFonts w:ascii="Arial" w:hAnsi="Arial" w:cs="Arial"/>
          <w:sz w:val="22"/>
          <w:szCs w:val="22"/>
        </w:rPr>
        <w:t xml:space="preserve"> et al. (2021) evaluated anti-bullying campaigns that used peer role models to promote </w:t>
      </w:r>
      <w:r w:rsidRPr="00CA23F0">
        <w:rPr>
          <w:rFonts w:ascii="Arial" w:hAnsi="Arial" w:cs="Arial"/>
          <w:sz w:val="22"/>
          <w:szCs w:val="22"/>
        </w:rPr>
        <w:t>prosocial</w:t>
      </w:r>
      <w:r w:rsidRPr="00CA23F0">
        <w:rPr>
          <w:rFonts w:ascii="Arial" w:hAnsi="Arial" w:cs="Arial"/>
          <w:sz w:val="22"/>
          <w:szCs w:val="22"/>
        </w:rPr>
        <w:t xml:space="preserve"> </w:t>
      </w:r>
      <w:r w:rsidRPr="00CA23F0">
        <w:rPr>
          <w:rFonts w:ascii="Arial" w:hAnsi="Arial" w:cs="Arial"/>
          <w:sz w:val="22"/>
          <w:szCs w:val="22"/>
        </w:rPr>
        <w:t>attitudes. Students exposed to peers who demonstrated</w:t>
      </w:r>
      <w:r w:rsidRPr="00CA23F0">
        <w:rPr>
          <w:rFonts w:ascii="Arial" w:hAnsi="Arial" w:cs="Arial"/>
          <w:sz w:val="22"/>
          <w:szCs w:val="22"/>
        </w:rPr>
        <w:t xml:space="preserve"> empathetic and supportive behaviour not only reported improved attitudes toward helping but also exhibited higher rates of intervention in bullying scenarios. The power of peer modelling and reinforcement underscores SLT’s assertion that observed behaviour can shape internal attitudes that guide future actions. </w:t>
      </w:r>
    </w:p>
    <w:p w14:paraId="7CAF00DC" w14:textId="5CA928A0" w:rsidR="008323C4" w:rsidRPr="00CA23F0" w:rsidRDefault="008323C4" w:rsidP="00CA23F0">
      <w:pPr>
        <w:spacing w:line="480" w:lineRule="auto"/>
        <w:ind w:firstLine="720"/>
        <w:jc w:val="both"/>
        <w:rPr>
          <w:rFonts w:ascii="Arial" w:hAnsi="Arial" w:cs="Arial"/>
          <w:sz w:val="22"/>
          <w:szCs w:val="22"/>
        </w:rPr>
      </w:pPr>
      <w:r w:rsidRPr="00CA23F0">
        <w:rPr>
          <w:rFonts w:ascii="Arial" w:hAnsi="Arial" w:cs="Arial"/>
          <w:sz w:val="22"/>
          <w:szCs w:val="22"/>
        </w:rPr>
        <w:t xml:space="preserve">Negative behavioural modelling is also well explained by SLT. Kelly et al. (2023) demonstrated that exposure to pro-vaping content on TikTok was associated with more permissive attitudes toward vaping and increased likelihood of vaping initiation among adolescents. These </w:t>
      </w:r>
      <w:r w:rsidR="00A87478" w:rsidRPr="00CA23F0">
        <w:rPr>
          <w:rFonts w:ascii="Arial" w:hAnsi="Arial" w:cs="Arial"/>
          <w:sz w:val="22"/>
          <w:szCs w:val="22"/>
        </w:rPr>
        <w:t>findings highlight how social media can serve as a conduit for both positive and negative behavioural influences through social modelling.</w:t>
      </w:r>
    </w:p>
    <w:p w14:paraId="6E9DF1F6" w14:textId="36859610" w:rsidR="00A87478" w:rsidRPr="00CA23F0" w:rsidRDefault="00A87478" w:rsidP="00CA23F0">
      <w:pPr>
        <w:spacing w:line="480" w:lineRule="auto"/>
        <w:ind w:firstLine="720"/>
        <w:jc w:val="both"/>
        <w:rPr>
          <w:rFonts w:ascii="Arial" w:hAnsi="Arial" w:cs="Arial"/>
          <w:sz w:val="22"/>
          <w:szCs w:val="22"/>
        </w:rPr>
      </w:pPr>
      <w:r w:rsidRPr="00CA23F0">
        <w:rPr>
          <w:rFonts w:ascii="Arial" w:hAnsi="Arial" w:cs="Arial"/>
          <w:sz w:val="22"/>
          <w:szCs w:val="22"/>
        </w:rPr>
        <w:t xml:space="preserve">Recent longitudinal work has further validated SLT mechanisms in online environments. For example, </w:t>
      </w:r>
      <w:r w:rsidR="00FC175E">
        <w:rPr>
          <w:rFonts w:ascii="Arial" w:hAnsi="Arial" w:cs="Arial"/>
          <w:sz w:val="22"/>
          <w:szCs w:val="22"/>
        </w:rPr>
        <w:t>Bail, et al</w:t>
      </w:r>
      <w:r w:rsidRPr="00CA23F0">
        <w:rPr>
          <w:rFonts w:ascii="Arial" w:hAnsi="Arial" w:cs="Arial"/>
          <w:sz w:val="22"/>
          <w:szCs w:val="22"/>
        </w:rPr>
        <w:t xml:space="preserve"> (20</w:t>
      </w:r>
      <w:r w:rsidR="00FC175E">
        <w:rPr>
          <w:rFonts w:ascii="Arial" w:hAnsi="Arial" w:cs="Arial"/>
          <w:sz w:val="22"/>
          <w:szCs w:val="22"/>
        </w:rPr>
        <w:t>18</w:t>
      </w:r>
      <w:r w:rsidRPr="00CA23F0">
        <w:rPr>
          <w:rFonts w:ascii="Arial" w:hAnsi="Arial" w:cs="Arial"/>
          <w:sz w:val="22"/>
          <w:szCs w:val="22"/>
        </w:rPr>
        <w:t xml:space="preserve">) found that repeated exposure to politically biased content on TikTok and YouTube shaped not only attitudes but voting intentions, especially among first-time voters. This supports SLT’s contention that identification with perceived credible models, especially influencers, can have long-term attitudinal and behavioural consequences. </w:t>
      </w:r>
    </w:p>
    <w:p w14:paraId="3545C334" w14:textId="2B9D355B" w:rsidR="00A87478" w:rsidRPr="00CA23F0" w:rsidRDefault="00A87478" w:rsidP="00CA23F0">
      <w:pPr>
        <w:spacing w:line="480" w:lineRule="auto"/>
        <w:ind w:firstLine="720"/>
        <w:jc w:val="both"/>
        <w:rPr>
          <w:rFonts w:ascii="Arial" w:hAnsi="Arial" w:cs="Arial"/>
          <w:sz w:val="22"/>
          <w:szCs w:val="22"/>
        </w:rPr>
      </w:pPr>
      <w:r w:rsidRPr="00CA23F0">
        <w:rPr>
          <w:rFonts w:ascii="Arial" w:hAnsi="Arial" w:cs="Arial"/>
          <w:sz w:val="22"/>
          <w:szCs w:val="22"/>
        </w:rPr>
        <w:t xml:space="preserve">Despite its contributions, SLT has limitations. It tends to assume a passive observer and underestimates the role of individual agency and internal reflection. SLT also does not </w:t>
      </w:r>
      <w:r w:rsidRPr="00CA23F0">
        <w:rPr>
          <w:rFonts w:ascii="Arial" w:hAnsi="Arial" w:cs="Arial"/>
          <w:sz w:val="22"/>
          <w:szCs w:val="22"/>
        </w:rPr>
        <w:lastRenderedPageBreak/>
        <w:t xml:space="preserve">fully explain why individuals may act against observed norms or fail to model behaviours they have positively evaluated. Moreover, the theory presumes that learned attitudes automatically </w:t>
      </w:r>
      <w:r w:rsidR="00415803" w:rsidRPr="00CA23F0">
        <w:rPr>
          <w:rFonts w:ascii="Arial" w:hAnsi="Arial" w:cs="Arial"/>
          <w:sz w:val="22"/>
          <w:szCs w:val="22"/>
        </w:rPr>
        <w:t xml:space="preserve">translate into behaviour, which may not hold true in </w:t>
      </w:r>
      <w:proofErr w:type="spellStart"/>
      <w:r w:rsidR="00415803" w:rsidRPr="00CA23F0">
        <w:rPr>
          <w:rFonts w:ascii="Arial" w:hAnsi="Arial" w:cs="Arial"/>
          <w:sz w:val="22"/>
          <w:szCs w:val="22"/>
        </w:rPr>
        <w:t>istuations</w:t>
      </w:r>
      <w:proofErr w:type="spellEnd"/>
      <w:r w:rsidR="00415803" w:rsidRPr="00CA23F0">
        <w:rPr>
          <w:rFonts w:ascii="Arial" w:hAnsi="Arial" w:cs="Arial"/>
          <w:sz w:val="22"/>
          <w:szCs w:val="22"/>
        </w:rPr>
        <w:t xml:space="preserve"> where other factors, such as environmental constraints or conflicting values, come into play (Mesch &amp; Talmud, 2020).</w:t>
      </w:r>
    </w:p>
    <w:p w14:paraId="38A11670" w14:textId="4463FDB0" w:rsidR="00415803" w:rsidRPr="00CA23F0" w:rsidRDefault="00415803" w:rsidP="00CA23F0">
      <w:pPr>
        <w:spacing w:line="480" w:lineRule="auto"/>
        <w:ind w:firstLine="720"/>
        <w:jc w:val="both"/>
        <w:rPr>
          <w:rFonts w:ascii="Arial" w:hAnsi="Arial" w:cs="Arial"/>
          <w:sz w:val="22"/>
          <w:szCs w:val="22"/>
        </w:rPr>
      </w:pPr>
      <w:r w:rsidRPr="00CA23F0">
        <w:rPr>
          <w:rFonts w:ascii="Arial" w:hAnsi="Arial" w:cs="Arial"/>
          <w:sz w:val="22"/>
          <w:szCs w:val="22"/>
        </w:rPr>
        <w:t xml:space="preserve">Cognitive Dissonance Theory (Festinger, 1957) approaches the attitude-behaviour relationship from a different angle. Rather than assuming that attitudes precede behaviour, CDT posits that individuals experience discomfort when their behaviour conflicts with their attitudes. This discomfort, cognitive dissonance, motivates them to restore consistency, often by altering their attitudes. </w:t>
      </w:r>
    </w:p>
    <w:p w14:paraId="0F64FDE9" w14:textId="7DCA5CB3" w:rsidR="00415803" w:rsidRPr="00CA23F0" w:rsidRDefault="00415803" w:rsidP="00CA23F0">
      <w:pPr>
        <w:spacing w:line="480" w:lineRule="auto"/>
        <w:ind w:firstLine="720"/>
        <w:jc w:val="both"/>
        <w:rPr>
          <w:rFonts w:ascii="Arial" w:hAnsi="Arial" w:cs="Arial"/>
          <w:sz w:val="22"/>
          <w:szCs w:val="22"/>
        </w:rPr>
      </w:pPr>
      <w:r w:rsidRPr="00CA23F0">
        <w:rPr>
          <w:rFonts w:ascii="Arial" w:hAnsi="Arial" w:cs="Arial"/>
          <w:sz w:val="22"/>
          <w:szCs w:val="22"/>
        </w:rPr>
        <w:t xml:space="preserve">The foundational study by Festinger and Carlsmith (1959) showed that participants paid only </w:t>
      </w:r>
      <w:r w:rsidR="008B1B75" w:rsidRPr="00CA23F0">
        <w:rPr>
          <w:rFonts w:ascii="Arial" w:hAnsi="Arial" w:cs="Arial"/>
          <w:sz w:val="22"/>
          <w:szCs w:val="22"/>
        </w:rPr>
        <w:t xml:space="preserve">$1 to lie about a dull task later reported more positive attitudes toward the task than those paid $20. This suggests that insufficient external justification for a behaviour leads to internal attitude change to resolve the dissonance. This finding has been replicated in various contexts and remains one of the most cited pieces of evidence in support of CDT. </w:t>
      </w:r>
    </w:p>
    <w:p w14:paraId="2F3A915B" w14:textId="7426B6D7" w:rsidR="008B1B75" w:rsidRPr="00CA23F0" w:rsidRDefault="008B1B75" w:rsidP="00CA23F0">
      <w:pPr>
        <w:spacing w:line="480" w:lineRule="auto"/>
        <w:ind w:firstLine="720"/>
        <w:jc w:val="both"/>
        <w:rPr>
          <w:rFonts w:ascii="Arial" w:hAnsi="Arial" w:cs="Arial"/>
          <w:sz w:val="22"/>
          <w:szCs w:val="22"/>
        </w:rPr>
      </w:pPr>
      <w:r w:rsidRPr="00CA23F0">
        <w:rPr>
          <w:rFonts w:ascii="Arial" w:hAnsi="Arial" w:cs="Arial"/>
          <w:sz w:val="22"/>
          <w:szCs w:val="22"/>
        </w:rPr>
        <w:t xml:space="preserve">Tannenbaum et al. (2015) provided contemporary support for CDT in the context of public health. Their meta-analysis demonstrated that health messages framed to induce dissonance, for example, asking smokers to publicly advocate against smoking, were more effective in promoting cessation than fear-based appeals. This suggests that behaviour change, when self-initiated, can trigger internal realignment of attitudes for consistency. </w:t>
      </w:r>
    </w:p>
    <w:p w14:paraId="7E3C10A7" w14:textId="6AD46FDF" w:rsidR="008158D3" w:rsidRPr="00CA23F0" w:rsidRDefault="008B1B75" w:rsidP="00CA23F0">
      <w:pPr>
        <w:spacing w:line="480" w:lineRule="auto"/>
        <w:ind w:firstLine="720"/>
        <w:jc w:val="both"/>
        <w:rPr>
          <w:rFonts w:ascii="Arial" w:hAnsi="Arial" w:cs="Arial"/>
          <w:sz w:val="22"/>
          <w:szCs w:val="22"/>
        </w:rPr>
      </w:pPr>
      <w:r w:rsidRPr="00CA23F0">
        <w:rPr>
          <w:rFonts w:ascii="Arial" w:hAnsi="Arial" w:cs="Arial"/>
          <w:sz w:val="22"/>
          <w:szCs w:val="22"/>
        </w:rPr>
        <w:t xml:space="preserve">Van der Linden et al. (2021) applied CDT to environmental psychology, finding that individuals who adopted minor environmentally friendly behaviours, such as using reusable bags, gradually developed more pro-environmental attitudes. This “foot-in-the-door” effect supports the notion that behaviours </w:t>
      </w:r>
      <w:r w:rsidR="008A2E1C" w:rsidRPr="00CA23F0">
        <w:rPr>
          <w:rFonts w:ascii="Arial" w:hAnsi="Arial" w:cs="Arial"/>
          <w:sz w:val="22"/>
          <w:szCs w:val="22"/>
        </w:rPr>
        <w:t xml:space="preserve">can serve as catalysts for subsequent attitude change, especially when individuals seek align their self-concept with their actions. </w:t>
      </w:r>
    </w:p>
    <w:p w14:paraId="00F5051C" w14:textId="489B7F3F" w:rsidR="008158D3" w:rsidRPr="00CA23F0" w:rsidRDefault="008A2E1C" w:rsidP="00CA23F0">
      <w:pPr>
        <w:spacing w:line="480" w:lineRule="auto"/>
        <w:ind w:firstLine="720"/>
        <w:jc w:val="both"/>
        <w:rPr>
          <w:rFonts w:ascii="Arial" w:hAnsi="Arial" w:cs="Arial"/>
          <w:sz w:val="22"/>
          <w:szCs w:val="22"/>
        </w:rPr>
      </w:pPr>
      <w:r w:rsidRPr="00CA23F0">
        <w:rPr>
          <w:rFonts w:ascii="Arial" w:hAnsi="Arial" w:cs="Arial"/>
          <w:sz w:val="22"/>
          <w:szCs w:val="22"/>
        </w:rPr>
        <w:t xml:space="preserve">The COVID-19 pandemic offered additional real-world illustrations. Betsch et al, (2021) observed that initial mask-wearing behaviours, even when externally mandated, led to more </w:t>
      </w:r>
      <w:r w:rsidRPr="00CA23F0">
        <w:rPr>
          <w:rFonts w:ascii="Arial" w:hAnsi="Arial" w:cs="Arial"/>
          <w:sz w:val="22"/>
          <w:szCs w:val="22"/>
        </w:rPr>
        <w:lastRenderedPageBreak/>
        <w:t>favourable attitudes toward mask use over time. As individuals repeatedly engaged in the behaviour, many came to endorse it more strongly, aligning their attitudes with their actions to reduce dissonance.</w:t>
      </w:r>
    </w:p>
    <w:p w14:paraId="4FAD2600" w14:textId="3137FE93" w:rsidR="008A2E1C" w:rsidRPr="00CA23F0" w:rsidRDefault="008A2E1C" w:rsidP="00CA23F0">
      <w:pPr>
        <w:spacing w:line="480" w:lineRule="auto"/>
        <w:ind w:firstLine="720"/>
        <w:jc w:val="both"/>
        <w:rPr>
          <w:rFonts w:ascii="Arial" w:hAnsi="Arial" w:cs="Arial"/>
          <w:sz w:val="22"/>
          <w:szCs w:val="22"/>
        </w:rPr>
      </w:pPr>
      <w:r w:rsidRPr="00CA23F0">
        <w:rPr>
          <w:rFonts w:ascii="Arial" w:hAnsi="Arial" w:cs="Arial"/>
          <w:sz w:val="22"/>
          <w:szCs w:val="22"/>
        </w:rPr>
        <w:t xml:space="preserve">Recent neuroscientific studies have provided biological support for CDT. </w:t>
      </w:r>
      <w:proofErr w:type="spellStart"/>
      <w:r w:rsidRPr="00CA23F0">
        <w:rPr>
          <w:rFonts w:ascii="Arial" w:hAnsi="Arial" w:cs="Arial"/>
          <w:sz w:val="22"/>
          <w:szCs w:val="22"/>
        </w:rPr>
        <w:t>Izuma</w:t>
      </w:r>
      <w:proofErr w:type="spellEnd"/>
      <w:r w:rsidRPr="00CA23F0">
        <w:rPr>
          <w:rFonts w:ascii="Arial" w:hAnsi="Arial" w:cs="Arial"/>
          <w:sz w:val="22"/>
          <w:szCs w:val="22"/>
        </w:rPr>
        <w:t xml:space="preserve"> &amp; Adolphs (2020) used fMRI to show that dissonance reduction activities reward-related brain regions, particularly in tasks requiring participants to change attitudes post-choice. This provides converging evidence that the discomfort of dissonance is not just psychological nut also neurobiological in nature. </w:t>
      </w:r>
    </w:p>
    <w:p w14:paraId="2053F654" w14:textId="3B0F165C" w:rsidR="008A2E1C" w:rsidRPr="00CA23F0" w:rsidRDefault="008A2E1C" w:rsidP="00CA23F0">
      <w:pPr>
        <w:spacing w:line="480" w:lineRule="auto"/>
        <w:ind w:firstLine="720"/>
        <w:jc w:val="both"/>
        <w:rPr>
          <w:rFonts w:ascii="Arial" w:hAnsi="Arial" w:cs="Arial"/>
          <w:sz w:val="22"/>
          <w:szCs w:val="22"/>
        </w:rPr>
      </w:pPr>
      <w:r w:rsidRPr="00CA23F0">
        <w:rPr>
          <w:rFonts w:ascii="Arial" w:hAnsi="Arial" w:cs="Arial"/>
          <w:sz w:val="22"/>
          <w:szCs w:val="22"/>
        </w:rPr>
        <w:t>However, CDT</w:t>
      </w:r>
      <w:r w:rsidR="00C3767F" w:rsidRPr="00CA23F0">
        <w:rPr>
          <w:rFonts w:ascii="Arial" w:hAnsi="Arial" w:cs="Arial"/>
          <w:sz w:val="22"/>
          <w:szCs w:val="22"/>
        </w:rPr>
        <w:t xml:space="preserve"> is not universally applicable. Kitayama et al. (2004) found that dissonance effects were stronger in individualist cultures, where personal consistency is highly valued. In collectivist cultures, maintaining group harmony often takes precedence, diminishing the drive f</w:t>
      </w:r>
      <w:r w:rsidR="000F06B7" w:rsidRPr="00CA23F0">
        <w:rPr>
          <w:rFonts w:ascii="Arial" w:hAnsi="Arial" w:cs="Arial"/>
          <w:sz w:val="22"/>
          <w:szCs w:val="22"/>
        </w:rPr>
        <w:t>or</w:t>
      </w:r>
      <w:r w:rsidR="00C3767F" w:rsidRPr="00CA23F0">
        <w:rPr>
          <w:rFonts w:ascii="Arial" w:hAnsi="Arial" w:cs="Arial"/>
          <w:sz w:val="22"/>
          <w:szCs w:val="22"/>
        </w:rPr>
        <w:t xml:space="preserve"> internal consistency and thereby reducing the impact of dissonance. More recent cross-cultural analyses (e.g., Song &amp; Zuo, 2022) reaffirm this, showing that East Asian participants exhibited weaker dissonance-induced attitude shifts compared to Western participants, further limiting CDT’s cross-cultural generalizability. </w:t>
      </w:r>
    </w:p>
    <w:p w14:paraId="50E49D5A" w14:textId="0088114E" w:rsidR="000F06B7" w:rsidRPr="00CA23F0" w:rsidRDefault="000F06B7" w:rsidP="00CA23F0">
      <w:pPr>
        <w:spacing w:line="480" w:lineRule="auto"/>
        <w:ind w:firstLine="720"/>
        <w:jc w:val="both"/>
        <w:rPr>
          <w:rFonts w:ascii="Arial" w:hAnsi="Arial" w:cs="Arial"/>
          <w:sz w:val="22"/>
          <w:szCs w:val="22"/>
        </w:rPr>
      </w:pPr>
      <w:r w:rsidRPr="00CA23F0">
        <w:rPr>
          <w:rFonts w:ascii="Arial" w:hAnsi="Arial" w:cs="Arial"/>
          <w:sz w:val="22"/>
          <w:szCs w:val="22"/>
        </w:rPr>
        <w:t xml:space="preserve">Despite the support offered by both SLT and CDT, the predictive power of attitudes is moderated by a host of contextual and individual variables. One of the most influential models that accounts for these variables is the Theory of Planned Behaviour (Ajzen, 1991). TPB suggests that attitudes, subjective norms, and perceived behavioural control together predict behavioural intentions, which in turn predict behaviour. </w:t>
      </w:r>
    </w:p>
    <w:p w14:paraId="1FA6728A" w14:textId="6D7E5E2F" w:rsidR="000F06B7" w:rsidRPr="00CA23F0" w:rsidRDefault="000F06B7" w:rsidP="00CA23F0">
      <w:pPr>
        <w:spacing w:line="480" w:lineRule="auto"/>
        <w:ind w:firstLine="720"/>
        <w:jc w:val="both"/>
        <w:rPr>
          <w:rFonts w:ascii="Arial" w:hAnsi="Arial" w:cs="Arial"/>
          <w:sz w:val="22"/>
          <w:szCs w:val="22"/>
        </w:rPr>
      </w:pPr>
      <w:r w:rsidRPr="00CA23F0">
        <w:rPr>
          <w:rFonts w:ascii="Arial" w:hAnsi="Arial" w:cs="Arial"/>
          <w:sz w:val="22"/>
          <w:szCs w:val="22"/>
        </w:rPr>
        <w:t>Armitage and Conner (2001) conducted a meta-analysis of TPB research and found that attitudes alone accounted for only a moderate proportion of behavioural variance. When social norms and perceived control were included, the predictive accuracy improved significantly. This suggests that even strongly held attitudes may fail to predict behaviour if individuals feel social pressure or lack the means to act.</w:t>
      </w:r>
    </w:p>
    <w:p w14:paraId="1601E0F8" w14:textId="354233B6" w:rsidR="000F06B7" w:rsidRPr="00CA23F0" w:rsidRDefault="000F06B7" w:rsidP="00CA23F0">
      <w:pPr>
        <w:spacing w:line="480" w:lineRule="auto"/>
        <w:ind w:firstLine="720"/>
        <w:jc w:val="both"/>
        <w:rPr>
          <w:rFonts w:ascii="Arial" w:hAnsi="Arial" w:cs="Arial"/>
          <w:sz w:val="22"/>
          <w:szCs w:val="22"/>
        </w:rPr>
      </w:pPr>
      <w:r w:rsidRPr="00CA23F0">
        <w:rPr>
          <w:rFonts w:ascii="Arial" w:hAnsi="Arial" w:cs="Arial"/>
          <w:sz w:val="22"/>
          <w:szCs w:val="22"/>
        </w:rPr>
        <w:lastRenderedPageBreak/>
        <w:t xml:space="preserve">More recently, </w:t>
      </w:r>
      <w:proofErr w:type="spellStart"/>
      <w:r w:rsidRPr="00CA23F0">
        <w:rPr>
          <w:rFonts w:ascii="Arial" w:hAnsi="Arial" w:cs="Arial"/>
          <w:sz w:val="22"/>
          <w:szCs w:val="22"/>
        </w:rPr>
        <w:t>McEachan</w:t>
      </w:r>
      <w:proofErr w:type="spellEnd"/>
      <w:r w:rsidRPr="00CA23F0">
        <w:rPr>
          <w:rFonts w:ascii="Arial" w:hAnsi="Arial" w:cs="Arial"/>
          <w:sz w:val="22"/>
          <w:szCs w:val="22"/>
        </w:rPr>
        <w:t xml:space="preserve"> et al. (2016) confirmed the robustness of TPB across various health domains, noting that while attitudes contribute to intentions, perceived control and normative pressure are often stronger predictors of actual behaviour, especially when actions are constrained by structural barriers or social risk.</w:t>
      </w:r>
    </w:p>
    <w:p w14:paraId="26C9E72D" w14:textId="7CCC38A5" w:rsidR="000F06B7" w:rsidRPr="00CA23F0" w:rsidRDefault="000F06B7" w:rsidP="00CA23F0">
      <w:pPr>
        <w:spacing w:line="480" w:lineRule="auto"/>
        <w:ind w:firstLine="720"/>
        <w:jc w:val="both"/>
        <w:rPr>
          <w:rFonts w:ascii="Arial" w:hAnsi="Arial" w:cs="Arial"/>
          <w:sz w:val="22"/>
          <w:szCs w:val="22"/>
        </w:rPr>
      </w:pPr>
      <w:r w:rsidRPr="00CA23F0">
        <w:rPr>
          <w:rFonts w:ascii="Arial" w:hAnsi="Arial" w:cs="Arial"/>
          <w:sz w:val="22"/>
          <w:szCs w:val="22"/>
        </w:rPr>
        <w:t xml:space="preserve">Measurement techniques also affect the strength of the attitude-behaviour link. Greenwald et al. (2009) found that implicit attitudes, measured using the Implicit Association Test (IAT), often predicted spontaneous or automatic </w:t>
      </w:r>
      <w:r w:rsidR="003A2EFB" w:rsidRPr="00CA23F0">
        <w:rPr>
          <w:rFonts w:ascii="Arial" w:hAnsi="Arial" w:cs="Arial"/>
          <w:sz w:val="22"/>
          <w:szCs w:val="22"/>
        </w:rPr>
        <w:t xml:space="preserve">behaviours better than self-reported attitudes. Recent studies such as Kurdi et al., (2019) have extended this work, showing that while implicit and explicit attitudes are often aligned, divergence between them can explain behaviour-attitude inconsistencies in areas like </w:t>
      </w:r>
      <w:proofErr w:type="spellStart"/>
      <w:r w:rsidR="003A2EFB" w:rsidRPr="00CA23F0">
        <w:rPr>
          <w:rFonts w:ascii="Arial" w:hAnsi="Arial" w:cs="Arial"/>
          <w:sz w:val="22"/>
          <w:szCs w:val="22"/>
        </w:rPr>
        <w:t>rce</w:t>
      </w:r>
      <w:proofErr w:type="spellEnd"/>
      <w:r w:rsidR="003A2EFB" w:rsidRPr="00CA23F0">
        <w:rPr>
          <w:rFonts w:ascii="Arial" w:hAnsi="Arial" w:cs="Arial"/>
          <w:sz w:val="22"/>
          <w:szCs w:val="22"/>
        </w:rPr>
        <w:t>, gender, and moral judgements.</w:t>
      </w:r>
    </w:p>
    <w:p w14:paraId="1C40B989" w14:textId="2D0DC0EF" w:rsidR="003A2EFB" w:rsidRPr="00CA23F0" w:rsidRDefault="003A2EFB" w:rsidP="00CA23F0">
      <w:pPr>
        <w:spacing w:line="480" w:lineRule="auto"/>
        <w:ind w:firstLine="720"/>
        <w:jc w:val="both"/>
        <w:rPr>
          <w:rFonts w:ascii="Arial" w:hAnsi="Arial" w:cs="Arial"/>
          <w:sz w:val="22"/>
          <w:szCs w:val="22"/>
        </w:rPr>
      </w:pPr>
      <w:r w:rsidRPr="00CA23F0">
        <w:rPr>
          <w:rFonts w:ascii="Arial" w:hAnsi="Arial" w:cs="Arial"/>
          <w:sz w:val="22"/>
          <w:szCs w:val="22"/>
        </w:rPr>
        <w:t>Ecological Momentary Assessment (EMA) has also been advocated to improve that validity of behaviour prediction (Shifman et al., 2008). By capturing real-time data in naturalistic environments, EMA offers a more accurate representation of how attitudes translate into behaviour in situ, as opposed to retrospective self-reports that may be subject to recall biases or social desirability.</w:t>
      </w:r>
      <w:r w:rsidR="0044393C">
        <w:rPr>
          <w:rFonts w:ascii="Arial" w:hAnsi="Arial" w:cs="Arial"/>
          <w:sz w:val="22"/>
          <w:szCs w:val="22"/>
        </w:rPr>
        <w:t xml:space="preserve"> Rusby et al.</w:t>
      </w:r>
      <w:r w:rsidRPr="00CA23F0">
        <w:rPr>
          <w:rFonts w:ascii="Arial" w:hAnsi="Arial" w:cs="Arial"/>
          <w:sz w:val="22"/>
          <w:szCs w:val="22"/>
        </w:rPr>
        <w:t xml:space="preserve"> (20</w:t>
      </w:r>
      <w:r w:rsidR="0044393C">
        <w:rPr>
          <w:rFonts w:ascii="Arial" w:hAnsi="Arial" w:cs="Arial"/>
          <w:sz w:val="22"/>
          <w:szCs w:val="22"/>
        </w:rPr>
        <w:t>13</w:t>
      </w:r>
      <w:r w:rsidRPr="00CA23F0">
        <w:rPr>
          <w:rFonts w:ascii="Arial" w:hAnsi="Arial" w:cs="Arial"/>
          <w:sz w:val="22"/>
          <w:szCs w:val="22"/>
        </w:rPr>
        <w:t xml:space="preserve">) used EMA to show how momentary shifts in social context, mood, or peer pressure significantly modulate whether attitudes result in behaviour especially among adolescents. </w:t>
      </w:r>
    </w:p>
    <w:p w14:paraId="483535B8" w14:textId="22B3F7AB" w:rsidR="003A2EFB" w:rsidRPr="00CA23F0" w:rsidRDefault="003A2EFB" w:rsidP="00CA23F0">
      <w:pPr>
        <w:spacing w:line="480" w:lineRule="auto"/>
        <w:ind w:firstLine="720"/>
        <w:jc w:val="both"/>
        <w:rPr>
          <w:rFonts w:ascii="Arial" w:hAnsi="Arial" w:cs="Arial"/>
          <w:sz w:val="22"/>
          <w:szCs w:val="22"/>
        </w:rPr>
      </w:pPr>
      <w:r w:rsidRPr="00CA23F0">
        <w:rPr>
          <w:rFonts w:ascii="Arial" w:hAnsi="Arial" w:cs="Arial"/>
          <w:sz w:val="22"/>
          <w:szCs w:val="22"/>
        </w:rPr>
        <w:t xml:space="preserve">Cultural norms further influence consistency between attitudes </w:t>
      </w:r>
      <w:r w:rsidR="00EC733F">
        <w:rPr>
          <w:rFonts w:ascii="Arial" w:hAnsi="Arial" w:cs="Arial"/>
          <w:sz w:val="22"/>
          <w:szCs w:val="22"/>
        </w:rPr>
        <w:t>a</w:t>
      </w:r>
      <w:r w:rsidRPr="00CA23F0">
        <w:rPr>
          <w:rFonts w:ascii="Arial" w:hAnsi="Arial" w:cs="Arial"/>
          <w:sz w:val="22"/>
          <w:szCs w:val="22"/>
        </w:rPr>
        <w:t xml:space="preserve">nd behaviour. </w:t>
      </w:r>
      <w:r w:rsidR="00EC733F">
        <w:rPr>
          <w:rFonts w:ascii="Arial" w:hAnsi="Arial" w:cs="Arial"/>
          <w:sz w:val="22"/>
          <w:szCs w:val="22"/>
        </w:rPr>
        <w:t xml:space="preserve">Heine &amp; Lehman, </w:t>
      </w:r>
      <w:r w:rsidR="00EC733F">
        <w:rPr>
          <w:rFonts w:ascii="Arial" w:hAnsi="Arial" w:cs="Arial"/>
          <w:sz w:val="22"/>
          <w:szCs w:val="22"/>
        </w:rPr>
        <w:t>(</w:t>
      </w:r>
      <w:r w:rsidR="00EC733F">
        <w:rPr>
          <w:rFonts w:ascii="Arial" w:hAnsi="Arial" w:cs="Arial"/>
          <w:sz w:val="22"/>
          <w:szCs w:val="22"/>
        </w:rPr>
        <w:t>199</w:t>
      </w:r>
      <w:r w:rsidR="00EC733F">
        <w:rPr>
          <w:rFonts w:ascii="Arial" w:hAnsi="Arial" w:cs="Arial"/>
          <w:sz w:val="22"/>
          <w:szCs w:val="22"/>
        </w:rPr>
        <w:t>7) &amp;</w:t>
      </w:r>
      <w:r w:rsidR="00EC733F">
        <w:rPr>
          <w:rFonts w:ascii="Arial" w:hAnsi="Arial" w:cs="Arial"/>
          <w:sz w:val="22"/>
          <w:szCs w:val="22"/>
        </w:rPr>
        <w:t xml:space="preserve"> Kitayama et al, </w:t>
      </w:r>
      <w:r w:rsidR="00EC733F">
        <w:rPr>
          <w:rFonts w:ascii="Arial" w:hAnsi="Arial" w:cs="Arial"/>
          <w:sz w:val="22"/>
          <w:szCs w:val="22"/>
        </w:rPr>
        <w:t>(</w:t>
      </w:r>
      <w:r w:rsidR="00EC733F">
        <w:rPr>
          <w:rFonts w:ascii="Arial" w:hAnsi="Arial" w:cs="Arial"/>
          <w:sz w:val="22"/>
          <w:szCs w:val="22"/>
        </w:rPr>
        <w:t>2004</w:t>
      </w:r>
      <w:r w:rsidR="00EC733F" w:rsidRPr="00CA23F0">
        <w:rPr>
          <w:rFonts w:ascii="Arial" w:hAnsi="Arial" w:cs="Arial"/>
          <w:sz w:val="22"/>
          <w:szCs w:val="22"/>
        </w:rPr>
        <w:t>)</w:t>
      </w:r>
      <w:r w:rsidR="00EC733F">
        <w:rPr>
          <w:rFonts w:ascii="Arial" w:hAnsi="Arial" w:cs="Arial"/>
          <w:sz w:val="22"/>
          <w:szCs w:val="22"/>
        </w:rPr>
        <w:t xml:space="preserve"> f</w:t>
      </w:r>
      <w:r w:rsidRPr="00CA23F0">
        <w:rPr>
          <w:rFonts w:ascii="Arial" w:hAnsi="Arial" w:cs="Arial"/>
          <w:sz w:val="22"/>
          <w:szCs w:val="22"/>
        </w:rPr>
        <w:t xml:space="preserve">ound that in collectivist cultures, individual attitudes had less predictive power compared to </w:t>
      </w:r>
      <w:r w:rsidR="004A5F3D" w:rsidRPr="00CA23F0">
        <w:rPr>
          <w:rFonts w:ascii="Arial" w:hAnsi="Arial" w:cs="Arial"/>
          <w:sz w:val="22"/>
          <w:szCs w:val="22"/>
        </w:rPr>
        <w:t>group</w:t>
      </w:r>
      <w:r w:rsidRPr="00CA23F0">
        <w:rPr>
          <w:rFonts w:ascii="Arial" w:hAnsi="Arial" w:cs="Arial"/>
          <w:sz w:val="22"/>
          <w:szCs w:val="22"/>
        </w:rPr>
        <w:t xml:space="preserve"> norms. People in such cultures are more likely to align their </w:t>
      </w:r>
      <w:r w:rsidR="004A5F3D" w:rsidRPr="00CA23F0">
        <w:rPr>
          <w:rFonts w:ascii="Arial" w:hAnsi="Arial" w:cs="Arial"/>
          <w:sz w:val="22"/>
          <w:szCs w:val="22"/>
        </w:rPr>
        <w:t>behaviours</w:t>
      </w:r>
      <w:r w:rsidRPr="00CA23F0">
        <w:rPr>
          <w:rFonts w:ascii="Arial" w:hAnsi="Arial" w:cs="Arial"/>
          <w:sz w:val="22"/>
          <w:szCs w:val="22"/>
        </w:rPr>
        <w:t xml:space="preserve"> with group expectations rather than internal evaluations. This complicates attempts to generalise attitude-</w:t>
      </w:r>
      <w:r w:rsidR="004A5F3D" w:rsidRPr="00CA23F0">
        <w:rPr>
          <w:rFonts w:ascii="Arial" w:hAnsi="Arial" w:cs="Arial"/>
          <w:sz w:val="22"/>
          <w:szCs w:val="22"/>
        </w:rPr>
        <w:t>behaviour</w:t>
      </w:r>
      <w:r w:rsidRPr="00CA23F0">
        <w:rPr>
          <w:rFonts w:ascii="Arial" w:hAnsi="Arial" w:cs="Arial"/>
          <w:sz w:val="22"/>
          <w:szCs w:val="22"/>
        </w:rPr>
        <w:t xml:space="preserve"> theories </w:t>
      </w:r>
      <w:r w:rsidR="004A5F3D" w:rsidRPr="00CA23F0">
        <w:rPr>
          <w:rFonts w:ascii="Arial" w:hAnsi="Arial" w:cs="Arial"/>
          <w:sz w:val="22"/>
          <w:szCs w:val="22"/>
        </w:rPr>
        <w:t xml:space="preserve">across different sociocultural contexts. </w:t>
      </w:r>
      <w:r w:rsidR="000B7E99">
        <w:rPr>
          <w:rFonts w:ascii="Arial" w:hAnsi="Arial" w:cs="Arial"/>
          <w:sz w:val="22"/>
          <w:szCs w:val="22"/>
        </w:rPr>
        <w:t>Gelfand</w:t>
      </w:r>
      <w:r w:rsidR="004A5F3D" w:rsidRPr="00CA23F0">
        <w:rPr>
          <w:rFonts w:ascii="Arial" w:hAnsi="Arial" w:cs="Arial"/>
          <w:sz w:val="22"/>
          <w:szCs w:val="22"/>
        </w:rPr>
        <w:t xml:space="preserve"> et al., (202</w:t>
      </w:r>
      <w:r w:rsidR="000B7E99">
        <w:rPr>
          <w:rFonts w:ascii="Arial" w:hAnsi="Arial" w:cs="Arial"/>
          <w:sz w:val="22"/>
          <w:szCs w:val="22"/>
        </w:rPr>
        <w:t>1</w:t>
      </w:r>
      <w:r w:rsidR="004A5F3D" w:rsidRPr="00CA23F0">
        <w:rPr>
          <w:rFonts w:ascii="Arial" w:hAnsi="Arial" w:cs="Arial"/>
          <w:sz w:val="22"/>
          <w:szCs w:val="22"/>
        </w:rPr>
        <w:t xml:space="preserve">) expanded on this, demonstrating that in tight cultures, those with strong norms and low tolerance for deviance, behaviour is more norm-driven than attitude-driven, regardless of internal conviction. </w:t>
      </w:r>
    </w:p>
    <w:p w14:paraId="75B58628" w14:textId="1137A6B3" w:rsidR="004A5F3D" w:rsidRPr="00CA23F0" w:rsidRDefault="004A5F3D" w:rsidP="00CA23F0">
      <w:pPr>
        <w:spacing w:line="480" w:lineRule="auto"/>
        <w:ind w:firstLine="720"/>
        <w:jc w:val="both"/>
        <w:rPr>
          <w:rFonts w:ascii="Arial" w:hAnsi="Arial" w:cs="Arial"/>
          <w:sz w:val="22"/>
          <w:szCs w:val="22"/>
        </w:rPr>
      </w:pPr>
      <w:r w:rsidRPr="00CA23F0">
        <w:rPr>
          <w:rFonts w:ascii="Arial" w:hAnsi="Arial" w:cs="Arial"/>
          <w:sz w:val="22"/>
          <w:szCs w:val="22"/>
        </w:rPr>
        <w:lastRenderedPageBreak/>
        <w:t xml:space="preserve">Both Social Learning Theory (SLT) and Cognitive Dissonance Theory (CDT) offer valuable insights </w:t>
      </w:r>
      <w:r w:rsidR="008E1563" w:rsidRPr="00CA23F0">
        <w:rPr>
          <w:rFonts w:ascii="Arial" w:hAnsi="Arial" w:cs="Arial"/>
          <w:sz w:val="22"/>
          <w:szCs w:val="22"/>
        </w:rPr>
        <w:t>into the</w:t>
      </w:r>
      <w:r w:rsidRPr="00CA23F0">
        <w:rPr>
          <w:rFonts w:ascii="Arial" w:hAnsi="Arial" w:cs="Arial"/>
          <w:sz w:val="22"/>
          <w:szCs w:val="22"/>
        </w:rPr>
        <w:t xml:space="preserve"> complex relationship between attitudes and behaviour, albeit from opposing directions. SLT posits that attitudes develop from observed behaviour, suggesting that individuals internalise attitudes through imitation and reinforcement</w:t>
      </w:r>
      <w:r w:rsidR="0044393C">
        <w:rPr>
          <w:rFonts w:ascii="Arial" w:hAnsi="Arial" w:cs="Arial"/>
          <w:sz w:val="22"/>
          <w:szCs w:val="22"/>
        </w:rPr>
        <w:t xml:space="preserve"> (Bandura. 1977)</w:t>
      </w:r>
      <w:r w:rsidRPr="00CA23F0">
        <w:rPr>
          <w:rFonts w:ascii="Arial" w:hAnsi="Arial" w:cs="Arial"/>
          <w:sz w:val="22"/>
          <w:szCs w:val="22"/>
        </w:rPr>
        <w:t xml:space="preserve">. This model is particularly useful in explaining how norms and behaviours are transmitted within social contexts, such as peer groups and digital communities (Byrne et al., 2022). It is also predictive in structured environments where modelling and reinforcement are clear and consistent. </w:t>
      </w:r>
    </w:p>
    <w:p w14:paraId="63D449CB" w14:textId="6B0EBAFA" w:rsidR="008E1563" w:rsidRPr="00CA23F0" w:rsidRDefault="008E1563" w:rsidP="00CA23F0">
      <w:pPr>
        <w:spacing w:line="480" w:lineRule="auto"/>
        <w:ind w:firstLine="720"/>
        <w:jc w:val="both"/>
        <w:rPr>
          <w:rFonts w:ascii="Arial" w:hAnsi="Arial" w:cs="Arial"/>
          <w:sz w:val="22"/>
          <w:szCs w:val="22"/>
        </w:rPr>
      </w:pPr>
      <w:r w:rsidRPr="00CA23F0">
        <w:rPr>
          <w:rFonts w:ascii="Arial" w:hAnsi="Arial" w:cs="Arial"/>
          <w:sz w:val="22"/>
          <w:szCs w:val="22"/>
        </w:rPr>
        <w:t xml:space="preserve">CDT, by contrast, emphasizes internal psychological tension as the driver of attitudinal change. It explains how behaviour that conflicts with pre-existing attitudes can lead to psychological discomfort, prompting individuals to realign their attitudes for consistency (Festinger &amp; Carlsmith, 1959; </w:t>
      </w:r>
      <w:proofErr w:type="spellStart"/>
      <w:r w:rsidRPr="00CA23F0">
        <w:rPr>
          <w:rFonts w:ascii="Arial" w:hAnsi="Arial" w:cs="Arial"/>
          <w:sz w:val="22"/>
          <w:szCs w:val="22"/>
        </w:rPr>
        <w:t>Izuma</w:t>
      </w:r>
      <w:proofErr w:type="spellEnd"/>
      <w:r w:rsidRPr="00CA23F0">
        <w:rPr>
          <w:rFonts w:ascii="Arial" w:hAnsi="Arial" w:cs="Arial"/>
          <w:sz w:val="22"/>
          <w:szCs w:val="22"/>
        </w:rPr>
        <w:t xml:space="preserve"> &amp; Adolphs, 2020). This theory excels in explaining behaviour-driven attitude change and has been particularly relevant in contexts such as health interventions and environmental advocacy (Van der Linden et al., 2021; Tannenbaum et al., 2015). </w:t>
      </w:r>
    </w:p>
    <w:p w14:paraId="2A17E928" w14:textId="52DD0210" w:rsidR="008E1563" w:rsidRPr="00CA23F0" w:rsidRDefault="008E1563" w:rsidP="00CA23F0">
      <w:pPr>
        <w:spacing w:line="480" w:lineRule="auto"/>
        <w:ind w:firstLine="720"/>
        <w:jc w:val="both"/>
        <w:rPr>
          <w:rFonts w:ascii="Arial" w:hAnsi="Arial" w:cs="Arial"/>
          <w:sz w:val="22"/>
          <w:szCs w:val="22"/>
        </w:rPr>
      </w:pPr>
      <w:r w:rsidRPr="00CA23F0">
        <w:rPr>
          <w:rFonts w:ascii="Arial" w:hAnsi="Arial" w:cs="Arial"/>
          <w:sz w:val="22"/>
          <w:szCs w:val="22"/>
        </w:rPr>
        <w:t>While SLT is better at predicting future behaviours based on observed attitudes and reinforcement, CDT is more diagnostic, explaining why attitude shifts may occur after behaviours are enacted. The two theories also differ in their assumptions about agency, SLT emphasises external influence and observation, whereas CDT focuses on internal cognitive regulation.</w:t>
      </w:r>
    </w:p>
    <w:p w14:paraId="6E742606" w14:textId="2DA1849E" w:rsidR="008E1563" w:rsidRPr="00CA23F0" w:rsidRDefault="008E1563" w:rsidP="00CA23F0">
      <w:pPr>
        <w:spacing w:line="480" w:lineRule="auto"/>
        <w:ind w:firstLine="720"/>
        <w:jc w:val="both"/>
        <w:rPr>
          <w:rFonts w:ascii="Arial" w:hAnsi="Arial" w:cs="Arial"/>
          <w:sz w:val="22"/>
          <w:szCs w:val="22"/>
        </w:rPr>
      </w:pPr>
      <w:r w:rsidRPr="00CA23F0">
        <w:rPr>
          <w:rFonts w:ascii="Arial" w:hAnsi="Arial" w:cs="Arial"/>
          <w:sz w:val="22"/>
          <w:szCs w:val="22"/>
        </w:rPr>
        <w:t xml:space="preserve">However, both theories have limitations. SLT often overlooks individual agency and assumes </w:t>
      </w:r>
      <w:r w:rsidR="004513F4" w:rsidRPr="00CA23F0">
        <w:rPr>
          <w:rFonts w:ascii="Arial" w:hAnsi="Arial" w:cs="Arial"/>
          <w:sz w:val="22"/>
          <w:szCs w:val="22"/>
        </w:rPr>
        <w:t>a linear relationship between observation and imitation. CDT meanwhile, may be culturally bound, with reduced relevance in collectivist societies where group norms supersede personal consistency (</w:t>
      </w:r>
      <w:r w:rsidR="00B42E71">
        <w:rPr>
          <w:rFonts w:ascii="Arial" w:hAnsi="Arial" w:cs="Arial"/>
          <w:sz w:val="22"/>
          <w:szCs w:val="22"/>
        </w:rPr>
        <w:t>Heine &amp; Lehman, 1997; Kitayama et al, 2004</w:t>
      </w:r>
      <w:r w:rsidR="004513F4" w:rsidRPr="00CA23F0">
        <w:rPr>
          <w:rFonts w:ascii="Arial" w:hAnsi="Arial" w:cs="Arial"/>
          <w:sz w:val="22"/>
          <w:szCs w:val="22"/>
        </w:rPr>
        <w:t>). Moreover, both theories fail to fully account for contextual variables such as norms, behavioural control, and situational constraints, which are well addressed by the Theory of Planned Behaviour (</w:t>
      </w:r>
      <w:proofErr w:type="spellStart"/>
      <w:r w:rsidR="004513F4" w:rsidRPr="00CA23F0">
        <w:rPr>
          <w:rFonts w:ascii="Arial" w:hAnsi="Arial" w:cs="Arial"/>
          <w:sz w:val="22"/>
          <w:szCs w:val="22"/>
        </w:rPr>
        <w:t>McEchan</w:t>
      </w:r>
      <w:proofErr w:type="spellEnd"/>
      <w:r w:rsidR="004513F4" w:rsidRPr="00CA23F0">
        <w:rPr>
          <w:rFonts w:ascii="Arial" w:hAnsi="Arial" w:cs="Arial"/>
          <w:sz w:val="22"/>
          <w:szCs w:val="22"/>
        </w:rPr>
        <w:t xml:space="preserve"> et al., 2016).</w:t>
      </w:r>
    </w:p>
    <w:p w14:paraId="5B0DB606" w14:textId="7DB3578E" w:rsidR="004513F4" w:rsidRPr="00CA23F0" w:rsidRDefault="004513F4" w:rsidP="00CA23F0">
      <w:pPr>
        <w:spacing w:line="480" w:lineRule="auto"/>
        <w:ind w:firstLine="720"/>
        <w:jc w:val="both"/>
        <w:rPr>
          <w:rFonts w:ascii="Arial" w:hAnsi="Arial" w:cs="Arial"/>
          <w:sz w:val="22"/>
          <w:szCs w:val="22"/>
        </w:rPr>
      </w:pPr>
      <w:r w:rsidRPr="00CA23F0">
        <w:rPr>
          <w:rFonts w:ascii="Arial" w:hAnsi="Arial" w:cs="Arial"/>
          <w:sz w:val="22"/>
          <w:szCs w:val="22"/>
        </w:rPr>
        <w:lastRenderedPageBreak/>
        <w:t xml:space="preserve">The relationship between attitudes and behaviour is far from straightforward. While attitudes can predict behaviour under certain conditions, the link is moderated by multiple cognitive, social, and contextual variables. Social Learning Theory demonstrates how attitudes are acquired and reinforced through observation, particularly in structured or media-rich environments. In contrast, Cognitive Dissonance </w:t>
      </w:r>
      <w:r w:rsidR="00AB0788" w:rsidRPr="00CA23F0">
        <w:rPr>
          <w:rFonts w:ascii="Arial" w:hAnsi="Arial" w:cs="Arial"/>
          <w:sz w:val="22"/>
          <w:szCs w:val="22"/>
        </w:rPr>
        <w:t xml:space="preserve">Theory </w:t>
      </w:r>
      <w:proofErr w:type="spellStart"/>
      <w:r w:rsidR="00AB0788" w:rsidRPr="00CA23F0">
        <w:rPr>
          <w:rFonts w:ascii="Arial" w:hAnsi="Arial" w:cs="Arial"/>
          <w:sz w:val="22"/>
          <w:szCs w:val="22"/>
        </w:rPr>
        <w:t>reve</w:t>
      </w:r>
      <w:proofErr w:type="spellEnd"/>
      <w:r w:rsidR="00AB0788" w:rsidRPr="00CA23F0">
        <w:rPr>
          <w:rFonts w:ascii="Arial" w:hAnsi="Arial" w:cs="Arial"/>
          <w:sz w:val="22"/>
          <w:szCs w:val="22"/>
        </w:rPr>
        <w:t xml:space="preserve"> how behaviours can shape attitudes through internal pressure to maintain psychological consistency.</w:t>
      </w:r>
    </w:p>
    <w:p w14:paraId="305CFCB7" w14:textId="77777777" w:rsidR="00881921" w:rsidRDefault="00AB0788" w:rsidP="00CA23F0">
      <w:pPr>
        <w:spacing w:line="480" w:lineRule="auto"/>
        <w:ind w:firstLine="720"/>
        <w:jc w:val="both"/>
        <w:rPr>
          <w:rFonts w:ascii="Arial" w:hAnsi="Arial" w:cs="Arial"/>
          <w:sz w:val="22"/>
          <w:szCs w:val="22"/>
        </w:rPr>
      </w:pPr>
      <w:r w:rsidRPr="00CA23F0">
        <w:rPr>
          <w:rFonts w:ascii="Arial" w:hAnsi="Arial" w:cs="Arial"/>
          <w:sz w:val="22"/>
          <w:szCs w:val="22"/>
        </w:rPr>
        <w:t xml:space="preserve">Modern frameworks such as the Theory of Planned Behaviour and advances in measurement techniques (e.g., implicit testing, ecological momentary assessment) have improved the predictability of this relationship by accounting for moderating factors like norms and control. Nonetheless, cultural variability and the dynamic nature of attitudes continue to challenge simplistic models of attitude-behaviour </w:t>
      </w:r>
      <w:r w:rsidR="00881921" w:rsidRPr="00CA23F0">
        <w:rPr>
          <w:rFonts w:ascii="Arial" w:hAnsi="Arial" w:cs="Arial"/>
          <w:sz w:val="22"/>
          <w:szCs w:val="22"/>
        </w:rPr>
        <w:t>alignment</w:t>
      </w:r>
      <w:r w:rsidR="00881921">
        <w:rPr>
          <w:rFonts w:ascii="Arial" w:hAnsi="Arial" w:cs="Arial"/>
          <w:sz w:val="22"/>
          <w:szCs w:val="22"/>
        </w:rPr>
        <w:t xml:space="preserve">. </w:t>
      </w:r>
    </w:p>
    <w:p w14:paraId="2B745596" w14:textId="143DFBB5" w:rsidR="00AB0788" w:rsidRPr="00CA23F0" w:rsidRDefault="00881921" w:rsidP="00CA23F0">
      <w:pPr>
        <w:spacing w:line="480" w:lineRule="auto"/>
        <w:ind w:firstLine="720"/>
        <w:jc w:val="both"/>
        <w:rPr>
          <w:rFonts w:ascii="Arial" w:hAnsi="Arial" w:cs="Arial"/>
          <w:sz w:val="22"/>
          <w:szCs w:val="22"/>
        </w:rPr>
      </w:pPr>
      <w:r>
        <w:rPr>
          <w:rFonts w:ascii="Arial" w:hAnsi="Arial" w:cs="Arial"/>
          <w:sz w:val="22"/>
          <w:szCs w:val="22"/>
        </w:rPr>
        <w:t xml:space="preserve">A </w:t>
      </w:r>
      <w:r w:rsidR="00AB0788" w:rsidRPr="00CA23F0">
        <w:rPr>
          <w:rFonts w:ascii="Arial" w:hAnsi="Arial" w:cs="Arial"/>
          <w:sz w:val="22"/>
          <w:szCs w:val="22"/>
        </w:rPr>
        <w:t xml:space="preserve">nuanced understanding of this relationship requires an integrative approach that considers both cognitive and behavioural origins of attitudes, as well as the broader sociocultural and situational context in which individuals operate. Only then can psychological theory provide a robust explanation for when and why attitudes align, or fail to align, with behaviour. </w:t>
      </w:r>
    </w:p>
    <w:p w14:paraId="2CCE1340" w14:textId="77777777" w:rsidR="00AB0788" w:rsidRPr="00CA23F0" w:rsidRDefault="00AB0788" w:rsidP="00CA23F0">
      <w:pPr>
        <w:spacing w:line="480" w:lineRule="auto"/>
        <w:jc w:val="both"/>
        <w:rPr>
          <w:rFonts w:ascii="Arial" w:hAnsi="Arial" w:cs="Arial"/>
          <w:sz w:val="22"/>
          <w:szCs w:val="22"/>
        </w:rPr>
      </w:pPr>
    </w:p>
    <w:p w14:paraId="2FDA9398" w14:textId="77777777" w:rsidR="00A14C01" w:rsidRPr="00CA23F0" w:rsidRDefault="00A14C01" w:rsidP="00CA23F0">
      <w:pPr>
        <w:spacing w:line="480" w:lineRule="auto"/>
        <w:jc w:val="both"/>
        <w:rPr>
          <w:rFonts w:ascii="Arial" w:hAnsi="Arial" w:cs="Arial"/>
          <w:sz w:val="22"/>
          <w:szCs w:val="22"/>
        </w:rPr>
      </w:pPr>
    </w:p>
    <w:p w14:paraId="5DD48716" w14:textId="77777777" w:rsidR="00A14C01" w:rsidRPr="00CA23F0" w:rsidRDefault="00A14C01" w:rsidP="00CA23F0">
      <w:pPr>
        <w:spacing w:line="480" w:lineRule="auto"/>
        <w:jc w:val="both"/>
        <w:rPr>
          <w:rFonts w:ascii="Arial" w:hAnsi="Arial" w:cs="Arial"/>
          <w:sz w:val="22"/>
          <w:szCs w:val="22"/>
        </w:rPr>
      </w:pPr>
    </w:p>
    <w:p w14:paraId="257B05BD" w14:textId="77777777" w:rsidR="00A14C01" w:rsidRPr="00CA23F0" w:rsidRDefault="00A14C01" w:rsidP="00CA23F0">
      <w:pPr>
        <w:spacing w:line="480" w:lineRule="auto"/>
        <w:jc w:val="both"/>
        <w:rPr>
          <w:rFonts w:ascii="Arial" w:hAnsi="Arial" w:cs="Arial"/>
          <w:sz w:val="22"/>
          <w:szCs w:val="22"/>
        </w:rPr>
      </w:pPr>
    </w:p>
    <w:p w14:paraId="0D0DD568" w14:textId="77777777" w:rsidR="00A14C01" w:rsidRDefault="00A14C01" w:rsidP="00CA23F0">
      <w:pPr>
        <w:spacing w:line="480" w:lineRule="auto"/>
        <w:jc w:val="both"/>
        <w:rPr>
          <w:rFonts w:ascii="Arial" w:hAnsi="Arial" w:cs="Arial"/>
          <w:sz w:val="22"/>
          <w:szCs w:val="22"/>
        </w:rPr>
      </w:pPr>
    </w:p>
    <w:p w14:paraId="5EEBB2A1" w14:textId="77777777" w:rsidR="00CA23F0" w:rsidRDefault="00CA23F0" w:rsidP="00CA23F0">
      <w:pPr>
        <w:spacing w:line="480" w:lineRule="auto"/>
        <w:jc w:val="both"/>
        <w:rPr>
          <w:rFonts w:ascii="Arial" w:hAnsi="Arial" w:cs="Arial"/>
          <w:sz w:val="22"/>
          <w:szCs w:val="22"/>
        </w:rPr>
      </w:pPr>
    </w:p>
    <w:p w14:paraId="4DC3892D" w14:textId="77777777" w:rsidR="00CA23F0" w:rsidRDefault="00CA23F0" w:rsidP="00CA23F0">
      <w:pPr>
        <w:spacing w:line="480" w:lineRule="auto"/>
        <w:jc w:val="both"/>
        <w:rPr>
          <w:rFonts w:ascii="Arial" w:hAnsi="Arial" w:cs="Arial"/>
          <w:sz w:val="22"/>
          <w:szCs w:val="22"/>
        </w:rPr>
      </w:pPr>
    </w:p>
    <w:p w14:paraId="5DB17547" w14:textId="77777777" w:rsidR="00A14C01" w:rsidRDefault="00A14C01" w:rsidP="00CA23F0">
      <w:pPr>
        <w:spacing w:line="480" w:lineRule="auto"/>
        <w:jc w:val="both"/>
        <w:rPr>
          <w:rFonts w:ascii="Arial" w:hAnsi="Arial" w:cs="Arial"/>
          <w:sz w:val="22"/>
          <w:szCs w:val="22"/>
        </w:rPr>
      </w:pPr>
    </w:p>
    <w:p w14:paraId="491F8E5B" w14:textId="77777777" w:rsidR="00CA23F0" w:rsidRPr="00CA23F0" w:rsidRDefault="00CA23F0" w:rsidP="00CA23F0">
      <w:pPr>
        <w:spacing w:line="480" w:lineRule="auto"/>
        <w:jc w:val="both"/>
        <w:rPr>
          <w:rFonts w:ascii="Arial" w:hAnsi="Arial" w:cs="Arial"/>
          <w:sz w:val="22"/>
          <w:szCs w:val="22"/>
        </w:rPr>
      </w:pPr>
    </w:p>
    <w:p w14:paraId="50FC66F0" w14:textId="6B773D68" w:rsidR="00A14C01" w:rsidRPr="00CA23F0" w:rsidRDefault="00A14C01" w:rsidP="00CA23F0">
      <w:pPr>
        <w:spacing w:line="480" w:lineRule="auto"/>
        <w:jc w:val="both"/>
        <w:rPr>
          <w:rFonts w:ascii="Arial" w:hAnsi="Arial" w:cs="Arial"/>
          <w:sz w:val="22"/>
          <w:szCs w:val="22"/>
        </w:rPr>
      </w:pPr>
      <w:r w:rsidRPr="00CA23F0">
        <w:rPr>
          <w:rFonts w:ascii="Arial" w:hAnsi="Arial" w:cs="Arial"/>
          <w:sz w:val="22"/>
          <w:szCs w:val="22"/>
        </w:rPr>
        <w:t>Reference List</w:t>
      </w:r>
    </w:p>
    <w:p w14:paraId="1AABC5B7" w14:textId="4FE64C81" w:rsidR="00A14C01" w:rsidRPr="00CA23F0" w:rsidRDefault="00A14C01" w:rsidP="00CA23F0">
      <w:pPr>
        <w:spacing w:line="480" w:lineRule="auto"/>
        <w:jc w:val="both"/>
        <w:rPr>
          <w:rFonts w:ascii="Arial" w:hAnsi="Arial" w:cs="Arial"/>
          <w:sz w:val="22"/>
          <w:szCs w:val="22"/>
        </w:rPr>
      </w:pPr>
      <w:r w:rsidRPr="00CA23F0">
        <w:rPr>
          <w:rFonts w:ascii="Arial" w:hAnsi="Arial" w:cs="Arial"/>
          <w:sz w:val="22"/>
          <w:szCs w:val="22"/>
        </w:rPr>
        <w:t xml:space="preserve">Ajzen, I. (1991). The theory of planned behaviour. </w:t>
      </w:r>
      <w:r w:rsidRPr="00CA23F0">
        <w:rPr>
          <w:rFonts w:ascii="Arial" w:hAnsi="Arial" w:cs="Arial"/>
          <w:i/>
          <w:iCs/>
          <w:sz w:val="22"/>
          <w:szCs w:val="22"/>
        </w:rPr>
        <w:t xml:space="preserve">Organisational </w:t>
      </w:r>
      <w:proofErr w:type="spellStart"/>
      <w:r w:rsidRPr="00CA23F0">
        <w:rPr>
          <w:rFonts w:ascii="Arial" w:hAnsi="Arial" w:cs="Arial"/>
          <w:i/>
          <w:iCs/>
          <w:sz w:val="22"/>
          <w:szCs w:val="22"/>
        </w:rPr>
        <w:t>Behavior</w:t>
      </w:r>
      <w:proofErr w:type="spellEnd"/>
      <w:r w:rsidRPr="00CA23F0">
        <w:rPr>
          <w:rFonts w:ascii="Arial" w:hAnsi="Arial" w:cs="Arial"/>
          <w:i/>
          <w:iCs/>
          <w:sz w:val="22"/>
          <w:szCs w:val="22"/>
        </w:rPr>
        <w:t xml:space="preserve"> and Human Decision Processes, 50</w:t>
      </w:r>
      <w:r w:rsidRPr="00CA23F0">
        <w:rPr>
          <w:rFonts w:ascii="Arial" w:hAnsi="Arial" w:cs="Arial"/>
          <w:sz w:val="22"/>
          <w:szCs w:val="22"/>
        </w:rPr>
        <w:t xml:space="preserve">(2), 179-211. </w:t>
      </w:r>
      <w:hyperlink r:id="rId4" w:history="1">
        <w:r w:rsidRPr="00CA23F0">
          <w:rPr>
            <w:rStyle w:val="Hyperlink"/>
            <w:rFonts w:ascii="Arial" w:hAnsi="Arial" w:cs="Arial"/>
            <w:sz w:val="22"/>
            <w:szCs w:val="22"/>
          </w:rPr>
          <w:t>https://doi.org/10.1016/0749-5978(91)90020-T</w:t>
        </w:r>
      </w:hyperlink>
      <w:r w:rsidRPr="00CA23F0">
        <w:rPr>
          <w:rFonts w:ascii="Arial" w:hAnsi="Arial" w:cs="Arial"/>
          <w:sz w:val="22"/>
          <w:szCs w:val="22"/>
        </w:rPr>
        <w:t xml:space="preserve"> </w:t>
      </w:r>
    </w:p>
    <w:p w14:paraId="24F05495" w14:textId="42E186FA" w:rsidR="00A14C01" w:rsidRDefault="00A14C01" w:rsidP="00CA23F0">
      <w:pPr>
        <w:spacing w:line="480" w:lineRule="auto"/>
        <w:jc w:val="both"/>
        <w:rPr>
          <w:rFonts w:ascii="Arial" w:hAnsi="Arial" w:cs="Arial"/>
          <w:sz w:val="22"/>
          <w:szCs w:val="22"/>
        </w:rPr>
      </w:pPr>
      <w:r w:rsidRPr="00CA23F0">
        <w:rPr>
          <w:rFonts w:ascii="Arial" w:hAnsi="Arial" w:cs="Arial"/>
          <w:sz w:val="22"/>
          <w:szCs w:val="22"/>
        </w:rPr>
        <w:t xml:space="preserve">Armitage, C. J., </w:t>
      </w:r>
      <w:r w:rsidR="00DB5F20" w:rsidRPr="00CA23F0">
        <w:rPr>
          <w:rFonts w:ascii="Arial" w:hAnsi="Arial" w:cs="Arial"/>
          <w:sz w:val="22"/>
          <w:szCs w:val="22"/>
        </w:rPr>
        <w:t xml:space="preserve">&amp; Conner, M. (2001). Efficacy of the theory of planned behaviour: A meta-analytic review. </w:t>
      </w:r>
      <w:r w:rsidR="00DB5F20" w:rsidRPr="00CA23F0">
        <w:rPr>
          <w:rFonts w:ascii="Arial" w:hAnsi="Arial" w:cs="Arial"/>
          <w:i/>
          <w:iCs/>
          <w:sz w:val="22"/>
          <w:szCs w:val="22"/>
        </w:rPr>
        <w:t>British Journal or Social Psychology, 40</w:t>
      </w:r>
      <w:r w:rsidR="00DB5F20" w:rsidRPr="00CA23F0">
        <w:rPr>
          <w:rFonts w:ascii="Arial" w:hAnsi="Arial" w:cs="Arial"/>
          <w:sz w:val="22"/>
          <w:szCs w:val="22"/>
        </w:rPr>
        <w:t xml:space="preserve">(4), 471-499. </w:t>
      </w:r>
      <w:hyperlink r:id="rId5" w:history="1">
        <w:r w:rsidR="00DB5F20" w:rsidRPr="00CA23F0">
          <w:rPr>
            <w:rStyle w:val="Hyperlink"/>
            <w:rFonts w:ascii="Arial" w:hAnsi="Arial" w:cs="Arial"/>
            <w:sz w:val="22"/>
            <w:szCs w:val="22"/>
          </w:rPr>
          <w:t>https://doi.org/10.1348/014466601164939</w:t>
        </w:r>
      </w:hyperlink>
    </w:p>
    <w:p w14:paraId="507CD829" w14:textId="6A1FDB1A" w:rsidR="00FC175E" w:rsidRPr="00FC175E" w:rsidRDefault="00FC175E" w:rsidP="00CA23F0">
      <w:pPr>
        <w:spacing w:line="480" w:lineRule="auto"/>
        <w:jc w:val="both"/>
        <w:rPr>
          <w:rFonts w:ascii="Arial" w:hAnsi="Arial" w:cs="Arial"/>
          <w:sz w:val="22"/>
          <w:szCs w:val="22"/>
        </w:rPr>
      </w:pPr>
      <w:r>
        <w:rPr>
          <w:rFonts w:ascii="Arial" w:hAnsi="Arial" w:cs="Arial"/>
          <w:sz w:val="22"/>
          <w:szCs w:val="22"/>
        </w:rPr>
        <w:t xml:space="preserve">Bail, C. A., Argyle, L. P., Brown, T. W., Bumpus, J. P., Chen, H., </w:t>
      </w:r>
      <w:proofErr w:type="spellStart"/>
      <w:r>
        <w:rPr>
          <w:rFonts w:ascii="Arial" w:hAnsi="Arial" w:cs="Arial"/>
          <w:sz w:val="22"/>
          <w:szCs w:val="22"/>
        </w:rPr>
        <w:t>Hunzaker</w:t>
      </w:r>
      <w:proofErr w:type="spellEnd"/>
      <w:r>
        <w:rPr>
          <w:rFonts w:ascii="Arial" w:hAnsi="Arial" w:cs="Arial"/>
          <w:sz w:val="22"/>
          <w:szCs w:val="22"/>
        </w:rPr>
        <w:t xml:space="preserve">, M. B. F., Lee, J., Mann, M., </w:t>
      </w:r>
      <w:proofErr w:type="spellStart"/>
      <w:r>
        <w:rPr>
          <w:rFonts w:ascii="Arial" w:hAnsi="Arial" w:cs="Arial"/>
          <w:sz w:val="22"/>
          <w:szCs w:val="22"/>
        </w:rPr>
        <w:t>Merhout</w:t>
      </w:r>
      <w:proofErr w:type="spellEnd"/>
      <w:r>
        <w:rPr>
          <w:rFonts w:ascii="Arial" w:hAnsi="Arial" w:cs="Arial"/>
          <w:sz w:val="22"/>
          <w:szCs w:val="22"/>
        </w:rPr>
        <w:t xml:space="preserve">, F., &amp; </w:t>
      </w:r>
      <w:proofErr w:type="spellStart"/>
      <w:r>
        <w:rPr>
          <w:rFonts w:ascii="Arial" w:hAnsi="Arial" w:cs="Arial"/>
          <w:sz w:val="22"/>
          <w:szCs w:val="22"/>
        </w:rPr>
        <w:t>Volfovsky</w:t>
      </w:r>
      <w:proofErr w:type="spellEnd"/>
      <w:r>
        <w:rPr>
          <w:rFonts w:ascii="Arial" w:hAnsi="Arial" w:cs="Arial"/>
          <w:sz w:val="22"/>
          <w:szCs w:val="22"/>
        </w:rPr>
        <w:t xml:space="preserve">, A. (2018). Exposure to opposing views on social media can increase political polarization. </w:t>
      </w:r>
      <w:r>
        <w:rPr>
          <w:rFonts w:ascii="Arial" w:hAnsi="Arial" w:cs="Arial"/>
          <w:i/>
          <w:iCs/>
          <w:sz w:val="22"/>
          <w:szCs w:val="22"/>
        </w:rPr>
        <w:t>Proceedings of the National Academy of Sciences of the United States of America, 115</w:t>
      </w:r>
      <w:r>
        <w:rPr>
          <w:rFonts w:ascii="Arial" w:hAnsi="Arial" w:cs="Arial"/>
          <w:sz w:val="22"/>
          <w:szCs w:val="22"/>
        </w:rPr>
        <w:t>(37), 9216-9221. https://doi.org/10.1073/pnas.1804840115</w:t>
      </w:r>
    </w:p>
    <w:p w14:paraId="4B229E4F" w14:textId="78CF1488" w:rsidR="00DB5F20" w:rsidRPr="00CA23F0" w:rsidRDefault="00DB5F20" w:rsidP="00CA23F0">
      <w:pPr>
        <w:spacing w:line="480" w:lineRule="auto"/>
        <w:jc w:val="both"/>
        <w:rPr>
          <w:rFonts w:ascii="Arial" w:hAnsi="Arial" w:cs="Arial"/>
          <w:sz w:val="22"/>
          <w:szCs w:val="22"/>
        </w:rPr>
      </w:pPr>
      <w:r w:rsidRPr="00CA23F0">
        <w:rPr>
          <w:rFonts w:ascii="Arial" w:hAnsi="Arial" w:cs="Arial"/>
          <w:sz w:val="22"/>
          <w:szCs w:val="22"/>
        </w:rPr>
        <w:t xml:space="preserve">Bandura, A. (1977). </w:t>
      </w:r>
      <w:r w:rsidRPr="00CA23F0">
        <w:rPr>
          <w:rFonts w:ascii="Arial" w:hAnsi="Arial" w:cs="Arial"/>
          <w:i/>
          <w:iCs/>
          <w:sz w:val="22"/>
          <w:szCs w:val="22"/>
        </w:rPr>
        <w:t xml:space="preserve">Social learning theory. </w:t>
      </w:r>
      <w:r w:rsidRPr="00CA23F0">
        <w:rPr>
          <w:rFonts w:ascii="Arial" w:hAnsi="Arial" w:cs="Arial"/>
          <w:sz w:val="22"/>
          <w:szCs w:val="22"/>
        </w:rPr>
        <w:t>Prentice Hall.</w:t>
      </w:r>
    </w:p>
    <w:p w14:paraId="125E6AEC" w14:textId="13C1E148" w:rsidR="00DB5F20" w:rsidRPr="00CA23F0" w:rsidRDefault="00DB5F20" w:rsidP="00CA23F0">
      <w:pPr>
        <w:spacing w:line="480" w:lineRule="auto"/>
        <w:jc w:val="both"/>
        <w:rPr>
          <w:rFonts w:ascii="Arial" w:hAnsi="Arial" w:cs="Arial"/>
          <w:sz w:val="22"/>
          <w:szCs w:val="22"/>
        </w:rPr>
      </w:pPr>
      <w:r w:rsidRPr="00CA23F0">
        <w:rPr>
          <w:rFonts w:ascii="Arial" w:hAnsi="Arial" w:cs="Arial"/>
          <w:sz w:val="22"/>
          <w:szCs w:val="22"/>
        </w:rPr>
        <w:t xml:space="preserve">Betsch, C., Korn, L., </w:t>
      </w:r>
      <w:proofErr w:type="spellStart"/>
      <w:r w:rsidRPr="00CA23F0">
        <w:rPr>
          <w:rFonts w:ascii="Arial" w:hAnsi="Arial" w:cs="Arial"/>
          <w:sz w:val="22"/>
          <w:szCs w:val="22"/>
        </w:rPr>
        <w:t>Sprengholz</w:t>
      </w:r>
      <w:proofErr w:type="spellEnd"/>
      <w:r w:rsidRPr="00CA23F0">
        <w:rPr>
          <w:rFonts w:ascii="Arial" w:hAnsi="Arial" w:cs="Arial"/>
          <w:sz w:val="22"/>
          <w:szCs w:val="22"/>
        </w:rPr>
        <w:t xml:space="preserve">, P., </w:t>
      </w:r>
      <w:proofErr w:type="spellStart"/>
      <w:r w:rsidRPr="00CA23F0">
        <w:rPr>
          <w:rFonts w:ascii="Arial" w:hAnsi="Arial" w:cs="Arial"/>
          <w:sz w:val="22"/>
          <w:szCs w:val="22"/>
        </w:rPr>
        <w:t>Felgendreff</w:t>
      </w:r>
      <w:proofErr w:type="spellEnd"/>
      <w:r w:rsidRPr="00CA23F0">
        <w:rPr>
          <w:rFonts w:ascii="Arial" w:hAnsi="Arial" w:cs="Arial"/>
          <w:sz w:val="22"/>
          <w:szCs w:val="22"/>
        </w:rPr>
        <w:t xml:space="preserve">, L., </w:t>
      </w:r>
      <w:proofErr w:type="spellStart"/>
      <w:r w:rsidRPr="00CA23F0">
        <w:rPr>
          <w:rFonts w:ascii="Arial" w:hAnsi="Arial" w:cs="Arial"/>
          <w:sz w:val="22"/>
          <w:szCs w:val="22"/>
        </w:rPr>
        <w:t>Eitze</w:t>
      </w:r>
      <w:proofErr w:type="spellEnd"/>
      <w:r w:rsidRPr="00CA23F0">
        <w:rPr>
          <w:rFonts w:ascii="Arial" w:hAnsi="Arial" w:cs="Arial"/>
          <w:sz w:val="22"/>
          <w:szCs w:val="22"/>
        </w:rPr>
        <w:t xml:space="preserve">, S., Schmid, P., &amp; Böhm, R. (2021). Social and behavioural consequences </w:t>
      </w:r>
      <w:r w:rsidR="0066590F" w:rsidRPr="00CA23F0">
        <w:rPr>
          <w:rFonts w:ascii="Arial" w:hAnsi="Arial" w:cs="Arial"/>
          <w:sz w:val="22"/>
          <w:szCs w:val="22"/>
        </w:rPr>
        <w:t xml:space="preserve">of mask policies during COVID-19. </w:t>
      </w:r>
      <w:r w:rsidR="0066590F" w:rsidRPr="00CA23F0">
        <w:rPr>
          <w:rFonts w:ascii="Arial" w:hAnsi="Arial" w:cs="Arial"/>
          <w:i/>
          <w:iCs/>
          <w:sz w:val="22"/>
          <w:szCs w:val="22"/>
        </w:rPr>
        <w:t>Nature Human Behaviour, 5</w:t>
      </w:r>
      <w:r w:rsidR="0066590F" w:rsidRPr="00CA23F0">
        <w:rPr>
          <w:rFonts w:ascii="Arial" w:hAnsi="Arial" w:cs="Arial"/>
          <w:sz w:val="22"/>
          <w:szCs w:val="22"/>
        </w:rPr>
        <w:t xml:space="preserve">(9), 1196-1175. </w:t>
      </w:r>
      <w:hyperlink r:id="rId6" w:history="1">
        <w:r w:rsidR="0066590F" w:rsidRPr="00CA23F0">
          <w:rPr>
            <w:rStyle w:val="Hyperlink"/>
            <w:rFonts w:ascii="Arial" w:hAnsi="Arial" w:cs="Arial"/>
            <w:sz w:val="22"/>
            <w:szCs w:val="22"/>
          </w:rPr>
          <w:t>https://doi.org/10.1038/s41562-021-01145-1</w:t>
        </w:r>
      </w:hyperlink>
    </w:p>
    <w:p w14:paraId="26D9FE5E" w14:textId="41221F24" w:rsidR="00164E6E" w:rsidRPr="00164E6E" w:rsidRDefault="00164E6E" w:rsidP="00CA23F0">
      <w:pPr>
        <w:spacing w:line="480" w:lineRule="auto"/>
        <w:jc w:val="both"/>
        <w:rPr>
          <w:rFonts w:ascii="Arial" w:hAnsi="Arial" w:cs="Arial"/>
          <w:sz w:val="22"/>
          <w:szCs w:val="22"/>
        </w:rPr>
      </w:pPr>
      <w:proofErr w:type="spellStart"/>
      <w:r>
        <w:rPr>
          <w:rFonts w:ascii="Arial" w:hAnsi="Arial" w:cs="Arial"/>
          <w:sz w:val="22"/>
          <w:szCs w:val="22"/>
        </w:rPr>
        <w:t>Brabandere</w:t>
      </w:r>
      <w:proofErr w:type="spellEnd"/>
      <w:r>
        <w:rPr>
          <w:rFonts w:ascii="Arial" w:hAnsi="Arial" w:cs="Arial"/>
          <w:sz w:val="22"/>
          <w:szCs w:val="22"/>
        </w:rPr>
        <w:t xml:space="preserve">, M. D., </w:t>
      </w:r>
      <w:proofErr w:type="spellStart"/>
      <w:r>
        <w:rPr>
          <w:rFonts w:ascii="Arial" w:hAnsi="Arial" w:cs="Arial"/>
          <w:sz w:val="22"/>
          <w:szCs w:val="22"/>
        </w:rPr>
        <w:t>Vanwesenbeeck</w:t>
      </w:r>
      <w:proofErr w:type="spellEnd"/>
      <w:r>
        <w:rPr>
          <w:rFonts w:ascii="Arial" w:hAnsi="Arial" w:cs="Arial"/>
          <w:sz w:val="22"/>
          <w:szCs w:val="22"/>
        </w:rPr>
        <w:t xml:space="preserve">, I., &amp; </w:t>
      </w:r>
      <w:proofErr w:type="spellStart"/>
      <w:r>
        <w:rPr>
          <w:rFonts w:ascii="Arial" w:hAnsi="Arial" w:cs="Arial"/>
          <w:sz w:val="22"/>
          <w:szCs w:val="22"/>
        </w:rPr>
        <w:t>Hudders</w:t>
      </w:r>
      <w:proofErr w:type="spellEnd"/>
      <w:r>
        <w:rPr>
          <w:rFonts w:ascii="Arial" w:hAnsi="Arial" w:cs="Arial"/>
          <w:sz w:val="22"/>
          <w:szCs w:val="22"/>
        </w:rPr>
        <w:t xml:space="preserve">, L. (2025). Turning likes into lifts: Understanding how adolescents experience </w:t>
      </w:r>
      <w:proofErr w:type="spellStart"/>
      <w:r>
        <w:rPr>
          <w:rFonts w:ascii="Arial" w:hAnsi="Arial" w:cs="Arial"/>
          <w:sz w:val="22"/>
          <w:szCs w:val="22"/>
        </w:rPr>
        <w:t>fitfluencer</w:t>
      </w:r>
      <w:proofErr w:type="spellEnd"/>
      <w:r>
        <w:rPr>
          <w:rFonts w:ascii="Arial" w:hAnsi="Arial" w:cs="Arial"/>
          <w:sz w:val="22"/>
          <w:szCs w:val="22"/>
        </w:rPr>
        <w:t xml:space="preserve"> content and the opportunities it offers them. </w:t>
      </w:r>
      <w:r>
        <w:rPr>
          <w:rFonts w:ascii="Arial" w:hAnsi="Arial" w:cs="Arial"/>
          <w:i/>
          <w:iCs/>
          <w:sz w:val="22"/>
          <w:szCs w:val="22"/>
        </w:rPr>
        <w:t>International Journal of Qualitative Studies on Health and Well-Being, 20</w:t>
      </w:r>
      <w:r>
        <w:rPr>
          <w:rFonts w:ascii="Arial" w:hAnsi="Arial" w:cs="Arial"/>
          <w:sz w:val="22"/>
          <w:szCs w:val="22"/>
        </w:rPr>
        <w:t>(1). https://doi.org/10.1080/17482631.2025.2467520</w:t>
      </w:r>
    </w:p>
    <w:p w14:paraId="6FAEA753" w14:textId="1B783DBE" w:rsidR="0066590F" w:rsidRPr="00CA23F0" w:rsidRDefault="0066590F" w:rsidP="00CA23F0">
      <w:pPr>
        <w:spacing w:line="480" w:lineRule="auto"/>
        <w:jc w:val="both"/>
        <w:rPr>
          <w:rFonts w:ascii="Arial" w:hAnsi="Arial" w:cs="Arial"/>
          <w:sz w:val="22"/>
          <w:szCs w:val="22"/>
        </w:rPr>
      </w:pPr>
      <w:r w:rsidRPr="00CA23F0">
        <w:rPr>
          <w:rFonts w:ascii="Arial" w:hAnsi="Arial" w:cs="Arial"/>
          <w:sz w:val="22"/>
          <w:szCs w:val="22"/>
        </w:rPr>
        <w:t xml:space="preserve">Festinger, L. (1957). </w:t>
      </w:r>
      <w:r w:rsidRPr="00CA23F0">
        <w:rPr>
          <w:rFonts w:ascii="Arial" w:hAnsi="Arial" w:cs="Arial"/>
          <w:i/>
          <w:iCs/>
          <w:sz w:val="22"/>
          <w:szCs w:val="22"/>
        </w:rPr>
        <w:t xml:space="preserve">A theory of cognitive dissonance. </w:t>
      </w:r>
      <w:r w:rsidRPr="00CA23F0">
        <w:rPr>
          <w:rFonts w:ascii="Arial" w:hAnsi="Arial" w:cs="Arial"/>
          <w:sz w:val="22"/>
          <w:szCs w:val="22"/>
        </w:rPr>
        <w:t>Stanford University Press.</w:t>
      </w:r>
    </w:p>
    <w:p w14:paraId="26ECA5EC" w14:textId="48559545" w:rsidR="0066590F" w:rsidRDefault="008D0E7F" w:rsidP="00CA23F0">
      <w:pPr>
        <w:spacing w:line="480" w:lineRule="auto"/>
        <w:jc w:val="both"/>
        <w:rPr>
          <w:rFonts w:ascii="Arial" w:hAnsi="Arial" w:cs="Arial"/>
          <w:sz w:val="22"/>
          <w:szCs w:val="22"/>
        </w:rPr>
      </w:pPr>
      <w:r w:rsidRPr="00CA23F0">
        <w:rPr>
          <w:rFonts w:ascii="Arial" w:hAnsi="Arial" w:cs="Arial"/>
          <w:sz w:val="22"/>
          <w:szCs w:val="22"/>
        </w:rPr>
        <w:t xml:space="preserve">Festinger, L., &amp; Carlsmith, J.M. (1959). Cognitive consequences of forced compliance. </w:t>
      </w:r>
      <w:r w:rsidRPr="00CA23F0">
        <w:rPr>
          <w:rFonts w:ascii="Arial" w:hAnsi="Arial" w:cs="Arial"/>
          <w:i/>
          <w:iCs/>
          <w:sz w:val="22"/>
          <w:szCs w:val="22"/>
        </w:rPr>
        <w:t>Journal of Abnormal and Social Psychology, 58</w:t>
      </w:r>
      <w:r w:rsidRPr="00CA23F0">
        <w:rPr>
          <w:rFonts w:ascii="Arial" w:hAnsi="Arial" w:cs="Arial"/>
          <w:sz w:val="22"/>
          <w:szCs w:val="22"/>
        </w:rPr>
        <w:t xml:space="preserve">(2), 203-210. </w:t>
      </w:r>
      <w:hyperlink r:id="rId7" w:history="1">
        <w:r w:rsidRPr="00CA23F0">
          <w:rPr>
            <w:rStyle w:val="Hyperlink"/>
            <w:rFonts w:ascii="Arial" w:hAnsi="Arial" w:cs="Arial"/>
            <w:sz w:val="22"/>
            <w:szCs w:val="22"/>
          </w:rPr>
          <w:t>https://doi.org/10.1037/h0041593</w:t>
        </w:r>
      </w:hyperlink>
    </w:p>
    <w:p w14:paraId="42D0B5BE" w14:textId="6806E539" w:rsidR="000B7E99" w:rsidRPr="000B7E99" w:rsidRDefault="000B7E99" w:rsidP="00CA23F0">
      <w:pPr>
        <w:spacing w:line="480" w:lineRule="auto"/>
        <w:jc w:val="both"/>
        <w:rPr>
          <w:rFonts w:ascii="Arial" w:hAnsi="Arial" w:cs="Arial"/>
          <w:sz w:val="22"/>
          <w:szCs w:val="22"/>
        </w:rPr>
      </w:pPr>
      <w:r>
        <w:rPr>
          <w:rFonts w:ascii="Arial" w:hAnsi="Arial" w:cs="Arial"/>
          <w:sz w:val="22"/>
          <w:szCs w:val="22"/>
        </w:rPr>
        <w:t>Gelfand, M. J., Jackson, J. C., Pan, X., Nau, D., Pieper, D., Denison, E., Dagher, M., Van Lange, P. A. M., Chiu, C. Y., &amp; Wang, M. (2021). The relationship between cultural tightness-</w:t>
      </w:r>
      <w:r>
        <w:rPr>
          <w:rFonts w:ascii="Arial" w:hAnsi="Arial" w:cs="Arial"/>
          <w:sz w:val="22"/>
          <w:szCs w:val="22"/>
        </w:rPr>
        <w:lastRenderedPageBreak/>
        <w:t xml:space="preserve">looseness and COVID-19 cases and deaths: a global analysis. </w:t>
      </w:r>
      <w:r>
        <w:rPr>
          <w:rFonts w:ascii="Arial" w:hAnsi="Arial" w:cs="Arial"/>
          <w:i/>
          <w:iCs/>
          <w:sz w:val="22"/>
          <w:szCs w:val="22"/>
        </w:rPr>
        <w:t>The Lancet. Planetary health, 5</w:t>
      </w:r>
      <w:r>
        <w:rPr>
          <w:rFonts w:ascii="Arial" w:hAnsi="Arial" w:cs="Arial"/>
          <w:sz w:val="22"/>
          <w:szCs w:val="22"/>
        </w:rPr>
        <w:t>(3), e135-e144. https://doi.org/10.1016/S2542-5196(20)30301-6</w:t>
      </w:r>
    </w:p>
    <w:p w14:paraId="43D379E6" w14:textId="4192019C" w:rsidR="008D0E7F" w:rsidRDefault="008D0E7F" w:rsidP="00CA23F0">
      <w:pPr>
        <w:spacing w:line="480" w:lineRule="auto"/>
        <w:jc w:val="both"/>
        <w:rPr>
          <w:rFonts w:ascii="Arial" w:hAnsi="Arial" w:cs="Arial"/>
          <w:sz w:val="22"/>
          <w:szCs w:val="22"/>
        </w:rPr>
      </w:pPr>
      <w:r w:rsidRPr="00CA23F0">
        <w:rPr>
          <w:rFonts w:ascii="Arial" w:hAnsi="Arial" w:cs="Arial"/>
          <w:sz w:val="22"/>
          <w:szCs w:val="22"/>
        </w:rPr>
        <w:t xml:space="preserve">Greenwald, A.G, Poehlman, T. A., Uhlmann, E. L., &amp; Banaji, M. R. (2009). Understanding and using the Implicit Association Test: III. Meta-analysis of predictive validity. </w:t>
      </w:r>
      <w:r w:rsidRPr="00CA23F0">
        <w:rPr>
          <w:rFonts w:ascii="Arial" w:hAnsi="Arial" w:cs="Arial"/>
          <w:i/>
          <w:iCs/>
          <w:sz w:val="22"/>
          <w:szCs w:val="22"/>
        </w:rPr>
        <w:t>Journal of Personality and Social Psychology, 97</w:t>
      </w:r>
      <w:r w:rsidRPr="00CA23F0">
        <w:rPr>
          <w:rFonts w:ascii="Arial" w:hAnsi="Arial" w:cs="Arial"/>
          <w:sz w:val="22"/>
          <w:szCs w:val="22"/>
        </w:rPr>
        <w:t xml:space="preserve">(1), 17-41. </w:t>
      </w:r>
      <w:hyperlink r:id="rId8" w:history="1">
        <w:r w:rsidRPr="00CA23F0">
          <w:rPr>
            <w:rStyle w:val="Hyperlink"/>
            <w:rFonts w:ascii="Arial" w:hAnsi="Arial" w:cs="Arial"/>
            <w:sz w:val="22"/>
            <w:szCs w:val="22"/>
          </w:rPr>
          <w:t>https://doi.org/10.1037/a0015575</w:t>
        </w:r>
      </w:hyperlink>
    </w:p>
    <w:p w14:paraId="300E4945" w14:textId="28F3E0F7" w:rsidR="00B42E71" w:rsidRPr="00CA23F0" w:rsidRDefault="00B42E71" w:rsidP="00CA23F0">
      <w:pPr>
        <w:spacing w:line="480" w:lineRule="auto"/>
        <w:jc w:val="both"/>
        <w:rPr>
          <w:rFonts w:ascii="Arial" w:hAnsi="Arial" w:cs="Arial"/>
          <w:sz w:val="22"/>
          <w:szCs w:val="22"/>
        </w:rPr>
      </w:pPr>
      <w:r w:rsidRPr="00B42E71">
        <w:rPr>
          <w:rFonts w:ascii="Arial" w:hAnsi="Arial" w:cs="Arial"/>
          <w:sz w:val="22"/>
          <w:szCs w:val="22"/>
        </w:rPr>
        <w:t xml:space="preserve">Heine, S. J., &amp; Lehman, D. R. (1997). Culture, dissonance, and self-affirmation. </w:t>
      </w:r>
      <w:r w:rsidRPr="00B42E71">
        <w:rPr>
          <w:rFonts w:ascii="Arial" w:hAnsi="Arial" w:cs="Arial"/>
          <w:i/>
          <w:iCs/>
          <w:sz w:val="22"/>
          <w:szCs w:val="22"/>
        </w:rPr>
        <w:t>Personality and Social Psychology Bulletin, 23</w:t>
      </w:r>
      <w:r w:rsidRPr="00B42E71">
        <w:rPr>
          <w:rFonts w:ascii="Arial" w:hAnsi="Arial" w:cs="Arial"/>
          <w:sz w:val="22"/>
          <w:szCs w:val="22"/>
        </w:rPr>
        <w:t>(4), 389–400.</w:t>
      </w:r>
      <w:r>
        <w:rPr>
          <w:rFonts w:ascii="Arial" w:hAnsi="Arial" w:cs="Arial"/>
          <w:sz w:val="22"/>
          <w:szCs w:val="22"/>
        </w:rPr>
        <w:t xml:space="preserve"> </w:t>
      </w:r>
      <w:hyperlink r:id="rId9" w:history="1">
        <w:r w:rsidRPr="00B42E71">
          <w:rPr>
            <w:rStyle w:val="Hyperlink"/>
            <w:rFonts w:ascii="Arial" w:hAnsi="Arial" w:cs="Arial"/>
            <w:sz w:val="22"/>
            <w:szCs w:val="22"/>
          </w:rPr>
          <w:t>https://doi.org/10.1177/0146167297234005</w:t>
        </w:r>
      </w:hyperlink>
    </w:p>
    <w:p w14:paraId="4DF5E47D" w14:textId="34DB16C6" w:rsidR="00FF4362" w:rsidRDefault="00FF4362" w:rsidP="00CA23F0">
      <w:pPr>
        <w:spacing w:line="480" w:lineRule="auto"/>
        <w:jc w:val="both"/>
        <w:rPr>
          <w:rFonts w:ascii="Arial" w:hAnsi="Arial" w:cs="Arial"/>
          <w:sz w:val="22"/>
          <w:szCs w:val="22"/>
        </w:rPr>
      </w:pPr>
      <w:proofErr w:type="spellStart"/>
      <w:r w:rsidRPr="00CA23F0">
        <w:rPr>
          <w:rFonts w:ascii="Arial" w:hAnsi="Arial" w:cs="Arial"/>
          <w:sz w:val="22"/>
          <w:szCs w:val="22"/>
        </w:rPr>
        <w:t>Izuma</w:t>
      </w:r>
      <w:proofErr w:type="spellEnd"/>
      <w:r w:rsidRPr="00CA23F0">
        <w:rPr>
          <w:rFonts w:ascii="Arial" w:hAnsi="Arial" w:cs="Arial"/>
          <w:sz w:val="22"/>
          <w:szCs w:val="22"/>
        </w:rPr>
        <w:t xml:space="preserve">, K., &amp; Adolphs, R. (2020). Cognitive dissonance resolves by the anterior cingulate cortex and ventral striatum. </w:t>
      </w:r>
      <w:proofErr w:type="spellStart"/>
      <w:r w:rsidRPr="00CA23F0">
        <w:rPr>
          <w:rFonts w:ascii="Arial" w:hAnsi="Arial" w:cs="Arial"/>
          <w:i/>
          <w:iCs/>
          <w:sz w:val="22"/>
          <w:szCs w:val="22"/>
        </w:rPr>
        <w:t>NeuroImage</w:t>
      </w:r>
      <w:proofErr w:type="spellEnd"/>
      <w:r w:rsidRPr="00CA23F0">
        <w:rPr>
          <w:rFonts w:ascii="Arial" w:hAnsi="Arial" w:cs="Arial"/>
          <w:i/>
          <w:iCs/>
          <w:sz w:val="22"/>
          <w:szCs w:val="22"/>
        </w:rPr>
        <w:t>, 220,</w:t>
      </w:r>
      <w:r w:rsidRPr="00CA23F0">
        <w:rPr>
          <w:rFonts w:ascii="Arial" w:hAnsi="Arial" w:cs="Arial"/>
          <w:sz w:val="22"/>
          <w:szCs w:val="22"/>
        </w:rPr>
        <w:t xml:space="preserve">117112. </w:t>
      </w:r>
      <w:hyperlink r:id="rId10" w:history="1">
        <w:r w:rsidRPr="00CA23F0">
          <w:rPr>
            <w:rStyle w:val="Hyperlink"/>
            <w:rFonts w:ascii="Arial" w:hAnsi="Arial" w:cs="Arial"/>
            <w:sz w:val="22"/>
            <w:szCs w:val="22"/>
          </w:rPr>
          <w:t>https://doi.org/10.1016/j.neuroimage.2020.117112</w:t>
        </w:r>
      </w:hyperlink>
    </w:p>
    <w:p w14:paraId="71D53119" w14:textId="293004F8" w:rsidR="00B42E71" w:rsidRPr="00CA23F0" w:rsidRDefault="00B42E71" w:rsidP="00CA23F0">
      <w:pPr>
        <w:spacing w:line="480" w:lineRule="auto"/>
        <w:jc w:val="both"/>
        <w:rPr>
          <w:rFonts w:ascii="Arial" w:hAnsi="Arial" w:cs="Arial"/>
          <w:sz w:val="22"/>
          <w:szCs w:val="22"/>
        </w:rPr>
      </w:pPr>
      <w:r w:rsidRPr="00B42E71">
        <w:rPr>
          <w:rFonts w:ascii="Arial" w:hAnsi="Arial" w:cs="Arial"/>
          <w:sz w:val="22"/>
          <w:szCs w:val="22"/>
        </w:rPr>
        <w:t xml:space="preserve">Kitayama, S., </w:t>
      </w:r>
      <w:proofErr w:type="spellStart"/>
      <w:r w:rsidRPr="00B42E71">
        <w:rPr>
          <w:rFonts w:ascii="Arial" w:hAnsi="Arial" w:cs="Arial"/>
          <w:sz w:val="22"/>
          <w:szCs w:val="22"/>
        </w:rPr>
        <w:t>Snibbe</w:t>
      </w:r>
      <w:proofErr w:type="spellEnd"/>
      <w:r w:rsidRPr="00B42E71">
        <w:rPr>
          <w:rFonts w:ascii="Arial" w:hAnsi="Arial" w:cs="Arial"/>
          <w:sz w:val="22"/>
          <w:szCs w:val="22"/>
        </w:rPr>
        <w:t>, A. C., Markus, H. R., &amp; Suzuki, T. (2004). Is There Any "Free" Choice?: Self and Dissonance in Two Cultures. </w:t>
      </w:r>
      <w:r w:rsidRPr="00B42E71">
        <w:rPr>
          <w:rFonts w:ascii="Arial" w:hAnsi="Arial" w:cs="Arial"/>
          <w:i/>
          <w:iCs/>
          <w:sz w:val="22"/>
          <w:szCs w:val="22"/>
        </w:rPr>
        <w:t>Psychological Science, 15</w:t>
      </w:r>
      <w:r w:rsidRPr="00B42E71">
        <w:rPr>
          <w:rFonts w:ascii="Arial" w:hAnsi="Arial" w:cs="Arial"/>
          <w:sz w:val="22"/>
          <w:szCs w:val="22"/>
        </w:rPr>
        <w:t>(8), 527–533. </w:t>
      </w:r>
      <w:hyperlink r:id="rId11" w:tgtFrame="_blank" w:history="1">
        <w:r w:rsidRPr="00B42E71">
          <w:rPr>
            <w:rStyle w:val="Hyperlink"/>
            <w:rFonts w:ascii="Arial" w:hAnsi="Arial" w:cs="Arial"/>
            <w:sz w:val="22"/>
            <w:szCs w:val="22"/>
          </w:rPr>
          <w:t>https://doi.org/10.1111/j.0956-7976.2004.00714.x</w:t>
        </w:r>
      </w:hyperlink>
    </w:p>
    <w:p w14:paraId="0925412B" w14:textId="1ACB4778" w:rsidR="00FF4362" w:rsidRDefault="00FF4362" w:rsidP="00CA23F0">
      <w:pPr>
        <w:spacing w:line="480" w:lineRule="auto"/>
        <w:jc w:val="both"/>
        <w:rPr>
          <w:rFonts w:ascii="Arial" w:hAnsi="Arial" w:cs="Arial"/>
          <w:sz w:val="22"/>
          <w:szCs w:val="22"/>
        </w:rPr>
      </w:pPr>
      <w:r w:rsidRPr="00CA23F0">
        <w:rPr>
          <w:rFonts w:ascii="Arial" w:hAnsi="Arial" w:cs="Arial"/>
          <w:sz w:val="22"/>
          <w:szCs w:val="22"/>
        </w:rPr>
        <w:t xml:space="preserve">Kurdi, B., </w:t>
      </w:r>
      <w:proofErr w:type="spellStart"/>
      <w:r w:rsidRPr="00CA23F0">
        <w:rPr>
          <w:rFonts w:ascii="Arial" w:hAnsi="Arial" w:cs="Arial"/>
          <w:sz w:val="22"/>
          <w:szCs w:val="22"/>
        </w:rPr>
        <w:t>Seitchik</w:t>
      </w:r>
      <w:proofErr w:type="spellEnd"/>
      <w:r w:rsidRPr="00CA23F0">
        <w:rPr>
          <w:rFonts w:ascii="Arial" w:hAnsi="Arial" w:cs="Arial"/>
          <w:sz w:val="22"/>
          <w:szCs w:val="22"/>
        </w:rPr>
        <w:t>, A.</w:t>
      </w:r>
      <w:r w:rsidR="001308BE" w:rsidRPr="00CA23F0">
        <w:rPr>
          <w:rFonts w:ascii="Arial" w:hAnsi="Arial" w:cs="Arial"/>
          <w:sz w:val="22"/>
          <w:szCs w:val="22"/>
        </w:rPr>
        <w:t xml:space="preserve"> </w:t>
      </w:r>
      <w:r w:rsidRPr="00CA23F0">
        <w:rPr>
          <w:rFonts w:ascii="Arial" w:hAnsi="Arial" w:cs="Arial"/>
          <w:sz w:val="22"/>
          <w:szCs w:val="22"/>
        </w:rPr>
        <w:t>E., Axt, J.</w:t>
      </w:r>
      <w:r w:rsidR="001308BE" w:rsidRPr="00CA23F0">
        <w:rPr>
          <w:rFonts w:ascii="Arial" w:hAnsi="Arial" w:cs="Arial"/>
          <w:sz w:val="22"/>
          <w:szCs w:val="22"/>
        </w:rPr>
        <w:t xml:space="preserve"> </w:t>
      </w:r>
      <w:r w:rsidRPr="00CA23F0">
        <w:rPr>
          <w:rFonts w:ascii="Arial" w:hAnsi="Arial" w:cs="Arial"/>
          <w:sz w:val="22"/>
          <w:szCs w:val="22"/>
        </w:rPr>
        <w:t>R., Carroll, T.</w:t>
      </w:r>
      <w:r w:rsidR="001308BE" w:rsidRPr="00CA23F0">
        <w:rPr>
          <w:rFonts w:ascii="Arial" w:hAnsi="Arial" w:cs="Arial"/>
          <w:sz w:val="22"/>
          <w:szCs w:val="22"/>
        </w:rPr>
        <w:t xml:space="preserve"> </w:t>
      </w:r>
      <w:r w:rsidRPr="00CA23F0">
        <w:rPr>
          <w:rFonts w:ascii="Arial" w:hAnsi="Arial" w:cs="Arial"/>
          <w:sz w:val="22"/>
          <w:szCs w:val="22"/>
        </w:rPr>
        <w:t xml:space="preserve"> J., Karapetyan, A., Kaushik, N., … &amp; Banaji, M.R. (2019). Relationship between the Implicit Association Test </w:t>
      </w:r>
      <w:r w:rsidR="001308BE" w:rsidRPr="00CA23F0">
        <w:rPr>
          <w:rFonts w:ascii="Arial" w:hAnsi="Arial" w:cs="Arial"/>
          <w:sz w:val="22"/>
          <w:szCs w:val="22"/>
        </w:rPr>
        <w:t xml:space="preserve">and intergroup </w:t>
      </w:r>
      <w:proofErr w:type="spellStart"/>
      <w:r w:rsidR="001308BE" w:rsidRPr="00CA23F0">
        <w:rPr>
          <w:rFonts w:ascii="Arial" w:hAnsi="Arial" w:cs="Arial"/>
          <w:sz w:val="22"/>
          <w:szCs w:val="22"/>
        </w:rPr>
        <w:t>behavior</w:t>
      </w:r>
      <w:proofErr w:type="spellEnd"/>
      <w:r w:rsidR="001308BE" w:rsidRPr="00CA23F0">
        <w:rPr>
          <w:rFonts w:ascii="Arial" w:hAnsi="Arial" w:cs="Arial"/>
          <w:sz w:val="22"/>
          <w:szCs w:val="22"/>
        </w:rPr>
        <w:t xml:space="preserve">: A meta-analysis. </w:t>
      </w:r>
      <w:r w:rsidR="001308BE" w:rsidRPr="00CA23F0">
        <w:rPr>
          <w:rFonts w:ascii="Arial" w:hAnsi="Arial" w:cs="Arial"/>
          <w:i/>
          <w:iCs/>
          <w:sz w:val="22"/>
          <w:szCs w:val="22"/>
        </w:rPr>
        <w:t>American Psychologist, 74</w:t>
      </w:r>
      <w:r w:rsidR="001308BE" w:rsidRPr="00CA23F0">
        <w:rPr>
          <w:rFonts w:ascii="Arial" w:hAnsi="Arial" w:cs="Arial"/>
          <w:sz w:val="22"/>
          <w:szCs w:val="22"/>
        </w:rPr>
        <w:t xml:space="preserve">(5), 569-586. </w:t>
      </w:r>
      <w:hyperlink r:id="rId12" w:history="1">
        <w:r w:rsidR="001308BE" w:rsidRPr="00CA23F0">
          <w:rPr>
            <w:rStyle w:val="Hyperlink"/>
            <w:rFonts w:ascii="Arial" w:hAnsi="Arial" w:cs="Arial"/>
            <w:sz w:val="22"/>
            <w:szCs w:val="22"/>
          </w:rPr>
          <w:t>https://doi.org/10.1037/amp0000364</w:t>
        </w:r>
      </w:hyperlink>
    </w:p>
    <w:p w14:paraId="7E827378" w14:textId="2498C88F" w:rsidR="0053165D" w:rsidRPr="00CA23F0" w:rsidRDefault="0053165D" w:rsidP="00CA23F0">
      <w:pPr>
        <w:spacing w:line="480" w:lineRule="auto"/>
        <w:jc w:val="both"/>
        <w:rPr>
          <w:rFonts w:ascii="Arial" w:hAnsi="Arial" w:cs="Arial"/>
          <w:sz w:val="22"/>
          <w:szCs w:val="22"/>
        </w:rPr>
      </w:pPr>
      <w:r w:rsidRPr="0053165D">
        <w:rPr>
          <w:rFonts w:ascii="Arial" w:hAnsi="Arial" w:cs="Arial"/>
          <w:sz w:val="22"/>
          <w:szCs w:val="22"/>
        </w:rPr>
        <w:t xml:space="preserve">Mertens, E.C.A., </w:t>
      </w:r>
      <w:proofErr w:type="spellStart"/>
      <w:r w:rsidRPr="0053165D">
        <w:rPr>
          <w:rFonts w:ascii="Arial" w:hAnsi="Arial" w:cs="Arial"/>
          <w:sz w:val="22"/>
          <w:szCs w:val="22"/>
        </w:rPr>
        <w:t>Deković</w:t>
      </w:r>
      <w:proofErr w:type="spellEnd"/>
      <w:r w:rsidRPr="0053165D">
        <w:rPr>
          <w:rFonts w:ascii="Arial" w:hAnsi="Arial" w:cs="Arial"/>
          <w:sz w:val="22"/>
          <w:szCs w:val="22"/>
        </w:rPr>
        <w:t>, M., Van Londen, M</w:t>
      </w:r>
      <w:r>
        <w:rPr>
          <w:rFonts w:ascii="Arial" w:hAnsi="Arial" w:cs="Arial"/>
          <w:sz w:val="22"/>
          <w:szCs w:val="22"/>
        </w:rPr>
        <w:t>., Reitz, E. (2021)</w:t>
      </w:r>
      <w:r w:rsidRPr="0053165D">
        <w:rPr>
          <w:rFonts w:ascii="Arial" w:hAnsi="Arial" w:cs="Arial"/>
          <w:i/>
          <w:iCs/>
          <w:sz w:val="22"/>
          <w:szCs w:val="22"/>
        </w:rPr>
        <w:t>.</w:t>
      </w:r>
      <w:r w:rsidRPr="0053165D">
        <w:rPr>
          <w:rFonts w:ascii="Arial" w:hAnsi="Arial" w:cs="Arial"/>
          <w:sz w:val="22"/>
          <w:szCs w:val="22"/>
        </w:rPr>
        <w:t xml:space="preserve"> The Role of Classmates’ </w:t>
      </w:r>
      <w:proofErr w:type="spellStart"/>
      <w:r w:rsidRPr="0053165D">
        <w:rPr>
          <w:rFonts w:ascii="Arial" w:hAnsi="Arial" w:cs="Arial"/>
          <w:sz w:val="22"/>
          <w:szCs w:val="22"/>
        </w:rPr>
        <w:t>Modeling</w:t>
      </w:r>
      <w:proofErr w:type="spellEnd"/>
      <w:r w:rsidRPr="0053165D">
        <w:rPr>
          <w:rFonts w:ascii="Arial" w:hAnsi="Arial" w:cs="Arial"/>
          <w:sz w:val="22"/>
          <w:szCs w:val="22"/>
        </w:rPr>
        <w:t xml:space="preserve"> and Reinforcement in Adolescents’ Perceived Classroom Peer Context. </w:t>
      </w:r>
      <w:r w:rsidRPr="0053165D">
        <w:rPr>
          <w:rFonts w:ascii="Arial" w:hAnsi="Arial" w:cs="Arial"/>
          <w:i/>
          <w:iCs/>
          <w:sz w:val="22"/>
          <w:szCs w:val="22"/>
        </w:rPr>
        <w:t>J Youth Adolescence</w:t>
      </w:r>
      <w:r w:rsidRPr="0053165D">
        <w:rPr>
          <w:rFonts w:ascii="Arial" w:hAnsi="Arial" w:cs="Arial"/>
          <w:sz w:val="22"/>
          <w:szCs w:val="22"/>
        </w:rPr>
        <w:t> </w:t>
      </w:r>
      <w:r w:rsidRPr="0053165D">
        <w:rPr>
          <w:rFonts w:ascii="Arial" w:hAnsi="Arial" w:cs="Arial"/>
          <w:b/>
          <w:bCs/>
          <w:sz w:val="22"/>
          <w:szCs w:val="22"/>
        </w:rPr>
        <w:t>50</w:t>
      </w:r>
      <w:r w:rsidRPr="0053165D">
        <w:rPr>
          <w:rFonts w:ascii="Arial" w:hAnsi="Arial" w:cs="Arial"/>
          <w:sz w:val="22"/>
          <w:szCs w:val="22"/>
        </w:rPr>
        <w:t>, 260–270. https://doi.org/10.1007/s10964-020-01325-8</w:t>
      </w:r>
    </w:p>
    <w:p w14:paraId="123B1DF2" w14:textId="061D15E2" w:rsidR="001308BE" w:rsidRPr="00CA23F0" w:rsidRDefault="001308BE" w:rsidP="00CA23F0">
      <w:pPr>
        <w:spacing w:line="480" w:lineRule="auto"/>
        <w:jc w:val="both"/>
        <w:rPr>
          <w:rFonts w:ascii="Arial" w:hAnsi="Arial" w:cs="Arial"/>
          <w:sz w:val="22"/>
          <w:szCs w:val="22"/>
        </w:rPr>
      </w:pPr>
      <w:proofErr w:type="spellStart"/>
      <w:r w:rsidRPr="00CA23F0">
        <w:rPr>
          <w:rFonts w:ascii="Arial" w:hAnsi="Arial" w:cs="Arial"/>
          <w:sz w:val="22"/>
          <w:szCs w:val="22"/>
        </w:rPr>
        <w:t>McEachan</w:t>
      </w:r>
      <w:proofErr w:type="spellEnd"/>
      <w:r w:rsidRPr="00CA23F0">
        <w:rPr>
          <w:rFonts w:ascii="Arial" w:hAnsi="Arial" w:cs="Arial"/>
          <w:sz w:val="22"/>
          <w:szCs w:val="22"/>
        </w:rPr>
        <w:t xml:space="preserve">, R. R. C., Taylor, N. J., Harrison, R., Lawton, R. J., Gardner, P., &amp; Conner, M. (2016). Meta-analysis of the Reasoned Action Approach (RAA) to understanding health </w:t>
      </w:r>
      <w:proofErr w:type="spellStart"/>
      <w:r w:rsidRPr="00CA23F0">
        <w:rPr>
          <w:rFonts w:ascii="Arial" w:hAnsi="Arial" w:cs="Arial"/>
          <w:sz w:val="22"/>
          <w:szCs w:val="22"/>
        </w:rPr>
        <w:t>behaviors</w:t>
      </w:r>
      <w:proofErr w:type="spellEnd"/>
      <w:r w:rsidRPr="00CA23F0">
        <w:rPr>
          <w:rFonts w:ascii="Arial" w:hAnsi="Arial" w:cs="Arial"/>
          <w:sz w:val="22"/>
          <w:szCs w:val="22"/>
        </w:rPr>
        <w:t xml:space="preserve">. </w:t>
      </w:r>
      <w:r w:rsidRPr="00CA23F0">
        <w:rPr>
          <w:rFonts w:ascii="Arial" w:hAnsi="Arial" w:cs="Arial"/>
          <w:i/>
          <w:iCs/>
          <w:sz w:val="22"/>
          <w:szCs w:val="22"/>
        </w:rPr>
        <w:t xml:space="preserve">Annals of </w:t>
      </w:r>
      <w:proofErr w:type="spellStart"/>
      <w:r w:rsidRPr="00CA23F0">
        <w:rPr>
          <w:rFonts w:ascii="Arial" w:hAnsi="Arial" w:cs="Arial"/>
          <w:i/>
          <w:iCs/>
          <w:sz w:val="22"/>
          <w:szCs w:val="22"/>
        </w:rPr>
        <w:t>Behavioral</w:t>
      </w:r>
      <w:proofErr w:type="spellEnd"/>
      <w:r w:rsidRPr="00CA23F0">
        <w:rPr>
          <w:rFonts w:ascii="Arial" w:hAnsi="Arial" w:cs="Arial"/>
          <w:i/>
          <w:iCs/>
          <w:sz w:val="22"/>
          <w:szCs w:val="22"/>
        </w:rPr>
        <w:t xml:space="preserve"> Medicine, 50</w:t>
      </w:r>
      <w:r w:rsidRPr="00CA23F0">
        <w:rPr>
          <w:rFonts w:ascii="Arial" w:hAnsi="Arial" w:cs="Arial"/>
          <w:sz w:val="22"/>
          <w:szCs w:val="22"/>
        </w:rPr>
        <w:t xml:space="preserve">(4), 592-612. </w:t>
      </w:r>
      <w:hyperlink r:id="rId13" w:history="1">
        <w:r w:rsidRPr="00CA23F0">
          <w:rPr>
            <w:rStyle w:val="Hyperlink"/>
            <w:rFonts w:ascii="Arial" w:hAnsi="Arial" w:cs="Arial"/>
            <w:sz w:val="22"/>
            <w:szCs w:val="22"/>
          </w:rPr>
          <w:t>https://doi.org/10.1007/s12160-016-9798-4</w:t>
        </w:r>
      </w:hyperlink>
    </w:p>
    <w:p w14:paraId="4B41AE04" w14:textId="5904053D" w:rsidR="001308BE" w:rsidRDefault="001308BE" w:rsidP="00CA23F0">
      <w:pPr>
        <w:spacing w:line="480" w:lineRule="auto"/>
        <w:jc w:val="both"/>
        <w:rPr>
          <w:rFonts w:ascii="Arial" w:hAnsi="Arial" w:cs="Arial"/>
          <w:sz w:val="22"/>
          <w:szCs w:val="22"/>
        </w:rPr>
      </w:pPr>
      <w:r w:rsidRPr="00CA23F0">
        <w:rPr>
          <w:rFonts w:ascii="Arial" w:hAnsi="Arial" w:cs="Arial"/>
          <w:sz w:val="22"/>
          <w:szCs w:val="22"/>
        </w:rPr>
        <w:lastRenderedPageBreak/>
        <w:t xml:space="preserve">Mesch, G. S., &amp; Talmud, I. (2020). Digital </w:t>
      </w:r>
      <w:proofErr w:type="spellStart"/>
      <w:r w:rsidRPr="00CA23F0">
        <w:rPr>
          <w:rFonts w:ascii="Arial" w:hAnsi="Arial" w:cs="Arial"/>
          <w:sz w:val="22"/>
          <w:szCs w:val="22"/>
        </w:rPr>
        <w:t>behavior</w:t>
      </w:r>
      <w:proofErr w:type="spellEnd"/>
      <w:r w:rsidRPr="00CA23F0">
        <w:rPr>
          <w:rFonts w:ascii="Arial" w:hAnsi="Arial" w:cs="Arial"/>
          <w:sz w:val="22"/>
          <w:szCs w:val="22"/>
        </w:rPr>
        <w:t xml:space="preserve"> and social learning in adolescence: A new research agenda. </w:t>
      </w:r>
      <w:r w:rsidRPr="00CA23F0">
        <w:rPr>
          <w:rFonts w:ascii="Arial" w:hAnsi="Arial" w:cs="Arial"/>
          <w:i/>
          <w:iCs/>
          <w:sz w:val="22"/>
          <w:szCs w:val="22"/>
        </w:rPr>
        <w:t>New Media &amp; Society, 22</w:t>
      </w:r>
      <w:r w:rsidRPr="00CA23F0">
        <w:rPr>
          <w:rFonts w:ascii="Arial" w:hAnsi="Arial" w:cs="Arial"/>
          <w:sz w:val="22"/>
          <w:szCs w:val="22"/>
        </w:rPr>
        <w:t xml:space="preserve">(8), 1432-1448. </w:t>
      </w:r>
      <w:hyperlink r:id="rId14" w:history="1">
        <w:r w:rsidRPr="00CA23F0">
          <w:rPr>
            <w:rStyle w:val="Hyperlink"/>
            <w:rFonts w:ascii="Arial" w:hAnsi="Arial" w:cs="Arial"/>
            <w:sz w:val="22"/>
            <w:szCs w:val="22"/>
          </w:rPr>
          <w:t>https://doi.org/10.1177/1461444819875991</w:t>
        </w:r>
      </w:hyperlink>
    </w:p>
    <w:p w14:paraId="399B6838" w14:textId="77777777" w:rsidR="0053165D" w:rsidRDefault="0044393C" w:rsidP="00CA23F0">
      <w:pPr>
        <w:spacing w:line="480" w:lineRule="auto"/>
        <w:jc w:val="both"/>
        <w:rPr>
          <w:rFonts w:ascii="Arial" w:hAnsi="Arial" w:cs="Arial"/>
          <w:sz w:val="22"/>
          <w:szCs w:val="22"/>
        </w:rPr>
      </w:pPr>
      <w:r>
        <w:rPr>
          <w:rFonts w:ascii="Arial" w:hAnsi="Arial" w:cs="Arial"/>
          <w:sz w:val="22"/>
          <w:szCs w:val="22"/>
        </w:rPr>
        <w:t xml:space="preserve">Rusby, J. C., Westling, E., Crowley, r. &amp; Light, J. M. (2013). Concurrent and predictive associations between early adolescent perceptions of peer affiliates and mood states collected in real time via ecological momentary assessment methodology. </w:t>
      </w:r>
      <w:r>
        <w:rPr>
          <w:rFonts w:ascii="Arial" w:hAnsi="Arial" w:cs="Arial"/>
          <w:i/>
          <w:iCs/>
          <w:sz w:val="22"/>
          <w:szCs w:val="22"/>
        </w:rPr>
        <w:t>Journal of Youth and Adolescence, 42</w:t>
      </w:r>
      <w:r>
        <w:rPr>
          <w:rFonts w:ascii="Arial" w:hAnsi="Arial" w:cs="Arial"/>
          <w:sz w:val="22"/>
          <w:szCs w:val="22"/>
        </w:rPr>
        <w:t xml:space="preserve">(1), 1-14. </w:t>
      </w:r>
      <w:hyperlink r:id="rId15" w:history="1">
        <w:r w:rsidRPr="00DD2749">
          <w:rPr>
            <w:rStyle w:val="Hyperlink"/>
            <w:rFonts w:ascii="Arial" w:hAnsi="Arial" w:cs="Arial"/>
            <w:sz w:val="22"/>
            <w:szCs w:val="22"/>
          </w:rPr>
          <w:t>https://doi.org/10.1037/a0030393</w:t>
        </w:r>
      </w:hyperlink>
    </w:p>
    <w:p w14:paraId="2379BA76" w14:textId="1F5C7905" w:rsidR="001308BE" w:rsidRPr="0053165D" w:rsidRDefault="001308BE" w:rsidP="00CA23F0">
      <w:pPr>
        <w:spacing w:line="480" w:lineRule="auto"/>
        <w:jc w:val="both"/>
        <w:rPr>
          <w:rFonts w:ascii="Arial" w:hAnsi="Arial" w:cs="Arial"/>
          <w:sz w:val="22"/>
          <w:szCs w:val="22"/>
        </w:rPr>
      </w:pPr>
      <w:r w:rsidRPr="0053165D">
        <w:rPr>
          <w:rFonts w:ascii="Arial" w:hAnsi="Arial" w:cs="Arial"/>
          <w:sz w:val="22"/>
          <w:szCs w:val="22"/>
        </w:rPr>
        <w:t xml:space="preserve">Shiffman, S., Stone, A. A., &amp; Hufford, M. R. (2008). Ecological momentary assessment. </w:t>
      </w:r>
      <w:r w:rsidRPr="0053165D">
        <w:rPr>
          <w:rFonts w:ascii="Arial" w:hAnsi="Arial" w:cs="Arial"/>
          <w:i/>
          <w:iCs/>
          <w:sz w:val="22"/>
          <w:szCs w:val="22"/>
        </w:rPr>
        <w:t>Annual Review of Clinical Psychology</w:t>
      </w:r>
      <w:r w:rsidR="00ED7025" w:rsidRPr="0053165D">
        <w:rPr>
          <w:rFonts w:ascii="Arial" w:hAnsi="Arial" w:cs="Arial"/>
          <w:i/>
          <w:iCs/>
          <w:sz w:val="22"/>
          <w:szCs w:val="22"/>
        </w:rPr>
        <w:t xml:space="preserve">, 4, </w:t>
      </w:r>
      <w:r w:rsidR="00ED7025" w:rsidRPr="0053165D">
        <w:rPr>
          <w:rFonts w:ascii="Arial" w:hAnsi="Arial" w:cs="Arial"/>
          <w:sz w:val="22"/>
          <w:szCs w:val="22"/>
        </w:rPr>
        <w:t>1-32.</w:t>
      </w:r>
      <w:r w:rsidR="0053165D" w:rsidRPr="0053165D">
        <w:rPr>
          <w:rFonts w:ascii="Arial" w:hAnsi="Arial" w:cs="Arial"/>
          <w:sz w:val="22"/>
          <w:szCs w:val="22"/>
        </w:rPr>
        <w:t xml:space="preserve"> https://doi.org/10.1146/annurev.clinpsy.3.022806.091415</w:t>
      </w:r>
    </w:p>
    <w:p w14:paraId="5E4EA01F" w14:textId="1D127057" w:rsidR="00ED7025" w:rsidRPr="00EC733F" w:rsidRDefault="00ED7025" w:rsidP="00CA23F0">
      <w:pPr>
        <w:spacing w:line="480" w:lineRule="auto"/>
        <w:jc w:val="both"/>
        <w:rPr>
          <w:rFonts w:ascii="Arial" w:hAnsi="Arial" w:cs="Arial"/>
          <w:sz w:val="22"/>
          <w:szCs w:val="22"/>
        </w:rPr>
      </w:pPr>
      <w:r w:rsidRPr="00EC733F">
        <w:rPr>
          <w:rFonts w:ascii="Arial" w:hAnsi="Arial" w:cs="Arial"/>
          <w:sz w:val="22"/>
          <w:szCs w:val="22"/>
        </w:rPr>
        <w:t xml:space="preserve">Tannenbaum, M. B., Helper, J., Zimmerman, R. S., Saul, L., Jacobs, S., Wilson, K., &amp; </w:t>
      </w:r>
      <w:proofErr w:type="spellStart"/>
      <w:r w:rsidRPr="00EC733F">
        <w:rPr>
          <w:rFonts w:ascii="Arial" w:hAnsi="Arial" w:cs="Arial"/>
          <w:sz w:val="22"/>
          <w:szCs w:val="22"/>
        </w:rPr>
        <w:t>Albarracín</w:t>
      </w:r>
      <w:proofErr w:type="spellEnd"/>
      <w:r w:rsidRPr="00EC733F">
        <w:rPr>
          <w:rFonts w:ascii="Arial" w:hAnsi="Arial" w:cs="Arial"/>
          <w:sz w:val="22"/>
          <w:szCs w:val="22"/>
        </w:rPr>
        <w:t xml:space="preserve">, D. (2015). Appealing to fear: A meta-analysis of fear appeal effectiveness and theories. </w:t>
      </w:r>
      <w:r w:rsidRPr="00EC733F">
        <w:rPr>
          <w:rFonts w:ascii="Arial" w:hAnsi="Arial" w:cs="Arial"/>
          <w:i/>
          <w:iCs/>
          <w:sz w:val="22"/>
          <w:szCs w:val="22"/>
        </w:rPr>
        <w:t>Psychological Bulletin, 141</w:t>
      </w:r>
      <w:r w:rsidRPr="00EC733F">
        <w:rPr>
          <w:rFonts w:ascii="Arial" w:hAnsi="Arial" w:cs="Arial"/>
          <w:sz w:val="22"/>
          <w:szCs w:val="22"/>
        </w:rPr>
        <w:t xml:space="preserve">(6), 1178-1204. </w:t>
      </w:r>
      <w:hyperlink r:id="rId16" w:history="1">
        <w:r w:rsidRPr="00EC733F">
          <w:rPr>
            <w:rStyle w:val="Hyperlink"/>
            <w:rFonts w:ascii="Arial" w:hAnsi="Arial" w:cs="Arial"/>
            <w:color w:val="auto"/>
            <w:sz w:val="22"/>
            <w:szCs w:val="22"/>
          </w:rPr>
          <w:t>https://doi.org/10.1037/a0039729</w:t>
        </w:r>
      </w:hyperlink>
    </w:p>
    <w:p w14:paraId="78B1D9A9" w14:textId="0FF9DF1E" w:rsidR="00ED7025" w:rsidRPr="00EC733F" w:rsidRDefault="00ED7025" w:rsidP="00CA23F0">
      <w:pPr>
        <w:spacing w:line="480" w:lineRule="auto"/>
        <w:jc w:val="both"/>
        <w:rPr>
          <w:rFonts w:ascii="Arial" w:hAnsi="Arial" w:cs="Arial"/>
          <w:sz w:val="22"/>
          <w:szCs w:val="22"/>
        </w:rPr>
      </w:pPr>
      <w:r w:rsidRPr="00EC733F">
        <w:rPr>
          <w:rFonts w:ascii="Arial" w:hAnsi="Arial" w:cs="Arial"/>
          <w:sz w:val="22"/>
          <w:szCs w:val="22"/>
        </w:rPr>
        <w:t xml:space="preserve">Van der Linden, S., Maibach, E., &amp; Leiserowitz, A. (2021). Improving public engagement with climate change: Five “best practice” insights from psychological science. </w:t>
      </w:r>
      <w:r w:rsidRPr="00EC733F">
        <w:rPr>
          <w:rFonts w:ascii="Arial" w:hAnsi="Arial" w:cs="Arial"/>
          <w:i/>
          <w:iCs/>
          <w:sz w:val="22"/>
          <w:szCs w:val="22"/>
        </w:rPr>
        <w:t>Perspectives on Psychological Science, 16</w:t>
      </w:r>
      <w:r w:rsidRPr="00EC733F">
        <w:rPr>
          <w:rFonts w:ascii="Arial" w:hAnsi="Arial" w:cs="Arial"/>
          <w:sz w:val="22"/>
          <w:szCs w:val="22"/>
        </w:rPr>
        <w:t xml:space="preserve">(4), 759-776. </w:t>
      </w:r>
      <w:hyperlink r:id="rId17" w:history="1">
        <w:r w:rsidR="00EC733F" w:rsidRPr="00DD2749">
          <w:rPr>
            <w:rStyle w:val="Hyperlink"/>
            <w:rFonts w:ascii="Arial" w:hAnsi="Arial" w:cs="Arial"/>
            <w:sz w:val="22"/>
            <w:szCs w:val="22"/>
          </w:rPr>
          <w:t>https://doi.org/10.1177/1745691615598516</w:t>
        </w:r>
      </w:hyperlink>
      <w:r w:rsidR="00EC733F">
        <w:rPr>
          <w:rFonts w:ascii="Arial" w:hAnsi="Arial" w:cs="Arial"/>
          <w:sz w:val="22"/>
          <w:szCs w:val="22"/>
        </w:rPr>
        <w:t xml:space="preserve"> </w:t>
      </w:r>
    </w:p>
    <w:p w14:paraId="7EBC8220" w14:textId="77777777" w:rsidR="00EC733F" w:rsidRPr="00CA23F0" w:rsidRDefault="00EC733F" w:rsidP="00CA23F0">
      <w:pPr>
        <w:spacing w:line="480" w:lineRule="auto"/>
        <w:jc w:val="both"/>
        <w:rPr>
          <w:rFonts w:ascii="Arial" w:hAnsi="Arial" w:cs="Arial"/>
          <w:color w:val="3A7C22" w:themeColor="accent6" w:themeShade="BF"/>
          <w:sz w:val="22"/>
          <w:szCs w:val="22"/>
        </w:rPr>
      </w:pPr>
    </w:p>
    <w:p w14:paraId="65A612CE" w14:textId="77777777" w:rsidR="006C365E" w:rsidRPr="00CA23F0" w:rsidRDefault="006C365E" w:rsidP="00CA23F0">
      <w:pPr>
        <w:spacing w:line="480" w:lineRule="auto"/>
        <w:jc w:val="both"/>
        <w:rPr>
          <w:rFonts w:ascii="Arial" w:hAnsi="Arial" w:cs="Arial"/>
          <w:color w:val="3A7C22" w:themeColor="accent6" w:themeShade="BF"/>
          <w:sz w:val="22"/>
          <w:szCs w:val="22"/>
        </w:rPr>
      </w:pPr>
    </w:p>
    <w:p w14:paraId="2E49EFFB" w14:textId="77777777" w:rsidR="00FF4362" w:rsidRPr="00CA23F0" w:rsidRDefault="00FF4362" w:rsidP="00CA23F0">
      <w:pPr>
        <w:spacing w:line="480" w:lineRule="auto"/>
        <w:jc w:val="both"/>
        <w:rPr>
          <w:rFonts w:ascii="Arial" w:hAnsi="Arial" w:cs="Arial"/>
          <w:sz w:val="22"/>
          <w:szCs w:val="22"/>
        </w:rPr>
      </w:pPr>
    </w:p>
    <w:p w14:paraId="0D73A664" w14:textId="77777777" w:rsidR="008D0E7F" w:rsidRPr="00CA23F0" w:rsidRDefault="008D0E7F" w:rsidP="00CA23F0">
      <w:pPr>
        <w:spacing w:line="480" w:lineRule="auto"/>
        <w:jc w:val="both"/>
        <w:rPr>
          <w:rFonts w:ascii="Arial" w:hAnsi="Arial" w:cs="Arial"/>
          <w:sz w:val="22"/>
          <w:szCs w:val="22"/>
        </w:rPr>
      </w:pPr>
    </w:p>
    <w:p w14:paraId="736C0EDC" w14:textId="77777777" w:rsidR="0066590F" w:rsidRPr="00CA23F0" w:rsidRDefault="0066590F" w:rsidP="00CA23F0">
      <w:pPr>
        <w:spacing w:line="480" w:lineRule="auto"/>
        <w:jc w:val="both"/>
        <w:rPr>
          <w:rFonts w:ascii="Arial" w:hAnsi="Arial" w:cs="Arial"/>
          <w:sz w:val="22"/>
          <w:szCs w:val="22"/>
        </w:rPr>
      </w:pPr>
    </w:p>
    <w:p w14:paraId="76B6F25B" w14:textId="77777777" w:rsidR="0066590F" w:rsidRPr="00CA23F0" w:rsidRDefault="0066590F" w:rsidP="00CA23F0">
      <w:pPr>
        <w:spacing w:line="480" w:lineRule="auto"/>
        <w:jc w:val="both"/>
        <w:rPr>
          <w:rFonts w:ascii="Arial" w:hAnsi="Arial" w:cs="Arial"/>
          <w:sz w:val="22"/>
          <w:szCs w:val="22"/>
        </w:rPr>
      </w:pPr>
    </w:p>
    <w:p w14:paraId="56CD275A" w14:textId="77777777" w:rsidR="00C3767F" w:rsidRPr="00CA23F0" w:rsidRDefault="00C3767F" w:rsidP="00CA23F0">
      <w:pPr>
        <w:spacing w:line="480" w:lineRule="auto"/>
        <w:jc w:val="both"/>
        <w:rPr>
          <w:rFonts w:ascii="Arial" w:hAnsi="Arial" w:cs="Arial"/>
          <w:sz w:val="22"/>
          <w:szCs w:val="22"/>
        </w:rPr>
      </w:pPr>
    </w:p>
    <w:sectPr w:rsidR="00C3767F" w:rsidRPr="00CA23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D3"/>
    <w:rsid w:val="000B7E99"/>
    <w:rsid w:val="000F06B7"/>
    <w:rsid w:val="001308BE"/>
    <w:rsid w:val="00164E6E"/>
    <w:rsid w:val="001B1D4F"/>
    <w:rsid w:val="002B74BF"/>
    <w:rsid w:val="003905C1"/>
    <w:rsid w:val="003A2EFB"/>
    <w:rsid w:val="004122EE"/>
    <w:rsid w:val="00415803"/>
    <w:rsid w:val="0044393C"/>
    <w:rsid w:val="004513F4"/>
    <w:rsid w:val="004A5F3D"/>
    <w:rsid w:val="0053165D"/>
    <w:rsid w:val="00545634"/>
    <w:rsid w:val="0066590F"/>
    <w:rsid w:val="006C365E"/>
    <w:rsid w:val="008158D3"/>
    <w:rsid w:val="008323C4"/>
    <w:rsid w:val="00881921"/>
    <w:rsid w:val="008A2E1C"/>
    <w:rsid w:val="008B1B75"/>
    <w:rsid w:val="008D0E7F"/>
    <w:rsid w:val="008D2A2F"/>
    <w:rsid w:val="008E1563"/>
    <w:rsid w:val="00A14C01"/>
    <w:rsid w:val="00A87478"/>
    <w:rsid w:val="00AB0788"/>
    <w:rsid w:val="00B42E71"/>
    <w:rsid w:val="00BE1AD4"/>
    <w:rsid w:val="00BE4E70"/>
    <w:rsid w:val="00BF58E6"/>
    <w:rsid w:val="00C3767F"/>
    <w:rsid w:val="00C60BDD"/>
    <w:rsid w:val="00CA23F0"/>
    <w:rsid w:val="00DB5F20"/>
    <w:rsid w:val="00E235F9"/>
    <w:rsid w:val="00EC733F"/>
    <w:rsid w:val="00ED7025"/>
    <w:rsid w:val="00FC175E"/>
    <w:rsid w:val="00FF4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37362"/>
  <w15:chartTrackingRefBased/>
  <w15:docId w15:val="{ADA3D9DE-56E3-4488-857F-51B8901A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8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8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8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8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8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8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8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8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8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8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8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8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8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8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8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8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8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8D3"/>
    <w:rPr>
      <w:rFonts w:eastAsiaTheme="majorEastAsia" w:cstheme="majorBidi"/>
      <w:color w:val="272727" w:themeColor="text1" w:themeTint="D8"/>
    </w:rPr>
  </w:style>
  <w:style w:type="paragraph" w:styleId="Title">
    <w:name w:val="Title"/>
    <w:basedOn w:val="Normal"/>
    <w:next w:val="Normal"/>
    <w:link w:val="TitleChar"/>
    <w:uiPriority w:val="10"/>
    <w:qFormat/>
    <w:rsid w:val="00815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8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8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8D3"/>
    <w:pPr>
      <w:spacing w:before="160"/>
      <w:jc w:val="center"/>
    </w:pPr>
    <w:rPr>
      <w:i/>
      <w:iCs/>
      <w:color w:val="404040" w:themeColor="text1" w:themeTint="BF"/>
    </w:rPr>
  </w:style>
  <w:style w:type="character" w:customStyle="1" w:styleId="QuoteChar">
    <w:name w:val="Quote Char"/>
    <w:basedOn w:val="DefaultParagraphFont"/>
    <w:link w:val="Quote"/>
    <w:uiPriority w:val="29"/>
    <w:rsid w:val="008158D3"/>
    <w:rPr>
      <w:i/>
      <w:iCs/>
      <w:color w:val="404040" w:themeColor="text1" w:themeTint="BF"/>
    </w:rPr>
  </w:style>
  <w:style w:type="paragraph" w:styleId="ListParagraph">
    <w:name w:val="List Paragraph"/>
    <w:basedOn w:val="Normal"/>
    <w:uiPriority w:val="34"/>
    <w:qFormat/>
    <w:rsid w:val="008158D3"/>
    <w:pPr>
      <w:ind w:left="720"/>
      <w:contextualSpacing/>
    </w:pPr>
  </w:style>
  <w:style w:type="character" w:styleId="IntenseEmphasis">
    <w:name w:val="Intense Emphasis"/>
    <w:basedOn w:val="DefaultParagraphFont"/>
    <w:uiPriority w:val="21"/>
    <w:qFormat/>
    <w:rsid w:val="008158D3"/>
    <w:rPr>
      <w:i/>
      <w:iCs/>
      <w:color w:val="0F4761" w:themeColor="accent1" w:themeShade="BF"/>
    </w:rPr>
  </w:style>
  <w:style w:type="paragraph" w:styleId="IntenseQuote">
    <w:name w:val="Intense Quote"/>
    <w:basedOn w:val="Normal"/>
    <w:next w:val="Normal"/>
    <w:link w:val="IntenseQuoteChar"/>
    <w:uiPriority w:val="30"/>
    <w:qFormat/>
    <w:rsid w:val="008158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8D3"/>
    <w:rPr>
      <w:i/>
      <w:iCs/>
      <w:color w:val="0F4761" w:themeColor="accent1" w:themeShade="BF"/>
    </w:rPr>
  </w:style>
  <w:style w:type="character" w:styleId="IntenseReference">
    <w:name w:val="Intense Reference"/>
    <w:basedOn w:val="DefaultParagraphFont"/>
    <w:uiPriority w:val="32"/>
    <w:qFormat/>
    <w:rsid w:val="008158D3"/>
    <w:rPr>
      <w:b/>
      <w:bCs/>
      <w:smallCaps/>
      <w:color w:val="0F4761" w:themeColor="accent1" w:themeShade="BF"/>
      <w:spacing w:val="5"/>
    </w:rPr>
  </w:style>
  <w:style w:type="character" w:styleId="Hyperlink">
    <w:name w:val="Hyperlink"/>
    <w:basedOn w:val="DefaultParagraphFont"/>
    <w:uiPriority w:val="99"/>
    <w:unhideWhenUsed/>
    <w:rsid w:val="00A14C01"/>
    <w:rPr>
      <w:color w:val="467886" w:themeColor="hyperlink"/>
      <w:u w:val="single"/>
    </w:rPr>
  </w:style>
  <w:style w:type="character" w:styleId="UnresolvedMention">
    <w:name w:val="Unresolved Mention"/>
    <w:basedOn w:val="DefaultParagraphFont"/>
    <w:uiPriority w:val="99"/>
    <w:semiHidden/>
    <w:unhideWhenUsed/>
    <w:rsid w:val="00A14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15575" TargetMode="External"/><Relationship Id="rId13" Type="http://schemas.openxmlformats.org/officeDocument/2006/relationships/hyperlink" Target="https://doi.org/10.1007/s12160-016-9798-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37/h0041593" TargetMode="External"/><Relationship Id="rId12" Type="http://schemas.openxmlformats.org/officeDocument/2006/relationships/hyperlink" Target="https://doi.org/10.1037/amp0000364" TargetMode="External"/><Relationship Id="rId17" Type="http://schemas.openxmlformats.org/officeDocument/2006/relationships/hyperlink" Target="https://doi.org/10.1177/1745691615598516" TargetMode="External"/><Relationship Id="rId2" Type="http://schemas.openxmlformats.org/officeDocument/2006/relationships/settings" Target="settings.xml"/><Relationship Id="rId16" Type="http://schemas.openxmlformats.org/officeDocument/2006/relationships/hyperlink" Target="https://doi.org/10.1037/a0039729" TargetMode="External"/><Relationship Id="rId1" Type="http://schemas.openxmlformats.org/officeDocument/2006/relationships/styles" Target="styles.xml"/><Relationship Id="rId6" Type="http://schemas.openxmlformats.org/officeDocument/2006/relationships/hyperlink" Target="https://doi.org/10.1038/s41562-021-01145-1" TargetMode="External"/><Relationship Id="rId11" Type="http://schemas.openxmlformats.org/officeDocument/2006/relationships/hyperlink" Target="https://psycnet.apa.org/doi/10.1111/j.0956-7976.2004.00714.x" TargetMode="External"/><Relationship Id="rId5" Type="http://schemas.openxmlformats.org/officeDocument/2006/relationships/hyperlink" Target="https://doi.org/10.1348/014466601164939" TargetMode="External"/><Relationship Id="rId15" Type="http://schemas.openxmlformats.org/officeDocument/2006/relationships/hyperlink" Target="https://doi.org/10.1037/a0030393" TargetMode="External"/><Relationship Id="rId10" Type="http://schemas.openxmlformats.org/officeDocument/2006/relationships/hyperlink" Target="https://doi.org/10.1016/j.neuroimage.2020.117112" TargetMode="External"/><Relationship Id="rId19" Type="http://schemas.openxmlformats.org/officeDocument/2006/relationships/theme" Target="theme/theme1.xml"/><Relationship Id="rId4" Type="http://schemas.openxmlformats.org/officeDocument/2006/relationships/hyperlink" Target="https://doi.org/10.1016/0749-5978(91)90020-T" TargetMode="External"/><Relationship Id="rId9" Type="http://schemas.openxmlformats.org/officeDocument/2006/relationships/hyperlink" Target="https://doi.org/10.1177/0146167297234005" TargetMode="External"/><Relationship Id="rId14" Type="http://schemas.openxmlformats.org/officeDocument/2006/relationships/hyperlink" Target="https://doi.org/10.1177/1461444819875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9444</TotalTime>
  <Pages>10</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(2317684)</dc:creator>
  <cp:keywords/>
  <dc:description/>
  <cp:lastModifiedBy>Steffan Jones (2317684)</cp:lastModifiedBy>
  <cp:revision>10</cp:revision>
  <dcterms:created xsi:type="dcterms:W3CDTF">2025-07-07T22:07:00Z</dcterms:created>
  <dcterms:modified xsi:type="dcterms:W3CDTF">2025-07-15T10:11:00Z</dcterms:modified>
</cp:coreProperties>
</file>