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43252A" w14:textId="77777777" w:rsidR="005211F3" w:rsidRDefault="005211F3" w:rsidP="005211F3">
      <w:pPr>
        <w:jc w:val="center"/>
        <w:rPr>
          <w:b/>
          <w:u w:val="single"/>
        </w:rPr>
      </w:pPr>
    </w:p>
    <w:p w14:paraId="7D009E29" w14:textId="612F5E57" w:rsidR="00CA2EEA" w:rsidRDefault="00CA2EEA" w:rsidP="00013CF9">
      <w:pPr>
        <w:jc w:val="center"/>
      </w:pPr>
      <w:r>
        <w:t>Background</w:t>
      </w:r>
    </w:p>
    <w:p w14:paraId="291EDABF" w14:textId="3E0266C1" w:rsidR="00766C4A" w:rsidRDefault="006B7E38" w:rsidP="00013CF9">
      <w:pPr>
        <w:jc w:val="both"/>
      </w:pPr>
      <w:r>
        <w:t xml:space="preserve">In 1973 there was a plea from two theologians – </w:t>
      </w:r>
      <w:proofErr w:type="spellStart"/>
      <w:r w:rsidR="00013CF9">
        <w:t>S</w:t>
      </w:r>
      <w:r>
        <w:t>hoki</w:t>
      </w:r>
      <w:proofErr w:type="spellEnd"/>
      <w:r>
        <w:t xml:space="preserve"> </w:t>
      </w:r>
      <w:r w:rsidR="00013CF9">
        <w:t>C</w:t>
      </w:r>
      <w:r>
        <w:t xml:space="preserve">oe and </w:t>
      </w:r>
      <w:proofErr w:type="spellStart"/>
      <w:r w:rsidR="00013CF9">
        <w:t>A</w:t>
      </w:r>
      <w:r>
        <w:t>haron</w:t>
      </w:r>
      <w:proofErr w:type="spellEnd"/>
      <w:r>
        <w:t xml:space="preserve"> </w:t>
      </w:r>
      <w:proofErr w:type="spellStart"/>
      <w:r w:rsidR="00013CF9">
        <w:t>S</w:t>
      </w:r>
      <w:r>
        <w:t>apezian</w:t>
      </w:r>
      <w:proofErr w:type="spellEnd"/>
      <w:r>
        <w:t xml:space="preserve"> – for a contextualisation of theology.</w:t>
      </w:r>
      <w:r w:rsidR="00EE46DC">
        <w:rPr>
          <w:rStyle w:val="FootnoteReference"/>
        </w:rPr>
        <w:footnoteReference w:id="1"/>
      </w:r>
      <w:r>
        <w:t xml:space="preserve"> </w:t>
      </w:r>
      <w:r w:rsidR="00A43B36">
        <w:t>While their primary concern at the time was religious education, the two desired for theology to bridge universal revelation with specific people’s unique realities – that being, by understanding the latter, one would benefit the understanding of the former.</w:t>
      </w:r>
      <w:r w:rsidR="00A10568">
        <w:t xml:space="preserve"> Since then</w:t>
      </w:r>
      <w:r w:rsidR="00A43B36">
        <w:t>,</w:t>
      </w:r>
      <w:r w:rsidR="00A10568">
        <w:t xml:space="preserve"> whether by their contribution or, rather, they simply recognised what was to come</w:t>
      </w:r>
      <w:r w:rsidR="00A43B36">
        <w:t>,</w:t>
      </w:r>
      <w:r w:rsidR="00A10568">
        <w:t xml:space="preserve"> there has be a change</w:t>
      </w:r>
      <w:r w:rsidR="00A43B36">
        <w:t xml:space="preserve"> in theological thinking – contextual theology emerged. </w:t>
      </w:r>
      <w:r w:rsidR="00BF5E3C">
        <w:t>However,</w:t>
      </w:r>
      <w:r w:rsidR="00510C5E">
        <w:t xml:space="preserve"> the transition was not entirely as Coe and </w:t>
      </w:r>
      <w:proofErr w:type="spellStart"/>
      <w:r w:rsidR="00510C5E">
        <w:t>Sapezian</w:t>
      </w:r>
      <w:proofErr w:type="spellEnd"/>
      <w:r w:rsidR="00510C5E">
        <w:t xml:space="preserve"> might have expected. It soon became clear that theology was – in most respects – always contextual. There are many </w:t>
      </w:r>
      <w:r w:rsidR="00BF5E3C">
        <w:t>ways</w:t>
      </w:r>
      <w:r w:rsidR="00510C5E">
        <w:t xml:space="preserve"> in which we could recognise this; though, a simple way is time: </w:t>
      </w:r>
      <w:r w:rsidR="00BF5E3C">
        <w:t>I</w:t>
      </w:r>
      <w:r w:rsidR="00510C5E">
        <w:t xml:space="preserve">f </w:t>
      </w:r>
      <w:r w:rsidR="00BF5E3C">
        <w:t>one were to theologise for today, by that same time tomorrow</w:t>
      </w:r>
      <w:r w:rsidR="00766C4A">
        <w:t xml:space="preserve"> then</w:t>
      </w:r>
      <w:r w:rsidR="00BF5E3C">
        <w:t xml:space="preserve">, it may be only relevant to yesterday. The analogy here </w:t>
      </w:r>
      <w:r w:rsidR="00766C4A">
        <w:t>is quite plain. However, if we apply culture, technology, climate, geography, history – whether one’s own or the collectives, as well as individual nuances, it soon becomes clears the degree to which context plays. Respecting this reality, many theologians have begun to see theology as contextual. Though it might be better stated they have begun to respect these realities. As such, it would be the logical direction</w:t>
      </w:r>
      <w:r w:rsidR="0065466A">
        <w:t xml:space="preserve"> of theology to formulate perspectives or models or even contrasting paradigms as to address the differing angles </w:t>
      </w:r>
      <w:r w:rsidR="00CA2EEA">
        <w:t xml:space="preserve">in </w:t>
      </w:r>
      <w:r w:rsidR="0065466A">
        <w:t>context</w:t>
      </w:r>
      <w:r w:rsidR="00CA2EEA">
        <w:t>.</w:t>
      </w:r>
      <w:r w:rsidR="0065466A">
        <w:t xml:space="preserve">  </w:t>
      </w:r>
    </w:p>
    <w:p w14:paraId="3F5C5817" w14:textId="41D23ADC" w:rsidR="00CA2EEA" w:rsidRDefault="00CA2EEA" w:rsidP="00013CF9">
      <w:pPr>
        <w:jc w:val="both"/>
      </w:pPr>
    </w:p>
    <w:p w14:paraId="3928CFFB" w14:textId="50507F31" w:rsidR="00CA2EEA" w:rsidRDefault="00013CF9" w:rsidP="00013CF9">
      <w:pPr>
        <w:jc w:val="center"/>
      </w:pPr>
      <w:r>
        <w:t>Interest</w:t>
      </w:r>
    </w:p>
    <w:p w14:paraId="297D67E7" w14:textId="4B07C41C" w:rsidR="008D151D" w:rsidRDefault="008D151D" w:rsidP="00013CF9">
      <w:pPr>
        <w:jc w:val="both"/>
      </w:pPr>
    </w:p>
    <w:p w14:paraId="23DE9658" w14:textId="77777777" w:rsidR="008B5A12" w:rsidRDefault="008D151D" w:rsidP="00013CF9">
      <w:pPr>
        <w:jc w:val="both"/>
      </w:pPr>
      <w:r>
        <w:t xml:space="preserve">Originally, as I was browsing through the library and found the topic, I </w:t>
      </w:r>
      <w:r w:rsidR="00013CF9">
        <w:t>became</w:t>
      </w:r>
      <w:r>
        <w:t xml:space="preserve"> interest</w:t>
      </w:r>
      <w:r w:rsidR="00013CF9">
        <w:t>ed</w:t>
      </w:r>
      <w:r>
        <w:t xml:space="preserve"> in how contextual theology would be able to tackle </w:t>
      </w:r>
      <w:r w:rsidR="00013CF9">
        <w:t>a contemporary</w:t>
      </w:r>
      <w:r>
        <w:t xml:space="preserve"> problem</w:t>
      </w:r>
      <w:r w:rsidR="00013CF9">
        <w:t xml:space="preserve"> not as present during</w:t>
      </w:r>
      <w:r>
        <w:t xml:space="preserve"> its conception in 1973: with the emergence a – one could say – Information age, how could contextual theology be assured that any point</w:t>
      </w:r>
      <w:r w:rsidR="00013CF9">
        <w:t xml:space="preserve">. That said, the gigantic leap in technology over the last fifty years has led to an expansion of the contextual landscape; no more are contexts isolated or localised, diluting and transforming slowly. </w:t>
      </w:r>
      <w:r w:rsidR="008B5A12">
        <w:t>A</w:t>
      </w:r>
      <w:r w:rsidR="00013CF9">
        <w:t>s was seen with the spread eastern ideas to the west – such an event possibly led to New Religious Movement</w:t>
      </w:r>
      <w:r w:rsidR="008B5A12">
        <w:t xml:space="preserve">s, </w:t>
      </w:r>
      <w:r w:rsidR="00013CF9">
        <w:t>it is plausible contextual theology</w:t>
      </w:r>
      <w:r w:rsidR="008B5A12">
        <w:t>, and the Christian faith as a whole,</w:t>
      </w:r>
      <w:r w:rsidR="00013CF9">
        <w:t xml:space="preserve"> will not be able to keep up. </w:t>
      </w:r>
    </w:p>
    <w:p w14:paraId="5F4531B1" w14:textId="77777777" w:rsidR="008B5A12" w:rsidRDefault="008B5A12" w:rsidP="00013CF9">
      <w:pPr>
        <w:jc w:val="both"/>
      </w:pPr>
    </w:p>
    <w:p w14:paraId="03FB530C" w14:textId="2916E4C0" w:rsidR="008D151D" w:rsidRDefault="00366B27" w:rsidP="008B5A12">
      <w:pPr>
        <w:jc w:val="center"/>
      </w:pPr>
      <w:r>
        <w:t xml:space="preserve">Proposal </w:t>
      </w:r>
    </w:p>
    <w:p w14:paraId="3F5C8054" w14:textId="17081785" w:rsidR="00F55354" w:rsidRDefault="00366B27" w:rsidP="008B5A12">
      <w:r>
        <w:t xml:space="preserve">There is a piece of context that is not so easily </w:t>
      </w:r>
      <w:proofErr w:type="spellStart"/>
      <w:r>
        <w:t>transmorphed</w:t>
      </w:r>
      <w:proofErr w:type="spellEnd"/>
      <w:r>
        <w:t xml:space="preserve"> by the passage of time and interaction of contexts: psychology. Here, while undoubtably there is change over time, the scientific method – experimentation, often found in cognitive, clinical and bio - psychology; as well as </w:t>
      </w:r>
      <w:r w:rsidR="00E169BF">
        <w:t xml:space="preserve">use of observation – may act as a way to recognise certain elements of context that take more than a generation or two to change. </w:t>
      </w:r>
      <w:r w:rsidR="00F66A2B">
        <w:t xml:space="preserve">The general idea being here that by understanding human psychology, even if partially, </w:t>
      </w:r>
      <w:r w:rsidR="00F66A2B">
        <w:lastRenderedPageBreak/>
        <w:t xml:space="preserve">there may be an anchored context by which to work off. </w:t>
      </w:r>
      <w:r w:rsidR="00E169BF">
        <w:t xml:space="preserve">One of the primary pieces which details the differing ways contextual theology is actualised is by Stephen B. Bevans: </w:t>
      </w:r>
      <w:r w:rsidR="00E169BF" w:rsidRPr="00E169BF">
        <w:rPr>
          <w:i/>
        </w:rPr>
        <w:t>Models of Contextual Theology: Revised and Expanded Edition.</w:t>
      </w:r>
      <w:r w:rsidRPr="00E169BF">
        <w:rPr>
          <w:i/>
        </w:rPr>
        <w:t xml:space="preserve"> </w:t>
      </w:r>
      <w:r w:rsidR="00E169BF">
        <w:t xml:space="preserve">Following down a similar path, although not necessarily </w:t>
      </w:r>
      <w:r w:rsidR="00A1386B">
        <w:t xml:space="preserve">‘models’, my proposal of research is </w:t>
      </w:r>
      <w:r w:rsidR="00F55354">
        <w:t>a</w:t>
      </w:r>
      <w:r w:rsidR="00A1386B">
        <w:t xml:space="preserve"> thorough investigation of the history, positives, and challenges of contextual theology, as well as then if there is a need for a new model of contextual theology: the psychological model. I also plan on using a methodology found within practical theology: action research</w:t>
      </w:r>
      <w:r w:rsidR="00F55354">
        <w:t>.</w:t>
      </w:r>
      <w:r w:rsidR="00A1386B">
        <w:t xml:space="preserve"> </w:t>
      </w:r>
      <w:r w:rsidR="00F55354">
        <w:t xml:space="preserve">This is likely a bit excessive in scope. Then, instead and as my rough title: </w:t>
      </w:r>
    </w:p>
    <w:p w14:paraId="3378E39E" w14:textId="77777777" w:rsidR="00F55354" w:rsidRDefault="00F55354" w:rsidP="00F55354">
      <w:pPr>
        <w:jc w:val="center"/>
      </w:pPr>
    </w:p>
    <w:p w14:paraId="6EE7F404" w14:textId="6415CD7B" w:rsidR="00A1386B" w:rsidRPr="00E169BF" w:rsidRDefault="00F55354" w:rsidP="00F55354">
      <w:pPr>
        <w:jc w:val="center"/>
      </w:pPr>
      <w:r>
        <w:t>Is There a Need for a Psychological Model in Contextual Theology?</w:t>
      </w:r>
    </w:p>
    <w:p w14:paraId="70EC7208" w14:textId="77777777" w:rsidR="008074D7" w:rsidRDefault="008074D7" w:rsidP="005211F3">
      <w:pPr>
        <w:jc w:val="center"/>
      </w:pPr>
    </w:p>
    <w:p w14:paraId="4FA70EDB" w14:textId="77777777" w:rsidR="008074D7" w:rsidRDefault="00F55354" w:rsidP="005211F3">
      <w:pPr>
        <w:jc w:val="center"/>
      </w:pPr>
      <w:r>
        <w:t>Scholarship:</w:t>
      </w:r>
    </w:p>
    <w:p w14:paraId="6272B268" w14:textId="2B651DA7" w:rsidR="008074D7" w:rsidRDefault="008074D7" w:rsidP="005211F3">
      <w:pPr>
        <w:jc w:val="center"/>
      </w:pPr>
    </w:p>
    <w:p w14:paraId="39B99414" w14:textId="383EF611" w:rsidR="008074D7" w:rsidRDefault="008074D7" w:rsidP="008074D7">
      <w:pPr>
        <w:pStyle w:val="ListParagraph"/>
        <w:numPr>
          <w:ilvl w:val="0"/>
          <w:numId w:val="4"/>
        </w:numPr>
      </w:pPr>
      <w:r>
        <w:t xml:space="preserve">Bevans, E. (2002) </w:t>
      </w:r>
      <w:r w:rsidRPr="008074D7">
        <w:rPr>
          <w:i/>
        </w:rPr>
        <w:t>Models of Contextual Theology: Revised and Expanded Edition.</w:t>
      </w:r>
      <w:r>
        <w:t xml:space="preserve"> New York: Orbis Books, 2002 </w:t>
      </w:r>
    </w:p>
    <w:p w14:paraId="1F7E8B1C" w14:textId="488B97CC" w:rsidR="008074D7" w:rsidRDefault="008074D7" w:rsidP="008074D7">
      <w:pPr>
        <w:pStyle w:val="ListParagraph"/>
        <w:numPr>
          <w:ilvl w:val="0"/>
          <w:numId w:val="4"/>
        </w:numPr>
      </w:pPr>
      <w:r>
        <w:t>Sigurd,</w:t>
      </w:r>
      <w:r w:rsidR="00382690">
        <w:t xml:space="preserve"> B</w:t>
      </w:r>
      <w:r w:rsidR="00AB6140">
        <w:t>ergmann,</w:t>
      </w:r>
      <w:r>
        <w:t xml:space="preserve"> </w:t>
      </w:r>
      <w:r w:rsidRPr="008074D7">
        <w:rPr>
          <w:i/>
        </w:rPr>
        <w:t>GOD in Context: A Survey of Contextual Theology</w:t>
      </w:r>
      <w:r>
        <w:t xml:space="preserve"> (Aldershot: Ashgate Publishing Limited, 2003) </w:t>
      </w:r>
      <w:r>
        <w:tab/>
      </w:r>
    </w:p>
    <w:p w14:paraId="72ED0316" w14:textId="3108E7C7" w:rsidR="00F55354" w:rsidRDefault="008074D7" w:rsidP="008074D7">
      <w:pPr>
        <w:pStyle w:val="ListParagraph"/>
        <w:numPr>
          <w:ilvl w:val="0"/>
          <w:numId w:val="4"/>
        </w:numPr>
      </w:pPr>
      <w:r>
        <w:t>Kung</w:t>
      </w:r>
      <w:r w:rsidR="00382690">
        <w:t>, H</w:t>
      </w:r>
      <w:r w:rsidR="00AB6140">
        <w:t>ans and David Tracy,</w:t>
      </w:r>
      <w:r w:rsidR="00382690">
        <w:t xml:space="preserve"> </w:t>
      </w:r>
      <w:r w:rsidRPr="008074D7">
        <w:rPr>
          <w:i/>
        </w:rPr>
        <w:t>PARADIGM CHANGE IN THEOLOGY: A Symposium for the Future</w:t>
      </w:r>
      <w:r>
        <w:t xml:space="preserve"> (Edinburgh: T. &amp; T. CLARK LTD, 1989) </w:t>
      </w:r>
    </w:p>
    <w:p w14:paraId="12A1D858" w14:textId="556EB1C8" w:rsidR="00AB6140" w:rsidRDefault="008074D7" w:rsidP="00AB6140">
      <w:pPr>
        <w:pStyle w:val="ListParagraph"/>
        <w:numPr>
          <w:ilvl w:val="0"/>
          <w:numId w:val="4"/>
        </w:numPr>
      </w:pPr>
      <w:r>
        <w:t>Pear</w:t>
      </w:r>
      <w:r w:rsidR="00AB6140">
        <w:t>s</w:t>
      </w:r>
      <w:r>
        <w:t>, A</w:t>
      </w:r>
      <w:r w:rsidR="00AB6140">
        <w:t>ngie,</w:t>
      </w:r>
      <w:r>
        <w:t xml:space="preserve"> Doing Contextual Theology</w:t>
      </w:r>
      <w:r w:rsidR="00AB6140">
        <w:t xml:space="preserve"> (Oxon: Routledge, 2010)</w:t>
      </w:r>
    </w:p>
    <w:p w14:paraId="12A730A8" w14:textId="1E1A918F" w:rsidR="00AB6140" w:rsidRDefault="007309E9" w:rsidP="00AB6140">
      <w:pPr>
        <w:pStyle w:val="ListParagraph"/>
        <w:numPr>
          <w:ilvl w:val="0"/>
          <w:numId w:val="4"/>
        </w:numPr>
      </w:pPr>
      <w:proofErr w:type="spellStart"/>
      <w:r>
        <w:t>Vanhoozer</w:t>
      </w:r>
      <w:proofErr w:type="spellEnd"/>
      <w:r>
        <w:t xml:space="preserve">, Kevin J., The Cambridge Companion to Postmodern Theology (Cambridge: Press Syndicate, 2003) </w:t>
      </w:r>
    </w:p>
    <w:p w14:paraId="0EAF89F4" w14:textId="77777777" w:rsidR="008074D7" w:rsidRDefault="008074D7" w:rsidP="005211F3">
      <w:pPr>
        <w:jc w:val="both"/>
      </w:pPr>
      <w:bookmarkStart w:id="0" w:name="_GoBack"/>
      <w:bookmarkEnd w:id="0"/>
    </w:p>
    <w:p w14:paraId="30B76E80" w14:textId="77777777" w:rsidR="008074D7" w:rsidRDefault="008074D7" w:rsidP="00F55354">
      <w:pPr>
        <w:jc w:val="center"/>
      </w:pPr>
    </w:p>
    <w:p w14:paraId="36D02C66" w14:textId="77777777" w:rsidR="005C11D2" w:rsidRDefault="005C11D2" w:rsidP="008B5A12"/>
    <w:p w14:paraId="297574DC" w14:textId="1A10F3D1" w:rsidR="008D151D" w:rsidRDefault="008D151D" w:rsidP="00CA2EEA">
      <w:pPr>
        <w:jc w:val="center"/>
      </w:pPr>
    </w:p>
    <w:p w14:paraId="17664EE1" w14:textId="77777777" w:rsidR="008D151D" w:rsidRDefault="008D151D" w:rsidP="00CA2EEA">
      <w:pPr>
        <w:jc w:val="center"/>
      </w:pPr>
    </w:p>
    <w:p w14:paraId="70819B2B" w14:textId="77777777" w:rsidR="00CA2EEA" w:rsidRDefault="00CA2EEA"/>
    <w:p w14:paraId="100A2B2C" w14:textId="77777777" w:rsidR="00766C4A" w:rsidRDefault="00766C4A"/>
    <w:p w14:paraId="75C7B53C" w14:textId="77777777" w:rsidR="00D56A7A" w:rsidRPr="000A7FB0" w:rsidRDefault="00D56A7A"/>
    <w:sectPr w:rsidR="00D56A7A" w:rsidRPr="000A7FB0">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82365E" w14:textId="77777777" w:rsidR="00870605" w:rsidRDefault="00870605" w:rsidP="00376530">
      <w:pPr>
        <w:spacing w:after="0" w:line="240" w:lineRule="auto"/>
      </w:pPr>
      <w:r>
        <w:separator/>
      </w:r>
    </w:p>
  </w:endnote>
  <w:endnote w:type="continuationSeparator" w:id="0">
    <w:p w14:paraId="5B4D80AF" w14:textId="77777777" w:rsidR="00870605" w:rsidRDefault="00870605" w:rsidP="003765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0025219"/>
      <w:docPartObj>
        <w:docPartGallery w:val="Page Numbers (Bottom of Page)"/>
        <w:docPartUnique/>
      </w:docPartObj>
    </w:sdtPr>
    <w:sdtEndPr>
      <w:rPr>
        <w:noProof/>
      </w:rPr>
    </w:sdtEndPr>
    <w:sdtContent>
      <w:p w14:paraId="679DD0F8" w14:textId="11CD42CD" w:rsidR="00376530" w:rsidRDefault="00376530">
        <w:pPr>
          <w:pStyle w:val="Footer"/>
          <w:jc w:val="right"/>
        </w:pPr>
        <w:r>
          <w:fldChar w:fldCharType="begin"/>
        </w:r>
        <w:r>
          <w:instrText xml:space="preserve"> PAGE   \* MERGEFORMAT </w:instrText>
        </w:r>
        <w:r>
          <w:fldChar w:fldCharType="separate"/>
        </w:r>
        <w:r w:rsidR="00DF0980">
          <w:rPr>
            <w:noProof/>
          </w:rPr>
          <w:t>5</w:t>
        </w:r>
        <w:r>
          <w:rPr>
            <w:noProof/>
          </w:rPr>
          <w:fldChar w:fldCharType="end"/>
        </w:r>
      </w:p>
    </w:sdtContent>
  </w:sdt>
  <w:p w14:paraId="2C66A7B7" w14:textId="77777777" w:rsidR="00376530" w:rsidRDefault="003765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C3A6A6" w14:textId="77777777" w:rsidR="00870605" w:rsidRDefault="00870605" w:rsidP="00376530">
      <w:pPr>
        <w:spacing w:after="0" w:line="240" w:lineRule="auto"/>
      </w:pPr>
      <w:r>
        <w:separator/>
      </w:r>
    </w:p>
  </w:footnote>
  <w:footnote w:type="continuationSeparator" w:id="0">
    <w:p w14:paraId="49AE91BB" w14:textId="77777777" w:rsidR="00870605" w:rsidRDefault="00870605" w:rsidP="00376530">
      <w:pPr>
        <w:spacing w:after="0" w:line="240" w:lineRule="auto"/>
      </w:pPr>
      <w:r>
        <w:continuationSeparator/>
      </w:r>
    </w:p>
  </w:footnote>
  <w:footnote w:id="1">
    <w:p w14:paraId="564B2AE2" w14:textId="263C8870" w:rsidR="00EE46DC" w:rsidRDefault="00EE46DC" w:rsidP="00EE56F9">
      <w:r>
        <w:rPr>
          <w:rStyle w:val="FootnoteReference"/>
        </w:rPr>
        <w:footnoteRef/>
      </w:r>
      <w:r>
        <w:t xml:space="preserve"> </w:t>
      </w:r>
      <w:r w:rsidR="00EE56F9">
        <w:t xml:space="preserve">Sigurd Bergmann, </w:t>
      </w:r>
      <w:r w:rsidR="00EE56F9">
        <w:rPr>
          <w:i/>
        </w:rPr>
        <w:t>GOD in Context: A Survey of Contextual Theology</w:t>
      </w:r>
      <w:r w:rsidR="00EE56F9">
        <w:t xml:space="preserve"> (Aldershot: Ashgate Publishing Limited, 2003)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93294C" w14:textId="4849C7EF" w:rsidR="005211F3" w:rsidRDefault="005211F3" w:rsidP="005211F3">
    <w:pPr>
      <w:pStyle w:val="Header"/>
      <w:jc w:val="right"/>
    </w:pPr>
    <w:r>
      <w:t xml:space="preserve">Milnes </w:t>
    </w:r>
    <w:r w:rsidR="004C6738">
      <w:fldChar w:fldCharType="begin"/>
    </w:r>
    <w:r w:rsidR="004C6738">
      <w:instrText xml:space="preserve"> PAGE   \* MERGEFORMAT </w:instrText>
    </w:r>
    <w:r w:rsidR="004C6738">
      <w:fldChar w:fldCharType="separate"/>
    </w:r>
    <w:r w:rsidR="004C6738">
      <w:rPr>
        <w:noProof/>
      </w:rPr>
      <w:t>1</w:t>
    </w:r>
    <w:r w:rsidR="004C6738">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2A1A7D"/>
    <w:multiLevelType w:val="hybridMultilevel"/>
    <w:tmpl w:val="AAF89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276EB2"/>
    <w:multiLevelType w:val="hybridMultilevel"/>
    <w:tmpl w:val="C45A4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7A6ECE"/>
    <w:multiLevelType w:val="hybridMultilevel"/>
    <w:tmpl w:val="66F07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23E99"/>
    <w:multiLevelType w:val="hybridMultilevel"/>
    <w:tmpl w:val="6212E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EF305F"/>
    <w:multiLevelType w:val="hybridMultilevel"/>
    <w:tmpl w:val="D45C5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6CC3"/>
    <w:rsid w:val="00013CF9"/>
    <w:rsid w:val="00031597"/>
    <w:rsid w:val="00032CFE"/>
    <w:rsid w:val="000366F3"/>
    <w:rsid w:val="000371A9"/>
    <w:rsid w:val="00041463"/>
    <w:rsid w:val="00045040"/>
    <w:rsid w:val="000A7FB0"/>
    <w:rsid w:val="000B435B"/>
    <w:rsid w:val="000B794E"/>
    <w:rsid w:val="000C412A"/>
    <w:rsid w:val="0011743F"/>
    <w:rsid w:val="00150715"/>
    <w:rsid w:val="00183269"/>
    <w:rsid w:val="00184525"/>
    <w:rsid w:val="001C3F39"/>
    <w:rsid w:val="0022601A"/>
    <w:rsid w:val="00284C6B"/>
    <w:rsid w:val="00291E3F"/>
    <w:rsid w:val="00293EF7"/>
    <w:rsid w:val="002A1F2B"/>
    <w:rsid w:val="002C35EE"/>
    <w:rsid w:val="002F5297"/>
    <w:rsid w:val="00300DBA"/>
    <w:rsid w:val="003117EF"/>
    <w:rsid w:val="00311927"/>
    <w:rsid w:val="003210CB"/>
    <w:rsid w:val="003229B3"/>
    <w:rsid w:val="003319D8"/>
    <w:rsid w:val="00366B27"/>
    <w:rsid w:val="00376530"/>
    <w:rsid w:val="00382690"/>
    <w:rsid w:val="003A1644"/>
    <w:rsid w:val="003C3FB4"/>
    <w:rsid w:val="003D78D2"/>
    <w:rsid w:val="003F1B9C"/>
    <w:rsid w:val="003F3A1B"/>
    <w:rsid w:val="003F6436"/>
    <w:rsid w:val="00404550"/>
    <w:rsid w:val="00421EF3"/>
    <w:rsid w:val="00432D28"/>
    <w:rsid w:val="00450AB1"/>
    <w:rsid w:val="00451FA8"/>
    <w:rsid w:val="00461C3B"/>
    <w:rsid w:val="00493788"/>
    <w:rsid w:val="004B6479"/>
    <w:rsid w:val="004C6738"/>
    <w:rsid w:val="00503D40"/>
    <w:rsid w:val="00510C5E"/>
    <w:rsid w:val="005168F3"/>
    <w:rsid w:val="005211F3"/>
    <w:rsid w:val="00523305"/>
    <w:rsid w:val="00564FD3"/>
    <w:rsid w:val="00565E66"/>
    <w:rsid w:val="00582C76"/>
    <w:rsid w:val="00583EBE"/>
    <w:rsid w:val="00592C47"/>
    <w:rsid w:val="005C11D2"/>
    <w:rsid w:val="005C722C"/>
    <w:rsid w:val="00636B13"/>
    <w:rsid w:val="0065466A"/>
    <w:rsid w:val="00656F97"/>
    <w:rsid w:val="00660A3C"/>
    <w:rsid w:val="0066507D"/>
    <w:rsid w:val="00670C4E"/>
    <w:rsid w:val="0067594A"/>
    <w:rsid w:val="00686A5B"/>
    <w:rsid w:val="006B7E38"/>
    <w:rsid w:val="007309E9"/>
    <w:rsid w:val="007351DD"/>
    <w:rsid w:val="0075117B"/>
    <w:rsid w:val="007648BD"/>
    <w:rsid w:val="00766C4A"/>
    <w:rsid w:val="007824D9"/>
    <w:rsid w:val="007936A4"/>
    <w:rsid w:val="007A7811"/>
    <w:rsid w:val="007B04D9"/>
    <w:rsid w:val="007E47D9"/>
    <w:rsid w:val="00802388"/>
    <w:rsid w:val="008074D7"/>
    <w:rsid w:val="00825D70"/>
    <w:rsid w:val="008401F6"/>
    <w:rsid w:val="00840A7A"/>
    <w:rsid w:val="008500B4"/>
    <w:rsid w:val="00855672"/>
    <w:rsid w:val="0086142A"/>
    <w:rsid w:val="00870605"/>
    <w:rsid w:val="00874244"/>
    <w:rsid w:val="008B2E65"/>
    <w:rsid w:val="008B4A65"/>
    <w:rsid w:val="008B5A12"/>
    <w:rsid w:val="008C6E57"/>
    <w:rsid w:val="008D151D"/>
    <w:rsid w:val="008D6444"/>
    <w:rsid w:val="009C145C"/>
    <w:rsid w:val="009D3556"/>
    <w:rsid w:val="00A0634A"/>
    <w:rsid w:val="00A10568"/>
    <w:rsid w:val="00A12048"/>
    <w:rsid w:val="00A1386B"/>
    <w:rsid w:val="00A43B36"/>
    <w:rsid w:val="00A44E06"/>
    <w:rsid w:val="00A46562"/>
    <w:rsid w:val="00A90A7E"/>
    <w:rsid w:val="00A94FD7"/>
    <w:rsid w:val="00AB6140"/>
    <w:rsid w:val="00AC79CC"/>
    <w:rsid w:val="00AF5F22"/>
    <w:rsid w:val="00B02E15"/>
    <w:rsid w:val="00B254A0"/>
    <w:rsid w:val="00B4493B"/>
    <w:rsid w:val="00B77537"/>
    <w:rsid w:val="00BA56D7"/>
    <w:rsid w:val="00BB02DA"/>
    <w:rsid w:val="00BB1812"/>
    <w:rsid w:val="00BC01EF"/>
    <w:rsid w:val="00BF5E3C"/>
    <w:rsid w:val="00C33174"/>
    <w:rsid w:val="00C602D6"/>
    <w:rsid w:val="00CA2DB5"/>
    <w:rsid w:val="00CA2EEA"/>
    <w:rsid w:val="00D15A5D"/>
    <w:rsid w:val="00D56A7A"/>
    <w:rsid w:val="00D67FF7"/>
    <w:rsid w:val="00D838E1"/>
    <w:rsid w:val="00D97167"/>
    <w:rsid w:val="00DA0002"/>
    <w:rsid w:val="00DA7B6B"/>
    <w:rsid w:val="00DF0980"/>
    <w:rsid w:val="00DF43D8"/>
    <w:rsid w:val="00E01F74"/>
    <w:rsid w:val="00E1494D"/>
    <w:rsid w:val="00E169BF"/>
    <w:rsid w:val="00E477EB"/>
    <w:rsid w:val="00E50742"/>
    <w:rsid w:val="00E54659"/>
    <w:rsid w:val="00E708B3"/>
    <w:rsid w:val="00E9516F"/>
    <w:rsid w:val="00EA38FA"/>
    <w:rsid w:val="00EB1808"/>
    <w:rsid w:val="00EB7120"/>
    <w:rsid w:val="00EC3797"/>
    <w:rsid w:val="00EE46DC"/>
    <w:rsid w:val="00EE56F9"/>
    <w:rsid w:val="00F47553"/>
    <w:rsid w:val="00F55354"/>
    <w:rsid w:val="00F56CC3"/>
    <w:rsid w:val="00F66A2B"/>
    <w:rsid w:val="00F81F6D"/>
    <w:rsid w:val="00FA721B"/>
    <w:rsid w:val="00FC3418"/>
    <w:rsid w:val="00FF15CC"/>
    <w:rsid w:val="00FF3F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D9371A"/>
  <w15:chartTrackingRefBased/>
  <w15:docId w15:val="{6B8A251C-6F1C-47B8-BAE1-67C8CDDAB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CC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56CC3"/>
    <w:rPr>
      <w:sz w:val="16"/>
      <w:szCs w:val="16"/>
    </w:rPr>
  </w:style>
  <w:style w:type="paragraph" w:styleId="CommentText">
    <w:name w:val="annotation text"/>
    <w:basedOn w:val="Normal"/>
    <w:link w:val="CommentTextChar"/>
    <w:uiPriority w:val="99"/>
    <w:semiHidden/>
    <w:unhideWhenUsed/>
    <w:rsid w:val="00F56CC3"/>
    <w:pPr>
      <w:spacing w:line="240" w:lineRule="auto"/>
    </w:pPr>
    <w:rPr>
      <w:sz w:val="20"/>
      <w:szCs w:val="20"/>
    </w:rPr>
  </w:style>
  <w:style w:type="character" w:customStyle="1" w:styleId="CommentTextChar">
    <w:name w:val="Comment Text Char"/>
    <w:basedOn w:val="DefaultParagraphFont"/>
    <w:link w:val="CommentText"/>
    <w:uiPriority w:val="99"/>
    <w:semiHidden/>
    <w:rsid w:val="00F56CC3"/>
    <w:rPr>
      <w:sz w:val="20"/>
      <w:szCs w:val="20"/>
    </w:rPr>
  </w:style>
  <w:style w:type="paragraph" w:styleId="BalloonText">
    <w:name w:val="Balloon Text"/>
    <w:basedOn w:val="Normal"/>
    <w:link w:val="BalloonTextChar"/>
    <w:uiPriority w:val="99"/>
    <w:semiHidden/>
    <w:unhideWhenUsed/>
    <w:rsid w:val="00F56C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6CC3"/>
    <w:rPr>
      <w:rFonts w:ascii="Segoe UI" w:hAnsi="Segoe UI" w:cs="Segoe UI"/>
      <w:sz w:val="18"/>
      <w:szCs w:val="18"/>
    </w:rPr>
  </w:style>
  <w:style w:type="paragraph" w:styleId="Header">
    <w:name w:val="header"/>
    <w:basedOn w:val="Normal"/>
    <w:link w:val="HeaderChar"/>
    <w:uiPriority w:val="99"/>
    <w:unhideWhenUsed/>
    <w:rsid w:val="003765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6530"/>
  </w:style>
  <w:style w:type="paragraph" w:styleId="Footer">
    <w:name w:val="footer"/>
    <w:basedOn w:val="Normal"/>
    <w:link w:val="FooterChar"/>
    <w:uiPriority w:val="99"/>
    <w:unhideWhenUsed/>
    <w:rsid w:val="003765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6530"/>
  </w:style>
  <w:style w:type="paragraph" w:styleId="ListParagraph">
    <w:name w:val="List Paragraph"/>
    <w:basedOn w:val="Normal"/>
    <w:uiPriority w:val="34"/>
    <w:qFormat/>
    <w:rsid w:val="00FF3FAF"/>
    <w:pPr>
      <w:ind w:left="720"/>
      <w:contextualSpacing/>
    </w:pPr>
  </w:style>
  <w:style w:type="character" w:styleId="Hyperlink">
    <w:name w:val="Hyperlink"/>
    <w:basedOn w:val="DefaultParagraphFont"/>
    <w:uiPriority w:val="99"/>
    <w:unhideWhenUsed/>
    <w:rsid w:val="00FF3FAF"/>
    <w:rPr>
      <w:color w:val="0000FF"/>
      <w:u w:val="single"/>
    </w:rPr>
  </w:style>
  <w:style w:type="paragraph" w:styleId="FootnoteText">
    <w:name w:val="footnote text"/>
    <w:basedOn w:val="Normal"/>
    <w:link w:val="FootnoteTextChar"/>
    <w:uiPriority w:val="99"/>
    <w:semiHidden/>
    <w:unhideWhenUsed/>
    <w:rsid w:val="00EE46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E46DC"/>
    <w:rPr>
      <w:sz w:val="20"/>
      <w:szCs w:val="20"/>
    </w:rPr>
  </w:style>
  <w:style w:type="character" w:styleId="FootnoteReference">
    <w:name w:val="footnote reference"/>
    <w:basedOn w:val="DefaultParagraphFont"/>
    <w:uiPriority w:val="99"/>
    <w:semiHidden/>
    <w:unhideWhenUsed/>
    <w:rsid w:val="00EE46D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8279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E615A-8483-4B07-A644-F9832B282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600</Words>
  <Characters>3425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Lindsey Roberts</dc:creator>
  <cp:keywords/>
  <dc:description/>
  <cp:lastModifiedBy>Darryl Milnes</cp:lastModifiedBy>
  <cp:revision>2</cp:revision>
  <dcterms:created xsi:type="dcterms:W3CDTF">2019-12-20T23:33:00Z</dcterms:created>
  <dcterms:modified xsi:type="dcterms:W3CDTF">2019-12-20T23:33:00Z</dcterms:modified>
</cp:coreProperties>
</file>