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0BE66" w14:textId="77777777" w:rsidR="00E64939" w:rsidRPr="009871DE" w:rsidRDefault="00E64939" w:rsidP="00E64939">
      <w:pPr>
        <w:jc w:val="center"/>
        <w:rPr>
          <w:b/>
          <w:bCs/>
          <w:sz w:val="36"/>
          <w:szCs w:val="36"/>
        </w:rPr>
      </w:pPr>
      <w:r w:rsidRPr="009871DE">
        <w:rPr>
          <w:b/>
          <w:bCs/>
          <w:sz w:val="36"/>
          <w:szCs w:val="36"/>
        </w:rPr>
        <w:t>University of Wales Trinity Saint David</w:t>
      </w:r>
    </w:p>
    <w:p w14:paraId="01153A22" w14:textId="77777777" w:rsidR="00E64939" w:rsidRPr="009871DE" w:rsidRDefault="00E64939" w:rsidP="00E64939">
      <w:pPr>
        <w:jc w:val="center"/>
        <w:rPr>
          <w:b/>
          <w:bCs/>
          <w:sz w:val="24"/>
          <w:szCs w:val="24"/>
        </w:rPr>
      </w:pPr>
      <w:r w:rsidRPr="009871DE">
        <w:rPr>
          <w:b/>
          <w:bCs/>
          <w:sz w:val="24"/>
          <w:szCs w:val="24"/>
        </w:rPr>
        <w:t>Wa</w:t>
      </w:r>
      <w:r w:rsidR="009871DE" w:rsidRPr="009871DE">
        <w:rPr>
          <w:b/>
          <w:bCs/>
          <w:sz w:val="24"/>
          <w:szCs w:val="24"/>
        </w:rPr>
        <w:t>l</w:t>
      </w:r>
      <w:r w:rsidRPr="009871DE">
        <w:rPr>
          <w:b/>
          <w:bCs/>
          <w:sz w:val="24"/>
          <w:szCs w:val="24"/>
        </w:rPr>
        <w:t>es Institute of Science &amp; Art</w:t>
      </w:r>
    </w:p>
    <w:p w14:paraId="2663CD1F" w14:textId="77777777" w:rsidR="00E64939" w:rsidRPr="009871DE" w:rsidRDefault="00E64939" w:rsidP="00E64939">
      <w:pPr>
        <w:jc w:val="center"/>
        <w:rPr>
          <w:b/>
          <w:bCs/>
        </w:rPr>
      </w:pPr>
    </w:p>
    <w:p w14:paraId="5DC0DC87" w14:textId="77777777" w:rsidR="00E64939" w:rsidRPr="009871DE" w:rsidRDefault="00E64939" w:rsidP="00E64939">
      <w:pPr>
        <w:jc w:val="center"/>
        <w:rPr>
          <w:b/>
          <w:bCs/>
        </w:rPr>
      </w:pPr>
    </w:p>
    <w:p w14:paraId="4AD90A36" w14:textId="77777777" w:rsidR="00E64939" w:rsidRDefault="00E64939" w:rsidP="009871DE">
      <w:pPr>
        <w:rPr>
          <w:b/>
          <w:bCs/>
          <w:sz w:val="96"/>
          <w:szCs w:val="96"/>
        </w:rPr>
      </w:pPr>
    </w:p>
    <w:p w14:paraId="2C616786" w14:textId="77777777" w:rsidR="00E0046E" w:rsidRPr="009871DE" w:rsidRDefault="00E0046E" w:rsidP="009871DE">
      <w:pPr>
        <w:rPr>
          <w:b/>
          <w:bCs/>
          <w:sz w:val="96"/>
          <w:szCs w:val="96"/>
        </w:rPr>
      </w:pPr>
    </w:p>
    <w:p w14:paraId="03698FA4" w14:textId="25E18291" w:rsidR="00E64939" w:rsidRPr="009871DE" w:rsidRDefault="009871DE" w:rsidP="00E64939">
      <w:pPr>
        <w:jc w:val="center"/>
        <w:rPr>
          <w:b/>
          <w:bCs/>
          <w:sz w:val="72"/>
          <w:szCs w:val="72"/>
        </w:rPr>
      </w:pPr>
      <w:r w:rsidRPr="009871DE">
        <w:rPr>
          <w:b/>
          <w:bCs/>
          <w:sz w:val="72"/>
          <w:szCs w:val="72"/>
        </w:rPr>
        <w:t>Material Selection Report</w:t>
      </w:r>
    </w:p>
    <w:p w14:paraId="03B827C6" w14:textId="77777777" w:rsidR="00E64939" w:rsidRPr="009871DE" w:rsidRDefault="009871DE" w:rsidP="00E64939">
      <w:pPr>
        <w:jc w:val="center"/>
        <w:rPr>
          <w:b/>
          <w:bCs/>
          <w:sz w:val="36"/>
          <w:szCs w:val="36"/>
        </w:rPr>
      </w:pPr>
      <w:r w:rsidRPr="009871DE">
        <w:rPr>
          <w:b/>
          <w:bCs/>
          <w:sz w:val="36"/>
          <w:szCs w:val="36"/>
        </w:rPr>
        <w:t>Engineering Design and Materials</w:t>
      </w:r>
      <w:r w:rsidR="00E64939" w:rsidRPr="009871DE">
        <w:rPr>
          <w:b/>
          <w:bCs/>
          <w:sz w:val="36"/>
          <w:szCs w:val="36"/>
        </w:rPr>
        <w:t xml:space="preserve"> (</w:t>
      </w:r>
      <w:r w:rsidRPr="009871DE">
        <w:rPr>
          <w:b/>
          <w:bCs/>
          <w:sz w:val="36"/>
          <w:szCs w:val="36"/>
        </w:rPr>
        <w:t>ACHA4001</w:t>
      </w:r>
      <w:r w:rsidR="00E64939" w:rsidRPr="009871DE">
        <w:rPr>
          <w:b/>
          <w:bCs/>
          <w:sz w:val="36"/>
          <w:szCs w:val="36"/>
        </w:rPr>
        <w:t>)</w:t>
      </w:r>
    </w:p>
    <w:p w14:paraId="4ADA9C50" w14:textId="77777777" w:rsidR="00E64939" w:rsidRDefault="00E64939" w:rsidP="00E64939">
      <w:pPr>
        <w:jc w:val="center"/>
      </w:pPr>
    </w:p>
    <w:p w14:paraId="3FAB8A8B" w14:textId="77777777" w:rsidR="00E64939" w:rsidRDefault="00E64939" w:rsidP="00E64939">
      <w:pPr>
        <w:jc w:val="center"/>
      </w:pPr>
    </w:p>
    <w:p w14:paraId="32EEDC66" w14:textId="77777777" w:rsidR="00E64939" w:rsidRDefault="00E64939" w:rsidP="00E64939">
      <w:pPr>
        <w:jc w:val="center"/>
      </w:pPr>
    </w:p>
    <w:p w14:paraId="108A1019" w14:textId="77777777" w:rsidR="00E64939" w:rsidRDefault="00E64939" w:rsidP="00E64939">
      <w:pPr>
        <w:jc w:val="center"/>
      </w:pPr>
    </w:p>
    <w:p w14:paraId="4E0E1987" w14:textId="77777777" w:rsidR="00E0046E" w:rsidRDefault="00E0046E" w:rsidP="00E64939">
      <w:pPr>
        <w:jc w:val="center"/>
      </w:pPr>
    </w:p>
    <w:p w14:paraId="3680E27C" w14:textId="77777777" w:rsidR="00E0046E" w:rsidRDefault="00E0046E" w:rsidP="00E64939">
      <w:pPr>
        <w:jc w:val="center"/>
      </w:pPr>
    </w:p>
    <w:p w14:paraId="5E36108F" w14:textId="77777777" w:rsidR="00E64939" w:rsidRDefault="009871DE" w:rsidP="00E64939">
      <w:pPr>
        <w:jc w:val="center"/>
      </w:pPr>
      <w:r>
        <w:t>Jake Hicks</w:t>
      </w:r>
    </w:p>
    <w:p w14:paraId="5B261983" w14:textId="77777777" w:rsidR="00E64939" w:rsidRDefault="009871DE" w:rsidP="00E64939">
      <w:pPr>
        <w:jc w:val="center"/>
      </w:pPr>
      <w:r>
        <w:t>2306026</w:t>
      </w:r>
    </w:p>
    <w:p w14:paraId="5FAD8F14" w14:textId="77777777" w:rsidR="008E5866" w:rsidRDefault="009871DE" w:rsidP="009871DE">
      <w:pPr>
        <w:jc w:val="center"/>
      </w:pPr>
      <w:r>
        <w:t>April</w:t>
      </w:r>
      <w:r w:rsidR="00E64939">
        <w:t xml:space="preserve"> 202</w:t>
      </w:r>
      <w:r>
        <w:t>4</w:t>
      </w:r>
    </w:p>
    <w:sdt>
      <w:sdtPr>
        <w:rPr>
          <w:rFonts w:asciiTheme="minorHAnsi" w:eastAsiaTheme="minorEastAsia" w:hAnsiTheme="minorHAnsi" w:cstheme="minorBidi"/>
          <w:color w:val="auto"/>
          <w:sz w:val="22"/>
          <w:szCs w:val="22"/>
          <w:lang w:val="en-GB" w:eastAsia="ja-JP"/>
        </w:rPr>
        <w:id w:val="-1147281493"/>
        <w:docPartObj>
          <w:docPartGallery w:val="Table of Contents"/>
          <w:docPartUnique/>
        </w:docPartObj>
      </w:sdtPr>
      <w:sdtEndPr>
        <w:rPr>
          <w:b/>
          <w:bCs/>
          <w:noProof/>
        </w:rPr>
      </w:sdtEndPr>
      <w:sdtContent>
        <w:p w14:paraId="2056DFF7" w14:textId="77777777" w:rsidR="00A65281" w:rsidRDefault="00A65281">
          <w:pPr>
            <w:pStyle w:val="TOCHeading"/>
          </w:pPr>
          <w:r>
            <w:t>Contents</w:t>
          </w:r>
        </w:p>
        <w:p w14:paraId="5C0D1604" w14:textId="27A72FB2" w:rsidR="00EE138C" w:rsidRDefault="00A65281">
          <w:pPr>
            <w:pStyle w:val="TOC1"/>
            <w:tabs>
              <w:tab w:val="left" w:pos="480"/>
              <w:tab w:val="right" w:leader="dot" w:pos="9016"/>
            </w:tabs>
            <w:rPr>
              <w:noProof/>
              <w:kern w:val="2"/>
              <w:sz w:val="24"/>
              <w:szCs w:val="24"/>
              <w14:ligatures w14:val="standardContextual"/>
            </w:rPr>
          </w:pPr>
          <w:r>
            <w:fldChar w:fldCharType="begin"/>
          </w:r>
          <w:r>
            <w:instrText xml:space="preserve"> TOC \o "1-3" \h \z \u </w:instrText>
          </w:r>
          <w:r>
            <w:fldChar w:fldCharType="separate"/>
          </w:r>
          <w:hyperlink w:anchor="_Toc164559338" w:history="1">
            <w:r w:rsidR="00EE138C" w:rsidRPr="00BF02F6">
              <w:rPr>
                <w:rStyle w:val="Hyperlink"/>
                <w:noProof/>
              </w:rPr>
              <w:t>1</w:t>
            </w:r>
            <w:r w:rsidR="00EE138C">
              <w:rPr>
                <w:noProof/>
                <w:kern w:val="2"/>
                <w:sz w:val="24"/>
                <w:szCs w:val="24"/>
                <w14:ligatures w14:val="standardContextual"/>
              </w:rPr>
              <w:tab/>
            </w:r>
            <w:r w:rsidR="00EE138C" w:rsidRPr="00BF02F6">
              <w:rPr>
                <w:rStyle w:val="Hyperlink"/>
                <w:noProof/>
              </w:rPr>
              <w:t>Introduction</w:t>
            </w:r>
            <w:r w:rsidR="00EE138C">
              <w:rPr>
                <w:noProof/>
                <w:webHidden/>
              </w:rPr>
              <w:tab/>
            </w:r>
            <w:r w:rsidR="00EE138C">
              <w:rPr>
                <w:noProof/>
                <w:webHidden/>
              </w:rPr>
              <w:fldChar w:fldCharType="begin"/>
            </w:r>
            <w:r w:rsidR="00EE138C">
              <w:rPr>
                <w:noProof/>
                <w:webHidden/>
              </w:rPr>
              <w:instrText xml:space="preserve"> PAGEREF _Toc164559338 \h </w:instrText>
            </w:r>
            <w:r w:rsidR="00EE138C">
              <w:rPr>
                <w:noProof/>
                <w:webHidden/>
              </w:rPr>
            </w:r>
            <w:r w:rsidR="00EE138C">
              <w:rPr>
                <w:noProof/>
                <w:webHidden/>
              </w:rPr>
              <w:fldChar w:fldCharType="separate"/>
            </w:r>
            <w:r w:rsidR="00EE138C">
              <w:rPr>
                <w:noProof/>
                <w:webHidden/>
              </w:rPr>
              <w:t>2</w:t>
            </w:r>
            <w:r w:rsidR="00EE138C">
              <w:rPr>
                <w:noProof/>
                <w:webHidden/>
              </w:rPr>
              <w:fldChar w:fldCharType="end"/>
            </w:r>
          </w:hyperlink>
        </w:p>
        <w:p w14:paraId="7D128D89" w14:textId="328DB57A" w:rsidR="00EE138C" w:rsidRDefault="00000000">
          <w:pPr>
            <w:pStyle w:val="TOC1"/>
            <w:tabs>
              <w:tab w:val="left" w:pos="480"/>
              <w:tab w:val="right" w:leader="dot" w:pos="9016"/>
            </w:tabs>
            <w:rPr>
              <w:noProof/>
              <w:kern w:val="2"/>
              <w:sz w:val="24"/>
              <w:szCs w:val="24"/>
              <w14:ligatures w14:val="standardContextual"/>
            </w:rPr>
          </w:pPr>
          <w:hyperlink w:anchor="_Toc164559339" w:history="1">
            <w:r w:rsidR="00EE138C" w:rsidRPr="00BF02F6">
              <w:rPr>
                <w:rStyle w:val="Hyperlink"/>
                <w:noProof/>
              </w:rPr>
              <w:t>2</w:t>
            </w:r>
            <w:r w:rsidR="00EE138C">
              <w:rPr>
                <w:noProof/>
                <w:kern w:val="2"/>
                <w:sz w:val="24"/>
                <w:szCs w:val="24"/>
                <w14:ligatures w14:val="standardContextual"/>
              </w:rPr>
              <w:tab/>
            </w:r>
            <w:r w:rsidR="00EE138C" w:rsidRPr="00BF02F6">
              <w:rPr>
                <w:rStyle w:val="Hyperlink"/>
                <w:noProof/>
              </w:rPr>
              <w:t>Component Design Specification</w:t>
            </w:r>
            <w:r w:rsidR="00EE138C">
              <w:rPr>
                <w:noProof/>
                <w:webHidden/>
              </w:rPr>
              <w:tab/>
            </w:r>
            <w:r w:rsidR="00EE138C">
              <w:rPr>
                <w:noProof/>
                <w:webHidden/>
              </w:rPr>
              <w:fldChar w:fldCharType="begin"/>
            </w:r>
            <w:r w:rsidR="00EE138C">
              <w:rPr>
                <w:noProof/>
                <w:webHidden/>
              </w:rPr>
              <w:instrText xml:space="preserve"> PAGEREF _Toc164559339 \h </w:instrText>
            </w:r>
            <w:r w:rsidR="00EE138C">
              <w:rPr>
                <w:noProof/>
                <w:webHidden/>
              </w:rPr>
            </w:r>
            <w:r w:rsidR="00EE138C">
              <w:rPr>
                <w:noProof/>
                <w:webHidden/>
              </w:rPr>
              <w:fldChar w:fldCharType="separate"/>
            </w:r>
            <w:r w:rsidR="00EE138C">
              <w:rPr>
                <w:noProof/>
                <w:webHidden/>
              </w:rPr>
              <w:t>3</w:t>
            </w:r>
            <w:r w:rsidR="00EE138C">
              <w:rPr>
                <w:noProof/>
                <w:webHidden/>
              </w:rPr>
              <w:fldChar w:fldCharType="end"/>
            </w:r>
          </w:hyperlink>
        </w:p>
        <w:p w14:paraId="4BCCCB29" w14:textId="5872366E" w:rsidR="00EE138C" w:rsidRDefault="00000000">
          <w:pPr>
            <w:pStyle w:val="TOC1"/>
            <w:tabs>
              <w:tab w:val="left" w:pos="480"/>
              <w:tab w:val="right" w:leader="dot" w:pos="9016"/>
            </w:tabs>
            <w:rPr>
              <w:noProof/>
              <w:kern w:val="2"/>
              <w:sz w:val="24"/>
              <w:szCs w:val="24"/>
              <w14:ligatures w14:val="standardContextual"/>
            </w:rPr>
          </w:pPr>
          <w:hyperlink w:anchor="_Toc164559340" w:history="1">
            <w:r w:rsidR="00EE138C" w:rsidRPr="00BF02F6">
              <w:rPr>
                <w:rStyle w:val="Hyperlink"/>
                <w:noProof/>
              </w:rPr>
              <w:t>3</w:t>
            </w:r>
            <w:r w:rsidR="00EE138C">
              <w:rPr>
                <w:noProof/>
                <w:kern w:val="2"/>
                <w:sz w:val="24"/>
                <w:szCs w:val="24"/>
                <w14:ligatures w14:val="standardContextual"/>
              </w:rPr>
              <w:tab/>
            </w:r>
            <w:r w:rsidR="00EE138C" w:rsidRPr="00BF02F6">
              <w:rPr>
                <w:rStyle w:val="Hyperlink"/>
                <w:noProof/>
              </w:rPr>
              <w:t>Material Selection</w:t>
            </w:r>
            <w:r w:rsidR="00EE138C">
              <w:rPr>
                <w:noProof/>
                <w:webHidden/>
              </w:rPr>
              <w:tab/>
            </w:r>
            <w:r w:rsidR="00EE138C">
              <w:rPr>
                <w:noProof/>
                <w:webHidden/>
              </w:rPr>
              <w:fldChar w:fldCharType="begin"/>
            </w:r>
            <w:r w:rsidR="00EE138C">
              <w:rPr>
                <w:noProof/>
                <w:webHidden/>
              </w:rPr>
              <w:instrText xml:space="preserve"> PAGEREF _Toc164559340 \h </w:instrText>
            </w:r>
            <w:r w:rsidR="00EE138C">
              <w:rPr>
                <w:noProof/>
                <w:webHidden/>
              </w:rPr>
            </w:r>
            <w:r w:rsidR="00EE138C">
              <w:rPr>
                <w:noProof/>
                <w:webHidden/>
              </w:rPr>
              <w:fldChar w:fldCharType="separate"/>
            </w:r>
            <w:r w:rsidR="00EE138C">
              <w:rPr>
                <w:noProof/>
                <w:webHidden/>
              </w:rPr>
              <w:t>4</w:t>
            </w:r>
            <w:r w:rsidR="00EE138C">
              <w:rPr>
                <w:noProof/>
                <w:webHidden/>
              </w:rPr>
              <w:fldChar w:fldCharType="end"/>
            </w:r>
          </w:hyperlink>
        </w:p>
        <w:p w14:paraId="0A9AD09E" w14:textId="3AFED8B9" w:rsidR="00EE138C" w:rsidRDefault="00000000">
          <w:pPr>
            <w:pStyle w:val="TOC1"/>
            <w:tabs>
              <w:tab w:val="left" w:pos="480"/>
              <w:tab w:val="right" w:leader="dot" w:pos="9016"/>
            </w:tabs>
            <w:rPr>
              <w:noProof/>
              <w:kern w:val="2"/>
              <w:sz w:val="24"/>
              <w:szCs w:val="24"/>
              <w14:ligatures w14:val="standardContextual"/>
            </w:rPr>
          </w:pPr>
          <w:hyperlink w:anchor="_Toc164559341" w:history="1">
            <w:r w:rsidR="00EE138C" w:rsidRPr="00BF02F6">
              <w:rPr>
                <w:rStyle w:val="Hyperlink"/>
                <w:noProof/>
              </w:rPr>
              <w:t>4</w:t>
            </w:r>
            <w:r w:rsidR="00EE138C">
              <w:rPr>
                <w:noProof/>
                <w:kern w:val="2"/>
                <w:sz w:val="24"/>
                <w:szCs w:val="24"/>
                <w14:ligatures w14:val="standardContextual"/>
              </w:rPr>
              <w:tab/>
            </w:r>
            <w:r w:rsidR="00EE138C" w:rsidRPr="00BF02F6">
              <w:rPr>
                <w:rStyle w:val="Hyperlink"/>
                <w:noProof/>
              </w:rPr>
              <w:t>Manufacturing Process Selection</w:t>
            </w:r>
            <w:r w:rsidR="00EE138C">
              <w:rPr>
                <w:noProof/>
                <w:webHidden/>
              </w:rPr>
              <w:tab/>
            </w:r>
            <w:r w:rsidR="00EE138C">
              <w:rPr>
                <w:noProof/>
                <w:webHidden/>
              </w:rPr>
              <w:fldChar w:fldCharType="begin"/>
            </w:r>
            <w:r w:rsidR="00EE138C">
              <w:rPr>
                <w:noProof/>
                <w:webHidden/>
              </w:rPr>
              <w:instrText xml:space="preserve"> PAGEREF _Toc164559341 \h </w:instrText>
            </w:r>
            <w:r w:rsidR="00EE138C">
              <w:rPr>
                <w:noProof/>
                <w:webHidden/>
              </w:rPr>
            </w:r>
            <w:r w:rsidR="00EE138C">
              <w:rPr>
                <w:noProof/>
                <w:webHidden/>
              </w:rPr>
              <w:fldChar w:fldCharType="separate"/>
            </w:r>
            <w:r w:rsidR="00EE138C">
              <w:rPr>
                <w:noProof/>
                <w:webHidden/>
              </w:rPr>
              <w:t>7</w:t>
            </w:r>
            <w:r w:rsidR="00EE138C">
              <w:rPr>
                <w:noProof/>
                <w:webHidden/>
              </w:rPr>
              <w:fldChar w:fldCharType="end"/>
            </w:r>
          </w:hyperlink>
        </w:p>
        <w:p w14:paraId="70420660" w14:textId="34167A9D" w:rsidR="00EE138C" w:rsidRDefault="00000000">
          <w:pPr>
            <w:pStyle w:val="TOC1"/>
            <w:tabs>
              <w:tab w:val="left" w:pos="480"/>
              <w:tab w:val="right" w:leader="dot" w:pos="9016"/>
            </w:tabs>
            <w:rPr>
              <w:noProof/>
              <w:kern w:val="2"/>
              <w:sz w:val="24"/>
              <w:szCs w:val="24"/>
              <w14:ligatures w14:val="standardContextual"/>
            </w:rPr>
          </w:pPr>
          <w:hyperlink w:anchor="_Toc164559342" w:history="1">
            <w:r w:rsidR="00EE138C" w:rsidRPr="00BF02F6">
              <w:rPr>
                <w:rStyle w:val="Hyperlink"/>
                <w:noProof/>
              </w:rPr>
              <w:t>5</w:t>
            </w:r>
            <w:r w:rsidR="00EE138C">
              <w:rPr>
                <w:noProof/>
                <w:kern w:val="2"/>
                <w:sz w:val="24"/>
                <w:szCs w:val="24"/>
                <w14:ligatures w14:val="standardContextual"/>
              </w:rPr>
              <w:tab/>
            </w:r>
            <w:r w:rsidR="00EE138C" w:rsidRPr="00BF02F6">
              <w:rPr>
                <w:rStyle w:val="Hyperlink"/>
                <w:noProof/>
              </w:rPr>
              <w:t>Conclusion</w:t>
            </w:r>
            <w:r w:rsidR="00EE138C">
              <w:rPr>
                <w:noProof/>
                <w:webHidden/>
              </w:rPr>
              <w:tab/>
            </w:r>
            <w:r w:rsidR="00EE138C">
              <w:rPr>
                <w:noProof/>
                <w:webHidden/>
              </w:rPr>
              <w:fldChar w:fldCharType="begin"/>
            </w:r>
            <w:r w:rsidR="00EE138C">
              <w:rPr>
                <w:noProof/>
                <w:webHidden/>
              </w:rPr>
              <w:instrText xml:space="preserve"> PAGEREF _Toc164559342 \h </w:instrText>
            </w:r>
            <w:r w:rsidR="00EE138C">
              <w:rPr>
                <w:noProof/>
                <w:webHidden/>
              </w:rPr>
            </w:r>
            <w:r w:rsidR="00EE138C">
              <w:rPr>
                <w:noProof/>
                <w:webHidden/>
              </w:rPr>
              <w:fldChar w:fldCharType="separate"/>
            </w:r>
            <w:r w:rsidR="00EE138C">
              <w:rPr>
                <w:noProof/>
                <w:webHidden/>
              </w:rPr>
              <w:t>9</w:t>
            </w:r>
            <w:r w:rsidR="00EE138C">
              <w:rPr>
                <w:noProof/>
                <w:webHidden/>
              </w:rPr>
              <w:fldChar w:fldCharType="end"/>
            </w:r>
          </w:hyperlink>
        </w:p>
        <w:p w14:paraId="2FFB8DEE" w14:textId="7D6D9455" w:rsidR="00EE138C" w:rsidRDefault="00000000">
          <w:pPr>
            <w:pStyle w:val="TOC1"/>
            <w:tabs>
              <w:tab w:val="left" w:pos="480"/>
              <w:tab w:val="right" w:leader="dot" w:pos="9016"/>
            </w:tabs>
            <w:rPr>
              <w:noProof/>
              <w:kern w:val="2"/>
              <w:sz w:val="24"/>
              <w:szCs w:val="24"/>
              <w14:ligatures w14:val="standardContextual"/>
            </w:rPr>
          </w:pPr>
          <w:hyperlink w:anchor="_Toc164559343" w:history="1">
            <w:r w:rsidR="00EE138C" w:rsidRPr="00BF02F6">
              <w:rPr>
                <w:rStyle w:val="Hyperlink"/>
                <w:noProof/>
              </w:rPr>
              <w:t>6</w:t>
            </w:r>
            <w:r w:rsidR="00EE138C">
              <w:rPr>
                <w:noProof/>
                <w:kern w:val="2"/>
                <w:sz w:val="24"/>
                <w:szCs w:val="24"/>
                <w14:ligatures w14:val="standardContextual"/>
              </w:rPr>
              <w:tab/>
            </w:r>
            <w:r w:rsidR="00EE138C" w:rsidRPr="00BF02F6">
              <w:rPr>
                <w:rStyle w:val="Hyperlink"/>
                <w:noProof/>
              </w:rPr>
              <w:t>Reference List</w:t>
            </w:r>
            <w:r w:rsidR="00EE138C">
              <w:rPr>
                <w:noProof/>
                <w:webHidden/>
              </w:rPr>
              <w:tab/>
            </w:r>
            <w:r w:rsidR="00EE138C">
              <w:rPr>
                <w:noProof/>
                <w:webHidden/>
              </w:rPr>
              <w:fldChar w:fldCharType="begin"/>
            </w:r>
            <w:r w:rsidR="00EE138C">
              <w:rPr>
                <w:noProof/>
                <w:webHidden/>
              </w:rPr>
              <w:instrText xml:space="preserve"> PAGEREF _Toc164559343 \h </w:instrText>
            </w:r>
            <w:r w:rsidR="00EE138C">
              <w:rPr>
                <w:noProof/>
                <w:webHidden/>
              </w:rPr>
            </w:r>
            <w:r w:rsidR="00EE138C">
              <w:rPr>
                <w:noProof/>
                <w:webHidden/>
              </w:rPr>
              <w:fldChar w:fldCharType="separate"/>
            </w:r>
            <w:r w:rsidR="00EE138C">
              <w:rPr>
                <w:noProof/>
                <w:webHidden/>
              </w:rPr>
              <w:t>10</w:t>
            </w:r>
            <w:r w:rsidR="00EE138C">
              <w:rPr>
                <w:noProof/>
                <w:webHidden/>
              </w:rPr>
              <w:fldChar w:fldCharType="end"/>
            </w:r>
          </w:hyperlink>
        </w:p>
        <w:p w14:paraId="73E9E938" w14:textId="77777777" w:rsidR="00EE138C" w:rsidRDefault="00A65281" w:rsidP="000A69C8">
          <w:pPr>
            <w:rPr>
              <w:b/>
              <w:bCs/>
              <w:noProof/>
            </w:rPr>
          </w:pPr>
          <w:r>
            <w:rPr>
              <w:b/>
              <w:bCs/>
              <w:noProof/>
            </w:rPr>
            <w:fldChar w:fldCharType="end"/>
          </w:r>
        </w:p>
      </w:sdtContent>
    </w:sdt>
    <w:p w14:paraId="70898A3C" w14:textId="6039527B" w:rsidR="00EE138C" w:rsidRDefault="00EE138C">
      <w:pPr>
        <w:pStyle w:val="TableofFigures"/>
        <w:tabs>
          <w:tab w:val="right" w:leader="dot" w:pos="9016"/>
        </w:tabs>
        <w:rPr>
          <w:noProof/>
          <w:kern w:val="2"/>
          <w:sz w:val="24"/>
          <w:szCs w:val="24"/>
          <w14:ligatures w14:val="standardContextual"/>
        </w:rPr>
      </w:pPr>
      <w:r>
        <w:fldChar w:fldCharType="begin"/>
      </w:r>
      <w:r>
        <w:instrText xml:space="preserve"> TOC \c "Figure" </w:instrText>
      </w:r>
      <w:r>
        <w:fldChar w:fldCharType="separate"/>
      </w:r>
      <w:r>
        <w:rPr>
          <w:noProof/>
        </w:rPr>
        <w:t>Figure 1 - The points of liquidus temperature and solidus temperature of some aluminium alloys (Aluminium Guide, 2024)</w:t>
      </w:r>
      <w:r>
        <w:rPr>
          <w:noProof/>
        </w:rPr>
        <w:tab/>
      </w:r>
      <w:r>
        <w:rPr>
          <w:noProof/>
        </w:rPr>
        <w:fldChar w:fldCharType="begin"/>
      </w:r>
      <w:r>
        <w:rPr>
          <w:noProof/>
        </w:rPr>
        <w:instrText xml:space="preserve"> PAGEREF _Toc164559445 \h </w:instrText>
      </w:r>
      <w:r>
        <w:rPr>
          <w:noProof/>
        </w:rPr>
      </w:r>
      <w:r>
        <w:rPr>
          <w:noProof/>
        </w:rPr>
        <w:fldChar w:fldCharType="separate"/>
      </w:r>
      <w:r>
        <w:rPr>
          <w:noProof/>
        </w:rPr>
        <w:t>4</w:t>
      </w:r>
      <w:r>
        <w:rPr>
          <w:noProof/>
        </w:rPr>
        <w:fldChar w:fldCharType="end"/>
      </w:r>
    </w:p>
    <w:p w14:paraId="67891B34" w14:textId="5446F6EB" w:rsidR="00EE138C" w:rsidRDefault="00EE138C">
      <w:pPr>
        <w:pStyle w:val="TableofFigures"/>
        <w:tabs>
          <w:tab w:val="right" w:leader="dot" w:pos="9016"/>
        </w:tabs>
        <w:rPr>
          <w:noProof/>
          <w:kern w:val="2"/>
          <w:sz w:val="24"/>
          <w:szCs w:val="24"/>
          <w14:ligatures w14:val="standardContextual"/>
        </w:rPr>
      </w:pPr>
      <w:r>
        <w:rPr>
          <w:noProof/>
        </w:rPr>
        <w:t>Figure 2 - Exert of Metal Density Chart (World Material, 2024)</w:t>
      </w:r>
      <w:r>
        <w:rPr>
          <w:noProof/>
        </w:rPr>
        <w:tab/>
      </w:r>
      <w:r>
        <w:rPr>
          <w:noProof/>
        </w:rPr>
        <w:fldChar w:fldCharType="begin"/>
      </w:r>
      <w:r>
        <w:rPr>
          <w:noProof/>
        </w:rPr>
        <w:instrText xml:space="preserve"> PAGEREF _Toc164559446 \h </w:instrText>
      </w:r>
      <w:r>
        <w:rPr>
          <w:noProof/>
        </w:rPr>
      </w:r>
      <w:r>
        <w:rPr>
          <w:noProof/>
        </w:rPr>
        <w:fldChar w:fldCharType="separate"/>
      </w:r>
      <w:r>
        <w:rPr>
          <w:noProof/>
        </w:rPr>
        <w:t>5</w:t>
      </w:r>
      <w:r>
        <w:rPr>
          <w:noProof/>
        </w:rPr>
        <w:fldChar w:fldCharType="end"/>
      </w:r>
    </w:p>
    <w:p w14:paraId="11E57A07" w14:textId="3C988B5F" w:rsidR="00EE138C" w:rsidRDefault="00EE138C">
      <w:pPr>
        <w:pStyle w:val="TableofFigures"/>
        <w:tabs>
          <w:tab w:val="right" w:leader="dot" w:pos="9016"/>
        </w:tabs>
        <w:rPr>
          <w:noProof/>
          <w:kern w:val="2"/>
          <w:sz w:val="24"/>
          <w:szCs w:val="24"/>
          <w14:ligatures w14:val="standardContextual"/>
        </w:rPr>
      </w:pPr>
      <w:r>
        <w:rPr>
          <w:noProof/>
        </w:rPr>
        <w:t>Figure 3 - Process attributes for major casting groups (Lovatt and Bassetti, 2016)</w:t>
      </w:r>
      <w:r>
        <w:rPr>
          <w:noProof/>
        </w:rPr>
        <w:tab/>
      </w:r>
      <w:r>
        <w:rPr>
          <w:noProof/>
        </w:rPr>
        <w:fldChar w:fldCharType="begin"/>
      </w:r>
      <w:r>
        <w:rPr>
          <w:noProof/>
        </w:rPr>
        <w:instrText xml:space="preserve"> PAGEREF _Toc164559447 \h </w:instrText>
      </w:r>
      <w:r>
        <w:rPr>
          <w:noProof/>
        </w:rPr>
      </w:r>
      <w:r>
        <w:rPr>
          <w:noProof/>
        </w:rPr>
        <w:fldChar w:fldCharType="separate"/>
      </w:r>
      <w:r>
        <w:rPr>
          <w:noProof/>
        </w:rPr>
        <w:t>8</w:t>
      </w:r>
      <w:r>
        <w:rPr>
          <w:noProof/>
        </w:rPr>
        <w:fldChar w:fldCharType="end"/>
      </w:r>
    </w:p>
    <w:p w14:paraId="7364C9D4" w14:textId="2B8713BE" w:rsidR="00E64939" w:rsidRDefault="00EE138C" w:rsidP="000A69C8">
      <w:r>
        <w:fldChar w:fldCharType="end"/>
      </w:r>
      <w:r w:rsidR="009871DE">
        <w:br w:type="page"/>
      </w:r>
    </w:p>
    <w:p w14:paraId="7C9FAFD7" w14:textId="77777777" w:rsidR="008E5866" w:rsidRDefault="00E64939" w:rsidP="008E5866">
      <w:pPr>
        <w:pStyle w:val="Heading1"/>
      </w:pPr>
      <w:bookmarkStart w:id="0" w:name="_Toc164559338"/>
      <w:r>
        <w:lastRenderedPageBreak/>
        <w:t>Introduction</w:t>
      </w:r>
      <w:bookmarkEnd w:id="0"/>
    </w:p>
    <w:p w14:paraId="7E8EF145" w14:textId="61CBC6E0" w:rsidR="008E5866" w:rsidRDefault="00AF640D">
      <w:pPr>
        <w:rPr>
          <w:rFonts w:asciiTheme="majorHAnsi" w:eastAsiaTheme="majorEastAsia" w:hAnsiTheme="majorHAnsi" w:cstheme="majorBidi"/>
          <w:color w:val="2F5496" w:themeColor="accent1" w:themeShade="BF"/>
          <w:sz w:val="32"/>
          <w:szCs w:val="32"/>
        </w:rPr>
      </w:pPr>
      <w:r>
        <w:t xml:space="preserve">This report will </w:t>
      </w:r>
      <w:proofErr w:type="gramStart"/>
      <w:r>
        <w:t>look into</w:t>
      </w:r>
      <w:proofErr w:type="gramEnd"/>
      <w:r>
        <w:t xml:space="preserve"> </w:t>
      </w:r>
      <w:r w:rsidR="00E52DC1">
        <w:t>a</w:t>
      </w:r>
      <w:r>
        <w:t xml:space="preserve"> crankshaft</w:t>
      </w:r>
      <w:r w:rsidR="00E52DC1">
        <w:t xml:space="preserve"> that could be</w:t>
      </w:r>
      <w:r>
        <w:t xml:space="preserve"> used as part of the 3.4L </w:t>
      </w:r>
      <w:proofErr w:type="spellStart"/>
      <w:r>
        <w:t>Mecachrome</w:t>
      </w:r>
      <w:proofErr w:type="spellEnd"/>
      <w:r>
        <w:t xml:space="preserve"> V634 Turbo Engine </w:t>
      </w:r>
      <w:r w:rsidR="00E52DC1">
        <w:t>that runs</w:t>
      </w:r>
      <w:r>
        <w:t xml:space="preserve"> the </w:t>
      </w:r>
      <w:r w:rsidR="00A84D67">
        <w:t>Dallara F2 2018</w:t>
      </w:r>
      <w:r>
        <w:t>, the race vehicle used in Formula 2 from 2018-2023</w:t>
      </w:r>
      <w:r w:rsidR="00A84D67">
        <w:t>.</w:t>
      </w:r>
      <w:r w:rsidR="006E6C60">
        <w:t xml:space="preserve"> A design specification will be outlined, along with an ideal material and an ideal manufacture method.</w:t>
      </w:r>
      <w:r w:rsidR="008E5866">
        <w:br w:type="page"/>
      </w:r>
    </w:p>
    <w:p w14:paraId="4CCAF115" w14:textId="77777777" w:rsidR="00A65281" w:rsidRDefault="009871DE" w:rsidP="008E5866">
      <w:pPr>
        <w:pStyle w:val="Heading1"/>
      </w:pPr>
      <w:bookmarkStart w:id="1" w:name="_Toc164559339"/>
      <w:r>
        <w:lastRenderedPageBreak/>
        <w:t>Component Design Specification</w:t>
      </w:r>
      <w:bookmarkEnd w:id="1"/>
    </w:p>
    <w:tbl>
      <w:tblPr>
        <w:tblStyle w:val="TableGrid"/>
        <w:tblW w:w="0" w:type="auto"/>
        <w:tblLook w:val="04A0" w:firstRow="1" w:lastRow="0" w:firstColumn="1" w:lastColumn="0" w:noHBand="0" w:noVBand="1"/>
      </w:tblPr>
      <w:tblGrid>
        <w:gridCol w:w="3005"/>
        <w:gridCol w:w="3005"/>
        <w:gridCol w:w="3006"/>
      </w:tblGrid>
      <w:tr w:rsidR="004D0187" w14:paraId="0AF8EA8A" w14:textId="77777777" w:rsidTr="00C920C8">
        <w:tc>
          <w:tcPr>
            <w:tcW w:w="3005" w:type="dxa"/>
            <w:shd w:val="clear" w:color="auto" w:fill="ED7D31" w:themeFill="accent2"/>
          </w:tcPr>
          <w:p w14:paraId="208F86C7" w14:textId="77777777" w:rsidR="004D0187" w:rsidRDefault="00C920C8">
            <w:r>
              <w:t>Performance Requirement</w:t>
            </w:r>
          </w:p>
        </w:tc>
        <w:tc>
          <w:tcPr>
            <w:tcW w:w="3005" w:type="dxa"/>
            <w:shd w:val="clear" w:color="auto" w:fill="ED7D31" w:themeFill="accent2"/>
          </w:tcPr>
          <w:p w14:paraId="3D323318" w14:textId="77777777" w:rsidR="004D0187" w:rsidRDefault="00C920C8">
            <w:r>
              <w:t>Design Requirement</w:t>
            </w:r>
          </w:p>
        </w:tc>
        <w:tc>
          <w:tcPr>
            <w:tcW w:w="3006" w:type="dxa"/>
            <w:shd w:val="clear" w:color="auto" w:fill="ED7D31" w:themeFill="accent2"/>
          </w:tcPr>
          <w:p w14:paraId="49DEFF67" w14:textId="77777777" w:rsidR="004D0187" w:rsidRDefault="00C920C8">
            <w:r>
              <w:t>Design Specification</w:t>
            </w:r>
          </w:p>
        </w:tc>
      </w:tr>
      <w:tr w:rsidR="004D0187" w14:paraId="7D686517" w14:textId="77777777" w:rsidTr="004D0187">
        <w:tc>
          <w:tcPr>
            <w:tcW w:w="3005" w:type="dxa"/>
          </w:tcPr>
          <w:p w14:paraId="0A4A54A0" w14:textId="2445DC7F" w:rsidR="004D0187" w:rsidRDefault="00AF640D">
            <w:r>
              <w:t>Durable enough to remain usable for at least an entire sporting event.</w:t>
            </w:r>
          </w:p>
        </w:tc>
        <w:tc>
          <w:tcPr>
            <w:tcW w:w="3005" w:type="dxa"/>
          </w:tcPr>
          <w:p w14:paraId="609D4335" w14:textId="3DEFD8D8" w:rsidR="004D0187" w:rsidRDefault="00AF640D">
            <w:r>
              <w:t>Constructed</w:t>
            </w:r>
            <w:r w:rsidR="00022B77">
              <w:t xml:space="preserve"> of a material </w:t>
            </w:r>
            <w:r>
              <w:t xml:space="preserve">of </w:t>
            </w:r>
            <w:r w:rsidR="00022B77">
              <w:t>extreme durability.</w:t>
            </w:r>
          </w:p>
        </w:tc>
        <w:tc>
          <w:tcPr>
            <w:tcW w:w="3006" w:type="dxa"/>
          </w:tcPr>
          <w:p w14:paraId="0C28343B" w14:textId="566F0670" w:rsidR="004D0187" w:rsidRDefault="00F223B6">
            <w:r>
              <w:rPr>
                <w:rFonts w:hint="eastAsia"/>
              </w:rPr>
              <w:t>Material has a</w:t>
            </w:r>
            <w:r w:rsidR="001F79B2">
              <w:t xml:space="preserve"> yield</w:t>
            </w:r>
            <w:r>
              <w:rPr>
                <w:rFonts w:hint="eastAsia"/>
              </w:rPr>
              <w:t xml:space="preserve"> tensile strength </w:t>
            </w:r>
            <w:r w:rsidR="006F21CA">
              <w:rPr>
                <w:rFonts w:hint="eastAsia"/>
              </w:rPr>
              <w:t xml:space="preserve">greater than </w:t>
            </w:r>
            <w:r w:rsidR="006B0988">
              <w:t>275</w:t>
            </w:r>
            <w:r w:rsidR="007A425C">
              <w:rPr>
                <w:rFonts w:hint="eastAsia"/>
              </w:rPr>
              <w:t>Mpa.</w:t>
            </w:r>
          </w:p>
        </w:tc>
      </w:tr>
      <w:tr w:rsidR="004D0187" w14:paraId="3ACECE79" w14:textId="77777777" w:rsidTr="004D0187">
        <w:tc>
          <w:tcPr>
            <w:tcW w:w="3005" w:type="dxa"/>
          </w:tcPr>
          <w:p w14:paraId="28FB2343" w14:textId="658DC460" w:rsidR="004D0187" w:rsidRDefault="00022B77">
            <w:r>
              <w:t>Will not fail due to excessive heat exposure.</w:t>
            </w:r>
          </w:p>
        </w:tc>
        <w:tc>
          <w:tcPr>
            <w:tcW w:w="3005" w:type="dxa"/>
          </w:tcPr>
          <w:p w14:paraId="45847737" w14:textId="5A0CA714" w:rsidR="004D0187" w:rsidRDefault="001E70D7">
            <w:r>
              <w:t>Material h</w:t>
            </w:r>
            <w:r w:rsidR="00022B77">
              <w:t>as a high</w:t>
            </w:r>
            <w:r w:rsidR="009D0BC0">
              <w:t>er</w:t>
            </w:r>
            <w:r w:rsidR="00022B77">
              <w:t xml:space="preserve"> melting point than the heats </w:t>
            </w:r>
            <w:r w:rsidR="009D0BC0">
              <w:t>of it will be subject to</w:t>
            </w:r>
            <w:r w:rsidR="00022B77">
              <w:t>.</w:t>
            </w:r>
          </w:p>
        </w:tc>
        <w:tc>
          <w:tcPr>
            <w:tcW w:w="3006" w:type="dxa"/>
          </w:tcPr>
          <w:p w14:paraId="05DE4377" w14:textId="7107E47E" w:rsidR="004D0187" w:rsidRDefault="001E70D7">
            <w:r>
              <w:t>Material has a melting point beyond 300</w:t>
            </w:r>
            <w:r>
              <w:rPr>
                <w:rFonts w:cstheme="minorHAnsi"/>
              </w:rPr>
              <w:t>°</w:t>
            </w:r>
            <w:r>
              <w:t>F.</w:t>
            </w:r>
          </w:p>
        </w:tc>
      </w:tr>
      <w:tr w:rsidR="004D0187" w14:paraId="33D94599" w14:textId="77777777" w:rsidTr="004D0187">
        <w:tc>
          <w:tcPr>
            <w:tcW w:w="3005" w:type="dxa"/>
          </w:tcPr>
          <w:p w14:paraId="2AD3D22C" w14:textId="047288F0" w:rsidR="004D0187" w:rsidRDefault="00A31478">
            <w:r>
              <w:t>M</w:t>
            </w:r>
            <w:r w:rsidR="00022B77">
              <w:t>anufactured to accommodate all 6 pistons.</w:t>
            </w:r>
          </w:p>
        </w:tc>
        <w:tc>
          <w:tcPr>
            <w:tcW w:w="3005" w:type="dxa"/>
          </w:tcPr>
          <w:p w14:paraId="1B32B023" w14:textId="7540C238" w:rsidR="004D0187" w:rsidRDefault="00022B77">
            <w:r>
              <w:t>Will have 6 journals for the pistons to be set into.</w:t>
            </w:r>
          </w:p>
        </w:tc>
        <w:tc>
          <w:tcPr>
            <w:tcW w:w="3006" w:type="dxa"/>
          </w:tcPr>
          <w:p w14:paraId="029BF381" w14:textId="28B8937C" w:rsidR="004D0187" w:rsidRDefault="00F04180">
            <w:r>
              <w:t xml:space="preserve">Manufactured </w:t>
            </w:r>
            <w:r w:rsidR="00180292">
              <w:t>method needs to allow for complex shapes.</w:t>
            </w:r>
          </w:p>
        </w:tc>
      </w:tr>
      <w:tr w:rsidR="00A84D67" w14:paraId="1F63A87D" w14:textId="77777777" w:rsidTr="004D0187">
        <w:tc>
          <w:tcPr>
            <w:tcW w:w="3005" w:type="dxa"/>
          </w:tcPr>
          <w:p w14:paraId="44AA3EC0" w14:textId="22EEC51F" w:rsidR="00A84D67" w:rsidRDefault="00F57ECA">
            <w:r>
              <w:t>Journals should fit within the cap and piston</w:t>
            </w:r>
            <w:r w:rsidR="00AF640D">
              <w:t xml:space="preserve"> big end bearing shells.</w:t>
            </w:r>
          </w:p>
        </w:tc>
        <w:tc>
          <w:tcPr>
            <w:tcW w:w="3005" w:type="dxa"/>
          </w:tcPr>
          <w:p w14:paraId="52363134" w14:textId="43E115AB" w:rsidR="00A84D67" w:rsidRDefault="00AF640D">
            <w:r>
              <w:t xml:space="preserve">Should be measured to size with the other components it will be fitted with. </w:t>
            </w:r>
          </w:p>
        </w:tc>
        <w:tc>
          <w:tcPr>
            <w:tcW w:w="3006" w:type="dxa"/>
          </w:tcPr>
          <w:p w14:paraId="040A6F7C" w14:textId="29AD31BA" w:rsidR="00A84D67" w:rsidRDefault="00356C9F">
            <w:r>
              <w:t>Manufactured within a tolerance of +/- 0.01mm.</w:t>
            </w:r>
          </w:p>
        </w:tc>
      </w:tr>
      <w:tr w:rsidR="00A84D67" w14:paraId="1CB22519" w14:textId="77777777" w:rsidTr="004D0187">
        <w:tc>
          <w:tcPr>
            <w:tcW w:w="3005" w:type="dxa"/>
          </w:tcPr>
          <w:p w14:paraId="12AABBF0" w14:textId="65AF9015" w:rsidR="00A84D67" w:rsidRDefault="00A31478">
            <w:r>
              <w:t>N</w:t>
            </w:r>
            <w:r w:rsidR="00943EAF">
              <w:t>ot heavily detrimental to the vehicle’s weight.</w:t>
            </w:r>
          </w:p>
        </w:tc>
        <w:tc>
          <w:tcPr>
            <w:tcW w:w="3005" w:type="dxa"/>
          </w:tcPr>
          <w:p w14:paraId="3AF88EE0" w14:textId="77C7E380" w:rsidR="00A84D67" w:rsidRDefault="00A31478">
            <w:r>
              <w:t xml:space="preserve">Should be lightweight.  </w:t>
            </w:r>
          </w:p>
        </w:tc>
        <w:tc>
          <w:tcPr>
            <w:tcW w:w="3006" w:type="dxa"/>
          </w:tcPr>
          <w:p w14:paraId="6C8DF30D" w14:textId="15042011" w:rsidR="00A84D67" w:rsidRDefault="005A4CB7">
            <w:r>
              <w:rPr>
                <w:rFonts w:hint="eastAsia"/>
              </w:rPr>
              <w:t>Weigh less than 10kg (before the counterweights).</w:t>
            </w:r>
          </w:p>
        </w:tc>
      </w:tr>
      <w:tr w:rsidR="00A31478" w14:paraId="1D0D5A08" w14:textId="77777777" w:rsidTr="004D0187">
        <w:tc>
          <w:tcPr>
            <w:tcW w:w="3005" w:type="dxa"/>
          </w:tcPr>
          <w:p w14:paraId="26CEFE44" w14:textId="73A7A9E9" w:rsidR="00A31478" w:rsidRDefault="00A31478">
            <w:r>
              <w:t>Easy to remove for maintenance or in the case of a failure.</w:t>
            </w:r>
          </w:p>
        </w:tc>
        <w:tc>
          <w:tcPr>
            <w:tcW w:w="3005" w:type="dxa"/>
          </w:tcPr>
          <w:p w14:paraId="6DFD3B56" w14:textId="3ABE7072" w:rsidR="00A31478" w:rsidRDefault="00A31478">
            <w:r>
              <w:t>Must be easy to handle and lightweight.</w:t>
            </w:r>
          </w:p>
        </w:tc>
        <w:tc>
          <w:tcPr>
            <w:tcW w:w="3006" w:type="dxa"/>
          </w:tcPr>
          <w:p w14:paraId="26DA3AC5" w14:textId="1382F0AA" w:rsidR="00A31478" w:rsidRPr="005A4CB7" w:rsidRDefault="005A4CB7">
            <w:r>
              <w:rPr>
                <w:rFonts w:hint="eastAsia"/>
              </w:rPr>
              <w:t>No sharp edges and weighs less than 10kg (before the counterweights).</w:t>
            </w:r>
          </w:p>
        </w:tc>
      </w:tr>
      <w:tr w:rsidR="00F6601B" w14:paraId="25AE32F0" w14:textId="77777777" w:rsidTr="004D0187">
        <w:tc>
          <w:tcPr>
            <w:tcW w:w="3005" w:type="dxa"/>
          </w:tcPr>
          <w:p w14:paraId="1F33D952" w14:textId="68E70CFC" w:rsidR="00F6601B" w:rsidRDefault="00A31478">
            <w:r>
              <w:t>I</w:t>
            </w:r>
            <w:r w:rsidR="00943EAF">
              <w:t>dentical across all cars, and spares must be available.</w:t>
            </w:r>
          </w:p>
        </w:tc>
        <w:tc>
          <w:tcPr>
            <w:tcW w:w="3005" w:type="dxa"/>
          </w:tcPr>
          <w:p w14:paraId="2324EE97" w14:textId="2630EF21" w:rsidR="00F6601B" w:rsidRDefault="00AF640D">
            <w:r>
              <w:t>Possible</w:t>
            </w:r>
            <w:r w:rsidR="00943EAF">
              <w:t xml:space="preserve"> to be </w:t>
            </w:r>
            <w:r w:rsidR="003269C3">
              <w:t xml:space="preserve">small </w:t>
            </w:r>
            <w:r w:rsidR="00943EAF">
              <w:t>batch produced.</w:t>
            </w:r>
          </w:p>
        </w:tc>
        <w:tc>
          <w:tcPr>
            <w:tcW w:w="3006" w:type="dxa"/>
          </w:tcPr>
          <w:p w14:paraId="5AE1DB7D" w14:textId="165A4D40" w:rsidR="00F6601B" w:rsidRDefault="00AF640D">
            <w:r>
              <w:t>Manufacture method must be automated.</w:t>
            </w:r>
          </w:p>
        </w:tc>
      </w:tr>
    </w:tbl>
    <w:p w14:paraId="314FDF18" w14:textId="77777777" w:rsidR="00A65281" w:rsidRDefault="00A65281">
      <w:pPr>
        <w:rPr>
          <w:rFonts w:asciiTheme="majorHAnsi" w:eastAsiaTheme="majorEastAsia" w:hAnsiTheme="majorHAnsi" w:cstheme="majorBidi"/>
          <w:color w:val="2F5496" w:themeColor="accent1" w:themeShade="BF"/>
          <w:sz w:val="32"/>
          <w:szCs w:val="32"/>
        </w:rPr>
      </w:pPr>
      <w:r>
        <w:br w:type="page"/>
      </w:r>
    </w:p>
    <w:p w14:paraId="602E6466" w14:textId="77777777" w:rsidR="00A65281" w:rsidRDefault="009871DE" w:rsidP="00A65281">
      <w:pPr>
        <w:pStyle w:val="Heading1"/>
      </w:pPr>
      <w:bookmarkStart w:id="2" w:name="_Toc164559340"/>
      <w:r>
        <w:lastRenderedPageBreak/>
        <w:t>Material Selection</w:t>
      </w:r>
      <w:bookmarkEnd w:id="2"/>
    </w:p>
    <w:p w14:paraId="142119F7" w14:textId="537EA75B" w:rsidR="00DB3D13" w:rsidRDefault="00DB3D13">
      <w:r>
        <w:t xml:space="preserve">The material needed for the crankshaft must have a tensile strength of over </w:t>
      </w:r>
      <w:r w:rsidR="006B0988">
        <w:t>275</w:t>
      </w:r>
      <w:r>
        <w:t>Mpa, melting point above 300</w:t>
      </w:r>
      <w:r>
        <w:rPr>
          <w:rFonts w:cstheme="minorHAnsi"/>
        </w:rPr>
        <w:t>°</w:t>
      </w:r>
      <w:r>
        <w:t>F, weight less than 10kg, and finally must be easily possible to machine, all per the design specification.</w:t>
      </w:r>
    </w:p>
    <w:p w14:paraId="2759BEFE" w14:textId="4D44F309" w:rsidR="00A95812" w:rsidRDefault="00A57B93">
      <w:pPr>
        <w:rPr>
          <w:rFonts w:cstheme="minorHAnsi"/>
        </w:rPr>
      </w:pPr>
      <w:r>
        <w:rPr>
          <w:rFonts w:cstheme="minorHAnsi"/>
          <w:noProof/>
        </w:rPr>
        <w:drawing>
          <wp:anchor distT="0" distB="0" distL="114300" distR="114300" simplePos="0" relativeHeight="251658240" behindDoc="1" locked="0" layoutInCell="1" allowOverlap="1" wp14:anchorId="1E7ADDBD" wp14:editId="692C9109">
            <wp:simplePos x="0" y="0"/>
            <wp:positionH relativeFrom="margin">
              <wp:align>center</wp:align>
            </wp:positionH>
            <wp:positionV relativeFrom="paragraph">
              <wp:posOffset>2007235</wp:posOffset>
            </wp:positionV>
            <wp:extent cx="3677285" cy="4982210"/>
            <wp:effectExtent l="0" t="0" r="0" b="8890"/>
            <wp:wrapSquare wrapText="bothSides"/>
            <wp:docPr id="547857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77285" cy="4982210"/>
                    </a:xfrm>
                    <a:prstGeom prst="rect">
                      <a:avLst/>
                    </a:prstGeom>
                    <a:noFill/>
                  </pic:spPr>
                </pic:pic>
              </a:graphicData>
            </a:graphic>
          </wp:anchor>
        </w:drawing>
      </w:r>
      <w:r w:rsidR="00DD2569">
        <w:t>M</w:t>
      </w:r>
      <w:r w:rsidR="00DB3D13">
        <w:t>etal</w:t>
      </w:r>
      <w:r w:rsidR="00DD2569">
        <w:t>s</w:t>
      </w:r>
      <w:r w:rsidR="00DB3D13">
        <w:t xml:space="preserve"> that could be considered </w:t>
      </w:r>
      <w:r w:rsidR="00DD2569">
        <w:t>are</w:t>
      </w:r>
      <w:r w:rsidR="00DB3D13">
        <w:t xml:space="preserve"> aluminium</w:t>
      </w:r>
      <w:r w:rsidR="00DD2569">
        <w:t xml:space="preserve"> alloys</w:t>
      </w:r>
      <w:r w:rsidR="00DB3D13">
        <w:t xml:space="preserve">, a commonly used material in the automotive industry, and furthermore the motorsport sector. </w:t>
      </w:r>
      <w:r w:rsidR="00DD2569">
        <w:t>Aluminium comes in various forms of alloys, all of which have a solidus temperature of 477</w:t>
      </w:r>
      <w:r w:rsidR="00DD2569">
        <w:rPr>
          <w:rFonts w:cstheme="minorHAnsi"/>
        </w:rPr>
        <w:t>-660°C, or 890.6-1220°F, as seen in figure 1. Solidus being the word that refers to the point in which a solid begins to melt. These figures are far above the temperature requirement, which itself is based around the engine temperature of the engine when in use.</w:t>
      </w:r>
      <w:r w:rsidR="00BD5269">
        <w:rPr>
          <w:rFonts w:cstheme="minorHAnsi"/>
        </w:rPr>
        <w:t xml:space="preserve"> The alloy 1199 would be ideal as it is the variant with the highest solidus point of 660°C/1220°F; though alloys 1050 and 3003 also boast extremely high values as well, as seen in figure 1</w:t>
      </w:r>
      <w:r>
        <w:rPr>
          <w:rFonts w:cstheme="minorHAnsi"/>
        </w:rPr>
        <w:t>, though all listed do meet this requirement.</w:t>
      </w:r>
    </w:p>
    <w:p w14:paraId="355EA99A" w14:textId="595FDA42" w:rsidR="000F1607" w:rsidRDefault="000F1607">
      <w:pPr>
        <w:rPr>
          <w:rFonts w:cstheme="minorHAnsi"/>
        </w:rPr>
      </w:pPr>
    </w:p>
    <w:p w14:paraId="50644107" w14:textId="77777777" w:rsidR="000F1607" w:rsidRDefault="000F1607">
      <w:pPr>
        <w:rPr>
          <w:rFonts w:cstheme="minorHAnsi"/>
        </w:rPr>
      </w:pPr>
    </w:p>
    <w:p w14:paraId="19A7AAFB" w14:textId="77777777" w:rsidR="000F1607" w:rsidRDefault="000F1607">
      <w:pPr>
        <w:rPr>
          <w:rFonts w:cstheme="minorHAnsi"/>
        </w:rPr>
      </w:pPr>
    </w:p>
    <w:p w14:paraId="3B89FFFE" w14:textId="77777777" w:rsidR="000F1607" w:rsidRDefault="000F1607">
      <w:pPr>
        <w:rPr>
          <w:rFonts w:cstheme="minorHAnsi"/>
        </w:rPr>
      </w:pPr>
    </w:p>
    <w:p w14:paraId="6C41AAB5" w14:textId="77777777" w:rsidR="000F1607" w:rsidRDefault="000F1607">
      <w:pPr>
        <w:rPr>
          <w:rFonts w:cstheme="minorHAnsi"/>
        </w:rPr>
      </w:pPr>
    </w:p>
    <w:p w14:paraId="38F1797B" w14:textId="77777777" w:rsidR="000F1607" w:rsidRDefault="000F1607">
      <w:pPr>
        <w:rPr>
          <w:rFonts w:cstheme="minorHAnsi"/>
        </w:rPr>
      </w:pPr>
    </w:p>
    <w:p w14:paraId="5DE7262B" w14:textId="77777777" w:rsidR="000F1607" w:rsidRDefault="000F1607">
      <w:pPr>
        <w:rPr>
          <w:rFonts w:cstheme="minorHAnsi"/>
        </w:rPr>
      </w:pPr>
    </w:p>
    <w:p w14:paraId="0BE15D9E" w14:textId="77777777" w:rsidR="000F1607" w:rsidRDefault="000F1607">
      <w:pPr>
        <w:rPr>
          <w:rFonts w:cstheme="minorHAnsi"/>
        </w:rPr>
      </w:pPr>
    </w:p>
    <w:p w14:paraId="76E9E06A" w14:textId="77777777" w:rsidR="000F1607" w:rsidRDefault="000F1607">
      <w:pPr>
        <w:rPr>
          <w:rFonts w:cstheme="minorHAnsi"/>
        </w:rPr>
      </w:pPr>
    </w:p>
    <w:p w14:paraId="643088F0" w14:textId="77777777" w:rsidR="000F1607" w:rsidRDefault="000F1607">
      <w:pPr>
        <w:rPr>
          <w:rFonts w:cstheme="minorHAnsi"/>
        </w:rPr>
      </w:pPr>
    </w:p>
    <w:p w14:paraId="3291A4DC" w14:textId="77777777" w:rsidR="000F1607" w:rsidRDefault="000F1607">
      <w:pPr>
        <w:rPr>
          <w:rFonts w:cstheme="minorHAnsi"/>
        </w:rPr>
      </w:pPr>
    </w:p>
    <w:p w14:paraId="5EA1973E" w14:textId="77777777" w:rsidR="000F1607" w:rsidRDefault="000F1607">
      <w:pPr>
        <w:rPr>
          <w:rFonts w:cstheme="minorHAnsi"/>
        </w:rPr>
      </w:pPr>
    </w:p>
    <w:p w14:paraId="0064E71B" w14:textId="11ECFFF0" w:rsidR="000F1607" w:rsidRDefault="000F1607">
      <w:pPr>
        <w:rPr>
          <w:rFonts w:cstheme="minorHAnsi"/>
        </w:rPr>
      </w:pPr>
    </w:p>
    <w:p w14:paraId="3B5F353D" w14:textId="25D1F653" w:rsidR="000F1607" w:rsidRDefault="00BD5269">
      <w:pPr>
        <w:rPr>
          <w:rFonts w:cstheme="minorHAnsi"/>
        </w:rPr>
      </w:pPr>
      <w:r>
        <w:rPr>
          <w:noProof/>
        </w:rPr>
        <mc:AlternateContent>
          <mc:Choice Requires="wps">
            <w:drawing>
              <wp:anchor distT="0" distB="0" distL="114300" distR="114300" simplePos="0" relativeHeight="251660288" behindDoc="0" locked="0" layoutInCell="1" allowOverlap="1" wp14:anchorId="4BC525E9" wp14:editId="2853011E">
                <wp:simplePos x="0" y="0"/>
                <wp:positionH relativeFrom="margin">
                  <wp:align>center</wp:align>
                </wp:positionH>
                <wp:positionV relativeFrom="paragraph">
                  <wp:posOffset>223520</wp:posOffset>
                </wp:positionV>
                <wp:extent cx="3677285" cy="635"/>
                <wp:effectExtent l="0" t="0" r="0" b="0"/>
                <wp:wrapSquare wrapText="bothSides"/>
                <wp:docPr id="1874598340" name="Text Box 1"/>
                <wp:cNvGraphicFramePr/>
                <a:graphic xmlns:a="http://schemas.openxmlformats.org/drawingml/2006/main">
                  <a:graphicData uri="http://schemas.microsoft.com/office/word/2010/wordprocessingShape">
                    <wps:wsp>
                      <wps:cNvSpPr txBox="1"/>
                      <wps:spPr>
                        <a:xfrm>
                          <a:off x="0" y="0"/>
                          <a:ext cx="3677285" cy="635"/>
                        </a:xfrm>
                        <a:prstGeom prst="rect">
                          <a:avLst/>
                        </a:prstGeom>
                        <a:solidFill>
                          <a:prstClr val="white"/>
                        </a:solidFill>
                        <a:ln>
                          <a:noFill/>
                        </a:ln>
                      </wps:spPr>
                      <wps:txbx>
                        <w:txbxContent>
                          <w:p w14:paraId="6F7CAFBD" w14:textId="1026E251" w:rsidR="000F1607" w:rsidRPr="006E57A4" w:rsidRDefault="000F1607" w:rsidP="000F1607">
                            <w:pPr>
                              <w:pStyle w:val="Caption"/>
                              <w:rPr>
                                <w:rFonts w:cstheme="minorHAnsi"/>
                                <w:noProof/>
                                <w:sz w:val="22"/>
                                <w:szCs w:val="22"/>
                              </w:rPr>
                            </w:pPr>
                            <w:bookmarkStart w:id="3" w:name="_Toc164559356"/>
                            <w:bookmarkStart w:id="4" w:name="_Toc164559445"/>
                            <w:r>
                              <w:t xml:space="preserve">Figure </w:t>
                            </w:r>
                            <w:r>
                              <w:fldChar w:fldCharType="begin"/>
                            </w:r>
                            <w:r>
                              <w:instrText xml:space="preserve"> SEQ Figure \* ARABIC </w:instrText>
                            </w:r>
                            <w:r>
                              <w:fldChar w:fldCharType="separate"/>
                            </w:r>
                            <w:r w:rsidR="00EE138C">
                              <w:rPr>
                                <w:noProof/>
                              </w:rPr>
                              <w:t>1</w:t>
                            </w:r>
                            <w:r>
                              <w:fldChar w:fldCharType="end"/>
                            </w:r>
                            <w:r>
                              <w:t xml:space="preserve"> - The points of liquidus temperature and solidus temperature of some aluminium alloys (Aluminium Guide, 2024)</w:t>
                            </w:r>
                            <w:bookmarkEnd w:id="3"/>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BC525E9" id="_x0000_t202" coordsize="21600,21600" o:spt="202" path="m,l,21600r21600,l21600,xe">
                <v:stroke joinstyle="miter"/>
                <v:path gradientshapeok="t" o:connecttype="rect"/>
              </v:shapetype>
              <v:shape id="Text Box 1" o:spid="_x0000_s1026" type="#_x0000_t202" style="position:absolute;margin-left:0;margin-top:17.6pt;width:289.55pt;height:.0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" stroked="f">
                <v:textbox style="mso-fit-shape-to-text:t" inset="0,0,0,0">
                  <w:txbxContent>
                    <w:p w14:paraId="6F7CAFBD" w14:textId="1026E251" w:rsidR="000F1607" w:rsidRPr="006E57A4" w:rsidRDefault="000F1607" w:rsidP="000F1607">
                      <w:pPr>
                        <w:pStyle w:val="Caption"/>
                        <w:rPr>
                          <w:rFonts w:cstheme="minorHAnsi"/>
                          <w:noProof/>
                          <w:sz w:val="22"/>
                          <w:szCs w:val="22"/>
                        </w:rPr>
                      </w:pPr>
                      <w:bookmarkStart w:id="5" w:name="_Toc164559356"/>
                      <w:bookmarkStart w:id="6" w:name="_Toc164559445"/>
                      <w:r>
                        <w:t xml:space="preserve">Figure </w:t>
                      </w:r>
                      <w:r>
                        <w:fldChar w:fldCharType="begin"/>
                      </w:r>
                      <w:r>
                        <w:instrText xml:space="preserve"> SEQ Figure \* ARABIC </w:instrText>
                      </w:r>
                      <w:r>
                        <w:fldChar w:fldCharType="separate"/>
                      </w:r>
                      <w:r w:rsidR="00EE138C">
                        <w:rPr>
                          <w:noProof/>
                        </w:rPr>
                        <w:t>1</w:t>
                      </w:r>
                      <w:r>
                        <w:fldChar w:fldCharType="end"/>
                      </w:r>
                      <w:r>
                        <w:t xml:space="preserve"> - The points of liquidus temperature and solidus temperature of some aluminium alloys (Aluminium Guide, 2024)</w:t>
                      </w:r>
                      <w:bookmarkEnd w:id="5"/>
                      <w:bookmarkEnd w:id="6"/>
                    </w:p>
                  </w:txbxContent>
                </v:textbox>
                <w10:wrap type="square" anchorx="margin"/>
              </v:shape>
            </w:pict>
          </mc:Fallback>
        </mc:AlternateContent>
      </w:r>
    </w:p>
    <w:p w14:paraId="3BCEDB90" w14:textId="77777777" w:rsidR="000C4DAA" w:rsidRDefault="000C4DAA">
      <w:pPr>
        <w:rPr>
          <w:rFonts w:cstheme="minorHAnsi"/>
        </w:rPr>
      </w:pPr>
    </w:p>
    <w:p w14:paraId="0BBBEB8F" w14:textId="05C49CF5" w:rsidR="000C4DAA" w:rsidRDefault="00DD2569">
      <w:pPr>
        <w:rPr>
          <w:rFonts w:cstheme="minorHAnsi"/>
        </w:rPr>
      </w:pPr>
      <w:r>
        <w:rPr>
          <w:rFonts w:cstheme="minorHAnsi"/>
        </w:rPr>
        <w:lastRenderedPageBreak/>
        <w:t xml:space="preserve">The material is also comparatively lightweight compared to other metals, </w:t>
      </w:r>
      <w:r w:rsidR="00A95812">
        <w:rPr>
          <w:rFonts w:cstheme="minorHAnsi"/>
        </w:rPr>
        <w:t>having a density of 2.77 g/cm³ compared to the titanium alloy density of 4.43g/cm³</w:t>
      </w:r>
      <w:r w:rsidR="000C4DAA">
        <w:rPr>
          <w:rFonts w:cstheme="minorHAnsi"/>
        </w:rPr>
        <w:t xml:space="preserve"> (</w:t>
      </w:r>
      <w:r w:rsidR="009F391E">
        <w:rPr>
          <w:rFonts w:cstheme="minorHAnsi"/>
        </w:rPr>
        <w:t>Campbell</w:t>
      </w:r>
      <w:r w:rsidR="000C4DAA">
        <w:rPr>
          <w:rFonts w:cstheme="minorHAnsi"/>
        </w:rPr>
        <w:t>, 2012</w:t>
      </w:r>
      <w:r w:rsidR="00C52525">
        <w:rPr>
          <w:rFonts w:cstheme="minorHAnsi"/>
        </w:rPr>
        <w:t>, p. 5</w:t>
      </w:r>
      <w:r w:rsidR="000C4DAA">
        <w:rPr>
          <w:rFonts w:cstheme="minorHAnsi"/>
        </w:rPr>
        <w:t>)</w:t>
      </w:r>
      <w:r w:rsidR="00A95812">
        <w:rPr>
          <w:rFonts w:cstheme="minorHAnsi"/>
        </w:rPr>
        <w:t xml:space="preserve">. Crankshafts </w:t>
      </w:r>
      <w:r w:rsidR="00A0612E">
        <w:rPr>
          <w:rFonts w:cstheme="minorHAnsi"/>
        </w:rPr>
        <w:t xml:space="preserve">are often made from steel or cast iron </w:t>
      </w:r>
      <w:r w:rsidR="000C4DAA">
        <w:rPr>
          <w:rFonts w:cstheme="minorHAnsi"/>
        </w:rPr>
        <w:t xml:space="preserve">(Kevin, 2023) </w:t>
      </w:r>
      <w:r w:rsidR="00A0612E">
        <w:rPr>
          <w:rFonts w:cstheme="minorHAnsi"/>
        </w:rPr>
        <w:t>which both have far higher densities of 7.81-7.85g/cm³ and 7.87g/cm</w:t>
      </w:r>
      <w:r w:rsidR="00A0612E" w:rsidRPr="00A0612E">
        <w:rPr>
          <w:rFonts w:cstheme="minorHAnsi"/>
        </w:rPr>
        <w:t>³</w:t>
      </w:r>
      <w:r w:rsidR="000C4DAA">
        <w:rPr>
          <w:rFonts w:cstheme="minorHAnsi"/>
        </w:rPr>
        <w:t xml:space="preserve"> as seen in figure 2</w:t>
      </w:r>
      <w:r w:rsidR="00A0612E">
        <w:rPr>
          <w:rFonts w:cstheme="minorHAnsi"/>
        </w:rPr>
        <w:t>, making it safe to assume that the component would be below 10kg if manufactured from an aluminium alloy.</w:t>
      </w:r>
      <w:r w:rsidR="00A57B93">
        <w:rPr>
          <w:rFonts w:cstheme="minorHAnsi"/>
        </w:rPr>
        <w:t xml:space="preserve"> </w:t>
      </w:r>
      <w:r w:rsidR="002C0BF1">
        <w:rPr>
          <w:rFonts w:cstheme="minorHAnsi"/>
        </w:rPr>
        <w:t>Alloy 1199</w:t>
      </w:r>
      <w:r w:rsidR="00A57B93">
        <w:rPr>
          <w:rFonts w:cstheme="minorHAnsi"/>
        </w:rPr>
        <w:t xml:space="preserve"> has a specific density of 2.70g/cm³ (</w:t>
      </w:r>
      <w:r w:rsidR="002E6177">
        <w:rPr>
          <w:rFonts w:cstheme="minorHAnsi"/>
        </w:rPr>
        <w:t>Azo Materials, 2013</w:t>
      </w:r>
      <w:r w:rsidR="00A57B93">
        <w:rPr>
          <w:rFonts w:cstheme="minorHAnsi"/>
        </w:rPr>
        <w:t>), even further below the general measurement for aluminium alloys, and the two other specified alloys of 1050 and 3003</w:t>
      </w:r>
      <w:r w:rsidR="00336FC4">
        <w:rPr>
          <w:rFonts w:cstheme="minorHAnsi"/>
        </w:rPr>
        <w:t xml:space="preserve"> have densities of 2.71g/cm³</w:t>
      </w:r>
      <w:r w:rsidR="002E6177">
        <w:rPr>
          <w:rFonts w:cstheme="minorHAnsi"/>
        </w:rPr>
        <w:t xml:space="preserve"> </w:t>
      </w:r>
      <w:r w:rsidR="00336FC4">
        <w:rPr>
          <w:rFonts w:cstheme="minorHAnsi"/>
        </w:rPr>
        <w:t>(</w:t>
      </w:r>
      <w:proofErr w:type="spellStart"/>
      <w:r w:rsidR="00301227">
        <w:rPr>
          <w:rFonts w:cstheme="minorHAnsi"/>
        </w:rPr>
        <w:t>A</w:t>
      </w:r>
      <w:r w:rsidR="002E6177">
        <w:rPr>
          <w:rFonts w:cstheme="minorHAnsi"/>
        </w:rPr>
        <w:t>alco</w:t>
      </w:r>
      <w:proofErr w:type="spellEnd"/>
      <w:r w:rsidR="002E6177">
        <w:rPr>
          <w:rFonts w:cstheme="minorHAnsi"/>
        </w:rPr>
        <w:t>, 2020</w:t>
      </w:r>
      <w:r w:rsidR="00336FC4">
        <w:rPr>
          <w:rFonts w:cstheme="minorHAnsi"/>
        </w:rPr>
        <w:t>) and 2.73g/cm³</w:t>
      </w:r>
      <w:r w:rsidR="002E6177">
        <w:rPr>
          <w:rFonts w:cstheme="minorHAnsi"/>
        </w:rPr>
        <w:t xml:space="preserve"> </w:t>
      </w:r>
      <w:r w:rsidR="00336FC4">
        <w:rPr>
          <w:rFonts w:cstheme="minorHAnsi"/>
        </w:rPr>
        <w:t>(</w:t>
      </w:r>
      <w:r w:rsidR="002E6177">
        <w:rPr>
          <w:rFonts w:cstheme="minorHAnsi"/>
        </w:rPr>
        <w:t>Alloys International, 2024</w:t>
      </w:r>
      <w:r w:rsidR="00336FC4">
        <w:rPr>
          <w:rFonts w:cstheme="minorHAnsi"/>
        </w:rPr>
        <w:t>) respectively.</w:t>
      </w:r>
    </w:p>
    <w:p w14:paraId="7472869E" w14:textId="77777777" w:rsidR="00EE138C" w:rsidRDefault="000F1607" w:rsidP="00EE138C">
      <w:pPr>
        <w:keepNext/>
      </w:pPr>
      <w:r w:rsidRPr="000F1607">
        <w:rPr>
          <w:rFonts w:cstheme="minorHAnsi"/>
          <w:noProof/>
        </w:rPr>
        <w:drawing>
          <wp:inline distT="0" distB="0" distL="0" distR="0" wp14:anchorId="38A8AA8B" wp14:editId="2CB022C9">
            <wp:extent cx="5731510" cy="1708150"/>
            <wp:effectExtent l="0" t="0" r="2540" b="6350"/>
            <wp:docPr id="1310253974" name="Picture 1" descr="A screenshot of a dat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253974" name="Picture 1" descr="A screenshot of a data&#10;&#10;Description automatically generated"/>
                    <pic:cNvPicPr/>
                  </pic:nvPicPr>
                  <pic:blipFill>
                    <a:blip r:embed="rId12"/>
                    <a:stretch>
                      <a:fillRect/>
                    </a:stretch>
                  </pic:blipFill>
                  <pic:spPr>
                    <a:xfrm>
                      <a:off x="0" y="0"/>
                      <a:ext cx="5731510" cy="1708150"/>
                    </a:xfrm>
                    <a:prstGeom prst="rect">
                      <a:avLst/>
                    </a:prstGeom>
                  </pic:spPr>
                </pic:pic>
              </a:graphicData>
            </a:graphic>
          </wp:inline>
        </w:drawing>
      </w:r>
    </w:p>
    <w:p w14:paraId="7C4BE6F0" w14:textId="3BEABE0C" w:rsidR="000F1607" w:rsidRDefault="00EE138C" w:rsidP="00EE138C">
      <w:pPr>
        <w:pStyle w:val="Caption"/>
      </w:pPr>
      <w:bookmarkStart w:id="7" w:name="_Toc164559446"/>
      <w:r>
        <w:t xml:space="preserve">Figure </w:t>
      </w:r>
      <w:r>
        <w:fldChar w:fldCharType="begin"/>
      </w:r>
      <w:r>
        <w:instrText xml:space="preserve"> SEQ Figure \* ARABIC </w:instrText>
      </w:r>
      <w:r>
        <w:fldChar w:fldCharType="separate"/>
      </w:r>
      <w:r>
        <w:rPr>
          <w:noProof/>
        </w:rPr>
        <w:t>2</w:t>
      </w:r>
      <w:r>
        <w:fldChar w:fldCharType="end"/>
      </w:r>
      <w:r w:rsidRPr="00B5270C">
        <w:t xml:space="preserve"> - Exert of Metal Density Chart (World Material, 2024)</w:t>
      </w:r>
      <w:bookmarkEnd w:id="7"/>
    </w:p>
    <w:p w14:paraId="279FAE73" w14:textId="76904E89" w:rsidR="00A0612E" w:rsidRDefault="00A0612E">
      <w:pPr>
        <w:rPr>
          <w:rFonts w:cstheme="minorHAnsi"/>
        </w:rPr>
      </w:pPr>
      <w:r>
        <w:rPr>
          <w:rFonts w:cstheme="minorHAnsi"/>
        </w:rPr>
        <w:t>Aluminium alloys of all varieties are easy to work with and machine due to their lower strength compared to other varieties of alloys, but they do require a large amount of energy to be machined, though this can differ depending on which manufacture method is being used to machine the material.</w:t>
      </w:r>
    </w:p>
    <w:p w14:paraId="224DD5ED" w14:textId="0BE50940" w:rsidR="006B0988" w:rsidRDefault="002C0BF1">
      <w:pPr>
        <w:rPr>
          <w:rFonts w:cstheme="minorHAnsi"/>
        </w:rPr>
      </w:pPr>
      <w:r>
        <w:rPr>
          <w:rFonts w:cstheme="minorHAnsi"/>
        </w:rPr>
        <w:t>Kevin states that a</w:t>
      </w:r>
      <w:r w:rsidR="00A95812">
        <w:rPr>
          <w:rFonts w:cstheme="minorHAnsi"/>
        </w:rPr>
        <w:t>luminium alloys can have a tensile strength anywhere between 207-552MPa, which states that some forms of these aluminium alloys would not be strong enough for the application</w:t>
      </w:r>
      <w:r>
        <w:rPr>
          <w:rFonts w:cstheme="minorHAnsi"/>
        </w:rPr>
        <w:t xml:space="preserve"> which requires at least 275MPa of tensile strength.</w:t>
      </w:r>
      <w:r w:rsidR="006B0988">
        <w:rPr>
          <w:rFonts w:cstheme="minorHAnsi"/>
        </w:rPr>
        <w:t xml:space="preserve"> </w:t>
      </w:r>
      <w:proofErr w:type="gramStart"/>
      <w:r>
        <w:rPr>
          <w:rFonts w:cstheme="minorHAnsi"/>
        </w:rPr>
        <w:t>Referring back</w:t>
      </w:r>
      <w:proofErr w:type="gramEnd"/>
      <w:r>
        <w:rPr>
          <w:rFonts w:cstheme="minorHAnsi"/>
        </w:rPr>
        <w:t xml:space="preserve"> to the previously mentioned alloys, 1199, 1050 and 3003, all have yield strengths even below this range with tensile yield strengths of 110MPa</w:t>
      </w:r>
      <w:r w:rsidR="002E6177">
        <w:rPr>
          <w:rFonts w:cstheme="minorHAnsi"/>
        </w:rPr>
        <w:t xml:space="preserve"> (Azo Materials, 2013)</w:t>
      </w:r>
      <w:r>
        <w:rPr>
          <w:rFonts w:cstheme="minorHAnsi"/>
        </w:rPr>
        <w:t xml:space="preserve">, 65-90MPa </w:t>
      </w:r>
      <w:r w:rsidR="002E6177">
        <w:rPr>
          <w:rFonts w:cstheme="minorHAnsi"/>
        </w:rPr>
        <w:t>(</w:t>
      </w:r>
      <w:proofErr w:type="spellStart"/>
      <w:r w:rsidR="00301227">
        <w:rPr>
          <w:rFonts w:cstheme="minorHAnsi"/>
        </w:rPr>
        <w:t>A</w:t>
      </w:r>
      <w:r w:rsidR="002E6177">
        <w:rPr>
          <w:rFonts w:cstheme="minorHAnsi"/>
        </w:rPr>
        <w:t>alco</w:t>
      </w:r>
      <w:proofErr w:type="spellEnd"/>
      <w:r w:rsidR="002E6177">
        <w:rPr>
          <w:rFonts w:cstheme="minorHAnsi"/>
        </w:rPr>
        <w:t xml:space="preserve">, 2020) </w:t>
      </w:r>
      <w:r>
        <w:rPr>
          <w:rFonts w:cstheme="minorHAnsi"/>
        </w:rPr>
        <w:t>and 186MPa</w:t>
      </w:r>
      <w:r w:rsidR="002E6177">
        <w:rPr>
          <w:rFonts w:cstheme="minorHAnsi"/>
        </w:rPr>
        <w:t xml:space="preserve"> (Alloys International, 2024)</w:t>
      </w:r>
      <w:r>
        <w:rPr>
          <w:rFonts w:cstheme="minorHAnsi"/>
        </w:rPr>
        <w:t xml:space="preserve"> respectively. </w:t>
      </w:r>
      <w:r w:rsidR="002E6177">
        <w:rPr>
          <w:rFonts w:cstheme="minorHAnsi"/>
        </w:rPr>
        <w:t xml:space="preserve">An alloy that </w:t>
      </w:r>
      <w:r>
        <w:rPr>
          <w:rFonts w:cstheme="minorHAnsi"/>
        </w:rPr>
        <w:t>meets all the criteria mentioned would instead be aluminium 2024.</w:t>
      </w:r>
    </w:p>
    <w:p w14:paraId="6ECE7E3C" w14:textId="57E24489" w:rsidR="00A65281" w:rsidRPr="006B0988" w:rsidRDefault="006B0988">
      <w:pPr>
        <w:rPr>
          <w:rFonts w:cstheme="minorHAnsi"/>
        </w:rPr>
      </w:pPr>
      <w:r>
        <w:rPr>
          <w:rFonts w:cstheme="minorHAnsi"/>
        </w:rPr>
        <w:t xml:space="preserve">With a composition of aluminium, copper, magnesium and manganese, </w:t>
      </w:r>
      <w:r w:rsidR="00E52DC1">
        <w:rPr>
          <w:rFonts w:cstheme="minorHAnsi"/>
        </w:rPr>
        <w:t>aluminium 2024</w:t>
      </w:r>
      <w:r>
        <w:rPr>
          <w:rFonts w:cstheme="minorHAnsi"/>
        </w:rPr>
        <w:t xml:space="preserve"> is a strong alloy with a yield strength of 324MPa. It also has the specific characteristics of a melting point of 950°F and the density 2.77g/cm³</w:t>
      </w:r>
      <w:r w:rsidR="00E52DC1">
        <w:rPr>
          <w:rFonts w:cstheme="minorHAnsi"/>
        </w:rPr>
        <w:t xml:space="preserve"> (Alloys International, 2024).</w:t>
      </w:r>
      <w:r>
        <w:rPr>
          <w:rFonts w:cstheme="minorHAnsi"/>
        </w:rPr>
        <w:t xml:space="preserve"> Along with being an easy to machine material, it meets all the demands for the material</w:t>
      </w:r>
      <w:r w:rsidR="00E52DC1">
        <w:rPr>
          <w:rFonts w:cstheme="minorHAnsi"/>
        </w:rPr>
        <w:t xml:space="preserve"> to be used for the crankshaft</w:t>
      </w:r>
      <w:r>
        <w:rPr>
          <w:rFonts w:cstheme="minorHAnsi"/>
        </w:rPr>
        <w:t xml:space="preserve"> within the design specification.</w:t>
      </w:r>
    </w:p>
    <w:p w14:paraId="02CDB432" w14:textId="77777777" w:rsidR="00A65281" w:rsidRDefault="009871DE" w:rsidP="00A65281">
      <w:pPr>
        <w:pStyle w:val="Heading1"/>
      </w:pPr>
      <w:bookmarkStart w:id="8" w:name="_Toc164559341"/>
      <w:r>
        <w:lastRenderedPageBreak/>
        <w:t>Manufacturing Process Selection</w:t>
      </w:r>
      <w:bookmarkEnd w:id="8"/>
    </w:p>
    <w:p w14:paraId="4466A436" w14:textId="77777777" w:rsidR="00180292" w:rsidRDefault="00180292">
      <w:r>
        <w:t>There are many ways to machine aluminium, but to meet the design specification the process needs to be able to batch produce these crankshafts and be able to accommodate complex geometry for the component, as crankshafts are complex in shape.</w:t>
      </w:r>
    </w:p>
    <w:p w14:paraId="38E50BE6" w14:textId="640248D6" w:rsidR="002E4CD8" w:rsidRDefault="00180292">
      <w:r>
        <w:t>C</w:t>
      </w:r>
      <w:r w:rsidR="00935284">
        <w:t xml:space="preserve">asting is a common manufacture method used to create crankshafts. There are multiple types of casting, each with their own advantages and disadvantages. One type is </w:t>
      </w:r>
      <w:proofErr w:type="gramStart"/>
      <w:r w:rsidR="00935284">
        <w:t>die</w:t>
      </w:r>
      <w:proofErr w:type="gramEnd"/>
      <w:r w:rsidR="00935284">
        <w:t xml:space="preserve"> casting, where </w:t>
      </w:r>
      <w:r w:rsidR="003269C3">
        <w:t xml:space="preserve">liquid metal is poured into a die and then pressed with a piston to fill it perfectly to the shape of the mould. This is common practice with aluminium </w:t>
      </w:r>
      <w:r w:rsidR="002E4CD8">
        <w:t>casting but</w:t>
      </w:r>
      <w:r w:rsidR="003269C3">
        <w:t xml:space="preserve"> does come with a few issues if it was to be used for this </w:t>
      </w:r>
      <w:r w:rsidR="002E4CD8">
        <w:t>scenario: significantly that it is not ideal for small volume productions, such as this, making it not economically viable (</w:t>
      </w:r>
      <w:proofErr w:type="spellStart"/>
      <w:r w:rsidR="00980337">
        <w:t>Bonollo</w:t>
      </w:r>
      <w:proofErr w:type="spellEnd"/>
      <w:r w:rsidR="00980337">
        <w:t xml:space="preserve"> and </w:t>
      </w:r>
      <w:proofErr w:type="spellStart"/>
      <w:r w:rsidR="00980337">
        <w:t>Gramegna</w:t>
      </w:r>
      <w:proofErr w:type="spellEnd"/>
      <w:r w:rsidR="008D5BD3">
        <w:t>, 2015</w:t>
      </w:r>
      <w:r w:rsidR="002E4CD8">
        <w:t>). For the cost of running the equipment to allow for this to be viable, a few thousand crankshafts would be needed to be made, not a few hundred as is necessary for the application.. Whilst die casting can be automated as desired with the design specification, and can manufacture complex geometry, there are other more appropriate methods to use.</w:t>
      </w:r>
    </w:p>
    <w:p w14:paraId="0098BB12" w14:textId="7C1BD922" w:rsidR="008014CE" w:rsidRDefault="00980337">
      <w:r>
        <w:t>In figure 3, the table</w:t>
      </w:r>
      <w:r w:rsidR="007572EE">
        <w:t xml:space="preserve"> shows three types of casting that can be used with an aluminium alloy as the material being used to manufacture a component. The table specifically</w:t>
      </w:r>
      <w:r>
        <w:t xml:space="preserve"> describes how sand casting could be more viable for this application</w:t>
      </w:r>
      <w:r w:rsidR="007572EE">
        <w:t xml:space="preserve"> due to its ideal batch size.</w:t>
      </w:r>
      <w:r w:rsidR="008014CE">
        <w:t xml:space="preserve"> </w:t>
      </w:r>
      <w:r w:rsidR="00C35C50">
        <w:t>Unlike</w:t>
      </w:r>
      <w:r w:rsidR="008014CE">
        <w:t xml:space="preserve"> die casting which has the metal being formed by a die, sand casting forms the component by pouring the liquid metal into a sand mould</w:t>
      </w:r>
      <w:r w:rsidR="008D5BD3">
        <w:t xml:space="preserve"> </w:t>
      </w:r>
      <w:r w:rsidR="008014CE">
        <w:t>and waiting for it to cool and solidify into the finished component.</w:t>
      </w:r>
    </w:p>
    <w:p w14:paraId="00121103" w14:textId="190F7218" w:rsidR="008D5BD3" w:rsidRDefault="008014CE">
      <w:r>
        <w:t>Figure 3</w:t>
      </w:r>
      <w:r w:rsidR="008D5BD3">
        <w:t xml:space="preserve"> specifies a batch size of 1-5000</w:t>
      </w:r>
      <w:r>
        <w:t xml:space="preserve"> for sand casting</w:t>
      </w:r>
      <w:r w:rsidR="008D5BD3">
        <w:t>, which is an ideal range for a method that could be used to manufacture the aluminium alloy crankshaft. The weight range and dimension ranges also fit what are desired of the crankshaft, as it needs to be less than 10kg and a 1500mm crankshaft would not only be unnecessarily large but also would not fit within the confines of the engine.</w:t>
      </w:r>
    </w:p>
    <w:p w14:paraId="6D272DA8" w14:textId="77777777" w:rsidR="00EE138C" w:rsidRDefault="008D5BD3" w:rsidP="00EE138C">
      <w:pPr>
        <w:keepNext/>
      </w:pPr>
      <w:r w:rsidRPr="008D5BD3">
        <w:rPr>
          <w:noProof/>
        </w:rPr>
        <w:lastRenderedPageBreak/>
        <w:drawing>
          <wp:inline distT="0" distB="0" distL="0" distR="0" wp14:anchorId="67BB4A5C" wp14:editId="2191678A">
            <wp:extent cx="5731510" cy="1899285"/>
            <wp:effectExtent l="0" t="0" r="2540" b="5715"/>
            <wp:docPr id="1608894927"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894927" name="Picture 1" descr="A white paper with black text&#10;&#10;Description automatically generated"/>
                    <pic:cNvPicPr/>
                  </pic:nvPicPr>
                  <pic:blipFill>
                    <a:blip r:embed="rId13"/>
                    <a:stretch>
                      <a:fillRect/>
                    </a:stretch>
                  </pic:blipFill>
                  <pic:spPr>
                    <a:xfrm>
                      <a:off x="0" y="0"/>
                      <a:ext cx="5731510" cy="1899285"/>
                    </a:xfrm>
                    <a:prstGeom prst="rect">
                      <a:avLst/>
                    </a:prstGeom>
                  </pic:spPr>
                </pic:pic>
              </a:graphicData>
            </a:graphic>
          </wp:inline>
        </w:drawing>
      </w:r>
    </w:p>
    <w:p w14:paraId="205D2975" w14:textId="3738E6E7" w:rsidR="008D5BD3" w:rsidRDefault="00EE138C" w:rsidP="00EE138C">
      <w:pPr>
        <w:pStyle w:val="Caption"/>
      </w:pPr>
      <w:bookmarkStart w:id="9" w:name="_Toc164559447"/>
      <w:r>
        <w:t xml:space="preserve">Figure </w:t>
      </w:r>
      <w:r>
        <w:fldChar w:fldCharType="begin"/>
      </w:r>
      <w:r>
        <w:instrText xml:space="preserve"> SEQ Figure \* ARABIC </w:instrText>
      </w:r>
      <w:r>
        <w:fldChar w:fldCharType="separate"/>
      </w:r>
      <w:r>
        <w:rPr>
          <w:noProof/>
        </w:rPr>
        <w:t>3</w:t>
      </w:r>
      <w:r>
        <w:fldChar w:fldCharType="end"/>
      </w:r>
      <w:r>
        <w:t xml:space="preserve"> - </w:t>
      </w:r>
      <w:r w:rsidRPr="00895F1F">
        <w:t>Process attributes for major casting groups (Lovatt and Bassetti, 2016)</w:t>
      </w:r>
      <w:bookmarkEnd w:id="9"/>
    </w:p>
    <w:p w14:paraId="792A4EE9" w14:textId="28CB2BCC" w:rsidR="00F76A79" w:rsidRDefault="008014CE">
      <w:r>
        <w:t xml:space="preserve">Sand casting would be able to supply high levels of accuracy for a complex object, such as a crankshaft, with greater dimensional accuracy compared to other methods of manufacturing. </w:t>
      </w:r>
      <w:r w:rsidR="00F76A79">
        <w:t>Though, a large problem comes in with the consistency of sand casting as it can lead to varying levels of quality across its created components</w:t>
      </w:r>
      <w:r w:rsidR="00FF0E02">
        <w:t xml:space="preserve"> (</w:t>
      </w:r>
      <w:proofErr w:type="spellStart"/>
      <w:r w:rsidR="00FF0E02">
        <w:t>Og</w:t>
      </w:r>
      <w:r w:rsidR="00DA404B">
        <w:t>u</w:t>
      </w:r>
      <w:r w:rsidR="00FF0E02">
        <w:t>ntuyi</w:t>
      </w:r>
      <w:proofErr w:type="spellEnd"/>
      <w:r w:rsidR="00FF0E02">
        <w:t xml:space="preserve"> and </w:t>
      </w:r>
      <w:proofErr w:type="spellStart"/>
      <w:r w:rsidR="00FF0E02">
        <w:t>Nyembwe</w:t>
      </w:r>
      <w:proofErr w:type="spellEnd"/>
      <w:r w:rsidR="00FF0E02">
        <w:t>, 2023)</w:t>
      </w:r>
      <w:r w:rsidR="00F76A79">
        <w:t>, which is not acceptable when they are to each be supplied to a different car within a spec series motorsport where the cars should be a level playing field.</w:t>
      </w:r>
    </w:p>
    <w:p w14:paraId="288680F6" w14:textId="2796968D" w:rsidR="009871DE" w:rsidRDefault="00F76A79">
      <w:r>
        <w:t>The final method mentioned in figure 3 would be permanent mould casting, where a material is poured into a reusable metal mould and left to solidify into a component.</w:t>
      </w:r>
      <w:r w:rsidR="007932C4">
        <w:t xml:space="preserve"> While it has high initial set up costs, and makes it less ideal, it has the excellent dimensional accuracy and is consistent across all the objects it manufactures. It is also capable of creating more intricate geometry than sand casting, which may allow for a more accurate representation of the ideal crankshaft for the F2 engine</w:t>
      </w:r>
      <w:r w:rsidR="008B6661">
        <w:t xml:space="preserve"> (Team </w:t>
      </w:r>
      <w:proofErr w:type="spellStart"/>
      <w:r w:rsidR="008B6661">
        <w:t>Xometry</w:t>
      </w:r>
      <w:proofErr w:type="spellEnd"/>
      <w:r w:rsidR="008B6661">
        <w:t>, 2023)</w:t>
      </w:r>
      <w:r w:rsidR="007932C4">
        <w:t>.</w:t>
      </w:r>
      <w:r w:rsidR="00FF0E02">
        <w:t xml:space="preserve"> Finally, mould casting is capable of being automated due to its repeatability and therefore is a method that meets all the design specifications for the manufacture method. Whilst some sources such as Lovatt and Bassetti mention it only being viable for high volume productions, that argument is based on set up costs and the ability to make that money back again; this is an issue that can be offset due to the specialised nature of this performance crankshaft and its high price because of that, which would be a mute problem at the higher end of competitive motorsport in F2.</w:t>
      </w:r>
      <w:r w:rsidR="009871DE">
        <w:br w:type="page"/>
      </w:r>
    </w:p>
    <w:p w14:paraId="4B0E29F2" w14:textId="77777777" w:rsidR="009871DE" w:rsidRDefault="009871DE" w:rsidP="009871DE">
      <w:pPr>
        <w:pStyle w:val="Heading1"/>
      </w:pPr>
      <w:bookmarkStart w:id="10" w:name="_Toc164559342"/>
      <w:r>
        <w:lastRenderedPageBreak/>
        <w:t>Conclusion</w:t>
      </w:r>
      <w:bookmarkEnd w:id="10"/>
    </w:p>
    <w:p w14:paraId="28F58E98" w14:textId="77777777" w:rsidR="007572EE" w:rsidRDefault="00FF0E02">
      <w:r>
        <w:t xml:space="preserve">Whilst multiple materials showed greater strengths in many aspects of the design specification characteristics, the aluminium alloy, aluminium 2024, was ideal in all regards and met each of the requirements of the specification. Thus, it was chosen as the material to be used for the crankshaft within the 3.4L </w:t>
      </w:r>
      <w:proofErr w:type="spellStart"/>
      <w:r w:rsidRPr="00FF0E02">
        <w:t>Mecachrome</w:t>
      </w:r>
      <w:proofErr w:type="spellEnd"/>
      <w:r w:rsidRPr="00FF0E02">
        <w:t xml:space="preserve"> V634 Turbo Engine </w:t>
      </w:r>
      <w:r>
        <w:t>of</w:t>
      </w:r>
      <w:r w:rsidRPr="00FF0E02">
        <w:t xml:space="preserve"> the Dallara F2 2018</w:t>
      </w:r>
      <w:r>
        <w:t>.</w:t>
      </w:r>
    </w:p>
    <w:p w14:paraId="796C0BD1" w14:textId="2E361596" w:rsidR="009871DE" w:rsidRDefault="007572EE">
      <w:r>
        <w:t xml:space="preserve">To manufacture this component, permanent mould casting was chosen as it met </w:t>
      </w:r>
      <w:r w:rsidR="002C768E">
        <w:t>all</w:t>
      </w:r>
      <w:r>
        <w:t xml:space="preserve"> the design specification requirements and </w:t>
      </w:r>
      <w:proofErr w:type="gramStart"/>
      <w:r>
        <w:t>was capable of working</w:t>
      </w:r>
      <w:proofErr w:type="gramEnd"/>
      <w:r>
        <w:t xml:space="preserve"> with aluminium, therefore would be able to manufacture the component to a degree suitable for the vehicle used for racing in Formula 2.</w:t>
      </w:r>
      <w:r w:rsidR="009871DE">
        <w:br w:type="page"/>
      </w:r>
    </w:p>
    <w:p w14:paraId="410E4823" w14:textId="77777777" w:rsidR="009871DE" w:rsidRPr="009871DE" w:rsidRDefault="009871DE" w:rsidP="009871DE">
      <w:pPr>
        <w:pStyle w:val="Heading1"/>
      </w:pPr>
      <w:bookmarkStart w:id="11" w:name="_Toc164559343"/>
      <w:r>
        <w:lastRenderedPageBreak/>
        <w:t>Reference List</w:t>
      </w:r>
      <w:bookmarkEnd w:id="11"/>
    </w:p>
    <w:p w14:paraId="2B19CCA8" w14:textId="6851B244" w:rsidR="002E6177" w:rsidRDefault="002E6177" w:rsidP="00A65281">
      <w:r>
        <w:t xml:space="preserve">Aluminium Guide (2024) </w:t>
      </w:r>
      <w:r w:rsidRPr="002E6177">
        <w:rPr>
          <w:i/>
          <w:iCs/>
        </w:rPr>
        <w:t>Melting Points of Aluminium</w:t>
      </w:r>
      <w:r>
        <w:t xml:space="preserve">. Available at: </w:t>
      </w:r>
      <w:hyperlink r:id="rId14" w:history="1">
        <w:r w:rsidRPr="00611D8C">
          <w:rPr>
            <w:rStyle w:val="Hyperlink"/>
          </w:rPr>
          <w:t>https://aluminium-guide.com/melting-point-aluminium/</w:t>
        </w:r>
      </w:hyperlink>
    </w:p>
    <w:p w14:paraId="494617A2" w14:textId="66288F49" w:rsidR="002E6177" w:rsidRDefault="00C52525" w:rsidP="00A65281">
      <w:r>
        <w:t xml:space="preserve">Campbell, F.C (2012) </w:t>
      </w:r>
      <w:r>
        <w:rPr>
          <w:i/>
          <w:iCs/>
        </w:rPr>
        <w:t>Lightweight Materials</w:t>
      </w:r>
      <w:r w:rsidR="009F391E">
        <w:rPr>
          <w:i/>
          <w:iCs/>
        </w:rPr>
        <w:t xml:space="preserve"> – Understanding the Basics. </w:t>
      </w:r>
      <w:r w:rsidR="009F391E">
        <w:t>Ohio: ASM International.</w:t>
      </w:r>
    </w:p>
    <w:p w14:paraId="56428045" w14:textId="14E1D146" w:rsidR="009F391E" w:rsidRDefault="009F391E" w:rsidP="00A65281">
      <w:r>
        <w:t xml:space="preserve">Kevin (2023) </w:t>
      </w:r>
      <w:r w:rsidRPr="009F391E">
        <w:rPr>
          <w:i/>
          <w:iCs/>
        </w:rPr>
        <w:t>Crankshaft 101 – Working, Usage, And Applications</w:t>
      </w:r>
      <w:r>
        <w:rPr>
          <w:i/>
          <w:iCs/>
        </w:rPr>
        <w:t xml:space="preserve">. </w:t>
      </w:r>
      <w:r>
        <w:t xml:space="preserve">Available at: </w:t>
      </w:r>
      <w:hyperlink r:id="rId15" w:anchor="Automobiles" w:history="1">
        <w:r w:rsidRPr="00611D8C">
          <w:rPr>
            <w:rStyle w:val="Hyperlink"/>
          </w:rPr>
          <w:t>https://yijinsolution.com/news-blog/crankshaft-101-working-usage-and-applications/#Automobiles</w:t>
        </w:r>
      </w:hyperlink>
    </w:p>
    <w:p w14:paraId="300F9E90" w14:textId="5D92838C" w:rsidR="009F391E" w:rsidRDefault="009F391E" w:rsidP="00A65281">
      <w:r>
        <w:t xml:space="preserve">Azo Materials (2013) </w:t>
      </w:r>
      <w:r w:rsidRPr="009F391E">
        <w:rPr>
          <w:i/>
          <w:iCs/>
        </w:rPr>
        <w:t>Aluminium 1199 Alloy (UNS A91199).</w:t>
      </w:r>
      <w:r>
        <w:t xml:space="preserve"> Available at: </w:t>
      </w:r>
      <w:hyperlink r:id="rId16" w:history="1">
        <w:r w:rsidRPr="00611D8C">
          <w:rPr>
            <w:rStyle w:val="Hyperlink"/>
          </w:rPr>
          <w:t>https://www.azom.com/article.aspx?ArticleID=8699</w:t>
        </w:r>
      </w:hyperlink>
    </w:p>
    <w:p w14:paraId="36EF2543" w14:textId="510A87E1" w:rsidR="009F391E" w:rsidRDefault="009F391E" w:rsidP="00A65281">
      <w:proofErr w:type="spellStart"/>
      <w:r>
        <w:t>Aalco</w:t>
      </w:r>
      <w:proofErr w:type="spellEnd"/>
      <w:r>
        <w:t xml:space="preserve"> (202</w:t>
      </w:r>
      <w:r w:rsidR="00301227">
        <w:t>0</w:t>
      </w:r>
      <w:r>
        <w:t xml:space="preserve">) </w:t>
      </w:r>
      <w:r w:rsidRPr="009F391E">
        <w:rPr>
          <w:i/>
          <w:iCs/>
        </w:rPr>
        <w:t>Aluminium Alloy – Commercial Alloy – 1050 ‘0’ Sheet.</w:t>
      </w:r>
      <w:r>
        <w:t xml:space="preserve"> Available at: </w:t>
      </w:r>
      <w:hyperlink r:id="rId17" w:anchor=":~:text=Density,2.71%20g%2Fcm%C2%B3" w:history="1">
        <w:r w:rsidRPr="00611D8C">
          <w:rPr>
            <w:rStyle w:val="Hyperlink"/>
          </w:rPr>
          <w:t>https://www.aalco.co.uk/datasheets/Aluminium-Alloy-1050-0-Sheet_58.ashx#:~:text=Density,2.71%20g%2Fcm%C2%B3</w:t>
        </w:r>
      </w:hyperlink>
    </w:p>
    <w:p w14:paraId="070F1D99" w14:textId="7DD87011" w:rsidR="009F391E" w:rsidRDefault="009F391E" w:rsidP="00A65281">
      <w:r>
        <w:t xml:space="preserve">Alloys International (2024) </w:t>
      </w:r>
      <w:r w:rsidRPr="009F391E">
        <w:rPr>
          <w:i/>
          <w:iCs/>
        </w:rPr>
        <w:t>Aluminium 3003.</w:t>
      </w:r>
      <w:r>
        <w:t xml:space="preserve"> Available at: </w:t>
      </w:r>
      <w:hyperlink r:id="rId18" w:history="1">
        <w:r w:rsidRPr="00611D8C">
          <w:rPr>
            <w:rStyle w:val="Hyperlink"/>
          </w:rPr>
          <w:t>https://alloysintl.com/inventory/aluminum-alloys-supplier/aluminum-3003/</w:t>
        </w:r>
      </w:hyperlink>
    </w:p>
    <w:p w14:paraId="0B01AB68" w14:textId="19C82CE8" w:rsidR="009F391E" w:rsidRDefault="009F391E" w:rsidP="00A65281">
      <w:r>
        <w:t>World Material</w:t>
      </w:r>
      <w:r w:rsidR="00301227">
        <w:t xml:space="preserve"> (2024) </w:t>
      </w:r>
      <w:r w:rsidR="00301227" w:rsidRPr="00301227">
        <w:rPr>
          <w:i/>
          <w:iCs/>
        </w:rPr>
        <w:t>Density of Metals, All Common Metal Density Chart &amp; Table PDF.</w:t>
      </w:r>
      <w:r w:rsidR="00301227">
        <w:t xml:space="preserve"> Available at: </w:t>
      </w:r>
      <w:hyperlink r:id="rId19" w:history="1">
        <w:r w:rsidR="00301227" w:rsidRPr="00611D8C">
          <w:rPr>
            <w:rStyle w:val="Hyperlink"/>
          </w:rPr>
          <w:t>https://www.theworldmaterial.com/density-of-metals/</w:t>
        </w:r>
      </w:hyperlink>
    </w:p>
    <w:p w14:paraId="5D950D08" w14:textId="6F3C5742" w:rsidR="00301227" w:rsidRDefault="00301227" w:rsidP="00A65281">
      <w:r>
        <w:t xml:space="preserve">Alloys International (2024) </w:t>
      </w:r>
      <w:r w:rsidRPr="00301227">
        <w:rPr>
          <w:i/>
          <w:iCs/>
        </w:rPr>
        <w:t>Aluminium 2024.</w:t>
      </w:r>
      <w:r>
        <w:t xml:space="preserve"> Available at: </w:t>
      </w:r>
      <w:hyperlink r:id="rId20" w:history="1">
        <w:r w:rsidRPr="00611D8C">
          <w:rPr>
            <w:rStyle w:val="Hyperlink"/>
          </w:rPr>
          <w:t>https://alloysintl.com/inventory/aluminum-alloys-supplier/aluminum-2024/</w:t>
        </w:r>
      </w:hyperlink>
    </w:p>
    <w:p w14:paraId="15159917" w14:textId="489ED96B" w:rsidR="00301227" w:rsidRDefault="00980337" w:rsidP="00A65281">
      <w:proofErr w:type="spellStart"/>
      <w:r>
        <w:t>Bonollo</w:t>
      </w:r>
      <w:proofErr w:type="spellEnd"/>
      <w:r>
        <w:t xml:space="preserve">, F. and </w:t>
      </w:r>
      <w:proofErr w:type="spellStart"/>
      <w:r>
        <w:t>Gramegna</w:t>
      </w:r>
      <w:proofErr w:type="spellEnd"/>
      <w:r>
        <w:t xml:space="preserve">, N. (2015) ‘High-Pressure Die-Casting: Contradictions and Challenges’, </w:t>
      </w:r>
      <w:r w:rsidRPr="00980337">
        <w:rPr>
          <w:i/>
          <w:iCs/>
        </w:rPr>
        <w:t>The Journal of The Minerals, Metals &amp; Materials Society (TMS),</w:t>
      </w:r>
      <w:r>
        <w:rPr>
          <w:i/>
          <w:iCs/>
        </w:rPr>
        <w:t xml:space="preserve"> </w:t>
      </w:r>
      <w:r w:rsidRPr="00980337">
        <w:t>67(5)</w:t>
      </w:r>
      <w:r>
        <w:t xml:space="preserve">, pp. 901-908. Available at: </w:t>
      </w:r>
      <w:hyperlink r:id="rId21" w:history="1">
        <w:r w:rsidRPr="00C37E32">
          <w:rPr>
            <w:rStyle w:val="Hyperlink"/>
          </w:rPr>
          <w:t>https://doi.org/10.1007/s11837-015-1333-8</w:t>
        </w:r>
      </w:hyperlink>
    </w:p>
    <w:p w14:paraId="445E955C" w14:textId="5C086D08" w:rsidR="00980337" w:rsidRDefault="008D5BD3" w:rsidP="00A65281">
      <w:proofErr w:type="spellStart"/>
      <w:r>
        <w:t>Voratt</w:t>
      </w:r>
      <w:proofErr w:type="spellEnd"/>
      <w:r>
        <w:t xml:space="preserve">, A.M. and Bassetti, B. (2016) ‘Process and alloy selection for aluminium casting’, </w:t>
      </w:r>
      <w:r>
        <w:rPr>
          <w:i/>
          <w:iCs/>
        </w:rPr>
        <w:t xml:space="preserve">International Journal of Cast Metals Research, </w:t>
      </w:r>
      <w:r>
        <w:t>12(</w:t>
      </w:r>
      <w:r w:rsidR="00F46FD5">
        <w:t>4</w:t>
      </w:r>
      <w:r>
        <w:t xml:space="preserve">), pp. 211-215. Available at: </w:t>
      </w:r>
      <w:hyperlink r:id="rId22" w:history="1">
        <w:r w:rsidRPr="00664471">
          <w:rPr>
            <w:rStyle w:val="Hyperlink"/>
          </w:rPr>
          <w:t>https://doi.org/10.1080/13640461.2000.11819358</w:t>
        </w:r>
      </w:hyperlink>
    </w:p>
    <w:p w14:paraId="78CBEA0B" w14:textId="41EE0B1B" w:rsidR="008D5BD3" w:rsidRDefault="00F76A79" w:rsidP="00A65281">
      <w:proofErr w:type="spellStart"/>
      <w:r>
        <w:t>Ogun</w:t>
      </w:r>
      <w:r w:rsidR="00DA404B">
        <w:t>t</w:t>
      </w:r>
      <w:r>
        <w:t>uyi</w:t>
      </w:r>
      <w:proofErr w:type="spellEnd"/>
      <w:r>
        <w:t xml:space="preserve">, S.D. and </w:t>
      </w:r>
      <w:proofErr w:type="spellStart"/>
      <w:r>
        <w:t>Nyembwe</w:t>
      </w:r>
      <w:proofErr w:type="spellEnd"/>
      <w:r>
        <w:t xml:space="preserve">, K. (2023) ‘Challenges and recent progress on the application of rapid sand casting for part production: a review’, </w:t>
      </w:r>
      <w:r w:rsidRPr="00F76A79">
        <w:rPr>
          <w:i/>
          <w:iCs/>
        </w:rPr>
        <w:t>The International Journal of Advanced Manufacturing Technology</w:t>
      </w:r>
      <w:r>
        <w:t xml:space="preserve">, 126, pp. 891-906. Available at: </w:t>
      </w:r>
      <w:hyperlink r:id="rId23" w:history="1">
        <w:r w:rsidRPr="00664471">
          <w:rPr>
            <w:rStyle w:val="Hyperlink"/>
          </w:rPr>
          <w:t>https://doi.org/10.1007/s00170-023-11049-1</w:t>
        </w:r>
      </w:hyperlink>
    </w:p>
    <w:p w14:paraId="7B7FA403" w14:textId="73EF9240" w:rsidR="006E3F73" w:rsidRPr="00A65281" w:rsidRDefault="008B6661" w:rsidP="006E6C60">
      <w:r>
        <w:t xml:space="preserve">Team </w:t>
      </w:r>
      <w:proofErr w:type="spellStart"/>
      <w:r>
        <w:t>Xometry</w:t>
      </w:r>
      <w:proofErr w:type="spellEnd"/>
      <w:r>
        <w:t xml:space="preserve"> (2023) </w:t>
      </w:r>
      <w:r w:rsidRPr="008B6661">
        <w:rPr>
          <w:i/>
          <w:iCs/>
        </w:rPr>
        <w:t xml:space="preserve">Permanent Mold Casting: Definition, Importance, </w:t>
      </w:r>
      <w:proofErr w:type="gramStart"/>
      <w:r w:rsidRPr="008B6661">
        <w:rPr>
          <w:i/>
          <w:iCs/>
        </w:rPr>
        <w:t>How</w:t>
      </w:r>
      <w:proofErr w:type="gramEnd"/>
      <w:r w:rsidRPr="008B6661">
        <w:rPr>
          <w:i/>
          <w:iCs/>
        </w:rPr>
        <w:t xml:space="preserve"> it Works, Applications, and Advantages.</w:t>
      </w:r>
      <w:r>
        <w:rPr>
          <w:i/>
          <w:iCs/>
        </w:rPr>
        <w:t xml:space="preserve"> </w:t>
      </w:r>
      <w:r>
        <w:t>Available at:</w:t>
      </w:r>
      <w:r w:rsidRPr="008B6661">
        <w:t xml:space="preserve"> </w:t>
      </w:r>
      <w:hyperlink r:id="rId24" w:history="1">
        <w:r w:rsidRPr="00664471">
          <w:rPr>
            <w:rStyle w:val="Hyperlink"/>
          </w:rPr>
          <w:t>https://www.xometry.com/resources/casting/permanent-mold-casting/</w:t>
        </w:r>
      </w:hyperlink>
      <w:r>
        <w:t xml:space="preserve"> </w:t>
      </w:r>
    </w:p>
    <w:sectPr w:rsidR="006E3F73" w:rsidRPr="00A65281" w:rsidSect="00DB27DF">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A21D0" w14:textId="77777777" w:rsidR="00DB27DF" w:rsidRDefault="00DB27DF" w:rsidP="008E5866">
      <w:pPr>
        <w:spacing w:after="0" w:line="240" w:lineRule="auto"/>
      </w:pPr>
      <w:r>
        <w:separator/>
      </w:r>
    </w:p>
  </w:endnote>
  <w:endnote w:type="continuationSeparator" w:id="0">
    <w:p w14:paraId="2DA54392" w14:textId="77777777" w:rsidR="00DB27DF" w:rsidRDefault="00DB27DF" w:rsidP="008E5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2870290"/>
      <w:docPartObj>
        <w:docPartGallery w:val="Page Numbers (Bottom of Page)"/>
        <w:docPartUnique/>
      </w:docPartObj>
    </w:sdtPr>
    <w:sdtEndPr>
      <w:rPr>
        <w:noProof/>
      </w:rPr>
    </w:sdtEndPr>
    <w:sdtContent>
      <w:p w14:paraId="0AD8D7FB" w14:textId="77777777" w:rsidR="008E5866" w:rsidRDefault="008E58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E27267" w14:textId="77777777" w:rsidR="008E5866" w:rsidRDefault="008E58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FC141" w14:textId="77777777" w:rsidR="00DB27DF" w:rsidRDefault="00DB27DF" w:rsidP="008E5866">
      <w:pPr>
        <w:spacing w:after="0" w:line="240" w:lineRule="auto"/>
      </w:pPr>
      <w:r>
        <w:separator/>
      </w:r>
    </w:p>
  </w:footnote>
  <w:footnote w:type="continuationSeparator" w:id="0">
    <w:p w14:paraId="788F5676" w14:textId="77777777" w:rsidR="00DB27DF" w:rsidRDefault="00DB27DF" w:rsidP="008E58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EC1CD5"/>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96818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3FE"/>
    <w:rsid w:val="00022B77"/>
    <w:rsid w:val="000275F9"/>
    <w:rsid w:val="000609E0"/>
    <w:rsid w:val="000A69C8"/>
    <w:rsid w:val="000C4DAA"/>
    <w:rsid w:val="000F1607"/>
    <w:rsid w:val="00180292"/>
    <w:rsid w:val="001E70D7"/>
    <w:rsid w:val="001F79B2"/>
    <w:rsid w:val="002C0BF1"/>
    <w:rsid w:val="002C768E"/>
    <w:rsid w:val="002E4CD8"/>
    <w:rsid w:val="002E6177"/>
    <w:rsid w:val="00301227"/>
    <w:rsid w:val="003269C3"/>
    <w:rsid w:val="00336FC4"/>
    <w:rsid w:val="00356C9F"/>
    <w:rsid w:val="00401814"/>
    <w:rsid w:val="00416B88"/>
    <w:rsid w:val="004531E8"/>
    <w:rsid w:val="004D0187"/>
    <w:rsid w:val="004D61B4"/>
    <w:rsid w:val="00525129"/>
    <w:rsid w:val="005A4CB7"/>
    <w:rsid w:val="005D56D3"/>
    <w:rsid w:val="00662773"/>
    <w:rsid w:val="006B0988"/>
    <w:rsid w:val="006E3F73"/>
    <w:rsid w:val="006E6C60"/>
    <w:rsid w:val="006F21CA"/>
    <w:rsid w:val="007534B0"/>
    <w:rsid w:val="007572EE"/>
    <w:rsid w:val="007932C4"/>
    <w:rsid w:val="007A425C"/>
    <w:rsid w:val="007D1BFE"/>
    <w:rsid w:val="008014CE"/>
    <w:rsid w:val="0085714A"/>
    <w:rsid w:val="008A6932"/>
    <w:rsid w:val="008B6661"/>
    <w:rsid w:val="008D5BD3"/>
    <w:rsid w:val="008E5866"/>
    <w:rsid w:val="009337CB"/>
    <w:rsid w:val="00935284"/>
    <w:rsid w:val="0093755D"/>
    <w:rsid w:val="00943EAF"/>
    <w:rsid w:val="00980337"/>
    <w:rsid w:val="009871DE"/>
    <w:rsid w:val="009A1261"/>
    <w:rsid w:val="009D0BC0"/>
    <w:rsid w:val="009F391E"/>
    <w:rsid w:val="00A0612E"/>
    <w:rsid w:val="00A31478"/>
    <w:rsid w:val="00A57B93"/>
    <w:rsid w:val="00A65281"/>
    <w:rsid w:val="00A84D67"/>
    <w:rsid w:val="00A95812"/>
    <w:rsid w:val="00AF640D"/>
    <w:rsid w:val="00BA4A01"/>
    <w:rsid w:val="00BD5269"/>
    <w:rsid w:val="00C053FE"/>
    <w:rsid w:val="00C35C50"/>
    <w:rsid w:val="00C52525"/>
    <w:rsid w:val="00C920C8"/>
    <w:rsid w:val="00CF776A"/>
    <w:rsid w:val="00DA404B"/>
    <w:rsid w:val="00DB27DF"/>
    <w:rsid w:val="00DB3D13"/>
    <w:rsid w:val="00DD2569"/>
    <w:rsid w:val="00E0046E"/>
    <w:rsid w:val="00E52DC1"/>
    <w:rsid w:val="00E64939"/>
    <w:rsid w:val="00E764B5"/>
    <w:rsid w:val="00EE138C"/>
    <w:rsid w:val="00F04180"/>
    <w:rsid w:val="00F04F84"/>
    <w:rsid w:val="00F223B6"/>
    <w:rsid w:val="00F46FD5"/>
    <w:rsid w:val="00F57ECA"/>
    <w:rsid w:val="00F6601B"/>
    <w:rsid w:val="00F76A79"/>
    <w:rsid w:val="00FF0E0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DC9C1"/>
  <w15:docId w15:val="{45EDE4FF-EDCF-490F-8CE2-1A456EF64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493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6493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6493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6493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E5866"/>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E5866"/>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E5866"/>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E5866"/>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E5866"/>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493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6493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6493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6493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E586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E586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E586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E586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E5866"/>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8E58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5866"/>
  </w:style>
  <w:style w:type="paragraph" w:styleId="Footer">
    <w:name w:val="footer"/>
    <w:basedOn w:val="Normal"/>
    <w:link w:val="FooterChar"/>
    <w:uiPriority w:val="99"/>
    <w:unhideWhenUsed/>
    <w:rsid w:val="008E58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5866"/>
  </w:style>
  <w:style w:type="paragraph" w:styleId="TOCHeading">
    <w:name w:val="TOC Heading"/>
    <w:basedOn w:val="Heading1"/>
    <w:next w:val="Normal"/>
    <w:uiPriority w:val="39"/>
    <w:unhideWhenUsed/>
    <w:qFormat/>
    <w:rsid w:val="00A65281"/>
    <w:pPr>
      <w:numPr>
        <w:numId w:val="0"/>
      </w:numPr>
      <w:spacing w:line="259" w:lineRule="auto"/>
      <w:outlineLvl w:val="9"/>
    </w:pPr>
    <w:rPr>
      <w:lang w:val="en-US" w:eastAsia="en-US"/>
    </w:rPr>
  </w:style>
  <w:style w:type="paragraph" w:styleId="TOC1">
    <w:name w:val="toc 1"/>
    <w:basedOn w:val="Normal"/>
    <w:next w:val="Normal"/>
    <w:autoRedefine/>
    <w:uiPriority w:val="39"/>
    <w:unhideWhenUsed/>
    <w:rsid w:val="00A65281"/>
    <w:pPr>
      <w:spacing w:after="100"/>
    </w:pPr>
  </w:style>
  <w:style w:type="character" w:styleId="Hyperlink">
    <w:name w:val="Hyperlink"/>
    <w:basedOn w:val="DefaultParagraphFont"/>
    <w:uiPriority w:val="99"/>
    <w:unhideWhenUsed/>
    <w:rsid w:val="00A65281"/>
    <w:rPr>
      <w:color w:val="0563C1" w:themeColor="hyperlink"/>
      <w:u w:val="single"/>
    </w:rPr>
  </w:style>
  <w:style w:type="table" w:styleId="TableGrid">
    <w:name w:val="Table Grid"/>
    <w:basedOn w:val="TableNormal"/>
    <w:uiPriority w:val="39"/>
    <w:rsid w:val="00A652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A69C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0A69C8"/>
    <w:pPr>
      <w:spacing w:after="0"/>
    </w:pPr>
  </w:style>
  <w:style w:type="character" w:styleId="UnresolvedMention">
    <w:name w:val="Unresolved Mention"/>
    <w:basedOn w:val="DefaultParagraphFont"/>
    <w:uiPriority w:val="99"/>
    <w:semiHidden/>
    <w:unhideWhenUsed/>
    <w:rsid w:val="005A4CB7"/>
    <w:rPr>
      <w:color w:val="605E5C"/>
      <w:shd w:val="clear" w:color="auto" w:fill="E1DFDD"/>
    </w:rPr>
  </w:style>
  <w:style w:type="character" w:styleId="FollowedHyperlink">
    <w:name w:val="FollowedHyperlink"/>
    <w:basedOn w:val="DefaultParagraphFont"/>
    <w:uiPriority w:val="99"/>
    <w:semiHidden/>
    <w:unhideWhenUsed/>
    <w:rsid w:val="00DD2569"/>
    <w:rPr>
      <w:color w:val="954F72" w:themeColor="followedHyperlink"/>
      <w:u w:val="single"/>
    </w:rPr>
  </w:style>
  <w:style w:type="character" w:styleId="PlaceholderText">
    <w:name w:val="Placeholder Text"/>
    <w:basedOn w:val="DefaultParagraphFont"/>
    <w:uiPriority w:val="99"/>
    <w:semiHidden/>
    <w:rsid w:val="00336FC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alloysintl.com/inventory/aluminum-alloys-supplier/aluminum-3003/"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i.org/10.1007/s11837-015-1333-8"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aalco.co.uk/datasheets/Aluminium-Alloy-1050-0-Sheet_58.ashx"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azom.com/article.aspx?ArticleID=8699" TargetMode="External"/><Relationship Id="rId20" Type="http://schemas.openxmlformats.org/officeDocument/2006/relationships/hyperlink" Target="https://alloysintl.com/inventory/aluminum-alloys-supplier/aluminum-202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xometry.com/resources/casting/permanent-mold-casting/" TargetMode="External"/><Relationship Id="rId5" Type="http://schemas.openxmlformats.org/officeDocument/2006/relationships/numbering" Target="numbering.xml"/><Relationship Id="rId15" Type="http://schemas.openxmlformats.org/officeDocument/2006/relationships/hyperlink" Target="https://yijinsolution.com/news-blog/crankshaft-101-working-usage-and-applications/" TargetMode="External"/><Relationship Id="rId23" Type="http://schemas.openxmlformats.org/officeDocument/2006/relationships/hyperlink" Target="https://doi.org/10.1007/s00170-023-11049-1" TargetMode="External"/><Relationship Id="rId10" Type="http://schemas.openxmlformats.org/officeDocument/2006/relationships/endnotes" Target="endnotes.xml"/><Relationship Id="rId19" Type="http://schemas.openxmlformats.org/officeDocument/2006/relationships/hyperlink" Target="https://www.theworldmaterial.com/density-of-meta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luminium-guide.com/melting-point-aluminium/" TargetMode="External"/><Relationship Id="rId22" Type="http://schemas.openxmlformats.org/officeDocument/2006/relationships/hyperlink" Target="https://doi.org/10.1080/13640461.2000.11819358" TargetMode="Externa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heda\Documents\School%20shit\Animal%20crossing%20is%20just%20capitalism\Crankshaft%20that%20Soulja%20Bo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8" ma:contentTypeDescription="Create a new document." ma:contentTypeScope="" ma:versionID="15e652ca05126404b212ea464149f58a">
  <xsd:schema xmlns:xsd="http://www.w3.org/2001/XMLSchema" xmlns:xs="http://www.w3.org/2001/XMLSchema" xmlns:p="http://schemas.microsoft.com/office/2006/metadata/properties" xmlns:ns3="0ebdf10f-b5a3-45b6-acdb-7dc1eb398785" targetNamespace="http://schemas.microsoft.com/office/2006/metadata/properties" ma:root="true" ma:fieldsID="5d8c9d40d61c12a78bdc58f194bcc14e"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00364E-8EB6-4DB1-AE2D-513348E40A0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5408A83-0B83-470E-A5C9-4AD31B963BA4}">
  <ds:schemaRefs>
    <ds:schemaRef ds:uri="http://schemas.microsoft.com/sharepoint/v3/contenttype/forms"/>
  </ds:schemaRefs>
</ds:datastoreItem>
</file>

<file path=customXml/itemProps3.xml><?xml version="1.0" encoding="utf-8"?>
<ds:datastoreItem xmlns:ds="http://schemas.openxmlformats.org/officeDocument/2006/customXml" ds:itemID="{296D3E6C-4483-4FA4-8F8D-A240D69B3F93}">
  <ds:schemaRefs>
    <ds:schemaRef ds:uri="http://schemas.openxmlformats.org/officeDocument/2006/bibliography"/>
  </ds:schemaRefs>
</ds:datastoreItem>
</file>

<file path=customXml/itemProps4.xml><?xml version="1.0" encoding="utf-8"?>
<ds:datastoreItem xmlns:ds="http://schemas.openxmlformats.org/officeDocument/2006/customXml" ds:itemID="{B154EB0F-8F99-41BD-8409-917228A00C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Crankshaft that Soulja Boy.dotx</Template>
  <TotalTime>1</TotalTime>
  <Pages>10</Pages>
  <Words>1956</Words>
  <Characters>11152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Hicks</dc:creator>
  <cp:keywords/>
  <dc:description/>
  <cp:lastModifiedBy>Jake Hicks (2306026)</cp:lastModifiedBy>
  <cp:revision>3</cp:revision>
  <dcterms:created xsi:type="dcterms:W3CDTF">2024-04-21T15:26:00Z</dcterms:created>
  <dcterms:modified xsi:type="dcterms:W3CDTF">2024-04-21T15:26:00Z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