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8312169" w14:textId="77777777" w:rsidR="00885B8C" w:rsidRDefault="00E00B9A" w:rsidP="00E00B9A">
      <w:pPr>
        <w:spacing w:line="360" w:lineRule="auto"/>
        <w:rPr>
          <w:rFonts w:ascii="Times New Roman" w:hAnsi="Times New Roman" w:cs="Times New Roman"/>
          <w:sz w:val="24"/>
          <w:szCs w:val="24"/>
        </w:rPr>
      </w:pPr>
      <w:bookmarkStart w:id="0" w:name="_GoBack"/>
      <w:bookmarkEnd w:id="0"/>
      <w:r>
        <w:rPr>
          <w:rFonts w:ascii="Times New Roman" w:hAnsi="Times New Roman" w:cs="Times New Roman"/>
          <w:sz w:val="24"/>
          <w:szCs w:val="24"/>
        </w:rPr>
        <w:t xml:space="preserve">    Throughout this essay the care provisions within formal and informal settings would be presented and explained, different psychological theories linked to social care would be analysed and stated and the different impacts of care throughout history and legislation of care within the elderly would be evaluated. As the population ages, more and more individuals are needing support and care provided to them to help lead a better quality of life. </w:t>
      </w:r>
      <w:r w:rsidR="00B85825">
        <w:rPr>
          <w:rFonts w:ascii="Times New Roman" w:hAnsi="Times New Roman" w:cs="Times New Roman"/>
          <w:sz w:val="24"/>
          <w:szCs w:val="24"/>
        </w:rPr>
        <w:t xml:space="preserve">Statistics show that there has been an increase within the ageing population from 2001 – 2011; this increased by 222,740. Also, statistics shown that there was a downfall within the number of carers </w:t>
      </w:r>
      <w:r w:rsidR="00D73BC7">
        <w:rPr>
          <w:rFonts w:ascii="Times New Roman" w:hAnsi="Times New Roman" w:cs="Times New Roman"/>
          <w:sz w:val="24"/>
          <w:szCs w:val="24"/>
        </w:rPr>
        <w:t>who</w:t>
      </w:r>
      <w:r w:rsidR="00B85825">
        <w:rPr>
          <w:rFonts w:ascii="Times New Roman" w:hAnsi="Times New Roman" w:cs="Times New Roman"/>
          <w:sz w:val="24"/>
          <w:szCs w:val="24"/>
        </w:rPr>
        <w:t xml:space="preserve"> provide</w:t>
      </w:r>
      <w:r w:rsidR="00D73BC7">
        <w:rPr>
          <w:rFonts w:ascii="Times New Roman" w:hAnsi="Times New Roman" w:cs="Times New Roman"/>
          <w:sz w:val="24"/>
          <w:szCs w:val="24"/>
        </w:rPr>
        <w:t xml:space="preserve">d </w:t>
      </w:r>
      <w:r w:rsidR="00B85825">
        <w:rPr>
          <w:rFonts w:ascii="Times New Roman" w:hAnsi="Times New Roman" w:cs="Times New Roman"/>
          <w:sz w:val="24"/>
          <w:szCs w:val="24"/>
        </w:rPr>
        <w:t>that care to the elderly from 2001 – 2011; the difference was by 7 percent. This means that elderly individuals needing care due to some of their conditions and requirements may struggle to find a carer or a caring organisation with spaces available to provide this care. Carers are also known to be overworked due to the amount of clients and the limited amount of carer</w:t>
      </w:r>
      <w:r w:rsidR="00E7499F">
        <w:rPr>
          <w:rFonts w:ascii="Times New Roman" w:hAnsi="Times New Roman" w:cs="Times New Roman"/>
          <w:sz w:val="24"/>
          <w:szCs w:val="24"/>
        </w:rPr>
        <w:t>s (Scottish Government, 2015).</w:t>
      </w:r>
      <w:r w:rsidR="009C4F54">
        <w:rPr>
          <w:rFonts w:ascii="Times New Roman" w:hAnsi="Times New Roman" w:cs="Times New Roman"/>
          <w:sz w:val="24"/>
          <w:szCs w:val="24"/>
        </w:rPr>
        <w:t xml:space="preserve"> The differen</w:t>
      </w:r>
      <w:r w:rsidR="004925FB">
        <w:rPr>
          <w:rFonts w:ascii="Times New Roman" w:hAnsi="Times New Roman" w:cs="Times New Roman"/>
          <w:sz w:val="24"/>
          <w:szCs w:val="24"/>
        </w:rPr>
        <w:t xml:space="preserve">t </w:t>
      </w:r>
      <w:r w:rsidR="009C4F54">
        <w:rPr>
          <w:rFonts w:ascii="Times New Roman" w:hAnsi="Times New Roman" w:cs="Times New Roman"/>
          <w:sz w:val="24"/>
          <w:szCs w:val="24"/>
        </w:rPr>
        <w:t xml:space="preserve">issues faced within care services include the number of staff, the different access of treatments from different countries (for example the US specialise in some treatments linked with cancer), regulations such as the working time directive and professional standards, and finally, funding and finance. </w:t>
      </w:r>
      <w:r w:rsidR="003C6A81">
        <w:rPr>
          <w:rFonts w:ascii="Times New Roman" w:hAnsi="Times New Roman" w:cs="Times New Roman"/>
          <w:sz w:val="24"/>
          <w:szCs w:val="24"/>
        </w:rPr>
        <w:t xml:space="preserve">There are two different types of care that can be provided to individuals needing the care; formal and informal care. Formal care is care given to the individuals by an organisational service such as the NHS, Hafod care and so on. This </w:t>
      </w:r>
      <w:r w:rsidR="00AE5144">
        <w:rPr>
          <w:rFonts w:ascii="Times New Roman" w:hAnsi="Times New Roman" w:cs="Times New Roman"/>
          <w:sz w:val="24"/>
          <w:szCs w:val="24"/>
        </w:rPr>
        <w:t>care is formal because of the requirements they need to meet</w:t>
      </w:r>
      <w:r w:rsidR="004925FB">
        <w:rPr>
          <w:rFonts w:ascii="Times New Roman" w:hAnsi="Times New Roman" w:cs="Times New Roman"/>
          <w:sz w:val="24"/>
          <w:szCs w:val="24"/>
        </w:rPr>
        <w:t xml:space="preserve">, </w:t>
      </w:r>
      <w:r w:rsidR="00AE5144">
        <w:rPr>
          <w:rFonts w:ascii="Times New Roman" w:hAnsi="Times New Roman" w:cs="Times New Roman"/>
          <w:sz w:val="24"/>
          <w:szCs w:val="24"/>
        </w:rPr>
        <w:t>which includes training provided, the quality of care provided, remaining dignity and confidentiality, and so on. However, informal care that can be provided is usually done by someone who is not paid to provide the care and is not apart of an organisation sent to provide the care. They are usually a family member or a friend providing the care to the individual within their home or the home of the informal carer. Most informal carers do not have a lot of detailed training on how to care for individuals properly; however, they would personally know the individual they are providing the care for and would understand their needs and wants and routine. Within organisations, the clients are less likely to be neglected or abused in any other form due to the statutory requirements placed to prevent this from occurring. However, it is more likely for individuals to be abused when receiving informal care as they may become frustrated or resent them</w:t>
      </w:r>
      <w:r w:rsidR="004925FB">
        <w:rPr>
          <w:rFonts w:ascii="Times New Roman" w:hAnsi="Times New Roman" w:cs="Times New Roman"/>
          <w:sz w:val="24"/>
          <w:szCs w:val="24"/>
        </w:rPr>
        <w:t xml:space="preserve"> and there are fewer assessments carried out when someone is receiving informal care, this can be down the individual providing the informal care restricting visits and so on.</w:t>
      </w:r>
      <w:r w:rsidR="002C1A04">
        <w:rPr>
          <w:rFonts w:ascii="Times New Roman" w:hAnsi="Times New Roman" w:cs="Times New Roman"/>
          <w:sz w:val="24"/>
          <w:szCs w:val="24"/>
        </w:rPr>
        <w:t xml:space="preserve"> (Net Industries, </w:t>
      </w:r>
      <w:r w:rsidR="00481138">
        <w:rPr>
          <w:rFonts w:ascii="Times New Roman" w:hAnsi="Times New Roman" w:cs="Times New Roman"/>
          <w:sz w:val="24"/>
          <w:szCs w:val="24"/>
        </w:rPr>
        <w:t>2018).</w:t>
      </w:r>
    </w:p>
    <w:p w14:paraId="0116739A" w14:textId="53B2803F" w:rsidR="00885B8C" w:rsidRDefault="00885B8C" w:rsidP="00E00B9A">
      <w:pPr>
        <w:spacing w:line="360" w:lineRule="auto"/>
        <w:rPr>
          <w:rFonts w:ascii="Times New Roman" w:hAnsi="Times New Roman" w:cs="Times New Roman"/>
          <w:sz w:val="24"/>
          <w:szCs w:val="24"/>
        </w:rPr>
      </w:pPr>
      <w:r>
        <w:rPr>
          <w:rFonts w:ascii="Times New Roman" w:hAnsi="Times New Roman" w:cs="Times New Roman"/>
          <w:sz w:val="24"/>
          <w:szCs w:val="24"/>
        </w:rPr>
        <w:t xml:space="preserve">    The creation of the Welfare State occurred in 1945</w:t>
      </w:r>
      <w:r w:rsidR="008F52FD">
        <w:rPr>
          <w:rFonts w:ascii="Times New Roman" w:hAnsi="Times New Roman" w:cs="Times New Roman"/>
          <w:sz w:val="24"/>
          <w:szCs w:val="24"/>
        </w:rPr>
        <w:t xml:space="preserve">. This system helped to protect individuals from poverty, lack of health care, lack of housing and lack of education. This </w:t>
      </w:r>
      <w:r w:rsidR="008F52FD">
        <w:rPr>
          <w:rFonts w:ascii="Times New Roman" w:hAnsi="Times New Roman" w:cs="Times New Roman"/>
          <w:sz w:val="24"/>
          <w:szCs w:val="24"/>
        </w:rPr>
        <w:lastRenderedPageBreak/>
        <w:t xml:space="preserve">system in place had the aim of helping everyone in need; however, some people would benefit more than others. People who were mistreated were the disabled who were living in institutions or the elderly who became frail and needed care and support. Society played a massive role on excluding these individuals; they were often admitted into large institutions or asylums and if they were able to move back to their community, it was likely they would be excluded and isolated within. Large institutions which was set up within Victorian times began to close in the 1970s due to the fact of abuse scandals. There were three main types of services that were set up, these include; residential (home and hostels), day services (day centres) and specialist placements (for people with different needs and behavioural issues). These services are still available and common in today’s society. However, the amount of people within residential care as not decreased and there is still a high demand for care to be given within these services (In Control, 2005). </w:t>
      </w:r>
    </w:p>
    <w:p w14:paraId="22A4FCB6" w14:textId="5FDB74A3" w:rsidR="002C1A04" w:rsidRDefault="003A544F" w:rsidP="00E00B9A">
      <w:pPr>
        <w:spacing w:line="360" w:lineRule="auto"/>
        <w:rPr>
          <w:rFonts w:ascii="Times New Roman" w:hAnsi="Times New Roman" w:cs="Times New Roman"/>
          <w:sz w:val="24"/>
          <w:szCs w:val="24"/>
        </w:rPr>
      </w:pPr>
      <w:r>
        <w:rPr>
          <w:rFonts w:ascii="Times New Roman" w:hAnsi="Times New Roman" w:cs="Times New Roman"/>
          <w:sz w:val="24"/>
          <w:szCs w:val="24"/>
        </w:rPr>
        <w:t xml:space="preserve">     The Social Services and Wellbeing Act (2014) has 11 parts within; </w:t>
      </w:r>
      <w:r w:rsidR="00027A81">
        <w:rPr>
          <w:rFonts w:ascii="Times New Roman" w:hAnsi="Times New Roman" w:cs="Times New Roman"/>
          <w:sz w:val="24"/>
          <w:szCs w:val="24"/>
        </w:rPr>
        <w:t>these are to provide an overview, the general duties, assessing the needs, meeting needs, charging and financial assessments, looked after and accommodated children, safeguarding, social services functions, co-operation and partnership, complaints and advocacy services and miscellaneous and general. T</w:t>
      </w:r>
      <w:r>
        <w:rPr>
          <w:rFonts w:ascii="Times New Roman" w:hAnsi="Times New Roman" w:cs="Times New Roman"/>
          <w:sz w:val="24"/>
          <w:szCs w:val="24"/>
        </w:rPr>
        <w:t>here are many general duties within this Act</w:t>
      </w:r>
      <w:r w:rsidR="00027A81">
        <w:rPr>
          <w:rFonts w:ascii="Times New Roman" w:hAnsi="Times New Roman" w:cs="Times New Roman"/>
          <w:sz w:val="24"/>
          <w:szCs w:val="24"/>
        </w:rPr>
        <w:t>; t</w:t>
      </w:r>
      <w:r>
        <w:rPr>
          <w:rFonts w:ascii="Times New Roman" w:hAnsi="Times New Roman" w:cs="Times New Roman"/>
          <w:sz w:val="24"/>
          <w:szCs w:val="24"/>
        </w:rPr>
        <w:t xml:space="preserve">hese include; people working under this Act to ‘seek and promote the well-being of </w:t>
      </w:r>
      <w:r w:rsidR="004925FB">
        <w:rPr>
          <w:rFonts w:ascii="Times New Roman" w:hAnsi="Times New Roman" w:cs="Times New Roman"/>
          <w:sz w:val="24"/>
          <w:szCs w:val="24"/>
        </w:rPr>
        <w:t xml:space="preserve">the </w:t>
      </w:r>
      <w:r>
        <w:rPr>
          <w:rFonts w:ascii="Times New Roman" w:hAnsi="Times New Roman" w:cs="Times New Roman"/>
          <w:sz w:val="24"/>
          <w:szCs w:val="24"/>
        </w:rPr>
        <w:t>people who need care and support and carers who need support’; provide duties and responsibilities with individuals working under this Act relating to people who may need care and support or carers who may require care and support. This Act also requires local authorities to assess the needs of areas for care and support and preventative services</w:t>
      </w:r>
      <w:r w:rsidR="00B50B1D">
        <w:rPr>
          <w:rFonts w:ascii="Times New Roman" w:hAnsi="Times New Roman" w:cs="Times New Roman"/>
          <w:sz w:val="24"/>
          <w:szCs w:val="24"/>
        </w:rPr>
        <w:t xml:space="preserve"> and to provide the provisions of preventative services. The general duties are for the local authority to promote social enterprises, co-operatives, user led services and the third sector within the provision in their areas of care and support. Also, the local authorities are </w:t>
      </w:r>
      <w:r w:rsidR="00027A81">
        <w:rPr>
          <w:rFonts w:ascii="Times New Roman" w:hAnsi="Times New Roman" w:cs="Times New Roman"/>
          <w:sz w:val="24"/>
          <w:szCs w:val="24"/>
        </w:rPr>
        <w:t>required to provide information of a service and advice in relation to care and support and assistance in assessing and finally to maintain the registers for sight-impaired, hearing-impaired and other disabled individuals. The next part to this Act was assessing and meeting the needs of individuals; the local authority is required to assess a ‘person’s needs for care’ and how assessments are to be done; the needs for care and support</w:t>
      </w:r>
      <w:r w:rsidR="004925FB">
        <w:rPr>
          <w:rFonts w:ascii="Times New Roman" w:hAnsi="Times New Roman" w:cs="Times New Roman"/>
          <w:sz w:val="24"/>
          <w:szCs w:val="24"/>
        </w:rPr>
        <w:t>,</w:t>
      </w:r>
      <w:r w:rsidR="00027A81">
        <w:rPr>
          <w:rFonts w:ascii="Times New Roman" w:hAnsi="Times New Roman" w:cs="Times New Roman"/>
          <w:sz w:val="24"/>
          <w:szCs w:val="24"/>
        </w:rPr>
        <w:t xml:space="preserve"> and for carers</w:t>
      </w:r>
      <w:r w:rsidR="004925FB">
        <w:rPr>
          <w:rFonts w:ascii="Times New Roman" w:hAnsi="Times New Roman" w:cs="Times New Roman"/>
          <w:sz w:val="24"/>
          <w:szCs w:val="24"/>
        </w:rPr>
        <w:t>,</w:t>
      </w:r>
      <w:r w:rsidR="00027A81">
        <w:rPr>
          <w:rFonts w:ascii="Times New Roman" w:hAnsi="Times New Roman" w:cs="Times New Roman"/>
          <w:sz w:val="24"/>
          <w:szCs w:val="24"/>
        </w:rPr>
        <w:t xml:space="preserve"> must be met by local authorities and how they are to be met. The next part was charging and financial assessments; local authorities may charge for providing or arranging care and for preventative services and the provision of assistance. The next relevant part of this Act is safeguarding. This part requires local authorities to investigate when there is an alleged or suspicion </w:t>
      </w:r>
      <w:r w:rsidR="009278B0">
        <w:rPr>
          <w:rFonts w:ascii="Times New Roman" w:hAnsi="Times New Roman" w:cs="Times New Roman"/>
          <w:sz w:val="24"/>
          <w:szCs w:val="24"/>
        </w:rPr>
        <w:t xml:space="preserve">that an adult with care and support needs are at risk of abuse or neglect and for the local authority to report where </w:t>
      </w:r>
      <w:r w:rsidR="004925FB">
        <w:rPr>
          <w:rFonts w:ascii="Times New Roman" w:hAnsi="Times New Roman" w:cs="Times New Roman"/>
          <w:sz w:val="24"/>
          <w:szCs w:val="24"/>
        </w:rPr>
        <w:t xml:space="preserve">and when </w:t>
      </w:r>
      <w:r w:rsidR="009278B0">
        <w:rPr>
          <w:rFonts w:ascii="Times New Roman" w:hAnsi="Times New Roman" w:cs="Times New Roman"/>
          <w:sz w:val="24"/>
          <w:szCs w:val="24"/>
        </w:rPr>
        <w:t xml:space="preserve">suspected abuse or neglect is occurring, to the appropriate authority; gives adult protection and support orders which authorises entry within the premises and finally it </w:t>
      </w:r>
      <w:r w:rsidR="0058135E">
        <w:rPr>
          <w:rFonts w:ascii="Times New Roman" w:hAnsi="Times New Roman" w:cs="Times New Roman"/>
          <w:sz w:val="24"/>
          <w:szCs w:val="24"/>
        </w:rPr>
        <w:t>notices</w:t>
      </w:r>
      <w:r w:rsidR="009278B0">
        <w:rPr>
          <w:rFonts w:ascii="Times New Roman" w:hAnsi="Times New Roman" w:cs="Times New Roman"/>
          <w:sz w:val="24"/>
          <w:szCs w:val="24"/>
        </w:rPr>
        <w:t xml:space="preserve"> a National Independent Safeguarding Board to give required support and advice to allow the effectiveness of the Safeguarding Boards. </w:t>
      </w:r>
      <w:r w:rsidR="0058135E">
        <w:rPr>
          <w:rFonts w:ascii="Times New Roman" w:hAnsi="Times New Roman" w:cs="Times New Roman"/>
          <w:sz w:val="24"/>
          <w:szCs w:val="24"/>
        </w:rPr>
        <w:t xml:space="preserve">Co-operation and partnership was the next part of this Act, this requires local authorities to plan, with their partners, in relation to adults with the needs for care and support; creates provision linked with promoting the integration of care and support with health services. This part is about complaints and advocacy services; </w:t>
      </w:r>
      <w:r w:rsidR="004925FB">
        <w:rPr>
          <w:rFonts w:ascii="Times New Roman" w:hAnsi="Times New Roman" w:cs="Times New Roman"/>
          <w:sz w:val="24"/>
          <w:szCs w:val="24"/>
        </w:rPr>
        <w:t xml:space="preserve">they </w:t>
      </w:r>
      <w:r w:rsidR="0058135E">
        <w:rPr>
          <w:rFonts w:ascii="Times New Roman" w:hAnsi="Times New Roman" w:cs="Times New Roman"/>
          <w:sz w:val="24"/>
          <w:szCs w:val="24"/>
        </w:rPr>
        <w:t>provide complaints about social services given, complaints to the Public Services Ombudsman for Wales about private social care and palliative care and provide</w:t>
      </w:r>
      <w:r w:rsidR="00BB7ABE">
        <w:rPr>
          <w:rFonts w:ascii="Times New Roman" w:hAnsi="Times New Roman" w:cs="Times New Roman"/>
          <w:sz w:val="24"/>
          <w:szCs w:val="24"/>
        </w:rPr>
        <w:t>s advocacy services which are to be made accessible for individuals with needs and care. The final part of this Act was miscellaneous and general, this act makes provisions on the step by steps to be taken by a local authority where an agency or organisation is unable to meet the needs due to business failure</w:t>
      </w:r>
      <w:r w:rsidR="00BC74A4">
        <w:rPr>
          <w:rFonts w:ascii="Times New Roman" w:hAnsi="Times New Roman" w:cs="Times New Roman"/>
          <w:sz w:val="24"/>
          <w:szCs w:val="24"/>
        </w:rPr>
        <w:t xml:space="preserve"> (Social Services and Well-being (Wales), 2014). </w:t>
      </w:r>
    </w:p>
    <w:p w14:paraId="5D42F858" w14:textId="492E6619" w:rsidR="00BB7ABE" w:rsidRDefault="00BB7ABE" w:rsidP="00E00B9A">
      <w:pPr>
        <w:spacing w:line="360" w:lineRule="auto"/>
        <w:rPr>
          <w:rFonts w:ascii="Times New Roman" w:hAnsi="Times New Roman" w:cs="Times New Roman"/>
          <w:sz w:val="24"/>
          <w:szCs w:val="24"/>
        </w:rPr>
      </w:pPr>
      <w:r>
        <w:rPr>
          <w:rFonts w:ascii="Times New Roman" w:hAnsi="Times New Roman" w:cs="Times New Roman"/>
          <w:sz w:val="24"/>
          <w:szCs w:val="24"/>
        </w:rPr>
        <w:t>The meaning of well-being to an individual relates to the well-being of physical, mental</w:t>
      </w:r>
      <w:r w:rsidR="004925FB">
        <w:rPr>
          <w:rFonts w:ascii="Times New Roman" w:hAnsi="Times New Roman" w:cs="Times New Roman"/>
          <w:sz w:val="24"/>
          <w:szCs w:val="24"/>
        </w:rPr>
        <w:t xml:space="preserve"> health</w:t>
      </w:r>
      <w:r>
        <w:rPr>
          <w:rFonts w:ascii="Times New Roman" w:hAnsi="Times New Roman" w:cs="Times New Roman"/>
          <w:sz w:val="24"/>
          <w:szCs w:val="24"/>
        </w:rPr>
        <w:t xml:space="preserve"> and emotional well-being, protection from abuse and neglect, education, training and recreation, family and personal connections, contribution done by society, securing rights, social and economic well-being and a suitable accommodation. Relating well-being to an adult includes the control over</w:t>
      </w:r>
      <w:r w:rsidR="004925FB">
        <w:rPr>
          <w:rFonts w:ascii="Times New Roman" w:hAnsi="Times New Roman" w:cs="Times New Roman"/>
          <w:sz w:val="24"/>
          <w:szCs w:val="24"/>
        </w:rPr>
        <w:t xml:space="preserve"> their</w:t>
      </w:r>
      <w:r>
        <w:rPr>
          <w:rFonts w:ascii="Times New Roman" w:hAnsi="Times New Roman" w:cs="Times New Roman"/>
          <w:sz w:val="24"/>
          <w:szCs w:val="24"/>
        </w:rPr>
        <w:t xml:space="preserve"> day to day life and participating in work. An individual working under this Act must promote the well-being of people who need care and support and </w:t>
      </w:r>
      <w:r w:rsidR="00D73BC7">
        <w:rPr>
          <w:rFonts w:ascii="Times New Roman" w:hAnsi="Times New Roman" w:cs="Times New Roman"/>
          <w:sz w:val="24"/>
          <w:szCs w:val="24"/>
        </w:rPr>
        <w:t>carers whom may need care and support. They must have regard for the individual’s beliefs, opinions and wishes and regard the individual’s dignity and respect them. They also must, regard the different characteristics, culture and beliefs the individual obtains and provide the appropriate support which allows the individual to take part in decisions that affects themselves. They also must have regard to promoting the individual’s independence when possibl</w:t>
      </w:r>
      <w:r w:rsidR="00BC74A4">
        <w:rPr>
          <w:rFonts w:ascii="Times New Roman" w:hAnsi="Times New Roman" w:cs="Times New Roman"/>
          <w:sz w:val="24"/>
          <w:szCs w:val="24"/>
        </w:rPr>
        <w:t xml:space="preserve">e (Social Services and Well-being (Wales) Act, 2014). </w:t>
      </w:r>
    </w:p>
    <w:p w14:paraId="1B2623B2" w14:textId="117ACFDE" w:rsidR="00D73BC7" w:rsidRDefault="00D73BC7" w:rsidP="00E00B9A">
      <w:pPr>
        <w:spacing w:line="360" w:lineRule="auto"/>
        <w:rPr>
          <w:rFonts w:ascii="Times New Roman" w:hAnsi="Times New Roman" w:cs="Times New Roman"/>
          <w:sz w:val="24"/>
          <w:szCs w:val="24"/>
        </w:rPr>
      </w:pPr>
      <w:r>
        <w:rPr>
          <w:rFonts w:ascii="Times New Roman" w:hAnsi="Times New Roman" w:cs="Times New Roman"/>
          <w:sz w:val="24"/>
          <w:szCs w:val="24"/>
        </w:rPr>
        <w:t xml:space="preserve">            The different regulations of Health Care Provisions set throughout the UK include quality and safety, financial regulation and economic regulation. The requirement of the regulation quality and safety did not occur until it was produced and documented by the Labour government’s ‘first health White Paper’. Within the time period before hand, there was no policy that covered the different aspects linked to quality and safety within health care. There was different policies and requirements put in place within this regulation including monitoring and reporting. This is when different organisations (including NHS trust) would have an Annual Health Check. This review would evaluate the performance of the organisations employee while comparing them to the Department of Health targets. This would explain the amount of quality expected from service providers within organisations linking to safety, cost effectiveness, patient focus, accessibility and responsiveness of care, public health and the environment within the care. The Core standards stated the lowest level of service that should be provided and ‘incorporate requirements’ which were in place before the publication in 2004. However, the developmental standards set out are more demanding and are there to help stimulate organisations to improve the quality and effectiveness of care they provide. A comparable system existed known as self-assessments; this was for independent providers, who were required to meet the minimum standards of practise to be able to register as a legal provider of services. Also, some inspections may be carried out if the Healthcare Commission gathers information that service may be falling beyond the minimum requirements. The Care Quality Commission has stated it’s aims is to ensure good quality and safety standards which is to push for improvements, especially to protecting vulnerable adults within care organisations</w:t>
      </w:r>
      <w:r w:rsidR="00BC74A4">
        <w:rPr>
          <w:rFonts w:ascii="Times New Roman" w:hAnsi="Times New Roman" w:cs="Times New Roman"/>
          <w:sz w:val="24"/>
          <w:szCs w:val="24"/>
        </w:rPr>
        <w:t xml:space="preserve"> (The Kings Fund, 2008).</w:t>
      </w:r>
    </w:p>
    <w:p w14:paraId="5E86446D" w14:textId="2012164D" w:rsidR="009C4F54" w:rsidRDefault="00D73BC7" w:rsidP="00E00B9A">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6F0853">
        <w:rPr>
          <w:rFonts w:ascii="Times New Roman" w:hAnsi="Times New Roman" w:cs="Times New Roman"/>
          <w:sz w:val="24"/>
          <w:szCs w:val="24"/>
        </w:rPr>
        <w:t xml:space="preserve">The different psychological theories that can be linked to care services are the disengagement and activity theories. The disengagement theory is known as a process linked with aging; it states that when we are young we rely on people to feed, transport and soothe us. However, when we grow older be become independent and support ourselves. But, then once the threshold of old age is crossed, the physical body begins to slow down and then we, once again, rely on the care of other individuals. This theory explains that when this threshold is crossed of old age, social connections start to reduce due to retiring, moving within a care home and so on. Therefore, as of then, the interaction with individuals is dependent of how mobile and the health of the person. This theory then states that the psychological and social impacts of individuals aging shows how cultures value elderly individuals and the processes that internally take place as an individual </w:t>
      </w:r>
      <w:r w:rsidR="00B842B2">
        <w:rPr>
          <w:rFonts w:ascii="Times New Roman" w:hAnsi="Times New Roman" w:cs="Times New Roman"/>
          <w:sz w:val="24"/>
          <w:szCs w:val="24"/>
        </w:rPr>
        <w:t xml:space="preserve">nears death. Social gerontology occurred within the late 1940s which was after World War II. Within this period, society across the world had changed which made sociologists take upon the task of ‘sorting out the differences’. The Social Science Research Council of 1948 came to the conclusion that society had been attentive with interactions between biology and society. Therefore, the first formation of psychosocial theory of aging was produced and displayed around a decade after. This theory says that the change within interactions </w:t>
      </w:r>
      <w:r w:rsidR="00F61E6D">
        <w:rPr>
          <w:rFonts w:ascii="Times New Roman" w:hAnsi="Times New Roman" w:cs="Times New Roman"/>
          <w:sz w:val="24"/>
          <w:szCs w:val="24"/>
        </w:rPr>
        <w:t xml:space="preserve">within the elderly and society occurs when the individual recognises the little amount of time they have left to live. Once this has occurred, the elderly would distance themselves either consciously or subconsciously (or sometimes even both) from their social connections. However, at the same time, society would subtract themselves from connecting with the elderly such as the roles and authority are now given to the younger population who can ‘perform’ better. However, a benefit of this disengagement is the elderly is provided with a ‘new role’ and gives them a different perspective. There is a link between the elderly and depression, this is seen to be because of their social disconnection and becoming lonely </w:t>
      </w:r>
      <w:r w:rsidR="00E85BA4">
        <w:rPr>
          <w:rFonts w:ascii="Times New Roman" w:hAnsi="Times New Roman" w:cs="Times New Roman"/>
          <w:sz w:val="24"/>
          <w:szCs w:val="24"/>
        </w:rPr>
        <w:t xml:space="preserve">due to being disconnected from society and not having as good a quality life as before. This emphasises the importance of interactions with elderly individuals. Therefore, the link with this disengagement theory to elderly individuals within formal and informal care setting is relevant as individuals placed within care homes are restricted with the amount of interactions either due to their health and mobility or their mental wellbeing. Also, individuals who receive informal care either within a family home or in their own home can be restricted from having social connection within society depending on their condition (Conger, 2018). </w:t>
      </w:r>
    </w:p>
    <w:p w14:paraId="037A335B" w14:textId="0059F6DE" w:rsidR="00E26BE6" w:rsidRDefault="00E26BE6" w:rsidP="00E00B9A">
      <w:pPr>
        <w:spacing w:line="360" w:lineRule="auto"/>
        <w:rPr>
          <w:rFonts w:ascii="Times New Roman" w:hAnsi="Times New Roman" w:cs="Times New Roman"/>
          <w:sz w:val="24"/>
          <w:szCs w:val="24"/>
        </w:rPr>
      </w:pPr>
      <w:r>
        <w:rPr>
          <w:rFonts w:ascii="Times New Roman" w:hAnsi="Times New Roman" w:cs="Times New Roman"/>
          <w:sz w:val="24"/>
          <w:szCs w:val="24"/>
        </w:rPr>
        <w:t xml:space="preserve">Another theory in relation to the elderly within formal or informal care is the activity theory. </w:t>
      </w:r>
      <w:r w:rsidR="00BE4227">
        <w:rPr>
          <w:rFonts w:ascii="Times New Roman" w:hAnsi="Times New Roman" w:cs="Times New Roman"/>
          <w:sz w:val="24"/>
          <w:szCs w:val="24"/>
        </w:rPr>
        <w:t xml:space="preserve">This theory takes into consideration the work or activity system in place which includes organisations. Also, this theory notices the environment, the history linked with the individual, culture, motivations and complexity within real life actions. This theory states that to ‘reach an outcome’, it is needed to produce objects; for example, experiences, knowledge and physical products. ‘Human activity is meditated by artefacts’; for example, tools, documents and recipes used. It states that activity can also be meditated within an organisation or a community. The community may enforce rules that can affect activity. There are three known levels of activity; activity towards an objective, activity towards a goal and operation structure of activity. Activity towards an objective, such as a goal, is </w:t>
      </w:r>
      <w:r w:rsidR="00BB56CB">
        <w:rPr>
          <w:rFonts w:ascii="Times New Roman" w:hAnsi="Times New Roman" w:cs="Times New Roman"/>
          <w:sz w:val="24"/>
          <w:szCs w:val="24"/>
        </w:rPr>
        <w:t xml:space="preserve">done by a community. This is a result of a need that might not be conscious social and personal meaning of activity. This is because these objective within society, that is not consciously achieved and set, is a need; such as interactions is a possible need to gain satisfaction and prevent mental illness. Activity towards a goal, which is known, is done by the individual or a group. These are possible goals and sub-goals and critical goals. These can be for the individual to become fitter with eating healthier and exercising and so on. The final level of activity was operation structure of activity. This is stated to be unconscious and to be a good way of performing an action in relation to specific conditions which surround the goal. This means this level looks into the factors around the goal and not just the goal itself such as the environment, the people involved, </w:t>
      </w:r>
      <w:r w:rsidR="004224EB">
        <w:rPr>
          <w:rFonts w:ascii="Times New Roman" w:hAnsi="Times New Roman" w:cs="Times New Roman"/>
          <w:sz w:val="24"/>
          <w:szCs w:val="24"/>
        </w:rPr>
        <w:t xml:space="preserve">the difficulty of the goal and so on. The different principles within this theory are internalization, mediation and development. Internalization explains the differences between internal and external activities. internal and external activities are to be analysed together as they transform into one another. This principles gives a meaning for people to participate within actual real interactions without doing manipulation with objects such as mental stimulations, imaginings and so on. Activity theory highlights that human activity is mediated by tools. These tools are created and then transformed during the development of the activity; this carries certain culture and historical remains from their development. Therefore, </w:t>
      </w:r>
      <w:r w:rsidR="00FA3386">
        <w:rPr>
          <w:rFonts w:ascii="Times New Roman" w:hAnsi="Times New Roman" w:cs="Times New Roman"/>
          <w:sz w:val="24"/>
          <w:szCs w:val="24"/>
        </w:rPr>
        <w:t>the use of tools is a gathering of information and the process of social knowledge. These influences natural behaviours and mental functioning within an individual</w:t>
      </w:r>
      <w:r w:rsidR="00B1233F">
        <w:rPr>
          <w:rFonts w:ascii="Times New Roman" w:hAnsi="Times New Roman" w:cs="Times New Roman"/>
          <w:sz w:val="24"/>
          <w:szCs w:val="24"/>
        </w:rPr>
        <w:t xml:space="preserve"> (David., L, 2007).</w:t>
      </w:r>
      <w:r w:rsidR="00FA3386">
        <w:rPr>
          <w:rFonts w:ascii="Times New Roman" w:hAnsi="Times New Roman" w:cs="Times New Roman"/>
          <w:sz w:val="24"/>
          <w:szCs w:val="24"/>
        </w:rPr>
        <w:t xml:space="preserve"> This theory states the opposite of the disengagement theory as this is all about socialising with society and being motivated. </w:t>
      </w:r>
      <w:r w:rsidR="00F827C2">
        <w:rPr>
          <w:rFonts w:ascii="Times New Roman" w:hAnsi="Times New Roman" w:cs="Times New Roman"/>
          <w:sz w:val="24"/>
          <w:szCs w:val="24"/>
        </w:rPr>
        <w:t xml:space="preserve">These theories are dependent on the individual and their health conditions and mindset. For example, an elderly individual aged 65 could be very active </w:t>
      </w:r>
      <w:r w:rsidR="00B1233F">
        <w:rPr>
          <w:rFonts w:ascii="Times New Roman" w:hAnsi="Times New Roman" w:cs="Times New Roman"/>
          <w:sz w:val="24"/>
          <w:szCs w:val="24"/>
        </w:rPr>
        <w:t xml:space="preserve">and socialise with individuals and stay connected with the community despite their aging. However, a different individual aged 65 could not have the same attitude and disengage themselves from society as they see this aging process as ‘the end’. Also, they may develop or already obtain health conditions from not being active such as heart problems, arthritis and so on (McMahon, 2018). </w:t>
      </w:r>
    </w:p>
    <w:p w14:paraId="04C12AD1" w14:textId="57A22BE1" w:rsidR="00B85825" w:rsidRDefault="00E7499F" w:rsidP="00E00B9A">
      <w:pPr>
        <w:spacing w:line="360" w:lineRule="auto"/>
        <w:rPr>
          <w:rFonts w:ascii="Times New Roman" w:hAnsi="Times New Roman" w:cs="Times New Roman"/>
          <w:b/>
          <w:sz w:val="24"/>
          <w:szCs w:val="24"/>
        </w:rPr>
      </w:pPr>
      <w:r>
        <w:rPr>
          <w:rFonts w:ascii="Times New Roman" w:hAnsi="Times New Roman" w:cs="Times New Roman"/>
          <w:b/>
          <w:sz w:val="24"/>
          <w:szCs w:val="24"/>
        </w:rPr>
        <w:t>References</w:t>
      </w:r>
    </w:p>
    <w:p w14:paraId="6EF706AC" w14:textId="21704475" w:rsidR="00481138" w:rsidRDefault="00E85BA4" w:rsidP="00B1233F">
      <w:pPr>
        <w:pStyle w:val="NoSpacing"/>
        <w:spacing w:line="360" w:lineRule="auto"/>
        <w:rPr>
          <w:rFonts w:ascii="Times New Roman" w:hAnsi="Times New Roman" w:cs="Times New Roman"/>
        </w:rPr>
      </w:pPr>
      <w:r w:rsidRPr="00B1233F">
        <w:rPr>
          <w:rFonts w:ascii="Times New Roman" w:hAnsi="Times New Roman" w:cs="Times New Roman"/>
        </w:rPr>
        <w:t xml:space="preserve">Conger, C., 2018, </w:t>
      </w:r>
      <w:r w:rsidRPr="00B1233F">
        <w:rPr>
          <w:rFonts w:ascii="Times New Roman" w:hAnsi="Times New Roman" w:cs="Times New Roman"/>
          <w:i/>
        </w:rPr>
        <w:t xml:space="preserve">What is disengagement theory?, </w:t>
      </w:r>
      <w:hyperlink r:id="rId7" w:history="1">
        <w:r w:rsidRPr="00B1233F">
          <w:rPr>
            <w:rStyle w:val="Hyperlink"/>
            <w:rFonts w:ascii="Times New Roman" w:hAnsi="Times New Roman" w:cs="Times New Roman"/>
            <w:i/>
            <w:sz w:val="24"/>
            <w:szCs w:val="24"/>
          </w:rPr>
          <w:t>https://health.howstuffworks.com/wellness/aging/elder-care/disengagement-theory.htm</w:t>
        </w:r>
      </w:hyperlink>
      <w:r w:rsidRPr="00B1233F">
        <w:rPr>
          <w:rFonts w:ascii="Times New Roman" w:hAnsi="Times New Roman" w:cs="Times New Roman"/>
          <w:i/>
        </w:rPr>
        <w:t xml:space="preserve">, </w:t>
      </w:r>
      <w:r w:rsidRPr="00B1233F">
        <w:rPr>
          <w:rFonts w:ascii="Times New Roman" w:hAnsi="Times New Roman" w:cs="Times New Roman"/>
        </w:rPr>
        <w:t>(Accessed; 7</w:t>
      </w:r>
      <w:r w:rsidRPr="00B1233F">
        <w:rPr>
          <w:rFonts w:ascii="Times New Roman" w:hAnsi="Times New Roman" w:cs="Times New Roman"/>
          <w:vertAlign w:val="superscript"/>
        </w:rPr>
        <w:t>th</w:t>
      </w:r>
      <w:r w:rsidRPr="00B1233F">
        <w:rPr>
          <w:rFonts w:ascii="Times New Roman" w:hAnsi="Times New Roman" w:cs="Times New Roman"/>
        </w:rPr>
        <w:t xml:space="preserve"> of January 2018). </w:t>
      </w:r>
    </w:p>
    <w:p w14:paraId="6AFEFF30" w14:textId="77777777" w:rsidR="00B1233F" w:rsidRPr="00B1233F" w:rsidRDefault="00B1233F" w:rsidP="00B1233F">
      <w:pPr>
        <w:pStyle w:val="NoSpacing"/>
        <w:spacing w:line="360" w:lineRule="auto"/>
        <w:rPr>
          <w:rFonts w:ascii="Times New Roman" w:hAnsi="Times New Roman" w:cs="Times New Roman"/>
        </w:rPr>
      </w:pPr>
    </w:p>
    <w:p w14:paraId="1767A975" w14:textId="41B5696A" w:rsidR="00B1233F" w:rsidRDefault="00FA3386" w:rsidP="00B1233F">
      <w:pPr>
        <w:pStyle w:val="NoSpacing"/>
        <w:spacing w:line="360" w:lineRule="auto"/>
        <w:rPr>
          <w:rFonts w:ascii="Times New Roman" w:hAnsi="Times New Roman" w:cs="Times New Roman"/>
        </w:rPr>
      </w:pPr>
      <w:r w:rsidRPr="00B1233F">
        <w:rPr>
          <w:rFonts w:ascii="Times New Roman" w:hAnsi="Times New Roman" w:cs="Times New Roman"/>
        </w:rPr>
        <w:t xml:space="preserve">David, L., (2007), “Activity Theory”, Learning Theories, </w:t>
      </w:r>
      <w:hyperlink r:id="rId8" w:history="1">
        <w:r w:rsidRPr="00B1233F">
          <w:rPr>
            <w:rStyle w:val="Hyperlink"/>
            <w:rFonts w:ascii="Times New Roman" w:hAnsi="Times New Roman" w:cs="Times New Roman"/>
            <w:i/>
            <w:sz w:val="24"/>
            <w:szCs w:val="24"/>
          </w:rPr>
          <w:t>https://www.learning-theories.com/activity-theory.html</w:t>
        </w:r>
      </w:hyperlink>
      <w:r w:rsidRPr="00B1233F">
        <w:rPr>
          <w:rFonts w:ascii="Times New Roman" w:hAnsi="Times New Roman" w:cs="Times New Roman"/>
        </w:rPr>
        <w:t>, (Accessed; 10</w:t>
      </w:r>
      <w:r w:rsidRPr="00B1233F">
        <w:rPr>
          <w:rFonts w:ascii="Times New Roman" w:hAnsi="Times New Roman" w:cs="Times New Roman"/>
          <w:vertAlign w:val="superscript"/>
        </w:rPr>
        <w:t>th</w:t>
      </w:r>
      <w:r w:rsidRPr="00B1233F">
        <w:rPr>
          <w:rFonts w:ascii="Times New Roman" w:hAnsi="Times New Roman" w:cs="Times New Roman"/>
        </w:rPr>
        <w:t xml:space="preserve"> of January 2018). </w:t>
      </w:r>
    </w:p>
    <w:p w14:paraId="6799D295" w14:textId="77777777" w:rsidR="00B1233F" w:rsidRPr="00B1233F" w:rsidRDefault="00B1233F" w:rsidP="00B1233F">
      <w:pPr>
        <w:pStyle w:val="NoSpacing"/>
        <w:spacing w:line="360" w:lineRule="auto"/>
        <w:rPr>
          <w:rFonts w:ascii="Times New Roman" w:hAnsi="Times New Roman" w:cs="Times New Roman"/>
        </w:rPr>
      </w:pPr>
    </w:p>
    <w:p w14:paraId="059620AD" w14:textId="01EEDCF0" w:rsidR="00B1233F" w:rsidRDefault="00B1233F" w:rsidP="00B1233F">
      <w:pPr>
        <w:pStyle w:val="NoSpacing"/>
        <w:spacing w:line="360" w:lineRule="auto"/>
        <w:rPr>
          <w:rFonts w:ascii="Times New Roman" w:hAnsi="Times New Roman" w:cs="Times New Roman"/>
        </w:rPr>
      </w:pPr>
      <w:r w:rsidRPr="00B1233F">
        <w:rPr>
          <w:rFonts w:ascii="Times New Roman" w:hAnsi="Times New Roman" w:cs="Times New Roman"/>
        </w:rPr>
        <w:t xml:space="preserve">McMahon, M., (2018), “What is an Activity Theory?”, </w:t>
      </w:r>
      <w:r w:rsidRPr="00B1233F">
        <w:rPr>
          <w:rFonts w:ascii="Times New Roman" w:hAnsi="Times New Roman" w:cs="Times New Roman"/>
          <w:i/>
        </w:rPr>
        <w:t xml:space="preserve">wiseGEEK, </w:t>
      </w:r>
      <w:hyperlink r:id="rId9" w:history="1">
        <w:r w:rsidRPr="00B1233F">
          <w:rPr>
            <w:rStyle w:val="Hyperlink"/>
            <w:rFonts w:ascii="Times New Roman" w:hAnsi="Times New Roman" w:cs="Times New Roman"/>
            <w:i/>
            <w:sz w:val="24"/>
            <w:szCs w:val="24"/>
          </w:rPr>
          <w:t>http://www.wisegeek.com/what-is-an-activity-theory.htm</w:t>
        </w:r>
      </w:hyperlink>
      <w:r w:rsidRPr="00B1233F">
        <w:rPr>
          <w:rFonts w:ascii="Times New Roman" w:hAnsi="Times New Roman" w:cs="Times New Roman"/>
          <w:i/>
        </w:rPr>
        <w:t xml:space="preserve">, </w:t>
      </w:r>
      <w:r w:rsidRPr="00B1233F">
        <w:rPr>
          <w:rFonts w:ascii="Times New Roman" w:hAnsi="Times New Roman" w:cs="Times New Roman"/>
        </w:rPr>
        <w:t>(Accessed; 10</w:t>
      </w:r>
      <w:r w:rsidRPr="00B1233F">
        <w:rPr>
          <w:rFonts w:ascii="Times New Roman" w:hAnsi="Times New Roman" w:cs="Times New Roman"/>
          <w:vertAlign w:val="superscript"/>
        </w:rPr>
        <w:t>th</w:t>
      </w:r>
      <w:r w:rsidRPr="00B1233F">
        <w:rPr>
          <w:rFonts w:ascii="Times New Roman" w:hAnsi="Times New Roman" w:cs="Times New Roman"/>
        </w:rPr>
        <w:t xml:space="preserve"> of January 2018).</w:t>
      </w:r>
    </w:p>
    <w:p w14:paraId="439E93D1" w14:textId="35998E59" w:rsidR="008F52FD" w:rsidRDefault="008F52FD" w:rsidP="00B1233F">
      <w:pPr>
        <w:pStyle w:val="NoSpacing"/>
        <w:spacing w:line="360" w:lineRule="auto"/>
        <w:rPr>
          <w:rFonts w:ascii="Times New Roman" w:hAnsi="Times New Roman" w:cs="Times New Roman"/>
        </w:rPr>
      </w:pPr>
    </w:p>
    <w:p w14:paraId="5EF6B982" w14:textId="2B4323F2" w:rsidR="008F52FD" w:rsidRPr="00E6383B" w:rsidRDefault="008F52FD" w:rsidP="00B1233F">
      <w:pPr>
        <w:pStyle w:val="NoSpacing"/>
        <w:spacing w:line="360" w:lineRule="auto"/>
        <w:rPr>
          <w:rFonts w:ascii="Times New Roman" w:hAnsi="Times New Roman" w:cs="Times New Roman"/>
        </w:rPr>
      </w:pPr>
      <w:r>
        <w:rPr>
          <w:rFonts w:ascii="Times New Roman" w:hAnsi="Times New Roman" w:cs="Times New Roman"/>
        </w:rPr>
        <w:t xml:space="preserve">In Control, (2005), “Self-directed support”, </w:t>
      </w:r>
      <w:r>
        <w:rPr>
          <w:rFonts w:ascii="Times New Roman" w:hAnsi="Times New Roman" w:cs="Times New Roman"/>
          <w:i/>
        </w:rPr>
        <w:t>History of the social care</w:t>
      </w:r>
      <w:r w:rsidR="00E6383B">
        <w:rPr>
          <w:rFonts w:ascii="Times New Roman" w:hAnsi="Times New Roman" w:cs="Times New Roman"/>
          <w:i/>
        </w:rPr>
        <w:t xml:space="preserve"> system, </w:t>
      </w:r>
      <w:hyperlink r:id="rId10" w:history="1">
        <w:r w:rsidR="00E6383B" w:rsidRPr="00A60001">
          <w:rPr>
            <w:rStyle w:val="Hyperlink"/>
            <w:rFonts w:ascii="Times New Roman" w:hAnsi="Times New Roman" w:cs="Times New Roman"/>
            <w:i/>
          </w:rPr>
          <w:t>http://www.in-control.org.uk/media/16750/20.%20history%20of%20the%20social%20care%20system%202011%20v1.pdf</w:t>
        </w:r>
      </w:hyperlink>
      <w:r w:rsidR="00E6383B">
        <w:rPr>
          <w:rFonts w:ascii="Times New Roman" w:hAnsi="Times New Roman" w:cs="Times New Roman"/>
          <w:i/>
        </w:rPr>
        <w:t xml:space="preserve">, </w:t>
      </w:r>
      <w:r w:rsidR="00E6383B">
        <w:rPr>
          <w:rFonts w:ascii="Times New Roman" w:hAnsi="Times New Roman" w:cs="Times New Roman"/>
        </w:rPr>
        <w:t>(Accessed; 10</w:t>
      </w:r>
      <w:r w:rsidR="00E6383B" w:rsidRPr="00E6383B">
        <w:rPr>
          <w:rFonts w:ascii="Times New Roman" w:hAnsi="Times New Roman" w:cs="Times New Roman"/>
          <w:vertAlign w:val="superscript"/>
        </w:rPr>
        <w:t>th</w:t>
      </w:r>
      <w:r w:rsidR="00E6383B">
        <w:rPr>
          <w:rFonts w:ascii="Times New Roman" w:hAnsi="Times New Roman" w:cs="Times New Roman"/>
        </w:rPr>
        <w:t xml:space="preserve"> of January 2018). </w:t>
      </w:r>
    </w:p>
    <w:p w14:paraId="4B3CB44B" w14:textId="77777777" w:rsidR="00B1233F" w:rsidRPr="00B1233F" w:rsidRDefault="00B1233F" w:rsidP="00B1233F">
      <w:pPr>
        <w:pStyle w:val="NoSpacing"/>
        <w:spacing w:line="360" w:lineRule="auto"/>
        <w:rPr>
          <w:rFonts w:ascii="Times New Roman" w:hAnsi="Times New Roman" w:cs="Times New Roman"/>
        </w:rPr>
      </w:pPr>
    </w:p>
    <w:p w14:paraId="624D2053" w14:textId="72DD7264" w:rsidR="00481138" w:rsidRDefault="00481138" w:rsidP="00B1233F">
      <w:pPr>
        <w:pStyle w:val="NoSpacing"/>
        <w:spacing w:line="360" w:lineRule="auto"/>
        <w:rPr>
          <w:rFonts w:ascii="Times New Roman" w:hAnsi="Times New Roman" w:cs="Times New Roman"/>
        </w:rPr>
      </w:pPr>
      <w:r w:rsidRPr="00B1233F">
        <w:rPr>
          <w:rFonts w:ascii="Times New Roman" w:hAnsi="Times New Roman" w:cs="Times New Roman"/>
        </w:rPr>
        <w:t xml:space="preserve">Net Industries, (2018), </w:t>
      </w:r>
      <w:r w:rsidRPr="00B1233F">
        <w:rPr>
          <w:rFonts w:ascii="Times New Roman" w:hAnsi="Times New Roman" w:cs="Times New Roman"/>
          <w:i/>
        </w:rPr>
        <w:t xml:space="preserve">Caregiving – Formal, Informal, </w:t>
      </w:r>
      <w:hyperlink r:id="rId11" w:history="1">
        <w:r w:rsidRPr="00B1233F">
          <w:rPr>
            <w:rStyle w:val="Hyperlink"/>
            <w:rFonts w:ascii="Times New Roman" w:hAnsi="Times New Roman" w:cs="Times New Roman"/>
            <w:i/>
            <w:sz w:val="24"/>
            <w:szCs w:val="24"/>
          </w:rPr>
          <w:t>http://family.jrank.org/pages/202/Caregiving.html</w:t>
        </w:r>
      </w:hyperlink>
      <w:r w:rsidRPr="00B1233F">
        <w:rPr>
          <w:rFonts w:ascii="Times New Roman" w:hAnsi="Times New Roman" w:cs="Times New Roman"/>
          <w:i/>
        </w:rPr>
        <w:t xml:space="preserve">, </w:t>
      </w:r>
      <w:r w:rsidRPr="00B1233F">
        <w:rPr>
          <w:rFonts w:ascii="Times New Roman" w:hAnsi="Times New Roman" w:cs="Times New Roman"/>
        </w:rPr>
        <w:t>(Accessed; 7</w:t>
      </w:r>
      <w:r w:rsidRPr="00B1233F">
        <w:rPr>
          <w:rFonts w:ascii="Times New Roman" w:hAnsi="Times New Roman" w:cs="Times New Roman"/>
          <w:vertAlign w:val="superscript"/>
        </w:rPr>
        <w:t>th</w:t>
      </w:r>
      <w:r w:rsidRPr="00B1233F">
        <w:rPr>
          <w:rFonts w:ascii="Times New Roman" w:hAnsi="Times New Roman" w:cs="Times New Roman"/>
        </w:rPr>
        <w:t xml:space="preserve"> of January 2018). </w:t>
      </w:r>
    </w:p>
    <w:p w14:paraId="347A5BAB" w14:textId="77777777" w:rsidR="00B1233F" w:rsidRPr="00B1233F" w:rsidRDefault="00B1233F" w:rsidP="00B1233F">
      <w:pPr>
        <w:pStyle w:val="NoSpacing"/>
        <w:spacing w:line="360" w:lineRule="auto"/>
        <w:rPr>
          <w:rFonts w:ascii="Times New Roman" w:hAnsi="Times New Roman" w:cs="Times New Roman"/>
        </w:rPr>
      </w:pPr>
    </w:p>
    <w:p w14:paraId="193D3B41" w14:textId="5C46AFAA" w:rsidR="00B1233F" w:rsidRDefault="00E7499F" w:rsidP="00B1233F">
      <w:pPr>
        <w:pStyle w:val="NoSpacing"/>
        <w:spacing w:line="360" w:lineRule="auto"/>
        <w:rPr>
          <w:rFonts w:ascii="Times New Roman" w:hAnsi="Times New Roman" w:cs="Times New Roman"/>
        </w:rPr>
      </w:pPr>
      <w:r w:rsidRPr="00B1233F">
        <w:rPr>
          <w:rFonts w:ascii="Times New Roman" w:hAnsi="Times New Roman" w:cs="Times New Roman"/>
        </w:rPr>
        <w:t xml:space="preserve">Scottish Government, (2015), </w:t>
      </w:r>
      <w:r w:rsidR="00FA3386" w:rsidRPr="00B1233F">
        <w:rPr>
          <w:rFonts w:ascii="Times New Roman" w:hAnsi="Times New Roman" w:cs="Times New Roman"/>
        </w:rPr>
        <w:t>“</w:t>
      </w:r>
      <w:r w:rsidRPr="00B1233F">
        <w:rPr>
          <w:rFonts w:ascii="Times New Roman" w:hAnsi="Times New Roman" w:cs="Times New Roman"/>
        </w:rPr>
        <w:t>Health and Community Care – Datasets</w:t>
      </w:r>
      <w:r w:rsidR="00FA3386" w:rsidRPr="00B1233F">
        <w:rPr>
          <w:rFonts w:ascii="Times New Roman" w:hAnsi="Times New Roman" w:cs="Times New Roman"/>
        </w:rPr>
        <w:t>”</w:t>
      </w:r>
      <w:r w:rsidRPr="00B1233F">
        <w:rPr>
          <w:rFonts w:ascii="Times New Roman" w:hAnsi="Times New Roman" w:cs="Times New Roman"/>
        </w:rPr>
        <w:t xml:space="preserve">, </w:t>
      </w:r>
      <w:r w:rsidRPr="00B1233F">
        <w:rPr>
          <w:rFonts w:ascii="Times New Roman" w:hAnsi="Times New Roman" w:cs="Times New Roman"/>
          <w:i/>
        </w:rPr>
        <w:t xml:space="preserve">Carers, </w:t>
      </w:r>
      <w:hyperlink r:id="rId12" w:history="1">
        <w:r w:rsidRPr="00B1233F">
          <w:rPr>
            <w:rStyle w:val="Hyperlink"/>
            <w:rFonts w:ascii="Times New Roman" w:hAnsi="Times New Roman" w:cs="Times New Roman"/>
            <w:sz w:val="24"/>
            <w:szCs w:val="24"/>
          </w:rPr>
          <w:t>http://www.gov.scot/Topics/Statistics/Browse/Health/Data/Carers</w:t>
        </w:r>
      </w:hyperlink>
      <w:r w:rsidRPr="00B1233F">
        <w:rPr>
          <w:rFonts w:ascii="Times New Roman" w:hAnsi="Times New Roman" w:cs="Times New Roman"/>
        </w:rPr>
        <w:t>, (Accessed; 7</w:t>
      </w:r>
      <w:r w:rsidRPr="00B1233F">
        <w:rPr>
          <w:rFonts w:ascii="Times New Roman" w:hAnsi="Times New Roman" w:cs="Times New Roman"/>
          <w:vertAlign w:val="superscript"/>
        </w:rPr>
        <w:t>th</w:t>
      </w:r>
      <w:r w:rsidRPr="00B1233F">
        <w:rPr>
          <w:rFonts w:ascii="Times New Roman" w:hAnsi="Times New Roman" w:cs="Times New Roman"/>
        </w:rPr>
        <w:t xml:space="preserve"> of January</w:t>
      </w:r>
      <w:r w:rsidR="006879C5" w:rsidRPr="00B1233F">
        <w:rPr>
          <w:rFonts w:ascii="Times New Roman" w:hAnsi="Times New Roman" w:cs="Times New Roman"/>
        </w:rPr>
        <w:t xml:space="preserve"> 2018</w:t>
      </w:r>
      <w:r w:rsidRPr="00B1233F">
        <w:rPr>
          <w:rFonts w:ascii="Times New Roman" w:hAnsi="Times New Roman" w:cs="Times New Roman"/>
        </w:rPr>
        <w:t xml:space="preserve">). </w:t>
      </w:r>
    </w:p>
    <w:p w14:paraId="1ECDFB94" w14:textId="23ECFD5D" w:rsidR="00BC74A4" w:rsidRDefault="00BC74A4" w:rsidP="00B1233F">
      <w:pPr>
        <w:pStyle w:val="NoSpacing"/>
        <w:spacing w:line="360" w:lineRule="auto"/>
        <w:rPr>
          <w:rFonts w:ascii="Times New Roman" w:hAnsi="Times New Roman" w:cs="Times New Roman"/>
        </w:rPr>
      </w:pPr>
    </w:p>
    <w:p w14:paraId="55C0AFED" w14:textId="114DFD26" w:rsidR="00BC74A4" w:rsidRPr="00BC74A4" w:rsidRDefault="00BC74A4" w:rsidP="00B1233F">
      <w:pPr>
        <w:pStyle w:val="NoSpacing"/>
        <w:spacing w:line="360" w:lineRule="auto"/>
        <w:rPr>
          <w:rFonts w:ascii="Times New Roman" w:hAnsi="Times New Roman" w:cs="Times New Roman"/>
        </w:rPr>
      </w:pPr>
      <w:r>
        <w:rPr>
          <w:rFonts w:ascii="Times New Roman" w:hAnsi="Times New Roman" w:cs="Times New Roman"/>
        </w:rPr>
        <w:t xml:space="preserve">Social Services and Well-being (Wales) Act, (2014), </w:t>
      </w:r>
      <w:r>
        <w:rPr>
          <w:rFonts w:ascii="Times New Roman" w:hAnsi="Times New Roman" w:cs="Times New Roman"/>
          <w:i/>
        </w:rPr>
        <w:t xml:space="preserve">Part 1-11, </w:t>
      </w:r>
      <w:hyperlink r:id="rId13" w:history="1">
        <w:r w:rsidRPr="00A60001">
          <w:rPr>
            <w:rStyle w:val="Hyperlink"/>
            <w:rFonts w:ascii="Times New Roman" w:hAnsi="Times New Roman" w:cs="Times New Roman"/>
            <w:i/>
          </w:rPr>
          <w:t>http://www.legislation.gov.uk/anaw/2014/4/pdfs/anaw_20140004_en.pdf</w:t>
        </w:r>
      </w:hyperlink>
      <w:r>
        <w:rPr>
          <w:rFonts w:ascii="Times New Roman" w:hAnsi="Times New Roman" w:cs="Times New Roman"/>
          <w:i/>
        </w:rPr>
        <w:t xml:space="preserve">, </w:t>
      </w:r>
      <w:r>
        <w:rPr>
          <w:rFonts w:ascii="Times New Roman" w:hAnsi="Times New Roman" w:cs="Times New Roman"/>
        </w:rPr>
        <w:t>(Accessed 10</w:t>
      </w:r>
      <w:r w:rsidRPr="00BC74A4">
        <w:rPr>
          <w:rFonts w:ascii="Times New Roman" w:hAnsi="Times New Roman" w:cs="Times New Roman"/>
          <w:vertAlign w:val="superscript"/>
        </w:rPr>
        <w:t>th</w:t>
      </w:r>
      <w:r>
        <w:rPr>
          <w:rFonts w:ascii="Times New Roman" w:hAnsi="Times New Roman" w:cs="Times New Roman"/>
        </w:rPr>
        <w:t xml:space="preserve"> of January 2018). </w:t>
      </w:r>
    </w:p>
    <w:p w14:paraId="2EE86164" w14:textId="77777777" w:rsidR="00BC74A4" w:rsidRPr="00B1233F" w:rsidRDefault="00BC74A4" w:rsidP="00B1233F">
      <w:pPr>
        <w:pStyle w:val="NoSpacing"/>
        <w:spacing w:line="360" w:lineRule="auto"/>
        <w:rPr>
          <w:rFonts w:ascii="Times New Roman" w:hAnsi="Times New Roman" w:cs="Times New Roman"/>
        </w:rPr>
      </w:pPr>
    </w:p>
    <w:p w14:paraId="2D98ADB7" w14:textId="77777777" w:rsidR="006879C5" w:rsidRPr="00B1233F" w:rsidRDefault="006879C5" w:rsidP="00B1233F">
      <w:pPr>
        <w:pStyle w:val="NoSpacing"/>
        <w:spacing w:line="360" w:lineRule="auto"/>
        <w:rPr>
          <w:rFonts w:ascii="Times New Roman" w:hAnsi="Times New Roman" w:cs="Times New Roman"/>
        </w:rPr>
      </w:pPr>
      <w:r w:rsidRPr="00B1233F">
        <w:rPr>
          <w:rFonts w:ascii="Times New Roman" w:hAnsi="Times New Roman" w:cs="Times New Roman"/>
        </w:rPr>
        <w:t xml:space="preserve">The Kings Fund, (2008), </w:t>
      </w:r>
      <w:r w:rsidRPr="00B1233F">
        <w:rPr>
          <w:rFonts w:ascii="Times New Roman" w:hAnsi="Times New Roman" w:cs="Times New Roman"/>
          <w:i/>
        </w:rPr>
        <w:t>Regulation of Health Care Provision in England,</w:t>
      </w:r>
      <w:r w:rsidRPr="00B1233F">
        <w:rPr>
          <w:rFonts w:ascii="Times New Roman" w:hAnsi="Times New Roman" w:cs="Times New Roman"/>
        </w:rPr>
        <w:t xml:space="preserve"> </w:t>
      </w:r>
      <w:hyperlink r:id="rId14" w:history="1">
        <w:r w:rsidRPr="00B1233F">
          <w:rPr>
            <w:rStyle w:val="Hyperlink"/>
            <w:rFonts w:ascii="Times New Roman" w:hAnsi="Times New Roman" w:cs="Times New Roman"/>
            <w:sz w:val="24"/>
            <w:szCs w:val="24"/>
          </w:rPr>
          <w:t>https://www.kingsfund.org.uk/sites/default/files/briefing-regulation-health-care-provision-england-jo-maybin-tony-harrison-kings-fund-october-2008.pdf</w:t>
        </w:r>
      </w:hyperlink>
      <w:r w:rsidRPr="00B1233F">
        <w:rPr>
          <w:rFonts w:ascii="Times New Roman" w:hAnsi="Times New Roman" w:cs="Times New Roman"/>
        </w:rPr>
        <w:t>, (Accessed; 7</w:t>
      </w:r>
      <w:r w:rsidRPr="00B1233F">
        <w:rPr>
          <w:rFonts w:ascii="Times New Roman" w:hAnsi="Times New Roman" w:cs="Times New Roman"/>
          <w:vertAlign w:val="superscript"/>
        </w:rPr>
        <w:t>th</w:t>
      </w:r>
      <w:r w:rsidRPr="00B1233F">
        <w:rPr>
          <w:rFonts w:ascii="Times New Roman" w:hAnsi="Times New Roman" w:cs="Times New Roman"/>
        </w:rPr>
        <w:t xml:space="preserve"> of January 2018). </w:t>
      </w:r>
    </w:p>
    <w:p w14:paraId="554D1C2C" w14:textId="77777777" w:rsidR="006879C5" w:rsidRPr="00E7499F" w:rsidRDefault="006879C5" w:rsidP="00E00B9A">
      <w:pPr>
        <w:spacing w:line="360" w:lineRule="auto"/>
        <w:rPr>
          <w:rFonts w:ascii="Times New Roman" w:hAnsi="Times New Roman" w:cs="Times New Roman"/>
          <w:sz w:val="24"/>
          <w:szCs w:val="24"/>
        </w:rPr>
      </w:pPr>
    </w:p>
    <w:sectPr w:rsidR="006879C5" w:rsidRPr="00E7499F">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BDBED88" w14:textId="77777777" w:rsidR="00E00B9A" w:rsidRDefault="00E00B9A" w:rsidP="00E00B9A">
      <w:pPr>
        <w:spacing w:after="0" w:line="240" w:lineRule="auto"/>
      </w:pPr>
      <w:r>
        <w:separator/>
      </w:r>
    </w:p>
  </w:endnote>
  <w:endnote w:type="continuationSeparator" w:id="0">
    <w:p w14:paraId="0493D1F1" w14:textId="77777777" w:rsidR="00E00B9A" w:rsidRDefault="00E00B9A" w:rsidP="00E00B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E4B6F78" w14:textId="77777777" w:rsidR="00E00B9A" w:rsidRDefault="00E00B9A" w:rsidP="00E00B9A">
      <w:pPr>
        <w:spacing w:after="0" w:line="240" w:lineRule="auto"/>
      </w:pPr>
      <w:r>
        <w:separator/>
      </w:r>
    </w:p>
  </w:footnote>
  <w:footnote w:type="continuationSeparator" w:id="0">
    <w:p w14:paraId="0252F090" w14:textId="77777777" w:rsidR="00E00B9A" w:rsidRDefault="00E00B9A" w:rsidP="00E00B9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5B586FC" w14:textId="77777777" w:rsidR="00E00B9A" w:rsidRDefault="00E00B9A">
    <w:pPr>
      <w:pStyle w:val="Header"/>
    </w:pPr>
    <w:r>
      <w:t>1702427</w:t>
    </w:r>
  </w:p>
  <w:p w14:paraId="000866AA" w14:textId="77777777" w:rsidR="00E00B9A" w:rsidRDefault="00E00B9A">
    <w:pPr>
      <w:pStyle w:val="Header"/>
    </w:pPr>
    <w:r>
      <w:t>Assignment 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00B9A"/>
    <w:rsid w:val="00027A81"/>
    <w:rsid w:val="000A14E1"/>
    <w:rsid w:val="002C1A04"/>
    <w:rsid w:val="003A544F"/>
    <w:rsid w:val="003C6A81"/>
    <w:rsid w:val="004043C6"/>
    <w:rsid w:val="0040441C"/>
    <w:rsid w:val="004224EB"/>
    <w:rsid w:val="00481138"/>
    <w:rsid w:val="004925FB"/>
    <w:rsid w:val="005071D5"/>
    <w:rsid w:val="0058135E"/>
    <w:rsid w:val="006703EA"/>
    <w:rsid w:val="006879C5"/>
    <w:rsid w:val="006F0853"/>
    <w:rsid w:val="00885B8C"/>
    <w:rsid w:val="008F52FD"/>
    <w:rsid w:val="00903F3A"/>
    <w:rsid w:val="009278B0"/>
    <w:rsid w:val="00937593"/>
    <w:rsid w:val="009C4F54"/>
    <w:rsid w:val="00AE5144"/>
    <w:rsid w:val="00B1233F"/>
    <w:rsid w:val="00B50B1D"/>
    <w:rsid w:val="00B842B2"/>
    <w:rsid w:val="00B85825"/>
    <w:rsid w:val="00BB56CB"/>
    <w:rsid w:val="00BB7ABE"/>
    <w:rsid w:val="00BC74A4"/>
    <w:rsid w:val="00BE4227"/>
    <w:rsid w:val="00D64115"/>
    <w:rsid w:val="00D73BC7"/>
    <w:rsid w:val="00E00B9A"/>
    <w:rsid w:val="00E26BE6"/>
    <w:rsid w:val="00E6383B"/>
    <w:rsid w:val="00E7499F"/>
    <w:rsid w:val="00E85BA4"/>
    <w:rsid w:val="00EF5215"/>
    <w:rsid w:val="00F61E6D"/>
    <w:rsid w:val="00F827C2"/>
    <w:rsid w:val="00FA33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0C12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00B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0B9A"/>
  </w:style>
  <w:style w:type="paragraph" w:styleId="Footer">
    <w:name w:val="footer"/>
    <w:basedOn w:val="Normal"/>
    <w:link w:val="FooterChar"/>
    <w:uiPriority w:val="99"/>
    <w:unhideWhenUsed/>
    <w:rsid w:val="00E00B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0B9A"/>
  </w:style>
  <w:style w:type="character" w:styleId="Hyperlink">
    <w:name w:val="Hyperlink"/>
    <w:basedOn w:val="DefaultParagraphFont"/>
    <w:uiPriority w:val="99"/>
    <w:unhideWhenUsed/>
    <w:rsid w:val="00E7499F"/>
    <w:rPr>
      <w:color w:val="0563C1" w:themeColor="hyperlink"/>
      <w:u w:val="single"/>
    </w:rPr>
  </w:style>
  <w:style w:type="character" w:customStyle="1" w:styleId="UnresolvedMention">
    <w:name w:val="Unresolved Mention"/>
    <w:basedOn w:val="DefaultParagraphFont"/>
    <w:uiPriority w:val="99"/>
    <w:semiHidden/>
    <w:unhideWhenUsed/>
    <w:rsid w:val="00E7499F"/>
    <w:rPr>
      <w:color w:val="808080"/>
      <w:shd w:val="clear" w:color="auto" w:fill="E6E6E6"/>
    </w:rPr>
  </w:style>
  <w:style w:type="paragraph" w:styleId="NoSpacing">
    <w:name w:val="No Spacing"/>
    <w:uiPriority w:val="1"/>
    <w:qFormat/>
    <w:rsid w:val="00FA3386"/>
    <w:pPr>
      <w:spacing w:after="0"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00B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0B9A"/>
  </w:style>
  <w:style w:type="paragraph" w:styleId="Footer">
    <w:name w:val="footer"/>
    <w:basedOn w:val="Normal"/>
    <w:link w:val="FooterChar"/>
    <w:uiPriority w:val="99"/>
    <w:unhideWhenUsed/>
    <w:rsid w:val="00E00B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0B9A"/>
  </w:style>
  <w:style w:type="character" w:styleId="Hyperlink">
    <w:name w:val="Hyperlink"/>
    <w:basedOn w:val="DefaultParagraphFont"/>
    <w:uiPriority w:val="99"/>
    <w:unhideWhenUsed/>
    <w:rsid w:val="00E7499F"/>
    <w:rPr>
      <w:color w:val="0563C1" w:themeColor="hyperlink"/>
      <w:u w:val="single"/>
    </w:rPr>
  </w:style>
  <w:style w:type="character" w:customStyle="1" w:styleId="UnresolvedMention">
    <w:name w:val="Unresolved Mention"/>
    <w:basedOn w:val="DefaultParagraphFont"/>
    <w:uiPriority w:val="99"/>
    <w:semiHidden/>
    <w:unhideWhenUsed/>
    <w:rsid w:val="00E7499F"/>
    <w:rPr>
      <w:color w:val="808080"/>
      <w:shd w:val="clear" w:color="auto" w:fill="E6E6E6"/>
    </w:rPr>
  </w:style>
  <w:style w:type="paragraph" w:styleId="NoSpacing">
    <w:name w:val="No Spacing"/>
    <w:uiPriority w:val="1"/>
    <w:qFormat/>
    <w:rsid w:val="00FA338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arning-theories.com/activity-theory.html" TargetMode="External"/><Relationship Id="rId13" Type="http://schemas.openxmlformats.org/officeDocument/2006/relationships/hyperlink" Target="http://www.legislation.gov.uk/anaw/2014/4/pdfs/anaw_20140004_en.pdf" TargetMode="External"/><Relationship Id="rId3" Type="http://schemas.openxmlformats.org/officeDocument/2006/relationships/settings" Target="settings.xml"/><Relationship Id="rId7" Type="http://schemas.openxmlformats.org/officeDocument/2006/relationships/hyperlink" Target="https://health.howstuffworks.com/wellness/aging/elder-care/disengagement-theory.htm" TargetMode="External"/><Relationship Id="rId12" Type="http://schemas.openxmlformats.org/officeDocument/2006/relationships/hyperlink" Target="http://www.gov.scot/Topics/Statistics/Browse/Health/Data/Carers" TargetMode="External"/><Relationship Id="rId17" Type="http://schemas.openxmlformats.org/officeDocument/2006/relationships/theme" Target="theme/theme1.xml"/><Relationship Id="rId2" Type="http://schemas.microsoft.com/office/2007/relationships/stylesWithEffects" Target="stylesWithEffect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family.jrank.org/pages/202/Caregiving.html"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www.in-control.org.uk/media/16750/20.%20history%20of%20the%20social%20care%20system%202011%20v1.pdf" TargetMode="External"/><Relationship Id="rId4" Type="http://schemas.openxmlformats.org/officeDocument/2006/relationships/webSettings" Target="webSettings.xml"/><Relationship Id="rId9" Type="http://schemas.openxmlformats.org/officeDocument/2006/relationships/hyperlink" Target="http://www.wisegeek.com/what-is-an-activity-theory.htm" TargetMode="External"/><Relationship Id="rId14" Type="http://schemas.openxmlformats.org/officeDocument/2006/relationships/hyperlink" Target="https://www.kingsfund.org.uk/sites/default/files/briefing-regulation-health-care-provision-england-jo-maybin-tony-harrison-kings-fund-october-200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2805</Words>
  <Characters>15994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stacyburgess99@outlook.com</dc:creator>
  <cp:lastModifiedBy>Llety Cynin 2</cp:lastModifiedBy>
  <cp:revision>2</cp:revision>
  <dcterms:created xsi:type="dcterms:W3CDTF">2018-01-11T09:44:00Z</dcterms:created>
  <dcterms:modified xsi:type="dcterms:W3CDTF">2018-01-11T09:44:00Z</dcterms:modified>
</cp:coreProperties>
</file>