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3C" w:rsidRPr="002D453C" w:rsidRDefault="002D453C" w:rsidP="002D453C">
      <w:pPr>
        <w:rPr>
          <w:b/>
          <w:bCs/>
        </w:rPr>
      </w:pPr>
      <w:proofErr w:type="spellStart"/>
      <w:r w:rsidRPr="002D453C">
        <w:rPr>
          <w:i/>
        </w:rPr>
        <w:t>Zhuangzi</w:t>
      </w:r>
      <w:proofErr w:type="spellEnd"/>
      <w:r>
        <w:t xml:space="preserve">   </w:t>
      </w:r>
      <w:r w:rsidRPr="002D453C">
        <w:rPr>
          <w:b/>
          <w:bCs/>
        </w:rPr>
        <w:t>莊子</w:t>
      </w:r>
      <w:proofErr w:type="gramStart"/>
      <w:r>
        <w:rPr>
          <w:b/>
          <w:bCs/>
        </w:rPr>
        <w:t>,  Chapter</w:t>
      </w:r>
      <w:proofErr w:type="gramEnd"/>
      <w:r>
        <w:rPr>
          <w:b/>
          <w:bCs/>
        </w:rPr>
        <w:t xml:space="preserve"> ‘</w:t>
      </w:r>
      <w:proofErr w:type="spellStart"/>
      <w:r>
        <w:rPr>
          <w:b/>
          <w:bCs/>
        </w:rPr>
        <w:t>Tiandao</w:t>
      </w:r>
      <w:proofErr w:type="spellEnd"/>
      <w:r>
        <w:rPr>
          <w:b/>
          <w:bCs/>
        </w:rPr>
        <w:t xml:space="preserve">’ </w:t>
      </w:r>
      <w:r w:rsidRPr="002D453C">
        <w:rPr>
          <w:b/>
          <w:bCs/>
        </w:rPr>
        <w:t>天道</w:t>
      </w:r>
    </w:p>
    <w:p w:rsidR="00B258AD" w:rsidRDefault="00B258AD"/>
    <w:p w:rsidR="002D453C" w:rsidRDefault="002D453C" w:rsidP="002D453C">
      <w:pPr>
        <w:spacing w:line="360" w:lineRule="auto"/>
        <w:rPr>
          <w:rFonts w:eastAsia="FZKai-Z03"/>
          <w:sz w:val="28"/>
          <w:szCs w:val="28"/>
        </w:rPr>
      </w:pPr>
      <w:r w:rsidRPr="002D453C">
        <w:rPr>
          <w:rFonts w:ascii="FZKai-Z03" w:eastAsia="FZKai-Z03" w:hint="eastAsia"/>
          <w:sz w:val="28"/>
          <w:szCs w:val="28"/>
        </w:rPr>
        <w:t>桓公讀書於堂上，輪扁斲輪於堂下，釋椎鑿而上，問桓公曰：「敢問公之所讀者何言邪？」公曰：「聖人之言也。」曰：「聖人在乎？」公曰：「已死矣。」曰： 「然則君之所讀者，古人之糟魄已夫！」桓公曰：「寡人讀書，輪人安得議乎！有說則可，無說則死。」輪扁曰：「臣也，以臣之事觀之。斲輪，徐則甘而不固，疾 則苦而不入。不徐不疾，得之於手而應於心，口不能言，有數存焉於其間。臣不能以喻臣之子，臣之子亦不能受之於臣，是以行年七十而老斲輪。古之人與其不可傳 也死矣，然則君之所讀者，古人之糟魄已夫。」</w:t>
      </w:r>
    </w:p>
    <w:p w:rsidR="002D453C" w:rsidRPr="002D453C" w:rsidRDefault="002D453C" w:rsidP="002D453C">
      <w:pPr>
        <w:spacing w:line="360" w:lineRule="auto"/>
        <w:rPr>
          <w:rFonts w:eastAsia="FZKai-Z03"/>
          <w:sz w:val="28"/>
          <w:szCs w:val="28"/>
        </w:rPr>
      </w:pPr>
    </w:p>
    <w:sectPr w:rsidR="002D453C" w:rsidRPr="002D453C" w:rsidSect="00B25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ZKai-Z03">
    <w:panose1 w:val="02010601030101010101"/>
    <w:charset w:val="86"/>
    <w:family w:val="auto"/>
    <w:pitch w:val="variable"/>
    <w:sig w:usb0="800002BF" w:usb1="3BCF7CF8" w:usb2="00000016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2D453C"/>
    <w:rsid w:val="002D453C"/>
    <w:rsid w:val="00634FBB"/>
    <w:rsid w:val="00B2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8A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45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2D45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2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2013-11-14T20:52:00Z</dcterms:created>
  <dcterms:modified xsi:type="dcterms:W3CDTF">2013-11-14T21:00:00Z</dcterms:modified>
</cp:coreProperties>
</file>