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270D9" w14:textId="77777777" w:rsidR="00921C3C" w:rsidRDefault="00921C3C" w:rsidP="00921C3C">
      <w:pPr>
        <w:jc w:val="center"/>
        <w:rPr>
          <w:rFonts w:ascii="Arial" w:hAnsi="Arial" w:cs="Arial"/>
          <w:b/>
          <w:bCs/>
          <w:i/>
          <w:iCs/>
          <w:color w:val="0D0D0D" w:themeColor="text1" w:themeTint="F2"/>
          <w:sz w:val="22"/>
          <w:szCs w:val="22"/>
        </w:rPr>
      </w:pPr>
    </w:p>
    <w:p w14:paraId="5A8BAE45" w14:textId="77777777" w:rsidR="00921C3C" w:rsidRDefault="00921C3C" w:rsidP="00921C3C">
      <w:pPr>
        <w:jc w:val="center"/>
        <w:rPr>
          <w:rFonts w:ascii="Arial" w:hAnsi="Arial" w:cs="Arial"/>
          <w:b/>
          <w:bCs/>
          <w:i/>
          <w:iCs/>
          <w:color w:val="0D0D0D" w:themeColor="text1" w:themeTint="F2"/>
          <w:sz w:val="22"/>
          <w:szCs w:val="22"/>
        </w:rPr>
      </w:pPr>
    </w:p>
    <w:p w14:paraId="6C6AA920" w14:textId="77777777" w:rsidR="00921C3C" w:rsidRDefault="00921C3C" w:rsidP="00921C3C">
      <w:pPr>
        <w:jc w:val="center"/>
        <w:rPr>
          <w:rFonts w:ascii="Arial" w:hAnsi="Arial" w:cs="Arial"/>
          <w:b/>
          <w:bCs/>
          <w:i/>
          <w:iCs/>
          <w:color w:val="0D0D0D" w:themeColor="text1" w:themeTint="F2"/>
          <w:sz w:val="22"/>
          <w:szCs w:val="22"/>
        </w:rPr>
      </w:pPr>
    </w:p>
    <w:p w14:paraId="062CF619" w14:textId="77777777" w:rsidR="00921C3C" w:rsidRDefault="00921C3C" w:rsidP="00921C3C">
      <w:pPr>
        <w:jc w:val="center"/>
        <w:rPr>
          <w:rFonts w:ascii="Arial" w:hAnsi="Arial" w:cs="Arial"/>
          <w:b/>
          <w:bCs/>
          <w:i/>
          <w:iCs/>
          <w:color w:val="0D0D0D" w:themeColor="text1" w:themeTint="F2"/>
          <w:sz w:val="22"/>
          <w:szCs w:val="22"/>
        </w:rPr>
      </w:pPr>
    </w:p>
    <w:p w14:paraId="78BE8F6A" w14:textId="77777777" w:rsidR="00921C3C" w:rsidRDefault="00921C3C" w:rsidP="00921C3C">
      <w:pPr>
        <w:jc w:val="center"/>
        <w:rPr>
          <w:rFonts w:ascii="Arial" w:hAnsi="Arial" w:cs="Arial"/>
          <w:b/>
          <w:bCs/>
          <w:i/>
          <w:iCs/>
          <w:color w:val="0D0D0D" w:themeColor="text1" w:themeTint="F2"/>
          <w:sz w:val="22"/>
          <w:szCs w:val="22"/>
        </w:rPr>
      </w:pPr>
    </w:p>
    <w:p w14:paraId="6DC50908" w14:textId="77777777" w:rsidR="00921C3C" w:rsidRDefault="00921C3C" w:rsidP="00921C3C">
      <w:pPr>
        <w:jc w:val="center"/>
        <w:rPr>
          <w:rFonts w:ascii="Arial" w:hAnsi="Arial" w:cs="Arial"/>
          <w:b/>
          <w:bCs/>
          <w:i/>
          <w:iCs/>
          <w:color w:val="0D0D0D" w:themeColor="text1" w:themeTint="F2"/>
          <w:sz w:val="22"/>
          <w:szCs w:val="22"/>
        </w:rPr>
      </w:pPr>
    </w:p>
    <w:p w14:paraId="6430F506" w14:textId="77777777" w:rsidR="00921C3C" w:rsidRDefault="00921C3C" w:rsidP="00921C3C">
      <w:pPr>
        <w:jc w:val="center"/>
        <w:rPr>
          <w:rFonts w:ascii="Arial" w:hAnsi="Arial" w:cs="Arial"/>
          <w:b/>
          <w:bCs/>
          <w:i/>
          <w:iCs/>
          <w:color w:val="0D0D0D" w:themeColor="text1" w:themeTint="F2"/>
          <w:sz w:val="22"/>
          <w:szCs w:val="22"/>
        </w:rPr>
      </w:pPr>
    </w:p>
    <w:p w14:paraId="18081E83" w14:textId="77777777" w:rsidR="00921C3C" w:rsidRDefault="00921C3C" w:rsidP="00921C3C">
      <w:pPr>
        <w:jc w:val="center"/>
        <w:rPr>
          <w:rFonts w:ascii="Arial" w:hAnsi="Arial" w:cs="Arial"/>
          <w:b/>
          <w:bCs/>
          <w:i/>
          <w:iCs/>
          <w:color w:val="0D0D0D" w:themeColor="text1" w:themeTint="F2"/>
          <w:sz w:val="22"/>
          <w:szCs w:val="22"/>
        </w:rPr>
      </w:pPr>
    </w:p>
    <w:p w14:paraId="01B823EE" w14:textId="77777777" w:rsidR="00921C3C" w:rsidRDefault="00921C3C" w:rsidP="00921C3C">
      <w:pPr>
        <w:jc w:val="center"/>
        <w:rPr>
          <w:rFonts w:ascii="Arial" w:hAnsi="Arial" w:cs="Arial"/>
          <w:b/>
          <w:bCs/>
          <w:i/>
          <w:iCs/>
          <w:color w:val="0D0D0D" w:themeColor="text1" w:themeTint="F2"/>
          <w:sz w:val="22"/>
          <w:szCs w:val="22"/>
        </w:rPr>
      </w:pPr>
    </w:p>
    <w:p w14:paraId="0F8B48EE" w14:textId="77777777" w:rsidR="00921C3C" w:rsidRDefault="00921C3C" w:rsidP="00921C3C">
      <w:pPr>
        <w:jc w:val="center"/>
        <w:rPr>
          <w:rFonts w:ascii="Arial" w:hAnsi="Arial" w:cs="Arial"/>
          <w:b/>
          <w:bCs/>
          <w:i/>
          <w:iCs/>
          <w:color w:val="0D0D0D" w:themeColor="text1" w:themeTint="F2"/>
          <w:sz w:val="22"/>
          <w:szCs w:val="22"/>
        </w:rPr>
      </w:pPr>
    </w:p>
    <w:p w14:paraId="4507857C" w14:textId="104704AE" w:rsidR="00921C3C" w:rsidRPr="00921C3C" w:rsidRDefault="00921C3C" w:rsidP="00921C3C">
      <w:pPr>
        <w:jc w:val="center"/>
        <w:rPr>
          <w:rFonts w:ascii="Arial" w:hAnsi="Arial" w:cs="Arial"/>
          <w:b/>
          <w:bCs/>
          <w:i/>
          <w:iCs/>
          <w:color w:val="0D0D0D" w:themeColor="text1" w:themeTint="F2"/>
          <w:sz w:val="22"/>
          <w:szCs w:val="22"/>
        </w:rPr>
      </w:pPr>
      <w:r w:rsidRPr="00921C3C">
        <w:rPr>
          <w:rFonts w:ascii="Arial" w:hAnsi="Arial" w:cs="Arial"/>
          <w:b/>
          <w:bCs/>
          <w:i/>
          <w:iCs/>
          <w:color w:val="0D0D0D" w:themeColor="text1" w:themeTint="F2"/>
          <w:sz w:val="22"/>
          <w:szCs w:val="22"/>
        </w:rPr>
        <w:t>Application of Psychological Theories in Supporting Older Adults with Dementia in Health and Social Care Settings</w:t>
      </w:r>
    </w:p>
    <w:p w14:paraId="41867743" w14:textId="7D31F743" w:rsidR="00A53BC5" w:rsidRPr="00921C3C" w:rsidRDefault="00A53BC5" w:rsidP="009D7876">
      <w:pPr>
        <w:rPr>
          <w:rFonts w:ascii="Arial" w:hAnsi="Arial" w:cs="Arial"/>
          <w:b/>
          <w:bCs/>
          <w:i/>
          <w:iCs/>
          <w:color w:val="0D0D0D" w:themeColor="text1" w:themeTint="F2"/>
          <w:sz w:val="22"/>
          <w:szCs w:val="22"/>
        </w:rPr>
      </w:pPr>
      <w:r w:rsidRPr="00921C3C">
        <w:rPr>
          <w:rFonts w:ascii="Arial" w:hAnsi="Arial" w:cs="Arial"/>
          <w:b/>
          <w:bCs/>
          <w:i/>
          <w:iCs/>
          <w:color w:val="0D0D0D" w:themeColor="text1" w:themeTint="F2"/>
          <w:sz w:val="22"/>
          <w:szCs w:val="22"/>
        </w:rPr>
        <w:br w:type="page"/>
      </w:r>
    </w:p>
    <w:sdt>
      <w:sdtPr>
        <w:rPr>
          <w:rFonts w:ascii="Arial" w:eastAsiaTheme="minorHAnsi" w:hAnsi="Arial" w:cs="Arial"/>
          <w:color w:val="0D0D0D" w:themeColor="text1" w:themeTint="F2"/>
          <w:kern w:val="2"/>
          <w:sz w:val="22"/>
          <w:szCs w:val="22"/>
          <w14:ligatures w14:val="standardContextual"/>
        </w:rPr>
        <w:id w:val="989753630"/>
        <w:docPartObj>
          <w:docPartGallery w:val="Table of Contents"/>
          <w:docPartUnique/>
        </w:docPartObj>
      </w:sdtPr>
      <w:sdtEndPr>
        <w:rPr>
          <w:b/>
          <w:bCs/>
          <w:noProof/>
        </w:rPr>
      </w:sdtEndPr>
      <w:sdtContent>
        <w:p w14:paraId="18BC5208" w14:textId="463C9725" w:rsidR="00A53BC5" w:rsidRPr="00921C3C" w:rsidRDefault="00A53BC5" w:rsidP="00921C3C">
          <w:pPr>
            <w:pStyle w:val="TOCHeading"/>
            <w:spacing w:line="360" w:lineRule="auto"/>
            <w:jc w:val="center"/>
            <w:rPr>
              <w:rFonts w:ascii="Arial" w:hAnsi="Arial" w:cs="Arial"/>
              <w:color w:val="0D0D0D" w:themeColor="text1" w:themeTint="F2"/>
              <w:sz w:val="22"/>
              <w:szCs w:val="22"/>
            </w:rPr>
          </w:pPr>
          <w:r w:rsidRPr="00921C3C">
            <w:rPr>
              <w:rFonts w:ascii="Arial" w:hAnsi="Arial" w:cs="Arial"/>
              <w:color w:val="0D0D0D" w:themeColor="text1" w:themeTint="F2"/>
              <w:sz w:val="22"/>
              <w:szCs w:val="22"/>
            </w:rPr>
            <w:t>Table of Contents</w:t>
          </w:r>
        </w:p>
        <w:p w14:paraId="044C2AAD" w14:textId="5D3D7742" w:rsidR="00921C3C" w:rsidRPr="00921C3C" w:rsidRDefault="00A53BC5" w:rsidP="00921C3C">
          <w:pPr>
            <w:pStyle w:val="TOC1"/>
            <w:tabs>
              <w:tab w:val="right" w:leader="dot" w:pos="9350"/>
            </w:tabs>
            <w:spacing w:line="360" w:lineRule="auto"/>
            <w:jc w:val="both"/>
            <w:rPr>
              <w:rFonts w:ascii="Arial" w:eastAsiaTheme="minorEastAsia" w:hAnsi="Arial" w:cs="Arial"/>
              <w:noProof/>
              <w:color w:val="0D0D0D" w:themeColor="text1" w:themeTint="F2"/>
              <w:sz w:val="22"/>
              <w:szCs w:val="22"/>
            </w:rPr>
          </w:pPr>
          <w:r w:rsidRPr="00921C3C">
            <w:rPr>
              <w:rFonts w:ascii="Arial" w:hAnsi="Arial" w:cs="Arial"/>
              <w:color w:val="0D0D0D" w:themeColor="text1" w:themeTint="F2"/>
              <w:sz w:val="22"/>
              <w:szCs w:val="22"/>
            </w:rPr>
            <w:fldChar w:fldCharType="begin"/>
          </w:r>
          <w:r w:rsidRPr="00921C3C">
            <w:rPr>
              <w:rFonts w:ascii="Arial" w:hAnsi="Arial" w:cs="Arial"/>
              <w:color w:val="0D0D0D" w:themeColor="text1" w:themeTint="F2"/>
              <w:sz w:val="22"/>
              <w:szCs w:val="22"/>
            </w:rPr>
            <w:instrText xml:space="preserve"> TOC \o "1-3" \h \z \u </w:instrText>
          </w:r>
          <w:r w:rsidRPr="00921C3C">
            <w:rPr>
              <w:rFonts w:ascii="Arial" w:hAnsi="Arial" w:cs="Arial"/>
              <w:color w:val="0D0D0D" w:themeColor="text1" w:themeTint="F2"/>
              <w:sz w:val="22"/>
              <w:szCs w:val="22"/>
            </w:rPr>
            <w:fldChar w:fldCharType="separate"/>
          </w:r>
          <w:hyperlink w:anchor="_Toc214378887" w:history="1">
            <w:r w:rsidR="00921C3C" w:rsidRPr="00921C3C">
              <w:rPr>
                <w:rStyle w:val="Hyperlink"/>
                <w:rFonts w:ascii="Arial" w:hAnsi="Arial" w:cs="Arial"/>
                <w:b/>
                <w:bCs/>
                <w:noProof/>
                <w:color w:val="0D0D0D" w:themeColor="text1" w:themeTint="F2"/>
                <w:sz w:val="22"/>
                <w:szCs w:val="22"/>
              </w:rPr>
              <w:t>1. Introduction</w:t>
            </w:r>
            <w:r w:rsidR="00921C3C" w:rsidRPr="00921C3C">
              <w:rPr>
                <w:rFonts w:ascii="Arial" w:hAnsi="Arial" w:cs="Arial"/>
                <w:noProof/>
                <w:webHidden/>
                <w:color w:val="0D0D0D" w:themeColor="text1" w:themeTint="F2"/>
                <w:sz w:val="22"/>
                <w:szCs w:val="22"/>
              </w:rPr>
              <w:tab/>
            </w:r>
            <w:r w:rsidR="00921C3C" w:rsidRPr="00921C3C">
              <w:rPr>
                <w:rFonts w:ascii="Arial" w:hAnsi="Arial" w:cs="Arial"/>
                <w:noProof/>
                <w:webHidden/>
                <w:color w:val="0D0D0D" w:themeColor="text1" w:themeTint="F2"/>
                <w:sz w:val="22"/>
                <w:szCs w:val="22"/>
              </w:rPr>
              <w:fldChar w:fldCharType="begin"/>
            </w:r>
            <w:r w:rsidR="00921C3C" w:rsidRPr="00921C3C">
              <w:rPr>
                <w:rFonts w:ascii="Arial" w:hAnsi="Arial" w:cs="Arial"/>
                <w:noProof/>
                <w:webHidden/>
                <w:color w:val="0D0D0D" w:themeColor="text1" w:themeTint="F2"/>
                <w:sz w:val="22"/>
                <w:szCs w:val="22"/>
              </w:rPr>
              <w:instrText xml:space="preserve"> PAGEREF _Toc214378887 \h </w:instrText>
            </w:r>
            <w:r w:rsidR="00921C3C" w:rsidRPr="00921C3C">
              <w:rPr>
                <w:rFonts w:ascii="Arial" w:hAnsi="Arial" w:cs="Arial"/>
                <w:noProof/>
                <w:webHidden/>
                <w:color w:val="0D0D0D" w:themeColor="text1" w:themeTint="F2"/>
                <w:sz w:val="22"/>
                <w:szCs w:val="22"/>
              </w:rPr>
            </w:r>
            <w:r w:rsidR="00921C3C" w:rsidRPr="00921C3C">
              <w:rPr>
                <w:rFonts w:ascii="Arial" w:hAnsi="Arial" w:cs="Arial"/>
                <w:noProof/>
                <w:webHidden/>
                <w:color w:val="0D0D0D" w:themeColor="text1" w:themeTint="F2"/>
                <w:sz w:val="22"/>
                <w:szCs w:val="22"/>
              </w:rPr>
              <w:fldChar w:fldCharType="separate"/>
            </w:r>
            <w:r w:rsidR="00921C3C" w:rsidRPr="00921C3C">
              <w:rPr>
                <w:rFonts w:ascii="Arial" w:hAnsi="Arial" w:cs="Arial"/>
                <w:noProof/>
                <w:webHidden/>
                <w:color w:val="0D0D0D" w:themeColor="text1" w:themeTint="F2"/>
                <w:sz w:val="22"/>
                <w:szCs w:val="22"/>
              </w:rPr>
              <w:t>3</w:t>
            </w:r>
            <w:r w:rsidR="00921C3C" w:rsidRPr="00921C3C">
              <w:rPr>
                <w:rFonts w:ascii="Arial" w:hAnsi="Arial" w:cs="Arial"/>
                <w:noProof/>
                <w:webHidden/>
                <w:color w:val="0D0D0D" w:themeColor="text1" w:themeTint="F2"/>
                <w:sz w:val="22"/>
                <w:szCs w:val="22"/>
              </w:rPr>
              <w:fldChar w:fldCharType="end"/>
            </w:r>
          </w:hyperlink>
        </w:p>
        <w:p w14:paraId="790DEFCF" w14:textId="3609A884" w:rsidR="00921C3C" w:rsidRPr="00921C3C" w:rsidRDefault="00921C3C" w:rsidP="00921C3C">
          <w:pPr>
            <w:pStyle w:val="TOC1"/>
            <w:tabs>
              <w:tab w:val="right" w:leader="dot" w:pos="9350"/>
            </w:tabs>
            <w:spacing w:line="360" w:lineRule="auto"/>
            <w:jc w:val="both"/>
            <w:rPr>
              <w:rFonts w:ascii="Arial" w:eastAsiaTheme="minorEastAsia" w:hAnsi="Arial" w:cs="Arial"/>
              <w:noProof/>
              <w:color w:val="0D0D0D" w:themeColor="text1" w:themeTint="F2"/>
              <w:sz w:val="22"/>
              <w:szCs w:val="22"/>
            </w:rPr>
          </w:pPr>
          <w:hyperlink w:anchor="_Toc214378888" w:history="1">
            <w:r w:rsidRPr="00921C3C">
              <w:rPr>
                <w:rStyle w:val="Hyperlink"/>
                <w:rFonts w:ascii="Arial" w:hAnsi="Arial" w:cs="Arial"/>
                <w:b/>
                <w:bCs/>
                <w:noProof/>
                <w:color w:val="0D0D0D" w:themeColor="text1" w:themeTint="F2"/>
                <w:sz w:val="22"/>
                <w:szCs w:val="22"/>
              </w:rPr>
              <w:t>2. Overview of Theory 1 – Erikson’s Psychosocial Development Theory</w:t>
            </w:r>
            <w:r w:rsidRPr="00921C3C">
              <w:rPr>
                <w:rFonts w:ascii="Arial" w:hAnsi="Arial" w:cs="Arial"/>
                <w:noProof/>
                <w:webHidden/>
                <w:color w:val="0D0D0D" w:themeColor="text1" w:themeTint="F2"/>
                <w:sz w:val="22"/>
                <w:szCs w:val="22"/>
              </w:rPr>
              <w:tab/>
            </w:r>
            <w:r w:rsidRPr="00921C3C">
              <w:rPr>
                <w:rFonts w:ascii="Arial" w:hAnsi="Arial" w:cs="Arial"/>
                <w:noProof/>
                <w:webHidden/>
                <w:color w:val="0D0D0D" w:themeColor="text1" w:themeTint="F2"/>
                <w:sz w:val="22"/>
                <w:szCs w:val="22"/>
              </w:rPr>
              <w:fldChar w:fldCharType="begin"/>
            </w:r>
            <w:r w:rsidRPr="00921C3C">
              <w:rPr>
                <w:rFonts w:ascii="Arial" w:hAnsi="Arial" w:cs="Arial"/>
                <w:noProof/>
                <w:webHidden/>
                <w:color w:val="0D0D0D" w:themeColor="text1" w:themeTint="F2"/>
                <w:sz w:val="22"/>
                <w:szCs w:val="22"/>
              </w:rPr>
              <w:instrText xml:space="preserve"> PAGEREF _Toc214378888 \h </w:instrText>
            </w:r>
            <w:r w:rsidRPr="00921C3C">
              <w:rPr>
                <w:rFonts w:ascii="Arial" w:hAnsi="Arial" w:cs="Arial"/>
                <w:noProof/>
                <w:webHidden/>
                <w:color w:val="0D0D0D" w:themeColor="text1" w:themeTint="F2"/>
                <w:sz w:val="22"/>
                <w:szCs w:val="22"/>
              </w:rPr>
            </w:r>
            <w:r w:rsidRPr="00921C3C">
              <w:rPr>
                <w:rFonts w:ascii="Arial" w:hAnsi="Arial" w:cs="Arial"/>
                <w:noProof/>
                <w:webHidden/>
                <w:color w:val="0D0D0D" w:themeColor="text1" w:themeTint="F2"/>
                <w:sz w:val="22"/>
                <w:szCs w:val="22"/>
              </w:rPr>
              <w:fldChar w:fldCharType="separate"/>
            </w:r>
            <w:r w:rsidRPr="00921C3C">
              <w:rPr>
                <w:rFonts w:ascii="Arial" w:hAnsi="Arial" w:cs="Arial"/>
                <w:noProof/>
                <w:webHidden/>
                <w:color w:val="0D0D0D" w:themeColor="text1" w:themeTint="F2"/>
                <w:sz w:val="22"/>
                <w:szCs w:val="22"/>
              </w:rPr>
              <w:t>3</w:t>
            </w:r>
            <w:r w:rsidRPr="00921C3C">
              <w:rPr>
                <w:rFonts w:ascii="Arial" w:hAnsi="Arial" w:cs="Arial"/>
                <w:noProof/>
                <w:webHidden/>
                <w:color w:val="0D0D0D" w:themeColor="text1" w:themeTint="F2"/>
                <w:sz w:val="22"/>
                <w:szCs w:val="22"/>
              </w:rPr>
              <w:fldChar w:fldCharType="end"/>
            </w:r>
          </w:hyperlink>
        </w:p>
        <w:p w14:paraId="26B5C48C" w14:textId="31FC1FC7" w:rsidR="00921C3C" w:rsidRPr="00921C3C" w:rsidRDefault="00921C3C" w:rsidP="00921C3C">
          <w:pPr>
            <w:pStyle w:val="TOC1"/>
            <w:tabs>
              <w:tab w:val="right" w:leader="dot" w:pos="9350"/>
            </w:tabs>
            <w:spacing w:line="360" w:lineRule="auto"/>
            <w:jc w:val="both"/>
            <w:rPr>
              <w:rFonts w:ascii="Arial" w:eastAsiaTheme="minorEastAsia" w:hAnsi="Arial" w:cs="Arial"/>
              <w:noProof/>
              <w:color w:val="0D0D0D" w:themeColor="text1" w:themeTint="F2"/>
              <w:sz w:val="22"/>
              <w:szCs w:val="22"/>
            </w:rPr>
          </w:pPr>
          <w:hyperlink w:anchor="_Toc214378889" w:history="1">
            <w:r w:rsidRPr="00921C3C">
              <w:rPr>
                <w:rStyle w:val="Hyperlink"/>
                <w:rFonts w:ascii="Arial" w:hAnsi="Arial" w:cs="Arial"/>
                <w:b/>
                <w:bCs/>
                <w:noProof/>
                <w:color w:val="0D0D0D" w:themeColor="text1" w:themeTint="F2"/>
                <w:sz w:val="22"/>
                <w:szCs w:val="22"/>
              </w:rPr>
              <w:t>3. Overview of Theory 2 – Bandura’s Social Learning Theory</w:t>
            </w:r>
            <w:r w:rsidRPr="00921C3C">
              <w:rPr>
                <w:rFonts w:ascii="Arial" w:hAnsi="Arial" w:cs="Arial"/>
                <w:noProof/>
                <w:webHidden/>
                <w:color w:val="0D0D0D" w:themeColor="text1" w:themeTint="F2"/>
                <w:sz w:val="22"/>
                <w:szCs w:val="22"/>
              </w:rPr>
              <w:tab/>
            </w:r>
            <w:r w:rsidRPr="00921C3C">
              <w:rPr>
                <w:rFonts w:ascii="Arial" w:hAnsi="Arial" w:cs="Arial"/>
                <w:noProof/>
                <w:webHidden/>
                <w:color w:val="0D0D0D" w:themeColor="text1" w:themeTint="F2"/>
                <w:sz w:val="22"/>
                <w:szCs w:val="22"/>
              </w:rPr>
              <w:fldChar w:fldCharType="begin"/>
            </w:r>
            <w:r w:rsidRPr="00921C3C">
              <w:rPr>
                <w:rFonts w:ascii="Arial" w:hAnsi="Arial" w:cs="Arial"/>
                <w:noProof/>
                <w:webHidden/>
                <w:color w:val="0D0D0D" w:themeColor="text1" w:themeTint="F2"/>
                <w:sz w:val="22"/>
                <w:szCs w:val="22"/>
              </w:rPr>
              <w:instrText xml:space="preserve"> PAGEREF _Toc214378889 \h </w:instrText>
            </w:r>
            <w:r w:rsidRPr="00921C3C">
              <w:rPr>
                <w:rFonts w:ascii="Arial" w:hAnsi="Arial" w:cs="Arial"/>
                <w:noProof/>
                <w:webHidden/>
                <w:color w:val="0D0D0D" w:themeColor="text1" w:themeTint="F2"/>
                <w:sz w:val="22"/>
                <w:szCs w:val="22"/>
              </w:rPr>
            </w:r>
            <w:r w:rsidRPr="00921C3C">
              <w:rPr>
                <w:rFonts w:ascii="Arial" w:hAnsi="Arial" w:cs="Arial"/>
                <w:noProof/>
                <w:webHidden/>
                <w:color w:val="0D0D0D" w:themeColor="text1" w:themeTint="F2"/>
                <w:sz w:val="22"/>
                <w:szCs w:val="22"/>
              </w:rPr>
              <w:fldChar w:fldCharType="separate"/>
            </w:r>
            <w:r w:rsidRPr="00921C3C">
              <w:rPr>
                <w:rFonts w:ascii="Arial" w:hAnsi="Arial" w:cs="Arial"/>
                <w:noProof/>
                <w:webHidden/>
                <w:color w:val="0D0D0D" w:themeColor="text1" w:themeTint="F2"/>
                <w:sz w:val="22"/>
                <w:szCs w:val="22"/>
              </w:rPr>
              <w:t>4</w:t>
            </w:r>
            <w:r w:rsidRPr="00921C3C">
              <w:rPr>
                <w:rFonts w:ascii="Arial" w:hAnsi="Arial" w:cs="Arial"/>
                <w:noProof/>
                <w:webHidden/>
                <w:color w:val="0D0D0D" w:themeColor="text1" w:themeTint="F2"/>
                <w:sz w:val="22"/>
                <w:szCs w:val="22"/>
              </w:rPr>
              <w:fldChar w:fldCharType="end"/>
            </w:r>
          </w:hyperlink>
        </w:p>
        <w:p w14:paraId="2641FB83" w14:textId="4E570689" w:rsidR="00921C3C" w:rsidRPr="00921C3C" w:rsidRDefault="00921C3C" w:rsidP="00921C3C">
          <w:pPr>
            <w:pStyle w:val="TOC1"/>
            <w:tabs>
              <w:tab w:val="right" w:leader="dot" w:pos="9350"/>
            </w:tabs>
            <w:spacing w:line="360" w:lineRule="auto"/>
            <w:jc w:val="both"/>
            <w:rPr>
              <w:rFonts w:ascii="Arial" w:eastAsiaTheme="minorEastAsia" w:hAnsi="Arial" w:cs="Arial"/>
              <w:noProof/>
              <w:color w:val="0D0D0D" w:themeColor="text1" w:themeTint="F2"/>
              <w:sz w:val="22"/>
              <w:szCs w:val="22"/>
            </w:rPr>
          </w:pPr>
          <w:hyperlink w:anchor="_Toc214378890" w:history="1">
            <w:r w:rsidRPr="00921C3C">
              <w:rPr>
                <w:rStyle w:val="Hyperlink"/>
                <w:rFonts w:ascii="Arial" w:hAnsi="Arial" w:cs="Arial"/>
                <w:b/>
                <w:bCs/>
                <w:noProof/>
                <w:color w:val="0D0D0D" w:themeColor="text1" w:themeTint="F2"/>
                <w:sz w:val="22"/>
                <w:szCs w:val="22"/>
              </w:rPr>
              <w:t>4. Application in Health and Social Care Context</w:t>
            </w:r>
            <w:r w:rsidRPr="00921C3C">
              <w:rPr>
                <w:rFonts w:ascii="Arial" w:hAnsi="Arial" w:cs="Arial"/>
                <w:noProof/>
                <w:webHidden/>
                <w:color w:val="0D0D0D" w:themeColor="text1" w:themeTint="F2"/>
                <w:sz w:val="22"/>
                <w:szCs w:val="22"/>
              </w:rPr>
              <w:tab/>
            </w:r>
            <w:r w:rsidRPr="00921C3C">
              <w:rPr>
                <w:rFonts w:ascii="Arial" w:hAnsi="Arial" w:cs="Arial"/>
                <w:noProof/>
                <w:webHidden/>
                <w:color w:val="0D0D0D" w:themeColor="text1" w:themeTint="F2"/>
                <w:sz w:val="22"/>
                <w:szCs w:val="22"/>
              </w:rPr>
              <w:fldChar w:fldCharType="begin"/>
            </w:r>
            <w:r w:rsidRPr="00921C3C">
              <w:rPr>
                <w:rFonts w:ascii="Arial" w:hAnsi="Arial" w:cs="Arial"/>
                <w:noProof/>
                <w:webHidden/>
                <w:color w:val="0D0D0D" w:themeColor="text1" w:themeTint="F2"/>
                <w:sz w:val="22"/>
                <w:szCs w:val="22"/>
              </w:rPr>
              <w:instrText xml:space="preserve"> PAGEREF _Toc214378890 \h </w:instrText>
            </w:r>
            <w:r w:rsidRPr="00921C3C">
              <w:rPr>
                <w:rFonts w:ascii="Arial" w:hAnsi="Arial" w:cs="Arial"/>
                <w:noProof/>
                <w:webHidden/>
                <w:color w:val="0D0D0D" w:themeColor="text1" w:themeTint="F2"/>
                <w:sz w:val="22"/>
                <w:szCs w:val="22"/>
              </w:rPr>
            </w:r>
            <w:r w:rsidRPr="00921C3C">
              <w:rPr>
                <w:rFonts w:ascii="Arial" w:hAnsi="Arial" w:cs="Arial"/>
                <w:noProof/>
                <w:webHidden/>
                <w:color w:val="0D0D0D" w:themeColor="text1" w:themeTint="F2"/>
                <w:sz w:val="22"/>
                <w:szCs w:val="22"/>
              </w:rPr>
              <w:fldChar w:fldCharType="separate"/>
            </w:r>
            <w:r w:rsidRPr="00921C3C">
              <w:rPr>
                <w:rFonts w:ascii="Arial" w:hAnsi="Arial" w:cs="Arial"/>
                <w:noProof/>
                <w:webHidden/>
                <w:color w:val="0D0D0D" w:themeColor="text1" w:themeTint="F2"/>
                <w:sz w:val="22"/>
                <w:szCs w:val="22"/>
              </w:rPr>
              <w:t>5</w:t>
            </w:r>
            <w:r w:rsidRPr="00921C3C">
              <w:rPr>
                <w:rFonts w:ascii="Arial" w:hAnsi="Arial" w:cs="Arial"/>
                <w:noProof/>
                <w:webHidden/>
                <w:color w:val="0D0D0D" w:themeColor="text1" w:themeTint="F2"/>
                <w:sz w:val="22"/>
                <w:szCs w:val="22"/>
              </w:rPr>
              <w:fldChar w:fldCharType="end"/>
            </w:r>
          </w:hyperlink>
        </w:p>
        <w:p w14:paraId="4C5AA376" w14:textId="2920E62E" w:rsidR="00921C3C" w:rsidRPr="00921C3C" w:rsidRDefault="00921C3C" w:rsidP="00921C3C">
          <w:pPr>
            <w:pStyle w:val="TOC1"/>
            <w:tabs>
              <w:tab w:val="right" w:leader="dot" w:pos="9350"/>
            </w:tabs>
            <w:spacing w:line="360" w:lineRule="auto"/>
            <w:jc w:val="both"/>
            <w:rPr>
              <w:rFonts w:ascii="Arial" w:eastAsiaTheme="minorEastAsia" w:hAnsi="Arial" w:cs="Arial"/>
              <w:noProof/>
              <w:color w:val="0D0D0D" w:themeColor="text1" w:themeTint="F2"/>
              <w:sz w:val="22"/>
              <w:szCs w:val="22"/>
            </w:rPr>
          </w:pPr>
          <w:hyperlink w:anchor="_Toc214378891" w:history="1">
            <w:r w:rsidRPr="00921C3C">
              <w:rPr>
                <w:rStyle w:val="Hyperlink"/>
                <w:rFonts w:ascii="Arial" w:hAnsi="Arial" w:cs="Arial"/>
                <w:b/>
                <w:bCs/>
                <w:noProof/>
                <w:color w:val="0D0D0D" w:themeColor="text1" w:themeTint="F2"/>
                <w:sz w:val="22"/>
                <w:szCs w:val="22"/>
              </w:rPr>
              <w:t>5. Conclusion</w:t>
            </w:r>
            <w:r w:rsidRPr="00921C3C">
              <w:rPr>
                <w:rFonts w:ascii="Arial" w:hAnsi="Arial" w:cs="Arial"/>
                <w:noProof/>
                <w:webHidden/>
                <w:color w:val="0D0D0D" w:themeColor="text1" w:themeTint="F2"/>
                <w:sz w:val="22"/>
                <w:szCs w:val="22"/>
              </w:rPr>
              <w:tab/>
            </w:r>
            <w:r w:rsidRPr="00921C3C">
              <w:rPr>
                <w:rFonts w:ascii="Arial" w:hAnsi="Arial" w:cs="Arial"/>
                <w:noProof/>
                <w:webHidden/>
                <w:color w:val="0D0D0D" w:themeColor="text1" w:themeTint="F2"/>
                <w:sz w:val="22"/>
                <w:szCs w:val="22"/>
              </w:rPr>
              <w:fldChar w:fldCharType="begin"/>
            </w:r>
            <w:r w:rsidRPr="00921C3C">
              <w:rPr>
                <w:rFonts w:ascii="Arial" w:hAnsi="Arial" w:cs="Arial"/>
                <w:noProof/>
                <w:webHidden/>
                <w:color w:val="0D0D0D" w:themeColor="text1" w:themeTint="F2"/>
                <w:sz w:val="22"/>
                <w:szCs w:val="22"/>
              </w:rPr>
              <w:instrText xml:space="preserve"> PAGEREF _Toc214378891 \h </w:instrText>
            </w:r>
            <w:r w:rsidRPr="00921C3C">
              <w:rPr>
                <w:rFonts w:ascii="Arial" w:hAnsi="Arial" w:cs="Arial"/>
                <w:noProof/>
                <w:webHidden/>
                <w:color w:val="0D0D0D" w:themeColor="text1" w:themeTint="F2"/>
                <w:sz w:val="22"/>
                <w:szCs w:val="22"/>
              </w:rPr>
            </w:r>
            <w:r w:rsidRPr="00921C3C">
              <w:rPr>
                <w:rFonts w:ascii="Arial" w:hAnsi="Arial" w:cs="Arial"/>
                <w:noProof/>
                <w:webHidden/>
                <w:color w:val="0D0D0D" w:themeColor="text1" w:themeTint="F2"/>
                <w:sz w:val="22"/>
                <w:szCs w:val="22"/>
              </w:rPr>
              <w:fldChar w:fldCharType="separate"/>
            </w:r>
            <w:r w:rsidRPr="00921C3C">
              <w:rPr>
                <w:rFonts w:ascii="Arial" w:hAnsi="Arial" w:cs="Arial"/>
                <w:noProof/>
                <w:webHidden/>
                <w:color w:val="0D0D0D" w:themeColor="text1" w:themeTint="F2"/>
                <w:sz w:val="22"/>
                <w:szCs w:val="22"/>
              </w:rPr>
              <w:t>6</w:t>
            </w:r>
            <w:r w:rsidRPr="00921C3C">
              <w:rPr>
                <w:rFonts w:ascii="Arial" w:hAnsi="Arial" w:cs="Arial"/>
                <w:noProof/>
                <w:webHidden/>
                <w:color w:val="0D0D0D" w:themeColor="text1" w:themeTint="F2"/>
                <w:sz w:val="22"/>
                <w:szCs w:val="22"/>
              </w:rPr>
              <w:fldChar w:fldCharType="end"/>
            </w:r>
          </w:hyperlink>
        </w:p>
        <w:p w14:paraId="4C3DBBA9" w14:textId="08FA4A63" w:rsidR="00921C3C" w:rsidRPr="00921C3C" w:rsidRDefault="00921C3C" w:rsidP="00921C3C">
          <w:pPr>
            <w:pStyle w:val="TOC1"/>
            <w:tabs>
              <w:tab w:val="right" w:leader="dot" w:pos="9350"/>
            </w:tabs>
            <w:spacing w:line="360" w:lineRule="auto"/>
            <w:jc w:val="both"/>
            <w:rPr>
              <w:rFonts w:ascii="Arial" w:eastAsiaTheme="minorEastAsia" w:hAnsi="Arial" w:cs="Arial"/>
              <w:noProof/>
              <w:color w:val="0D0D0D" w:themeColor="text1" w:themeTint="F2"/>
              <w:sz w:val="22"/>
              <w:szCs w:val="22"/>
            </w:rPr>
          </w:pPr>
          <w:hyperlink w:anchor="_Toc214378892" w:history="1">
            <w:r w:rsidRPr="00921C3C">
              <w:rPr>
                <w:rStyle w:val="Hyperlink"/>
                <w:rFonts w:ascii="Arial" w:hAnsi="Arial" w:cs="Arial"/>
                <w:b/>
                <w:bCs/>
                <w:noProof/>
                <w:color w:val="0D0D0D" w:themeColor="text1" w:themeTint="F2"/>
                <w:sz w:val="22"/>
                <w:szCs w:val="22"/>
              </w:rPr>
              <w:t>References</w:t>
            </w:r>
            <w:r w:rsidRPr="00921C3C">
              <w:rPr>
                <w:rFonts w:ascii="Arial" w:hAnsi="Arial" w:cs="Arial"/>
                <w:noProof/>
                <w:webHidden/>
                <w:color w:val="0D0D0D" w:themeColor="text1" w:themeTint="F2"/>
                <w:sz w:val="22"/>
                <w:szCs w:val="22"/>
              </w:rPr>
              <w:tab/>
            </w:r>
            <w:r w:rsidRPr="00921C3C">
              <w:rPr>
                <w:rFonts w:ascii="Arial" w:hAnsi="Arial" w:cs="Arial"/>
                <w:noProof/>
                <w:webHidden/>
                <w:color w:val="0D0D0D" w:themeColor="text1" w:themeTint="F2"/>
                <w:sz w:val="22"/>
                <w:szCs w:val="22"/>
              </w:rPr>
              <w:fldChar w:fldCharType="begin"/>
            </w:r>
            <w:r w:rsidRPr="00921C3C">
              <w:rPr>
                <w:rFonts w:ascii="Arial" w:hAnsi="Arial" w:cs="Arial"/>
                <w:noProof/>
                <w:webHidden/>
                <w:color w:val="0D0D0D" w:themeColor="text1" w:themeTint="F2"/>
                <w:sz w:val="22"/>
                <w:szCs w:val="22"/>
              </w:rPr>
              <w:instrText xml:space="preserve"> PAGEREF _Toc214378892 \h </w:instrText>
            </w:r>
            <w:r w:rsidRPr="00921C3C">
              <w:rPr>
                <w:rFonts w:ascii="Arial" w:hAnsi="Arial" w:cs="Arial"/>
                <w:noProof/>
                <w:webHidden/>
                <w:color w:val="0D0D0D" w:themeColor="text1" w:themeTint="F2"/>
                <w:sz w:val="22"/>
                <w:szCs w:val="22"/>
              </w:rPr>
            </w:r>
            <w:r w:rsidRPr="00921C3C">
              <w:rPr>
                <w:rFonts w:ascii="Arial" w:hAnsi="Arial" w:cs="Arial"/>
                <w:noProof/>
                <w:webHidden/>
                <w:color w:val="0D0D0D" w:themeColor="text1" w:themeTint="F2"/>
                <w:sz w:val="22"/>
                <w:szCs w:val="22"/>
              </w:rPr>
              <w:fldChar w:fldCharType="separate"/>
            </w:r>
            <w:r w:rsidRPr="00921C3C">
              <w:rPr>
                <w:rFonts w:ascii="Arial" w:hAnsi="Arial" w:cs="Arial"/>
                <w:noProof/>
                <w:webHidden/>
                <w:color w:val="0D0D0D" w:themeColor="text1" w:themeTint="F2"/>
                <w:sz w:val="22"/>
                <w:szCs w:val="22"/>
              </w:rPr>
              <w:t>7</w:t>
            </w:r>
            <w:r w:rsidRPr="00921C3C">
              <w:rPr>
                <w:rFonts w:ascii="Arial" w:hAnsi="Arial" w:cs="Arial"/>
                <w:noProof/>
                <w:webHidden/>
                <w:color w:val="0D0D0D" w:themeColor="text1" w:themeTint="F2"/>
                <w:sz w:val="22"/>
                <w:szCs w:val="22"/>
              </w:rPr>
              <w:fldChar w:fldCharType="end"/>
            </w:r>
          </w:hyperlink>
        </w:p>
        <w:p w14:paraId="0BA3C597" w14:textId="77551B68" w:rsidR="00A53BC5" w:rsidRPr="00921C3C" w:rsidRDefault="00A53BC5" w:rsidP="00921C3C">
          <w:pPr>
            <w:spacing w:line="360" w:lineRule="auto"/>
            <w:jc w:val="both"/>
            <w:rPr>
              <w:rFonts w:ascii="Arial" w:hAnsi="Arial" w:cs="Arial"/>
              <w:color w:val="0D0D0D" w:themeColor="text1" w:themeTint="F2"/>
              <w:sz w:val="22"/>
              <w:szCs w:val="22"/>
            </w:rPr>
          </w:pPr>
          <w:r w:rsidRPr="00921C3C">
            <w:rPr>
              <w:rFonts w:ascii="Arial" w:hAnsi="Arial" w:cs="Arial"/>
              <w:b/>
              <w:bCs/>
              <w:noProof/>
              <w:color w:val="0D0D0D" w:themeColor="text1" w:themeTint="F2"/>
              <w:sz w:val="22"/>
              <w:szCs w:val="22"/>
            </w:rPr>
            <w:fldChar w:fldCharType="end"/>
          </w:r>
        </w:p>
      </w:sdtContent>
    </w:sdt>
    <w:p w14:paraId="137BEA42" w14:textId="71040025" w:rsidR="00A53BC5" w:rsidRPr="00A53BC5" w:rsidRDefault="00A53BC5" w:rsidP="00921C3C">
      <w:pPr>
        <w:spacing w:line="360" w:lineRule="auto"/>
        <w:jc w:val="both"/>
        <w:rPr>
          <w:rFonts w:ascii="Arial" w:hAnsi="Arial" w:cs="Arial"/>
          <w:color w:val="0D0D0D" w:themeColor="text1" w:themeTint="F2"/>
          <w:sz w:val="22"/>
          <w:szCs w:val="22"/>
        </w:rPr>
      </w:pPr>
      <w:r w:rsidRPr="00921C3C">
        <w:rPr>
          <w:rFonts w:ascii="Arial" w:hAnsi="Arial" w:cs="Arial"/>
          <w:color w:val="0D0D0D" w:themeColor="text1" w:themeTint="F2"/>
          <w:sz w:val="22"/>
          <w:szCs w:val="22"/>
        </w:rPr>
        <w:br w:type="page"/>
      </w:r>
    </w:p>
    <w:p w14:paraId="077F5C24" w14:textId="77777777" w:rsidR="00A53BC5" w:rsidRPr="00A53BC5" w:rsidRDefault="00A53BC5" w:rsidP="00A53BC5">
      <w:pPr>
        <w:pStyle w:val="Heading1"/>
        <w:spacing w:line="360" w:lineRule="auto"/>
        <w:jc w:val="both"/>
        <w:rPr>
          <w:rFonts w:ascii="Arial" w:hAnsi="Arial" w:cs="Arial"/>
          <w:b/>
          <w:bCs/>
          <w:color w:val="0D0D0D" w:themeColor="text1" w:themeTint="F2"/>
          <w:sz w:val="22"/>
          <w:szCs w:val="22"/>
        </w:rPr>
      </w:pPr>
      <w:bookmarkStart w:id="0" w:name="_Toc214378887"/>
      <w:r w:rsidRPr="00A53BC5">
        <w:rPr>
          <w:rFonts w:ascii="Arial" w:hAnsi="Arial" w:cs="Arial"/>
          <w:b/>
          <w:bCs/>
          <w:color w:val="0D0D0D" w:themeColor="text1" w:themeTint="F2"/>
          <w:sz w:val="22"/>
          <w:szCs w:val="22"/>
        </w:rPr>
        <w:lastRenderedPageBreak/>
        <w:t>1. Introduction</w:t>
      </w:r>
      <w:bookmarkEnd w:id="0"/>
    </w:p>
    <w:p w14:paraId="3BFE8EBF" w14:textId="675D2CB3" w:rsidR="00A53BC5" w:rsidRPr="00A53BC5" w:rsidRDefault="00A53BC5" w:rsidP="00A53BC5">
      <w:pPr>
        <w:spacing w:line="360" w:lineRule="auto"/>
        <w:jc w:val="both"/>
        <w:rPr>
          <w:rFonts w:ascii="Arial" w:hAnsi="Arial" w:cs="Arial"/>
          <w:color w:val="0D0D0D" w:themeColor="text1" w:themeTint="F2"/>
          <w:sz w:val="22"/>
          <w:szCs w:val="22"/>
        </w:rPr>
      </w:pPr>
      <w:r w:rsidRPr="00A53BC5">
        <w:rPr>
          <w:rFonts w:ascii="Arial" w:hAnsi="Arial" w:cs="Arial"/>
          <w:color w:val="0D0D0D" w:themeColor="text1" w:themeTint="F2"/>
          <w:sz w:val="22"/>
          <w:szCs w:val="22"/>
        </w:rPr>
        <w:tab/>
      </w:r>
      <w:r w:rsidR="001B6533" w:rsidRPr="001B6533">
        <w:rPr>
          <w:rFonts w:ascii="Arial" w:hAnsi="Arial" w:cs="Arial"/>
          <w:color w:val="0D0D0D" w:themeColor="text1" w:themeTint="F2"/>
          <w:sz w:val="22"/>
          <w:szCs w:val="22"/>
        </w:rPr>
        <w:t>This report discusses the way in which psychology theories can help and guide health and social care professionals in assisting older adults sixty-five years and above who are living with dementia in the residential care settings. It dwells on the two major theoretical approaches, Psychosocial Development Theory by Erikson and the Social Learning Theory by Bandura to discuss how the theories can be used to explain behaviour and improve the well-being in older people</w:t>
      </w:r>
      <w:r w:rsidR="001B6533">
        <w:rPr>
          <w:rFonts w:ascii="Arial" w:hAnsi="Arial" w:cs="Arial"/>
          <w:color w:val="0D0D0D" w:themeColor="text1" w:themeTint="F2"/>
          <w:sz w:val="22"/>
          <w:szCs w:val="22"/>
        </w:rPr>
        <w:t xml:space="preserve"> </w:t>
      </w:r>
      <w:r w:rsidR="001B6533" w:rsidRPr="001B6533">
        <w:rPr>
          <w:rFonts w:ascii="Arial" w:hAnsi="Arial" w:cs="Arial"/>
          <w:color w:val="0D0D0D" w:themeColor="text1" w:themeTint="F2"/>
          <w:sz w:val="22"/>
          <w:szCs w:val="22"/>
        </w:rPr>
        <w:t xml:space="preserve">(Herdiansyah </w:t>
      </w:r>
      <w:r w:rsidR="001B6533" w:rsidRPr="001B6533">
        <w:rPr>
          <w:rFonts w:ascii="Arial" w:hAnsi="Arial" w:cs="Arial"/>
          <w:i/>
          <w:iCs/>
          <w:color w:val="0D0D0D" w:themeColor="text1" w:themeTint="F2"/>
          <w:sz w:val="22"/>
          <w:szCs w:val="22"/>
        </w:rPr>
        <w:t>et al.</w:t>
      </w:r>
      <w:r w:rsidR="001B6533" w:rsidRPr="001B6533">
        <w:rPr>
          <w:rFonts w:ascii="Arial" w:hAnsi="Arial" w:cs="Arial"/>
          <w:color w:val="0D0D0D" w:themeColor="text1" w:themeTint="F2"/>
          <w:sz w:val="22"/>
          <w:szCs w:val="22"/>
        </w:rPr>
        <w:t>, 2024). The report shall also analyse how the theories have supported good practice in dementia care with reference to their practical significance and applicability in solving psychological and behavioural problems encountered by the aged persons in health and social care facilities</w:t>
      </w:r>
      <w:r w:rsidRPr="00A53BC5">
        <w:rPr>
          <w:rFonts w:ascii="Arial" w:hAnsi="Arial" w:cs="Arial"/>
          <w:color w:val="0D0D0D" w:themeColor="text1" w:themeTint="F2"/>
          <w:sz w:val="22"/>
          <w:szCs w:val="22"/>
        </w:rPr>
        <w:t>.</w:t>
      </w:r>
    </w:p>
    <w:p w14:paraId="61A37071" w14:textId="77777777" w:rsidR="00A53BC5" w:rsidRPr="00A53BC5" w:rsidRDefault="00A53BC5" w:rsidP="00A53BC5">
      <w:pPr>
        <w:pStyle w:val="Heading1"/>
        <w:spacing w:line="360" w:lineRule="auto"/>
        <w:jc w:val="both"/>
        <w:rPr>
          <w:rFonts w:ascii="Arial" w:hAnsi="Arial" w:cs="Arial"/>
          <w:b/>
          <w:bCs/>
          <w:color w:val="0D0D0D" w:themeColor="text1" w:themeTint="F2"/>
          <w:sz w:val="22"/>
          <w:szCs w:val="22"/>
        </w:rPr>
      </w:pPr>
      <w:bookmarkStart w:id="1" w:name="_Toc214378888"/>
      <w:r w:rsidRPr="00A53BC5">
        <w:rPr>
          <w:rFonts w:ascii="Arial" w:hAnsi="Arial" w:cs="Arial"/>
          <w:b/>
          <w:bCs/>
          <w:color w:val="0D0D0D" w:themeColor="text1" w:themeTint="F2"/>
          <w:sz w:val="22"/>
          <w:szCs w:val="22"/>
        </w:rPr>
        <w:t>2. Overview of Theory 1 – Erikson’s Psychosocial Development Theory</w:t>
      </w:r>
      <w:bookmarkEnd w:id="1"/>
    </w:p>
    <w:p w14:paraId="2AA033EF" w14:textId="617FBDD7" w:rsidR="001B6533" w:rsidRPr="001B6533" w:rsidRDefault="00A53BC5" w:rsidP="001B6533">
      <w:pPr>
        <w:spacing w:line="360" w:lineRule="auto"/>
        <w:jc w:val="both"/>
        <w:rPr>
          <w:rFonts w:ascii="Arial" w:hAnsi="Arial" w:cs="Arial"/>
          <w:color w:val="0D0D0D" w:themeColor="text1" w:themeTint="F2"/>
          <w:sz w:val="22"/>
          <w:szCs w:val="22"/>
        </w:rPr>
      </w:pPr>
      <w:r w:rsidRPr="00A53BC5">
        <w:rPr>
          <w:rFonts w:ascii="Arial" w:hAnsi="Arial" w:cs="Arial"/>
          <w:color w:val="0D0D0D" w:themeColor="text1" w:themeTint="F2"/>
          <w:sz w:val="22"/>
          <w:szCs w:val="22"/>
        </w:rPr>
        <w:tab/>
      </w:r>
      <w:r w:rsidR="001B6533" w:rsidRPr="001B6533">
        <w:rPr>
          <w:rFonts w:ascii="Arial" w:hAnsi="Arial" w:cs="Arial"/>
          <w:color w:val="0D0D0D" w:themeColor="text1" w:themeTint="F2"/>
          <w:sz w:val="22"/>
          <w:szCs w:val="22"/>
        </w:rPr>
        <w:t>The Psychosocial Development Theory by Erikson (1950) is a detailed theory that can be used to understand how people develop both emotionally and socially throughout life</w:t>
      </w:r>
      <w:r w:rsidR="001B6533">
        <w:rPr>
          <w:rFonts w:ascii="Arial" w:hAnsi="Arial" w:cs="Arial"/>
          <w:color w:val="0D0D0D" w:themeColor="text1" w:themeTint="F2"/>
          <w:sz w:val="22"/>
          <w:szCs w:val="22"/>
        </w:rPr>
        <w:t xml:space="preserve"> </w:t>
      </w:r>
      <w:r w:rsidR="001B6533" w:rsidRPr="001B6533">
        <w:rPr>
          <w:rFonts w:ascii="Arial" w:hAnsi="Arial" w:cs="Arial"/>
          <w:color w:val="0D0D0D" w:themeColor="text1" w:themeTint="F2"/>
          <w:sz w:val="22"/>
          <w:szCs w:val="22"/>
        </w:rPr>
        <w:t xml:space="preserve">(Psychology, 2025). </w:t>
      </w:r>
      <w:r w:rsidR="001C1962">
        <w:rPr>
          <w:rFonts w:ascii="Arial" w:hAnsi="Arial" w:cs="Arial"/>
          <w:color w:val="0D0D0D" w:themeColor="text1" w:themeTint="F2"/>
          <w:sz w:val="22"/>
          <w:szCs w:val="22"/>
        </w:rPr>
        <w:t>Theory</w:t>
      </w:r>
      <w:r w:rsidR="001B6533" w:rsidRPr="001B6533">
        <w:rPr>
          <w:rFonts w:ascii="Arial" w:hAnsi="Arial" w:cs="Arial"/>
          <w:color w:val="0D0D0D" w:themeColor="text1" w:themeTint="F2"/>
          <w:sz w:val="22"/>
          <w:szCs w:val="22"/>
        </w:rPr>
        <w:t xml:space="preserve"> suggested eight phases of the psychosocial development, each of which is marked with a particular conflict which has to be overcome to have a healthy development of personality</w:t>
      </w:r>
      <w:r w:rsidR="00811527">
        <w:rPr>
          <w:rFonts w:ascii="Arial" w:hAnsi="Arial" w:cs="Arial"/>
          <w:color w:val="0D0D0D" w:themeColor="text1" w:themeTint="F2"/>
          <w:sz w:val="22"/>
          <w:szCs w:val="22"/>
        </w:rPr>
        <w:t xml:space="preserve"> </w:t>
      </w:r>
      <w:r w:rsidR="00811527" w:rsidRPr="00811527">
        <w:rPr>
          <w:rFonts w:ascii="Arial" w:hAnsi="Arial" w:cs="Arial"/>
          <w:color w:val="0D0D0D" w:themeColor="text1" w:themeTint="F2"/>
          <w:sz w:val="22"/>
          <w:szCs w:val="22"/>
        </w:rPr>
        <w:t>(Orenstein and Lewis, 2022)</w:t>
      </w:r>
      <w:r w:rsidR="001B6533" w:rsidRPr="001B6533">
        <w:rPr>
          <w:rFonts w:ascii="Arial" w:hAnsi="Arial" w:cs="Arial"/>
          <w:color w:val="0D0D0D" w:themeColor="text1" w:themeTint="F2"/>
          <w:sz w:val="22"/>
          <w:szCs w:val="22"/>
        </w:rPr>
        <w:t>. The last phase is the Integrity versus Despair and this is usually met in late adulthood (65 years and more). At this point, people are busy in reviewing their life experience, looking at their experiences, their accomplishments and associations in an effort to discover meaning and acceptance</w:t>
      </w:r>
      <w:r w:rsidR="00811527">
        <w:rPr>
          <w:rFonts w:ascii="Arial" w:hAnsi="Arial" w:cs="Arial"/>
          <w:color w:val="0D0D0D" w:themeColor="text1" w:themeTint="F2"/>
          <w:sz w:val="22"/>
          <w:szCs w:val="22"/>
        </w:rPr>
        <w:t xml:space="preserve"> </w:t>
      </w:r>
      <w:r w:rsidR="00811527" w:rsidRPr="00811527">
        <w:rPr>
          <w:rFonts w:ascii="Arial" w:hAnsi="Arial" w:cs="Arial"/>
          <w:color w:val="0D0D0D" w:themeColor="text1" w:themeTint="F2"/>
          <w:sz w:val="22"/>
          <w:szCs w:val="22"/>
        </w:rPr>
        <w:t>(Resource Center, 2023)</w:t>
      </w:r>
      <w:r w:rsidR="001B6533" w:rsidRPr="001B6533">
        <w:rPr>
          <w:rFonts w:ascii="Arial" w:hAnsi="Arial" w:cs="Arial"/>
          <w:color w:val="0D0D0D" w:themeColor="text1" w:themeTint="F2"/>
          <w:sz w:val="22"/>
          <w:szCs w:val="22"/>
        </w:rPr>
        <w:t>. Feeling of integrity brings feelings of fulfilment and wisdom, and failure to sort this stage may bring about despair, regret and depression.</w:t>
      </w:r>
    </w:p>
    <w:p w14:paraId="5EF5334F" w14:textId="0B1403BD" w:rsidR="001B6533" w:rsidRPr="001B6533" w:rsidRDefault="001B6533" w:rsidP="001B653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ab/>
      </w:r>
      <w:r w:rsidRPr="001B6533">
        <w:rPr>
          <w:rFonts w:ascii="Arial" w:hAnsi="Arial" w:cs="Arial"/>
          <w:color w:val="0D0D0D" w:themeColor="text1" w:themeTint="F2"/>
          <w:sz w:val="22"/>
          <w:szCs w:val="22"/>
        </w:rPr>
        <w:t>This stage is especially complicated with older adults having dementia. The impairment of memory and cognitive ability can restrain them to recall life events correctly and it becomes difficult to find the sense of closure and self-acceptance</w:t>
      </w:r>
      <w:r w:rsidR="00811527">
        <w:rPr>
          <w:rFonts w:ascii="Arial" w:hAnsi="Arial" w:cs="Arial"/>
          <w:color w:val="0D0D0D" w:themeColor="text1" w:themeTint="F2"/>
          <w:sz w:val="22"/>
          <w:szCs w:val="22"/>
        </w:rPr>
        <w:t xml:space="preserve"> </w:t>
      </w:r>
      <w:r w:rsidR="00811527" w:rsidRPr="00811527">
        <w:rPr>
          <w:rFonts w:ascii="Arial" w:hAnsi="Arial" w:cs="Arial"/>
          <w:color w:val="0D0D0D" w:themeColor="text1" w:themeTint="F2"/>
          <w:sz w:val="22"/>
          <w:szCs w:val="22"/>
        </w:rPr>
        <w:t>(Badham, 2024)</w:t>
      </w:r>
      <w:r w:rsidRPr="001B6533">
        <w:rPr>
          <w:rFonts w:ascii="Arial" w:hAnsi="Arial" w:cs="Arial"/>
          <w:color w:val="0D0D0D" w:themeColor="text1" w:themeTint="F2"/>
          <w:sz w:val="22"/>
          <w:szCs w:val="22"/>
        </w:rPr>
        <w:t>. The biological transformations like lowering brain functioning and environmental disability like social isolation or living in institutions could exert more confusion and loss. Erikson (1959) points out that, when one has regular emotional support and reminiscence, they are more likely to retain a sense of identity and dignity even when they face such difficulties. In dementia care facilities, the professionals should foster integrity by involving the residents in reminiscence therapy, life-story work, and activities that appreciate personal history and autonomy.</w:t>
      </w:r>
    </w:p>
    <w:p w14:paraId="7C83BCB8" w14:textId="4C4DE6DF" w:rsidR="00A53BC5" w:rsidRPr="00A53BC5" w:rsidRDefault="001B6533" w:rsidP="001B653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ab/>
      </w:r>
      <w:r w:rsidRPr="001B6533">
        <w:rPr>
          <w:rFonts w:ascii="Arial" w:hAnsi="Arial" w:cs="Arial"/>
          <w:color w:val="0D0D0D" w:themeColor="text1" w:themeTint="F2"/>
          <w:sz w:val="22"/>
          <w:szCs w:val="22"/>
        </w:rPr>
        <w:t xml:space="preserve">The Eriksonian theory </w:t>
      </w:r>
      <w:r w:rsidR="00811527" w:rsidRPr="00811527">
        <w:rPr>
          <w:rFonts w:ascii="Arial" w:hAnsi="Arial" w:cs="Arial"/>
          <w:color w:val="0D0D0D" w:themeColor="text1" w:themeTint="F2"/>
          <w:sz w:val="22"/>
          <w:szCs w:val="22"/>
        </w:rPr>
        <w:t xml:space="preserve">(1959) </w:t>
      </w:r>
      <w:r w:rsidRPr="001B6533">
        <w:rPr>
          <w:rFonts w:ascii="Arial" w:hAnsi="Arial" w:cs="Arial"/>
          <w:color w:val="0D0D0D" w:themeColor="text1" w:themeTint="F2"/>
          <w:sz w:val="22"/>
          <w:szCs w:val="22"/>
        </w:rPr>
        <w:t xml:space="preserve">has been well hailed due to its lifespan approach, its ability to understand psychological growth and development as continuing even in old age and its holistic </w:t>
      </w:r>
      <w:r w:rsidRPr="001B6533">
        <w:rPr>
          <w:rFonts w:ascii="Arial" w:hAnsi="Arial" w:cs="Arial"/>
          <w:color w:val="0D0D0D" w:themeColor="text1" w:themeTint="F2"/>
          <w:sz w:val="22"/>
          <w:szCs w:val="22"/>
        </w:rPr>
        <w:lastRenderedPageBreak/>
        <w:t>approach of relating emotional, social and environmental forces. The major weakness though is that it lacks accurate scientific measurement and might not entirely explain the extreme cognitive impairment that mostly comes with advanced dementia</w:t>
      </w:r>
      <w:r w:rsidR="00811527">
        <w:rPr>
          <w:rFonts w:ascii="Arial" w:hAnsi="Arial" w:cs="Arial"/>
          <w:color w:val="0D0D0D" w:themeColor="text1" w:themeTint="F2"/>
          <w:sz w:val="22"/>
          <w:szCs w:val="22"/>
        </w:rPr>
        <w:t xml:space="preserve"> (</w:t>
      </w:r>
      <w:r w:rsidR="00811527" w:rsidRPr="00811527">
        <w:rPr>
          <w:rFonts w:ascii="Arial" w:hAnsi="Arial" w:cs="Arial"/>
          <w:color w:val="0D0D0D" w:themeColor="text1" w:themeTint="F2"/>
          <w:sz w:val="22"/>
          <w:szCs w:val="22"/>
        </w:rPr>
        <w:t>Ross</w:t>
      </w:r>
      <w:r w:rsidR="00811527">
        <w:rPr>
          <w:rFonts w:ascii="Arial" w:hAnsi="Arial" w:cs="Arial"/>
          <w:color w:val="0D0D0D" w:themeColor="text1" w:themeTint="F2"/>
          <w:sz w:val="22"/>
          <w:szCs w:val="22"/>
        </w:rPr>
        <w:t xml:space="preserve"> </w:t>
      </w:r>
      <w:r w:rsidR="00811527" w:rsidRPr="00811527">
        <w:rPr>
          <w:rFonts w:ascii="Arial" w:hAnsi="Arial" w:cs="Arial"/>
          <w:color w:val="0D0D0D" w:themeColor="text1" w:themeTint="F2"/>
          <w:sz w:val="22"/>
          <w:szCs w:val="22"/>
        </w:rPr>
        <w:t>and Margolis, 2019</w:t>
      </w:r>
      <w:r w:rsidR="00811527">
        <w:rPr>
          <w:rFonts w:ascii="Arial" w:hAnsi="Arial" w:cs="Arial"/>
          <w:color w:val="0D0D0D" w:themeColor="text1" w:themeTint="F2"/>
          <w:sz w:val="22"/>
          <w:szCs w:val="22"/>
        </w:rPr>
        <w:t>)</w:t>
      </w:r>
      <w:r w:rsidRPr="001B6533">
        <w:rPr>
          <w:rFonts w:ascii="Arial" w:hAnsi="Arial" w:cs="Arial"/>
          <w:color w:val="0D0D0D" w:themeColor="text1" w:themeTint="F2"/>
          <w:sz w:val="22"/>
          <w:szCs w:val="22"/>
        </w:rPr>
        <w:t>. Regardless of this, Erikson model can still be used as a critical guideline in comprehending the emotional needs of elderly individuals in the health and social care practice</w:t>
      </w:r>
      <w:r w:rsidR="00A53BC5" w:rsidRPr="00A53BC5">
        <w:rPr>
          <w:rFonts w:ascii="Arial" w:hAnsi="Arial" w:cs="Arial"/>
          <w:color w:val="0D0D0D" w:themeColor="text1" w:themeTint="F2"/>
          <w:sz w:val="22"/>
          <w:szCs w:val="22"/>
        </w:rPr>
        <w:t>.</w:t>
      </w:r>
    </w:p>
    <w:p w14:paraId="2D48E7CE" w14:textId="77777777" w:rsidR="00A53BC5" w:rsidRPr="00A53BC5" w:rsidRDefault="00A53BC5" w:rsidP="00A53BC5">
      <w:pPr>
        <w:pStyle w:val="Heading1"/>
        <w:spacing w:line="360" w:lineRule="auto"/>
        <w:jc w:val="both"/>
        <w:rPr>
          <w:rFonts w:ascii="Arial" w:hAnsi="Arial" w:cs="Arial"/>
          <w:b/>
          <w:bCs/>
          <w:color w:val="0D0D0D" w:themeColor="text1" w:themeTint="F2"/>
          <w:sz w:val="22"/>
          <w:szCs w:val="22"/>
        </w:rPr>
      </w:pPr>
      <w:bookmarkStart w:id="2" w:name="_Toc214378889"/>
      <w:r w:rsidRPr="00A53BC5">
        <w:rPr>
          <w:rFonts w:ascii="Arial" w:hAnsi="Arial" w:cs="Arial"/>
          <w:b/>
          <w:bCs/>
          <w:color w:val="0D0D0D" w:themeColor="text1" w:themeTint="F2"/>
          <w:sz w:val="22"/>
          <w:szCs w:val="22"/>
        </w:rPr>
        <w:t>3. Overview of Theory 2 – Bandura’s Social Learning Theory</w:t>
      </w:r>
      <w:bookmarkEnd w:id="2"/>
    </w:p>
    <w:p w14:paraId="3526F0C7" w14:textId="573375E8" w:rsidR="001B6533" w:rsidRDefault="00A53BC5" w:rsidP="001B6533">
      <w:pPr>
        <w:spacing w:line="360" w:lineRule="auto"/>
        <w:jc w:val="both"/>
        <w:rPr>
          <w:rFonts w:ascii="Arial" w:hAnsi="Arial" w:cs="Arial"/>
          <w:color w:val="0D0D0D" w:themeColor="text1" w:themeTint="F2"/>
          <w:sz w:val="22"/>
          <w:szCs w:val="22"/>
        </w:rPr>
      </w:pPr>
      <w:r w:rsidRPr="00A53BC5">
        <w:rPr>
          <w:rFonts w:ascii="Arial" w:hAnsi="Arial" w:cs="Arial"/>
          <w:color w:val="0D0D0D" w:themeColor="text1" w:themeTint="F2"/>
          <w:sz w:val="22"/>
          <w:szCs w:val="22"/>
        </w:rPr>
        <w:tab/>
      </w:r>
      <w:r w:rsidR="001B6533" w:rsidRPr="001B6533">
        <w:rPr>
          <w:rFonts w:ascii="Arial" w:hAnsi="Arial" w:cs="Arial"/>
          <w:color w:val="0D0D0D" w:themeColor="text1" w:themeTint="F2"/>
          <w:sz w:val="22"/>
          <w:szCs w:val="22"/>
        </w:rPr>
        <w:t>The Social Learning Theory by Albert Bandura (1977) points out that human behaviour is acquired by observation, imitation and modelling, but not necessarily by direct experience or teaching. As Bandura says, people learn new behaviours through watching others and observing the outcomes of their actions, which is also referred to as vicarious reinforcement. He also came up with the self-effic</w:t>
      </w:r>
      <w:r w:rsidR="001B6533">
        <w:rPr>
          <w:rFonts w:ascii="Arial" w:hAnsi="Arial" w:cs="Arial"/>
          <w:color w:val="0D0D0D" w:themeColor="text1" w:themeTint="F2"/>
          <w:sz w:val="22"/>
          <w:szCs w:val="22"/>
        </w:rPr>
        <w:t>iency</w:t>
      </w:r>
      <w:r w:rsidR="001B6533" w:rsidRPr="001B6533">
        <w:rPr>
          <w:rFonts w:ascii="Arial" w:hAnsi="Arial" w:cs="Arial"/>
          <w:color w:val="0D0D0D" w:themeColor="text1" w:themeTint="F2"/>
          <w:sz w:val="22"/>
          <w:szCs w:val="22"/>
        </w:rPr>
        <w:t xml:space="preserve"> concept which was the individual’s belief in their capacity to excel in a given behaviour</w:t>
      </w:r>
      <w:r w:rsidR="00811527">
        <w:rPr>
          <w:rFonts w:ascii="Arial" w:hAnsi="Arial" w:cs="Arial"/>
          <w:color w:val="0D0D0D" w:themeColor="text1" w:themeTint="F2"/>
          <w:sz w:val="22"/>
          <w:szCs w:val="22"/>
        </w:rPr>
        <w:t xml:space="preserve"> </w:t>
      </w:r>
      <w:r w:rsidR="00811527" w:rsidRPr="00811527">
        <w:rPr>
          <w:rFonts w:ascii="Arial" w:hAnsi="Arial" w:cs="Arial"/>
          <w:color w:val="0D0D0D" w:themeColor="text1" w:themeTint="F2"/>
          <w:sz w:val="22"/>
          <w:szCs w:val="22"/>
        </w:rPr>
        <w:t>(Psychology, 2025)</w:t>
      </w:r>
      <w:r w:rsidR="001B6533" w:rsidRPr="001B6533">
        <w:rPr>
          <w:rFonts w:ascii="Arial" w:hAnsi="Arial" w:cs="Arial"/>
          <w:color w:val="0D0D0D" w:themeColor="text1" w:themeTint="F2"/>
          <w:sz w:val="22"/>
          <w:szCs w:val="22"/>
        </w:rPr>
        <w:t>. This theory emphasi</w:t>
      </w:r>
      <w:r w:rsidR="001B6533">
        <w:rPr>
          <w:rFonts w:ascii="Arial" w:hAnsi="Arial" w:cs="Arial"/>
          <w:color w:val="0D0D0D" w:themeColor="text1" w:themeTint="F2"/>
          <w:sz w:val="22"/>
          <w:szCs w:val="22"/>
        </w:rPr>
        <w:t>s</w:t>
      </w:r>
      <w:r w:rsidR="001B6533" w:rsidRPr="001B6533">
        <w:rPr>
          <w:rFonts w:ascii="Arial" w:hAnsi="Arial" w:cs="Arial"/>
          <w:color w:val="0D0D0D" w:themeColor="text1" w:themeTint="F2"/>
          <w:sz w:val="22"/>
          <w:szCs w:val="22"/>
        </w:rPr>
        <w:t>es on reciprocal determinism, which is dynamic interaction of personal, behavioural, and environmental factors in influencing behaviour and learning.</w:t>
      </w:r>
      <w:r w:rsidR="001B6533">
        <w:rPr>
          <w:rFonts w:ascii="Arial" w:hAnsi="Arial" w:cs="Arial"/>
          <w:color w:val="0D0D0D" w:themeColor="text1" w:themeTint="F2"/>
          <w:sz w:val="22"/>
          <w:szCs w:val="22"/>
        </w:rPr>
        <w:t xml:space="preserve"> </w:t>
      </w:r>
      <w:r w:rsidR="001B6533" w:rsidRPr="001B6533">
        <w:rPr>
          <w:rFonts w:ascii="Arial" w:hAnsi="Arial" w:cs="Arial"/>
          <w:color w:val="0D0D0D" w:themeColor="text1" w:themeTint="F2"/>
          <w:sz w:val="22"/>
          <w:szCs w:val="22"/>
        </w:rPr>
        <w:t>Social Learning Theory can provide useful information in the context of dementia care, as the surroundings and the behaviour of the caregivers can positively affect the residents.</w:t>
      </w:r>
    </w:p>
    <w:p w14:paraId="0F8EE546" w14:textId="196C1153" w:rsidR="001B6533" w:rsidRPr="001B6533" w:rsidRDefault="001B6533" w:rsidP="001B653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ab/>
      </w:r>
      <w:r w:rsidRPr="001B6533">
        <w:rPr>
          <w:rFonts w:ascii="Arial" w:hAnsi="Arial" w:cs="Arial"/>
          <w:color w:val="0D0D0D" w:themeColor="text1" w:themeTint="F2"/>
          <w:sz w:val="22"/>
          <w:szCs w:val="22"/>
        </w:rPr>
        <w:t xml:space="preserve"> As an illustration, in case the care staff members show the behaviors of calm, understanding, and long-suffering communication on a regular basis, the residents tend to imitate such a tone of voice, which results in a higher level of cooperation and a decrease in agitation</w:t>
      </w:r>
      <w:r w:rsidR="00374678">
        <w:rPr>
          <w:rFonts w:ascii="Arial" w:hAnsi="Arial" w:cs="Arial"/>
          <w:color w:val="0D0D0D" w:themeColor="text1" w:themeTint="F2"/>
          <w:sz w:val="22"/>
          <w:szCs w:val="22"/>
        </w:rPr>
        <w:t xml:space="preserve"> (</w:t>
      </w:r>
      <w:r w:rsidR="00374678" w:rsidRPr="00374678">
        <w:rPr>
          <w:rFonts w:ascii="Arial" w:hAnsi="Arial" w:cs="Arial"/>
          <w:color w:val="0D0D0D" w:themeColor="text1" w:themeTint="F2"/>
          <w:sz w:val="22"/>
          <w:szCs w:val="22"/>
        </w:rPr>
        <w:t>Savundranayagam</w:t>
      </w:r>
      <w:r w:rsidR="00374678">
        <w:rPr>
          <w:rFonts w:ascii="Arial" w:hAnsi="Arial" w:cs="Arial"/>
          <w:color w:val="0D0D0D" w:themeColor="text1" w:themeTint="F2"/>
          <w:sz w:val="22"/>
          <w:szCs w:val="22"/>
        </w:rPr>
        <w:t xml:space="preserve"> et al., </w:t>
      </w:r>
      <w:r w:rsidR="00374678" w:rsidRPr="00374678">
        <w:rPr>
          <w:rFonts w:ascii="Arial" w:hAnsi="Arial" w:cs="Arial"/>
          <w:color w:val="0D0D0D" w:themeColor="text1" w:themeTint="F2"/>
          <w:sz w:val="22"/>
          <w:szCs w:val="22"/>
        </w:rPr>
        <w:t>2016</w:t>
      </w:r>
      <w:r w:rsidR="00374678">
        <w:rPr>
          <w:rFonts w:ascii="Arial" w:hAnsi="Arial" w:cs="Arial"/>
          <w:color w:val="0D0D0D" w:themeColor="text1" w:themeTint="F2"/>
          <w:sz w:val="22"/>
          <w:szCs w:val="22"/>
        </w:rPr>
        <w:t>)</w:t>
      </w:r>
      <w:r w:rsidRPr="001B6533">
        <w:rPr>
          <w:rFonts w:ascii="Arial" w:hAnsi="Arial" w:cs="Arial"/>
          <w:color w:val="0D0D0D" w:themeColor="text1" w:themeTint="F2"/>
          <w:sz w:val="22"/>
          <w:szCs w:val="22"/>
        </w:rPr>
        <w:t>. On the other hand, when the staff look stressed or impatient, residents can take on the pressure and behave in a difficult manner. A supportive and emotionally stable environment can be achieved by encouraging positive role modelling among professionals, therefore. The theory by Bandura can be applied practically in dementia care in the form of group activities where residents have an opportunity to observe and re-enact positive social interactions and staff training that implies communication skills and emotional regulation</w:t>
      </w:r>
      <w:r w:rsidR="00374678">
        <w:rPr>
          <w:rFonts w:ascii="Arial" w:hAnsi="Arial" w:cs="Arial"/>
          <w:color w:val="0D0D0D" w:themeColor="text1" w:themeTint="F2"/>
          <w:sz w:val="22"/>
          <w:szCs w:val="22"/>
        </w:rPr>
        <w:t xml:space="preserve"> (</w:t>
      </w:r>
      <w:r w:rsidR="00374678" w:rsidRPr="00374678">
        <w:rPr>
          <w:rFonts w:ascii="Arial" w:hAnsi="Arial" w:cs="Arial"/>
          <w:color w:val="0D0D0D" w:themeColor="text1" w:themeTint="F2"/>
          <w:sz w:val="22"/>
          <w:szCs w:val="22"/>
        </w:rPr>
        <w:t>Kellogg, 2022</w:t>
      </w:r>
      <w:r w:rsidR="00374678">
        <w:rPr>
          <w:rFonts w:ascii="Arial" w:hAnsi="Arial" w:cs="Arial"/>
          <w:color w:val="0D0D0D" w:themeColor="text1" w:themeTint="F2"/>
          <w:sz w:val="22"/>
          <w:szCs w:val="22"/>
        </w:rPr>
        <w:t>)</w:t>
      </w:r>
      <w:r w:rsidRPr="001B6533">
        <w:rPr>
          <w:rFonts w:ascii="Arial" w:hAnsi="Arial" w:cs="Arial"/>
          <w:color w:val="0D0D0D" w:themeColor="text1" w:themeTint="F2"/>
          <w:sz w:val="22"/>
          <w:szCs w:val="22"/>
        </w:rPr>
        <w:t>. Such plans are beneficial to enhance self-efficacy of residents and staff and foster confidence and involvement in daily activities.</w:t>
      </w:r>
    </w:p>
    <w:p w14:paraId="3C8C41B4" w14:textId="110BD6F1" w:rsidR="00A53BC5" w:rsidRPr="00A53BC5" w:rsidRDefault="001B6533" w:rsidP="001B653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ab/>
      </w:r>
      <w:r w:rsidRPr="001B6533">
        <w:rPr>
          <w:rFonts w:ascii="Arial" w:hAnsi="Arial" w:cs="Arial"/>
          <w:color w:val="0D0D0D" w:themeColor="text1" w:themeTint="F2"/>
          <w:sz w:val="22"/>
          <w:szCs w:val="22"/>
        </w:rPr>
        <w:t>Although the theory offered by Bandura is commended because it is practical, and it focuses on the social surroundings, it also has weaknesses. Its utility can reduce in situations where cognitive ability has been severely affected because some individuals with serious dementia can fail to process or imitate the behaviour they observe</w:t>
      </w:r>
      <w:r w:rsidR="00883B13">
        <w:rPr>
          <w:rFonts w:ascii="Arial" w:hAnsi="Arial" w:cs="Arial"/>
          <w:color w:val="0D0D0D" w:themeColor="text1" w:themeTint="F2"/>
          <w:sz w:val="22"/>
          <w:szCs w:val="22"/>
        </w:rPr>
        <w:t xml:space="preserve"> (</w:t>
      </w:r>
      <w:r w:rsidR="00883B13" w:rsidRPr="00883B13">
        <w:rPr>
          <w:rFonts w:ascii="Arial" w:hAnsi="Arial" w:cs="Arial"/>
          <w:color w:val="0D0D0D" w:themeColor="text1" w:themeTint="F2"/>
          <w:sz w:val="22"/>
          <w:szCs w:val="22"/>
        </w:rPr>
        <w:t>Johnen</w:t>
      </w:r>
      <w:r w:rsidR="00883B13">
        <w:rPr>
          <w:rFonts w:ascii="Arial" w:hAnsi="Arial" w:cs="Arial"/>
          <w:color w:val="0D0D0D" w:themeColor="text1" w:themeTint="F2"/>
          <w:sz w:val="22"/>
          <w:szCs w:val="22"/>
        </w:rPr>
        <w:t xml:space="preserve"> </w:t>
      </w:r>
      <w:r w:rsidR="00883B13" w:rsidRPr="00883B13">
        <w:rPr>
          <w:rFonts w:ascii="Arial" w:hAnsi="Arial" w:cs="Arial"/>
          <w:color w:val="0D0D0D" w:themeColor="text1" w:themeTint="F2"/>
          <w:sz w:val="22"/>
          <w:szCs w:val="22"/>
        </w:rPr>
        <w:t>and Bertoux, 2019</w:t>
      </w:r>
      <w:r w:rsidR="00883B13">
        <w:rPr>
          <w:rFonts w:ascii="Arial" w:hAnsi="Arial" w:cs="Arial"/>
          <w:color w:val="0D0D0D" w:themeColor="text1" w:themeTint="F2"/>
          <w:sz w:val="22"/>
          <w:szCs w:val="22"/>
        </w:rPr>
        <w:t>)</w:t>
      </w:r>
      <w:r w:rsidRPr="001B6533">
        <w:rPr>
          <w:rFonts w:ascii="Arial" w:hAnsi="Arial" w:cs="Arial"/>
          <w:color w:val="0D0D0D" w:themeColor="text1" w:themeTint="F2"/>
          <w:sz w:val="22"/>
          <w:szCs w:val="22"/>
        </w:rPr>
        <w:t xml:space="preserve">. Also, the theory does not give a lot of attention to the biological aspects which may affect </w:t>
      </w:r>
      <w:r w:rsidRPr="001B6533">
        <w:rPr>
          <w:rFonts w:ascii="Arial" w:hAnsi="Arial" w:cs="Arial"/>
          <w:color w:val="0D0D0D" w:themeColor="text1" w:themeTint="F2"/>
          <w:sz w:val="22"/>
          <w:szCs w:val="22"/>
        </w:rPr>
        <w:lastRenderedPageBreak/>
        <w:t>behaviour. However, it is still an effective model of explaining and enhancing behaviour management and emotional well-being in health and social care practice</w:t>
      </w:r>
      <w:r w:rsidR="00A53BC5" w:rsidRPr="00A53BC5">
        <w:rPr>
          <w:rFonts w:ascii="Arial" w:hAnsi="Arial" w:cs="Arial"/>
          <w:color w:val="0D0D0D" w:themeColor="text1" w:themeTint="F2"/>
          <w:sz w:val="22"/>
          <w:szCs w:val="22"/>
        </w:rPr>
        <w:t>.</w:t>
      </w:r>
    </w:p>
    <w:p w14:paraId="034FD360" w14:textId="77777777" w:rsidR="00A53BC5" w:rsidRPr="00A53BC5" w:rsidRDefault="00A53BC5" w:rsidP="00A53BC5">
      <w:pPr>
        <w:pStyle w:val="Heading1"/>
        <w:spacing w:line="360" w:lineRule="auto"/>
        <w:jc w:val="both"/>
        <w:rPr>
          <w:rFonts w:ascii="Arial" w:hAnsi="Arial" w:cs="Arial"/>
          <w:b/>
          <w:bCs/>
          <w:color w:val="0D0D0D" w:themeColor="text1" w:themeTint="F2"/>
          <w:sz w:val="22"/>
          <w:szCs w:val="22"/>
        </w:rPr>
      </w:pPr>
      <w:bookmarkStart w:id="3" w:name="_Toc214378890"/>
      <w:r w:rsidRPr="00A53BC5">
        <w:rPr>
          <w:rFonts w:ascii="Arial" w:hAnsi="Arial" w:cs="Arial"/>
          <w:b/>
          <w:bCs/>
          <w:color w:val="0D0D0D" w:themeColor="text1" w:themeTint="F2"/>
          <w:sz w:val="22"/>
          <w:szCs w:val="22"/>
        </w:rPr>
        <w:t>4. Application in Health and Social Care Context</w:t>
      </w:r>
      <w:bookmarkEnd w:id="3"/>
    </w:p>
    <w:p w14:paraId="3A1189EC" w14:textId="19487B47" w:rsidR="001B6533" w:rsidRPr="001B6533" w:rsidRDefault="00A53BC5" w:rsidP="001B6533">
      <w:pPr>
        <w:spacing w:line="360" w:lineRule="auto"/>
        <w:jc w:val="both"/>
        <w:rPr>
          <w:rFonts w:ascii="Arial" w:hAnsi="Arial" w:cs="Arial"/>
          <w:color w:val="0D0D0D" w:themeColor="text1" w:themeTint="F2"/>
          <w:sz w:val="22"/>
          <w:szCs w:val="22"/>
        </w:rPr>
      </w:pPr>
      <w:r w:rsidRPr="00A53BC5">
        <w:rPr>
          <w:rFonts w:ascii="Arial" w:hAnsi="Arial" w:cs="Arial"/>
          <w:color w:val="0D0D0D" w:themeColor="text1" w:themeTint="F2"/>
          <w:sz w:val="22"/>
          <w:szCs w:val="22"/>
        </w:rPr>
        <w:tab/>
      </w:r>
      <w:r w:rsidR="001B6533" w:rsidRPr="001B6533">
        <w:rPr>
          <w:rFonts w:ascii="Arial" w:hAnsi="Arial" w:cs="Arial"/>
          <w:color w:val="0D0D0D" w:themeColor="text1" w:themeTint="F2"/>
          <w:sz w:val="22"/>
          <w:szCs w:val="22"/>
        </w:rPr>
        <w:t>The psychological theories would enable the practitioners to provide more humane, patient-focused care that would ensure emotional stability and dignity in the elderly population</w:t>
      </w:r>
      <w:r w:rsidR="00883B13">
        <w:rPr>
          <w:rFonts w:ascii="Arial" w:hAnsi="Arial" w:cs="Arial"/>
          <w:color w:val="0D0D0D" w:themeColor="text1" w:themeTint="F2"/>
          <w:sz w:val="22"/>
          <w:szCs w:val="22"/>
        </w:rPr>
        <w:t xml:space="preserve"> (</w:t>
      </w:r>
      <w:r w:rsidR="00883B13" w:rsidRPr="00883B13">
        <w:rPr>
          <w:rFonts w:ascii="Arial" w:hAnsi="Arial" w:cs="Arial"/>
          <w:color w:val="0D0D0D" w:themeColor="text1" w:themeTint="F2"/>
          <w:sz w:val="22"/>
          <w:szCs w:val="22"/>
        </w:rPr>
        <w:t>Lorber</w:t>
      </w:r>
      <w:r w:rsidR="00883B13">
        <w:rPr>
          <w:rFonts w:ascii="Arial" w:hAnsi="Arial" w:cs="Arial"/>
          <w:color w:val="0D0D0D" w:themeColor="text1" w:themeTint="F2"/>
          <w:sz w:val="22"/>
          <w:szCs w:val="22"/>
        </w:rPr>
        <w:t xml:space="preserve"> et al., </w:t>
      </w:r>
      <w:r w:rsidR="00883B13" w:rsidRPr="00883B13">
        <w:rPr>
          <w:rFonts w:ascii="Arial" w:hAnsi="Arial" w:cs="Arial"/>
          <w:color w:val="0D0D0D" w:themeColor="text1" w:themeTint="F2"/>
          <w:sz w:val="22"/>
          <w:szCs w:val="22"/>
        </w:rPr>
        <w:t>2025</w:t>
      </w:r>
      <w:r w:rsidR="00883B13">
        <w:rPr>
          <w:rFonts w:ascii="Arial" w:hAnsi="Arial" w:cs="Arial"/>
          <w:color w:val="0D0D0D" w:themeColor="text1" w:themeTint="F2"/>
          <w:sz w:val="22"/>
          <w:szCs w:val="22"/>
        </w:rPr>
        <w:t>)</w:t>
      </w:r>
      <w:r w:rsidR="001B6533" w:rsidRPr="001B6533">
        <w:rPr>
          <w:rFonts w:ascii="Arial" w:hAnsi="Arial" w:cs="Arial"/>
          <w:color w:val="0D0D0D" w:themeColor="text1" w:themeTint="F2"/>
          <w:sz w:val="22"/>
          <w:szCs w:val="22"/>
        </w:rPr>
        <w:t>. The Psychosocial Development Theory by Erikson indicates the need to ensure that the residents have a sense of integrity and self-worth later in life. As an example, promoting reminiscence and life-story-work helps a person to consider his/her past life, redefine his/her identity, and find a sense of meaning amid cognitive impairments. Care workers can alleviate the despair and enhance emotional well-being by helping older adults to reflect upon the accomplishments of their lives and life events, in accordance with Erikson stage of Integrity versus Despair.</w:t>
      </w:r>
    </w:p>
    <w:p w14:paraId="4DE4EF89" w14:textId="02CE7DEE" w:rsidR="001B6533" w:rsidRPr="001B6533" w:rsidRDefault="001B6533" w:rsidP="001B653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ab/>
      </w:r>
      <w:r w:rsidRPr="001B6533">
        <w:rPr>
          <w:rFonts w:ascii="Arial" w:hAnsi="Arial" w:cs="Arial"/>
          <w:color w:val="0D0D0D" w:themeColor="text1" w:themeTint="F2"/>
          <w:sz w:val="22"/>
          <w:szCs w:val="22"/>
        </w:rPr>
        <w:t>However, the Social Learning Theory developed by Bandura offers effective measures of shaping positive behaviour and emotion control. The staff should always act as role models with a sense of calm, respectful, and patient demeanour and the residents are likely to follow suit, becoming less agitated and more cooperative</w:t>
      </w:r>
      <w:r w:rsidR="00921C3C">
        <w:rPr>
          <w:rFonts w:ascii="Arial" w:hAnsi="Arial" w:cs="Arial"/>
          <w:color w:val="0D0D0D" w:themeColor="text1" w:themeTint="F2"/>
          <w:sz w:val="22"/>
          <w:szCs w:val="22"/>
        </w:rPr>
        <w:t xml:space="preserve"> </w:t>
      </w:r>
      <w:r w:rsidR="00921C3C" w:rsidRPr="00921C3C">
        <w:rPr>
          <w:rFonts w:ascii="Arial" w:hAnsi="Arial" w:cs="Arial"/>
          <w:color w:val="0D0D0D" w:themeColor="text1" w:themeTint="F2"/>
          <w:sz w:val="22"/>
          <w:szCs w:val="22"/>
        </w:rPr>
        <w:t>(Kretchmar, 2024)</w:t>
      </w:r>
      <w:r w:rsidRPr="001B6533">
        <w:rPr>
          <w:rFonts w:ascii="Arial" w:hAnsi="Arial" w:cs="Arial"/>
          <w:color w:val="0D0D0D" w:themeColor="text1" w:themeTint="F2"/>
          <w:sz w:val="22"/>
          <w:szCs w:val="22"/>
        </w:rPr>
        <w:t>. Social engagement and confidence can also be promoted by group activities which promote peer observation and imitation like music sessions or light exercises. These methods create an encouraging atmosphere in which the residents acquire adaptive behaviours by observing and being reinforced. Nonetheless, there are usually obstacles to the use of these theories in the dementia care by professionals like difficulties in communication as a result of memory lapse, emotional pressure because of heavy workload and lack of awareness in psychological therapies</w:t>
      </w:r>
      <w:r w:rsidR="00921C3C">
        <w:rPr>
          <w:rFonts w:ascii="Arial" w:hAnsi="Arial" w:cs="Arial"/>
          <w:color w:val="0D0D0D" w:themeColor="text1" w:themeTint="F2"/>
          <w:sz w:val="22"/>
          <w:szCs w:val="22"/>
        </w:rPr>
        <w:t xml:space="preserve"> </w:t>
      </w:r>
      <w:r w:rsidR="00921C3C" w:rsidRPr="00921C3C">
        <w:rPr>
          <w:rFonts w:ascii="Arial" w:hAnsi="Arial" w:cs="Arial"/>
          <w:color w:val="0D0D0D" w:themeColor="text1" w:themeTint="F2"/>
          <w:sz w:val="22"/>
          <w:szCs w:val="22"/>
        </w:rPr>
        <w:t>(Banovic, Zunic and Sinanovic, 2018)</w:t>
      </w:r>
      <w:r w:rsidRPr="001B6533">
        <w:rPr>
          <w:rFonts w:ascii="Arial" w:hAnsi="Arial" w:cs="Arial"/>
          <w:color w:val="0D0D0D" w:themeColor="text1" w:themeTint="F2"/>
          <w:sz w:val="22"/>
          <w:szCs w:val="22"/>
        </w:rPr>
        <w:t>. In order to alleviate these challenges organisations can offer continuous reflective mentoring, make available specialist training in dementia communication and also underscore the role of a consistent and empathetic staff behaviour.</w:t>
      </w:r>
    </w:p>
    <w:p w14:paraId="26BE82D3" w14:textId="08AB87BB" w:rsidR="00A53BC5" w:rsidRPr="00A53BC5" w:rsidRDefault="001B6533" w:rsidP="001B6533">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ab/>
      </w:r>
      <w:r w:rsidRPr="001B6533">
        <w:rPr>
          <w:rFonts w:ascii="Arial" w:hAnsi="Arial" w:cs="Arial"/>
          <w:color w:val="0D0D0D" w:themeColor="text1" w:themeTint="F2"/>
          <w:sz w:val="22"/>
          <w:szCs w:val="22"/>
        </w:rPr>
        <w:t>The care professionals can assist both in the emotional and behavioural needs of older adults; by integrating the views of Erikson and Bandura, they are able to provide an environment that supports identity, fosters self-esteem and encourages positive interaction among the health and social care environments</w:t>
      </w:r>
      <w:r w:rsidR="00A53BC5" w:rsidRPr="00A53BC5">
        <w:rPr>
          <w:rFonts w:ascii="Arial" w:hAnsi="Arial" w:cs="Arial"/>
          <w:color w:val="0D0D0D" w:themeColor="text1" w:themeTint="F2"/>
          <w:sz w:val="22"/>
          <w:szCs w:val="22"/>
        </w:rPr>
        <w:t>.</w:t>
      </w:r>
    </w:p>
    <w:p w14:paraId="4A6D4CCF" w14:textId="77777777" w:rsidR="00A53BC5" w:rsidRPr="00A53BC5" w:rsidRDefault="00A53BC5" w:rsidP="00A53BC5">
      <w:pPr>
        <w:pStyle w:val="Heading1"/>
        <w:spacing w:line="360" w:lineRule="auto"/>
        <w:jc w:val="both"/>
        <w:rPr>
          <w:rFonts w:ascii="Arial" w:hAnsi="Arial" w:cs="Arial"/>
          <w:b/>
          <w:bCs/>
          <w:color w:val="0D0D0D" w:themeColor="text1" w:themeTint="F2"/>
          <w:sz w:val="22"/>
          <w:szCs w:val="22"/>
        </w:rPr>
      </w:pPr>
      <w:bookmarkStart w:id="4" w:name="_Toc214378891"/>
      <w:r w:rsidRPr="00A53BC5">
        <w:rPr>
          <w:rFonts w:ascii="Arial" w:hAnsi="Arial" w:cs="Arial"/>
          <w:b/>
          <w:bCs/>
          <w:color w:val="0D0D0D" w:themeColor="text1" w:themeTint="F2"/>
          <w:sz w:val="22"/>
          <w:szCs w:val="22"/>
        </w:rPr>
        <w:lastRenderedPageBreak/>
        <w:t>5. Conclusion</w:t>
      </w:r>
      <w:bookmarkEnd w:id="4"/>
    </w:p>
    <w:p w14:paraId="5E28909E" w14:textId="12C5074C" w:rsidR="00A53BC5" w:rsidRPr="00A53BC5" w:rsidRDefault="00A53BC5" w:rsidP="00A53BC5">
      <w:pPr>
        <w:spacing w:line="360" w:lineRule="auto"/>
        <w:jc w:val="both"/>
        <w:rPr>
          <w:rFonts w:ascii="Arial" w:hAnsi="Arial" w:cs="Arial"/>
          <w:color w:val="0D0D0D" w:themeColor="text1" w:themeTint="F2"/>
          <w:sz w:val="22"/>
          <w:szCs w:val="22"/>
        </w:rPr>
      </w:pPr>
      <w:r w:rsidRPr="00A53BC5">
        <w:rPr>
          <w:rFonts w:ascii="Arial" w:hAnsi="Arial" w:cs="Arial"/>
          <w:color w:val="0D0D0D" w:themeColor="text1" w:themeTint="F2"/>
          <w:sz w:val="22"/>
          <w:szCs w:val="22"/>
        </w:rPr>
        <w:tab/>
      </w:r>
      <w:r w:rsidR="001B6533" w:rsidRPr="001B6533">
        <w:rPr>
          <w:rFonts w:ascii="Arial" w:hAnsi="Arial" w:cs="Arial"/>
          <w:color w:val="0D0D0D" w:themeColor="text1" w:themeTint="F2"/>
          <w:sz w:val="22"/>
          <w:szCs w:val="22"/>
        </w:rPr>
        <w:t>To sum up, the example of the application of the psychological theories, including the Psychosocial Development Theory by Erikson and the social Learning Theory by Bandura, give a good idea of how older adults with dementia may be supported in the health and social care environment. The framework by Erikson assists the professionals to deal with emotional well-being and identity, whereas the theory by Bandura assists in dealing with behavioural management by taking the path of positive modelling. These views combined facilitate individualised, humane methods that increase dignity, minimise misery, and raise living standards. Knowing and using these theories can help practitioners better provide people with cognitive decline with more empathetic, reflective, and evidence-based care</w:t>
      </w:r>
      <w:r w:rsidRPr="00A53BC5">
        <w:rPr>
          <w:rFonts w:ascii="Arial" w:hAnsi="Arial" w:cs="Arial"/>
          <w:color w:val="0D0D0D" w:themeColor="text1" w:themeTint="F2"/>
          <w:sz w:val="22"/>
          <w:szCs w:val="22"/>
        </w:rPr>
        <w:t>.</w:t>
      </w:r>
    </w:p>
    <w:p w14:paraId="23BE2C3A" w14:textId="3A235092" w:rsidR="00A53BC5" w:rsidRPr="00A53BC5" w:rsidRDefault="00A53BC5" w:rsidP="00A53BC5">
      <w:pPr>
        <w:spacing w:line="360" w:lineRule="auto"/>
        <w:jc w:val="both"/>
        <w:rPr>
          <w:rFonts w:ascii="Arial" w:hAnsi="Arial" w:cs="Arial"/>
          <w:color w:val="0D0D0D" w:themeColor="text1" w:themeTint="F2"/>
          <w:sz w:val="22"/>
          <w:szCs w:val="22"/>
        </w:rPr>
      </w:pPr>
      <w:r w:rsidRPr="00A53BC5">
        <w:rPr>
          <w:rFonts w:ascii="Arial" w:hAnsi="Arial" w:cs="Arial"/>
          <w:color w:val="0D0D0D" w:themeColor="text1" w:themeTint="F2"/>
          <w:sz w:val="22"/>
          <w:szCs w:val="22"/>
        </w:rPr>
        <w:br w:type="page"/>
      </w:r>
    </w:p>
    <w:p w14:paraId="77D6B166" w14:textId="4D4E77C7" w:rsidR="000F11C2" w:rsidRDefault="00A53BC5" w:rsidP="00A53BC5">
      <w:pPr>
        <w:pStyle w:val="Heading1"/>
        <w:spacing w:line="360" w:lineRule="auto"/>
        <w:jc w:val="both"/>
        <w:rPr>
          <w:rFonts w:ascii="Arial" w:hAnsi="Arial" w:cs="Arial"/>
          <w:b/>
          <w:bCs/>
          <w:color w:val="0D0D0D" w:themeColor="text1" w:themeTint="F2"/>
          <w:sz w:val="22"/>
          <w:szCs w:val="22"/>
        </w:rPr>
      </w:pPr>
      <w:bookmarkStart w:id="5" w:name="_Toc214378892"/>
      <w:r w:rsidRPr="00A53BC5">
        <w:rPr>
          <w:rFonts w:ascii="Arial" w:hAnsi="Arial" w:cs="Arial"/>
          <w:b/>
          <w:bCs/>
          <w:color w:val="0D0D0D" w:themeColor="text1" w:themeTint="F2"/>
          <w:sz w:val="22"/>
          <w:szCs w:val="22"/>
        </w:rPr>
        <w:lastRenderedPageBreak/>
        <w:t>References</w:t>
      </w:r>
      <w:bookmarkEnd w:id="5"/>
    </w:p>
    <w:p w14:paraId="62384182" w14:textId="77777777" w:rsidR="00921C3C" w:rsidRPr="001C1962" w:rsidRDefault="00921C3C" w:rsidP="00921C3C">
      <w:pPr>
        <w:spacing w:line="360" w:lineRule="auto"/>
        <w:ind w:left="720" w:hanging="720"/>
        <w:jc w:val="both"/>
        <w:rPr>
          <w:rFonts w:ascii="Arial" w:hAnsi="Arial" w:cs="Arial"/>
          <w:color w:val="0D0D0D" w:themeColor="text1" w:themeTint="F2"/>
          <w:sz w:val="22"/>
          <w:szCs w:val="22"/>
        </w:rPr>
      </w:pPr>
    </w:p>
    <w:p w14:paraId="23360A92" w14:textId="361737C1" w:rsidR="00921C3C" w:rsidRDefault="00921C3C" w:rsidP="00921C3C">
      <w:pPr>
        <w:spacing w:line="360" w:lineRule="auto"/>
        <w:ind w:left="720" w:hanging="720"/>
        <w:jc w:val="both"/>
        <w:rPr>
          <w:rFonts w:ascii="Arial" w:hAnsi="Arial" w:cs="Arial"/>
          <w:color w:val="0D0D0D" w:themeColor="text1" w:themeTint="F2"/>
          <w:sz w:val="22"/>
          <w:szCs w:val="22"/>
        </w:rPr>
      </w:pPr>
      <w:r w:rsidRPr="00A53BC5">
        <w:rPr>
          <w:rFonts w:ascii="Arial" w:hAnsi="Arial" w:cs="Arial"/>
          <w:color w:val="0D0D0D" w:themeColor="text1" w:themeTint="F2"/>
          <w:sz w:val="22"/>
          <w:szCs w:val="22"/>
        </w:rPr>
        <w:t>Abd El-Hay, M.A., 2019. </w:t>
      </w:r>
      <w:r w:rsidRPr="00A53BC5">
        <w:rPr>
          <w:rFonts w:ascii="Arial" w:hAnsi="Arial" w:cs="Arial"/>
          <w:i/>
          <w:iCs/>
          <w:color w:val="0D0D0D" w:themeColor="text1" w:themeTint="F2"/>
          <w:sz w:val="22"/>
          <w:szCs w:val="22"/>
        </w:rPr>
        <w:t>Understanding Psychology for Medicine and Nursing: Insights and Applications</w:t>
      </w:r>
      <w:r w:rsidRPr="00A53BC5">
        <w:rPr>
          <w:rFonts w:ascii="Arial" w:hAnsi="Arial" w:cs="Arial"/>
          <w:color w:val="0D0D0D" w:themeColor="text1" w:themeTint="F2"/>
          <w:sz w:val="22"/>
          <w:szCs w:val="22"/>
        </w:rPr>
        <w:t>. Routledge.</w:t>
      </w:r>
      <w:r>
        <w:rPr>
          <w:rFonts w:ascii="Arial" w:hAnsi="Arial" w:cs="Arial"/>
          <w:color w:val="0D0D0D" w:themeColor="text1" w:themeTint="F2"/>
          <w:sz w:val="22"/>
          <w:szCs w:val="22"/>
        </w:rPr>
        <w:t xml:space="preserve"> </w:t>
      </w:r>
    </w:p>
    <w:p w14:paraId="6B403D8E" w14:textId="4B784E9E" w:rsidR="00921C3C" w:rsidRPr="00811527" w:rsidRDefault="00921C3C" w:rsidP="00921C3C">
      <w:pPr>
        <w:spacing w:line="360" w:lineRule="auto"/>
        <w:ind w:left="720" w:hanging="720"/>
        <w:jc w:val="both"/>
        <w:rPr>
          <w:rFonts w:ascii="Arial" w:hAnsi="Arial" w:cs="Arial"/>
          <w:color w:val="0D0D0D" w:themeColor="text1" w:themeTint="F2"/>
          <w:sz w:val="22"/>
          <w:szCs w:val="22"/>
        </w:rPr>
      </w:pPr>
      <w:r w:rsidRPr="00811527">
        <w:rPr>
          <w:rFonts w:ascii="Arial" w:hAnsi="Arial" w:cs="Arial"/>
          <w:color w:val="0D0D0D" w:themeColor="text1" w:themeTint="F2"/>
          <w:sz w:val="22"/>
          <w:szCs w:val="22"/>
        </w:rPr>
        <w:t xml:space="preserve">Badham, S.P. (2024) 'The older population is more cognitively able than in the past and age-related deficits in cognition are diminishing over time,' </w:t>
      </w:r>
      <w:r w:rsidRPr="00811527">
        <w:rPr>
          <w:rFonts w:ascii="Arial" w:hAnsi="Arial" w:cs="Arial"/>
          <w:i/>
          <w:iCs/>
          <w:color w:val="0D0D0D" w:themeColor="text1" w:themeTint="F2"/>
          <w:sz w:val="22"/>
          <w:szCs w:val="22"/>
        </w:rPr>
        <w:t>Developmental Review</w:t>
      </w:r>
      <w:r w:rsidRPr="00811527">
        <w:rPr>
          <w:rFonts w:ascii="Arial" w:hAnsi="Arial" w:cs="Arial"/>
          <w:color w:val="0D0D0D" w:themeColor="text1" w:themeTint="F2"/>
          <w:sz w:val="22"/>
          <w:szCs w:val="22"/>
        </w:rPr>
        <w:t xml:space="preserve">, 72, p. 101124. </w:t>
      </w:r>
      <w:hyperlink r:id="rId7" w:history="1">
        <w:r w:rsidRPr="00811527">
          <w:rPr>
            <w:rStyle w:val="Hyperlink"/>
            <w:rFonts w:ascii="Arial" w:hAnsi="Arial" w:cs="Arial"/>
            <w:color w:val="056AD0" w:themeColor="hyperlink" w:themeTint="F2"/>
            <w:sz w:val="22"/>
            <w:szCs w:val="22"/>
          </w:rPr>
          <w:t>https://doi.org/10.1016/j.dr.2024.101124</w:t>
        </w:r>
      </w:hyperlink>
      <w:r w:rsidRPr="00811527">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1A866B79" w14:textId="28A41044" w:rsidR="00921C3C" w:rsidRPr="00A53BC5" w:rsidRDefault="00921C3C" w:rsidP="00921C3C">
      <w:pPr>
        <w:spacing w:line="360" w:lineRule="auto"/>
        <w:ind w:left="720" w:hanging="720"/>
        <w:jc w:val="both"/>
        <w:rPr>
          <w:rFonts w:ascii="Arial" w:hAnsi="Arial" w:cs="Arial"/>
          <w:color w:val="0D0D0D" w:themeColor="text1" w:themeTint="F2"/>
          <w:sz w:val="22"/>
          <w:szCs w:val="22"/>
        </w:rPr>
      </w:pPr>
      <w:r w:rsidRPr="00A53BC5">
        <w:rPr>
          <w:rFonts w:ascii="Arial" w:hAnsi="Arial" w:cs="Arial"/>
          <w:i/>
          <w:iCs/>
          <w:color w:val="0D0D0D" w:themeColor="text1" w:themeTint="F2"/>
          <w:sz w:val="22"/>
          <w:szCs w:val="22"/>
        </w:rPr>
        <w:t>Bandura, A. (1977). Self-Efficacy Toward a Unifying Theory of Behavioral Change. Psychological Review, 84, 191. - References - Scientific Research Publishing</w:t>
      </w:r>
      <w:r w:rsidRPr="00A53BC5">
        <w:rPr>
          <w:rFonts w:ascii="Arial" w:hAnsi="Arial" w:cs="Arial"/>
          <w:color w:val="0D0D0D" w:themeColor="text1" w:themeTint="F2"/>
          <w:sz w:val="22"/>
          <w:szCs w:val="22"/>
        </w:rPr>
        <w:t xml:space="preserve"> (no date). </w:t>
      </w:r>
      <w:hyperlink r:id="rId8" w:history="1">
        <w:r w:rsidRPr="00A53BC5">
          <w:rPr>
            <w:rStyle w:val="Hyperlink"/>
            <w:rFonts w:ascii="Arial" w:hAnsi="Arial" w:cs="Arial"/>
            <w:color w:val="056AD0" w:themeColor="hyperlink" w:themeTint="F2"/>
            <w:sz w:val="22"/>
            <w:szCs w:val="22"/>
          </w:rPr>
          <w:t>https://www.scirp.org/reference/referencespapers?referenceid=2894641</w:t>
        </w:r>
      </w:hyperlink>
      <w:r w:rsidRPr="00A53BC5">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31D5B03D" w14:textId="0839B922" w:rsidR="00921C3C" w:rsidRPr="00921C3C" w:rsidRDefault="00921C3C" w:rsidP="00921C3C">
      <w:pPr>
        <w:spacing w:line="360" w:lineRule="auto"/>
        <w:ind w:left="720" w:hanging="720"/>
        <w:jc w:val="both"/>
        <w:rPr>
          <w:rFonts w:ascii="Arial" w:hAnsi="Arial" w:cs="Arial"/>
          <w:color w:val="0D0D0D" w:themeColor="text1" w:themeTint="F2"/>
          <w:sz w:val="22"/>
          <w:szCs w:val="22"/>
        </w:rPr>
      </w:pPr>
      <w:r w:rsidRPr="00921C3C">
        <w:rPr>
          <w:rFonts w:ascii="Arial" w:hAnsi="Arial" w:cs="Arial"/>
          <w:color w:val="0D0D0D" w:themeColor="text1" w:themeTint="F2"/>
          <w:sz w:val="22"/>
          <w:szCs w:val="22"/>
        </w:rPr>
        <w:t xml:space="preserve">Banovic, S., Zunic, L. and Sinanovic, O. (2018) 'Communication difficulties as a result of dementia,' </w:t>
      </w:r>
      <w:r w:rsidRPr="00921C3C">
        <w:rPr>
          <w:rFonts w:ascii="Arial" w:hAnsi="Arial" w:cs="Arial"/>
          <w:i/>
          <w:iCs/>
          <w:color w:val="0D0D0D" w:themeColor="text1" w:themeTint="F2"/>
          <w:sz w:val="22"/>
          <w:szCs w:val="22"/>
        </w:rPr>
        <w:t>Materia Socio Medica</w:t>
      </w:r>
      <w:r w:rsidRPr="00921C3C">
        <w:rPr>
          <w:rFonts w:ascii="Arial" w:hAnsi="Arial" w:cs="Arial"/>
          <w:color w:val="0D0D0D" w:themeColor="text1" w:themeTint="F2"/>
          <w:sz w:val="22"/>
          <w:szCs w:val="22"/>
        </w:rPr>
        <w:t xml:space="preserve">, 30(2), p. 221. </w:t>
      </w:r>
      <w:hyperlink r:id="rId9" w:history="1">
        <w:r w:rsidRPr="00921C3C">
          <w:rPr>
            <w:rStyle w:val="Hyperlink"/>
            <w:rFonts w:ascii="Arial" w:hAnsi="Arial" w:cs="Arial"/>
            <w:color w:val="056AD0" w:themeColor="hyperlink" w:themeTint="F2"/>
            <w:sz w:val="22"/>
            <w:szCs w:val="22"/>
          </w:rPr>
          <w:t>https://doi.org/10.5455/msm.2018.30.221-224</w:t>
        </w:r>
      </w:hyperlink>
      <w:r w:rsidRPr="00921C3C">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6DD6DF3C" w14:textId="2BEC4629" w:rsidR="00921C3C" w:rsidRDefault="00921C3C" w:rsidP="00921C3C">
      <w:pPr>
        <w:spacing w:line="360" w:lineRule="auto"/>
        <w:ind w:left="720" w:hanging="720"/>
        <w:jc w:val="both"/>
        <w:rPr>
          <w:rFonts w:ascii="Arial" w:hAnsi="Arial" w:cs="Arial"/>
          <w:color w:val="0D0D0D" w:themeColor="text1" w:themeTint="F2"/>
          <w:sz w:val="22"/>
          <w:szCs w:val="22"/>
        </w:rPr>
      </w:pPr>
      <w:r w:rsidRPr="00CF0F47">
        <w:rPr>
          <w:rFonts w:ascii="Arial" w:hAnsi="Arial" w:cs="Arial"/>
          <w:color w:val="0D0D0D" w:themeColor="text1" w:themeTint="F2"/>
          <w:sz w:val="22"/>
          <w:szCs w:val="22"/>
        </w:rPr>
        <w:t>Erber, J.T., 2012. </w:t>
      </w:r>
      <w:r w:rsidRPr="00CF0F47">
        <w:rPr>
          <w:rFonts w:ascii="Arial" w:hAnsi="Arial" w:cs="Arial"/>
          <w:i/>
          <w:iCs/>
          <w:color w:val="0D0D0D" w:themeColor="text1" w:themeTint="F2"/>
          <w:sz w:val="22"/>
          <w:szCs w:val="22"/>
        </w:rPr>
        <w:t>Aging and older adulthood</w:t>
      </w:r>
      <w:r w:rsidRPr="00CF0F47">
        <w:rPr>
          <w:rFonts w:ascii="Arial" w:hAnsi="Arial" w:cs="Arial"/>
          <w:color w:val="0D0D0D" w:themeColor="text1" w:themeTint="F2"/>
          <w:sz w:val="22"/>
          <w:szCs w:val="22"/>
        </w:rPr>
        <w:t>. John Wiley &amp; Sons.</w:t>
      </w:r>
      <w:r>
        <w:rPr>
          <w:rFonts w:ascii="Arial" w:hAnsi="Arial" w:cs="Arial"/>
          <w:color w:val="0D0D0D" w:themeColor="text1" w:themeTint="F2"/>
          <w:sz w:val="22"/>
          <w:szCs w:val="22"/>
        </w:rPr>
        <w:t xml:space="preserve"> </w:t>
      </w:r>
    </w:p>
    <w:p w14:paraId="673F0126" w14:textId="5EAA3E8F" w:rsidR="00921C3C" w:rsidRPr="00811527" w:rsidRDefault="00921C3C" w:rsidP="00921C3C">
      <w:pPr>
        <w:spacing w:line="360" w:lineRule="auto"/>
        <w:ind w:left="720" w:hanging="720"/>
        <w:jc w:val="both"/>
        <w:rPr>
          <w:rFonts w:ascii="Arial" w:hAnsi="Arial" w:cs="Arial"/>
          <w:color w:val="0D0D0D" w:themeColor="text1" w:themeTint="F2"/>
          <w:sz w:val="22"/>
          <w:szCs w:val="22"/>
        </w:rPr>
      </w:pPr>
      <w:r w:rsidRPr="00811527">
        <w:rPr>
          <w:rFonts w:ascii="Arial" w:hAnsi="Arial" w:cs="Arial"/>
          <w:i/>
          <w:iCs/>
          <w:color w:val="0D0D0D" w:themeColor="text1" w:themeTint="F2"/>
          <w:sz w:val="22"/>
          <w:szCs w:val="22"/>
        </w:rPr>
        <w:t>Erikson, E. (1959). Identity and the life cycle. New York International Universities Press. - References - Scientific Research Publishing</w:t>
      </w:r>
      <w:r w:rsidRPr="00811527">
        <w:rPr>
          <w:rFonts w:ascii="Arial" w:hAnsi="Arial" w:cs="Arial"/>
          <w:color w:val="0D0D0D" w:themeColor="text1" w:themeTint="F2"/>
          <w:sz w:val="22"/>
          <w:szCs w:val="22"/>
        </w:rPr>
        <w:t xml:space="preserve"> (no date). </w:t>
      </w:r>
      <w:hyperlink r:id="rId10" w:history="1">
        <w:r w:rsidRPr="00811527">
          <w:rPr>
            <w:rStyle w:val="Hyperlink"/>
            <w:rFonts w:ascii="Arial" w:hAnsi="Arial" w:cs="Arial"/>
            <w:color w:val="056AD0" w:themeColor="hyperlink" w:themeTint="F2"/>
            <w:sz w:val="22"/>
            <w:szCs w:val="22"/>
          </w:rPr>
          <w:t>https://www.scirp.org/reference/referencespapers?referenceid=375354</w:t>
        </w:r>
      </w:hyperlink>
      <w:r w:rsidRPr="00811527">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771BEE7C" w14:textId="1492E218" w:rsidR="00921C3C" w:rsidRPr="00CF0F47" w:rsidRDefault="00921C3C" w:rsidP="00921C3C">
      <w:pPr>
        <w:spacing w:line="360" w:lineRule="auto"/>
        <w:ind w:left="720" w:hanging="720"/>
        <w:jc w:val="both"/>
        <w:rPr>
          <w:rFonts w:ascii="Arial" w:hAnsi="Arial" w:cs="Arial"/>
          <w:color w:val="0D0D0D" w:themeColor="text1" w:themeTint="F2"/>
          <w:sz w:val="22"/>
          <w:szCs w:val="22"/>
        </w:rPr>
      </w:pPr>
      <w:r w:rsidRPr="00CF0F47">
        <w:rPr>
          <w:rFonts w:ascii="Arial" w:hAnsi="Arial" w:cs="Arial"/>
          <w:color w:val="0D0D0D" w:themeColor="text1" w:themeTint="F2"/>
          <w:sz w:val="22"/>
          <w:szCs w:val="22"/>
        </w:rPr>
        <w:t xml:space="preserve">Gillibrand, R., Lam, V. and O’Donnell, V.L. (2016) 'Gillibrand, R., Lam, V., &amp; O’Donnell, V. L. (2016). Developmental Psychology (2nd Ed.). Harlow: Pearson/...,' </w:t>
      </w:r>
      <w:r w:rsidRPr="00CF0F47">
        <w:rPr>
          <w:rFonts w:ascii="Arial" w:hAnsi="Arial" w:cs="Arial"/>
          <w:i/>
          <w:iCs/>
          <w:color w:val="0D0D0D" w:themeColor="text1" w:themeTint="F2"/>
          <w:sz w:val="22"/>
          <w:szCs w:val="22"/>
        </w:rPr>
        <w:t>ResearchGate</w:t>
      </w:r>
      <w:r w:rsidRPr="00CF0F47">
        <w:rPr>
          <w:rFonts w:ascii="Arial" w:hAnsi="Arial" w:cs="Arial"/>
          <w:color w:val="0D0D0D" w:themeColor="text1" w:themeTint="F2"/>
          <w:sz w:val="22"/>
          <w:szCs w:val="22"/>
        </w:rPr>
        <w:t xml:space="preserve"> [Preprint]. </w:t>
      </w:r>
      <w:hyperlink r:id="rId11" w:history="1">
        <w:r w:rsidRPr="00CF0F47">
          <w:rPr>
            <w:rStyle w:val="Hyperlink"/>
            <w:rFonts w:ascii="Arial" w:hAnsi="Arial" w:cs="Arial"/>
            <w:color w:val="056AD0" w:themeColor="hyperlink" w:themeTint="F2"/>
            <w:sz w:val="22"/>
            <w:szCs w:val="22"/>
          </w:rPr>
          <w:t>https://www.researchgate.net/publication/317599146_Gillibrand_R_Lam_V_O'Donnell_V_L_2016_Developmental_Psychology_2nd_Ed_Harlow_Pearson_Prentice_Hall</w:t>
        </w:r>
      </w:hyperlink>
      <w:r w:rsidRPr="00CF0F47">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05990988" w14:textId="185D5663" w:rsidR="00921C3C" w:rsidRDefault="00921C3C" w:rsidP="00921C3C">
      <w:pPr>
        <w:spacing w:line="360" w:lineRule="auto"/>
        <w:ind w:left="720" w:hanging="720"/>
        <w:jc w:val="both"/>
        <w:rPr>
          <w:rFonts w:ascii="Arial" w:hAnsi="Arial" w:cs="Arial"/>
          <w:color w:val="0D0D0D" w:themeColor="text1" w:themeTint="F2"/>
          <w:sz w:val="22"/>
          <w:szCs w:val="22"/>
        </w:rPr>
      </w:pPr>
      <w:r w:rsidRPr="00CF0F47">
        <w:rPr>
          <w:rFonts w:ascii="Arial" w:hAnsi="Arial" w:cs="Arial"/>
          <w:color w:val="0D0D0D" w:themeColor="text1" w:themeTint="F2"/>
          <w:sz w:val="22"/>
          <w:szCs w:val="22"/>
        </w:rPr>
        <w:t>Gross, R., 2023. </w:t>
      </w:r>
      <w:r w:rsidRPr="00CF0F47">
        <w:rPr>
          <w:rFonts w:ascii="Arial" w:hAnsi="Arial" w:cs="Arial"/>
          <w:i/>
          <w:iCs/>
          <w:color w:val="0D0D0D" w:themeColor="text1" w:themeTint="F2"/>
          <w:sz w:val="22"/>
          <w:szCs w:val="22"/>
        </w:rPr>
        <w:t>Themes, issues and debates in psychology</w:t>
      </w:r>
      <w:r w:rsidRPr="00CF0F47">
        <w:rPr>
          <w:rFonts w:ascii="Arial" w:hAnsi="Arial" w:cs="Arial"/>
          <w:color w:val="0D0D0D" w:themeColor="text1" w:themeTint="F2"/>
          <w:sz w:val="22"/>
          <w:szCs w:val="22"/>
        </w:rPr>
        <w:t>. Routledge.</w:t>
      </w:r>
      <w:r>
        <w:rPr>
          <w:rFonts w:ascii="Arial" w:hAnsi="Arial" w:cs="Arial"/>
          <w:color w:val="0D0D0D" w:themeColor="text1" w:themeTint="F2"/>
          <w:sz w:val="22"/>
          <w:szCs w:val="22"/>
        </w:rPr>
        <w:t xml:space="preserve">  </w:t>
      </w:r>
    </w:p>
    <w:p w14:paraId="5B0F4AE5" w14:textId="52B92715" w:rsidR="00921C3C" w:rsidRPr="001B6533" w:rsidRDefault="00921C3C" w:rsidP="00921C3C">
      <w:pPr>
        <w:spacing w:line="360" w:lineRule="auto"/>
        <w:ind w:left="720" w:hanging="720"/>
        <w:jc w:val="both"/>
        <w:rPr>
          <w:rFonts w:ascii="Arial" w:hAnsi="Arial" w:cs="Arial"/>
          <w:color w:val="0D0D0D" w:themeColor="text1" w:themeTint="F2"/>
          <w:sz w:val="22"/>
          <w:szCs w:val="22"/>
        </w:rPr>
      </w:pPr>
      <w:r w:rsidRPr="001B6533">
        <w:rPr>
          <w:rFonts w:ascii="Arial" w:hAnsi="Arial" w:cs="Arial"/>
          <w:color w:val="0D0D0D" w:themeColor="text1" w:themeTint="F2"/>
          <w:sz w:val="22"/>
          <w:szCs w:val="22"/>
        </w:rPr>
        <w:t xml:space="preserve">Herdiansyah, H. </w:t>
      </w:r>
      <w:r w:rsidRPr="001B6533">
        <w:rPr>
          <w:rFonts w:ascii="Arial" w:hAnsi="Arial" w:cs="Arial"/>
          <w:i/>
          <w:iCs/>
          <w:color w:val="0D0D0D" w:themeColor="text1" w:themeTint="F2"/>
          <w:sz w:val="22"/>
          <w:szCs w:val="22"/>
        </w:rPr>
        <w:t>et al.</w:t>
      </w:r>
      <w:r w:rsidRPr="001B6533">
        <w:rPr>
          <w:rFonts w:ascii="Arial" w:hAnsi="Arial" w:cs="Arial"/>
          <w:color w:val="0D0D0D" w:themeColor="text1" w:themeTint="F2"/>
          <w:sz w:val="22"/>
          <w:szCs w:val="22"/>
        </w:rPr>
        <w:t xml:space="preserve"> (2024) 'Erikson’s Development Psychosocial Theory in the 21st Century: A Pedagogical Perspective in Physical Education,' </w:t>
      </w:r>
      <w:r w:rsidRPr="001B6533">
        <w:rPr>
          <w:rFonts w:ascii="Arial" w:hAnsi="Arial" w:cs="Arial"/>
          <w:i/>
          <w:iCs/>
          <w:color w:val="0D0D0D" w:themeColor="text1" w:themeTint="F2"/>
          <w:sz w:val="22"/>
          <w:szCs w:val="22"/>
        </w:rPr>
        <w:t>COMPETITOR Jurnal Pendidikan Kepelatihan Olahraga</w:t>
      </w:r>
      <w:r w:rsidRPr="001B6533">
        <w:rPr>
          <w:rFonts w:ascii="Arial" w:hAnsi="Arial" w:cs="Arial"/>
          <w:color w:val="0D0D0D" w:themeColor="text1" w:themeTint="F2"/>
          <w:sz w:val="22"/>
          <w:szCs w:val="22"/>
        </w:rPr>
        <w:t xml:space="preserve">, 16(2), p. 362. </w:t>
      </w:r>
      <w:hyperlink r:id="rId12" w:history="1">
        <w:r w:rsidRPr="001B6533">
          <w:rPr>
            <w:rStyle w:val="Hyperlink"/>
            <w:rFonts w:ascii="Arial" w:hAnsi="Arial" w:cs="Arial"/>
            <w:color w:val="056AD0" w:themeColor="hyperlink" w:themeTint="F2"/>
            <w:sz w:val="22"/>
            <w:szCs w:val="22"/>
          </w:rPr>
          <w:t>https://doi.org/10.26858/cjpko.v16i2.63045</w:t>
        </w:r>
      </w:hyperlink>
      <w:r w:rsidRPr="001B6533">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74B91EA3" w14:textId="37EDC630" w:rsidR="00921C3C" w:rsidRDefault="00921C3C" w:rsidP="00921C3C">
      <w:pPr>
        <w:spacing w:line="360" w:lineRule="auto"/>
        <w:ind w:left="720" w:hanging="720"/>
        <w:jc w:val="both"/>
        <w:rPr>
          <w:rFonts w:ascii="Arial" w:hAnsi="Arial" w:cs="Arial"/>
          <w:color w:val="0D0D0D" w:themeColor="text1" w:themeTint="F2"/>
          <w:sz w:val="22"/>
          <w:szCs w:val="22"/>
        </w:rPr>
      </w:pPr>
      <w:r w:rsidRPr="00883B13">
        <w:rPr>
          <w:rFonts w:ascii="Arial" w:hAnsi="Arial" w:cs="Arial"/>
          <w:color w:val="0D0D0D" w:themeColor="text1" w:themeTint="F2"/>
          <w:sz w:val="22"/>
          <w:szCs w:val="22"/>
        </w:rPr>
        <w:t>Johnen, A. and Bertoux, M., 2019. Psychological and cognitive markers of behavioral variant frontotemporal dementia–A clinical neuropsychologist's view on diagnostic criteria and beyond. </w:t>
      </w:r>
      <w:r w:rsidRPr="00883B13">
        <w:rPr>
          <w:rFonts w:ascii="Arial" w:hAnsi="Arial" w:cs="Arial"/>
          <w:i/>
          <w:iCs/>
          <w:color w:val="0D0D0D" w:themeColor="text1" w:themeTint="F2"/>
          <w:sz w:val="22"/>
          <w:szCs w:val="22"/>
        </w:rPr>
        <w:t>Frontiers in neurology</w:t>
      </w:r>
      <w:r w:rsidRPr="00883B13">
        <w:rPr>
          <w:rFonts w:ascii="Arial" w:hAnsi="Arial" w:cs="Arial"/>
          <w:color w:val="0D0D0D" w:themeColor="text1" w:themeTint="F2"/>
          <w:sz w:val="22"/>
          <w:szCs w:val="22"/>
        </w:rPr>
        <w:t>, </w:t>
      </w:r>
      <w:r w:rsidRPr="00883B13">
        <w:rPr>
          <w:rFonts w:ascii="Arial" w:hAnsi="Arial" w:cs="Arial"/>
          <w:i/>
          <w:iCs/>
          <w:color w:val="0D0D0D" w:themeColor="text1" w:themeTint="F2"/>
          <w:sz w:val="22"/>
          <w:szCs w:val="22"/>
        </w:rPr>
        <w:t>10</w:t>
      </w:r>
      <w:r w:rsidRPr="00883B13">
        <w:rPr>
          <w:rFonts w:ascii="Arial" w:hAnsi="Arial" w:cs="Arial"/>
          <w:color w:val="0D0D0D" w:themeColor="text1" w:themeTint="F2"/>
          <w:sz w:val="22"/>
          <w:szCs w:val="22"/>
        </w:rPr>
        <w:t xml:space="preserve">, p.594. </w:t>
      </w:r>
      <w:r>
        <w:rPr>
          <w:rFonts w:ascii="Arial" w:hAnsi="Arial" w:cs="Arial"/>
          <w:color w:val="0D0D0D" w:themeColor="text1" w:themeTint="F2"/>
          <w:sz w:val="22"/>
          <w:szCs w:val="22"/>
        </w:rPr>
        <w:t xml:space="preserve">  </w:t>
      </w:r>
    </w:p>
    <w:p w14:paraId="7CD93F2F" w14:textId="77777777" w:rsidR="00921C3C" w:rsidRDefault="00921C3C" w:rsidP="00921C3C">
      <w:pPr>
        <w:spacing w:line="360" w:lineRule="auto"/>
        <w:ind w:left="720" w:hanging="720"/>
        <w:jc w:val="both"/>
        <w:rPr>
          <w:rFonts w:ascii="Arial" w:hAnsi="Arial" w:cs="Arial"/>
          <w:color w:val="0D0D0D" w:themeColor="text1" w:themeTint="F2"/>
          <w:sz w:val="22"/>
          <w:szCs w:val="22"/>
        </w:rPr>
      </w:pPr>
      <w:r w:rsidRPr="00374678">
        <w:rPr>
          <w:rFonts w:ascii="Arial" w:hAnsi="Arial" w:cs="Arial"/>
          <w:color w:val="0D0D0D" w:themeColor="text1" w:themeTint="F2"/>
          <w:sz w:val="22"/>
          <w:szCs w:val="22"/>
        </w:rPr>
        <w:lastRenderedPageBreak/>
        <w:t>Kellogg, M.C., 2022. </w:t>
      </w:r>
      <w:proofErr w:type="spellStart"/>
      <w:r w:rsidRPr="00374678">
        <w:rPr>
          <w:rFonts w:ascii="Arial" w:hAnsi="Arial" w:cs="Arial"/>
          <w:i/>
          <w:iCs/>
          <w:color w:val="0D0D0D" w:themeColor="text1" w:themeTint="F2"/>
          <w:sz w:val="22"/>
          <w:szCs w:val="22"/>
        </w:rPr>
        <w:t>Oiremos</w:t>
      </w:r>
      <w:proofErr w:type="spellEnd"/>
      <w:r w:rsidRPr="00374678">
        <w:rPr>
          <w:rFonts w:ascii="Arial" w:hAnsi="Arial" w:cs="Arial"/>
          <w:i/>
          <w:iCs/>
          <w:color w:val="0D0D0D" w:themeColor="text1" w:themeTint="F2"/>
          <w:sz w:val="22"/>
          <w:szCs w:val="22"/>
        </w:rPr>
        <w:t>: The development, implementation, and evaluation of a holistic health curriculum for a Hispanic youth enrichment program</w:t>
      </w:r>
      <w:r w:rsidRPr="00374678">
        <w:rPr>
          <w:rFonts w:ascii="Arial" w:hAnsi="Arial" w:cs="Arial"/>
          <w:color w:val="0D0D0D" w:themeColor="text1" w:themeTint="F2"/>
          <w:sz w:val="22"/>
          <w:szCs w:val="22"/>
        </w:rPr>
        <w:t> (Master's thesis, Yale University).</w:t>
      </w:r>
    </w:p>
    <w:p w14:paraId="3559E489" w14:textId="09EEC07F" w:rsidR="00921C3C" w:rsidRPr="00921C3C" w:rsidRDefault="00921C3C" w:rsidP="00921C3C">
      <w:pPr>
        <w:spacing w:line="360" w:lineRule="auto"/>
        <w:ind w:left="720" w:hanging="720"/>
        <w:jc w:val="both"/>
        <w:rPr>
          <w:rFonts w:ascii="Arial" w:hAnsi="Arial" w:cs="Arial"/>
          <w:color w:val="0D0D0D" w:themeColor="text1" w:themeTint="F2"/>
          <w:sz w:val="22"/>
          <w:szCs w:val="22"/>
        </w:rPr>
      </w:pPr>
      <w:r w:rsidRPr="00921C3C">
        <w:rPr>
          <w:rFonts w:ascii="Arial" w:hAnsi="Arial" w:cs="Arial"/>
          <w:color w:val="0D0D0D" w:themeColor="text1" w:themeTint="F2"/>
          <w:sz w:val="22"/>
          <w:szCs w:val="22"/>
        </w:rPr>
        <w:t xml:space="preserve">Kretchmar, J. (2024). </w:t>
      </w:r>
      <w:r w:rsidRPr="00921C3C">
        <w:rPr>
          <w:rFonts w:ascii="Arial" w:hAnsi="Arial" w:cs="Arial"/>
          <w:i/>
          <w:iCs/>
          <w:color w:val="0D0D0D" w:themeColor="text1" w:themeTint="F2"/>
          <w:sz w:val="22"/>
          <w:szCs w:val="22"/>
        </w:rPr>
        <w:t xml:space="preserve">Social learning </w:t>
      </w:r>
      <w:proofErr w:type="gramStart"/>
      <w:r w:rsidRPr="00921C3C">
        <w:rPr>
          <w:rFonts w:ascii="Arial" w:hAnsi="Arial" w:cs="Arial"/>
          <w:i/>
          <w:iCs/>
          <w:color w:val="0D0D0D" w:themeColor="text1" w:themeTint="F2"/>
          <w:sz w:val="22"/>
          <w:szCs w:val="22"/>
        </w:rPr>
        <w:t xml:space="preserve">theory </w:t>
      </w:r>
      <w:r w:rsidRPr="00921C3C">
        <w:rPr>
          <w:rFonts w:ascii="Arial" w:hAnsi="Arial" w:cs="Arial"/>
          <w:color w:val="0D0D0D" w:themeColor="text1" w:themeTint="F2"/>
          <w:sz w:val="22"/>
          <w:szCs w:val="22"/>
        </w:rPr>
        <w:t>.</w:t>
      </w:r>
      <w:proofErr w:type="gramEnd"/>
      <w:r w:rsidRPr="00921C3C">
        <w:rPr>
          <w:rFonts w:ascii="Arial" w:hAnsi="Arial" w:cs="Arial"/>
          <w:color w:val="0D0D0D" w:themeColor="text1" w:themeTint="F2"/>
          <w:sz w:val="22"/>
          <w:szCs w:val="22"/>
        </w:rPr>
        <w:t xml:space="preserve"> [online] EBSCO. Available at: </w:t>
      </w:r>
      <w:hyperlink r:id="rId13" w:history="1">
        <w:r w:rsidRPr="00921C3C">
          <w:rPr>
            <w:rStyle w:val="Hyperlink"/>
            <w:rFonts w:ascii="Arial" w:hAnsi="Arial" w:cs="Arial"/>
            <w:color w:val="056AD0" w:themeColor="hyperlink" w:themeTint="F2"/>
            <w:sz w:val="22"/>
            <w:szCs w:val="22"/>
          </w:rPr>
          <w:t>https://www.ebsco.com/research-starters/education/social-learning-theory</w:t>
        </w:r>
      </w:hyperlink>
      <w:r w:rsidRPr="00921C3C">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54A13C5A" w14:textId="4A9C48C6" w:rsidR="00921C3C" w:rsidRPr="00A53BC5" w:rsidRDefault="00921C3C" w:rsidP="00921C3C">
      <w:pPr>
        <w:spacing w:line="360" w:lineRule="auto"/>
        <w:ind w:left="720" w:hanging="720"/>
        <w:jc w:val="both"/>
      </w:pPr>
      <w:r w:rsidRPr="00921C3C">
        <w:rPr>
          <w:rFonts w:ascii="Arial" w:hAnsi="Arial" w:cs="Arial"/>
          <w:color w:val="0D0D0D" w:themeColor="text1" w:themeTint="F2"/>
          <w:sz w:val="22"/>
          <w:szCs w:val="22"/>
        </w:rPr>
        <w:t xml:space="preserve">Lorber, M., Mlinar </w:t>
      </w:r>
      <w:proofErr w:type="spellStart"/>
      <w:r w:rsidRPr="00921C3C">
        <w:rPr>
          <w:rFonts w:ascii="Arial" w:hAnsi="Arial" w:cs="Arial"/>
          <w:color w:val="0D0D0D" w:themeColor="text1" w:themeTint="F2"/>
          <w:sz w:val="22"/>
          <w:szCs w:val="22"/>
        </w:rPr>
        <w:t>Reljić</w:t>
      </w:r>
      <w:proofErr w:type="spellEnd"/>
      <w:r w:rsidRPr="00921C3C">
        <w:rPr>
          <w:rFonts w:ascii="Arial" w:hAnsi="Arial" w:cs="Arial"/>
          <w:color w:val="0D0D0D" w:themeColor="text1" w:themeTint="F2"/>
          <w:sz w:val="22"/>
          <w:szCs w:val="22"/>
        </w:rPr>
        <w:t>, N., McCormack, B. and Kmetec, S., 2025, June. Person-Centred Care in Association with Psychological Well-Being of Older Adults. In </w:t>
      </w:r>
      <w:r w:rsidRPr="00921C3C">
        <w:rPr>
          <w:rFonts w:ascii="Arial" w:hAnsi="Arial" w:cs="Arial"/>
          <w:i/>
          <w:iCs/>
          <w:color w:val="0D0D0D" w:themeColor="text1" w:themeTint="F2"/>
          <w:sz w:val="22"/>
          <w:szCs w:val="22"/>
        </w:rPr>
        <w:t>Healthcare</w:t>
      </w:r>
      <w:r w:rsidRPr="00921C3C">
        <w:rPr>
          <w:rFonts w:ascii="Arial" w:hAnsi="Arial" w:cs="Arial"/>
          <w:color w:val="0D0D0D" w:themeColor="text1" w:themeTint="F2"/>
          <w:sz w:val="22"/>
          <w:szCs w:val="22"/>
        </w:rPr>
        <w:t> (Vol. 13, No. 12, p. 1379). MDPI.</w:t>
      </w:r>
      <w:r>
        <w:rPr>
          <w:rFonts w:ascii="Arial" w:hAnsi="Arial" w:cs="Arial"/>
          <w:color w:val="0D0D0D" w:themeColor="text1" w:themeTint="F2"/>
          <w:sz w:val="22"/>
          <w:szCs w:val="22"/>
        </w:rPr>
        <w:t xml:space="preserve"> </w:t>
      </w:r>
    </w:p>
    <w:p w14:paraId="489527B4" w14:textId="45B16021" w:rsidR="00921C3C" w:rsidRPr="00CF0F47" w:rsidRDefault="00921C3C" w:rsidP="00921C3C">
      <w:pPr>
        <w:spacing w:line="360" w:lineRule="auto"/>
        <w:ind w:left="720" w:hanging="720"/>
        <w:jc w:val="both"/>
        <w:rPr>
          <w:rFonts w:ascii="Arial" w:hAnsi="Arial" w:cs="Arial"/>
          <w:color w:val="0D0D0D" w:themeColor="text1" w:themeTint="F2"/>
          <w:sz w:val="22"/>
          <w:szCs w:val="22"/>
        </w:rPr>
      </w:pPr>
      <w:r w:rsidRPr="00CF0F47">
        <w:rPr>
          <w:rFonts w:ascii="Arial" w:hAnsi="Arial" w:cs="Arial"/>
          <w:i/>
          <w:iCs/>
          <w:color w:val="0D0D0D" w:themeColor="text1" w:themeTint="F2"/>
          <w:sz w:val="22"/>
          <w:szCs w:val="22"/>
        </w:rPr>
        <w:t>McLeod, S. (2018). Erik Erikson’s Stages of Psychosocial Development. - References - Scientific Research Publishing</w:t>
      </w:r>
      <w:r w:rsidRPr="00CF0F47">
        <w:rPr>
          <w:rFonts w:ascii="Arial" w:hAnsi="Arial" w:cs="Arial"/>
          <w:color w:val="0D0D0D" w:themeColor="text1" w:themeTint="F2"/>
          <w:sz w:val="22"/>
          <w:szCs w:val="22"/>
        </w:rPr>
        <w:t xml:space="preserve"> (no date). </w:t>
      </w:r>
      <w:hyperlink r:id="rId14" w:history="1">
        <w:r w:rsidRPr="00CF0F47">
          <w:rPr>
            <w:rStyle w:val="Hyperlink"/>
            <w:rFonts w:ascii="Arial" w:hAnsi="Arial" w:cs="Arial"/>
            <w:color w:val="056AD0" w:themeColor="hyperlink" w:themeTint="F2"/>
            <w:sz w:val="22"/>
            <w:szCs w:val="22"/>
          </w:rPr>
          <w:t>https://www.scirp.org/reference/referencespapers?referenceid=3376911</w:t>
        </w:r>
      </w:hyperlink>
      <w:r w:rsidRPr="00CF0F47">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1D210A85" w14:textId="4D883BC8" w:rsidR="00921C3C" w:rsidRPr="00811527" w:rsidRDefault="00921C3C" w:rsidP="00921C3C">
      <w:pPr>
        <w:spacing w:line="360" w:lineRule="auto"/>
        <w:ind w:left="720" w:hanging="720"/>
        <w:jc w:val="both"/>
        <w:rPr>
          <w:rFonts w:ascii="Arial" w:hAnsi="Arial" w:cs="Arial"/>
          <w:color w:val="0D0D0D" w:themeColor="text1" w:themeTint="F2"/>
          <w:sz w:val="22"/>
          <w:szCs w:val="22"/>
        </w:rPr>
      </w:pPr>
      <w:r w:rsidRPr="00811527">
        <w:rPr>
          <w:rFonts w:ascii="Arial" w:hAnsi="Arial" w:cs="Arial"/>
          <w:color w:val="0D0D0D" w:themeColor="text1" w:themeTint="F2"/>
          <w:sz w:val="22"/>
          <w:szCs w:val="22"/>
        </w:rPr>
        <w:t xml:space="preserve">Orenstein, G.A. and Lewis, L. (2022) </w:t>
      </w:r>
      <w:r w:rsidRPr="00811527">
        <w:rPr>
          <w:rFonts w:ascii="Arial" w:hAnsi="Arial" w:cs="Arial"/>
          <w:i/>
          <w:iCs/>
          <w:color w:val="0D0D0D" w:themeColor="text1" w:themeTint="F2"/>
          <w:sz w:val="22"/>
          <w:szCs w:val="22"/>
        </w:rPr>
        <w:t>Erikson’s Stages of Psychosocial Development</w:t>
      </w:r>
      <w:r w:rsidRPr="00811527">
        <w:rPr>
          <w:rFonts w:ascii="Arial" w:hAnsi="Arial" w:cs="Arial"/>
          <w:color w:val="0D0D0D" w:themeColor="text1" w:themeTint="F2"/>
          <w:sz w:val="22"/>
          <w:szCs w:val="22"/>
        </w:rPr>
        <w:t xml:space="preserve">. </w:t>
      </w:r>
      <w:hyperlink r:id="rId15" w:history="1">
        <w:r w:rsidRPr="00811527">
          <w:rPr>
            <w:rStyle w:val="Hyperlink"/>
            <w:rFonts w:ascii="Arial" w:hAnsi="Arial" w:cs="Arial"/>
            <w:color w:val="056AD0" w:themeColor="hyperlink" w:themeTint="F2"/>
            <w:sz w:val="22"/>
            <w:szCs w:val="22"/>
          </w:rPr>
          <w:t>https://www.ncbi.nlm.nih.gov/books/NBK556096/</w:t>
        </w:r>
      </w:hyperlink>
      <w:r w:rsidRPr="00811527">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179D59E6" w14:textId="6061B2BA" w:rsidR="00921C3C" w:rsidRPr="00374678" w:rsidRDefault="00921C3C" w:rsidP="00921C3C">
      <w:pPr>
        <w:spacing w:line="360" w:lineRule="auto"/>
        <w:ind w:left="720" w:hanging="720"/>
        <w:jc w:val="both"/>
        <w:rPr>
          <w:rFonts w:ascii="Arial" w:hAnsi="Arial" w:cs="Arial"/>
          <w:color w:val="0D0D0D" w:themeColor="text1" w:themeTint="F2"/>
          <w:sz w:val="22"/>
          <w:szCs w:val="22"/>
        </w:rPr>
      </w:pPr>
      <w:r w:rsidRPr="00374678">
        <w:rPr>
          <w:rFonts w:ascii="Arial" w:hAnsi="Arial" w:cs="Arial"/>
          <w:color w:val="0D0D0D" w:themeColor="text1" w:themeTint="F2"/>
          <w:sz w:val="22"/>
          <w:szCs w:val="22"/>
        </w:rPr>
        <w:t xml:space="preserve">Psychology, S. (2025) </w:t>
      </w:r>
      <w:r w:rsidRPr="00374678">
        <w:rPr>
          <w:rFonts w:ascii="Arial" w:hAnsi="Arial" w:cs="Arial"/>
          <w:i/>
          <w:iCs/>
          <w:color w:val="0D0D0D" w:themeColor="text1" w:themeTint="F2"/>
          <w:sz w:val="22"/>
          <w:szCs w:val="22"/>
        </w:rPr>
        <w:t xml:space="preserve">Albert Bandura's Social Learning Theory </w:t>
      </w:r>
      <w:proofErr w:type="gramStart"/>
      <w:r w:rsidRPr="00374678">
        <w:rPr>
          <w:rFonts w:ascii="Arial" w:hAnsi="Arial" w:cs="Arial"/>
          <w:i/>
          <w:iCs/>
          <w:color w:val="0D0D0D" w:themeColor="text1" w:themeTint="F2"/>
          <w:sz w:val="22"/>
          <w:szCs w:val="22"/>
        </w:rPr>
        <w:t>In</w:t>
      </w:r>
      <w:proofErr w:type="gramEnd"/>
      <w:r w:rsidRPr="00374678">
        <w:rPr>
          <w:rFonts w:ascii="Arial" w:hAnsi="Arial" w:cs="Arial"/>
          <w:i/>
          <w:iCs/>
          <w:color w:val="0D0D0D" w:themeColor="text1" w:themeTint="F2"/>
          <w:sz w:val="22"/>
          <w:szCs w:val="22"/>
        </w:rPr>
        <w:t xml:space="preserve"> Psychology</w:t>
      </w:r>
      <w:r w:rsidRPr="00374678">
        <w:rPr>
          <w:rFonts w:ascii="Arial" w:hAnsi="Arial" w:cs="Arial"/>
          <w:color w:val="0D0D0D" w:themeColor="text1" w:themeTint="F2"/>
          <w:sz w:val="22"/>
          <w:szCs w:val="22"/>
        </w:rPr>
        <w:t xml:space="preserve">. </w:t>
      </w:r>
      <w:hyperlink r:id="rId16" w:history="1">
        <w:r w:rsidRPr="00374678">
          <w:rPr>
            <w:rStyle w:val="Hyperlink"/>
            <w:rFonts w:ascii="Arial" w:hAnsi="Arial" w:cs="Arial"/>
            <w:color w:val="056AD0" w:themeColor="hyperlink" w:themeTint="F2"/>
            <w:sz w:val="22"/>
            <w:szCs w:val="22"/>
          </w:rPr>
          <w:t>https://www.simplypsychology.org/bandura.html</w:t>
        </w:r>
      </w:hyperlink>
      <w:r w:rsidRPr="00374678">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0A8E8E45" w14:textId="77777777" w:rsidR="00921C3C" w:rsidRDefault="00921C3C" w:rsidP="00921C3C">
      <w:pPr>
        <w:spacing w:line="360" w:lineRule="auto"/>
        <w:ind w:left="720" w:hanging="720"/>
        <w:jc w:val="both"/>
        <w:rPr>
          <w:rFonts w:ascii="Arial" w:hAnsi="Arial" w:cs="Arial"/>
          <w:color w:val="0D0D0D" w:themeColor="text1" w:themeTint="F2"/>
          <w:sz w:val="22"/>
          <w:szCs w:val="22"/>
        </w:rPr>
      </w:pPr>
      <w:r w:rsidRPr="001C1962">
        <w:rPr>
          <w:rFonts w:ascii="Arial" w:hAnsi="Arial" w:cs="Arial"/>
          <w:color w:val="0D0D0D" w:themeColor="text1" w:themeTint="F2"/>
          <w:sz w:val="22"/>
          <w:szCs w:val="22"/>
        </w:rPr>
        <w:t xml:space="preserve">Psychology, S. (2025) </w:t>
      </w:r>
      <w:r w:rsidRPr="001C1962">
        <w:rPr>
          <w:rFonts w:ascii="Arial" w:hAnsi="Arial" w:cs="Arial"/>
          <w:i/>
          <w:iCs/>
          <w:color w:val="0D0D0D" w:themeColor="text1" w:themeTint="F2"/>
          <w:sz w:val="22"/>
          <w:szCs w:val="22"/>
        </w:rPr>
        <w:t>Erikson's Stages of Development</w:t>
      </w:r>
      <w:r w:rsidRPr="001C1962">
        <w:rPr>
          <w:rFonts w:ascii="Arial" w:hAnsi="Arial" w:cs="Arial"/>
          <w:color w:val="0D0D0D" w:themeColor="text1" w:themeTint="F2"/>
          <w:sz w:val="22"/>
          <w:szCs w:val="22"/>
        </w:rPr>
        <w:t xml:space="preserve">. </w:t>
      </w:r>
      <w:hyperlink r:id="rId17" w:history="1">
        <w:r w:rsidRPr="001C1962">
          <w:rPr>
            <w:rStyle w:val="Hyperlink"/>
            <w:rFonts w:ascii="Arial" w:hAnsi="Arial" w:cs="Arial"/>
            <w:color w:val="056AD0" w:themeColor="hyperlink" w:themeTint="F2"/>
            <w:sz w:val="22"/>
            <w:szCs w:val="22"/>
          </w:rPr>
          <w:t>https://www.simplypsychology.org/erik-erikson.html</w:t>
        </w:r>
      </w:hyperlink>
      <w:r w:rsidRPr="001C1962">
        <w:rPr>
          <w:rFonts w:ascii="Arial" w:hAnsi="Arial" w:cs="Arial"/>
          <w:color w:val="0D0D0D" w:themeColor="text1" w:themeTint="F2"/>
          <w:sz w:val="22"/>
          <w:szCs w:val="22"/>
        </w:rPr>
        <w:t>.</w:t>
      </w:r>
    </w:p>
    <w:p w14:paraId="19F4AC02" w14:textId="3970E39A" w:rsidR="00921C3C" w:rsidRPr="00811527" w:rsidRDefault="00921C3C" w:rsidP="00921C3C">
      <w:pPr>
        <w:spacing w:line="360" w:lineRule="auto"/>
        <w:ind w:left="720" w:hanging="720"/>
        <w:jc w:val="both"/>
        <w:rPr>
          <w:rFonts w:ascii="Arial" w:hAnsi="Arial" w:cs="Arial"/>
          <w:color w:val="0D0D0D" w:themeColor="text1" w:themeTint="F2"/>
          <w:sz w:val="22"/>
          <w:szCs w:val="22"/>
        </w:rPr>
      </w:pPr>
      <w:r w:rsidRPr="00811527">
        <w:rPr>
          <w:rFonts w:ascii="Arial" w:hAnsi="Arial" w:cs="Arial"/>
          <w:color w:val="0D0D0D" w:themeColor="text1" w:themeTint="F2"/>
          <w:sz w:val="22"/>
          <w:szCs w:val="22"/>
        </w:rPr>
        <w:t xml:space="preserve">Resource Center. (2023). </w:t>
      </w:r>
      <w:r w:rsidRPr="00811527">
        <w:rPr>
          <w:rFonts w:ascii="Arial" w:hAnsi="Arial" w:cs="Arial"/>
          <w:i/>
          <w:iCs/>
          <w:color w:val="0D0D0D" w:themeColor="text1" w:themeTint="F2"/>
          <w:sz w:val="22"/>
          <w:szCs w:val="22"/>
        </w:rPr>
        <w:t>Erik Erikson’s 8 Stages of Psychosocial Development</w:t>
      </w:r>
      <w:r w:rsidRPr="00811527">
        <w:rPr>
          <w:rFonts w:ascii="Arial" w:hAnsi="Arial" w:cs="Arial"/>
          <w:color w:val="0D0D0D" w:themeColor="text1" w:themeTint="F2"/>
          <w:sz w:val="22"/>
          <w:szCs w:val="22"/>
        </w:rPr>
        <w:t xml:space="preserve">. [online] Available at: </w:t>
      </w:r>
      <w:hyperlink r:id="rId18" w:history="1">
        <w:r w:rsidRPr="00811527">
          <w:rPr>
            <w:rStyle w:val="Hyperlink"/>
            <w:rFonts w:ascii="Arial" w:hAnsi="Arial" w:cs="Arial"/>
            <w:color w:val="056AD0" w:themeColor="hyperlink" w:themeTint="F2"/>
            <w:sz w:val="22"/>
            <w:szCs w:val="22"/>
          </w:rPr>
          <w:t>https://omnean.zendesk.com/hc/en-us/articles/14039925133463-Erik-Erikson-s-8-Stages-of-Psychosocial-Development</w:t>
        </w:r>
      </w:hyperlink>
      <w:r w:rsidRPr="00811527">
        <w:rPr>
          <w:rFonts w:ascii="Arial" w:hAnsi="Arial" w:cs="Arial"/>
          <w:color w:val="0D0D0D" w:themeColor="text1" w:themeTint="F2"/>
          <w:sz w:val="22"/>
          <w:szCs w:val="22"/>
        </w:rPr>
        <w:t>.</w:t>
      </w:r>
      <w:r>
        <w:rPr>
          <w:rFonts w:ascii="Arial" w:hAnsi="Arial" w:cs="Arial"/>
          <w:color w:val="0D0D0D" w:themeColor="text1" w:themeTint="F2"/>
          <w:sz w:val="22"/>
          <w:szCs w:val="22"/>
        </w:rPr>
        <w:t xml:space="preserve"> </w:t>
      </w:r>
    </w:p>
    <w:p w14:paraId="5A779261" w14:textId="562F56A8" w:rsidR="00921C3C" w:rsidRDefault="00921C3C" w:rsidP="00921C3C">
      <w:pPr>
        <w:spacing w:line="360" w:lineRule="auto"/>
        <w:ind w:left="720" w:hanging="720"/>
        <w:jc w:val="both"/>
        <w:rPr>
          <w:rFonts w:ascii="Arial" w:hAnsi="Arial" w:cs="Arial"/>
          <w:color w:val="0D0D0D" w:themeColor="text1" w:themeTint="F2"/>
          <w:sz w:val="22"/>
          <w:szCs w:val="22"/>
        </w:rPr>
      </w:pPr>
      <w:r w:rsidRPr="00811527">
        <w:rPr>
          <w:rFonts w:ascii="Arial" w:hAnsi="Arial" w:cs="Arial"/>
          <w:color w:val="0D0D0D" w:themeColor="text1" w:themeTint="F2"/>
          <w:sz w:val="22"/>
          <w:szCs w:val="22"/>
        </w:rPr>
        <w:t>Ross, C.A. and Margolis, R.L., 2019. Research domain criteria: strengths, weaknesses, and potential alternatives for future psychiatric research. </w:t>
      </w:r>
      <w:r w:rsidRPr="00811527">
        <w:rPr>
          <w:rFonts w:ascii="Arial" w:hAnsi="Arial" w:cs="Arial"/>
          <w:i/>
          <w:iCs/>
          <w:color w:val="0D0D0D" w:themeColor="text1" w:themeTint="F2"/>
          <w:sz w:val="22"/>
          <w:szCs w:val="22"/>
        </w:rPr>
        <w:t>Complex Psychiatry</w:t>
      </w:r>
      <w:r w:rsidRPr="00811527">
        <w:rPr>
          <w:rFonts w:ascii="Arial" w:hAnsi="Arial" w:cs="Arial"/>
          <w:color w:val="0D0D0D" w:themeColor="text1" w:themeTint="F2"/>
          <w:sz w:val="22"/>
          <w:szCs w:val="22"/>
        </w:rPr>
        <w:t>, </w:t>
      </w:r>
      <w:r w:rsidRPr="00811527">
        <w:rPr>
          <w:rFonts w:ascii="Arial" w:hAnsi="Arial" w:cs="Arial"/>
          <w:i/>
          <w:iCs/>
          <w:color w:val="0D0D0D" w:themeColor="text1" w:themeTint="F2"/>
          <w:sz w:val="22"/>
          <w:szCs w:val="22"/>
        </w:rPr>
        <w:t>5</w:t>
      </w:r>
      <w:r w:rsidRPr="00811527">
        <w:rPr>
          <w:rFonts w:ascii="Arial" w:hAnsi="Arial" w:cs="Arial"/>
          <w:color w:val="0D0D0D" w:themeColor="text1" w:themeTint="F2"/>
          <w:sz w:val="22"/>
          <w:szCs w:val="22"/>
        </w:rPr>
        <w:t>(4), pp.218-236.</w:t>
      </w:r>
      <w:r>
        <w:rPr>
          <w:rFonts w:ascii="Arial" w:hAnsi="Arial" w:cs="Arial"/>
          <w:color w:val="0D0D0D" w:themeColor="text1" w:themeTint="F2"/>
          <w:sz w:val="22"/>
          <w:szCs w:val="22"/>
        </w:rPr>
        <w:t xml:space="preserve"> </w:t>
      </w:r>
    </w:p>
    <w:p w14:paraId="38378248" w14:textId="711C5E6B" w:rsidR="00921C3C" w:rsidRDefault="00921C3C" w:rsidP="00921C3C">
      <w:pPr>
        <w:spacing w:line="360" w:lineRule="auto"/>
        <w:ind w:left="720" w:hanging="720"/>
        <w:jc w:val="both"/>
        <w:rPr>
          <w:rFonts w:ascii="Arial" w:hAnsi="Arial" w:cs="Arial"/>
          <w:color w:val="0D0D0D" w:themeColor="text1" w:themeTint="F2"/>
          <w:sz w:val="22"/>
          <w:szCs w:val="22"/>
        </w:rPr>
      </w:pPr>
      <w:proofErr w:type="spellStart"/>
      <w:r w:rsidRPr="00374678">
        <w:rPr>
          <w:rFonts w:ascii="Arial" w:hAnsi="Arial" w:cs="Arial"/>
          <w:color w:val="0D0D0D" w:themeColor="text1" w:themeTint="F2"/>
          <w:sz w:val="22"/>
          <w:szCs w:val="22"/>
        </w:rPr>
        <w:t>Savundranayagam</w:t>
      </w:r>
      <w:proofErr w:type="spellEnd"/>
      <w:r w:rsidRPr="00374678">
        <w:rPr>
          <w:rFonts w:ascii="Arial" w:hAnsi="Arial" w:cs="Arial"/>
          <w:color w:val="0D0D0D" w:themeColor="text1" w:themeTint="F2"/>
          <w:sz w:val="22"/>
          <w:szCs w:val="22"/>
        </w:rPr>
        <w:t xml:space="preserve">, M.Y., </w:t>
      </w:r>
      <w:proofErr w:type="spellStart"/>
      <w:r w:rsidRPr="00374678">
        <w:rPr>
          <w:rFonts w:ascii="Arial" w:hAnsi="Arial" w:cs="Arial"/>
          <w:color w:val="0D0D0D" w:themeColor="text1" w:themeTint="F2"/>
          <w:sz w:val="22"/>
          <w:szCs w:val="22"/>
        </w:rPr>
        <w:t>Sibalija</w:t>
      </w:r>
      <w:proofErr w:type="spellEnd"/>
      <w:r w:rsidRPr="00374678">
        <w:rPr>
          <w:rFonts w:ascii="Arial" w:hAnsi="Arial" w:cs="Arial"/>
          <w:color w:val="0D0D0D" w:themeColor="text1" w:themeTint="F2"/>
          <w:sz w:val="22"/>
          <w:szCs w:val="22"/>
        </w:rPr>
        <w:t xml:space="preserve">, J. and </w:t>
      </w:r>
      <w:proofErr w:type="spellStart"/>
      <w:r w:rsidRPr="00374678">
        <w:rPr>
          <w:rFonts w:ascii="Arial" w:hAnsi="Arial" w:cs="Arial"/>
          <w:color w:val="0D0D0D" w:themeColor="text1" w:themeTint="F2"/>
          <w:sz w:val="22"/>
          <w:szCs w:val="22"/>
        </w:rPr>
        <w:t>Scotchmer</w:t>
      </w:r>
      <w:proofErr w:type="spellEnd"/>
      <w:r w:rsidRPr="00374678">
        <w:rPr>
          <w:rFonts w:ascii="Arial" w:hAnsi="Arial" w:cs="Arial"/>
          <w:color w:val="0D0D0D" w:themeColor="text1" w:themeTint="F2"/>
          <w:sz w:val="22"/>
          <w:szCs w:val="22"/>
        </w:rPr>
        <w:t>, E., 2016. Resident reactions to person-centered communication by long-term care staff. </w:t>
      </w:r>
      <w:r w:rsidRPr="00374678">
        <w:rPr>
          <w:rFonts w:ascii="Arial" w:hAnsi="Arial" w:cs="Arial"/>
          <w:i/>
          <w:iCs/>
          <w:color w:val="0D0D0D" w:themeColor="text1" w:themeTint="F2"/>
          <w:sz w:val="22"/>
          <w:szCs w:val="22"/>
        </w:rPr>
        <w:t>American Journal of Alzheimer's Disease &amp; Other Dementias®</w:t>
      </w:r>
      <w:r w:rsidRPr="00374678">
        <w:rPr>
          <w:rFonts w:ascii="Arial" w:hAnsi="Arial" w:cs="Arial"/>
          <w:color w:val="0D0D0D" w:themeColor="text1" w:themeTint="F2"/>
          <w:sz w:val="22"/>
          <w:szCs w:val="22"/>
        </w:rPr>
        <w:t>, </w:t>
      </w:r>
      <w:r w:rsidRPr="00374678">
        <w:rPr>
          <w:rFonts w:ascii="Arial" w:hAnsi="Arial" w:cs="Arial"/>
          <w:i/>
          <w:iCs/>
          <w:color w:val="0D0D0D" w:themeColor="text1" w:themeTint="F2"/>
          <w:sz w:val="22"/>
          <w:szCs w:val="22"/>
        </w:rPr>
        <w:t>31</w:t>
      </w:r>
      <w:r w:rsidRPr="00374678">
        <w:rPr>
          <w:rFonts w:ascii="Arial" w:hAnsi="Arial" w:cs="Arial"/>
          <w:color w:val="0D0D0D" w:themeColor="text1" w:themeTint="F2"/>
          <w:sz w:val="22"/>
          <w:szCs w:val="22"/>
        </w:rPr>
        <w:t>(6), pp.530-537.</w:t>
      </w:r>
      <w:r>
        <w:rPr>
          <w:rFonts w:ascii="Arial" w:hAnsi="Arial" w:cs="Arial"/>
          <w:color w:val="0D0D0D" w:themeColor="text1" w:themeTint="F2"/>
          <w:sz w:val="22"/>
          <w:szCs w:val="22"/>
        </w:rPr>
        <w:t xml:space="preserve"> </w:t>
      </w:r>
    </w:p>
    <w:sectPr w:rsidR="00921C3C" w:rsidSect="00921C3C">
      <w:head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155D1" w14:textId="77777777" w:rsidR="00AC5DBD" w:rsidRDefault="00AC5DBD" w:rsidP="00921C3C">
      <w:pPr>
        <w:spacing w:after="0" w:line="240" w:lineRule="auto"/>
      </w:pPr>
      <w:r>
        <w:separator/>
      </w:r>
    </w:p>
  </w:endnote>
  <w:endnote w:type="continuationSeparator" w:id="0">
    <w:p w14:paraId="040A7E48" w14:textId="77777777" w:rsidR="00AC5DBD" w:rsidRDefault="00AC5DBD" w:rsidP="00921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49257" w14:textId="77777777" w:rsidR="00AC5DBD" w:rsidRDefault="00AC5DBD" w:rsidP="00921C3C">
      <w:pPr>
        <w:spacing w:after="0" w:line="240" w:lineRule="auto"/>
      </w:pPr>
      <w:r>
        <w:separator/>
      </w:r>
    </w:p>
  </w:footnote>
  <w:footnote w:type="continuationSeparator" w:id="0">
    <w:p w14:paraId="4429289B" w14:textId="77777777" w:rsidR="00AC5DBD" w:rsidRDefault="00AC5DBD" w:rsidP="00921C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182010"/>
      <w:docPartObj>
        <w:docPartGallery w:val="Page Numbers (Top of Page)"/>
        <w:docPartUnique/>
      </w:docPartObj>
    </w:sdtPr>
    <w:sdtEndPr>
      <w:rPr>
        <w:noProof/>
      </w:rPr>
    </w:sdtEndPr>
    <w:sdtContent>
      <w:p w14:paraId="6A6EA918" w14:textId="3ED9F627" w:rsidR="00921C3C" w:rsidRDefault="00921C3C">
        <w:pPr>
          <w:pStyle w:val="Header"/>
        </w:pPr>
        <w:r>
          <w:fldChar w:fldCharType="begin"/>
        </w:r>
        <w:r>
          <w:instrText xml:space="preserve"> PAGE   \* MERGEFORMAT </w:instrText>
        </w:r>
        <w:r>
          <w:fldChar w:fldCharType="separate"/>
        </w:r>
        <w:r>
          <w:rPr>
            <w:noProof/>
          </w:rPr>
          <w:t>2</w:t>
        </w:r>
        <w:r>
          <w:rPr>
            <w:noProof/>
          </w:rPr>
          <w:fldChar w:fldCharType="end"/>
        </w:r>
      </w:p>
    </w:sdtContent>
  </w:sdt>
  <w:p w14:paraId="2E10A3B8" w14:textId="77777777" w:rsidR="00921C3C" w:rsidRDefault="00921C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BC5"/>
    <w:rsid w:val="000F11C2"/>
    <w:rsid w:val="001B6533"/>
    <w:rsid w:val="001C1962"/>
    <w:rsid w:val="002C5E45"/>
    <w:rsid w:val="00374678"/>
    <w:rsid w:val="00434395"/>
    <w:rsid w:val="00707F9F"/>
    <w:rsid w:val="00811527"/>
    <w:rsid w:val="00883B13"/>
    <w:rsid w:val="008949CF"/>
    <w:rsid w:val="00921C3C"/>
    <w:rsid w:val="009D7876"/>
    <w:rsid w:val="00A53BC5"/>
    <w:rsid w:val="00AC5DBD"/>
    <w:rsid w:val="00B45585"/>
    <w:rsid w:val="00C44C25"/>
    <w:rsid w:val="00CF0F47"/>
    <w:rsid w:val="00D27592"/>
    <w:rsid w:val="00EF4CBB"/>
    <w:rsid w:val="00F042AB"/>
    <w:rsid w:val="00F956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48500"/>
  <w15:chartTrackingRefBased/>
  <w15:docId w15:val="{6A04648F-1F48-4ECB-85CF-33FDBFC03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B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53B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3B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3B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3B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3B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3B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3B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3B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B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53B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3B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3B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3B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3B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3B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3B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3BC5"/>
    <w:rPr>
      <w:rFonts w:eastAsiaTheme="majorEastAsia" w:cstheme="majorBidi"/>
      <w:color w:val="272727" w:themeColor="text1" w:themeTint="D8"/>
    </w:rPr>
  </w:style>
  <w:style w:type="paragraph" w:styleId="Title">
    <w:name w:val="Title"/>
    <w:basedOn w:val="Normal"/>
    <w:next w:val="Normal"/>
    <w:link w:val="TitleChar"/>
    <w:uiPriority w:val="10"/>
    <w:qFormat/>
    <w:rsid w:val="00A53B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B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3B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3B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3BC5"/>
    <w:pPr>
      <w:spacing w:before="160"/>
      <w:jc w:val="center"/>
    </w:pPr>
    <w:rPr>
      <w:i/>
      <w:iCs/>
      <w:color w:val="404040" w:themeColor="text1" w:themeTint="BF"/>
    </w:rPr>
  </w:style>
  <w:style w:type="character" w:customStyle="1" w:styleId="QuoteChar">
    <w:name w:val="Quote Char"/>
    <w:basedOn w:val="DefaultParagraphFont"/>
    <w:link w:val="Quote"/>
    <w:uiPriority w:val="29"/>
    <w:rsid w:val="00A53BC5"/>
    <w:rPr>
      <w:i/>
      <w:iCs/>
      <w:color w:val="404040" w:themeColor="text1" w:themeTint="BF"/>
    </w:rPr>
  </w:style>
  <w:style w:type="paragraph" w:styleId="ListParagraph">
    <w:name w:val="List Paragraph"/>
    <w:basedOn w:val="Normal"/>
    <w:uiPriority w:val="34"/>
    <w:qFormat/>
    <w:rsid w:val="00A53BC5"/>
    <w:pPr>
      <w:ind w:left="720"/>
      <w:contextualSpacing/>
    </w:pPr>
  </w:style>
  <w:style w:type="character" w:styleId="IntenseEmphasis">
    <w:name w:val="Intense Emphasis"/>
    <w:basedOn w:val="DefaultParagraphFont"/>
    <w:uiPriority w:val="21"/>
    <w:qFormat/>
    <w:rsid w:val="00A53BC5"/>
    <w:rPr>
      <w:i/>
      <w:iCs/>
      <w:color w:val="2F5496" w:themeColor="accent1" w:themeShade="BF"/>
    </w:rPr>
  </w:style>
  <w:style w:type="paragraph" w:styleId="IntenseQuote">
    <w:name w:val="Intense Quote"/>
    <w:basedOn w:val="Normal"/>
    <w:next w:val="Normal"/>
    <w:link w:val="IntenseQuoteChar"/>
    <w:uiPriority w:val="30"/>
    <w:qFormat/>
    <w:rsid w:val="00A53B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3BC5"/>
    <w:rPr>
      <w:i/>
      <w:iCs/>
      <w:color w:val="2F5496" w:themeColor="accent1" w:themeShade="BF"/>
    </w:rPr>
  </w:style>
  <w:style w:type="character" w:styleId="IntenseReference">
    <w:name w:val="Intense Reference"/>
    <w:basedOn w:val="DefaultParagraphFont"/>
    <w:uiPriority w:val="32"/>
    <w:qFormat/>
    <w:rsid w:val="00A53BC5"/>
    <w:rPr>
      <w:b/>
      <w:bCs/>
      <w:smallCaps/>
      <w:color w:val="2F5496" w:themeColor="accent1" w:themeShade="BF"/>
      <w:spacing w:val="5"/>
    </w:rPr>
  </w:style>
  <w:style w:type="paragraph" w:styleId="TOCHeading">
    <w:name w:val="TOC Heading"/>
    <w:basedOn w:val="Heading1"/>
    <w:next w:val="Normal"/>
    <w:uiPriority w:val="39"/>
    <w:unhideWhenUsed/>
    <w:qFormat/>
    <w:rsid w:val="00A53BC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53BC5"/>
    <w:pPr>
      <w:spacing w:after="100"/>
    </w:pPr>
  </w:style>
  <w:style w:type="character" w:styleId="Hyperlink">
    <w:name w:val="Hyperlink"/>
    <w:basedOn w:val="DefaultParagraphFont"/>
    <w:uiPriority w:val="99"/>
    <w:unhideWhenUsed/>
    <w:rsid w:val="00A53BC5"/>
    <w:rPr>
      <w:color w:val="0563C1" w:themeColor="hyperlink"/>
      <w:u w:val="single"/>
    </w:rPr>
  </w:style>
  <w:style w:type="character" w:styleId="UnresolvedMention">
    <w:name w:val="Unresolved Mention"/>
    <w:basedOn w:val="DefaultParagraphFont"/>
    <w:uiPriority w:val="99"/>
    <w:semiHidden/>
    <w:unhideWhenUsed/>
    <w:rsid w:val="00811527"/>
    <w:rPr>
      <w:color w:val="605E5C"/>
      <w:shd w:val="clear" w:color="auto" w:fill="E1DFDD"/>
    </w:rPr>
  </w:style>
  <w:style w:type="paragraph" w:styleId="Header">
    <w:name w:val="header"/>
    <w:basedOn w:val="Normal"/>
    <w:link w:val="HeaderChar"/>
    <w:uiPriority w:val="99"/>
    <w:unhideWhenUsed/>
    <w:rsid w:val="00921C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1C3C"/>
  </w:style>
  <w:style w:type="paragraph" w:styleId="Footer">
    <w:name w:val="footer"/>
    <w:basedOn w:val="Normal"/>
    <w:link w:val="FooterChar"/>
    <w:uiPriority w:val="99"/>
    <w:unhideWhenUsed/>
    <w:rsid w:val="00921C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1C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reference/referencespapers?referenceid=2894641" TargetMode="External"/><Relationship Id="rId13" Type="http://schemas.openxmlformats.org/officeDocument/2006/relationships/hyperlink" Target="https://www.ebsco.com/research-starters/education/social-learning-theory" TargetMode="External"/><Relationship Id="rId18" Type="http://schemas.openxmlformats.org/officeDocument/2006/relationships/hyperlink" Target="https://omnean.zendesk.com/hc/en-us/articles/14039925133463-Erik-Erikson-s-8-Stages-of-Psychosocial-Develop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16/j.dr.2024.101124" TargetMode="External"/><Relationship Id="rId12" Type="http://schemas.openxmlformats.org/officeDocument/2006/relationships/hyperlink" Target="https://doi.org/10.26858/cjpko.v16i2.63045" TargetMode="External"/><Relationship Id="rId17" Type="http://schemas.openxmlformats.org/officeDocument/2006/relationships/hyperlink" Target="https://www.simplypsychology.org/erik-erikson.html" TargetMode="External"/><Relationship Id="rId2" Type="http://schemas.openxmlformats.org/officeDocument/2006/relationships/styles" Target="styles.xml"/><Relationship Id="rId16" Type="http://schemas.openxmlformats.org/officeDocument/2006/relationships/hyperlink" Target="https://www.simplypsychology.org/bandura.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317599146_Gillibrand_R_Lam_V_O'Donnell_V_L_2016_Developmental_Psychology_2nd_Ed_Harlow_Pearson_Prentice_Hall" TargetMode="External"/><Relationship Id="rId5" Type="http://schemas.openxmlformats.org/officeDocument/2006/relationships/footnotes" Target="footnotes.xml"/><Relationship Id="rId15" Type="http://schemas.openxmlformats.org/officeDocument/2006/relationships/hyperlink" Target="https://www.ncbi.nlm.nih.gov/books/NBK556096/" TargetMode="External"/><Relationship Id="rId10" Type="http://schemas.openxmlformats.org/officeDocument/2006/relationships/hyperlink" Target="https://www.scirp.org/reference/referencespapers?referenceid=375354"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5455/msm.2018.30.221-224" TargetMode="External"/><Relationship Id="rId14" Type="http://schemas.openxmlformats.org/officeDocument/2006/relationships/hyperlink" Target="https://www.scirp.org/reference/referencespapers?referenceid=33769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DC13352-3C68-4F68-9641-38220DA19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2131</Words>
  <Characters>12151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Writting</dc:creator>
  <cp:keywords/>
  <dc:description/>
  <cp:lastModifiedBy>Charlotte Anderson (2423051)</cp:lastModifiedBy>
  <cp:revision>2</cp:revision>
  <dcterms:created xsi:type="dcterms:W3CDTF">2025-11-27T14:20:00Z</dcterms:created>
  <dcterms:modified xsi:type="dcterms:W3CDTF">2025-11-27T14:20:00Z</dcterms:modified>
</cp:coreProperties>
</file>