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D7CC5C" wp14:paraId="2C078E63" wp14:textId="5F02ED1B">
      <w:pPr>
        <w:rPr>
          <w:noProof w:val="0"/>
          <w:u w:val="single"/>
          <w:lang w:val="it-IT"/>
        </w:rPr>
      </w:pPr>
      <w:r w:rsidRPr="7DD7CC5C" w:rsidR="5F3C756E">
        <w:rPr>
          <w:noProof w:val="0"/>
          <w:u w:val="single"/>
          <w:lang w:val="it-IT"/>
        </w:rPr>
        <w:t>Analytical</w:t>
      </w:r>
      <w:r w:rsidRPr="7DD7CC5C" w:rsidR="5F3C756E">
        <w:rPr>
          <w:noProof w:val="0"/>
          <w:u w:val="single"/>
          <w:lang w:val="it-IT"/>
        </w:rPr>
        <w:t xml:space="preserve"> Report – </w:t>
      </w:r>
      <w:bookmarkStart w:name="_Int_UXBvDdL2" w:id="853537935"/>
      <w:r w:rsidRPr="7DD7CC5C" w:rsidR="5F3C756E">
        <w:rPr>
          <w:noProof w:val="0"/>
          <w:u w:val="single"/>
          <w:lang w:val="it-IT"/>
        </w:rPr>
        <w:t>Necropoli</w:t>
      </w:r>
      <w:bookmarkEnd w:id="853537935"/>
      <w:r w:rsidRPr="7DD7CC5C" w:rsidR="5F3C756E">
        <w:rPr>
          <w:noProof w:val="0"/>
          <w:u w:val="single"/>
          <w:lang w:val="it-IT"/>
        </w:rPr>
        <w:t xml:space="preserve"> di Porta Nocera, Pompeii</w:t>
      </w:r>
    </w:p>
    <w:p w:rsidR="4FE0152B" w:rsidRDefault="4FE0152B" w14:paraId="1E4726C4" w14:textId="6602D7D5">
      <w:r w:rsidR="4FE0152B">
        <w:rPr/>
        <w:t xml:space="preserve">The Necropoli di Porta Nocera at Pompeii serves as one of the most significant funerary landscapes in the Roman world, offering insight into social identity, commemorative practice, and urban organisation of </w:t>
      </w:r>
      <w:r w:rsidR="30235055">
        <w:rPr/>
        <w:t>a p</w:t>
      </w:r>
      <w:r w:rsidR="4FE0152B">
        <w:rPr/>
        <w:t>rovincial town during the late Republic and early Imperial period. Located outside the Nocera Gate along the road leading south to the to</w:t>
      </w:r>
      <w:r w:rsidR="48F4D3AB">
        <w:rPr/>
        <w:t xml:space="preserve">wn of </w:t>
      </w:r>
      <w:bookmarkStart w:name="_Int_YYkue629" w:id="2072331728"/>
      <w:r w:rsidR="48F4D3AB">
        <w:rPr/>
        <w:t>Nuceria</w:t>
      </w:r>
      <w:bookmarkEnd w:id="2072331728"/>
      <w:r w:rsidR="48F4D3AB">
        <w:rPr/>
        <w:t xml:space="preserve">, the necropolis formed part of Pompeii’s legally mandated extramural burial zone. </w:t>
      </w:r>
      <w:r w:rsidR="7F7A6772">
        <w:rPr/>
        <w:t xml:space="preserve">Its importance lies not only in the preservation of varied </w:t>
      </w:r>
      <w:r w:rsidR="7394547A">
        <w:rPr/>
        <w:t>funerary monuments, but also in the diversity of commemorative strategies</w:t>
      </w:r>
      <w:r w:rsidRPr="64A6C09C">
        <w:rPr>
          <w:rStyle w:val="FootnoteReference"/>
        </w:rPr>
        <w:footnoteReference w:id="2877"/>
      </w:r>
      <w:r w:rsidR="7394547A">
        <w:rPr/>
        <w:t>, social identities, and economic realities that these tombs articula</w:t>
      </w:r>
      <w:r w:rsidR="62D76A7D">
        <w:rPr/>
        <w:t>te.</w:t>
      </w:r>
    </w:p>
    <w:p w:rsidR="7E52A025" w:rsidRDefault="7E52A025" w14:paraId="73ACEB12" w14:textId="6295DEA1">
      <w:r w:rsidR="7E52A025">
        <w:rPr/>
        <w:t xml:space="preserve">What is particularly </w:t>
      </w:r>
      <w:r w:rsidR="618AA3D2">
        <w:rPr/>
        <w:t xml:space="preserve">striking is that the Porta Nocera necropolis presents a heterogeneous assemblage of tomb types, inscriptions, and burial practices. Its diversity reflects a wide social spectrum, incorporating those whose visibility in life was often limited into a lasting commemoration </w:t>
      </w:r>
      <w:r w:rsidR="05257471">
        <w:rPr/>
        <w:t xml:space="preserve">after death. </w:t>
      </w:r>
      <w:r w:rsidR="5F90BD55">
        <w:rPr/>
        <w:t xml:space="preserve">Modern scholarship has increasingly emphasised that Roman cemeteries were not passive spaces of burial, but </w:t>
      </w:r>
      <w:r w:rsidR="2ADE24DB">
        <w:rPr/>
        <w:t>active environments of ritual repetition, memory construction, and ongoing engagement with the dead</w:t>
      </w:r>
      <w:r w:rsidRPr="64A6C09C">
        <w:rPr>
          <w:rStyle w:val="FootnoteReference"/>
        </w:rPr>
        <w:footnoteReference w:id="13170"/>
      </w:r>
      <w:r w:rsidR="2ADE24DB">
        <w:rPr/>
        <w:t xml:space="preserve">. As such, the site provides a valuable lens through which to examine Roman attitudes to status, memory, and civic identity. </w:t>
      </w:r>
    </w:p>
    <w:p w:rsidR="35CB7E8D" w:rsidRDefault="35CB7E8D" w14:paraId="0E13EC95" w14:textId="71C738D3">
      <w:r w:rsidR="35CB7E8D">
        <w:rPr/>
        <w:t>This report critically examines the Necropoli di Porta Nocera through four interrelated lenses: (1) the historical activity at the site and its economic, social, and political contexts; (2) artistic and architectural developments withi</w:t>
      </w:r>
      <w:r w:rsidR="1DDDCAAB">
        <w:rPr/>
        <w:t>n the site; (3) material culture and other physical remains; and (4) the state of preservation and modern conservation. By situating the necropolis within the urban and social framework of Pompeii, it can be shown that the Necrop</w:t>
      </w:r>
      <w:r w:rsidR="21588DF3">
        <w:rPr/>
        <w:t>oli di Porta Nocera functioned not only as a burial ground, but as a dynamic space of social negotiation and self-representation.</w:t>
      </w:r>
      <w:r w:rsidR="21588DF3">
        <w:rPr/>
        <w:t xml:space="preserve"> </w:t>
      </w:r>
    </w:p>
    <w:p w:rsidR="2AFD9F2C" w:rsidP="64A6C09C" w:rsidRDefault="2AFD9F2C" w14:paraId="37606014" w14:textId="4CA8ECB8">
      <w:pPr>
        <w:pStyle w:val="Normal"/>
      </w:pPr>
      <w:r w:rsidRPr="64A6C09C" w:rsidR="2AFD9F2C">
        <w:rPr>
          <w:u w:val="single"/>
        </w:rPr>
        <w:t>Historical Activity at the Site: Economic, Social, and Political Contexts</w:t>
      </w:r>
      <w:r>
        <w:br/>
      </w:r>
      <w:r w:rsidRPr="64A6C09C" w:rsidR="6B4C7BE8">
        <w:rPr>
          <w:u w:val="single"/>
        </w:rPr>
        <w:t>Urban Context and Development</w:t>
      </w:r>
    </w:p>
    <w:p w:rsidR="6B4C7BE8" w:rsidP="7DD7CC5C" w:rsidRDefault="6B4C7BE8" w14:paraId="357A7192" w14:textId="658E5ECA">
      <w:pPr>
        <w:pStyle w:val="Normal"/>
        <w:rPr>
          <w:i w:val="0"/>
          <w:iCs w:val="0"/>
        </w:rPr>
      </w:pPr>
      <w:r w:rsidR="6B4C7BE8">
        <w:rPr/>
        <w:t xml:space="preserve">Roman law prohibited burial within the </w:t>
      </w:r>
      <w:r w:rsidRPr="7DD7CC5C" w:rsidR="6B4C7BE8">
        <w:rPr>
          <w:i w:val="1"/>
          <w:iCs w:val="1"/>
        </w:rPr>
        <w:t xml:space="preserve">pomerium </w:t>
      </w:r>
      <w:r w:rsidRPr="7DD7CC5C" w:rsidR="6B4C7BE8">
        <w:rPr>
          <w:i w:val="0"/>
          <w:iCs w:val="0"/>
        </w:rPr>
        <w:t xml:space="preserve">(the sacred boundary of a city), </w:t>
      </w:r>
      <w:r w:rsidRPr="7DD7CC5C" w:rsidR="6B4C7BE8">
        <w:rPr>
          <w:i w:val="0"/>
          <w:iCs w:val="0"/>
        </w:rPr>
        <w:t>necessitating</w:t>
      </w:r>
      <w:r w:rsidRPr="7DD7CC5C" w:rsidR="6B4C7BE8">
        <w:rPr>
          <w:i w:val="0"/>
          <w:iCs w:val="0"/>
        </w:rPr>
        <w:t xml:space="preserve"> the development of cemeteries along approach roads</w:t>
      </w:r>
      <w:r w:rsidRPr="7DD7CC5C">
        <w:rPr>
          <w:rStyle w:val="FootnoteReference"/>
          <w:i w:val="0"/>
          <w:iCs w:val="0"/>
        </w:rPr>
        <w:footnoteReference w:id="22906"/>
      </w:r>
      <w:r w:rsidRPr="7DD7CC5C" w:rsidR="6B4C7BE8">
        <w:rPr>
          <w:i w:val="0"/>
          <w:iCs w:val="0"/>
        </w:rPr>
        <w:t>. The Necropoli di Porta Nocera</w:t>
      </w:r>
      <w:r w:rsidRPr="7DD7CC5C" w:rsidR="73427FAA">
        <w:rPr>
          <w:i w:val="0"/>
          <w:iCs w:val="0"/>
        </w:rPr>
        <w:t xml:space="preserve"> </w:t>
      </w:r>
      <w:r w:rsidRPr="7DD7CC5C" w:rsidR="73427FAA">
        <w:rPr>
          <w:i w:val="0"/>
          <w:iCs w:val="0"/>
        </w:rPr>
        <w:t>emerged</w:t>
      </w:r>
      <w:r w:rsidRPr="7DD7CC5C" w:rsidR="73427FAA">
        <w:rPr>
          <w:i w:val="0"/>
          <w:iCs w:val="0"/>
        </w:rPr>
        <w:t xml:space="preserve"> as part of this extramural funerary system during the </w:t>
      </w:r>
      <w:r w:rsidRPr="7DD7CC5C" w:rsidR="20776849">
        <w:rPr>
          <w:i w:val="0"/>
          <w:iCs w:val="0"/>
        </w:rPr>
        <w:t xml:space="preserve">late </w:t>
      </w:r>
      <w:r w:rsidRPr="7DD7CC5C" w:rsidR="20776849">
        <w:rPr>
          <w:i w:val="0"/>
          <w:iCs w:val="0"/>
        </w:rPr>
        <w:t xml:space="preserve">Republican</w:t>
      </w:r>
      <w:r w:rsidRPr="7DD7CC5C" w:rsidR="20776849">
        <w:rPr>
          <w:i w:val="0"/>
          <w:iCs w:val="0"/>
        </w:rPr>
        <w:t xml:space="preserve"> </w:t>
      </w:r>
      <w:r w:rsidRPr="7DD7CC5C" w:rsidR="73427FAA">
        <w:rPr>
          <w:i w:val="0"/>
          <w:iCs w:val="0"/>
        </w:rPr>
        <w:t xml:space="preserve">period and expanded significantly in the first century CE alongside Pompeii’s demographic and economic growth</w:t>
      </w:r>
      <w:r w:rsidRPr="7DD7CC5C">
        <w:rPr>
          <w:rStyle w:val="FootnoteReference"/>
          <w:i w:val="0"/>
          <w:iCs w:val="0"/>
        </w:rPr>
        <w:footnoteReference w:id="16795"/>
      </w:r>
      <w:r w:rsidRPr="7DD7CC5C" w:rsidR="73427FAA">
        <w:rPr>
          <w:i w:val="0"/>
          <w:iCs w:val="0"/>
        </w:rPr>
        <w:t>. Its placement along a major road ensured visibility to travellers, reinforcing the Roman belief that remembrance depended upon public disp</w:t>
      </w:r>
      <w:r w:rsidRPr="7DD7CC5C" w:rsidR="671EA541">
        <w:rPr>
          <w:i w:val="0"/>
          <w:iCs w:val="0"/>
        </w:rPr>
        <w:t>lay</w:t>
      </w:r>
      <w:r w:rsidRPr="7DD7CC5C" w:rsidR="08D28B8B">
        <w:rPr>
          <w:i w:val="0"/>
          <w:iCs w:val="0"/>
        </w:rPr>
        <w:t>.</w:t>
      </w:r>
    </w:p>
    <w:p w:rsidR="16680060" w:rsidP="7DD7CC5C" w:rsidRDefault="16680060" w14:textId="403148C1" w14:paraId="0C6AECD2">
      <w:pPr>
        <w:pStyle w:val="Normal"/>
        <w:rPr>
          <w:i w:val="0"/>
          <w:iCs w:val="0"/>
        </w:rPr>
      </w:pPr>
      <w:r w:rsidRPr="7DD7CC5C" w:rsidR="16680060">
        <w:rPr>
          <w:i w:val="0"/>
          <w:iCs w:val="0"/>
        </w:rPr>
        <w:t>The necropolis must be understood within the broader urban history of Pompeii as a thriving commercial centre with a socially diverse population. As Beard emphasises, Pompeii was not dominated solely by a narrow elite, but by a more complex population</w:t>
      </w:r>
      <w:r w:rsidRPr="7DD7CC5C">
        <w:rPr>
          <w:rStyle w:val="FootnoteReference"/>
          <w:i w:val="0"/>
          <w:iCs w:val="0"/>
        </w:rPr>
        <w:footnoteReference w:id="30595"/>
      </w:r>
      <w:r w:rsidRPr="7DD7CC5C" w:rsidR="16680060">
        <w:rPr>
          <w:i w:val="0"/>
          <w:iCs w:val="0"/>
        </w:rPr>
        <w:t xml:space="preserve"> of freedmen, elites, artisans, and migrants. This diversity is more clearly reflected in the necropolis than in elite civic monuments within the city </w:t>
      </w:r>
      <w:r w:rsidRPr="7DD7CC5C" w:rsidR="20823BCE">
        <w:rPr>
          <w:i w:val="0"/>
          <w:iCs w:val="0"/>
        </w:rPr>
        <w:t xml:space="preserve">walls. </w:t>
      </w:r>
    </w:p>
    <w:p w:rsidR="16680060" w:rsidP="7DD7CC5C" w:rsidRDefault="16680060" w14:paraId="36B31C67" w14:textId="20599806">
      <w:pPr>
        <w:pStyle w:val="Normal"/>
        <w:rPr>
          <w:i w:val="0"/>
          <w:iCs w:val="0"/>
        </w:rPr>
      </w:pPr>
      <w:r w:rsidRPr="7DD7CC5C" w:rsidR="20823BCE">
        <w:rPr>
          <w:i w:val="0"/>
          <w:iCs w:val="0"/>
          <w:u w:val="single"/>
        </w:rPr>
        <w:t>Economic Activity and Investment</w:t>
      </w:r>
    </w:p>
    <w:p w:rsidR="20823BCE" w:rsidP="64A6C09C" w:rsidRDefault="20823BCE" w14:paraId="60B738B7" w14:textId="07938B5E">
      <w:pPr>
        <w:pStyle w:val="Normal"/>
        <w:rPr>
          <w:i w:val="0"/>
          <w:iCs w:val="0"/>
        </w:rPr>
      </w:pPr>
      <w:r w:rsidRPr="64A6C09C" w:rsidR="20823BCE">
        <w:rPr>
          <w:i w:val="0"/>
          <w:iCs w:val="0"/>
        </w:rPr>
        <w:t>The construction and maintenance of tombs required sustained economic investment. Even relatively modest monuments involved expenditure on skilled labour, materials, inscriptions, and ritual furnishings</w:t>
      </w:r>
      <w:r w:rsidRPr="64A6C09C">
        <w:rPr>
          <w:rStyle w:val="FootnoteReference"/>
          <w:i w:val="0"/>
          <w:iCs w:val="0"/>
        </w:rPr>
        <w:footnoteReference w:id="21897"/>
      </w:r>
      <w:r w:rsidRPr="64A6C09C" w:rsidR="20823BCE">
        <w:rPr>
          <w:i w:val="0"/>
          <w:iCs w:val="0"/>
        </w:rPr>
        <w:t>, sugge</w:t>
      </w:r>
      <w:r w:rsidRPr="64A6C09C" w:rsidR="2DA5EA05">
        <w:rPr>
          <w:i w:val="0"/>
          <w:iCs w:val="0"/>
        </w:rPr>
        <w:t>sting a localised funerary economy. Indeed, the presence of these modest tombs alongside more elaborate mausolea reflects varying levels of economic capacities, but also a shared cultural expectation of commemorative displa</w:t>
      </w:r>
      <w:r w:rsidRPr="64A6C09C" w:rsidR="2E6689AB">
        <w:rPr>
          <w:i w:val="0"/>
          <w:iCs w:val="0"/>
        </w:rPr>
        <w:t>y.</w:t>
      </w:r>
    </w:p>
    <w:p w:rsidR="2E6689AB" w:rsidP="64A6C09C" w:rsidRDefault="2E6689AB" w14:paraId="1DC9E838" w14:textId="16A4744C">
      <w:pPr>
        <w:pStyle w:val="Normal"/>
        <w:rPr>
          <w:i w:val="0"/>
          <w:iCs w:val="0"/>
        </w:rPr>
      </w:pPr>
      <w:r w:rsidRPr="64A6C09C" w:rsidR="2E6689AB">
        <w:rPr>
          <w:i w:val="0"/>
          <w:iCs w:val="0"/>
        </w:rPr>
        <w:t xml:space="preserve">Tomb inscriptions </w:t>
      </w:r>
      <w:r w:rsidRPr="64A6C09C" w:rsidR="2E6689AB">
        <w:rPr>
          <w:i w:val="0"/>
          <w:iCs w:val="0"/>
        </w:rPr>
        <w:t>frequently</w:t>
      </w:r>
      <w:r w:rsidRPr="64A6C09C" w:rsidR="2E6689AB">
        <w:rPr>
          <w:i w:val="0"/>
          <w:iCs w:val="0"/>
        </w:rPr>
        <w:t xml:space="preserve"> record occupations, particularly among freedmen</w:t>
      </w:r>
      <w:r w:rsidRPr="64A6C09C">
        <w:rPr>
          <w:rStyle w:val="FootnoteReference"/>
          <w:i w:val="0"/>
          <w:iCs w:val="0"/>
        </w:rPr>
        <w:footnoteReference w:id="15021"/>
      </w:r>
      <w:r w:rsidRPr="64A6C09C" w:rsidR="2E6689AB">
        <w:rPr>
          <w:i w:val="0"/>
          <w:iCs w:val="0"/>
        </w:rPr>
        <w:t xml:space="preserve">, </w:t>
      </w:r>
      <w:r w:rsidRPr="64A6C09C" w:rsidR="2E6689AB">
        <w:rPr>
          <w:i w:val="0"/>
          <w:iCs w:val="0"/>
        </w:rPr>
        <w:t>indicating</w:t>
      </w:r>
      <w:r w:rsidRPr="64A6C09C" w:rsidR="2E6689AB">
        <w:rPr>
          <w:i w:val="0"/>
          <w:iCs w:val="0"/>
        </w:rPr>
        <w:t xml:space="preserve"> the role of funerary monuments as vehicles for economic self-representation. This aligns with broader non-elite burial practices in which, as analysed by Graham, commemoration served as a means of asserting social legitimacy and achie</w:t>
      </w:r>
      <w:r w:rsidRPr="64A6C09C" w:rsidR="65B8E976">
        <w:rPr>
          <w:i w:val="0"/>
          <w:iCs w:val="0"/>
        </w:rPr>
        <w:t>v</w:t>
      </w:r>
      <w:r w:rsidRPr="64A6C09C" w:rsidR="2E6689AB">
        <w:rPr>
          <w:i w:val="0"/>
          <w:iCs w:val="0"/>
        </w:rPr>
        <w:t>ement</w:t>
      </w:r>
      <w:r w:rsidRPr="64A6C09C">
        <w:rPr>
          <w:rStyle w:val="FootnoteReference"/>
          <w:i w:val="0"/>
          <w:iCs w:val="0"/>
        </w:rPr>
        <w:footnoteReference w:id="19011"/>
      </w:r>
      <w:r w:rsidRPr="64A6C09C" w:rsidR="7F11679C">
        <w:rPr>
          <w:i w:val="0"/>
          <w:iCs w:val="0"/>
        </w:rPr>
        <w:t xml:space="preserve"> in a way that may not have been fully attainabl</w:t>
      </w:r>
      <w:r w:rsidRPr="64A6C09C" w:rsidR="36EC4A58">
        <w:rPr>
          <w:i w:val="0"/>
          <w:iCs w:val="0"/>
        </w:rPr>
        <w:t xml:space="preserve">e in life. </w:t>
      </w:r>
    </w:p>
    <w:p w:rsidR="36EC4A58" w:rsidP="64A6C09C" w:rsidRDefault="36EC4A58" w14:paraId="0A958B1F" w14:textId="07DC9951">
      <w:pPr>
        <w:pStyle w:val="Normal"/>
        <w:rPr>
          <w:i w:val="0"/>
          <w:iCs w:val="0"/>
          <w:u w:val="single"/>
        </w:rPr>
      </w:pPr>
      <w:r w:rsidRPr="64A6C09C" w:rsidR="36EC4A58">
        <w:rPr>
          <w:i w:val="0"/>
          <w:iCs w:val="0"/>
          <w:u w:val="single"/>
        </w:rPr>
        <w:t>Social Structure and Community</w:t>
      </w:r>
    </w:p>
    <w:p w:rsidR="36EC4A58" w:rsidP="64A6C09C" w:rsidRDefault="36EC4A58" w14:paraId="7CAB2625" w14:textId="655E5509">
      <w:pPr>
        <w:pStyle w:val="Normal"/>
        <w:rPr>
          <w:i w:val="0"/>
          <w:iCs w:val="0"/>
        </w:rPr>
      </w:pPr>
      <w:r w:rsidRPr="64A6C09C" w:rsidR="36EC4A58">
        <w:rPr>
          <w:i w:val="0"/>
          <w:iCs w:val="0"/>
        </w:rPr>
        <w:t>Social identity is central to the interpretation of Porta Nocera. The necropolis is notable for its high proportion of freedmen, women, and children commemorated independently, sometimes even as primary indicators of tombs</w:t>
      </w:r>
      <w:r w:rsidRPr="64A6C09C">
        <w:rPr>
          <w:rStyle w:val="FootnoteReference"/>
          <w:i w:val="0"/>
          <w:iCs w:val="0"/>
        </w:rPr>
        <w:footnoteReference w:id="2528"/>
      </w:r>
      <w:r w:rsidRPr="64A6C09C" w:rsidR="36EC4A58">
        <w:rPr>
          <w:i w:val="0"/>
          <w:iCs w:val="0"/>
        </w:rPr>
        <w:t>. A clear example can be found in Tomb 22EN</w:t>
      </w:r>
      <w:r w:rsidRPr="64A6C09C">
        <w:rPr>
          <w:rStyle w:val="FootnoteReference"/>
          <w:i w:val="0"/>
          <w:iCs w:val="0"/>
        </w:rPr>
        <w:footnoteReference w:id="18703"/>
      </w:r>
      <w:r w:rsidRPr="64A6C09C" w:rsidR="36EC4A58">
        <w:rPr>
          <w:i w:val="0"/>
          <w:iCs w:val="0"/>
        </w:rPr>
        <w:t xml:space="preserve"> which commemorates multiple </w:t>
      </w:r>
      <w:r w:rsidRPr="64A6C09C" w:rsidR="36EC4A58">
        <w:rPr>
          <w:i w:val="0"/>
          <w:iCs w:val="0"/>
        </w:rPr>
        <w:t>freedpersons</w:t>
      </w:r>
      <w:r w:rsidRPr="64A6C09C" w:rsidR="36EC4A58">
        <w:rPr>
          <w:i w:val="0"/>
          <w:iCs w:val="0"/>
        </w:rPr>
        <w:t>, with two freedwomen (</w:t>
      </w:r>
      <w:r w:rsidRPr="64A6C09C" w:rsidR="36EC4A58">
        <w:rPr>
          <w:i w:val="0"/>
          <w:iCs w:val="0"/>
        </w:rPr>
        <w:t>Aebia</w:t>
      </w:r>
      <w:r w:rsidRPr="64A6C09C" w:rsidR="36EC4A58">
        <w:rPr>
          <w:i w:val="0"/>
          <w:iCs w:val="0"/>
        </w:rPr>
        <w:t xml:space="preserve"> Fausta and </w:t>
      </w:r>
      <w:r w:rsidRPr="64A6C09C" w:rsidR="36EC4A58">
        <w:rPr>
          <w:i w:val="0"/>
          <w:iCs w:val="0"/>
        </w:rPr>
        <w:t>Aebia</w:t>
      </w:r>
      <w:r w:rsidRPr="64A6C09C" w:rsidR="36EC4A58">
        <w:rPr>
          <w:i w:val="0"/>
          <w:iCs w:val="0"/>
        </w:rPr>
        <w:t xml:space="preserve"> </w:t>
      </w:r>
      <w:r w:rsidRPr="64A6C09C" w:rsidR="36EC4A58">
        <w:rPr>
          <w:i w:val="0"/>
          <w:iCs w:val="0"/>
        </w:rPr>
        <w:t>Hilara</w:t>
      </w:r>
      <w:r w:rsidRPr="64A6C09C" w:rsidR="36EC4A58">
        <w:rPr>
          <w:i w:val="0"/>
          <w:iCs w:val="0"/>
        </w:rPr>
        <w:t>)</w:t>
      </w:r>
      <w:r w:rsidRPr="64A6C09C" w:rsidR="04B147C3">
        <w:rPr>
          <w:i w:val="0"/>
          <w:iCs w:val="0"/>
        </w:rPr>
        <w:t xml:space="preserve"> explicitly named in the inscription alongside male family members. This challenges traditional elite-focused narratives of Roman commemoration and highlights the necropolis as one of the few arenas in which marginalised groups could negotiate and assert identit</w:t>
      </w:r>
      <w:r w:rsidRPr="64A6C09C" w:rsidR="65F3CFAD">
        <w:rPr>
          <w:i w:val="0"/>
          <w:iCs w:val="0"/>
        </w:rPr>
        <w:t xml:space="preserve">y. </w:t>
      </w:r>
    </w:p>
    <w:p w:rsidR="65F3CFAD" w:rsidP="7DD7CC5C" w:rsidRDefault="65F3CFAD" w14:paraId="6AFFEE8F" w14:textId="27E0A6F8">
      <w:pPr>
        <w:pStyle w:val="Normal"/>
        <w:rPr>
          <w:i w:val="0"/>
          <w:iCs w:val="0"/>
        </w:rPr>
      </w:pPr>
      <w:r w:rsidRPr="7DD7CC5C" w:rsidR="65F3CFAD">
        <w:rPr>
          <w:i w:val="0"/>
          <w:iCs w:val="0"/>
        </w:rPr>
        <w:t>Family structures are central to many inscriptions, emphasising kinship, marriage, and descent. The frequent commemoration of infants and young children underscores the emotional investment of families in funerary ritual and memory</w:t>
      </w:r>
      <w:r w:rsidRPr="7DD7CC5C">
        <w:rPr>
          <w:rStyle w:val="FootnoteReference"/>
          <w:i w:val="0"/>
          <w:iCs w:val="0"/>
        </w:rPr>
        <w:footnoteReference w:id="7346"/>
      </w:r>
      <w:r w:rsidRPr="7DD7CC5C" w:rsidR="0F3B1D49">
        <w:rPr>
          <w:i w:val="0"/>
          <w:iCs w:val="0"/>
        </w:rPr>
        <w:t>. S</w:t>
      </w:r>
      <w:r w:rsidRPr="7DD7CC5C" w:rsidR="65F3CFAD">
        <w:rPr>
          <w:i w:val="0"/>
          <w:iCs w:val="0"/>
        </w:rPr>
        <w:t>uch evidence aligns with Carroll’s emphasis on funerary commemoration as an ongoing relationship between the living and the dead</w:t>
      </w:r>
      <w:r w:rsidRPr="7DD7CC5C">
        <w:rPr>
          <w:rStyle w:val="FootnoteReference"/>
          <w:i w:val="0"/>
          <w:iCs w:val="0"/>
        </w:rPr>
        <w:footnoteReference w:id="2843"/>
      </w:r>
      <w:r w:rsidRPr="7DD7CC5C" w:rsidR="65F3CFAD">
        <w:rPr>
          <w:i w:val="0"/>
          <w:iCs w:val="0"/>
        </w:rPr>
        <w:t xml:space="preserve">, rather than a single moment of burial. </w:t>
      </w:r>
    </w:p>
    <w:p w:rsidR="207B7529" w:rsidP="64A6C09C" w:rsidRDefault="207B7529" w14:paraId="55F3C5FB" w14:textId="0C67BD8D">
      <w:pPr>
        <w:pStyle w:val="Normal"/>
        <w:rPr>
          <w:i w:val="0"/>
          <w:iCs w:val="0"/>
          <w:u w:val="single"/>
        </w:rPr>
      </w:pPr>
      <w:r w:rsidRPr="64A6C09C" w:rsidR="207B7529">
        <w:rPr>
          <w:i w:val="0"/>
          <w:iCs w:val="0"/>
          <w:u w:val="single"/>
        </w:rPr>
        <w:t>Political and Ideological Dimensions</w:t>
      </w:r>
    </w:p>
    <w:p w:rsidR="3EF92AA6" w:rsidP="64A6C09C" w:rsidRDefault="3EF92AA6" w14:paraId="2EF41C51" w14:textId="420D9494">
      <w:pPr>
        <w:pStyle w:val="Normal"/>
        <w:rPr>
          <w:i w:val="0"/>
          <w:iCs w:val="0"/>
        </w:rPr>
      </w:pPr>
      <w:r w:rsidRPr="64A6C09C" w:rsidR="3EF92AA6">
        <w:rPr>
          <w:i w:val="0"/>
          <w:iCs w:val="0"/>
        </w:rPr>
        <w:t xml:space="preserve">While not a political space in the formal sense, the necropolis was deeply embedded in Roman civic ideology. Funerary inscriptions </w:t>
      </w:r>
      <w:r w:rsidRPr="64A6C09C" w:rsidR="3EF92AA6">
        <w:rPr>
          <w:i w:val="0"/>
          <w:iCs w:val="0"/>
        </w:rPr>
        <w:t>frequently</w:t>
      </w:r>
      <w:r w:rsidRPr="64A6C09C" w:rsidR="3EF92AA6">
        <w:rPr>
          <w:i w:val="0"/>
          <w:iCs w:val="0"/>
        </w:rPr>
        <w:t xml:space="preserve"> employ honorific language and emphasise moral virtues</w:t>
      </w:r>
      <w:r w:rsidRPr="64A6C09C">
        <w:rPr>
          <w:rStyle w:val="FootnoteReference"/>
          <w:i w:val="0"/>
          <w:iCs w:val="0"/>
        </w:rPr>
        <w:footnoteReference w:id="22134"/>
      </w:r>
      <w:r w:rsidRPr="64A6C09C" w:rsidR="3EF92AA6">
        <w:rPr>
          <w:i w:val="0"/>
          <w:iCs w:val="0"/>
        </w:rPr>
        <w:t xml:space="preserve"> such as </w:t>
      </w:r>
      <w:r w:rsidRPr="64A6C09C" w:rsidR="3EF92AA6">
        <w:rPr>
          <w:i w:val="1"/>
          <w:iCs w:val="1"/>
        </w:rPr>
        <w:t xml:space="preserve">pietas </w:t>
      </w:r>
      <w:r w:rsidRPr="64A6C09C" w:rsidR="3EF92AA6">
        <w:rPr>
          <w:i w:val="0"/>
          <w:iCs w:val="0"/>
        </w:rPr>
        <w:t xml:space="preserve">and </w:t>
      </w:r>
      <w:r w:rsidRPr="64A6C09C" w:rsidR="3EF92AA6">
        <w:rPr>
          <w:i w:val="1"/>
          <w:iCs w:val="1"/>
        </w:rPr>
        <w:t>virtus</w:t>
      </w:r>
      <w:r w:rsidRPr="64A6C09C" w:rsidR="3EF92AA6">
        <w:rPr>
          <w:i w:val="0"/>
          <w:iCs w:val="0"/>
        </w:rPr>
        <w:t xml:space="preserve">, thus aligning private commemoration with public values. Even those excluded from political office, like freedmen and non-elites, could engage symbolically with civic identity </w:t>
      </w:r>
      <w:r w:rsidRPr="64A6C09C" w:rsidR="423FC7F9">
        <w:rPr>
          <w:i w:val="0"/>
          <w:iCs w:val="0"/>
        </w:rPr>
        <w:t xml:space="preserve">through funerary self-preservation. </w:t>
      </w:r>
    </w:p>
    <w:p w:rsidR="423FC7F9" w:rsidP="7DD7CC5C" w:rsidRDefault="423FC7F9" w14:paraId="4564640F" w14:textId="33C936E7">
      <w:pPr>
        <w:pStyle w:val="Normal"/>
        <w:rPr>
          <w:i w:val="0"/>
          <w:iCs w:val="0"/>
        </w:rPr>
      </w:pPr>
      <w:r w:rsidRPr="7DD7CC5C" w:rsidR="423FC7F9">
        <w:rPr>
          <w:i w:val="0"/>
          <w:iCs w:val="0"/>
        </w:rPr>
        <w:t>Moreover, the prominent placement of tombs along a public road like the Via di Nocera suggests an intentional engagement with civic space. As Hope argues, Roman burial practices relied upon visibility and repetition</w:t>
      </w:r>
      <w:r w:rsidRPr="7DD7CC5C">
        <w:rPr>
          <w:rStyle w:val="FootnoteReference"/>
          <w:i w:val="0"/>
          <w:iCs w:val="0"/>
        </w:rPr>
        <w:footnoteReference w:id="16675"/>
      </w:r>
      <w:r w:rsidRPr="7DD7CC5C" w:rsidR="423FC7F9">
        <w:rPr>
          <w:i w:val="0"/>
          <w:iCs w:val="0"/>
        </w:rPr>
        <w:t>, ensuring</w:t>
      </w:r>
      <w:r w:rsidRPr="7DD7CC5C" w:rsidR="73B40A09">
        <w:rPr>
          <w:i w:val="0"/>
          <w:iCs w:val="0"/>
        </w:rPr>
        <w:t xml:space="preserve"> that the dead remained present within the social consciousness of the living. In this sense, the necropolis became part of the urban landscape, contributing to a collective memory that reinforced Roman social values. </w:t>
      </w:r>
    </w:p>
    <w:p w:rsidR="278C984C" w:rsidP="64A6C09C" w:rsidRDefault="278C984C" w14:paraId="3C87BA9D" w14:textId="4557F15C">
      <w:pPr>
        <w:pStyle w:val="Normal"/>
        <w:rPr>
          <w:i w:val="0"/>
          <w:iCs w:val="0"/>
        </w:rPr>
      </w:pPr>
      <w:r w:rsidRPr="64A6C09C" w:rsidR="278C984C">
        <w:rPr>
          <w:i w:val="0"/>
          <w:iCs w:val="0"/>
          <w:u w:val="single"/>
        </w:rPr>
        <w:t>Artistic and Architectural Developments</w:t>
      </w:r>
      <w:r>
        <w:br/>
      </w:r>
      <w:r w:rsidRPr="64A6C09C" w:rsidR="7EB421E7">
        <w:rPr>
          <w:i w:val="0"/>
          <w:iCs w:val="0"/>
          <w:u w:val="single"/>
        </w:rPr>
        <w:t>Tomb</w:t>
      </w:r>
      <w:r w:rsidRPr="64A6C09C" w:rsidR="7FBB3647">
        <w:rPr>
          <w:i w:val="0"/>
          <w:iCs w:val="0"/>
          <w:u w:val="single"/>
        </w:rPr>
        <w:t xml:space="preserve"> Typologies</w:t>
      </w:r>
      <w:r w:rsidRPr="64A6C09C" w:rsidR="7FBB3647">
        <w:rPr>
          <w:i w:val="0"/>
          <w:iCs w:val="0"/>
        </w:rPr>
        <w:t xml:space="preserve"> </w:t>
      </w:r>
    </w:p>
    <w:p w:rsidR="7FBB3647" w:rsidP="64A6C09C" w:rsidRDefault="7FBB3647" w14:paraId="38C33B4A" w14:textId="0D4DBAA5">
      <w:pPr>
        <w:pStyle w:val="Normal"/>
        <w:rPr>
          <w:i w:val="0"/>
          <w:iCs w:val="0"/>
        </w:rPr>
      </w:pPr>
      <w:r w:rsidRPr="64A6C09C" w:rsidR="7FBB3647">
        <w:rPr>
          <w:i w:val="0"/>
          <w:iCs w:val="0"/>
        </w:rPr>
        <w:t xml:space="preserve">The Necropoli di Porta Nocera exhibits a wide variety of funerary architectures, including </w:t>
      </w:r>
      <w:r w:rsidRPr="64A6C09C" w:rsidR="7FBB3647">
        <w:rPr>
          <w:i w:val="1"/>
          <w:iCs w:val="1"/>
        </w:rPr>
        <w:t xml:space="preserve">columbaria </w:t>
      </w:r>
      <w:r w:rsidRPr="64A6C09C" w:rsidR="7FBB3647">
        <w:rPr>
          <w:i w:val="0"/>
          <w:iCs w:val="0"/>
        </w:rPr>
        <w:t xml:space="preserve">(cremation niches), altar tombs, </w:t>
      </w:r>
      <w:r w:rsidRPr="64A6C09C" w:rsidR="7FBB3647">
        <w:rPr>
          <w:i w:val="1"/>
          <w:iCs w:val="1"/>
        </w:rPr>
        <w:t>recinti</w:t>
      </w:r>
      <w:r w:rsidRPr="64A6C09C" w:rsidR="7FBB3647">
        <w:rPr>
          <w:i w:val="1"/>
          <w:iCs w:val="1"/>
        </w:rPr>
        <w:t xml:space="preserve"> </w:t>
      </w:r>
      <w:r w:rsidRPr="64A6C09C" w:rsidR="7FBB3647">
        <w:rPr>
          <w:i w:val="0"/>
          <w:iCs w:val="0"/>
        </w:rPr>
        <w:t>(enclosure tombs), and small mausolea</w:t>
      </w:r>
      <w:r w:rsidRPr="64A6C09C">
        <w:rPr>
          <w:rStyle w:val="FootnoteReference"/>
          <w:i w:val="0"/>
          <w:iCs w:val="0"/>
        </w:rPr>
        <w:footnoteReference w:id="13256"/>
      </w:r>
      <w:r w:rsidRPr="64A6C09C" w:rsidR="7FBB3647">
        <w:rPr>
          <w:i w:val="0"/>
          <w:iCs w:val="0"/>
        </w:rPr>
        <w:t>. This diversity reflects both chronological development and social differentiation</w:t>
      </w:r>
      <w:r w:rsidRPr="64A6C09C" w:rsidR="648B4CC4">
        <w:rPr>
          <w:i w:val="0"/>
          <w:iCs w:val="0"/>
        </w:rPr>
        <w:t>.</w:t>
      </w:r>
    </w:p>
    <w:p w:rsidR="648B4CC4" w:rsidP="64A6C09C" w:rsidRDefault="648B4CC4" w14:paraId="5DF1A1AA" w14:textId="3F8A5A78">
      <w:pPr>
        <w:pStyle w:val="Normal"/>
        <w:rPr>
          <w:i w:val="0"/>
          <w:iCs w:val="0"/>
        </w:rPr>
      </w:pPr>
      <w:r w:rsidRPr="64A6C09C" w:rsidR="648B4CC4">
        <w:rPr>
          <w:i w:val="0"/>
          <w:iCs w:val="0"/>
        </w:rPr>
        <w:t>Earlier tombs tend to be simpler in form, while later Imperial examples show increased monumentality and decorative complexity, corresponding with broader trends in Roman funerary architecture. Despite differences in scale, even modest tombs incorporate architectural elements drawn from public and domestic architecture, such as pilasters, mouldings, and pediments</w:t>
      </w:r>
      <w:r w:rsidRPr="64A6C09C">
        <w:rPr>
          <w:rStyle w:val="FootnoteReference"/>
          <w:i w:val="0"/>
          <w:iCs w:val="0"/>
        </w:rPr>
        <w:footnoteReference w:id="31788"/>
      </w:r>
      <w:r w:rsidRPr="64A6C09C" w:rsidR="648B4CC4">
        <w:rPr>
          <w:i w:val="0"/>
          <w:iCs w:val="0"/>
        </w:rPr>
        <w:t>. This reflects the diffusion of elite archite</w:t>
      </w:r>
      <w:r w:rsidRPr="64A6C09C" w:rsidR="44D050B6">
        <w:rPr>
          <w:i w:val="0"/>
          <w:iCs w:val="0"/>
        </w:rPr>
        <w:t>ctural features into commemorative contexts across social strata, reinforcing its cultural dimension</w:t>
      </w:r>
      <w:r w:rsidRPr="64A6C09C" w:rsidR="44B2ACB7">
        <w:rPr>
          <w:i w:val="0"/>
          <w:iCs w:val="0"/>
        </w:rPr>
        <w:t>s.</w:t>
      </w:r>
    </w:p>
    <w:p w:rsidR="44B2ACB7" w:rsidP="64A6C09C" w:rsidRDefault="44B2ACB7" w14:paraId="4B153F53" w14:textId="564B0B81">
      <w:pPr>
        <w:pStyle w:val="Normal"/>
        <w:rPr>
          <w:i w:val="0"/>
          <w:iCs w:val="0"/>
        </w:rPr>
      </w:pPr>
      <w:r w:rsidRPr="64A6C09C" w:rsidR="44B2ACB7">
        <w:rPr>
          <w:i w:val="0"/>
          <w:iCs w:val="0"/>
          <w:u w:val="single"/>
        </w:rPr>
        <w:t>Decorative and Visual Elements</w:t>
      </w:r>
    </w:p>
    <w:p w:rsidR="44B2ACB7" w:rsidP="7DD7CC5C" w:rsidRDefault="44B2ACB7" w14:paraId="55623C3C" w14:textId="5DA3D876">
      <w:pPr>
        <w:pStyle w:val="Normal"/>
        <w:rPr>
          <w:i w:val="0"/>
          <w:iCs w:val="0"/>
        </w:rPr>
      </w:pPr>
      <w:r w:rsidRPr="7DD7CC5C" w:rsidR="44B2ACB7">
        <w:rPr>
          <w:i w:val="0"/>
          <w:iCs w:val="0"/>
        </w:rPr>
        <w:t xml:space="preserve">Artistic </w:t>
      </w:r>
      <w:r w:rsidRPr="7DD7CC5C" w:rsidR="44B2ACB7">
        <w:rPr>
          <w:i w:val="0"/>
          <w:iCs w:val="0"/>
        </w:rPr>
        <w:t xml:space="preserve">de</w:t>
      </w:r>
      <w:r w:rsidRPr="7DD7CC5C" w:rsidR="174BA3FE">
        <w:rPr>
          <w:i w:val="0"/>
          <w:iCs w:val="0"/>
        </w:rPr>
        <w:t xml:space="preserve">c</w:t>
      </w:r>
      <w:r w:rsidRPr="7DD7CC5C" w:rsidR="44B2ACB7">
        <w:rPr>
          <w:i w:val="0"/>
          <w:iCs w:val="0"/>
        </w:rPr>
        <w:t xml:space="preserve">oration</w:t>
      </w:r>
      <w:r w:rsidRPr="7DD7CC5C" w:rsidR="44B2ACB7">
        <w:rPr>
          <w:i w:val="0"/>
          <w:iCs w:val="0"/>
        </w:rPr>
        <w:t xml:space="preserve"> at Porta Nocera is </w:t>
      </w:r>
      <w:r w:rsidRPr="7DD7CC5C" w:rsidR="44B2ACB7">
        <w:rPr>
          <w:i w:val="0"/>
          <w:iCs w:val="0"/>
        </w:rPr>
        <w:t>generally restrained</w:t>
      </w:r>
      <w:r w:rsidRPr="7DD7CC5C" w:rsidR="44B2ACB7">
        <w:rPr>
          <w:i w:val="0"/>
          <w:iCs w:val="0"/>
        </w:rPr>
        <w:t xml:space="preserve"> but symbolically rich, with painted plaster, stucco reliefs, and carved </w:t>
      </w:r>
      <w:r w:rsidRPr="7DD7CC5C" w:rsidR="5E7D6D27">
        <w:rPr>
          <w:i w:val="0"/>
          <w:iCs w:val="0"/>
        </w:rPr>
        <w:t xml:space="preserve">sculpture </w:t>
      </w:r>
      <w:r w:rsidRPr="7DD7CC5C" w:rsidR="44B2ACB7">
        <w:rPr>
          <w:i w:val="0"/>
          <w:iCs w:val="0"/>
        </w:rPr>
        <w:t>appearing in varying degrees. Common motifs include garlands</w:t>
      </w:r>
      <w:r w:rsidRPr="7DD7CC5C" w:rsidR="3E0EA1F6">
        <w:rPr>
          <w:i w:val="0"/>
          <w:iCs w:val="0"/>
        </w:rPr>
        <w:t>, mythological references, and vegetal imagery, alluding to themes of abundance, continuity, and the afterlife</w:t>
      </w:r>
      <w:r w:rsidRPr="7DD7CC5C">
        <w:rPr>
          <w:rStyle w:val="FootnoteReference"/>
          <w:i w:val="0"/>
          <w:iCs w:val="0"/>
        </w:rPr>
        <w:footnoteReference w:id="25736"/>
      </w:r>
      <w:r w:rsidRPr="7DD7CC5C" w:rsidR="3E0EA1F6">
        <w:rPr>
          <w:i w:val="0"/>
          <w:iCs w:val="0"/>
        </w:rPr>
        <w:t xml:space="preserve">. </w:t>
      </w:r>
    </w:p>
    <w:p w:rsidR="3E0EA1F6" w:rsidP="64A6C09C" w:rsidRDefault="3E0EA1F6" w14:paraId="16FC8648" w14:textId="7ABE8C1F">
      <w:pPr>
        <w:pStyle w:val="Normal"/>
        <w:rPr>
          <w:i w:val="0"/>
          <w:iCs w:val="0"/>
        </w:rPr>
      </w:pPr>
      <w:r w:rsidRPr="64A6C09C" w:rsidR="3E0EA1F6">
        <w:rPr>
          <w:i w:val="0"/>
          <w:iCs w:val="0"/>
        </w:rPr>
        <w:t>Rather than elaborate scenes</w:t>
      </w:r>
      <w:r w:rsidRPr="64A6C09C" w:rsidR="7D4A621F">
        <w:rPr>
          <w:i w:val="0"/>
          <w:iCs w:val="0"/>
        </w:rPr>
        <w:t xml:space="preserve">, artistic evidence suggests that the emphasis lay in recognisable visual markers of Roman funerary tradition. Portraiture, where present, had a commemorative rather than naturalistic function. This supports Carroll’s argument that funerary art </w:t>
      </w:r>
      <w:r w:rsidRPr="64A6C09C" w:rsidR="7D4A621F">
        <w:rPr>
          <w:i w:val="0"/>
          <w:iCs w:val="0"/>
        </w:rPr>
        <w:t>facilitated</w:t>
      </w:r>
      <w:r w:rsidRPr="64A6C09C" w:rsidR="7D4A621F">
        <w:rPr>
          <w:i w:val="0"/>
          <w:iCs w:val="0"/>
        </w:rPr>
        <w:t xml:space="preserve"> ritual engagement, allowing families to return repeatedly to the tomb and reaffirm bonds with the deceased</w:t>
      </w:r>
      <w:r w:rsidRPr="64A6C09C">
        <w:rPr>
          <w:rStyle w:val="FootnoteReference"/>
          <w:i w:val="0"/>
          <w:iCs w:val="0"/>
        </w:rPr>
        <w:footnoteReference w:id="1518"/>
      </w:r>
      <w:r w:rsidRPr="64A6C09C" w:rsidR="7D4A621F">
        <w:rPr>
          <w:i w:val="0"/>
          <w:iCs w:val="0"/>
        </w:rPr>
        <w:t xml:space="preserve">. </w:t>
      </w:r>
    </w:p>
    <w:p w:rsidR="12B2EBF7" w:rsidP="64A6C09C" w:rsidRDefault="12B2EBF7" w14:paraId="72953543" w14:textId="5A2824ED">
      <w:pPr>
        <w:pStyle w:val="Normal"/>
        <w:rPr>
          <w:i w:val="0"/>
          <w:iCs w:val="0"/>
        </w:rPr>
      </w:pPr>
      <w:r w:rsidRPr="64A6C09C" w:rsidR="12B2EBF7">
        <w:rPr>
          <w:i w:val="0"/>
          <w:iCs w:val="0"/>
          <w:u w:val="single"/>
        </w:rPr>
        <w:t>Epigraphy as Commemoration</w:t>
      </w:r>
    </w:p>
    <w:p w:rsidR="12B2EBF7" w:rsidP="64A6C09C" w:rsidRDefault="12B2EBF7" w14:paraId="5DC135C8" w14:textId="256DDAA9">
      <w:pPr>
        <w:pStyle w:val="Normal"/>
        <w:rPr>
          <w:i w:val="0"/>
          <w:iCs w:val="0"/>
        </w:rPr>
      </w:pPr>
      <w:r w:rsidRPr="64A6C09C" w:rsidR="12B2EBF7">
        <w:rPr>
          <w:i w:val="0"/>
          <w:iCs w:val="0"/>
        </w:rPr>
        <w:t>Inscriptions form one of t</w:t>
      </w:r>
      <w:r w:rsidRPr="64A6C09C" w:rsidR="2FD50103">
        <w:rPr>
          <w:i w:val="0"/>
          <w:iCs w:val="0"/>
        </w:rPr>
        <w:t xml:space="preserve">he most important communicative and artistic components within the necropolis. As Cooley’s sourcebook </w:t>
      </w:r>
      <w:r w:rsidRPr="64A6C09C" w:rsidR="2FD50103">
        <w:rPr>
          <w:i w:val="0"/>
          <w:iCs w:val="0"/>
        </w:rPr>
        <w:t>demonstrates</w:t>
      </w:r>
      <w:r w:rsidRPr="64A6C09C" w:rsidR="2FD50103">
        <w:rPr>
          <w:i w:val="0"/>
          <w:iCs w:val="0"/>
        </w:rPr>
        <w:t xml:space="preserve">, Pompeiian funerary inscriptions adhere to highly conventionalised </w:t>
      </w:r>
      <w:r w:rsidRPr="64A6C09C" w:rsidR="29A4A5D0">
        <w:rPr>
          <w:i w:val="0"/>
          <w:iCs w:val="0"/>
        </w:rPr>
        <w:t>formulae</w:t>
      </w:r>
      <w:r w:rsidRPr="64A6C09C" w:rsidR="2FD50103">
        <w:rPr>
          <w:i w:val="0"/>
          <w:iCs w:val="0"/>
        </w:rPr>
        <w:t xml:space="preserve"> while still a</w:t>
      </w:r>
      <w:r w:rsidRPr="64A6C09C" w:rsidR="5400C143">
        <w:rPr>
          <w:i w:val="0"/>
          <w:iCs w:val="0"/>
        </w:rPr>
        <w:t>l</w:t>
      </w:r>
      <w:r w:rsidRPr="64A6C09C" w:rsidR="2FD50103">
        <w:rPr>
          <w:i w:val="0"/>
          <w:iCs w:val="0"/>
        </w:rPr>
        <w:t>lowing space for individual expression</w:t>
      </w:r>
      <w:r w:rsidRPr="64A6C09C">
        <w:rPr>
          <w:rStyle w:val="FootnoteReference"/>
          <w:i w:val="0"/>
          <w:iCs w:val="0"/>
        </w:rPr>
        <w:footnoteReference w:id="25904"/>
      </w:r>
      <w:r w:rsidRPr="64A6C09C" w:rsidR="6E792287">
        <w:rPr>
          <w:i w:val="0"/>
          <w:iCs w:val="0"/>
        </w:rPr>
        <w:t>. Lettering style, layout, and formulaic placement contribute to visual impact and communicative power. The prominence of inscriptions highlights permanence and public communication as central components of Roman commemorative culture</w:t>
      </w:r>
      <w:r w:rsidRPr="64A6C09C" w:rsidR="5141C6D8">
        <w:rPr>
          <w:i w:val="0"/>
          <w:iCs w:val="0"/>
        </w:rPr>
        <w:t>.</w:t>
      </w:r>
    </w:p>
    <w:p w:rsidR="5271FA3D" w:rsidP="64A6C09C" w:rsidRDefault="5271FA3D" w14:paraId="5986DA2F" w14:textId="193752FE">
      <w:pPr>
        <w:pStyle w:val="Normal"/>
        <w:rPr>
          <w:i w:val="0"/>
          <w:iCs w:val="0"/>
          <w:u w:val="single"/>
        </w:rPr>
      </w:pPr>
      <w:r w:rsidRPr="64A6C09C" w:rsidR="5271FA3D">
        <w:rPr>
          <w:i w:val="0"/>
          <w:iCs w:val="0"/>
          <w:u w:val="single"/>
        </w:rPr>
        <w:t>Material</w:t>
      </w:r>
      <w:r w:rsidRPr="64A6C09C" w:rsidR="5141C6D8">
        <w:rPr>
          <w:i w:val="0"/>
          <w:iCs w:val="0"/>
          <w:u w:val="single"/>
        </w:rPr>
        <w:t xml:space="preserve"> Culture and Other Physical Remains</w:t>
      </w:r>
      <w:r>
        <w:br/>
      </w:r>
      <w:r w:rsidRPr="64A6C09C" w:rsidR="12157D7F">
        <w:rPr>
          <w:i w:val="0"/>
          <w:iCs w:val="0"/>
          <w:u w:val="single"/>
        </w:rPr>
        <w:t xml:space="preserve">Burial Practices and Ritual Behaviour </w:t>
      </w:r>
    </w:p>
    <w:p w:rsidR="12157D7F" w:rsidP="64A6C09C" w:rsidRDefault="12157D7F" w14:paraId="60B856E1" w14:textId="78295D14">
      <w:pPr>
        <w:pStyle w:val="Normal"/>
        <w:rPr>
          <w:i w:val="0"/>
          <w:iCs w:val="0"/>
        </w:rPr>
      </w:pPr>
      <w:r w:rsidRPr="64A6C09C" w:rsidR="12157D7F">
        <w:rPr>
          <w:i w:val="0"/>
          <w:iCs w:val="0"/>
        </w:rPr>
        <w:t xml:space="preserve">Excavation </w:t>
      </w:r>
      <w:r w:rsidRPr="64A6C09C" w:rsidR="0977DAA0">
        <w:rPr>
          <w:i w:val="0"/>
          <w:iCs w:val="0"/>
        </w:rPr>
        <w:t>evidence from Porta Nocera reveals both cremation and inhumation practices, reflecting broader transitions in Roman funerary customs</w:t>
      </w:r>
      <w:r w:rsidRPr="64A6C09C">
        <w:rPr>
          <w:rStyle w:val="FootnoteReference"/>
          <w:i w:val="0"/>
          <w:iCs w:val="0"/>
        </w:rPr>
        <w:footnoteReference w:id="4961"/>
      </w:r>
      <w:r w:rsidRPr="64A6C09C" w:rsidR="0977DAA0">
        <w:rPr>
          <w:i w:val="0"/>
          <w:iCs w:val="0"/>
        </w:rPr>
        <w:t xml:space="preserve"> during the early Imperial period</w:t>
      </w:r>
      <w:r w:rsidRPr="64A6C09C" w:rsidR="0977DAA0">
        <w:rPr>
          <w:i w:val="0"/>
          <w:iCs w:val="0"/>
        </w:rPr>
        <w:t xml:space="preserve">. Cremation predominates in earlier phases, with urns placed in tomb chambers of </w:t>
      </w:r>
      <w:r w:rsidRPr="64A6C09C" w:rsidR="0977DAA0">
        <w:rPr>
          <w:i w:val="1"/>
          <w:iCs w:val="1"/>
        </w:rPr>
        <w:t>columbaria</w:t>
      </w:r>
      <w:r w:rsidRPr="64A6C09C" w:rsidR="0977DAA0">
        <w:rPr>
          <w:i w:val="0"/>
          <w:iCs w:val="0"/>
        </w:rPr>
        <w:t>, while inhumation becomes increasingly common later</w:t>
      </w:r>
      <w:r w:rsidRPr="64A6C09C" w:rsidR="26582451">
        <w:rPr>
          <w:i w:val="0"/>
          <w:iCs w:val="0"/>
        </w:rPr>
        <w:t>.</w:t>
      </w:r>
    </w:p>
    <w:p w:rsidR="2302099A" w:rsidP="64A6C09C" w:rsidRDefault="2302099A" w14:paraId="211A40FE" w14:textId="00ED4E1F">
      <w:pPr>
        <w:pStyle w:val="Normal"/>
        <w:rPr>
          <w:i w:val="0"/>
          <w:iCs w:val="0"/>
        </w:rPr>
      </w:pPr>
      <w:r w:rsidRPr="64A6C09C" w:rsidR="2302099A">
        <w:rPr>
          <w:i w:val="0"/>
          <w:iCs w:val="0"/>
        </w:rPr>
        <w:t xml:space="preserve">While grave goods are </w:t>
      </w:r>
      <w:r w:rsidRPr="64A6C09C" w:rsidR="2302099A">
        <w:rPr>
          <w:i w:val="0"/>
          <w:iCs w:val="0"/>
        </w:rPr>
        <w:t>relatively limited</w:t>
      </w:r>
      <w:r w:rsidRPr="64A6C09C" w:rsidR="2302099A">
        <w:rPr>
          <w:i w:val="0"/>
          <w:iCs w:val="0"/>
        </w:rPr>
        <w:t xml:space="preserve">, evidence shows them to be modest but </w:t>
      </w:r>
      <w:r w:rsidRPr="64A6C09C" w:rsidR="6FBE87A3">
        <w:rPr>
          <w:i w:val="0"/>
          <w:iCs w:val="0"/>
        </w:rPr>
        <w:t>meaningful, often including lamps, pottery vessels, coins, and food offerings</w:t>
      </w:r>
      <w:r w:rsidRPr="64A6C09C">
        <w:rPr>
          <w:rStyle w:val="FootnoteReference"/>
          <w:i w:val="0"/>
          <w:iCs w:val="0"/>
        </w:rPr>
        <w:footnoteReference w:id="9518"/>
      </w:r>
      <w:r w:rsidRPr="64A6C09C" w:rsidR="6FBE87A3">
        <w:rPr>
          <w:i w:val="0"/>
          <w:iCs w:val="0"/>
        </w:rPr>
        <w:t xml:space="preserve">. These items are best understood within the framework of ongoing ritual engagement with the death, such as annual offerings during the </w:t>
      </w:r>
      <w:r w:rsidRPr="64A6C09C" w:rsidR="6FBE87A3">
        <w:rPr>
          <w:i w:val="1"/>
          <w:iCs w:val="1"/>
        </w:rPr>
        <w:t>parentalia</w:t>
      </w:r>
      <w:r w:rsidRPr="64A6C09C" w:rsidR="6FBE87A3">
        <w:rPr>
          <w:i w:val="0"/>
          <w:iCs w:val="0"/>
        </w:rPr>
        <w:t xml:space="preserve">, rather than as static burial deposits. Graham's work on funerary commensality highlights </w:t>
      </w:r>
      <w:r w:rsidRPr="64A6C09C" w:rsidR="714B3AAF">
        <w:rPr>
          <w:i w:val="0"/>
          <w:iCs w:val="0"/>
        </w:rPr>
        <w:t xml:space="preserve">the importance of repeated ritual meals and offerings in </w:t>
      </w:r>
      <w:r w:rsidRPr="64A6C09C" w:rsidR="714B3AAF">
        <w:rPr>
          <w:i w:val="0"/>
          <w:iCs w:val="0"/>
        </w:rPr>
        <w:t>maintaining</w:t>
      </w:r>
      <w:r w:rsidRPr="64A6C09C" w:rsidR="714B3AAF">
        <w:rPr>
          <w:i w:val="0"/>
          <w:iCs w:val="0"/>
        </w:rPr>
        <w:t xml:space="preserve"> bonds between the living and dead</w:t>
      </w:r>
      <w:r w:rsidRPr="64A6C09C">
        <w:rPr>
          <w:rStyle w:val="FootnoteReference"/>
          <w:i w:val="0"/>
          <w:iCs w:val="0"/>
        </w:rPr>
        <w:footnoteReference w:id="14721"/>
      </w:r>
      <w:r w:rsidRPr="64A6C09C" w:rsidR="714B3AAF">
        <w:rPr>
          <w:i w:val="0"/>
          <w:iCs w:val="0"/>
        </w:rPr>
        <w:t xml:space="preserve">, and the cultural emphasis placed upon this. </w:t>
      </w:r>
    </w:p>
    <w:p w:rsidR="342F2670" w:rsidP="64A6C09C" w:rsidRDefault="342F2670" w14:paraId="13E53CF3" w14:textId="058306B8">
      <w:pPr>
        <w:pStyle w:val="Normal"/>
        <w:rPr>
          <w:i w:val="0"/>
          <w:iCs w:val="0"/>
          <w:u w:val="single"/>
        </w:rPr>
      </w:pPr>
      <w:r w:rsidRPr="64A6C09C" w:rsidR="342F2670">
        <w:rPr>
          <w:i w:val="0"/>
          <w:iCs w:val="0"/>
          <w:u w:val="single"/>
        </w:rPr>
        <w:t>Objects and Belief Systems</w:t>
      </w:r>
    </w:p>
    <w:p w:rsidR="342F2670" w:rsidP="64A6C09C" w:rsidRDefault="342F2670" w14:paraId="1656D6A8" w14:textId="11CC514B">
      <w:pPr>
        <w:pStyle w:val="Normal"/>
        <w:rPr>
          <w:i w:val="0"/>
          <w:iCs w:val="0"/>
        </w:rPr>
      </w:pPr>
      <w:r w:rsidRPr="64A6C09C" w:rsidR="342F2670">
        <w:rPr>
          <w:i w:val="0"/>
          <w:iCs w:val="0"/>
        </w:rPr>
        <w:t xml:space="preserve">Material </w:t>
      </w:r>
      <w:r w:rsidRPr="64A6C09C" w:rsidR="342F2670">
        <w:rPr>
          <w:i w:val="0"/>
          <w:iCs w:val="0"/>
        </w:rPr>
        <w:t>remains</w:t>
      </w:r>
      <w:r w:rsidRPr="64A6C09C" w:rsidR="342F2670">
        <w:rPr>
          <w:i w:val="0"/>
          <w:iCs w:val="0"/>
        </w:rPr>
        <w:t xml:space="preserve"> </w:t>
      </w:r>
      <w:r w:rsidRPr="64A6C09C" w:rsidR="342F2670">
        <w:rPr>
          <w:i w:val="0"/>
          <w:iCs w:val="0"/>
        </w:rPr>
        <w:t>provide</w:t>
      </w:r>
      <w:r w:rsidRPr="64A6C09C" w:rsidR="342F2670">
        <w:rPr>
          <w:i w:val="0"/>
          <w:iCs w:val="0"/>
        </w:rPr>
        <w:t xml:space="preserve"> valuable insight into daily life and belief systems. Oil lamps decorated with religious or symbolic imagery played </w:t>
      </w:r>
      <w:r w:rsidRPr="64A6C09C" w:rsidR="342F2670">
        <w:rPr>
          <w:i w:val="0"/>
          <w:iCs w:val="0"/>
        </w:rPr>
        <w:t>a central role</w:t>
      </w:r>
      <w:r w:rsidRPr="64A6C09C" w:rsidR="342F2670">
        <w:rPr>
          <w:i w:val="0"/>
          <w:iCs w:val="0"/>
        </w:rPr>
        <w:t xml:space="preserve"> in funerary ritual, </w:t>
      </w:r>
      <w:r w:rsidRPr="64A6C09C" w:rsidR="342F2670">
        <w:rPr>
          <w:i w:val="0"/>
          <w:iCs w:val="0"/>
        </w:rPr>
        <w:t>representing</w:t>
      </w:r>
      <w:r w:rsidRPr="64A6C09C" w:rsidR="342F2670">
        <w:rPr>
          <w:i w:val="0"/>
          <w:iCs w:val="0"/>
        </w:rPr>
        <w:t xml:space="preserve"> light, transition, and presence. </w:t>
      </w:r>
      <w:r w:rsidRPr="64A6C09C" w:rsidR="4A02AD68">
        <w:rPr>
          <w:i w:val="0"/>
          <w:iCs w:val="0"/>
        </w:rPr>
        <w:t>Coins placed with the deceased evoke myths surrounding the journey to the afterlife</w:t>
      </w:r>
      <w:r w:rsidRPr="64A6C09C">
        <w:rPr>
          <w:rStyle w:val="FootnoteReference"/>
          <w:i w:val="0"/>
          <w:iCs w:val="0"/>
        </w:rPr>
        <w:footnoteReference w:id="11453"/>
      </w:r>
      <w:r w:rsidRPr="64A6C09C" w:rsidR="4A02AD68">
        <w:rPr>
          <w:i w:val="0"/>
          <w:iCs w:val="0"/>
        </w:rPr>
        <w:t>, reflecting the integration of mythological ideas into everyday practice. Davies emphasises that such practices reflect a shared cultural vocabulary of death rather than a systematic theological belief</w:t>
      </w:r>
      <w:r w:rsidRPr="64A6C09C">
        <w:rPr>
          <w:rStyle w:val="FootnoteReference"/>
          <w:i w:val="0"/>
          <w:iCs w:val="0"/>
        </w:rPr>
        <w:footnoteReference w:id="1769"/>
      </w:r>
      <w:r w:rsidRPr="64A6C09C" w:rsidR="4A02AD68">
        <w:rPr>
          <w:i w:val="0"/>
          <w:iCs w:val="0"/>
        </w:rPr>
        <w:t xml:space="preserve">. These objects </w:t>
      </w:r>
      <w:r w:rsidRPr="64A6C09C" w:rsidR="4A02AD68">
        <w:rPr>
          <w:i w:val="0"/>
          <w:iCs w:val="0"/>
        </w:rPr>
        <w:t>demonstrate</w:t>
      </w:r>
      <w:r w:rsidRPr="64A6C09C" w:rsidR="4A02AD68">
        <w:rPr>
          <w:i w:val="0"/>
          <w:iCs w:val="0"/>
        </w:rPr>
        <w:t xml:space="preserve"> that such ideas were not confined to abstract elite philosophical </w:t>
      </w:r>
      <w:r w:rsidRPr="64A6C09C" w:rsidR="0816BE6F">
        <w:rPr>
          <w:i w:val="0"/>
          <w:iCs w:val="0"/>
        </w:rPr>
        <w:t>discourse but</w:t>
      </w:r>
      <w:r w:rsidRPr="64A6C09C" w:rsidR="4A02AD68">
        <w:rPr>
          <w:i w:val="0"/>
          <w:iCs w:val="0"/>
        </w:rPr>
        <w:t xml:space="preserve"> embedded in routine ritual behaviour across s</w:t>
      </w:r>
      <w:r w:rsidRPr="64A6C09C" w:rsidR="6B2F1A60">
        <w:rPr>
          <w:i w:val="0"/>
          <w:iCs w:val="0"/>
        </w:rPr>
        <w:t>ocial strat</w:t>
      </w:r>
      <w:r w:rsidRPr="64A6C09C" w:rsidR="0D68A72F">
        <w:rPr>
          <w:i w:val="0"/>
          <w:iCs w:val="0"/>
        </w:rPr>
        <w:t>a.</w:t>
      </w:r>
    </w:p>
    <w:p w:rsidR="0D68A72F" w:rsidP="64A6C09C" w:rsidRDefault="0D68A72F" w14:paraId="3FDEEE6B" w14:textId="4A0CCBB0">
      <w:pPr>
        <w:pStyle w:val="Normal"/>
        <w:rPr>
          <w:i w:val="0"/>
          <w:iCs w:val="0"/>
          <w:u w:val="none"/>
        </w:rPr>
      </w:pPr>
      <w:r w:rsidRPr="64A6C09C" w:rsidR="0D68A72F">
        <w:rPr>
          <w:i w:val="0"/>
          <w:iCs w:val="0"/>
          <w:u w:val="single"/>
        </w:rPr>
        <w:t>Bioarchaeological Evidence</w:t>
      </w:r>
    </w:p>
    <w:p w:rsidR="0D68A72F" w:rsidP="64A6C09C" w:rsidRDefault="0D68A72F" w14:paraId="0B1005BE" w14:textId="10BAF761">
      <w:pPr>
        <w:pStyle w:val="Normal"/>
        <w:rPr>
          <w:i w:val="0"/>
          <w:iCs w:val="0"/>
          <w:u w:val="none"/>
        </w:rPr>
      </w:pPr>
      <w:r w:rsidRPr="64A6C09C" w:rsidR="0D68A72F">
        <w:rPr>
          <w:i w:val="0"/>
          <w:iCs w:val="0"/>
          <w:u w:val="none"/>
        </w:rPr>
        <w:t>Although primarily an archaeological contribution, skeletal remains inform historical interpretations of health, diet, and morality. Evidence of physical stress, disease, and nutritional variation among those in the necropolis supports the interpretation that many individuals at Porta Nocera were members of Pompeii’s non-elite population</w:t>
      </w:r>
      <w:r w:rsidRPr="64A6C09C">
        <w:rPr>
          <w:rStyle w:val="FootnoteReference"/>
          <w:i w:val="0"/>
          <w:iCs w:val="0"/>
          <w:u w:val="none"/>
        </w:rPr>
        <w:footnoteReference w:id="20127"/>
      </w:r>
      <w:r w:rsidRPr="64A6C09C" w:rsidR="0D68A72F">
        <w:rPr>
          <w:i w:val="0"/>
          <w:iCs w:val="0"/>
          <w:u w:val="none"/>
        </w:rPr>
        <w:t>. Lazer's work</w:t>
      </w:r>
      <w:r w:rsidRPr="64A6C09C" w:rsidR="08C5B275">
        <w:rPr>
          <w:i w:val="0"/>
          <w:iCs w:val="0"/>
          <w:u w:val="none"/>
        </w:rPr>
        <w:t xml:space="preserve"> emphasises how human </w:t>
      </w:r>
      <w:r w:rsidRPr="64A6C09C" w:rsidR="08C5B275">
        <w:rPr>
          <w:i w:val="0"/>
          <w:iCs w:val="0"/>
          <w:u w:val="none"/>
        </w:rPr>
        <w:t>remains</w:t>
      </w:r>
      <w:r w:rsidRPr="64A6C09C" w:rsidR="08C5B275">
        <w:rPr>
          <w:i w:val="0"/>
          <w:iCs w:val="0"/>
          <w:u w:val="none"/>
        </w:rPr>
        <w:t xml:space="preserve"> from Pompeii </w:t>
      </w:r>
      <w:r w:rsidRPr="64A6C09C" w:rsidR="08C5B275">
        <w:rPr>
          <w:i w:val="0"/>
          <w:iCs w:val="0"/>
          <w:u w:val="none"/>
        </w:rPr>
        <w:t>provide</w:t>
      </w:r>
      <w:r w:rsidRPr="64A6C09C" w:rsidR="08C5B275">
        <w:rPr>
          <w:i w:val="0"/>
          <w:iCs w:val="0"/>
          <w:u w:val="none"/>
        </w:rPr>
        <w:t xml:space="preserve"> rare insight into the lived experiences of ordinary Romans</w:t>
      </w:r>
      <w:r w:rsidRPr="64A6C09C">
        <w:rPr>
          <w:rStyle w:val="FootnoteReference"/>
          <w:i w:val="0"/>
          <w:iCs w:val="0"/>
          <w:u w:val="none"/>
        </w:rPr>
        <w:footnoteReference w:id="21938"/>
      </w:r>
      <w:r w:rsidRPr="64A6C09C" w:rsidR="08C5B275">
        <w:rPr>
          <w:i w:val="0"/>
          <w:iCs w:val="0"/>
          <w:u w:val="none"/>
        </w:rPr>
        <w:t>, complementing epigraphic and architectural evidenc</w:t>
      </w:r>
      <w:r w:rsidRPr="64A6C09C" w:rsidR="1C3702D9">
        <w:rPr>
          <w:i w:val="0"/>
          <w:iCs w:val="0"/>
          <w:u w:val="none"/>
        </w:rPr>
        <w:t xml:space="preserve">e. </w:t>
      </w:r>
    </w:p>
    <w:p w:rsidR="48D8AB92" w:rsidP="64A6C09C" w:rsidRDefault="48D8AB92" w14:paraId="7BD77355" w14:textId="5C1C4DED">
      <w:pPr>
        <w:pStyle w:val="Normal"/>
        <w:rPr>
          <w:i w:val="0"/>
          <w:iCs w:val="0"/>
          <w:u w:val="none"/>
        </w:rPr>
      </w:pPr>
      <w:r w:rsidRPr="64A6C09C" w:rsidR="48D8AB92">
        <w:rPr>
          <w:i w:val="0"/>
          <w:iCs w:val="0"/>
          <w:u w:val="single"/>
        </w:rPr>
        <w:t>S</w:t>
      </w:r>
      <w:r w:rsidRPr="64A6C09C" w:rsidR="1C3702D9">
        <w:rPr>
          <w:i w:val="0"/>
          <w:iCs w:val="0"/>
          <w:u w:val="single"/>
        </w:rPr>
        <w:t>tate</w:t>
      </w:r>
      <w:r w:rsidRPr="64A6C09C" w:rsidR="08C5B275">
        <w:rPr>
          <w:i w:val="0"/>
          <w:iCs w:val="0"/>
          <w:u w:val="single"/>
        </w:rPr>
        <w:t xml:space="preserve"> </w:t>
      </w:r>
      <w:r w:rsidRPr="64A6C09C" w:rsidR="48D8AB92">
        <w:rPr>
          <w:i w:val="0"/>
          <w:iCs w:val="0"/>
          <w:u w:val="single"/>
        </w:rPr>
        <w:t>of Preservation and Modern Conservation</w:t>
      </w:r>
      <w:r>
        <w:br/>
      </w:r>
      <w:r w:rsidRPr="64A6C09C" w:rsidR="48D8AB92">
        <w:rPr>
          <w:i w:val="0"/>
          <w:iCs w:val="0"/>
          <w:u w:val="single"/>
        </w:rPr>
        <w:t>Preservation and Excavation History</w:t>
      </w:r>
    </w:p>
    <w:p w:rsidR="48D8AB92" w:rsidP="64A6C09C" w:rsidRDefault="48D8AB92" w14:paraId="07BCB64F" w14:textId="56AB973A">
      <w:pPr>
        <w:pStyle w:val="Normal"/>
        <w:rPr>
          <w:i w:val="0"/>
          <w:iCs w:val="0"/>
          <w:u w:val="none"/>
        </w:rPr>
      </w:pPr>
      <w:r w:rsidRPr="64A6C09C" w:rsidR="48D8AB92">
        <w:rPr>
          <w:i w:val="0"/>
          <w:iCs w:val="0"/>
          <w:u w:val="none"/>
        </w:rPr>
        <w:t>The eruption of Vesuvius in 79 CE preserved the Necropoli di Porta Nocera remarkable well</w:t>
      </w:r>
      <w:r w:rsidRPr="64A6C09C">
        <w:rPr>
          <w:rStyle w:val="FootnoteReference"/>
          <w:i w:val="0"/>
          <w:iCs w:val="0"/>
          <w:u w:val="none"/>
        </w:rPr>
        <w:footnoteReference w:id="6205"/>
      </w:r>
      <w:r w:rsidRPr="64A6C09C" w:rsidR="48D8AB92">
        <w:rPr>
          <w:i w:val="0"/>
          <w:iCs w:val="0"/>
          <w:u w:val="none"/>
        </w:rPr>
        <w:t xml:space="preserve">, sealing architectural and epigraphical elements beneath volcanic material. However, </w:t>
      </w:r>
      <w:r w:rsidRPr="64A6C09C" w:rsidR="48D8AB92">
        <w:rPr>
          <w:i w:val="0"/>
          <w:iCs w:val="0"/>
          <w:u w:val="none"/>
        </w:rPr>
        <w:t>subsequent</w:t>
      </w:r>
      <w:r w:rsidRPr="64A6C09C" w:rsidR="48D8AB92">
        <w:rPr>
          <w:i w:val="0"/>
          <w:iCs w:val="0"/>
          <w:u w:val="none"/>
        </w:rPr>
        <w:t xml:space="preserve"> excavation exposed the site to environmental degradation, biological growth, and structural instability. These early excavation practices, particu</w:t>
      </w:r>
      <w:r w:rsidRPr="64A6C09C" w:rsidR="261AF42A">
        <w:rPr>
          <w:i w:val="0"/>
          <w:iCs w:val="0"/>
          <w:u w:val="none"/>
        </w:rPr>
        <w:t>larly during the nineteenth century, prioritised visibility and restoration over long-term conservation or authenticity, resulting in the loss of some original material</w:t>
      </w:r>
      <w:r w:rsidRPr="64A6C09C">
        <w:rPr>
          <w:rStyle w:val="FootnoteReference"/>
          <w:i w:val="0"/>
          <w:iCs w:val="0"/>
          <w:u w:val="none"/>
        </w:rPr>
        <w:footnoteReference w:id="27696"/>
      </w:r>
      <w:r w:rsidRPr="64A6C09C" w:rsidR="261AF42A">
        <w:rPr>
          <w:i w:val="0"/>
          <w:iCs w:val="0"/>
          <w:u w:val="none"/>
        </w:rPr>
        <w:t>.</w:t>
      </w:r>
    </w:p>
    <w:p w:rsidR="53F43B28" w:rsidP="64A6C09C" w:rsidRDefault="53F43B28" w14:paraId="2425BAD4" w14:textId="161E9C18">
      <w:pPr>
        <w:pStyle w:val="Normal"/>
        <w:rPr>
          <w:i w:val="0"/>
          <w:iCs w:val="0"/>
          <w:u w:val="single"/>
        </w:rPr>
      </w:pPr>
      <w:r w:rsidRPr="64A6C09C" w:rsidR="53F43B28">
        <w:rPr>
          <w:i w:val="0"/>
          <w:iCs w:val="0"/>
          <w:u w:val="single"/>
        </w:rPr>
        <w:t>Conservation Challenges</w:t>
      </w:r>
    </w:p>
    <w:p w:rsidR="53F43B28" w:rsidP="64A6C09C" w:rsidRDefault="53F43B28" w14:paraId="1870B4AD" w14:textId="26E31475">
      <w:pPr>
        <w:pStyle w:val="Normal"/>
        <w:rPr>
          <w:i w:val="0"/>
          <w:iCs w:val="0"/>
          <w:u w:val="none"/>
        </w:rPr>
      </w:pPr>
      <w:r w:rsidRPr="64A6C09C" w:rsidR="53F43B28">
        <w:rPr>
          <w:i w:val="0"/>
          <w:iCs w:val="0"/>
          <w:u w:val="none"/>
        </w:rPr>
        <w:t xml:space="preserve">Modern conservation efforts face significant challenges in balancing accessibility with preservation, given the necropolis’ importance for understanding non-elite Roman life. Tomb paintings and plaster surfaces are particularly vulnerable to weathering and biological growth, thus requiring ongoing monitoring and intervention. Recent conservation strategies emphasise minimal </w:t>
      </w:r>
      <w:r w:rsidRPr="64A6C09C" w:rsidR="53F43B28">
        <w:rPr>
          <w:i w:val="0"/>
          <w:iCs w:val="0"/>
          <w:u w:val="none"/>
        </w:rPr>
        <w:t>inte</w:t>
      </w:r>
      <w:r w:rsidRPr="64A6C09C" w:rsidR="53F43B28">
        <w:rPr>
          <w:i w:val="0"/>
          <w:iCs w:val="0"/>
          <w:u w:val="none"/>
        </w:rPr>
        <w:t>rv</w:t>
      </w:r>
      <w:r w:rsidRPr="64A6C09C" w:rsidR="1181F1BA">
        <w:rPr>
          <w:i w:val="0"/>
          <w:iCs w:val="0"/>
          <w:u w:val="none"/>
        </w:rPr>
        <w:t>ention, documentation, and preventative conservation</w:t>
      </w:r>
      <w:r w:rsidRPr="64A6C09C">
        <w:rPr>
          <w:rStyle w:val="FootnoteReference"/>
          <w:i w:val="0"/>
          <w:iCs w:val="0"/>
          <w:u w:val="none"/>
        </w:rPr>
        <w:footnoteReference w:id="7349"/>
      </w:r>
      <w:r w:rsidRPr="64A6C09C" w:rsidR="1181F1BA">
        <w:rPr>
          <w:i w:val="0"/>
          <w:iCs w:val="0"/>
          <w:u w:val="none"/>
        </w:rPr>
        <w:t>.</w:t>
      </w:r>
    </w:p>
    <w:p w:rsidR="7078E35B" w:rsidP="64A6C09C" w:rsidRDefault="7078E35B" w14:paraId="2B48E822" w14:textId="01E07E5C">
      <w:pPr>
        <w:pStyle w:val="Normal"/>
        <w:rPr>
          <w:i w:val="0"/>
          <w:iCs w:val="0"/>
          <w:u w:val="none"/>
        </w:rPr>
      </w:pPr>
      <w:r w:rsidRPr="64A6C09C" w:rsidR="7078E35B">
        <w:rPr>
          <w:i w:val="0"/>
          <w:iCs w:val="0"/>
          <w:u w:val="single"/>
        </w:rPr>
        <w:t>Significance for Modern Scholarship</w:t>
      </w:r>
    </w:p>
    <w:p w:rsidR="7078E35B" w:rsidP="64A6C09C" w:rsidRDefault="7078E35B" w14:paraId="2333BE69" w14:textId="383F7975">
      <w:pPr>
        <w:pStyle w:val="Normal"/>
        <w:rPr>
          <w:i w:val="0"/>
          <w:iCs w:val="0"/>
          <w:u w:val="none"/>
        </w:rPr>
      </w:pPr>
      <w:r w:rsidRPr="64A6C09C" w:rsidR="7078E35B">
        <w:rPr>
          <w:i w:val="0"/>
          <w:iCs w:val="0"/>
          <w:u w:val="none"/>
        </w:rPr>
        <w:t xml:space="preserve">The necropolis plays a crucial role in modern interpretations of Pompeii by </w:t>
      </w:r>
      <w:r w:rsidRPr="64A6C09C" w:rsidR="7078E35B">
        <w:rPr>
          <w:i w:val="0"/>
          <w:iCs w:val="0"/>
          <w:u w:val="none"/>
        </w:rPr>
        <w:t>providing</w:t>
      </w:r>
      <w:r w:rsidRPr="64A6C09C" w:rsidR="7078E35B">
        <w:rPr>
          <w:i w:val="0"/>
          <w:iCs w:val="0"/>
          <w:u w:val="none"/>
        </w:rPr>
        <w:t xml:space="preserve"> critical insight into death, memory, and ritual. As Beard and Berry both emphasise, funerary landscapes are essential for reconstructing the social history</w:t>
      </w:r>
      <w:r w:rsidRPr="64A6C09C" w:rsidR="3667D9D7">
        <w:rPr>
          <w:i w:val="0"/>
          <w:iCs w:val="0"/>
          <w:u w:val="none"/>
        </w:rPr>
        <w:t xml:space="preserve"> of Roman towns beyond elite narratives</w:t>
      </w:r>
      <w:r w:rsidRPr="64A6C09C">
        <w:rPr>
          <w:rStyle w:val="FootnoteReference"/>
          <w:i w:val="0"/>
          <w:iCs w:val="0"/>
          <w:u w:val="none"/>
        </w:rPr>
        <w:footnoteReference w:id="20186"/>
      </w:r>
      <w:r w:rsidRPr="64A6C09C" w:rsidR="3667D9D7">
        <w:rPr>
          <w:i w:val="0"/>
          <w:iCs w:val="0"/>
          <w:u w:val="none"/>
        </w:rPr>
        <w:t xml:space="preserve">. The necropolis therefore </w:t>
      </w:r>
      <w:r w:rsidRPr="64A6C09C" w:rsidR="3667D9D7">
        <w:rPr>
          <w:i w:val="0"/>
          <w:iCs w:val="0"/>
          <w:u w:val="none"/>
        </w:rPr>
        <w:t>remains</w:t>
      </w:r>
      <w:r w:rsidRPr="64A6C09C" w:rsidR="3667D9D7">
        <w:rPr>
          <w:i w:val="0"/>
          <w:iCs w:val="0"/>
          <w:u w:val="none"/>
        </w:rPr>
        <w:t xml:space="preserve"> central to historically grounded understandings of Roman urban life and death. </w:t>
      </w:r>
    </w:p>
    <w:p w:rsidR="49C346C6" w:rsidP="64A6C09C" w:rsidRDefault="49C346C6" w14:paraId="1406D967" w14:textId="2EE4FCBE">
      <w:pPr>
        <w:pStyle w:val="Normal"/>
        <w:rPr>
          <w:i w:val="0"/>
          <w:iCs w:val="0"/>
          <w:u w:val="single"/>
        </w:rPr>
      </w:pPr>
      <w:r w:rsidRPr="64A6C09C" w:rsidR="49C346C6">
        <w:rPr>
          <w:i w:val="0"/>
          <w:iCs w:val="0"/>
          <w:u w:val="single"/>
        </w:rPr>
        <w:t>Conclusion</w:t>
      </w:r>
    </w:p>
    <w:p w:rsidR="49C346C6" w:rsidP="64A6C09C" w:rsidRDefault="49C346C6" w14:paraId="1379B4C0" w14:textId="17F78F84">
      <w:pPr>
        <w:pStyle w:val="Normal"/>
        <w:rPr>
          <w:i w:val="0"/>
          <w:iCs w:val="0"/>
          <w:u w:val="none"/>
        </w:rPr>
      </w:pPr>
      <w:r w:rsidRPr="64A6C09C" w:rsidR="49C346C6">
        <w:rPr>
          <w:i w:val="0"/>
          <w:iCs w:val="0"/>
          <w:u w:val="none"/>
        </w:rPr>
        <w:t xml:space="preserve">The Necropoli di Porta Nocera offers a uniquely rich perspective on Roman social life, revealing how Pompeiians of diverse backgrounds engaged with death, identity, and memory. Through architecture, inscriptions, and material culture, the necropolis </w:t>
      </w:r>
      <w:r w:rsidRPr="64A6C09C" w:rsidR="49C346C6">
        <w:rPr>
          <w:i w:val="0"/>
          <w:iCs w:val="0"/>
          <w:u w:val="none"/>
        </w:rPr>
        <w:t>demonstrate</w:t>
      </w:r>
      <w:r w:rsidRPr="64A6C09C" w:rsidR="49C346C6">
        <w:rPr>
          <w:i w:val="0"/>
          <w:iCs w:val="0"/>
          <w:u w:val="none"/>
        </w:rPr>
        <w:t>s</w:t>
      </w:r>
      <w:r w:rsidRPr="64A6C09C" w:rsidR="49C346C6">
        <w:rPr>
          <w:i w:val="0"/>
          <w:iCs w:val="0"/>
          <w:u w:val="none"/>
        </w:rPr>
        <w:t xml:space="preserve"> that funerary space functioned as an active arena of social negotiation rather than a marginal or static zone. </w:t>
      </w:r>
    </w:p>
    <w:p w:rsidR="1817AC7B" w:rsidP="64A6C09C" w:rsidRDefault="1817AC7B" w14:paraId="7ADD6341" w14:textId="29C718C1">
      <w:pPr>
        <w:pStyle w:val="Normal"/>
        <w:rPr>
          <w:i w:val="0"/>
          <w:iCs w:val="0"/>
          <w:u w:val="none"/>
        </w:rPr>
      </w:pPr>
      <w:r w:rsidRPr="64A6C09C" w:rsidR="1817AC7B">
        <w:rPr>
          <w:i w:val="0"/>
          <w:iCs w:val="0"/>
          <w:u w:val="none"/>
        </w:rPr>
        <w:t xml:space="preserve">Grounded in ritual repetition, public visibility, and ongoing engagement with the dead, the necropolis illustrates how non-elite individuals asserted identity and belonging within the Roman civic order. Its continued study and preservation remain essential for advancing interpretations of Pompeii that foreground lived experience as well as monumental display. </w:t>
      </w:r>
    </w:p>
    <w:p w:rsidR="64A6C09C" w:rsidP="64A6C09C" w:rsidRDefault="64A6C09C" w14:paraId="643C5EE6" w14:textId="437F4948">
      <w:pPr>
        <w:pStyle w:val="Normal"/>
        <w:rPr>
          <w:i w:val="0"/>
          <w:iCs w:val="0"/>
          <w:u w:val="none"/>
        </w:rPr>
      </w:pPr>
    </w:p>
    <w:p w:rsidR="12FEFBFB" w:rsidP="64A6C09C" w:rsidRDefault="12FEFBFB" w14:paraId="2473EA3E" w14:textId="23781695">
      <w:pPr>
        <w:pStyle w:val="Normal"/>
        <w:rPr>
          <w:i w:val="0"/>
          <w:iCs w:val="0"/>
          <w:u w:val="none"/>
        </w:rPr>
      </w:pPr>
      <w:r w:rsidRPr="64A6C09C" w:rsidR="12FEFBFB">
        <w:rPr>
          <w:i w:val="0"/>
          <w:iCs w:val="0"/>
          <w:u w:val="single"/>
        </w:rPr>
        <w:t>Reference List</w:t>
      </w:r>
    </w:p>
    <w:p w:rsidR="12FEFBFB" w:rsidP="64A6C09C" w:rsidRDefault="12FEFBFB" w14:paraId="7E1BD1CB" w14:textId="69417F35">
      <w:pPr>
        <w:pStyle w:val="ListParagraph"/>
        <w:numPr>
          <w:ilvl w:val="0"/>
          <w:numId w:val="2"/>
        </w:numPr>
        <w:rPr>
          <w:i w:val="0"/>
          <w:iCs w:val="0"/>
          <w:u w:val="none"/>
        </w:rPr>
      </w:pPr>
      <w:r w:rsidRPr="64A6C09C" w:rsidR="12FEFBFB">
        <w:rPr>
          <w:i w:val="0"/>
          <w:iCs w:val="0"/>
          <w:u w:val="none"/>
        </w:rPr>
        <w:t xml:space="preserve">Beard, Mary, </w:t>
      </w:r>
      <w:r w:rsidRPr="64A6C09C" w:rsidR="12FEFBFB">
        <w:rPr>
          <w:i w:val="1"/>
          <w:iCs w:val="1"/>
          <w:u w:val="none"/>
        </w:rPr>
        <w:t>Pompeii: The Life of a Roman Town</w:t>
      </w:r>
      <w:r w:rsidRPr="64A6C09C" w:rsidR="12FEFBFB">
        <w:rPr>
          <w:i w:val="0"/>
          <w:iCs w:val="0"/>
          <w:u w:val="none"/>
        </w:rPr>
        <w:t xml:space="preserve"> (London: Profile Books, 2008)</w:t>
      </w:r>
    </w:p>
    <w:p w:rsidR="0599BACC" w:rsidP="64A6C09C" w:rsidRDefault="0599BACC" w14:paraId="0AD15060" w14:textId="031457E2">
      <w:pPr>
        <w:pStyle w:val="ListParagraph"/>
        <w:numPr>
          <w:ilvl w:val="0"/>
          <w:numId w:val="2"/>
        </w:numPr>
        <w:rPr>
          <w:i w:val="0"/>
          <w:iCs w:val="0"/>
          <w:u w:val="none"/>
        </w:rPr>
      </w:pPr>
      <w:r w:rsidRPr="64A6C09C" w:rsidR="0599BACC">
        <w:rPr>
          <w:i w:val="0"/>
          <w:iCs w:val="0"/>
          <w:u w:val="none"/>
        </w:rPr>
        <w:t xml:space="preserve">Berry, Joanne, </w:t>
      </w:r>
      <w:r w:rsidRPr="64A6C09C" w:rsidR="0599BACC">
        <w:rPr>
          <w:i w:val="1"/>
          <w:iCs w:val="1"/>
          <w:u w:val="none"/>
        </w:rPr>
        <w:t>The Complete Pompeii</w:t>
      </w:r>
      <w:r w:rsidRPr="64A6C09C" w:rsidR="0599BACC">
        <w:rPr>
          <w:i w:val="0"/>
          <w:iCs w:val="0"/>
          <w:u w:val="none"/>
        </w:rPr>
        <w:t xml:space="preserve"> (London: Thames &amp; Hudson, 2012)</w:t>
      </w:r>
    </w:p>
    <w:p w:rsidR="2C40AF5F" w:rsidP="64A6C09C" w:rsidRDefault="2C40AF5F" w14:paraId="4606464A" w14:textId="7FAC01E9">
      <w:pPr>
        <w:pStyle w:val="ListParagraph"/>
        <w:numPr>
          <w:ilvl w:val="0"/>
          <w:numId w:val="2"/>
        </w:numPr>
        <w:rPr>
          <w:i w:val="0"/>
          <w:iCs w:val="0"/>
          <w:u w:val="none"/>
        </w:rPr>
      </w:pPr>
      <w:r w:rsidRPr="64A6C09C" w:rsidR="2C40AF5F">
        <w:rPr>
          <w:i w:val="0"/>
          <w:iCs w:val="0"/>
          <w:u w:val="none"/>
        </w:rPr>
        <w:t xml:space="preserve">Carroll, Maureen, </w:t>
      </w:r>
      <w:r w:rsidRPr="64A6C09C" w:rsidR="2C40AF5F">
        <w:rPr>
          <w:i w:val="1"/>
          <w:iCs w:val="1"/>
          <w:u w:val="none"/>
        </w:rPr>
        <w:t>Spirits of the Dead: Roman Funerary Commemoration in Western Europe</w:t>
      </w:r>
      <w:r w:rsidRPr="64A6C09C" w:rsidR="2C40AF5F">
        <w:rPr>
          <w:i w:val="0"/>
          <w:iCs w:val="0"/>
          <w:u w:val="none"/>
        </w:rPr>
        <w:t xml:space="preserve"> (Oxford: Oxford University Press, 2006)</w:t>
      </w:r>
    </w:p>
    <w:p w:rsidR="2B910F44" w:rsidP="64A6C09C" w:rsidRDefault="2B910F44" w14:paraId="11504FC1" w14:textId="0477AE69">
      <w:pPr>
        <w:pStyle w:val="ListParagraph"/>
        <w:numPr>
          <w:ilvl w:val="0"/>
          <w:numId w:val="2"/>
        </w:numPr>
        <w:rPr>
          <w:i w:val="0"/>
          <w:iCs w:val="0"/>
          <w:u w:val="none"/>
        </w:rPr>
      </w:pPr>
      <w:r w:rsidRPr="64A6C09C" w:rsidR="2B910F44">
        <w:rPr>
          <w:i w:val="0"/>
          <w:iCs w:val="0"/>
          <w:u w:val="none"/>
        </w:rPr>
        <w:t xml:space="preserve">Clarke, John R., discussed in Berry, </w:t>
      </w:r>
      <w:r w:rsidRPr="64A6C09C" w:rsidR="2B910F44">
        <w:rPr>
          <w:i w:val="1"/>
          <w:iCs w:val="1"/>
          <w:u w:val="none"/>
        </w:rPr>
        <w:t xml:space="preserve">The Complete Pompeii </w:t>
      </w:r>
      <w:r w:rsidRPr="64A6C09C" w:rsidR="2B910F44">
        <w:rPr>
          <w:i w:val="0"/>
          <w:iCs w:val="0"/>
          <w:u w:val="none"/>
        </w:rPr>
        <w:t xml:space="preserve">(London: Thames &amp; Hudson, 2012), p. 302-05 </w:t>
      </w:r>
    </w:p>
    <w:p w:rsidR="721B9D25" w:rsidP="64A6C09C" w:rsidRDefault="721B9D25" w14:paraId="4784017B" w14:textId="3E8C9E8C">
      <w:pPr>
        <w:pStyle w:val="ListParagraph"/>
        <w:numPr>
          <w:ilvl w:val="0"/>
          <w:numId w:val="2"/>
        </w:numPr>
        <w:rPr>
          <w:i w:val="0"/>
          <w:iCs w:val="0"/>
          <w:u w:val="none"/>
        </w:rPr>
      </w:pPr>
      <w:r w:rsidRPr="64A6C09C" w:rsidR="721B9D25">
        <w:rPr>
          <w:i w:val="0"/>
          <w:iCs w:val="0"/>
          <w:u w:val="none"/>
        </w:rPr>
        <w:t xml:space="preserve">Cooley, Alison E., </w:t>
      </w:r>
      <w:r w:rsidRPr="64A6C09C" w:rsidR="721B9D25">
        <w:rPr>
          <w:i w:val="1"/>
          <w:iCs w:val="1"/>
          <w:u w:val="none"/>
        </w:rPr>
        <w:t>Pompeii</w:t>
      </w:r>
      <w:r w:rsidRPr="64A6C09C" w:rsidR="721B9D25">
        <w:rPr>
          <w:i w:val="1"/>
          <w:iCs w:val="1"/>
          <w:u w:val="none"/>
        </w:rPr>
        <w:t xml:space="preserve"> and Herculaneum: A Sourcebook</w:t>
      </w:r>
      <w:r w:rsidRPr="64A6C09C" w:rsidR="721B9D25">
        <w:rPr>
          <w:i w:val="0"/>
          <w:iCs w:val="0"/>
          <w:u w:val="none"/>
        </w:rPr>
        <w:t>, 2</w:t>
      </w:r>
      <w:r w:rsidRPr="64A6C09C" w:rsidR="721B9D25">
        <w:rPr>
          <w:i w:val="0"/>
          <w:iCs w:val="0"/>
          <w:u w:val="none"/>
          <w:vertAlign w:val="superscript"/>
        </w:rPr>
        <w:t>nd</w:t>
      </w:r>
      <w:r w:rsidRPr="64A6C09C" w:rsidR="721B9D25">
        <w:rPr>
          <w:i w:val="0"/>
          <w:iCs w:val="0"/>
          <w:u w:val="none"/>
        </w:rPr>
        <w:t xml:space="preserve"> edn (London: Routledge, 2012)</w:t>
      </w:r>
    </w:p>
    <w:p w:rsidR="3DB9E667" w:rsidP="64A6C09C" w:rsidRDefault="3DB9E667" w14:paraId="5C3D579E" w14:textId="746FC4FF">
      <w:pPr>
        <w:pStyle w:val="ListParagraph"/>
        <w:numPr>
          <w:ilvl w:val="0"/>
          <w:numId w:val="2"/>
        </w:numPr>
        <w:rPr>
          <w:i w:val="0"/>
          <w:iCs w:val="0"/>
          <w:u w:val="none"/>
        </w:rPr>
      </w:pPr>
      <w:r w:rsidRPr="64A6C09C" w:rsidR="3DB9E667">
        <w:rPr>
          <w:i w:val="0"/>
          <w:iCs w:val="0"/>
          <w:u w:val="none"/>
        </w:rPr>
        <w:t xml:space="preserve">D’Ambrosio, A., and S. De Caro, </w:t>
      </w:r>
      <w:r w:rsidRPr="64A6C09C" w:rsidR="3DB9E667">
        <w:rPr>
          <w:i w:val="1"/>
          <w:iCs w:val="1"/>
          <w:u w:val="none"/>
        </w:rPr>
        <w:t>Pompeii</w:t>
      </w:r>
      <w:r w:rsidRPr="64A6C09C" w:rsidR="3DB9E667">
        <w:rPr>
          <w:i w:val="1"/>
          <w:iCs w:val="1"/>
          <w:u w:val="none"/>
        </w:rPr>
        <w:t xml:space="preserve"> and Its Necropoleis</w:t>
      </w:r>
      <w:r w:rsidRPr="64A6C09C" w:rsidR="3DB9E667">
        <w:rPr>
          <w:i w:val="0"/>
          <w:iCs w:val="0"/>
          <w:u w:val="none"/>
        </w:rPr>
        <w:t xml:space="preserve"> (Naples: Electa, 1983)</w:t>
      </w:r>
    </w:p>
    <w:p w:rsidR="525AFF6C" w:rsidP="64A6C09C" w:rsidRDefault="525AFF6C" w14:paraId="0F44B44D" w14:textId="114A0348">
      <w:pPr>
        <w:pStyle w:val="ListParagraph"/>
        <w:numPr>
          <w:ilvl w:val="0"/>
          <w:numId w:val="2"/>
        </w:numPr>
        <w:rPr>
          <w:i w:val="0"/>
          <w:iCs w:val="0"/>
          <w:u w:val="none"/>
        </w:rPr>
      </w:pPr>
      <w:r w:rsidRPr="64A6C09C" w:rsidR="525AFF6C">
        <w:rPr>
          <w:i w:val="0"/>
          <w:iCs w:val="0"/>
          <w:u w:val="none"/>
        </w:rPr>
        <w:t>Davies, J., ‘Death, Burial, and the Afterlife</w:t>
      </w:r>
      <w:r w:rsidRPr="64A6C09C" w:rsidR="525AFF6C">
        <w:rPr>
          <w:i w:val="0"/>
          <w:iCs w:val="0"/>
          <w:u w:val="none"/>
        </w:rPr>
        <w:t>’,</w:t>
      </w:r>
      <w:r w:rsidRPr="64A6C09C" w:rsidR="525AFF6C">
        <w:rPr>
          <w:i w:val="0"/>
          <w:iCs w:val="0"/>
          <w:u w:val="none"/>
        </w:rPr>
        <w:t xml:space="preserve"> in </w:t>
      </w:r>
      <w:r w:rsidRPr="64A6C09C" w:rsidR="525AFF6C">
        <w:rPr>
          <w:i w:val="1"/>
          <w:iCs w:val="1"/>
          <w:u w:val="none"/>
        </w:rPr>
        <w:t>The Oxford Handbook of Roman Studies</w:t>
      </w:r>
      <w:r w:rsidRPr="64A6C09C" w:rsidR="525AFF6C">
        <w:rPr>
          <w:i w:val="0"/>
          <w:iCs w:val="0"/>
          <w:u w:val="none"/>
        </w:rPr>
        <w:t xml:space="preserve">, ed. by A. </w:t>
      </w:r>
      <w:r w:rsidRPr="64A6C09C" w:rsidR="525AFF6C">
        <w:rPr>
          <w:i w:val="0"/>
          <w:iCs w:val="0"/>
          <w:u w:val="none"/>
        </w:rPr>
        <w:t>Barchiesi</w:t>
      </w:r>
      <w:r w:rsidRPr="64A6C09C" w:rsidR="525AFF6C">
        <w:rPr>
          <w:i w:val="0"/>
          <w:iCs w:val="0"/>
          <w:u w:val="none"/>
        </w:rPr>
        <w:t xml:space="preserve"> (Oxford: Oxford University Press, 2010) </w:t>
      </w:r>
    </w:p>
    <w:p w:rsidR="49162290" w:rsidP="64A6C09C" w:rsidRDefault="49162290" w14:paraId="119F6057" w14:textId="2B9ABBE2">
      <w:pPr>
        <w:pStyle w:val="ListParagraph"/>
        <w:numPr>
          <w:ilvl w:val="0"/>
          <w:numId w:val="2"/>
        </w:numPr>
        <w:rPr>
          <w:i w:val="0"/>
          <w:iCs w:val="0"/>
          <w:u w:val="none"/>
        </w:rPr>
      </w:pPr>
      <w:r w:rsidRPr="64A6C09C" w:rsidR="49162290">
        <w:rPr>
          <w:i w:val="0"/>
          <w:iCs w:val="0"/>
          <w:u w:val="none"/>
        </w:rPr>
        <w:t xml:space="preserve">Graham, E. J., </w:t>
      </w:r>
      <w:r w:rsidRPr="64A6C09C" w:rsidR="49162290">
        <w:rPr>
          <w:i w:val="1"/>
          <w:iCs w:val="1"/>
          <w:u w:val="none"/>
        </w:rPr>
        <w:t xml:space="preserve">The Burial of the Urban Poor in Italy in the Late Roman Republic and Early Empire </w:t>
      </w:r>
      <w:r w:rsidRPr="64A6C09C" w:rsidR="49162290">
        <w:rPr>
          <w:i w:val="0"/>
          <w:iCs w:val="0"/>
          <w:u w:val="none"/>
        </w:rPr>
        <w:t xml:space="preserve">(Oxford: BAR, 2011) </w:t>
      </w:r>
    </w:p>
    <w:p w:rsidR="1821112F" w:rsidP="64A6C09C" w:rsidRDefault="1821112F" w14:paraId="1940CD50" w14:textId="11EDE619">
      <w:pPr>
        <w:pStyle w:val="ListParagraph"/>
        <w:numPr>
          <w:ilvl w:val="0"/>
          <w:numId w:val="2"/>
        </w:numPr>
        <w:rPr>
          <w:i w:val="0"/>
          <w:iCs w:val="0"/>
          <w:u w:val="none"/>
        </w:rPr>
      </w:pPr>
      <w:r w:rsidRPr="64A6C09C" w:rsidR="1821112F">
        <w:rPr>
          <w:i w:val="0"/>
          <w:iCs w:val="0"/>
          <w:u w:val="none"/>
        </w:rPr>
        <w:t xml:space="preserve">Hope, Victoria M., </w:t>
      </w:r>
      <w:r w:rsidRPr="64A6C09C" w:rsidR="1821112F">
        <w:rPr>
          <w:i w:val="1"/>
          <w:iCs w:val="1"/>
          <w:u w:val="none"/>
        </w:rPr>
        <w:t xml:space="preserve">Roman Death </w:t>
      </w:r>
      <w:r w:rsidRPr="64A6C09C" w:rsidR="1821112F">
        <w:rPr>
          <w:i w:val="0"/>
          <w:iCs w:val="0"/>
          <w:u w:val="none"/>
        </w:rPr>
        <w:t>(London: Continuum, 2009)</w:t>
      </w:r>
    </w:p>
    <w:p w:rsidR="53587846" w:rsidP="64A6C09C" w:rsidRDefault="53587846" w14:paraId="0F87742F" w14:textId="0F53B6C8">
      <w:pPr>
        <w:pStyle w:val="ListParagraph"/>
        <w:numPr>
          <w:ilvl w:val="0"/>
          <w:numId w:val="2"/>
        </w:numPr>
        <w:rPr>
          <w:i w:val="0"/>
          <w:iCs w:val="0"/>
          <w:u w:val="none"/>
        </w:rPr>
      </w:pPr>
      <w:r w:rsidRPr="64A6C09C" w:rsidR="53587846">
        <w:rPr>
          <w:i w:val="0"/>
          <w:iCs w:val="0"/>
          <w:u w:val="none"/>
        </w:rPr>
        <w:t xml:space="preserve">Lazer, Estelle, </w:t>
      </w:r>
      <w:r w:rsidRPr="64A6C09C" w:rsidR="53587846">
        <w:rPr>
          <w:i w:val="1"/>
          <w:iCs w:val="1"/>
          <w:u w:val="none"/>
        </w:rPr>
        <w:t>R</w:t>
      </w:r>
      <w:r w:rsidRPr="64A6C09C" w:rsidR="53587846">
        <w:rPr>
          <w:i w:val="1"/>
          <w:iCs w:val="1"/>
          <w:u w:val="none"/>
        </w:rPr>
        <w:t xml:space="preserve">esurrecting </w:t>
      </w:r>
      <w:r w:rsidRPr="64A6C09C" w:rsidR="53587846">
        <w:rPr>
          <w:i w:val="1"/>
          <w:iCs w:val="1"/>
          <w:u w:val="none"/>
        </w:rPr>
        <w:t>Pompeii</w:t>
      </w:r>
      <w:r w:rsidRPr="64A6C09C" w:rsidR="53587846">
        <w:rPr>
          <w:i w:val="0"/>
          <w:iCs w:val="0"/>
          <w:u w:val="none"/>
        </w:rPr>
        <w:t xml:space="preserve"> (London: Routledge, 2009) </w:t>
      </w:r>
    </w:p>
    <w:p w:rsidR="60C2F6B2" w:rsidP="64A6C09C" w:rsidRDefault="60C2F6B2" w14:paraId="20C06EE4" w14:textId="6F268895">
      <w:pPr>
        <w:pStyle w:val="ListParagraph"/>
        <w:numPr>
          <w:ilvl w:val="0"/>
          <w:numId w:val="2"/>
        </w:numPr>
        <w:rPr>
          <w:i w:val="0"/>
          <w:iCs w:val="0"/>
          <w:u w:val="none"/>
        </w:rPr>
      </w:pPr>
      <w:r w:rsidRPr="64A6C09C" w:rsidR="60C2F6B2">
        <w:rPr>
          <w:i w:val="0"/>
          <w:iCs w:val="0"/>
          <w:u w:val="none"/>
        </w:rPr>
        <w:t xml:space="preserve">Toynbee, J. M. C., </w:t>
      </w:r>
      <w:r w:rsidRPr="64A6C09C" w:rsidR="60C2F6B2">
        <w:rPr>
          <w:i w:val="1"/>
          <w:iCs w:val="1"/>
          <w:u w:val="none"/>
        </w:rPr>
        <w:t>Death</w:t>
      </w:r>
      <w:r w:rsidRPr="64A6C09C" w:rsidR="60C2F6B2">
        <w:rPr>
          <w:i w:val="1"/>
          <w:iCs w:val="1"/>
          <w:u w:val="none"/>
        </w:rPr>
        <w:t xml:space="preserve"> and Burial in the Roman World</w:t>
      </w:r>
      <w:r w:rsidRPr="64A6C09C" w:rsidR="60C2F6B2">
        <w:rPr>
          <w:i w:val="0"/>
          <w:iCs w:val="0"/>
          <w:u w:val="none"/>
        </w:rPr>
        <w:t xml:space="preserve"> (London: Thames &amp; Hudson, 1971)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64A6C09C" w:rsidRDefault="64A6C09C" w14:paraId="494137D2" w14:textId="5FEE38FA">
      <w:pPr>
        <w:spacing w:after="0" w:line="240" w:lineRule="auto"/>
      </w:pPr>
      <w:r>
        <w:separator/>
      </w:r>
    </w:p>
  </w:footnote>
  <w:footnote w:type="continuationSeparator" w:id="0">
    <w:p w:rsidR="64A6C09C" w:rsidRDefault="64A6C09C" w14:paraId="58E01054" w14:textId="2192CDA9">
      <w:pPr>
        <w:spacing w:after="0" w:line="240" w:lineRule="auto"/>
      </w:pPr>
      <w:r>
        <w:continuationSeparator/>
      </w:r>
    </w:p>
  </w:footnote>
  <w:footnote w:id="2877">
    <w:p w:rsidR="64A6C09C" w:rsidP="64A6C09C" w:rsidRDefault="64A6C09C" w14:paraId="02431052" w14:textId="24A8D485">
      <w:pPr>
        <w:pStyle w:val="FootnoteText"/>
        <w:bidi w:val="0"/>
        <w:rPr>
          <w:i w:val="0"/>
          <w:iCs w:val="0"/>
        </w:rPr>
      </w:pPr>
      <w:r w:rsidRPr="64A6C09C">
        <w:rPr>
          <w:rStyle w:val="FootnoteReference"/>
        </w:rPr>
        <w:footnoteRef/>
      </w:r>
      <w:r w:rsidR="64A6C09C">
        <w:rPr/>
        <w:t xml:space="preserve"> Mary Beard, </w:t>
      </w:r>
      <w:r w:rsidRPr="64A6C09C" w:rsidR="64A6C09C">
        <w:rPr>
          <w:i w:val="1"/>
          <w:iCs w:val="1"/>
        </w:rPr>
        <w:t xml:space="preserve">Pompeii: The Life of a Roman Town </w:t>
      </w:r>
      <w:r w:rsidRPr="64A6C09C" w:rsidR="64A6C09C">
        <w:rPr>
          <w:i w:val="0"/>
          <w:iCs w:val="0"/>
        </w:rPr>
        <w:t>(London: Profile Books, 2008), p. 3-6.</w:t>
      </w:r>
    </w:p>
  </w:footnote>
  <w:footnote w:id="13170">
    <w:p w:rsidR="64A6C09C" w:rsidP="64A6C09C" w:rsidRDefault="64A6C09C" w14:paraId="573EE1A2" w14:textId="55690D57">
      <w:pPr>
        <w:pStyle w:val="FootnoteText"/>
        <w:bidi w:val="0"/>
        <w:rPr>
          <w:i w:val="0"/>
          <w:iCs w:val="0"/>
        </w:rPr>
      </w:pPr>
      <w:r w:rsidRPr="64A6C09C">
        <w:rPr>
          <w:rStyle w:val="FootnoteReference"/>
        </w:rPr>
        <w:footnoteRef/>
      </w:r>
      <w:r w:rsidR="64A6C09C">
        <w:rPr/>
        <w:t xml:space="preserve"> Maureen Carroll, </w:t>
      </w:r>
      <w:r w:rsidRPr="64A6C09C" w:rsidR="64A6C09C">
        <w:rPr>
          <w:i w:val="1"/>
          <w:iCs w:val="1"/>
        </w:rPr>
        <w:t xml:space="preserve">Spirits of the Dead: Roman Funerary Commemoration in Western Europe </w:t>
      </w:r>
      <w:r w:rsidRPr="64A6C09C" w:rsidR="64A6C09C">
        <w:rPr>
          <w:i w:val="0"/>
          <w:iCs w:val="0"/>
        </w:rPr>
        <w:t>(Oxford: Oxford University Press, 2006), p. 1-9.</w:t>
      </w:r>
    </w:p>
  </w:footnote>
  <w:footnote w:id="22906">
    <w:p w:rsidR="64A6C09C" w:rsidP="64A6C09C" w:rsidRDefault="64A6C09C" w14:paraId="14C9B885" w14:textId="063BADB3">
      <w:pPr>
        <w:pStyle w:val="FootnoteText"/>
        <w:bidi w:val="0"/>
        <w:rPr>
          <w:i w:val="0"/>
          <w:iCs w:val="0"/>
        </w:rPr>
      </w:pPr>
      <w:r w:rsidRPr="64A6C09C">
        <w:rPr>
          <w:rStyle w:val="FootnoteReference"/>
        </w:rPr>
        <w:footnoteRef/>
      </w:r>
      <w:r w:rsidR="64A6C09C">
        <w:rPr/>
        <w:t xml:space="preserve"> J. M. C. Toynbee, </w:t>
      </w:r>
      <w:r w:rsidRPr="64A6C09C" w:rsidR="64A6C09C">
        <w:rPr>
          <w:i w:val="1"/>
          <w:iCs w:val="1"/>
        </w:rPr>
        <w:t>Death</w:t>
      </w:r>
      <w:r w:rsidRPr="64A6C09C" w:rsidR="64A6C09C">
        <w:rPr>
          <w:i w:val="1"/>
          <w:iCs w:val="1"/>
        </w:rPr>
        <w:t xml:space="preserve"> and Burial in the Roman World</w:t>
      </w:r>
      <w:r w:rsidRPr="64A6C09C" w:rsidR="64A6C09C">
        <w:rPr>
          <w:i w:val="0"/>
          <w:iCs w:val="0"/>
        </w:rPr>
        <w:t xml:space="preserve"> (London: Thames &amp; Hudson, 1971), p. 43-47. </w:t>
      </w:r>
    </w:p>
  </w:footnote>
  <w:footnote w:id="16795">
    <w:p w:rsidR="64A6C09C" w:rsidP="64A6C09C" w:rsidRDefault="64A6C09C" w14:paraId="1547E73D" w14:textId="13FE62AE">
      <w:pPr>
        <w:pStyle w:val="FootnoteText"/>
        <w:bidi w:val="0"/>
        <w:rPr>
          <w:i w:val="0"/>
          <w:iCs w:val="0"/>
        </w:rPr>
      </w:pPr>
      <w:r w:rsidRPr="64A6C09C">
        <w:rPr>
          <w:rStyle w:val="FootnoteReference"/>
        </w:rPr>
        <w:footnoteRef/>
      </w:r>
      <w:r w:rsidR="64A6C09C">
        <w:rPr/>
        <w:t xml:space="preserve"> A. D’Ambrosio and S. De Caro, </w:t>
      </w:r>
      <w:r w:rsidRPr="64A6C09C" w:rsidR="64A6C09C">
        <w:rPr>
          <w:i w:val="1"/>
          <w:iCs w:val="1"/>
        </w:rPr>
        <w:t>Pompeii</w:t>
      </w:r>
      <w:r w:rsidRPr="64A6C09C" w:rsidR="64A6C09C">
        <w:rPr>
          <w:i w:val="1"/>
          <w:iCs w:val="1"/>
        </w:rPr>
        <w:t xml:space="preserve"> and Its Necropoleis </w:t>
      </w:r>
      <w:r w:rsidRPr="64A6C09C" w:rsidR="64A6C09C">
        <w:rPr>
          <w:i w:val="0"/>
          <w:iCs w:val="0"/>
        </w:rPr>
        <w:t>(Naples: Electa, 1983), p. 89-94.</w:t>
      </w:r>
    </w:p>
  </w:footnote>
  <w:footnote w:id="30595">
    <w:p w:rsidR="64A6C09C" w:rsidP="64A6C09C" w:rsidRDefault="64A6C09C" w14:paraId="1F0976FC" w14:textId="230B00FA">
      <w:pPr>
        <w:pStyle w:val="FootnoteText"/>
        <w:bidi w:val="0"/>
        <w:rPr>
          <w:i w:val="0"/>
          <w:iCs w:val="0"/>
        </w:rPr>
      </w:pPr>
      <w:r w:rsidRPr="64A6C09C">
        <w:rPr>
          <w:rStyle w:val="FootnoteReference"/>
        </w:rPr>
        <w:footnoteRef/>
      </w:r>
      <w:r w:rsidR="64A6C09C">
        <w:rPr/>
        <w:t xml:space="preserve"> Beard, </w:t>
      </w:r>
      <w:r w:rsidRPr="64A6C09C" w:rsidR="64A6C09C">
        <w:rPr>
          <w:i w:val="1"/>
          <w:iCs w:val="1"/>
        </w:rPr>
        <w:t>Pompeii</w:t>
      </w:r>
      <w:r w:rsidRPr="64A6C09C" w:rsidR="64A6C09C">
        <w:rPr>
          <w:i w:val="0"/>
          <w:iCs w:val="0"/>
        </w:rPr>
        <w:t>, p. 53-78.</w:t>
      </w:r>
    </w:p>
  </w:footnote>
  <w:footnote w:id="21897">
    <w:p w:rsidR="64A6C09C" w:rsidP="64A6C09C" w:rsidRDefault="64A6C09C" w14:paraId="318A0C49" w14:textId="1605C748">
      <w:pPr>
        <w:pStyle w:val="FootnoteText"/>
        <w:bidi w:val="0"/>
        <w:rPr>
          <w:i w:val="0"/>
          <w:iCs w:val="0"/>
        </w:rPr>
      </w:pPr>
      <w:r w:rsidRPr="64A6C09C">
        <w:rPr>
          <w:rStyle w:val="FootnoteReference"/>
        </w:rPr>
        <w:footnoteRef/>
      </w:r>
      <w:r w:rsidR="64A6C09C">
        <w:rPr/>
        <w:t xml:space="preserve"> Victoria M. Hope, </w:t>
      </w:r>
      <w:r w:rsidRPr="64A6C09C" w:rsidR="64A6C09C">
        <w:rPr>
          <w:i w:val="1"/>
          <w:iCs w:val="1"/>
        </w:rPr>
        <w:t xml:space="preserve">Roman Death </w:t>
      </w:r>
      <w:r w:rsidRPr="64A6C09C" w:rsidR="64A6C09C">
        <w:rPr>
          <w:i w:val="0"/>
          <w:iCs w:val="0"/>
        </w:rPr>
        <w:t>(London: Continuum, 2009), p. 87-90.</w:t>
      </w:r>
    </w:p>
  </w:footnote>
  <w:footnote w:id="15021">
    <w:p w:rsidR="64A6C09C" w:rsidP="64A6C09C" w:rsidRDefault="64A6C09C" w14:paraId="233EA50E" w14:textId="4D8A49CB">
      <w:pPr>
        <w:pStyle w:val="FootnoteText"/>
        <w:bidi w:val="0"/>
      </w:pPr>
      <w:r w:rsidRPr="64A6C09C">
        <w:rPr>
          <w:rStyle w:val="FootnoteReference"/>
        </w:rPr>
        <w:footnoteRef/>
      </w:r>
      <w:r w:rsidR="64A6C09C">
        <w:rPr/>
        <w:t xml:space="preserve"> Alison E. Cooley, </w:t>
      </w:r>
      <w:r w:rsidRPr="64A6C09C" w:rsidR="64A6C09C">
        <w:rPr>
          <w:i w:val="1"/>
          <w:iCs w:val="1"/>
        </w:rPr>
        <w:t>Pompeii</w:t>
      </w:r>
      <w:r w:rsidRPr="64A6C09C" w:rsidR="64A6C09C">
        <w:rPr>
          <w:i w:val="1"/>
          <w:iCs w:val="1"/>
        </w:rPr>
        <w:t xml:space="preserve"> and Herculaneum: A Sourcebook</w:t>
      </w:r>
      <w:r w:rsidR="64A6C09C">
        <w:rPr/>
        <w:t>, 2</w:t>
      </w:r>
      <w:r w:rsidRPr="64A6C09C" w:rsidR="64A6C09C">
        <w:rPr>
          <w:vertAlign w:val="superscript"/>
        </w:rPr>
        <w:t>nd</w:t>
      </w:r>
      <w:r w:rsidR="64A6C09C">
        <w:rPr/>
        <w:t xml:space="preserve"> edn (London: Routledge, 2012), p. 205-10. </w:t>
      </w:r>
    </w:p>
  </w:footnote>
  <w:footnote w:id="19011">
    <w:p w:rsidR="64A6C09C" w:rsidP="64A6C09C" w:rsidRDefault="64A6C09C" w14:paraId="1098CDE9" w14:textId="68CD9CC1">
      <w:pPr>
        <w:pStyle w:val="FootnoteText"/>
        <w:bidi w:val="0"/>
      </w:pPr>
      <w:r w:rsidRPr="64A6C09C">
        <w:rPr>
          <w:rStyle w:val="FootnoteReference"/>
        </w:rPr>
        <w:footnoteRef/>
      </w:r>
      <w:r w:rsidR="64A6C09C">
        <w:rPr/>
        <w:t xml:space="preserve"> E. J. Graham, </w:t>
      </w:r>
      <w:r w:rsidRPr="64A6C09C" w:rsidR="64A6C09C">
        <w:rPr>
          <w:i w:val="1"/>
          <w:iCs w:val="1"/>
        </w:rPr>
        <w:t>The Burial of the Urban Poor in Italy in the Late Roman Republic and Early Empire</w:t>
      </w:r>
      <w:r w:rsidR="64A6C09C">
        <w:rPr/>
        <w:t xml:space="preserve"> (Oxford: BAR, 2011), p. 112-118. </w:t>
      </w:r>
    </w:p>
  </w:footnote>
  <w:footnote w:id="2528">
    <w:p w:rsidR="64A6C09C" w:rsidP="64A6C09C" w:rsidRDefault="64A6C09C" w14:paraId="7725C9CE" w14:textId="26638EF6">
      <w:pPr>
        <w:pStyle w:val="FootnoteText"/>
        <w:bidi w:val="0"/>
      </w:pPr>
      <w:r w:rsidRPr="64A6C09C">
        <w:rPr>
          <w:rStyle w:val="FootnoteReference"/>
        </w:rPr>
        <w:footnoteRef/>
      </w:r>
      <w:r w:rsidR="64A6C09C">
        <w:rPr/>
        <w:t xml:space="preserve"> D’Ambrosio and De Caro, </w:t>
      </w:r>
      <w:r w:rsidRPr="64A6C09C" w:rsidR="64A6C09C">
        <w:rPr>
          <w:i w:val="1"/>
          <w:iCs w:val="1"/>
        </w:rPr>
        <w:t xml:space="preserve">Pompeii and Its </w:t>
      </w:r>
      <w:bookmarkStart w:name="_Int_qf9RaO8V" w:id="703834367"/>
      <w:r w:rsidRPr="64A6C09C" w:rsidR="64A6C09C">
        <w:rPr>
          <w:i w:val="1"/>
          <w:iCs w:val="1"/>
        </w:rPr>
        <w:t>Necropoleis</w:t>
      </w:r>
      <w:bookmarkEnd w:id="703834367"/>
      <w:r w:rsidRPr="64A6C09C" w:rsidR="64A6C09C">
        <w:rPr>
          <w:i w:val="1"/>
          <w:iCs w:val="1"/>
        </w:rPr>
        <w:t>,</w:t>
      </w:r>
      <w:r w:rsidR="64A6C09C">
        <w:rPr/>
        <w:t xml:space="preserve"> p. 101-06. </w:t>
      </w:r>
    </w:p>
  </w:footnote>
  <w:footnote w:id="7346">
    <w:p w:rsidR="64A6C09C" w:rsidP="64A6C09C" w:rsidRDefault="64A6C09C" w14:paraId="5C4A0135" w14:textId="68EBE4A9">
      <w:pPr>
        <w:pStyle w:val="FootnoteText"/>
        <w:bidi w:val="0"/>
        <w:rPr>
          <w:i w:val="0"/>
          <w:iCs w:val="0"/>
        </w:rPr>
      </w:pPr>
      <w:r w:rsidRPr="64A6C09C">
        <w:rPr>
          <w:rStyle w:val="FootnoteReference"/>
        </w:rPr>
        <w:footnoteRef/>
      </w:r>
      <w:r w:rsidR="64A6C09C">
        <w:rPr/>
        <w:t xml:space="preserve"> Hope, </w:t>
      </w:r>
      <w:r w:rsidRPr="64A6C09C" w:rsidR="64A6C09C">
        <w:rPr>
          <w:i w:val="1"/>
          <w:iCs w:val="1"/>
        </w:rPr>
        <w:t>Roman Death</w:t>
      </w:r>
      <w:r w:rsidRPr="64A6C09C" w:rsidR="64A6C09C">
        <w:rPr>
          <w:i w:val="0"/>
          <w:iCs w:val="0"/>
        </w:rPr>
        <w:t>, p. 121-125.</w:t>
      </w:r>
    </w:p>
  </w:footnote>
  <w:footnote w:id="2843">
    <w:p w:rsidR="64A6C09C" w:rsidP="64A6C09C" w:rsidRDefault="64A6C09C" w14:paraId="1441405D" w14:textId="3EA563B7">
      <w:pPr>
        <w:pStyle w:val="FootnoteText"/>
        <w:bidi w:val="0"/>
      </w:pPr>
      <w:r w:rsidRPr="64A6C09C">
        <w:rPr>
          <w:rStyle w:val="FootnoteReference"/>
        </w:rPr>
        <w:footnoteRef/>
      </w:r>
      <w:r w:rsidR="64A6C09C">
        <w:rPr/>
        <w:t xml:space="preserve"> Carroll, </w:t>
      </w:r>
      <w:r w:rsidRPr="64A6C09C" w:rsidR="64A6C09C">
        <w:rPr>
          <w:i w:val="1"/>
          <w:iCs w:val="1"/>
        </w:rPr>
        <w:t>Spirits of the Dead,</w:t>
      </w:r>
      <w:r w:rsidR="64A6C09C">
        <w:rPr/>
        <w:t xml:space="preserve"> p. 66-72. </w:t>
      </w:r>
    </w:p>
  </w:footnote>
  <w:footnote w:id="22134">
    <w:p w:rsidR="64A6C09C" w:rsidP="64A6C09C" w:rsidRDefault="64A6C09C" w14:paraId="43D35424" w14:textId="16DF161E">
      <w:pPr>
        <w:pStyle w:val="FootnoteText"/>
        <w:bidi w:val="0"/>
      </w:pPr>
      <w:r w:rsidRPr="64A6C09C">
        <w:rPr>
          <w:rStyle w:val="FootnoteReference"/>
        </w:rPr>
        <w:footnoteRef/>
      </w:r>
      <w:r w:rsidR="64A6C09C">
        <w:rPr/>
        <w:t xml:space="preserve"> Toynbee, </w:t>
      </w:r>
      <w:r w:rsidRPr="64A6C09C" w:rsidR="64A6C09C">
        <w:rPr>
          <w:i w:val="1"/>
          <w:iCs w:val="1"/>
        </w:rPr>
        <w:t>Death and Burial</w:t>
      </w:r>
      <w:r w:rsidR="64A6C09C">
        <w:rPr/>
        <w:t xml:space="preserve">, p. 31-34. </w:t>
      </w:r>
    </w:p>
  </w:footnote>
  <w:footnote w:id="16675">
    <w:p w:rsidR="64A6C09C" w:rsidP="64A6C09C" w:rsidRDefault="64A6C09C" w14:paraId="3E381E53" w14:textId="45FAEC76">
      <w:pPr>
        <w:pStyle w:val="FootnoteText"/>
        <w:bidi w:val="0"/>
      </w:pPr>
      <w:r w:rsidRPr="64A6C09C">
        <w:rPr>
          <w:rStyle w:val="FootnoteReference"/>
        </w:rPr>
        <w:footnoteRef/>
      </w:r>
      <w:r w:rsidR="64A6C09C">
        <w:rPr/>
        <w:t xml:space="preserve"> Hope, </w:t>
      </w:r>
      <w:r w:rsidRPr="64A6C09C" w:rsidR="64A6C09C">
        <w:rPr>
          <w:i w:val="1"/>
          <w:iCs w:val="1"/>
        </w:rPr>
        <w:t>Roman Death,</w:t>
      </w:r>
      <w:r w:rsidR="64A6C09C">
        <w:rPr/>
        <w:t xml:space="preserve"> p. 54-59. </w:t>
      </w:r>
    </w:p>
  </w:footnote>
  <w:footnote w:id="13256">
    <w:p w:rsidR="64A6C09C" w:rsidP="64A6C09C" w:rsidRDefault="64A6C09C" w14:paraId="5196D305" w14:textId="66D86FB1">
      <w:pPr>
        <w:pStyle w:val="FootnoteText"/>
        <w:bidi w:val="0"/>
      </w:pPr>
      <w:r w:rsidRPr="64A6C09C">
        <w:rPr>
          <w:rStyle w:val="FootnoteReference"/>
        </w:rPr>
        <w:footnoteRef/>
      </w:r>
      <w:r w:rsidR="64A6C09C">
        <w:rPr/>
        <w:t xml:space="preserve"> D’Ambrosio and De Caro, </w:t>
      </w:r>
      <w:r w:rsidRPr="64A6C09C" w:rsidR="64A6C09C">
        <w:rPr>
          <w:i w:val="1"/>
          <w:iCs w:val="1"/>
        </w:rPr>
        <w:t>Pompeii and Its Necropoleis</w:t>
      </w:r>
      <w:r w:rsidR="64A6C09C">
        <w:rPr/>
        <w:t>, p. 115-123.</w:t>
      </w:r>
    </w:p>
  </w:footnote>
  <w:footnote w:id="31788">
    <w:p w:rsidR="64A6C09C" w:rsidP="64A6C09C" w:rsidRDefault="64A6C09C" w14:paraId="0C8B8D7C" w14:textId="48A1F2BA">
      <w:pPr>
        <w:pStyle w:val="FootnoteText"/>
        <w:bidi w:val="0"/>
      </w:pPr>
      <w:r w:rsidRPr="64A6C09C">
        <w:rPr>
          <w:rStyle w:val="FootnoteReference"/>
        </w:rPr>
        <w:footnoteRef/>
      </w:r>
      <w:r w:rsidR="64A6C09C">
        <w:rPr/>
        <w:t xml:space="preserve"> Beard, </w:t>
      </w:r>
      <w:r w:rsidRPr="64A6C09C" w:rsidR="64A6C09C">
        <w:rPr>
          <w:i w:val="1"/>
          <w:iCs w:val="1"/>
        </w:rPr>
        <w:t>Pompeii</w:t>
      </w:r>
      <w:r w:rsidR="64A6C09C">
        <w:rPr/>
        <w:t xml:space="preserve">, p. 268-271. </w:t>
      </w:r>
    </w:p>
  </w:footnote>
  <w:footnote w:id="25736">
    <w:p w:rsidR="64A6C09C" w:rsidP="64A6C09C" w:rsidRDefault="64A6C09C" w14:paraId="42A25E5E" w14:textId="6C17DCDE">
      <w:pPr>
        <w:pStyle w:val="FootnoteText"/>
        <w:bidi w:val="0"/>
      </w:pPr>
      <w:r w:rsidRPr="64A6C09C">
        <w:rPr>
          <w:rStyle w:val="FootnoteReference"/>
        </w:rPr>
        <w:footnoteRef/>
      </w:r>
      <w:r w:rsidR="64A6C09C">
        <w:rPr/>
        <w:t xml:space="preserve"> John R. Clarke, discussed in Berry, </w:t>
      </w:r>
      <w:r w:rsidRPr="64A6C09C" w:rsidR="64A6C09C">
        <w:rPr>
          <w:i w:val="1"/>
          <w:iCs w:val="1"/>
        </w:rPr>
        <w:t xml:space="preserve">The Complete Pompeii </w:t>
      </w:r>
      <w:r w:rsidR="64A6C09C">
        <w:rPr/>
        <w:t xml:space="preserve">(London: Thames &amp; Hudson, 2012), p. 302-05. </w:t>
      </w:r>
    </w:p>
  </w:footnote>
  <w:footnote w:id="1518">
    <w:p w:rsidR="64A6C09C" w:rsidP="64A6C09C" w:rsidRDefault="64A6C09C" w14:paraId="74F14610" w14:textId="05EA3473">
      <w:pPr>
        <w:pStyle w:val="FootnoteText"/>
        <w:bidi w:val="0"/>
      </w:pPr>
      <w:r w:rsidRPr="64A6C09C">
        <w:rPr>
          <w:rStyle w:val="FootnoteReference"/>
        </w:rPr>
        <w:footnoteRef/>
      </w:r>
      <w:r w:rsidR="64A6C09C">
        <w:rPr/>
        <w:t xml:space="preserve"> Carroll, </w:t>
      </w:r>
      <w:r w:rsidRPr="64A6C09C" w:rsidR="64A6C09C">
        <w:rPr>
          <w:i w:val="1"/>
          <w:iCs w:val="1"/>
        </w:rPr>
        <w:t>Spirits of the Dead,</w:t>
      </w:r>
      <w:r w:rsidR="64A6C09C">
        <w:rPr/>
        <w:t xml:space="preserve"> p. 98-103. </w:t>
      </w:r>
    </w:p>
  </w:footnote>
  <w:footnote w:id="25904">
    <w:p w:rsidR="64A6C09C" w:rsidP="64A6C09C" w:rsidRDefault="64A6C09C" w14:paraId="007EFD6C" w14:textId="1531006D">
      <w:pPr>
        <w:pStyle w:val="FootnoteText"/>
        <w:bidi w:val="0"/>
      </w:pPr>
      <w:r w:rsidRPr="64A6C09C">
        <w:rPr>
          <w:rStyle w:val="FootnoteReference"/>
        </w:rPr>
        <w:footnoteRef/>
      </w:r>
      <w:r w:rsidR="64A6C09C">
        <w:rPr/>
        <w:t xml:space="preserve"> Cooley, </w:t>
      </w:r>
      <w:r w:rsidRPr="64A6C09C" w:rsidR="64A6C09C">
        <w:rPr>
          <w:i w:val="1"/>
          <w:iCs w:val="1"/>
        </w:rPr>
        <w:t>Sourcebook</w:t>
      </w:r>
      <w:r w:rsidR="64A6C09C">
        <w:rPr/>
        <w:t xml:space="preserve">, p. 198-214. </w:t>
      </w:r>
    </w:p>
  </w:footnote>
  <w:footnote w:id="4961">
    <w:p w:rsidR="64A6C09C" w:rsidP="64A6C09C" w:rsidRDefault="64A6C09C" w14:paraId="16976ED0" w14:textId="08F064B6">
      <w:pPr>
        <w:pStyle w:val="FootnoteText"/>
        <w:bidi w:val="0"/>
      </w:pPr>
      <w:r w:rsidRPr="64A6C09C">
        <w:rPr>
          <w:rStyle w:val="FootnoteReference"/>
        </w:rPr>
        <w:footnoteRef/>
      </w:r>
      <w:r w:rsidR="64A6C09C">
        <w:rPr/>
        <w:t xml:space="preserve"> Toynbee, </w:t>
      </w:r>
      <w:r w:rsidRPr="64A6C09C" w:rsidR="64A6C09C">
        <w:rPr>
          <w:i w:val="1"/>
          <w:iCs w:val="1"/>
        </w:rPr>
        <w:t>Death and Burial</w:t>
      </w:r>
      <w:r w:rsidR="64A6C09C">
        <w:rPr/>
        <w:t>, p. 38-42.</w:t>
      </w:r>
    </w:p>
  </w:footnote>
  <w:footnote w:id="9518">
    <w:p w:rsidR="64A6C09C" w:rsidP="64A6C09C" w:rsidRDefault="64A6C09C" w14:paraId="49605A0F" w14:textId="03C0FA65">
      <w:pPr>
        <w:pStyle w:val="FootnoteText"/>
        <w:bidi w:val="0"/>
      </w:pPr>
      <w:r w:rsidRPr="64A6C09C">
        <w:rPr>
          <w:rStyle w:val="FootnoteReference"/>
        </w:rPr>
        <w:footnoteRef/>
      </w:r>
      <w:r w:rsidR="64A6C09C">
        <w:rPr/>
        <w:t xml:space="preserve"> Graham, </w:t>
      </w:r>
      <w:r w:rsidRPr="64A6C09C" w:rsidR="64A6C09C">
        <w:rPr>
          <w:i w:val="1"/>
          <w:iCs w:val="1"/>
        </w:rPr>
        <w:t>Urban Poor</w:t>
      </w:r>
      <w:r w:rsidR="64A6C09C">
        <w:rPr/>
        <w:t>, p. 134-140.</w:t>
      </w:r>
    </w:p>
  </w:footnote>
  <w:footnote w:id="14721">
    <w:p w:rsidR="64A6C09C" w:rsidP="64A6C09C" w:rsidRDefault="64A6C09C" w14:paraId="39F2F309" w14:textId="45B7F3F6">
      <w:pPr>
        <w:pStyle w:val="FootnoteText"/>
        <w:bidi w:val="0"/>
      </w:pPr>
      <w:r w:rsidRPr="64A6C09C">
        <w:rPr>
          <w:rStyle w:val="FootnoteReference"/>
        </w:rPr>
        <w:footnoteRef/>
      </w:r>
      <w:r w:rsidR="64A6C09C">
        <w:rPr/>
        <w:t xml:space="preserve"> Graham, </w:t>
      </w:r>
      <w:r w:rsidRPr="64A6C09C" w:rsidR="64A6C09C">
        <w:rPr>
          <w:i w:val="1"/>
          <w:iCs w:val="1"/>
        </w:rPr>
        <w:t>Urban Poor</w:t>
      </w:r>
      <w:r w:rsidR="64A6C09C">
        <w:rPr/>
        <w:t xml:space="preserve">, p. 145-151. </w:t>
      </w:r>
    </w:p>
  </w:footnote>
  <w:footnote w:id="11453">
    <w:p w:rsidR="64A6C09C" w:rsidP="64A6C09C" w:rsidRDefault="64A6C09C" w14:paraId="53E2F34F" w14:textId="4554C8BD">
      <w:pPr>
        <w:pStyle w:val="FootnoteText"/>
        <w:bidi w:val="0"/>
      </w:pPr>
      <w:r w:rsidRPr="64A6C09C">
        <w:rPr>
          <w:rStyle w:val="FootnoteReference"/>
        </w:rPr>
        <w:footnoteRef/>
      </w:r>
      <w:r w:rsidR="64A6C09C">
        <w:rPr/>
        <w:t xml:space="preserve"> Hope, </w:t>
      </w:r>
      <w:r w:rsidRPr="64A6C09C" w:rsidR="64A6C09C">
        <w:rPr>
          <w:i w:val="1"/>
          <w:iCs w:val="1"/>
        </w:rPr>
        <w:t>Roman Death</w:t>
      </w:r>
      <w:r w:rsidR="64A6C09C">
        <w:rPr/>
        <w:t>, p. 72-75.</w:t>
      </w:r>
    </w:p>
  </w:footnote>
  <w:footnote w:id="1769">
    <w:p w:rsidR="64A6C09C" w:rsidP="64A6C09C" w:rsidRDefault="64A6C09C" w14:paraId="1413E0BF" w14:textId="35538BCC">
      <w:pPr>
        <w:pStyle w:val="FootnoteText"/>
        <w:bidi w:val="0"/>
      </w:pPr>
      <w:r w:rsidRPr="64A6C09C">
        <w:rPr>
          <w:rStyle w:val="FootnoteReference"/>
        </w:rPr>
        <w:footnoteRef/>
      </w:r>
      <w:r w:rsidR="64A6C09C">
        <w:rPr/>
        <w:t xml:space="preserve"> J. Davies, ’Death, Burial, and the Afterlife</w:t>
      </w:r>
      <w:r w:rsidR="64A6C09C">
        <w:rPr/>
        <w:t>’,</w:t>
      </w:r>
      <w:r w:rsidR="64A6C09C">
        <w:rPr/>
        <w:t xml:space="preserve"> in </w:t>
      </w:r>
      <w:r w:rsidRPr="64A6C09C" w:rsidR="64A6C09C">
        <w:rPr>
          <w:i w:val="1"/>
          <w:iCs w:val="1"/>
        </w:rPr>
        <w:t>The Oxford Handbook of Roman Studies</w:t>
      </w:r>
      <w:r w:rsidR="64A6C09C">
        <w:rPr/>
        <w:t xml:space="preserve">, ed. by A. </w:t>
      </w:r>
      <w:r w:rsidR="64A6C09C">
        <w:rPr/>
        <w:t>Barchiesi</w:t>
      </w:r>
      <w:r w:rsidR="64A6C09C">
        <w:rPr/>
        <w:t xml:space="preserve"> (Oxford: Oxford University Press, 2010), p. 365-370. </w:t>
      </w:r>
    </w:p>
  </w:footnote>
  <w:footnote w:id="20127">
    <w:p w:rsidR="64A6C09C" w:rsidP="64A6C09C" w:rsidRDefault="64A6C09C" w14:paraId="7161140F" w14:textId="074970B3">
      <w:pPr>
        <w:pStyle w:val="FootnoteText"/>
        <w:bidi w:val="0"/>
      </w:pPr>
      <w:r w:rsidRPr="64A6C09C">
        <w:rPr>
          <w:rStyle w:val="FootnoteReference"/>
        </w:rPr>
        <w:footnoteRef/>
      </w:r>
      <w:r w:rsidR="64A6C09C">
        <w:rPr/>
        <w:t xml:space="preserve"> Estelle Lazer, </w:t>
      </w:r>
      <w:r w:rsidRPr="64A6C09C" w:rsidR="64A6C09C">
        <w:rPr>
          <w:i w:val="1"/>
          <w:iCs w:val="1"/>
        </w:rPr>
        <w:t xml:space="preserve">Resurrecting Pompeii </w:t>
      </w:r>
      <w:r w:rsidR="64A6C09C">
        <w:rPr/>
        <w:t>(London: Routledge, 2009), p. 85-92.</w:t>
      </w:r>
    </w:p>
  </w:footnote>
  <w:footnote w:id="21938">
    <w:p w:rsidR="64A6C09C" w:rsidP="64A6C09C" w:rsidRDefault="64A6C09C" w14:paraId="0D9591C0" w14:textId="394AA197">
      <w:pPr>
        <w:pStyle w:val="FootnoteText"/>
        <w:suppressLineNumbers w:val="0"/>
        <w:bidi w:val="0"/>
        <w:spacing w:before="0" w:beforeAutospacing="off" w:after="0" w:afterAutospacing="off" w:line="240" w:lineRule="auto"/>
        <w:ind w:left="0" w:right="0"/>
        <w:jc w:val="left"/>
      </w:pPr>
      <w:r w:rsidRPr="64A6C09C">
        <w:rPr>
          <w:rStyle w:val="FootnoteReference"/>
        </w:rPr>
        <w:footnoteRef/>
      </w:r>
      <w:r w:rsidR="64A6C09C">
        <w:rPr/>
        <w:t xml:space="preserve"> </w:t>
      </w:r>
      <w:r w:rsidR="64A6C09C">
        <w:rPr/>
        <w:t xml:space="preserve">Lazer, </w:t>
      </w:r>
      <w:r w:rsidRPr="64A6C09C" w:rsidR="64A6C09C">
        <w:rPr>
          <w:i w:val="1"/>
          <w:iCs w:val="1"/>
        </w:rPr>
        <w:t>Resurrecting Pompeii</w:t>
      </w:r>
      <w:r w:rsidRPr="64A6C09C" w:rsidR="64A6C09C">
        <w:rPr>
          <w:i w:val="0"/>
          <w:iCs w:val="0"/>
        </w:rPr>
        <w:t>,</w:t>
      </w:r>
      <w:r w:rsidR="64A6C09C">
        <w:rPr/>
        <w:t xml:space="preserve"> p. 133-140. </w:t>
      </w:r>
    </w:p>
  </w:footnote>
  <w:footnote w:id="6205">
    <w:p w:rsidR="64A6C09C" w:rsidP="64A6C09C" w:rsidRDefault="64A6C09C" w14:paraId="40D04160" w14:textId="084AC2AB">
      <w:pPr>
        <w:pStyle w:val="FootnoteText"/>
        <w:bidi w:val="0"/>
      </w:pPr>
      <w:r w:rsidRPr="64A6C09C">
        <w:rPr>
          <w:rStyle w:val="FootnoteReference"/>
        </w:rPr>
        <w:footnoteRef/>
      </w:r>
      <w:r w:rsidR="64A6C09C">
        <w:rPr/>
        <w:t xml:space="preserve"> Beard, </w:t>
      </w:r>
      <w:r w:rsidRPr="64A6C09C" w:rsidR="64A6C09C">
        <w:rPr>
          <w:i w:val="1"/>
          <w:iCs w:val="1"/>
        </w:rPr>
        <w:t>Pompeii</w:t>
      </w:r>
      <w:r w:rsidR="64A6C09C">
        <w:rPr/>
        <w:t xml:space="preserve">, p. 14-18. </w:t>
      </w:r>
    </w:p>
  </w:footnote>
  <w:footnote w:id="27696">
    <w:p w:rsidR="64A6C09C" w:rsidP="64A6C09C" w:rsidRDefault="64A6C09C" w14:paraId="5476290A" w14:textId="5DB8AC81">
      <w:pPr>
        <w:pStyle w:val="FootnoteText"/>
        <w:bidi w:val="0"/>
      </w:pPr>
      <w:r w:rsidRPr="64A6C09C">
        <w:rPr>
          <w:rStyle w:val="FootnoteReference"/>
        </w:rPr>
        <w:footnoteRef/>
      </w:r>
      <w:r w:rsidR="64A6C09C">
        <w:rPr/>
        <w:t xml:space="preserve"> Berry, </w:t>
      </w:r>
      <w:r w:rsidRPr="64A6C09C" w:rsidR="64A6C09C">
        <w:rPr>
          <w:i w:val="1"/>
          <w:iCs w:val="1"/>
        </w:rPr>
        <w:t>The Complete Pompeii</w:t>
      </w:r>
      <w:r w:rsidR="64A6C09C">
        <w:rPr/>
        <w:t xml:space="preserve">, p. 34-36. </w:t>
      </w:r>
    </w:p>
  </w:footnote>
  <w:footnote w:id="7349">
    <w:p w:rsidR="64A6C09C" w:rsidP="64A6C09C" w:rsidRDefault="64A6C09C" w14:paraId="49075165" w14:textId="671E173C">
      <w:pPr>
        <w:pStyle w:val="FootnoteText"/>
        <w:bidi w:val="0"/>
      </w:pPr>
      <w:r w:rsidRPr="64A6C09C">
        <w:rPr>
          <w:rStyle w:val="FootnoteReference"/>
        </w:rPr>
        <w:footnoteRef/>
      </w:r>
      <w:r w:rsidR="64A6C09C">
        <w:rPr/>
        <w:t xml:space="preserve"> D’Ambrosio and De Caro, </w:t>
      </w:r>
      <w:r w:rsidRPr="64A6C09C" w:rsidR="64A6C09C">
        <w:rPr>
          <w:i w:val="1"/>
          <w:iCs w:val="1"/>
        </w:rPr>
        <w:t>Pompeii</w:t>
      </w:r>
      <w:r w:rsidRPr="64A6C09C" w:rsidR="64A6C09C">
        <w:rPr>
          <w:i w:val="1"/>
          <w:iCs w:val="1"/>
        </w:rPr>
        <w:t xml:space="preserve"> and Its Necropoleis</w:t>
      </w:r>
      <w:r w:rsidR="64A6C09C">
        <w:rPr/>
        <w:t xml:space="preserve">, p. 9-12. </w:t>
      </w:r>
    </w:p>
  </w:footnote>
  <w:footnote w:id="20186">
    <w:p w:rsidR="64A6C09C" w:rsidP="64A6C09C" w:rsidRDefault="64A6C09C" w14:paraId="5FF50DAD" w14:textId="5C3CC660">
      <w:pPr>
        <w:pStyle w:val="FootnoteText"/>
        <w:bidi w:val="0"/>
      </w:pPr>
      <w:r w:rsidRPr="64A6C09C">
        <w:rPr>
          <w:rStyle w:val="FootnoteReference"/>
        </w:rPr>
        <w:footnoteRef/>
      </w:r>
      <w:r w:rsidR="64A6C09C">
        <w:rPr/>
        <w:t xml:space="preserve"> Beard, </w:t>
      </w:r>
      <w:r w:rsidRPr="64A6C09C" w:rsidR="64A6C09C">
        <w:rPr>
          <w:i w:val="1"/>
          <w:iCs w:val="1"/>
        </w:rPr>
        <w:t>Pompeii</w:t>
      </w:r>
      <w:r w:rsidR="64A6C09C">
        <w:rPr/>
        <w:t xml:space="preserve">, p. 291-295; Berry, </w:t>
      </w:r>
      <w:r w:rsidRPr="64A6C09C" w:rsidR="64A6C09C">
        <w:rPr>
          <w:i w:val="1"/>
          <w:iCs w:val="1"/>
        </w:rPr>
        <w:t>The Complete Pompeii</w:t>
      </w:r>
      <w:r w:rsidR="64A6C09C">
        <w:rPr/>
        <w:t xml:space="preserve">, p. 299-307. </w:t>
      </w:r>
    </w:p>
  </w:footnote>
  <w:footnote w:id="18703">
    <w:p w:rsidR="64A6C09C" w:rsidP="64A6C09C" w:rsidRDefault="64A6C09C" w14:paraId="4137F844" w14:textId="6036681A">
      <w:pPr>
        <w:pStyle w:val="FootnoteText"/>
        <w:bidi w:val="0"/>
      </w:pPr>
      <w:r w:rsidRPr="64A6C09C">
        <w:rPr>
          <w:rStyle w:val="FootnoteReference"/>
        </w:rPr>
        <w:footnoteRef/>
      </w:r>
      <w:r w:rsidR="64A6C09C">
        <w:rPr/>
        <w:t xml:space="preserve"> D’Ambrosio and De Caro, </w:t>
      </w:r>
      <w:r w:rsidRPr="64A6C09C" w:rsidR="64A6C09C">
        <w:rPr>
          <w:i w:val="1"/>
          <w:iCs w:val="1"/>
          <w:u w:val="none"/>
        </w:rPr>
        <w:t>Pompeii and Its Necropoleis</w:t>
      </w:r>
      <w:r w:rsidR="64A6C09C">
        <w:rPr/>
        <w:t xml:space="preserve">, p. 101-03; Cooley, </w:t>
      </w:r>
      <w:r w:rsidRPr="64A6C09C" w:rsidR="64A6C09C">
        <w:rPr>
          <w:i w:val="1"/>
          <w:iCs w:val="1"/>
        </w:rPr>
        <w:t>Sourcebook</w:t>
      </w:r>
      <w:r w:rsidR="64A6C09C">
        <w:rPr/>
        <w:t>, p. 208-09.</w:t>
      </w:r>
    </w:p>
  </w:footnote>
</w:footnotes>
</file>

<file path=word/intelligence2.xml><?xml version="1.0" encoding="utf-8"?>
<int2:intelligence xmlns:int2="http://schemas.microsoft.com/office/intelligence/2020/intelligence">
  <int2:observations>
    <int2:bookmark int2:bookmarkName="_Int_qf9RaO8V" int2:invalidationBookmarkName="" int2:hashCode="d73Ix8etZzDHBI" int2:id="XbRQU5gH">
      <int2:state int2:type="spell" int2:value="Rejected"/>
    </int2:bookmark>
    <int2:bookmark int2:bookmarkName="_Int_YYkue629" int2:invalidationBookmarkName="" int2:hashCode="6A+Nqk11i6pefL" int2:id="necT1as4">
      <int2:state int2:type="spell" int2:value="Rejected"/>
    </int2:bookmark>
    <int2:bookmark int2:bookmarkName="_Int_UXBvDdL2" int2:invalidationBookmarkName="" int2:hashCode="0FYc/qaapsSN0I" int2:id="uEhCjqdS">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75200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7aaaa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467EF"/>
    <w:rsid w:val="00239231"/>
    <w:rsid w:val="0281C569"/>
    <w:rsid w:val="035CDC6B"/>
    <w:rsid w:val="047CD67C"/>
    <w:rsid w:val="04B147C3"/>
    <w:rsid w:val="05257471"/>
    <w:rsid w:val="0542C407"/>
    <w:rsid w:val="0599BACC"/>
    <w:rsid w:val="06923FAE"/>
    <w:rsid w:val="07A04174"/>
    <w:rsid w:val="0816BE6F"/>
    <w:rsid w:val="08C5B275"/>
    <w:rsid w:val="08D28B8B"/>
    <w:rsid w:val="08D6AFC2"/>
    <w:rsid w:val="0977DAA0"/>
    <w:rsid w:val="09AD3E45"/>
    <w:rsid w:val="09C70DA7"/>
    <w:rsid w:val="0A2D8EB7"/>
    <w:rsid w:val="0B819DF7"/>
    <w:rsid w:val="0C13D999"/>
    <w:rsid w:val="0D68A72F"/>
    <w:rsid w:val="0D8B7DCC"/>
    <w:rsid w:val="0D95D576"/>
    <w:rsid w:val="0E69D0F0"/>
    <w:rsid w:val="0F3B1D49"/>
    <w:rsid w:val="0F545EC2"/>
    <w:rsid w:val="100F424F"/>
    <w:rsid w:val="1181F1BA"/>
    <w:rsid w:val="11D29160"/>
    <w:rsid w:val="12157D7F"/>
    <w:rsid w:val="12B2EBF7"/>
    <w:rsid w:val="12FEFBFB"/>
    <w:rsid w:val="1412E1EA"/>
    <w:rsid w:val="1499965D"/>
    <w:rsid w:val="158092D9"/>
    <w:rsid w:val="15F835A8"/>
    <w:rsid w:val="16680060"/>
    <w:rsid w:val="16733357"/>
    <w:rsid w:val="170D3097"/>
    <w:rsid w:val="1723F7D5"/>
    <w:rsid w:val="174BA3FE"/>
    <w:rsid w:val="1817AC7B"/>
    <w:rsid w:val="1821112F"/>
    <w:rsid w:val="190F3A5A"/>
    <w:rsid w:val="191C49F6"/>
    <w:rsid w:val="19A9A017"/>
    <w:rsid w:val="1BAC56A2"/>
    <w:rsid w:val="1C3702D9"/>
    <w:rsid w:val="1C75650A"/>
    <w:rsid w:val="1CB310E3"/>
    <w:rsid w:val="1D016A5C"/>
    <w:rsid w:val="1D8E4A94"/>
    <w:rsid w:val="1DDDCAAB"/>
    <w:rsid w:val="1ECBCDA2"/>
    <w:rsid w:val="1FFA0AA5"/>
    <w:rsid w:val="20776849"/>
    <w:rsid w:val="207B7529"/>
    <w:rsid w:val="20823BCE"/>
    <w:rsid w:val="21588DF3"/>
    <w:rsid w:val="2164355F"/>
    <w:rsid w:val="228483B5"/>
    <w:rsid w:val="2302099A"/>
    <w:rsid w:val="2326DC47"/>
    <w:rsid w:val="257ED0A9"/>
    <w:rsid w:val="25AC49AE"/>
    <w:rsid w:val="261AF42A"/>
    <w:rsid w:val="263B6441"/>
    <w:rsid w:val="26582451"/>
    <w:rsid w:val="26FD3E0E"/>
    <w:rsid w:val="278C984C"/>
    <w:rsid w:val="281D8BB7"/>
    <w:rsid w:val="29A4A5D0"/>
    <w:rsid w:val="29C152F3"/>
    <w:rsid w:val="2A3979D7"/>
    <w:rsid w:val="2A3991F0"/>
    <w:rsid w:val="2ADE24DB"/>
    <w:rsid w:val="2AFD9F2C"/>
    <w:rsid w:val="2B88FB61"/>
    <w:rsid w:val="2B910F44"/>
    <w:rsid w:val="2BB05C8C"/>
    <w:rsid w:val="2C40AF5F"/>
    <w:rsid w:val="2C55252C"/>
    <w:rsid w:val="2D6AE793"/>
    <w:rsid w:val="2DA1D2DF"/>
    <w:rsid w:val="2DA5EA05"/>
    <w:rsid w:val="2E2CCE8B"/>
    <w:rsid w:val="2E6689AB"/>
    <w:rsid w:val="2EF544F9"/>
    <w:rsid w:val="2FD50103"/>
    <w:rsid w:val="30235055"/>
    <w:rsid w:val="3042B126"/>
    <w:rsid w:val="3087F907"/>
    <w:rsid w:val="30BBA4F3"/>
    <w:rsid w:val="3268583D"/>
    <w:rsid w:val="33A10006"/>
    <w:rsid w:val="33BFC99E"/>
    <w:rsid w:val="342F2670"/>
    <w:rsid w:val="34E3E223"/>
    <w:rsid w:val="35B4E180"/>
    <w:rsid w:val="35CB7E8D"/>
    <w:rsid w:val="3667D9D7"/>
    <w:rsid w:val="36E9BBE7"/>
    <w:rsid w:val="36EC4A58"/>
    <w:rsid w:val="373CDAE6"/>
    <w:rsid w:val="37E7E3EC"/>
    <w:rsid w:val="385B5FAF"/>
    <w:rsid w:val="3946F770"/>
    <w:rsid w:val="398E3131"/>
    <w:rsid w:val="3AB15FA8"/>
    <w:rsid w:val="3B1B1665"/>
    <w:rsid w:val="3C410EE0"/>
    <w:rsid w:val="3C8C8D7E"/>
    <w:rsid w:val="3DB9E667"/>
    <w:rsid w:val="3E0EA1F6"/>
    <w:rsid w:val="3EF92AA6"/>
    <w:rsid w:val="3F0BDE0E"/>
    <w:rsid w:val="3F86059B"/>
    <w:rsid w:val="40F043F6"/>
    <w:rsid w:val="41E5DDC0"/>
    <w:rsid w:val="423FC7F9"/>
    <w:rsid w:val="42A763A7"/>
    <w:rsid w:val="430FEAFF"/>
    <w:rsid w:val="43B467EF"/>
    <w:rsid w:val="43FED552"/>
    <w:rsid w:val="44B2ACB7"/>
    <w:rsid w:val="44D050B6"/>
    <w:rsid w:val="45069D40"/>
    <w:rsid w:val="45245657"/>
    <w:rsid w:val="468A8D1F"/>
    <w:rsid w:val="488573B5"/>
    <w:rsid w:val="48A5399D"/>
    <w:rsid w:val="48D8AB92"/>
    <w:rsid w:val="48F4D3AB"/>
    <w:rsid w:val="49162290"/>
    <w:rsid w:val="494D132A"/>
    <w:rsid w:val="49C346C6"/>
    <w:rsid w:val="4A02AD68"/>
    <w:rsid w:val="4B348B9C"/>
    <w:rsid w:val="4B35FA02"/>
    <w:rsid w:val="4CFBABD9"/>
    <w:rsid w:val="4E3234EA"/>
    <w:rsid w:val="4E977A98"/>
    <w:rsid w:val="4EB3C305"/>
    <w:rsid w:val="4FA234EF"/>
    <w:rsid w:val="4FE0152B"/>
    <w:rsid w:val="5141C6D8"/>
    <w:rsid w:val="519C80D9"/>
    <w:rsid w:val="51CD6A99"/>
    <w:rsid w:val="524841E1"/>
    <w:rsid w:val="525AFF6C"/>
    <w:rsid w:val="5271FA3D"/>
    <w:rsid w:val="53587846"/>
    <w:rsid w:val="53999BCF"/>
    <w:rsid w:val="53F43B28"/>
    <w:rsid w:val="5400C143"/>
    <w:rsid w:val="54E8AA56"/>
    <w:rsid w:val="54FD35BF"/>
    <w:rsid w:val="57FA4388"/>
    <w:rsid w:val="585C971A"/>
    <w:rsid w:val="5882C9E0"/>
    <w:rsid w:val="58F9BB14"/>
    <w:rsid w:val="59693104"/>
    <w:rsid w:val="59C5A011"/>
    <w:rsid w:val="5AB147AF"/>
    <w:rsid w:val="5AFC7F5F"/>
    <w:rsid w:val="5BC25085"/>
    <w:rsid w:val="5C37D77D"/>
    <w:rsid w:val="5C820970"/>
    <w:rsid w:val="5D7ADF31"/>
    <w:rsid w:val="5DEDC14A"/>
    <w:rsid w:val="5DF2B32F"/>
    <w:rsid w:val="5E7D6D27"/>
    <w:rsid w:val="5EA2A622"/>
    <w:rsid w:val="5F3C756E"/>
    <w:rsid w:val="5F90BD55"/>
    <w:rsid w:val="5FB77BB8"/>
    <w:rsid w:val="60C2F6B2"/>
    <w:rsid w:val="618AA3D2"/>
    <w:rsid w:val="61EF5019"/>
    <w:rsid w:val="62D76A7D"/>
    <w:rsid w:val="62FB7A16"/>
    <w:rsid w:val="635AF915"/>
    <w:rsid w:val="63839116"/>
    <w:rsid w:val="63DF4ABF"/>
    <w:rsid w:val="63F1FE97"/>
    <w:rsid w:val="648B4CC4"/>
    <w:rsid w:val="64A6C09C"/>
    <w:rsid w:val="64CD4BEC"/>
    <w:rsid w:val="65B8E976"/>
    <w:rsid w:val="65BACA69"/>
    <w:rsid w:val="65F3CFAD"/>
    <w:rsid w:val="6673CC8A"/>
    <w:rsid w:val="66D89A89"/>
    <w:rsid w:val="671EA541"/>
    <w:rsid w:val="676D1D55"/>
    <w:rsid w:val="677B0910"/>
    <w:rsid w:val="6842BA30"/>
    <w:rsid w:val="69C53BD0"/>
    <w:rsid w:val="6A69C8C6"/>
    <w:rsid w:val="6B2F1A60"/>
    <w:rsid w:val="6B4C7BE8"/>
    <w:rsid w:val="6DE9CE6E"/>
    <w:rsid w:val="6E513B29"/>
    <w:rsid w:val="6E792287"/>
    <w:rsid w:val="6FBE87A3"/>
    <w:rsid w:val="7078E35B"/>
    <w:rsid w:val="71419C8A"/>
    <w:rsid w:val="714B3AAF"/>
    <w:rsid w:val="721B9D25"/>
    <w:rsid w:val="729C0B96"/>
    <w:rsid w:val="7307C11F"/>
    <w:rsid w:val="7318F9A9"/>
    <w:rsid w:val="73427FAA"/>
    <w:rsid w:val="73520337"/>
    <w:rsid w:val="7394547A"/>
    <w:rsid w:val="73B40A09"/>
    <w:rsid w:val="73DE094A"/>
    <w:rsid w:val="754DEB56"/>
    <w:rsid w:val="769F2F6E"/>
    <w:rsid w:val="77F3980A"/>
    <w:rsid w:val="79384EF0"/>
    <w:rsid w:val="7B19F4C4"/>
    <w:rsid w:val="7BCDF387"/>
    <w:rsid w:val="7BCDF387"/>
    <w:rsid w:val="7C3F8078"/>
    <w:rsid w:val="7D4A621F"/>
    <w:rsid w:val="7DD7CC5C"/>
    <w:rsid w:val="7E52A025"/>
    <w:rsid w:val="7E66594F"/>
    <w:rsid w:val="7EB421E7"/>
    <w:rsid w:val="7EBF111D"/>
    <w:rsid w:val="7F027728"/>
    <w:rsid w:val="7F11679C"/>
    <w:rsid w:val="7F7A6772"/>
    <w:rsid w:val="7FBB3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467EF"/>
  <w15:chartTrackingRefBased/>
  <w15:docId w15:val="{905BBF50-D298-40A3-86CF-CB67F11E52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4A6C09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64A6C09C"/>
    <w:rPr>
      <w:sz w:val="20"/>
      <w:szCs w:val="20"/>
    </w:rPr>
    <w:pPr>
      <w:spacing w:after="0" w:line="240" w:lineRule="auto"/>
    </w:pPr>
  </w:style>
  <w:style w:type="character" w:styleId="FootnoteReference">
    <w:uiPriority w:val="99"/>
    <w:name w:val="footnote reference"/>
    <w:basedOn w:val="DefaultParagraphFont"/>
    <w:semiHidden/>
    <w:unhideWhenUsed/>
    <w:rsid w:val="64A6C09C"/>
    <w:rPr>
      <w:vertAlign w:val="superscript"/>
    </w:rPr>
  </w:style>
  <w:style w:type="paragraph" w:styleId="ListParagraph">
    <w:uiPriority w:val="34"/>
    <w:name w:val="List Paragraph"/>
    <w:basedOn w:val="Normal"/>
    <w:qFormat/>
    <w:rsid w:val="64A6C09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4b9b17925609452b" /><Relationship Type="http://schemas.microsoft.com/office/2020/10/relationships/intelligence" Target="intelligence2.xml" Id="R51724b919df44d4b" /><Relationship Type="http://schemas.openxmlformats.org/officeDocument/2006/relationships/numbering" Target="numbering.xml" Id="R11ee4c957efb48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2026-01-18T14:11:18.1523585Z</dcterms:created>
  <dcterms:modified xsi:type="dcterms:W3CDTF">2026-01-18T17:21:52.0422319Z</dcterms:modified>
  <dc:creator>Caitlin Clyne (2304935)</dc:creator>
  <lastModifiedBy>Caitlin Clyne (2304935)</lastModifiedBy>
</coreProperties>
</file>