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0BD30" w14:textId="77777777" w:rsidR="004F79D2" w:rsidRPr="00894EB3" w:rsidRDefault="007416EF" w:rsidP="00894EB3">
      <w:pPr>
        <w:spacing w:line="480" w:lineRule="auto"/>
        <w:jc w:val="center"/>
        <w:rPr>
          <w:u w:val="single"/>
        </w:rPr>
      </w:pPr>
      <w:bookmarkStart w:id="0" w:name="_GoBack"/>
      <w:r w:rsidRPr="00894EB3">
        <w:rPr>
          <w:u w:val="single"/>
        </w:rPr>
        <w:t>In what ways did King Stephen’s reign provide a contrast to the reigns of his predecessor and successor?</w:t>
      </w:r>
    </w:p>
    <w:bookmarkEnd w:id="0"/>
    <w:p w14:paraId="54CECB58" w14:textId="5CFE42F8" w:rsidR="008A0C5F" w:rsidRDefault="00D73363" w:rsidP="00A53C4E">
      <w:pPr>
        <w:spacing w:line="480" w:lineRule="auto"/>
        <w:rPr>
          <w:bCs/>
        </w:rPr>
      </w:pPr>
      <w:r w:rsidRPr="00D73363">
        <w:rPr>
          <w:bCs/>
        </w:rPr>
        <w:t xml:space="preserve">This </w:t>
      </w:r>
      <w:r w:rsidR="00A01283">
        <w:rPr>
          <w:bCs/>
        </w:rPr>
        <w:t xml:space="preserve">essay will analyse </w:t>
      </w:r>
      <w:r>
        <w:rPr>
          <w:bCs/>
        </w:rPr>
        <w:t>the rules of Henry I (1100-1135), Stephen (1135-</w:t>
      </w:r>
      <w:r w:rsidR="00DF57A3">
        <w:rPr>
          <w:bCs/>
        </w:rPr>
        <w:t xml:space="preserve">1154) and Henry II (1154-1189). </w:t>
      </w:r>
      <w:r w:rsidR="00054255" w:rsidRPr="00DF57A3">
        <w:rPr>
          <w:bCs/>
        </w:rPr>
        <w:t>This paper hopes to be able to show the differences between the three Kings styles of rule, and the influences which impacted upon them, so as to determine whether King Stephen’s rule was in fact ‘the Anarchy’ it was said to have been</w:t>
      </w:r>
      <w:r w:rsidR="00DF57A3">
        <w:rPr>
          <w:bCs/>
        </w:rPr>
        <w:t xml:space="preserve">. </w:t>
      </w:r>
      <w:r w:rsidR="00054255" w:rsidRPr="00DF57A3">
        <w:rPr>
          <w:bCs/>
        </w:rPr>
        <w:t xml:space="preserve"> </w:t>
      </w:r>
      <w:r w:rsidR="008A0C5F">
        <w:rPr>
          <w:bCs/>
        </w:rPr>
        <w:t>This essay will cover from the beginning of Henry I reign to the end of Henry II, in Britain and Normandy.  This is an important era to cover as it shows the country going from strong to</w:t>
      </w:r>
      <w:r w:rsidR="00A01283">
        <w:rPr>
          <w:bCs/>
        </w:rPr>
        <w:t xml:space="preserve"> </w:t>
      </w:r>
      <w:r w:rsidR="008A0C5F">
        <w:rPr>
          <w:bCs/>
        </w:rPr>
        <w:t>w</w:t>
      </w:r>
      <w:r w:rsidR="00A01283">
        <w:rPr>
          <w:bCs/>
        </w:rPr>
        <w:t>eak and</w:t>
      </w:r>
      <w:r w:rsidR="008A0C5F">
        <w:rPr>
          <w:bCs/>
        </w:rPr>
        <w:t xml:space="preserve"> back to strong again. This paper will look at primary and secondary sources to evaluate the contrast between Stephen’s reign and that of his predecessor and successor.</w:t>
      </w:r>
      <w:bookmarkStart w:id="1" w:name="_Hlk509229166"/>
      <w:r w:rsidR="008A0C5F">
        <w:rPr>
          <w:bCs/>
        </w:rPr>
        <w:t xml:space="preserve"> </w:t>
      </w:r>
      <w:r w:rsidR="00054255" w:rsidRPr="008A0C5F">
        <w:rPr>
          <w:bCs/>
        </w:rPr>
        <w:t>This paper therefore hopes to be able to show a fair insight into the strengths and weaknesses of each king and perhaps be able to shed a more positive light upon King Stephen.</w:t>
      </w:r>
      <w:r w:rsidR="00054255">
        <w:rPr>
          <w:bCs/>
        </w:rPr>
        <w:t xml:space="preserve"> </w:t>
      </w:r>
      <w:bookmarkEnd w:id="1"/>
    </w:p>
    <w:p w14:paraId="1856D5B3" w14:textId="28BE5730" w:rsidR="004362FB" w:rsidRPr="008A0C5F" w:rsidRDefault="004F79D2" w:rsidP="00A53C4E">
      <w:pPr>
        <w:spacing w:line="480" w:lineRule="auto"/>
        <w:rPr>
          <w:bCs/>
        </w:rPr>
      </w:pPr>
      <w:r>
        <w:rPr>
          <w:bCs/>
        </w:rPr>
        <w:t>King Stephen</w:t>
      </w:r>
      <w:r w:rsidR="00AD1823">
        <w:rPr>
          <w:bCs/>
        </w:rPr>
        <w:t>’s</w:t>
      </w:r>
      <w:r>
        <w:rPr>
          <w:bCs/>
        </w:rPr>
        <w:t xml:space="preserve"> reign</w:t>
      </w:r>
      <w:r w:rsidR="00A53C4E">
        <w:rPr>
          <w:bCs/>
        </w:rPr>
        <w:t>,</w:t>
      </w:r>
      <w:r>
        <w:rPr>
          <w:bCs/>
        </w:rPr>
        <w:t xml:space="preserve"> and the contrast it provides </w:t>
      </w:r>
      <w:r w:rsidR="000337D3">
        <w:rPr>
          <w:bCs/>
        </w:rPr>
        <w:t xml:space="preserve">to that </w:t>
      </w:r>
      <w:r>
        <w:rPr>
          <w:bCs/>
        </w:rPr>
        <w:t>of his predecessor Henry I and successor Henry II</w:t>
      </w:r>
      <w:r w:rsidR="00A53C4E">
        <w:rPr>
          <w:bCs/>
        </w:rPr>
        <w:t>,</w:t>
      </w:r>
      <w:r>
        <w:rPr>
          <w:bCs/>
        </w:rPr>
        <w:t xml:space="preserve"> </w:t>
      </w:r>
      <w:r w:rsidR="00D36830">
        <w:t xml:space="preserve">can be analysed </w:t>
      </w:r>
      <w:r w:rsidR="00823EB2">
        <w:t xml:space="preserve">through the relationship with </w:t>
      </w:r>
      <w:r w:rsidR="00D36830">
        <w:t>the</w:t>
      </w:r>
      <w:r w:rsidR="00823EB2">
        <w:t xml:space="preserve"> law, barons,</w:t>
      </w:r>
      <w:r w:rsidR="00A53C4E">
        <w:t xml:space="preserve"> and</w:t>
      </w:r>
      <w:r w:rsidR="00823EB2">
        <w:t xml:space="preserve"> </w:t>
      </w:r>
      <w:r w:rsidR="00A13FD0">
        <w:t>Church</w:t>
      </w:r>
      <w:r w:rsidR="00A53C4E">
        <w:t>,</w:t>
      </w:r>
      <w:r w:rsidR="00823EB2">
        <w:t xml:space="preserve"> and their ability to maintain power during their reigns.  </w:t>
      </w:r>
      <w:r w:rsidR="003227D3">
        <w:t>In the case of both Henry I and Henry II</w:t>
      </w:r>
      <w:r w:rsidR="00A53C4E">
        <w:t>,</w:t>
      </w:r>
      <w:r w:rsidR="003227D3">
        <w:t xml:space="preserve"> law</w:t>
      </w:r>
      <w:r w:rsidR="00A53C4E">
        <w:t>,</w:t>
      </w:r>
      <w:r w:rsidR="003227D3">
        <w:t xml:space="preserve"> and their relationship with their barons</w:t>
      </w:r>
      <w:r w:rsidR="00A53C4E">
        <w:t>,</w:t>
      </w:r>
      <w:r w:rsidR="003227D3">
        <w:t xml:space="preserve"> can appear to be more stable than that of King Stephen’s. However, the relationship between the </w:t>
      </w:r>
      <w:r w:rsidR="00A13FD0">
        <w:t>Church</w:t>
      </w:r>
      <w:r w:rsidR="003227D3">
        <w:t xml:space="preserve"> and the two </w:t>
      </w:r>
      <w:r w:rsidR="00A53C4E">
        <w:t>K</w:t>
      </w:r>
      <w:r w:rsidR="003227D3">
        <w:t>ing Henrys</w:t>
      </w:r>
      <w:r w:rsidR="00A53C4E">
        <w:t>,</w:t>
      </w:r>
      <w:r w:rsidR="003227D3">
        <w:t xml:space="preserve"> can appear to be weaker than that of King Stephen. A </w:t>
      </w:r>
      <w:r w:rsidR="00EA1C27">
        <w:t xml:space="preserve">similarity </w:t>
      </w:r>
      <w:r w:rsidR="003227D3">
        <w:t>between all three kings</w:t>
      </w:r>
      <w:r w:rsidR="00EA1C27">
        <w:t xml:space="preserve"> is that all of them had their c</w:t>
      </w:r>
      <w:r w:rsidR="00054255">
        <w:t>l</w:t>
      </w:r>
      <w:r w:rsidR="00EA1C27">
        <w:t>a</w:t>
      </w:r>
      <w:r w:rsidR="00054255">
        <w:t>i</w:t>
      </w:r>
      <w:r w:rsidR="00EA1C27">
        <w:t>m to power questioned. However, a contrast can still be provide</w:t>
      </w:r>
      <w:r w:rsidR="004362FB">
        <w:t>d</w:t>
      </w:r>
      <w:r w:rsidR="00EA1C27">
        <w:t xml:space="preserve"> in this section as both Henrys were able to deal and minimise the threat imposed upon their kingship. Whereas King Stephen</w:t>
      </w:r>
      <w:r w:rsidR="004E55F7">
        <w:t>’s</w:t>
      </w:r>
      <w:r w:rsidR="00EA1C27">
        <w:t xml:space="preserve"> </w:t>
      </w:r>
      <w:r w:rsidR="004362FB">
        <w:t>challenge to the throne lasted his entire rule through an event</w:t>
      </w:r>
      <w:r w:rsidR="003A10B1">
        <w:t xml:space="preserve"> later</w:t>
      </w:r>
      <w:r w:rsidR="004362FB">
        <w:t xml:space="preserve"> known </w:t>
      </w:r>
      <w:r w:rsidR="003A10B1">
        <w:t xml:space="preserve">to historians </w:t>
      </w:r>
      <w:r w:rsidR="004362FB">
        <w:t xml:space="preserve">as the ‘Anarchy’. </w:t>
      </w:r>
    </w:p>
    <w:p w14:paraId="5650DFDC" w14:textId="73F26968" w:rsidR="008C6EAE" w:rsidRDefault="005972FC" w:rsidP="00A53C4E">
      <w:pPr>
        <w:spacing w:line="480" w:lineRule="auto"/>
      </w:pPr>
      <w:r w:rsidRPr="005972FC">
        <w:t xml:space="preserve">The period known as the ‘Anarchy’ </w:t>
      </w:r>
      <w:r w:rsidR="004E55F7">
        <w:t>was</w:t>
      </w:r>
      <w:r w:rsidRPr="005972FC">
        <w:t xml:space="preserve"> a series of ongoing civil wars in England and Normandy</w:t>
      </w:r>
      <w:r w:rsidR="00246F95">
        <w:t>, that was started in 1135</w:t>
      </w:r>
      <w:r w:rsidR="004E55F7">
        <w:t>,</w:t>
      </w:r>
      <w:r w:rsidR="00246F95">
        <w:t xml:space="preserve"> when Stephen claimed the throne</w:t>
      </w:r>
      <w:r w:rsidR="004E55F7">
        <w:t>,</w:t>
      </w:r>
      <w:r w:rsidR="00246F95">
        <w:t xml:space="preserve"> and ended in 1153 upon his death</w:t>
      </w:r>
      <w:r w:rsidR="009E6D4E">
        <w:t>.  This was a conflict</w:t>
      </w:r>
      <w:r w:rsidRPr="005972FC">
        <w:t xml:space="preserve"> </w:t>
      </w:r>
      <w:r w:rsidR="00246F95">
        <w:t>o</w:t>
      </w:r>
      <w:r w:rsidRPr="005972FC">
        <w:t>ver succession rights between the Empress Matilda and King Stephen</w:t>
      </w:r>
      <w:r w:rsidR="00246F95">
        <w:t>.</w:t>
      </w:r>
      <w:r w:rsidR="003B1414">
        <w:rPr>
          <w:rStyle w:val="FootnoteReference"/>
        </w:rPr>
        <w:footnoteReference w:id="1"/>
      </w:r>
      <w:r w:rsidR="00246F95">
        <w:t xml:space="preserve"> </w:t>
      </w:r>
      <w:r w:rsidR="00246F95" w:rsidRPr="00246F95">
        <w:t xml:space="preserve">These ongoing </w:t>
      </w:r>
      <w:r w:rsidR="00246F95" w:rsidRPr="00246F95">
        <w:lastRenderedPageBreak/>
        <w:t>conflicts during Stephen’s reign and his leadership as King</w:t>
      </w:r>
      <w:r w:rsidR="009E6D4E">
        <w:t>,</w:t>
      </w:r>
      <w:r w:rsidR="00246F95" w:rsidRPr="00246F95">
        <w:t xml:space="preserve"> resulted in widespread collapse of law and order.</w:t>
      </w:r>
      <w:r w:rsidR="003B1414">
        <w:rPr>
          <w:rStyle w:val="FootnoteReference"/>
        </w:rPr>
        <w:footnoteReference w:id="2"/>
      </w:r>
      <w:r w:rsidR="00246F95" w:rsidRPr="00246F95">
        <w:t xml:space="preserve"> </w:t>
      </w:r>
      <w:r w:rsidR="00722FF4">
        <w:t>Through analysing the ‘Anarchy’</w:t>
      </w:r>
      <w:r w:rsidR="004E55F7">
        <w:t>,</w:t>
      </w:r>
      <w:r w:rsidR="00722FF4">
        <w:t xml:space="preserve"> this essay will be able to provide a contrast of Stephen</w:t>
      </w:r>
      <w:r w:rsidR="009E6D4E">
        <w:t>’s</w:t>
      </w:r>
      <w:r w:rsidR="00C94BE8">
        <w:t xml:space="preserve"> reign</w:t>
      </w:r>
      <w:r w:rsidR="009E6D4E">
        <w:t>,</w:t>
      </w:r>
      <w:r w:rsidR="00C94BE8">
        <w:t xml:space="preserve"> by looking at the</w:t>
      </w:r>
      <w:r w:rsidR="00722FF4">
        <w:t xml:space="preserve"> relationship </w:t>
      </w:r>
      <w:r w:rsidR="00C94BE8">
        <w:t xml:space="preserve">Stephen had </w:t>
      </w:r>
      <w:r w:rsidR="00722FF4">
        <w:t xml:space="preserve">with passing laws and his relaxation of them, </w:t>
      </w:r>
      <w:r w:rsidR="00282F7E">
        <w:t xml:space="preserve">as well as </w:t>
      </w:r>
      <w:r w:rsidR="00722FF4">
        <w:t xml:space="preserve">his relationship with his barons and the </w:t>
      </w:r>
      <w:r w:rsidR="00A13FD0">
        <w:t>Church</w:t>
      </w:r>
      <w:r w:rsidR="00722FF4">
        <w:t xml:space="preserve">, and how he was able to maintain his kingship through these relationships compared to that of his predecessor and successor. </w:t>
      </w:r>
    </w:p>
    <w:p w14:paraId="77A8DEB9" w14:textId="180C47F0" w:rsidR="005972FC" w:rsidRDefault="008C6EAE" w:rsidP="00A53C4E">
      <w:pPr>
        <w:spacing w:line="480" w:lineRule="auto"/>
      </w:pPr>
      <w:r>
        <w:t>On December the 1</w:t>
      </w:r>
      <w:r w:rsidRPr="008C6EAE">
        <w:rPr>
          <w:vertAlign w:val="superscript"/>
        </w:rPr>
        <w:t>st</w:t>
      </w:r>
      <w:r>
        <w:t xml:space="preserve"> 1135</w:t>
      </w:r>
      <w:r w:rsidR="00B660EE">
        <w:t>, Henr</w:t>
      </w:r>
      <w:r w:rsidR="009E6D4E">
        <w:t>y I</w:t>
      </w:r>
      <w:r>
        <w:t xml:space="preserve"> passed away.</w:t>
      </w:r>
      <w:r w:rsidR="008F1C4D">
        <w:t xml:space="preserve"> </w:t>
      </w:r>
      <w:r>
        <w:t>Upon his death bed</w:t>
      </w:r>
      <w:r w:rsidR="00282F7E">
        <w:t>,</w:t>
      </w:r>
      <w:r>
        <w:t xml:space="preserve"> he left his daughter Empress Matilda </w:t>
      </w:r>
      <w:r w:rsidR="007D4660">
        <w:t>as his successor to the throne of England and Normandy</w:t>
      </w:r>
      <w:r w:rsidR="009E6D4E">
        <w:t>,</w:t>
      </w:r>
      <w:r w:rsidR="007D4660">
        <w:t xml:space="preserve"> after his only legitimate male heir, </w:t>
      </w:r>
      <w:r w:rsidR="007D4660" w:rsidRPr="007D4660">
        <w:t>William Adelin</w:t>
      </w:r>
      <w:r w:rsidR="00282F7E">
        <w:t>,</w:t>
      </w:r>
      <w:r w:rsidR="007D4660">
        <w:t xml:space="preserve"> had died in the White Ship disaster of 1120.</w:t>
      </w:r>
      <w:r w:rsidR="003B1414">
        <w:rPr>
          <w:rStyle w:val="FootnoteReference"/>
        </w:rPr>
        <w:footnoteReference w:id="3"/>
      </w:r>
      <w:r w:rsidR="007D4660">
        <w:t xml:space="preserve"> </w:t>
      </w:r>
      <w:r w:rsidR="00282F7E">
        <w:t>Ho</w:t>
      </w:r>
      <w:r w:rsidR="00D45A5D">
        <w:t>wever, Matilda did not succe</w:t>
      </w:r>
      <w:r w:rsidR="009E6D4E">
        <w:t>e</w:t>
      </w:r>
      <w:r w:rsidR="00D45A5D">
        <w:t>d</w:t>
      </w:r>
      <w:r w:rsidR="00282F7E">
        <w:t xml:space="preserve"> the throne after her father. Her place was instead taken by Henry I</w:t>
      </w:r>
      <w:r w:rsidR="009E6D4E">
        <w:t>’s</w:t>
      </w:r>
      <w:r w:rsidR="00282F7E">
        <w:t xml:space="preserve"> nephew, Stephen of Blois.</w:t>
      </w:r>
      <w:r w:rsidR="003B1414">
        <w:rPr>
          <w:rStyle w:val="FootnoteReference"/>
        </w:rPr>
        <w:footnoteReference w:id="4"/>
      </w:r>
      <w:r w:rsidR="00282F7E">
        <w:t xml:space="preserve"> Stephen was able to c</w:t>
      </w:r>
      <w:r w:rsidR="009E6D4E">
        <w:t>l</w:t>
      </w:r>
      <w:r w:rsidR="00282F7E">
        <w:t>a</w:t>
      </w:r>
      <w:r w:rsidR="009E6D4E">
        <w:t>i</w:t>
      </w:r>
      <w:r w:rsidR="00282F7E">
        <w:t xml:space="preserve">m the throne due to his ability to get to England </w:t>
      </w:r>
      <w:r w:rsidR="00496B04">
        <w:t xml:space="preserve">before </w:t>
      </w:r>
      <w:r w:rsidR="00103DF5">
        <w:t>Matilda (</w:t>
      </w:r>
      <w:r w:rsidR="00496B04">
        <w:t xml:space="preserve">Matilda having been in </w:t>
      </w:r>
      <w:r w:rsidR="00103DF5">
        <w:t>Anjou</w:t>
      </w:r>
      <w:r w:rsidR="009E6D4E">
        <w:t>,</w:t>
      </w:r>
      <w:r w:rsidR="00103DF5">
        <w:t xml:space="preserve"> upon hearing the news of her father death</w:t>
      </w:r>
      <w:r w:rsidR="009E6D4E">
        <w:t>,</w:t>
      </w:r>
      <w:r w:rsidR="00103DF5">
        <w:t xml:space="preserve"> and Stephen being in </w:t>
      </w:r>
      <w:r w:rsidR="00103DF5" w:rsidRPr="00103DF5">
        <w:t>Boulogne</w:t>
      </w:r>
      <w:r w:rsidR="00103DF5">
        <w:t>), his connection of being the grandson of William the Conquer</w:t>
      </w:r>
      <w:r w:rsidR="009E6D4E">
        <w:t>,</w:t>
      </w:r>
      <w:r w:rsidR="00103DF5">
        <w:t xml:space="preserve"> through his mother (Henry I’s sister)</w:t>
      </w:r>
      <w:r w:rsidR="00C94BE8">
        <w:t xml:space="preserve">, his good relationship with barons in England (even though the barons had promised to accept </w:t>
      </w:r>
      <w:r w:rsidR="00666B84">
        <w:t>Matilda as queen</w:t>
      </w:r>
      <w:r w:rsidR="00984713">
        <w:t>, this included Stephen himself</w:t>
      </w:r>
      <w:r w:rsidR="003367AE">
        <w:rPr>
          <w:rStyle w:val="FootnoteReference"/>
        </w:rPr>
        <w:footnoteReference w:id="5"/>
      </w:r>
      <w:r w:rsidR="00666B84">
        <w:t>)</w:t>
      </w:r>
      <w:r w:rsidR="009E6D4E">
        <w:t>,</w:t>
      </w:r>
      <w:r w:rsidR="00666B84">
        <w:t xml:space="preserve"> and his inner connections with the </w:t>
      </w:r>
      <w:r w:rsidR="00A13FD0">
        <w:t>Church</w:t>
      </w:r>
      <w:r w:rsidR="00666B84">
        <w:t xml:space="preserve"> (his brother was Abbot of Glastonbury and Bishop of Winchester).</w:t>
      </w:r>
    </w:p>
    <w:p w14:paraId="24755D50" w14:textId="61905E8E" w:rsidR="00F5414A" w:rsidRDefault="00984713" w:rsidP="00A53C4E">
      <w:pPr>
        <w:spacing w:line="480" w:lineRule="auto"/>
      </w:pPr>
      <w:r>
        <w:t>Stephen may have at first been accepted as the new king of England and Normandy</w:t>
      </w:r>
      <w:r w:rsidR="009E6D4E">
        <w:t>,</w:t>
      </w:r>
      <w:r>
        <w:t xml:space="preserve"> but that did not stop Matilda from </w:t>
      </w:r>
      <w:r w:rsidR="007D2BDB">
        <w:t>revolting and eventually winning the birth</w:t>
      </w:r>
      <w:r w:rsidR="009E6D4E">
        <w:t>-</w:t>
      </w:r>
      <w:r w:rsidR="007D2BDB">
        <w:t>right of her son to be on the throne. This is different to the reigns of both Henry I and Henry II</w:t>
      </w:r>
      <w:r w:rsidR="00A13FD0">
        <w:t>,</w:t>
      </w:r>
      <w:r w:rsidR="007D2BDB">
        <w:t xml:space="preserve"> as even though their claims to the thron</w:t>
      </w:r>
      <w:r w:rsidR="00946A08">
        <w:t>e were challenged,</w:t>
      </w:r>
      <w:r w:rsidR="00716DEA">
        <w:t xml:space="preserve"> they were able</w:t>
      </w:r>
      <w:r w:rsidR="007D2BDB">
        <w:t xml:space="preserve"> to conquer the threat and maintain power. </w:t>
      </w:r>
    </w:p>
    <w:p w14:paraId="45899483" w14:textId="4EFC2955" w:rsidR="00910C90" w:rsidRDefault="00910C90" w:rsidP="00A53C4E">
      <w:pPr>
        <w:spacing w:line="480" w:lineRule="auto"/>
      </w:pPr>
      <w:r>
        <w:lastRenderedPageBreak/>
        <w:t xml:space="preserve">In 1100 Henry I was crowned </w:t>
      </w:r>
      <w:r w:rsidR="00B51DF6">
        <w:t>K</w:t>
      </w:r>
      <w:r>
        <w:t>ing</w:t>
      </w:r>
      <w:r w:rsidR="00691986">
        <w:t xml:space="preserve"> of England after the death of William Rufus.</w:t>
      </w:r>
      <w:r w:rsidR="003B1414">
        <w:rPr>
          <w:rStyle w:val="FootnoteReference"/>
        </w:rPr>
        <w:footnoteReference w:id="6"/>
      </w:r>
      <w:r w:rsidR="00691986">
        <w:t xml:space="preserve"> B</w:t>
      </w:r>
      <w:r>
        <w:t xml:space="preserve">y 1101 </w:t>
      </w:r>
      <w:r w:rsidR="00691986">
        <w:t>h</w:t>
      </w:r>
      <w:r>
        <w:t>is status of kingship was questioned</w:t>
      </w:r>
      <w:r w:rsidR="00691986">
        <w:t xml:space="preserve"> by his older brother Robert Curthose</w:t>
      </w:r>
      <w:r w:rsidR="006B282F">
        <w:t>,</w:t>
      </w:r>
      <w:r w:rsidR="00691986">
        <w:t xml:space="preserve"> Duke of N</w:t>
      </w:r>
      <w:r w:rsidR="00083A00">
        <w:t>or</w:t>
      </w:r>
      <w:r w:rsidR="006B282F">
        <w:t>mandy.</w:t>
      </w:r>
      <w:r w:rsidR="003B1414">
        <w:rPr>
          <w:rStyle w:val="FootnoteReference"/>
        </w:rPr>
        <w:footnoteReference w:id="7"/>
      </w:r>
      <w:r w:rsidR="006B282F">
        <w:t xml:space="preserve"> However, Henry was able to resolve this problem and have his </w:t>
      </w:r>
      <w:r w:rsidR="005C7FF7">
        <w:t xml:space="preserve">kingship </w:t>
      </w:r>
      <w:r w:rsidR="009E6D4E">
        <w:t>acknowledged</w:t>
      </w:r>
      <w:r w:rsidR="005C7FF7">
        <w:t xml:space="preserve"> and confirmed </w:t>
      </w:r>
      <w:r w:rsidR="0011063A">
        <w:t>by his brother.</w:t>
      </w:r>
      <w:r w:rsidR="003B1414">
        <w:rPr>
          <w:rStyle w:val="FootnoteReference"/>
        </w:rPr>
        <w:footnoteReference w:id="8"/>
      </w:r>
      <w:r w:rsidR="0011063A">
        <w:t xml:space="preserve"> In </w:t>
      </w:r>
      <w:r w:rsidR="00DF63E8">
        <w:t>1105</w:t>
      </w:r>
      <w:r w:rsidR="0011063A">
        <w:t xml:space="preserve"> Henry invaded </w:t>
      </w:r>
      <w:r w:rsidR="00DF63E8">
        <w:t>the Duchy of Normandy and later captured his brother (who he imprisoned for the rest of his life) in 1106 in the battle of Tinchebray.</w:t>
      </w:r>
      <w:r w:rsidR="00F31D89">
        <w:rPr>
          <w:rStyle w:val="FootnoteReference"/>
        </w:rPr>
        <w:footnoteReference w:id="9"/>
      </w:r>
      <w:r w:rsidR="00DF63E8">
        <w:t xml:space="preserve"> This gained Henry the title Duke of Normandy that he successfully defended against challengers. Henry II</w:t>
      </w:r>
      <w:r w:rsidR="00A13FD0">
        <w:t>’s</w:t>
      </w:r>
      <w:r w:rsidR="00554355">
        <w:t xml:space="preserve"> leadership</w:t>
      </w:r>
      <w:r w:rsidR="00DF63E8">
        <w:t xml:space="preserve"> </w:t>
      </w:r>
      <w:r w:rsidR="00A13FD0">
        <w:t xml:space="preserve">was </w:t>
      </w:r>
      <w:r w:rsidR="00DF63E8">
        <w:t>question</w:t>
      </w:r>
      <w:r w:rsidR="00A13FD0">
        <w:t>ed</w:t>
      </w:r>
      <w:r w:rsidR="00DF63E8">
        <w:t xml:space="preserve"> </w:t>
      </w:r>
      <w:r w:rsidR="00554355">
        <w:t>by his sons</w:t>
      </w:r>
      <w:r w:rsidR="00A13FD0">
        <w:t>,</w:t>
      </w:r>
      <w:r w:rsidR="00554355">
        <w:t xml:space="preserve"> </w:t>
      </w:r>
      <w:r w:rsidR="00A13FD0">
        <w:t>who</w:t>
      </w:r>
      <w:r w:rsidR="00554355">
        <w:t xml:space="preserve"> led a rebellion against him under the influence of </w:t>
      </w:r>
      <w:r w:rsidR="00750955">
        <w:t xml:space="preserve">the </w:t>
      </w:r>
      <w:r w:rsidR="001C0B78">
        <w:t>French king and their mother</w:t>
      </w:r>
      <w:r w:rsidR="00591758">
        <w:t xml:space="preserve"> </w:t>
      </w:r>
      <w:r w:rsidR="00591758" w:rsidRPr="00591758">
        <w:t>Eleanor of Aquitaine</w:t>
      </w:r>
      <w:r w:rsidR="00591758">
        <w:t>.</w:t>
      </w:r>
      <w:r w:rsidR="00F31D89">
        <w:rPr>
          <w:rStyle w:val="FootnoteReference"/>
        </w:rPr>
        <w:footnoteReference w:id="10"/>
      </w:r>
      <w:r w:rsidR="00591758">
        <w:t xml:space="preserve"> Henry was able to overcome this rebe</w:t>
      </w:r>
      <w:r w:rsidR="00A13FD0">
        <w:t>l</w:t>
      </w:r>
      <w:r w:rsidR="00591758">
        <w:t>l</w:t>
      </w:r>
      <w:r w:rsidR="00A13FD0">
        <w:t>ion</w:t>
      </w:r>
      <w:r w:rsidR="00591758">
        <w:t xml:space="preserve"> by the death of his son Henry the younger</w:t>
      </w:r>
      <w:r w:rsidR="00A13FD0">
        <w:t>,</w:t>
      </w:r>
      <w:r w:rsidR="00591758">
        <w:t xml:space="preserve"> and by prisoning his wife.</w:t>
      </w:r>
      <w:r w:rsidR="00F31D89">
        <w:rPr>
          <w:rStyle w:val="FootnoteReference"/>
        </w:rPr>
        <w:footnoteReference w:id="11"/>
      </w:r>
      <w:r w:rsidR="00591758">
        <w:t xml:space="preserve"> </w:t>
      </w:r>
      <w:r w:rsidR="00554355">
        <w:t xml:space="preserve"> </w:t>
      </w:r>
      <w:r w:rsidR="00750955">
        <w:t>This is different to Stephen</w:t>
      </w:r>
      <w:r w:rsidR="00A13FD0">
        <w:t>’s</w:t>
      </w:r>
      <w:r w:rsidR="00750955">
        <w:t xml:space="preserve"> reign</w:t>
      </w:r>
      <w:r w:rsidR="00A13FD0">
        <w:t>,</w:t>
      </w:r>
      <w:r w:rsidR="00750955">
        <w:t xml:space="preserve"> as Stephen was unable to contain and suppress the civil war during his reign</w:t>
      </w:r>
      <w:r w:rsidR="00895BD6">
        <w:t>, notably Stephen was captured during the conflict and had to be re</w:t>
      </w:r>
      <w:r w:rsidR="00A13FD0">
        <w:t>s</w:t>
      </w:r>
      <w:r w:rsidR="00895BD6">
        <w:t xml:space="preserve">cued by his wife and </w:t>
      </w:r>
      <w:r w:rsidR="002B7F10" w:rsidRPr="002B7F10">
        <w:t>William of Ypres</w:t>
      </w:r>
      <w:r w:rsidR="002B7F10">
        <w:t>.</w:t>
      </w:r>
      <w:r w:rsidR="00F31D89">
        <w:rPr>
          <w:rStyle w:val="FootnoteReference"/>
        </w:rPr>
        <w:footnoteReference w:id="12"/>
      </w:r>
      <w:r w:rsidR="002B7F10">
        <w:t xml:space="preserve"> </w:t>
      </w:r>
    </w:p>
    <w:p w14:paraId="4A13463F" w14:textId="358B606D" w:rsidR="00AA042B" w:rsidRDefault="00D45A5D" w:rsidP="00A53C4E">
      <w:pPr>
        <w:spacing w:line="480" w:lineRule="auto"/>
      </w:pPr>
      <w:r>
        <w:t>Henry I and Henry II are noted by historians to have been strong and competent leaders</w:t>
      </w:r>
      <w:r w:rsidR="00A13FD0">
        <w:t>,</w:t>
      </w:r>
      <w:r>
        <w:t xml:space="preserve"> </w:t>
      </w:r>
      <w:r w:rsidR="0082015C">
        <w:t xml:space="preserve">whereas </w:t>
      </w:r>
      <w:r w:rsidR="00395A85">
        <w:t xml:space="preserve">King </w:t>
      </w:r>
      <w:r w:rsidR="00D154D0">
        <w:t>Stephen</w:t>
      </w:r>
      <w:r w:rsidR="00395A85">
        <w:t xml:space="preserve"> can been seen as </w:t>
      </w:r>
      <w:r w:rsidR="00A13FD0">
        <w:t xml:space="preserve">a </w:t>
      </w:r>
      <w:r w:rsidR="00395A85">
        <w:t>weak and incompetent</w:t>
      </w:r>
      <w:r w:rsidR="00D154D0">
        <w:t xml:space="preserve"> leader</w:t>
      </w:r>
      <w:r w:rsidR="00395A85">
        <w:t>, losing support progressively through his reign</w:t>
      </w:r>
      <w:r w:rsidR="00D154D0">
        <w:t xml:space="preserve"> from his barons</w:t>
      </w:r>
      <w:r w:rsidR="00395A85">
        <w:t>, notably after his capture at the battle of Lincoln in 1141</w:t>
      </w:r>
      <w:r w:rsidR="00F31D89">
        <w:rPr>
          <w:rStyle w:val="FootnoteReference"/>
        </w:rPr>
        <w:footnoteReference w:id="13"/>
      </w:r>
      <w:r w:rsidR="00395A85">
        <w:t xml:space="preserve"> </w:t>
      </w:r>
      <w:r w:rsidR="00D154D0">
        <w:t xml:space="preserve">and the </w:t>
      </w:r>
      <w:r w:rsidR="00A13FD0">
        <w:t>Church</w:t>
      </w:r>
      <w:r w:rsidR="00D154D0">
        <w:t xml:space="preserve"> after he failed to live up to the promises he made to the </w:t>
      </w:r>
      <w:r w:rsidR="00A13FD0">
        <w:t>C</w:t>
      </w:r>
      <w:r w:rsidR="00D154D0">
        <w:t>hurch upon his coronation.</w:t>
      </w:r>
      <w:r w:rsidR="00F31D89">
        <w:rPr>
          <w:rStyle w:val="FootnoteReference"/>
        </w:rPr>
        <w:footnoteReference w:id="14"/>
      </w:r>
      <w:r w:rsidR="00D154D0">
        <w:t xml:space="preserve"> </w:t>
      </w:r>
    </w:p>
    <w:p w14:paraId="607AC4DD" w14:textId="575A5869" w:rsidR="003A7D1A" w:rsidRDefault="00B747D4" w:rsidP="00A53C4E">
      <w:pPr>
        <w:spacing w:line="480" w:lineRule="auto"/>
      </w:pPr>
      <w:r>
        <w:t>At</w:t>
      </w:r>
      <w:r w:rsidR="003A7D1A">
        <w:t xml:space="preserve"> the </w:t>
      </w:r>
      <w:r w:rsidR="006C4B16">
        <w:t>beginning</w:t>
      </w:r>
      <w:r w:rsidR="003A7D1A">
        <w:t xml:space="preserve"> of King Stephen</w:t>
      </w:r>
      <w:r w:rsidR="00A13FD0">
        <w:t>’s</w:t>
      </w:r>
      <w:r w:rsidR="00600ECA">
        <w:t xml:space="preserve"> reign</w:t>
      </w:r>
      <w:r w:rsidR="00A13FD0">
        <w:t>,</w:t>
      </w:r>
      <w:r w:rsidR="003A7D1A">
        <w:t xml:space="preserve"> </w:t>
      </w:r>
      <w:r w:rsidR="006C4B16">
        <w:t xml:space="preserve">his relationship with the </w:t>
      </w:r>
      <w:r w:rsidR="00A13FD0">
        <w:t>C</w:t>
      </w:r>
      <w:r w:rsidR="00D76EEB">
        <w:t>hurch</w:t>
      </w:r>
      <w:r>
        <w:t>, barons and citizen</w:t>
      </w:r>
      <w:r w:rsidR="00A01283">
        <w:t xml:space="preserve"> could be seen as strong.</w:t>
      </w:r>
      <w:r w:rsidR="00214CBD">
        <w:t xml:space="preserve"> He</w:t>
      </w:r>
      <w:r w:rsidR="00A07781">
        <w:t xml:space="preserve"> was elected by the citizens to become king because he displayed good characteristic</w:t>
      </w:r>
      <w:r w:rsidR="00695CAF">
        <w:t>s</w:t>
      </w:r>
      <w:r w:rsidR="00A07781">
        <w:t xml:space="preserve"> to be able </w:t>
      </w:r>
      <w:r w:rsidR="001112F4">
        <w:t>to deal with the kingship.</w:t>
      </w:r>
      <w:r w:rsidR="001112F4">
        <w:rPr>
          <w:rStyle w:val="FootnoteReference"/>
        </w:rPr>
        <w:footnoteReference w:id="15"/>
      </w:r>
      <w:r w:rsidR="001112F4">
        <w:t xml:space="preserve"> </w:t>
      </w:r>
      <w:r w:rsidR="009406C9">
        <w:t xml:space="preserve">His relationship with the Church at the </w:t>
      </w:r>
      <w:r w:rsidR="009406C9">
        <w:lastRenderedPageBreak/>
        <w:t>b</w:t>
      </w:r>
      <w:r w:rsidR="00695CAF">
        <w:t>eginning</w:t>
      </w:r>
      <w:r w:rsidR="009406C9">
        <w:t xml:space="preserve"> of his reign was strong as</w:t>
      </w:r>
      <w:r w:rsidR="00A07781">
        <w:t xml:space="preserve"> </w:t>
      </w:r>
      <w:r w:rsidR="009406C9">
        <w:t>h</w:t>
      </w:r>
      <w:r w:rsidR="00D76EEB">
        <w:t xml:space="preserve">is brother, Henry of Blois, was both </w:t>
      </w:r>
      <w:r>
        <w:t>Abbot of Glastonbury Abbey and Bishop of Winchester and was an influential figur</w:t>
      </w:r>
      <w:r w:rsidR="00A22880">
        <w:t xml:space="preserve">e in securing Stephen claim to the throne by convincing William de Pont de I’ </w:t>
      </w:r>
      <w:r w:rsidR="00401F27">
        <w:t>Arche to hand over the royal treasure to Stephen.</w:t>
      </w:r>
      <w:r w:rsidR="00401F27">
        <w:rPr>
          <w:rStyle w:val="FootnoteReference"/>
        </w:rPr>
        <w:footnoteReference w:id="16"/>
      </w:r>
      <w:r w:rsidR="00401F27">
        <w:t xml:space="preserve"> </w:t>
      </w:r>
      <w:r w:rsidR="001B14C1">
        <w:t>The Church also liked Stephen because in his charter at the beginning of his reign he promised to restore ce</w:t>
      </w:r>
      <w:r w:rsidR="004B1E72">
        <w:t>rtain rights and powers to the C</w:t>
      </w:r>
      <w:r w:rsidR="001B14C1">
        <w:t>hurch</w:t>
      </w:r>
      <w:r w:rsidR="00AC0F28">
        <w:rPr>
          <w:rStyle w:val="FootnoteReference"/>
        </w:rPr>
        <w:footnoteReference w:id="17"/>
      </w:r>
      <w:r w:rsidR="001B14C1">
        <w:t xml:space="preserve"> which had been neglected during the time of Henry I. </w:t>
      </w:r>
      <w:r w:rsidR="00214EAF">
        <w:t>T</w:t>
      </w:r>
      <w:r w:rsidR="009D06F5">
        <w:t xml:space="preserve">his saw his </w:t>
      </w:r>
      <w:r w:rsidR="0086449C">
        <w:t>claim to power supported by two Popes</w:t>
      </w:r>
      <w:r w:rsidR="00214EAF">
        <w:rPr>
          <w:rStyle w:val="FootnoteReference"/>
        </w:rPr>
        <w:footnoteReference w:id="18"/>
      </w:r>
      <w:r w:rsidR="0086449C">
        <w:t xml:space="preserve"> who saw him as the rightful King of England and Duke of Normandy </w:t>
      </w:r>
      <w:r w:rsidR="00891DF4">
        <w:t>due to the promises he</w:t>
      </w:r>
      <w:r w:rsidR="00214EAF">
        <w:t xml:space="preserve"> made in his charter, </w:t>
      </w:r>
      <w:r w:rsidR="0086449C">
        <w:t>over</w:t>
      </w:r>
      <w:r w:rsidR="00214EAF">
        <w:t xml:space="preserve"> that of</w:t>
      </w:r>
      <w:r w:rsidR="0086449C">
        <w:t xml:space="preserve"> Empress Matilda claim</w:t>
      </w:r>
      <w:r w:rsidR="00214EAF">
        <w:t xml:space="preserve"> to the throne</w:t>
      </w:r>
      <w:r w:rsidR="0086449C">
        <w:t xml:space="preserve">.  </w:t>
      </w:r>
      <w:r w:rsidR="005C6FA3">
        <w:t xml:space="preserve">During </w:t>
      </w:r>
      <w:r w:rsidR="00F20200">
        <w:t xml:space="preserve">the reign of King </w:t>
      </w:r>
      <w:r w:rsidR="007B22F6">
        <w:t>Stephen,</w:t>
      </w:r>
      <w:r w:rsidR="00F20200">
        <w:t xml:space="preserve"> </w:t>
      </w:r>
      <w:r w:rsidR="007E378E">
        <w:t xml:space="preserve">the establishment of religious houses doubled from that </w:t>
      </w:r>
      <w:r w:rsidR="004B1E72">
        <w:t>of Henry I.</w:t>
      </w:r>
      <w:r w:rsidR="007B22F6">
        <w:rPr>
          <w:rStyle w:val="FootnoteReference"/>
        </w:rPr>
        <w:footnoteReference w:id="19"/>
      </w:r>
      <w:r w:rsidR="004B1E72">
        <w:t xml:space="preserve"> </w:t>
      </w:r>
      <w:r w:rsidR="008C7649">
        <w:t>However, Stephen never kept the promises he had made in his charter.</w:t>
      </w:r>
      <w:r w:rsidR="007B22F6">
        <w:rPr>
          <w:rStyle w:val="FootnoteReference"/>
        </w:rPr>
        <w:footnoteReference w:id="20"/>
      </w:r>
      <w:r w:rsidR="008C7649">
        <w:t xml:space="preserve">  </w:t>
      </w:r>
      <w:r w:rsidR="00F23AD6">
        <w:t xml:space="preserve">Taking land and wealth from Bishops, this </w:t>
      </w:r>
      <w:r w:rsidR="00062C88">
        <w:t>saw Stephen fall out of grace with his citizens</w:t>
      </w:r>
      <w:r w:rsidR="005227D8">
        <w:rPr>
          <w:rStyle w:val="FootnoteReference"/>
        </w:rPr>
        <w:footnoteReference w:id="21"/>
      </w:r>
      <w:r w:rsidR="00062C88">
        <w:t xml:space="preserve"> as taking from a </w:t>
      </w:r>
      <w:r w:rsidR="007B22F6">
        <w:t>holy man</w:t>
      </w:r>
      <w:r w:rsidR="00062C88">
        <w:t xml:space="preserve"> was wrong and arguably the Church as Thesbald refused to crown Stephen son</w:t>
      </w:r>
      <w:r w:rsidR="005227D8">
        <w:rPr>
          <w:rStyle w:val="FootnoteReference"/>
        </w:rPr>
        <w:footnoteReference w:id="22"/>
      </w:r>
      <w:r w:rsidR="005227D8">
        <w:t xml:space="preserve">, </w:t>
      </w:r>
      <w:r w:rsidR="005227D8" w:rsidRPr="005227D8">
        <w:t>Eustace</w:t>
      </w:r>
      <w:r w:rsidR="005227D8">
        <w:t>,</w:t>
      </w:r>
      <w:r w:rsidR="00062C88">
        <w:t xml:space="preserve"> early while Stephen was alive (as was the practice in France, however, not Britain) and Pope Eug</w:t>
      </w:r>
      <w:r w:rsidR="001206D9">
        <w:t>enius refused to consecrate</w:t>
      </w:r>
      <w:r w:rsidR="005227D8">
        <w:t xml:space="preserve"> </w:t>
      </w:r>
      <w:r w:rsidR="005227D8" w:rsidRPr="005227D8">
        <w:t xml:space="preserve"> Eustace</w:t>
      </w:r>
      <w:r w:rsidR="001206D9">
        <w:t>.</w:t>
      </w:r>
      <w:r w:rsidR="005227D8">
        <w:rPr>
          <w:rStyle w:val="FootnoteReference"/>
        </w:rPr>
        <w:footnoteReference w:id="23"/>
      </w:r>
      <w:r w:rsidR="001206D9">
        <w:t xml:space="preserve"> </w:t>
      </w:r>
      <w:r w:rsidR="005227D8">
        <w:t xml:space="preserve"> </w:t>
      </w:r>
    </w:p>
    <w:p w14:paraId="0A1B7A80" w14:textId="0B42B5B8" w:rsidR="00570F94" w:rsidRDefault="004B1E72" w:rsidP="00A53C4E">
      <w:pPr>
        <w:spacing w:line="480" w:lineRule="auto"/>
      </w:pPr>
      <w:r>
        <w:t xml:space="preserve">Both Henry’s during their reigns, like </w:t>
      </w:r>
      <w:r w:rsidR="00793A1A">
        <w:t xml:space="preserve">King </w:t>
      </w:r>
      <w:r>
        <w:t>Stephen, encountered problems with the Church</w:t>
      </w:r>
      <w:r w:rsidR="001D002C">
        <w:t>. Henry I, like</w:t>
      </w:r>
      <w:r w:rsidR="00274845">
        <w:t xml:space="preserve"> King</w:t>
      </w:r>
      <w:r w:rsidR="001D002C">
        <w:t xml:space="preserve"> Stephen, proclaimed in his charter</w:t>
      </w:r>
      <w:r w:rsidR="001A36D7">
        <w:rPr>
          <w:rStyle w:val="FootnoteReference"/>
        </w:rPr>
        <w:footnoteReference w:id="24"/>
      </w:r>
      <w:r w:rsidR="001D002C">
        <w:t xml:space="preserve"> to support the church and allow it to flourish from the neglect the Church had sustained under the rule of his brother, William Rufus.</w:t>
      </w:r>
      <w:r w:rsidR="00274845">
        <w:rPr>
          <w:rStyle w:val="FootnoteReference"/>
        </w:rPr>
        <w:footnoteReference w:id="25"/>
      </w:r>
      <w:r w:rsidR="001D002C">
        <w:t xml:space="preserve"> The </w:t>
      </w:r>
      <w:r>
        <w:t>problem</w:t>
      </w:r>
      <w:r w:rsidR="00E232B1">
        <w:t xml:space="preserve"> with the Church</w:t>
      </w:r>
      <w:r w:rsidR="001D002C">
        <w:t>, for Henry I,</w:t>
      </w:r>
      <w:r>
        <w:t xml:space="preserve"> aroused</w:t>
      </w:r>
      <w:r w:rsidR="00E232B1">
        <w:t xml:space="preserve"> when</w:t>
      </w:r>
      <w:r w:rsidR="00693557">
        <w:t xml:space="preserve"> the</w:t>
      </w:r>
      <w:r>
        <w:t xml:space="preserve"> </w:t>
      </w:r>
      <w:r w:rsidR="00793A1A">
        <w:t>Archbishop of Canterbury</w:t>
      </w:r>
      <w:r w:rsidR="00E232B1">
        <w:t>,</w:t>
      </w:r>
      <w:r w:rsidR="00793A1A">
        <w:t xml:space="preserve"> Anselm</w:t>
      </w:r>
      <w:r w:rsidR="00E232B1">
        <w:t>,</w:t>
      </w:r>
      <w:r w:rsidR="00274845">
        <w:t xml:space="preserve"> </w:t>
      </w:r>
      <w:r w:rsidR="00F444B9">
        <w:t>refused to</w:t>
      </w:r>
      <w:r w:rsidR="00E232B1">
        <w:t xml:space="preserve"> consecrate </w:t>
      </w:r>
      <w:r w:rsidR="00693557">
        <w:t>those appointed to be prelates by the King.</w:t>
      </w:r>
      <w:r w:rsidR="002F239C">
        <w:rPr>
          <w:rStyle w:val="FootnoteReference"/>
        </w:rPr>
        <w:footnoteReference w:id="26"/>
      </w:r>
      <w:r w:rsidR="00693557">
        <w:t xml:space="preserve"> </w:t>
      </w:r>
      <w:r w:rsidR="00F444B9">
        <w:t xml:space="preserve"> </w:t>
      </w:r>
      <w:r w:rsidR="00693557">
        <w:t xml:space="preserve">Anselm had the backing of the Pope (Pope Paschal) who stated that those who had been appointed prelates by the King and consecrated by the </w:t>
      </w:r>
      <w:r w:rsidR="00693557">
        <w:lastRenderedPageBreak/>
        <w:t>Archbishop of York, Gerard,</w:t>
      </w:r>
      <w:r w:rsidR="002F239C">
        <w:rPr>
          <w:rStyle w:val="FootnoteReference"/>
        </w:rPr>
        <w:footnoteReference w:id="27"/>
      </w:r>
      <w:r w:rsidR="00693557">
        <w:t xml:space="preserve"> were to be excommunicated from the church </w:t>
      </w:r>
      <w:r w:rsidR="00122568">
        <w:t>with an exemption being made for Henry I</w:t>
      </w:r>
      <w:r w:rsidR="002F239C">
        <w:rPr>
          <w:rStyle w:val="FootnoteReference"/>
        </w:rPr>
        <w:footnoteReference w:id="28"/>
      </w:r>
      <w:r w:rsidR="00122568">
        <w:t xml:space="preserve"> (the exemption </w:t>
      </w:r>
      <w:r w:rsidR="001D002C">
        <w:t xml:space="preserve">was made to keep peace </w:t>
      </w:r>
      <w:r w:rsidR="00122568">
        <w:t>between the crown and church). However</w:t>
      </w:r>
      <w:r w:rsidR="001D002C">
        <w:t xml:space="preserve">, Henry I did not agree on the </w:t>
      </w:r>
      <w:r w:rsidR="000A0C79">
        <w:t>stances</w:t>
      </w:r>
      <w:r w:rsidR="001D002C">
        <w:t xml:space="preserve"> of the Church</w:t>
      </w:r>
      <w:r w:rsidR="008C7649">
        <w:t xml:space="preserve"> and imposed harsh taxes upon the clergy order that </w:t>
      </w:r>
      <w:r w:rsidR="008A684D">
        <w:t>disobeyed his laws.</w:t>
      </w:r>
      <w:r w:rsidR="002F239C">
        <w:rPr>
          <w:rStyle w:val="FootnoteReference"/>
        </w:rPr>
        <w:footnoteReference w:id="29"/>
      </w:r>
      <w:r w:rsidR="008A684D">
        <w:t xml:space="preserve"> For Henry’s disregard of papal power</w:t>
      </w:r>
      <w:r w:rsidR="002F239C">
        <w:t>,</w:t>
      </w:r>
      <w:r w:rsidR="008A684D">
        <w:t xml:space="preserve"> he was almost excommunicated from the Church by Anselm.</w:t>
      </w:r>
      <w:r w:rsidR="002F239C">
        <w:rPr>
          <w:rStyle w:val="FootnoteReference"/>
        </w:rPr>
        <w:footnoteReference w:id="30"/>
      </w:r>
      <w:r w:rsidR="008A684D">
        <w:t xml:space="preserve"> Upon Anselm death, Henry broke all his charter promises.</w:t>
      </w:r>
      <w:r w:rsidR="002F58ED">
        <w:rPr>
          <w:rStyle w:val="FootnoteReference"/>
        </w:rPr>
        <w:footnoteReference w:id="31"/>
      </w:r>
      <w:r w:rsidR="008A684D">
        <w:t xml:space="preserve"> </w:t>
      </w:r>
    </w:p>
    <w:p w14:paraId="686B4EEA" w14:textId="1E49DCB8" w:rsidR="00575B70" w:rsidRDefault="008A684D" w:rsidP="00A53C4E">
      <w:pPr>
        <w:spacing w:line="480" w:lineRule="auto"/>
      </w:pPr>
      <w:r>
        <w:t>Like his grandfather, Henry II also had problems with the power of the church</w:t>
      </w:r>
      <w:r w:rsidR="00543A95">
        <w:t>. This came in the form of his friend, Thomas Becket the Archbishop of Canterbury.</w:t>
      </w:r>
      <w:r w:rsidR="00F31D89">
        <w:rPr>
          <w:rStyle w:val="FootnoteReference"/>
        </w:rPr>
        <w:footnoteReference w:id="32"/>
      </w:r>
      <w:r w:rsidR="000A0C79">
        <w:t xml:space="preserve"> When Henry appointed his friend to the role of Archbishop, he thought he was going to gain control over the church as Becket had been Henry friend for years as well as his </w:t>
      </w:r>
      <w:r w:rsidR="00575B70">
        <w:t>Chancellor for seven.</w:t>
      </w:r>
      <w:r w:rsidR="004D78A7">
        <w:rPr>
          <w:rStyle w:val="FootnoteReference"/>
        </w:rPr>
        <w:footnoteReference w:id="33"/>
      </w:r>
      <w:r w:rsidR="00575B70">
        <w:t xml:space="preserve"> However, this was not the case, as soon as Becket took the office of Archbishop, his personality seemed to change and he threw himself into protecting the rights of the Church.</w:t>
      </w:r>
      <w:r w:rsidR="0015433F">
        <w:rPr>
          <w:rStyle w:val="FootnoteReference"/>
        </w:rPr>
        <w:footnoteReference w:id="34"/>
      </w:r>
    </w:p>
    <w:p w14:paraId="088EDE12" w14:textId="6EBECE05" w:rsidR="007872FB" w:rsidRDefault="000A0C79" w:rsidP="00A53C4E">
      <w:pPr>
        <w:spacing w:line="480" w:lineRule="auto"/>
      </w:pPr>
      <w:r>
        <w:t>The tension and conflict that occurred</w:t>
      </w:r>
      <w:r w:rsidR="008A684D">
        <w:t xml:space="preserve"> </w:t>
      </w:r>
      <w:r w:rsidR="001206D9">
        <w:t xml:space="preserve">between Henry II and Thomas Becket was over </w:t>
      </w:r>
      <w:r w:rsidR="00CB3862">
        <w:t>a</w:t>
      </w:r>
      <w:r w:rsidR="006A09BB">
        <w:t xml:space="preserve"> number of reasons, however, the most notable</w:t>
      </w:r>
      <w:r>
        <w:t xml:space="preserve"> of this </w:t>
      </w:r>
      <w:r w:rsidR="00D5772A">
        <w:t xml:space="preserve">is </w:t>
      </w:r>
      <w:r w:rsidR="006A09BB">
        <w:t xml:space="preserve">was </w:t>
      </w:r>
      <w:r w:rsidR="00D5772A">
        <w:t>at the Council of Woodstock</w:t>
      </w:r>
      <w:r w:rsidR="003D4DEB">
        <w:t xml:space="preserve"> </w:t>
      </w:r>
      <w:r w:rsidR="006A09BB">
        <w:t xml:space="preserve">were Becket publicly refused to allow the King to take the money </w:t>
      </w:r>
      <w:r w:rsidR="00EB7EA3">
        <w:t xml:space="preserve">raised by sheriffs </w:t>
      </w:r>
      <w:r w:rsidR="00CB3862">
        <w:t xml:space="preserve">from the Church, </w:t>
      </w:r>
      <w:r w:rsidR="00EB7EA3">
        <w:t>to be transferred in the King treasury.</w:t>
      </w:r>
      <w:r w:rsidR="00F31D89">
        <w:rPr>
          <w:rStyle w:val="FootnoteReference"/>
        </w:rPr>
        <w:footnoteReference w:id="35"/>
      </w:r>
      <w:r w:rsidR="00EB7EA3">
        <w:t xml:space="preserve">   </w:t>
      </w:r>
      <w:r w:rsidR="00CB3862">
        <w:t xml:space="preserve">Henry also did not like the fact </w:t>
      </w:r>
      <w:r w:rsidR="00F732BC">
        <w:t xml:space="preserve">that the Church could excommunicate </w:t>
      </w:r>
      <w:r w:rsidR="0008618B">
        <w:t>his citizens without the permission of his Kingship or how the Pope had the power to send his Archbishops papal missions without the need to notify and</w:t>
      </w:r>
      <w:r w:rsidR="004542F3">
        <w:t xml:space="preserve"> seek mission from the K</w:t>
      </w:r>
      <w:r w:rsidR="0008618B">
        <w:t xml:space="preserve">ing. </w:t>
      </w:r>
      <w:r w:rsidR="00F732BC">
        <w:t xml:space="preserve"> </w:t>
      </w:r>
      <w:r w:rsidR="004542F3">
        <w:t xml:space="preserve">To </w:t>
      </w:r>
      <w:r w:rsidR="00695CAF">
        <w:t xml:space="preserve">combat </w:t>
      </w:r>
      <w:r w:rsidR="004542F3">
        <w:t>this</w:t>
      </w:r>
      <w:r w:rsidR="00A52583">
        <w:t>,</w:t>
      </w:r>
      <w:r w:rsidR="004542F3">
        <w:t xml:space="preserve"> Henry</w:t>
      </w:r>
      <w:r w:rsidR="00A52583">
        <w:t xml:space="preserve">, introduced the </w:t>
      </w:r>
      <w:r w:rsidR="00A52583" w:rsidRPr="00A52583">
        <w:t>Constitutions of Clarendon</w:t>
      </w:r>
      <w:r w:rsidR="00A52583">
        <w:t xml:space="preserve"> which</w:t>
      </w:r>
      <w:r w:rsidR="00597F01">
        <w:t xml:space="preserve"> put restrictions on the clergy order and put Henry authority above that of the papacy</w:t>
      </w:r>
      <w:r w:rsidR="00485F85">
        <w:t xml:space="preserve"> when it came to decisions of excommunicating </w:t>
      </w:r>
      <w:r w:rsidR="007872FB">
        <w:t xml:space="preserve">citizens </w:t>
      </w:r>
      <w:r w:rsidR="007872FB">
        <w:lastRenderedPageBreak/>
        <w:t>and allowing members of the Clergy to go on papal missions.</w:t>
      </w:r>
      <w:r w:rsidR="004844FF">
        <w:rPr>
          <w:rStyle w:val="FootnoteReference"/>
        </w:rPr>
        <w:footnoteReference w:id="36"/>
      </w:r>
      <w:r w:rsidR="007872FB">
        <w:t xml:space="preserve"> T</w:t>
      </w:r>
      <w:r w:rsidR="00597F01">
        <w:t xml:space="preserve">he Clergy order had to </w:t>
      </w:r>
      <w:r w:rsidR="007872FB">
        <w:t>promise to abide by these legislations.</w:t>
      </w:r>
      <w:r w:rsidR="004844FF">
        <w:rPr>
          <w:rStyle w:val="FootnoteReference"/>
        </w:rPr>
        <w:footnoteReference w:id="37"/>
      </w:r>
      <w:r w:rsidR="007872FB">
        <w:t xml:space="preserve"> </w:t>
      </w:r>
    </w:p>
    <w:p w14:paraId="1E63E46F" w14:textId="5A06988E" w:rsidR="00AE2226" w:rsidRDefault="007872FB" w:rsidP="00A53C4E">
      <w:pPr>
        <w:spacing w:line="480" w:lineRule="auto"/>
      </w:pPr>
      <w:r>
        <w:t>Becket did not agree with the legislations that had been put in place by H</w:t>
      </w:r>
      <w:r w:rsidR="00A5410D">
        <w:t>enry and refused to abide by them. Henry asked Becket to resign as Archbishop of Canterbury, which Becket refused to do and instead sent himself into exile where he went to France and was taken in by the court of Louis.</w:t>
      </w:r>
      <w:r w:rsidR="00EC661B">
        <w:rPr>
          <w:rStyle w:val="FootnoteReference"/>
        </w:rPr>
        <w:footnoteReference w:id="38"/>
      </w:r>
      <w:r w:rsidR="00A5410D">
        <w:t xml:space="preserve"> This angered Henry who in retaliation had his son</w:t>
      </w:r>
      <w:r w:rsidR="002000A9">
        <w:t>, Henry the Younger,</w:t>
      </w:r>
      <w:r w:rsidR="00A5410D">
        <w:t xml:space="preserve"> crown</w:t>
      </w:r>
      <w:r w:rsidR="002000A9">
        <w:t xml:space="preserve">ed early. When Becket was later recalled to Britain, he excommunicated all the Bishops involved in the </w:t>
      </w:r>
      <w:r w:rsidR="00AE2226">
        <w:t xml:space="preserve">crowning of Young Henry. This aggravated Henry and resulted in the death of Becket. </w:t>
      </w:r>
    </w:p>
    <w:p w14:paraId="7B8068A3" w14:textId="0AD98295" w:rsidR="008A684D" w:rsidRDefault="00AE2226" w:rsidP="00A53C4E">
      <w:pPr>
        <w:spacing w:line="480" w:lineRule="auto"/>
      </w:pPr>
      <w:r>
        <w:t xml:space="preserve">The contrast provided by </w:t>
      </w:r>
      <w:r w:rsidR="002A5B2E">
        <w:t xml:space="preserve">the relationship with the Church and the three kings is that the two Henry’s </w:t>
      </w:r>
      <w:r w:rsidR="00F1294A">
        <w:t xml:space="preserve">tried to restrict the power of the Church during their reigns whereas King Stephen tried to restrict the power of the Church </w:t>
      </w:r>
      <w:r w:rsidR="00E30F9F">
        <w:t>but not effectively enough as he was still under the fluence of the church (this is shown by the fact he allowed himself to be flogged as repentance for the crimes he had committed against Bishops</w:t>
      </w:r>
      <w:r w:rsidR="00E30F9F">
        <w:rPr>
          <w:rStyle w:val="FootnoteReference"/>
        </w:rPr>
        <w:footnoteReference w:id="39"/>
      </w:r>
      <w:r w:rsidR="00E30F9F">
        <w:t>)</w:t>
      </w:r>
      <w:r w:rsidR="00BA4346">
        <w:t xml:space="preserve"> and the Church power was able to flourish through the Cistercian and Augustinian Orders</w:t>
      </w:r>
      <w:r w:rsidR="00BA4346">
        <w:rPr>
          <w:rStyle w:val="FootnoteReference"/>
        </w:rPr>
        <w:footnoteReference w:id="40"/>
      </w:r>
      <w:r w:rsidR="00BA4346">
        <w:t xml:space="preserve"> </w:t>
      </w:r>
    </w:p>
    <w:p w14:paraId="08CA9A74" w14:textId="19B1FD68" w:rsidR="00570F94" w:rsidRDefault="00AB2E19" w:rsidP="00A53C4E">
      <w:pPr>
        <w:spacing w:line="480" w:lineRule="auto"/>
      </w:pPr>
      <w:r>
        <w:t xml:space="preserve">During the </w:t>
      </w:r>
      <w:r w:rsidR="00562AFA">
        <w:t>reign of King Stephen, Stephen tried to maintain baron</w:t>
      </w:r>
      <w:r w:rsidR="00073211">
        <w:t>ial</w:t>
      </w:r>
      <w:r w:rsidR="00562AFA">
        <w:t xml:space="preserve"> support</w:t>
      </w:r>
      <w:r w:rsidR="005A7414">
        <w:t xml:space="preserve"> by giving them land and </w:t>
      </w:r>
      <w:r w:rsidR="00076A44">
        <w:t>by giving them positions of power within his government.</w:t>
      </w:r>
      <w:r w:rsidR="00A823FD">
        <w:rPr>
          <w:rStyle w:val="FootnoteReference"/>
        </w:rPr>
        <w:footnoteReference w:id="41"/>
      </w:r>
      <w:r w:rsidR="00076A44">
        <w:t xml:space="preserve"> This is not too dissimilar from the way Henry I and Henry II </w:t>
      </w:r>
      <w:r w:rsidR="00073211">
        <w:t>maintain baronial support. However, Stephen</w:t>
      </w:r>
      <w:r w:rsidR="00EC661B">
        <w:t>’s</w:t>
      </w:r>
      <w:r w:rsidR="00073211">
        <w:t xml:space="preserve"> flaw in </w:t>
      </w:r>
      <w:r w:rsidR="0080158F">
        <w:t xml:space="preserve">building up his government with barons </w:t>
      </w:r>
      <w:r w:rsidR="00817A0E">
        <w:t xml:space="preserve">to maintain support was that he got rid of the vast majority of Henry I </w:t>
      </w:r>
      <w:r w:rsidR="00817A0E">
        <w:lastRenderedPageBreak/>
        <w:t>ministers that knew how to run the country</w:t>
      </w:r>
      <w:r w:rsidR="00710275">
        <w:t>.</w:t>
      </w:r>
      <w:r w:rsidR="00EC661B">
        <w:rPr>
          <w:rStyle w:val="FootnoteReference"/>
        </w:rPr>
        <w:footnoteReference w:id="42"/>
      </w:r>
      <w:r w:rsidR="00710275">
        <w:t xml:space="preserve"> Having novice members</w:t>
      </w:r>
      <w:r w:rsidR="00BB2B20">
        <w:t xml:space="preserve"> to</w:t>
      </w:r>
      <w:r w:rsidR="00710275">
        <w:t xml:space="preserve"> run the go</w:t>
      </w:r>
      <w:r w:rsidR="00600D8C">
        <w:t>vernment worked well in Henry I</w:t>
      </w:r>
      <w:r w:rsidR="00710275">
        <w:t xml:space="preserve"> reign because these members did not necessarily c</w:t>
      </w:r>
      <w:r w:rsidR="00EC661B">
        <w:t>o</w:t>
      </w:r>
      <w:r w:rsidR="00710275">
        <w:t>me from aristocratic class but had instead worked their way up.</w:t>
      </w:r>
      <w:r w:rsidR="00EC661B">
        <w:rPr>
          <w:rStyle w:val="FootnoteReference"/>
        </w:rPr>
        <w:footnoteReference w:id="43"/>
      </w:r>
      <w:r w:rsidR="00710275">
        <w:t xml:space="preserve"> Stephen </w:t>
      </w:r>
      <w:r w:rsidR="000B0295">
        <w:t>government was based on the aristocratic class which was not beneficial as they were more concerned on gain themselves power rather than sustaining the nation.</w:t>
      </w:r>
      <w:r w:rsidR="00EC661B">
        <w:rPr>
          <w:rStyle w:val="FootnoteReference"/>
        </w:rPr>
        <w:footnoteReference w:id="44"/>
      </w:r>
      <w:r w:rsidR="000B0295">
        <w:t xml:space="preserve"> </w:t>
      </w:r>
      <w:r w:rsidR="00F5515A">
        <w:t xml:space="preserve">Another problem with Stephen reign compared to that of Henry I and Henry II, is his land distribution. </w:t>
      </w:r>
      <w:r w:rsidR="00BB0171">
        <w:t>Stephen proceeded to hand out land to maintain support, however, the land he was distributing tended to a</w:t>
      </w:r>
      <w:r w:rsidR="00BB2B20">
        <w:t>lready have</w:t>
      </w:r>
      <w:r w:rsidR="00BB0171">
        <w:t xml:space="preserve"> ownership</w:t>
      </w:r>
      <w:r w:rsidR="00BB2B20">
        <w:t xml:space="preserve">. </w:t>
      </w:r>
      <w:r w:rsidR="00BB0171">
        <w:t xml:space="preserve">This lead to </w:t>
      </w:r>
      <w:r w:rsidR="00BB2B20">
        <w:t xml:space="preserve">in-fighting between nobles over land distribution so during Stephen reign, Stephen not only had to deal with the ongoing civil war with Matilda but also had to deal with squabbling nobles. </w:t>
      </w:r>
    </w:p>
    <w:p w14:paraId="638DE16D" w14:textId="11FC6258" w:rsidR="00CA53B0" w:rsidRDefault="00CA53B0" w:rsidP="00A53C4E">
      <w:pPr>
        <w:spacing w:line="480" w:lineRule="auto"/>
      </w:pPr>
      <w:r>
        <w:t>Stephen government tried to work on the system put in place by Henry I</w:t>
      </w:r>
      <w:r w:rsidR="0011261D">
        <w:t xml:space="preserve">, which worked on </w:t>
      </w:r>
      <w:r w:rsidR="002E4AFB">
        <w:t>the existing Anglo-Saxon system which was put in place by Edward the Confessor.</w:t>
      </w:r>
      <w:r w:rsidR="002E4AFB">
        <w:rPr>
          <w:rStyle w:val="FootnoteReference"/>
        </w:rPr>
        <w:footnoteReference w:id="45"/>
      </w:r>
      <w:r w:rsidR="002E4AFB">
        <w:t xml:space="preserve"> </w:t>
      </w:r>
      <w:r w:rsidR="00E90622">
        <w:t>Henry I</w:t>
      </w:r>
      <w:r w:rsidR="00635894">
        <w:t>,</w:t>
      </w:r>
      <w:r w:rsidR="00E90622">
        <w:t xml:space="preserve"> expand</w:t>
      </w:r>
      <w:r w:rsidR="00635894">
        <w:t>ed</w:t>
      </w:r>
      <w:r w:rsidR="00E90622">
        <w:t xml:space="preserve"> and adapted on</w:t>
      </w:r>
      <w:r w:rsidR="002E4AFB">
        <w:t xml:space="preserve"> this system to produce </w:t>
      </w:r>
      <w:r w:rsidR="00E90622">
        <w:t xml:space="preserve">a reign of peace and stability. </w:t>
      </w:r>
      <w:r w:rsidR="00E90622">
        <w:rPr>
          <w:rStyle w:val="FootnoteReference"/>
        </w:rPr>
        <w:footnoteReference w:id="46"/>
      </w:r>
      <w:r w:rsidR="00635894">
        <w:t xml:space="preserve"> This is different to Stephen reign as Stephen reign was one of political unrest and instability. </w:t>
      </w:r>
    </w:p>
    <w:p w14:paraId="1A557461" w14:textId="0EAF4F5E" w:rsidR="006C6A8B" w:rsidRDefault="006C6A8B" w:rsidP="00A53C4E">
      <w:pPr>
        <w:spacing w:line="480" w:lineRule="auto"/>
      </w:pPr>
      <w:r>
        <w:t xml:space="preserve">In conclusion, Stephen’s reign compared to that of his predecessor and successor can display similarities in the way which they all tried to obtain more power over the Church and maintain political support. However, it is prominent by the research done in this essay, that King Stephen </w:t>
      </w:r>
      <w:r w:rsidR="003F6EAE">
        <w:t>was the weakest leader to rule compared to that of his predecessor and successor. This is because Stephen appears to be under the control of needing the support of the Church and needing the support of barons. Whereas this is not entirely the</w:t>
      </w:r>
      <w:r w:rsidR="00627095">
        <w:t xml:space="preserve"> case for Henry I and Henry II as they did not bow</w:t>
      </w:r>
      <w:r w:rsidR="00FE7566">
        <w:t xml:space="preserve"> to the demands for the Church,</w:t>
      </w:r>
      <w:r w:rsidR="00627095">
        <w:t xml:space="preserve"> whereas, Stephen did by taking floggings. </w:t>
      </w:r>
      <w:r w:rsidR="003F6EAE">
        <w:t xml:space="preserve"> </w:t>
      </w:r>
      <w:r>
        <w:t xml:space="preserve">    </w:t>
      </w:r>
    </w:p>
    <w:p w14:paraId="2B523C05" w14:textId="7B50D6F7" w:rsidR="004B0A26" w:rsidRDefault="004B0A26" w:rsidP="00A53C4E">
      <w:pPr>
        <w:spacing w:line="480" w:lineRule="auto"/>
      </w:pPr>
    </w:p>
    <w:p w14:paraId="70123854" w14:textId="55373838" w:rsidR="00570F94" w:rsidRPr="001A36D7" w:rsidRDefault="00570F94" w:rsidP="00A53C4E">
      <w:pPr>
        <w:spacing w:line="480" w:lineRule="auto"/>
        <w:rPr>
          <w:u w:val="single"/>
        </w:rPr>
      </w:pPr>
      <w:r w:rsidRPr="001A36D7">
        <w:rPr>
          <w:u w:val="single"/>
        </w:rPr>
        <w:t xml:space="preserve">Bibliography </w:t>
      </w:r>
    </w:p>
    <w:p w14:paraId="30B9F4A8" w14:textId="785277D1" w:rsidR="001A36D7" w:rsidRDefault="001A36D7" w:rsidP="00A53C4E">
      <w:pPr>
        <w:spacing w:line="480" w:lineRule="auto"/>
        <w:rPr>
          <w:u w:val="single"/>
        </w:rPr>
      </w:pPr>
      <w:r w:rsidRPr="001A36D7">
        <w:rPr>
          <w:u w:val="single"/>
        </w:rPr>
        <w:t xml:space="preserve">Primary Sources </w:t>
      </w:r>
    </w:p>
    <w:p w14:paraId="0ECB9214" w14:textId="29C6040E" w:rsidR="001A36D7" w:rsidRDefault="001A36D7" w:rsidP="00A53C4E">
      <w:pPr>
        <w:spacing w:line="480" w:lineRule="auto"/>
      </w:pPr>
      <w:r w:rsidRPr="001A36D7">
        <w:t xml:space="preserve">Fordham University, ‘Charter of Liberties of Henry I, 1100’, Medieval Sourcebook (1996) [online] Available   </w:t>
      </w:r>
      <w:hyperlink r:id="rId7" w:history="1">
        <w:r w:rsidRPr="001A36D7">
          <w:rPr>
            <w:rStyle w:val="Hyperlink"/>
            <w:u w:val="none"/>
          </w:rPr>
          <w:t>https://sourcebooks.fordham.edu/Halsall/source/hcoronation.asp</w:t>
        </w:r>
      </w:hyperlink>
      <w:r>
        <w:t xml:space="preserve"> </w:t>
      </w:r>
      <w:r w:rsidR="00EC661B">
        <w:br/>
      </w:r>
      <w:r>
        <w:t xml:space="preserve">[accessed: </w:t>
      </w:r>
      <w:r w:rsidR="00B067C2">
        <w:t xml:space="preserve">17/03/2018] </w:t>
      </w:r>
    </w:p>
    <w:p w14:paraId="2C9643DC" w14:textId="11F5DC54" w:rsidR="004844FF" w:rsidRDefault="004844FF" w:rsidP="00A53C4E">
      <w:pPr>
        <w:spacing w:line="480" w:lineRule="auto"/>
      </w:pPr>
      <w:r w:rsidRPr="004844FF">
        <w:t xml:space="preserve">Fordham University, ‘Constitutions of Clarendon, 1164’ Medieval Sourcebook (1996) [online] Available </w:t>
      </w:r>
      <w:hyperlink r:id="rId8" w:history="1">
        <w:r w:rsidRPr="004844FF">
          <w:rPr>
            <w:rStyle w:val="Hyperlink"/>
          </w:rPr>
          <w:t>https://sourcebooks.fordham.edu/Halsall/source/cclarendon.asp</w:t>
        </w:r>
      </w:hyperlink>
      <w:r>
        <w:t xml:space="preserve"> [accessed: 19/03/2018] </w:t>
      </w:r>
    </w:p>
    <w:p w14:paraId="1709E016" w14:textId="7F564E41" w:rsidR="00EC661B" w:rsidRPr="001A36D7" w:rsidRDefault="00EC661B" w:rsidP="00A53C4E">
      <w:pPr>
        <w:spacing w:line="480" w:lineRule="auto"/>
      </w:pPr>
      <w:r w:rsidRPr="00EC661B">
        <w:t xml:space="preserve">Fordham University, ‘Roger of Hoveden: The Chronicle: On the Disputes between Thomas Becket, Archbishop of Canterbury and King Henry II of England: 1164’ Medieval Sourcebook, (1998) [online] Available  </w:t>
      </w:r>
      <w:hyperlink r:id="rId9" w:history="1">
        <w:r w:rsidRPr="008050D2">
          <w:rPr>
            <w:rStyle w:val="Hyperlink"/>
          </w:rPr>
          <w:t>https://sourcebooks.fordham.edu/Halsall/source/hoveden-becket.asp#1172a</w:t>
        </w:r>
      </w:hyperlink>
      <w:r>
        <w:t xml:space="preserve"> </w:t>
      </w:r>
      <w:r>
        <w:br/>
        <w:t xml:space="preserve">[accessed: 18/03/2018] </w:t>
      </w:r>
    </w:p>
    <w:p w14:paraId="31F24CDF" w14:textId="66517CFD" w:rsidR="00A01283" w:rsidRDefault="00A01283" w:rsidP="00A53C4E">
      <w:pPr>
        <w:spacing w:line="480" w:lineRule="auto"/>
        <w:rPr>
          <w:u w:val="single"/>
        </w:rPr>
      </w:pPr>
      <w:r>
        <w:rPr>
          <w:u w:val="single"/>
        </w:rPr>
        <w:t xml:space="preserve">Secondary Sources </w:t>
      </w:r>
    </w:p>
    <w:p w14:paraId="5F34EE3E" w14:textId="36FA06F2" w:rsidR="00240DB1" w:rsidRPr="00240DB1" w:rsidRDefault="00240DB1" w:rsidP="00A53C4E">
      <w:pPr>
        <w:spacing w:line="480" w:lineRule="auto"/>
      </w:pPr>
      <w:r w:rsidRPr="00240DB1">
        <w:t>Chibnall,</w:t>
      </w:r>
      <w:r>
        <w:t xml:space="preserve"> M,</w:t>
      </w:r>
      <w:r w:rsidRPr="00240DB1">
        <w:t xml:space="preserve"> </w:t>
      </w:r>
      <w:r w:rsidRPr="00240DB1">
        <w:rPr>
          <w:i/>
        </w:rPr>
        <w:t xml:space="preserve">The Empress Matilda Queen Consort, Queen Mother and Lady of the English </w:t>
      </w:r>
      <w:r w:rsidRPr="00240DB1">
        <w:t>(Oxford: Blackwell Publishers 1993)</w:t>
      </w:r>
    </w:p>
    <w:p w14:paraId="3A3B28E7" w14:textId="122F0C29" w:rsidR="004C575D" w:rsidRDefault="004C575D" w:rsidP="00A53C4E">
      <w:pPr>
        <w:spacing w:line="480" w:lineRule="auto"/>
      </w:pPr>
      <w:r w:rsidRPr="004C575D">
        <w:t xml:space="preserve">Barlow, </w:t>
      </w:r>
      <w:r w:rsidR="008F1C4D">
        <w:t>F</w:t>
      </w:r>
      <w:r>
        <w:t>,</w:t>
      </w:r>
      <w:r w:rsidRPr="004C575D">
        <w:t xml:space="preserve"> </w:t>
      </w:r>
      <w:r w:rsidRPr="004C575D">
        <w:rPr>
          <w:i/>
        </w:rPr>
        <w:t xml:space="preserve">Thomas Becket </w:t>
      </w:r>
      <w:r w:rsidRPr="004C575D">
        <w:t>(London: Phoenix Press 2000)</w:t>
      </w:r>
    </w:p>
    <w:p w14:paraId="3C5633F8" w14:textId="7819147C" w:rsidR="005F481C" w:rsidRPr="004C575D" w:rsidRDefault="005F481C" w:rsidP="00A53C4E">
      <w:pPr>
        <w:spacing w:line="480" w:lineRule="auto"/>
      </w:pPr>
      <w:r w:rsidRPr="005F481C">
        <w:t>Bartlett,</w:t>
      </w:r>
      <w:r>
        <w:t xml:space="preserve"> R,</w:t>
      </w:r>
      <w:r w:rsidRPr="005F481C">
        <w:t xml:space="preserve"> </w:t>
      </w:r>
      <w:r w:rsidRPr="005F481C">
        <w:rPr>
          <w:i/>
        </w:rPr>
        <w:t xml:space="preserve">England Under the Norman and Angevin Kings 1075-1225 </w:t>
      </w:r>
      <w:r w:rsidRPr="005F481C">
        <w:t>(Oxford: Oxford University Press 2000)</w:t>
      </w:r>
    </w:p>
    <w:p w14:paraId="1C2BE972" w14:textId="51021308" w:rsidR="009440F9" w:rsidRDefault="009440F9" w:rsidP="00A53C4E">
      <w:pPr>
        <w:spacing w:line="480" w:lineRule="auto"/>
      </w:pPr>
      <w:r w:rsidRPr="009440F9">
        <w:t>Cronne,</w:t>
      </w:r>
      <w:r w:rsidR="001A4FFE">
        <w:t xml:space="preserve"> </w:t>
      </w:r>
      <w:r w:rsidR="008F1C4D">
        <w:t>H. A</w:t>
      </w:r>
      <w:r w:rsidR="001A4FFE">
        <w:t>,</w:t>
      </w:r>
      <w:r w:rsidRPr="009440F9">
        <w:t xml:space="preserve"> </w:t>
      </w:r>
      <w:r w:rsidRPr="009440F9">
        <w:rPr>
          <w:i/>
        </w:rPr>
        <w:t xml:space="preserve">The Reign of Stephen 1135-54: Anarchy in England </w:t>
      </w:r>
      <w:r w:rsidRPr="009440F9">
        <w:t>(London: Weidenfeld and Nicolson 1970</w:t>
      </w:r>
      <w:r w:rsidR="001A4FFE">
        <w:t xml:space="preserve">) </w:t>
      </w:r>
    </w:p>
    <w:p w14:paraId="57A10640" w14:textId="24BF12E1" w:rsidR="003B07F0" w:rsidRDefault="003B07F0" w:rsidP="00A53C4E">
      <w:pPr>
        <w:spacing w:line="480" w:lineRule="auto"/>
      </w:pPr>
      <w:r w:rsidRPr="003B07F0">
        <w:t xml:space="preserve">Green, </w:t>
      </w:r>
      <w:r>
        <w:t xml:space="preserve">J. A, </w:t>
      </w:r>
      <w:r w:rsidRPr="003B07F0">
        <w:rPr>
          <w:i/>
        </w:rPr>
        <w:t xml:space="preserve">Henry I King of England and Duke of Normandy </w:t>
      </w:r>
      <w:r w:rsidRPr="003B07F0">
        <w:t>(Cambridge: Cambridge University Press 2006)</w:t>
      </w:r>
    </w:p>
    <w:p w14:paraId="37C355CA" w14:textId="4298C3F9" w:rsidR="005F7534" w:rsidRDefault="005F7534" w:rsidP="00A53C4E">
      <w:pPr>
        <w:spacing w:line="480" w:lineRule="auto"/>
      </w:pPr>
      <w:r w:rsidRPr="005F7534">
        <w:lastRenderedPageBreak/>
        <w:t>Holdsworth,</w:t>
      </w:r>
      <w:r>
        <w:t xml:space="preserve"> </w:t>
      </w:r>
      <w:r w:rsidR="008F1C4D">
        <w:t>C</w:t>
      </w:r>
      <w:r>
        <w:t>,</w:t>
      </w:r>
      <w:r w:rsidRPr="005F7534">
        <w:t xml:space="preserve"> </w:t>
      </w:r>
      <w:r w:rsidRPr="005F7534">
        <w:rPr>
          <w:i/>
        </w:rPr>
        <w:t xml:space="preserve">The Anarchy of King Stephen’s Regin, </w:t>
      </w:r>
      <w:r w:rsidRPr="005F7534">
        <w:t>ed. Edmund King (Bath: Clarendon Press 1994)</w:t>
      </w:r>
    </w:p>
    <w:p w14:paraId="3C95A3E1" w14:textId="4811E20E" w:rsidR="002E4AFB" w:rsidRDefault="002E4AFB" w:rsidP="00A53C4E">
      <w:pPr>
        <w:spacing w:line="480" w:lineRule="auto"/>
      </w:pPr>
      <w:r w:rsidRPr="002E4AFB">
        <w:t>Hollister, C. Warren</w:t>
      </w:r>
      <w:r>
        <w:t>,</w:t>
      </w:r>
      <w:r w:rsidRPr="002E4AFB">
        <w:t xml:space="preserve"> </w:t>
      </w:r>
      <w:r w:rsidRPr="002E4AFB">
        <w:rPr>
          <w:i/>
        </w:rPr>
        <w:t xml:space="preserve">Henry I </w:t>
      </w:r>
      <w:r w:rsidRPr="002E4AFB">
        <w:t>(H</w:t>
      </w:r>
      <w:r>
        <w:t>ampshire: Yale University Press</w:t>
      </w:r>
      <w:r w:rsidRPr="002E4AFB">
        <w:t xml:space="preserve"> 2003)</w:t>
      </w:r>
    </w:p>
    <w:p w14:paraId="7119FE89" w14:textId="22216132" w:rsidR="008F1C4D" w:rsidRDefault="008F1C4D" w:rsidP="00A53C4E">
      <w:pPr>
        <w:spacing w:line="480" w:lineRule="auto"/>
      </w:pPr>
      <w:r w:rsidRPr="008F1C4D">
        <w:t>Hollister, C. Warren</w:t>
      </w:r>
      <w:r>
        <w:t>,</w:t>
      </w:r>
      <w:r w:rsidRPr="008F1C4D">
        <w:rPr>
          <w:i/>
        </w:rPr>
        <w:t xml:space="preserve"> Monarchy, Magnates and Institutions in the Anglo-Norman World </w:t>
      </w:r>
      <w:r w:rsidRPr="008F1C4D">
        <w:t>(London: The Hambledon Press 1986)</w:t>
      </w:r>
    </w:p>
    <w:p w14:paraId="744BD766" w14:textId="0A710348" w:rsidR="008A501A" w:rsidRDefault="008A501A" w:rsidP="00A53C4E">
      <w:pPr>
        <w:spacing w:line="480" w:lineRule="auto"/>
      </w:pPr>
      <w:r w:rsidRPr="008A501A">
        <w:t>Kealey, E.</w:t>
      </w:r>
      <w:r w:rsidR="008F1C4D">
        <w:t xml:space="preserve"> J</w:t>
      </w:r>
      <w:r>
        <w:t>,</w:t>
      </w:r>
      <w:r w:rsidRPr="008A501A">
        <w:t xml:space="preserve"> ‘King Stephen: Government and Anarchy’ </w:t>
      </w:r>
      <w:r w:rsidRPr="008A501A">
        <w:rPr>
          <w:i/>
          <w:iCs/>
        </w:rPr>
        <w:t xml:space="preserve">Albion: A Quarterly Journal Concerned with British Studies, </w:t>
      </w:r>
      <w:r>
        <w:rPr>
          <w:iCs/>
        </w:rPr>
        <w:t xml:space="preserve">6, 3, (1974) 201- 217 [online] Available  </w:t>
      </w:r>
      <w:hyperlink r:id="rId10" w:history="1">
        <w:r w:rsidRPr="008050D2">
          <w:rPr>
            <w:rStyle w:val="Hyperlink"/>
          </w:rPr>
          <w:t>http://www.jstor.org.ezproxy.uwtsd.ac.uk/stable/4048242?sid=primo&amp;origin=crossref</w:t>
        </w:r>
      </w:hyperlink>
      <w:r>
        <w:rPr>
          <w:iCs/>
        </w:rPr>
        <w:br/>
        <w:t>[accessed: 01/03/2018]</w:t>
      </w:r>
    </w:p>
    <w:p w14:paraId="14F668EE" w14:textId="4CE90B23" w:rsidR="00570F94" w:rsidRDefault="00570F94" w:rsidP="00A53C4E">
      <w:pPr>
        <w:spacing w:line="480" w:lineRule="auto"/>
      </w:pPr>
      <w:r w:rsidRPr="00570F94">
        <w:t xml:space="preserve">Stephens, </w:t>
      </w:r>
      <w:r>
        <w:t>W.R.W,</w:t>
      </w:r>
      <w:r w:rsidRPr="00570F94">
        <w:t xml:space="preserve"> </w:t>
      </w:r>
      <w:r w:rsidRPr="00570F94">
        <w:rPr>
          <w:i/>
        </w:rPr>
        <w:t xml:space="preserve">The English Church From the Norman Conquest to the Accession of Edward I </w:t>
      </w:r>
      <w:r w:rsidRPr="00570F94">
        <w:t>(London: Macmillan and Co. 1909)</w:t>
      </w:r>
    </w:p>
    <w:p w14:paraId="5E595B79" w14:textId="46184BDA" w:rsidR="00F41DB5" w:rsidRPr="000E082E" w:rsidRDefault="00F41DB5" w:rsidP="00A53C4E">
      <w:pPr>
        <w:spacing w:line="480" w:lineRule="auto"/>
      </w:pPr>
      <w:r w:rsidRPr="00F41DB5">
        <w:t>Warren,</w:t>
      </w:r>
      <w:r>
        <w:t xml:space="preserve"> </w:t>
      </w:r>
      <w:r w:rsidR="008F1C4D">
        <w:t>W. L</w:t>
      </w:r>
      <w:r>
        <w:t>,</w:t>
      </w:r>
      <w:r w:rsidRPr="00F41DB5">
        <w:t xml:space="preserve"> </w:t>
      </w:r>
      <w:r w:rsidRPr="00F41DB5">
        <w:rPr>
          <w:i/>
        </w:rPr>
        <w:t xml:space="preserve">Henry II </w:t>
      </w:r>
      <w:r w:rsidRPr="00F41DB5">
        <w:t xml:space="preserve">(California: University of California Press 1977)  </w:t>
      </w:r>
    </w:p>
    <w:sectPr w:rsidR="00F41DB5" w:rsidRPr="000E08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FC00F" w14:textId="77777777" w:rsidR="008A4FD0" w:rsidRDefault="008A4FD0" w:rsidP="00F366D8">
      <w:pPr>
        <w:spacing w:after="0" w:line="240" w:lineRule="auto"/>
      </w:pPr>
      <w:r>
        <w:separator/>
      </w:r>
    </w:p>
  </w:endnote>
  <w:endnote w:type="continuationSeparator" w:id="0">
    <w:p w14:paraId="10A1050F" w14:textId="77777777" w:rsidR="008A4FD0" w:rsidRDefault="008A4FD0" w:rsidP="00F36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32140" w14:textId="77777777" w:rsidR="008A4FD0" w:rsidRDefault="008A4FD0" w:rsidP="00F366D8">
      <w:pPr>
        <w:spacing w:after="0" w:line="240" w:lineRule="auto"/>
      </w:pPr>
      <w:r>
        <w:separator/>
      </w:r>
    </w:p>
  </w:footnote>
  <w:footnote w:type="continuationSeparator" w:id="0">
    <w:p w14:paraId="23891F04" w14:textId="77777777" w:rsidR="008A4FD0" w:rsidRDefault="008A4FD0" w:rsidP="00F366D8">
      <w:pPr>
        <w:spacing w:after="0" w:line="240" w:lineRule="auto"/>
      </w:pPr>
      <w:r>
        <w:continuationSeparator/>
      </w:r>
    </w:p>
  </w:footnote>
  <w:footnote w:id="1">
    <w:p w14:paraId="3DBEAFFF" w14:textId="11DCE997" w:rsidR="002C16A3" w:rsidRPr="00E20440" w:rsidRDefault="002C16A3">
      <w:pPr>
        <w:pStyle w:val="FootnoteText"/>
      </w:pPr>
      <w:r>
        <w:rPr>
          <w:rStyle w:val="FootnoteReference"/>
        </w:rPr>
        <w:footnoteRef/>
      </w:r>
      <w:r>
        <w:t xml:space="preserve"> </w:t>
      </w:r>
      <w:bookmarkStart w:id="2" w:name="_Hlk509345442"/>
      <w:r>
        <w:t xml:space="preserve">Robert Bartlett, </w:t>
      </w:r>
      <w:r>
        <w:rPr>
          <w:i/>
        </w:rPr>
        <w:t xml:space="preserve">England Under the Norman and Angevin Kings 1075-1225 </w:t>
      </w:r>
      <w:r>
        <w:t xml:space="preserve">(Oxford: Oxford University Press 2000) </w:t>
      </w:r>
      <w:bookmarkEnd w:id="2"/>
      <w:r>
        <w:t xml:space="preserve">p.10 </w:t>
      </w:r>
    </w:p>
  </w:footnote>
  <w:footnote w:id="2">
    <w:p w14:paraId="35C29FC9" w14:textId="2A3DADBB" w:rsidR="002C16A3" w:rsidRDefault="002C16A3">
      <w:pPr>
        <w:pStyle w:val="FootnoteText"/>
      </w:pPr>
      <w:r>
        <w:rPr>
          <w:rStyle w:val="FootnoteReference"/>
        </w:rPr>
        <w:footnoteRef/>
      </w:r>
      <w:r>
        <w:t xml:space="preserve"> Ibid </w:t>
      </w:r>
    </w:p>
  </w:footnote>
  <w:footnote w:id="3">
    <w:p w14:paraId="736F8E2F" w14:textId="01F4D1AE" w:rsidR="002C16A3" w:rsidRPr="008F1C4D" w:rsidRDefault="002C16A3">
      <w:pPr>
        <w:pStyle w:val="FootnoteText"/>
      </w:pPr>
      <w:r>
        <w:rPr>
          <w:rStyle w:val="FootnoteReference"/>
        </w:rPr>
        <w:footnoteRef/>
      </w:r>
      <w:r>
        <w:t xml:space="preserve"> </w:t>
      </w:r>
      <w:bookmarkStart w:id="3" w:name="_Hlk509343917"/>
      <w:r>
        <w:t>C. Warren Hollister,</w:t>
      </w:r>
      <w:r>
        <w:rPr>
          <w:i/>
        </w:rPr>
        <w:t xml:space="preserve"> Monarchy, Magnates and Institutions in the Anglo-Norman World </w:t>
      </w:r>
      <w:r>
        <w:t xml:space="preserve">(London: The Hambledon Press 1986) </w:t>
      </w:r>
      <w:bookmarkEnd w:id="3"/>
      <w:r>
        <w:t>p.145</w:t>
      </w:r>
    </w:p>
  </w:footnote>
  <w:footnote w:id="4">
    <w:p w14:paraId="2697FE28" w14:textId="7353D8A5" w:rsidR="002C16A3" w:rsidRDefault="002C16A3">
      <w:pPr>
        <w:pStyle w:val="FootnoteText"/>
      </w:pPr>
      <w:r>
        <w:rPr>
          <w:rStyle w:val="FootnoteReference"/>
        </w:rPr>
        <w:footnoteRef/>
      </w:r>
      <w:r>
        <w:t xml:space="preserve"> </w:t>
      </w:r>
      <w:r w:rsidRPr="004C17F4">
        <w:t xml:space="preserve">W.R.W. Stephens, </w:t>
      </w:r>
      <w:r w:rsidRPr="004C17F4">
        <w:rPr>
          <w:i/>
        </w:rPr>
        <w:t xml:space="preserve">The English Church From the Norman Conquest to the Accession of Edward I </w:t>
      </w:r>
      <w:r w:rsidRPr="004C17F4">
        <w:t>(London: Macmillan and Co. 1909)</w:t>
      </w:r>
      <w:r w:rsidRPr="004C17F4">
        <w:rPr>
          <w:i/>
        </w:rPr>
        <w:t xml:space="preserve"> </w:t>
      </w:r>
      <w:r w:rsidRPr="004C17F4">
        <w:t>p.144</w:t>
      </w:r>
    </w:p>
  </w:footnote>
  <w:footnote w:id="5">
    <w:p w14:paraId="68FB0471" w14:textId="1D62CF26" w:rsidR="002C16A3" w:rsidRPr="008A501A" w:rsidRDefault="002C16A3">
      <w:pPr>
        <w:pStyle w:val="FootnoteText"/>
      </w:pPr>
      <w:r>
        <w:rPr>
          <w:rStyle w:val="FootnoteReference"/>
        </w:rPr>
        <w:footnoteRef/>
      </w:r>
      <w:r>
        <w:t xml:space="preserve"> </w:t>
      </w:r>
      <w:bookmarkStart w:id="4" w:name="_Hlk509340450"/>
      <w:bookmarkStart w:id="5" w:name="_Hlk509340902"/>
      <w:r w:rsidRPr="003367AE">
        <w:t>E</w:t>
      </w:r>
      <w:r>
        <w:t>.</w:t>
      </w:r>
      <w:r w:rsidRPr="003367AE">
        <w:t xml:space="preserve"> J. Kealey</w:t>
      </w:r>
      <w:r>
        <w:t>, ‘</w:t>
      </w:r>
      <w:r w:rsidRPr="003367AE">
        <w:t>King Stephen: Government and Anarchy</w:t>
      </w:r>
      <w:r>
        <w:t xml:space="preserve">’ </w:t>
      </w:r>
      <w:r w:rsidRPr="008A501A">
        <w:rPr>
          <w:i/>
          <w:iCs/>
        </w:rPr>
        <w:t>Albion: A Quarterly Journal Concerned with British Studies</w:t>
      </w:r>
      <w:r>
        <w:rPr>
          <w:i/>
          <w:iCs/>
        </w:rPr>
        <w:t xml:space="preserve">, </w:t>
      </w:r>
      <w:r>
        <w:rPr>
          <w:iCs/>
        </w:rPr>
        <w:t xml:space="preserve">6, 3, (1974) 201- 217 </w:t>
      </w:r>
      <w:bookmarkEnd w:id="5"/>
      <w:r>
        <w:rPr>
          <w:iCs/>
        </w:rPr>
        <w:t>p. 203</w:t>
      </w:r>
      <w:bookmarkEnd w:id="4"/>
    </w:p>
  </w:footnote>
  <w:footnote w:id="6">
    <w:p w14:paraId="45BC107F" w14:textId="03B7D6AD" w:rsidR="002C16A3" w:rsidRDefault="002C16A3">
      <w:pPr>
        <w:pStyle w:val="FootnoteText"/>
      </w:pPr>
      <w:r>
        <w:rPr>
          <w:rStyle w:val="FootnoteReference"/>
        </w:rPr>
        <w:footnoteRef/>
      </w:r>
      <w:r>
        <w:t xml:space="preserve"> </w:t>
      </w:r>
      <w:r w:rsidRPr="00AA6E82">
        <w:t xml:space="preserve">Bartlett, </w:t>
      </w:r>
      <w:r w:rsidRPr="00AA6E82">
        <w:rPr>
          <w:i/>
        </w:rPr>
        <w:t xml:space="preserve">England Under the Norman and Angevin Kings 1075-1225 </w:t>
      </w:r>
      <w:r w:rsidRPr="00AA6E82">
        <w:t>(Oxford: Oxford University Press 2000)</w:t>
      </w:r>
      <w:r>
        <w:t xml:space="preserve"> p. 123 </w:t>
      </w:r>
    </w:p>
  </w:footnote>
  <w:footnote w:id="7">
    <w:p w14:paraId="3D5C4BF4" w14:textId="0C01E76D" w:rsidR="002C16A3" w:rsidRPr="00BA1A75" w:rsidRDefault="002C16A3">
      <w:pPr>
        <w:pStyle w:val="FootnoteText"/>
      </w:pPr>
      <w:r>
        <w:rPr>
          <w:rStyle w:val="FootnoteReference"/>
        </w:rPr>
        <w:footnoteRef/>
      </w:r>
      <w:r>
        <w:t xml:space="preserve"> </w:t>
      </w:r>
      <w:bookmarkStart w:id="6" w:name="_Hlk509351873"/>
      <w:r>
        <w:t xml:space="preserve">J. A. Green, </w:t>
      </w:r>
      <w:r>
        <w:rPr>
          <w:i/>
        </w:rPr>
        <w:t xml:space="preserve">Henry I King of England and Duke of Normandy </w:t>
      </w:r>
      <w:r>
        <w:t xml:space="preserve">(Cambridge: Cambridge University Press 2006) </w:t>
      </w:r>
      <w:bookmarkEnd w:id="6"/>
      <w:r>
        <w:t>p. 42-43</w:t>
      </w:r>
    </w:p>
  </w:footnote>
  <w:footnote w:id="8">
    <w:p w14:paraId="422F2D87" w14:textId="10F03D52" w:rsidR="002C16A3" w:rsidRDefault="002C16A3">
      <w:pPr>
        <w:pStyle w:val="FootnoteText"/>
      </w:pPr>
      <w:r>
        <w:rPr>
          <w:rStyle w:val="FootnoteReference"/>
        </w:rPr>
        <w:footnoteRef/>
      </w:r>
      <w:r>
        <w:t xml:space="preserve"> </w:t>
      </w:r>
      <w:r w:rsidRPr="00BA1A75">
        <w:t xml:space="preserve">W. L. Warren, </w:t>
      </w:r>
      <w:r w:rsidRPr="00BA1A75">
        <w:rPr>
          <w:i/>
        </w:rPr>
        <w:t xml:space="preserve">Henry II </w:t>
      </w:r>
      <w:r w:rsidRPr="00BA1A75">
        <w:t>(California: University of California Press 1977)</w:t>
      </w:r>
      <w:r>
        <w:t xml:space="preserve"> p.105-106</w:t>
      </w:r>
    </w:p>
  </w:footnote>
  <w:footnote w:id="9">
    <w:p w14:paraId="0FFCCD90" w14:textId="5D2477C5" w:rsidR="002C16A3" w:rsidRDefault="002C16A3">
      <w:pPr>
        <w:pStyle w:val="FootnoteText"/>
      </w:pPr>
      <w:r>
        <w:rPr>
          <w:rStyle w:val="FootnoteReference"/>
        </w:rPr>
        <w:footnoteRef/>
      </w:r>
      <w:r>
        <w:t xml:space="preserve"> </w:t>
      </w:r>
      <w:r w:rsidRPr="005E59F1">
        <w:t xml:space="preserve">Warren, </w:t>
      </w:r>
      <w:r w:rsidRPr="005E59F1">
        <w:rPr>
          <w:i/>
        </w:rPr>
        <w:t xml:space="preserve">Henry II </w:t>
      </w:r>
      <w:r w:rsidRPr="005E59F1">
        <w:t>(California: University of California Press 1977)</w:t>
      </w:r>
      <w:r>
        <w:t xml:space="preserve"> p. 204-205  </w:t>
      </w:r>
    </w:p>
  </w:footnote>
  <w:footnote w:id="10">
    <w:p w14:paraId="39B37FA8" w14:textId="7952ED57" w:rsidR="002C16A3" w:rsidRDefault="002C16A3">
      <w:pPr>
        <w:pStyle w:val="FootnoteText"/>
      </w:pPr>
      <w:r>
        <w:rPr>
          <w:rStyle w:val="FootnoteReference"/>
        </w:rPr>
        <w:footnoteRef/>
      </w:r>
      <w:r>
        <w:t xml:space="preserve"> </w:t>
      </w:r>
      <w:r w:rsidRPr="000F28C2">
        <w:t xml:space="preserve">Warren, </w:t>
      </w:r>
      <w:r w:rsidRPr="000F28C2">
        <w:rPr>
          <w:i/>
        </w:rPr>
        <w:t xml:space="preserve">Henry II </w:t>
      </w:r>
      <w:r w:rsidRPr="000F28C2">
        <w:t>(California: University of California Press 1977</w:t>
      </w:r>
      <w:r>
        <w:t>) p. 121</w:t>
      </w:r>
    </w:p>
  </w:footnote>
  <w:footnote w:id="11">
    <w:p w14:paraId="6DFEFDA7" w14:textId="5A246CF7" w:rsidR="002C16A3" w:rsidRDefault="002C16A3">
      <w:pPr>
        <w:pStyle w:val="FootnoteText"/>
      </w:pPr>
      <w:r>
        <w:rPr>
          <w:rStyle w:val="FootnoteReference"/>
        </w:rPr>
        <w:footnoteRef/>
      </w:r>
      <w:r>
        <w:t xml:space="preserve"> Ibid </w:t>
      </w:r>
    </w:p>
  </w:footnote>
  <w:footnote w:id="12">
    <w:p w14:paraId="3ACA8682" w14:textId="03E4E872" w:rsidR="002C16A3" w:rsidRPr="005F7C8E" w:rsidRDefault="002C16A3">
      <w:pPr>
        <w:pStyle w:val="FootnoteText"/>
      </w:pPr>
      <w:r>
        <w:rPr>
          <w:rStyle w:val="FootnoteReference"/>
        </w:rPr>
        <w:footnoteRef/>
      </w:r>
      <w:r>
        <w:t xml:space="preserve"> </w:t>
      </w:r>
      <w:bookmarkStart w:id="7" w:name="_Hlk509352728"/>
      <w:r>
        <w:t xml:space="preserve">Marjorie Chibnall, </w:t>
      </w:r>
      <w:r w:rsidR="005F7C8E">
        <w:rPr>
          <w:i/>
        </w:rPr>
        <w:t xml:space="preserve">The Empress Matilda Queen Consort, Queen Mother and Lady of the English </w:t>
      </w:r>
      <w:r w:rsidR="005F7C8E">
        <w:t xml:space="preserve">(Oxford: Blackwell Publishers 1993) </w:t>
      </w:r>
      <w:bookmarkEnd w:id="7"/>
      <w:r w:rsidR="005F7C8E">
        <w:t>p. 95; 115</w:t>
      </w:r>
    </w:p>
  </w:footnote>
  <w:footnote w:id="13">
    <w:p w14:paraId="64E37D0D" w14:textId="5C019D2A" w:rsidR="002C16A3" w:rsidRDefault="002C16A3">
      <w:pPr>
        <w:pStyle w:val="FootnoteText"/>
      </w:pPr>
      <w:r>
        <w:rPr>
          <w:rStyle w:val="FootnoteReference"/>
        </w:rPr>
        <w:footnoteRef/>
      </w:r>
      <w:r>
        <w:t xml:space="preserve"> </w:t>
      </w:r>
      <w:r w:rsidRPr="000A2F27">
        <w:t xml:space="preserve">C. Holdsworth, </w:t>
      </w:r>
      <w:r w:rsidRPr="000A2F27">
        <w:rPr>
          <w:i/>
        </w:rPr>
        <w:t xml:space="preserve">The Anarchy of King Stephen’s Reign, </w:t>
      </w:r>
      <w:r w:rsidRPr="000A2F27">
        <w:t>ed. Edmund King (Bath: Clarendon Press 1994</w:t>
      </w:r>
      <w:r>
        <w:t>) p.62</w:t>
      </w:r>
    </w:p>
  </w:footnote>
  <w:footnote w:id="14">
    <w:p w14:paraId="3EFF1608" w14:textId="3BE7B41B" w:rsidR="002C16A3" w:rsidRDefault="002C16A3">
      <w:pPr>
        <w:pStyle w:val="FootnoteText"/>
      </w:pPr>
      <w:r>
        <w:rPr>
          <w:rStyle w:val="FootnoteReference"/>
        </w:rPr>
        <w:footnoteRef/>
      </w:r>
      <w:r>
        <w:t xml:space="preserve"> </w:t>
      </w:r>
      <w:r w:rsidRPr="00047230">
        <w:t xml:space="preserve">Stephens, </w:t>
      </w:r>
      <w:r w:rsidRPr="00047230">
        <w:rPr>
          <w:i/>
        </w:rPr>
        <w:t xml:space="preserve">The English Church </w:t>
      </w:r>
      <w:r w:rsidRPr="00047230">
        <w:t>(London: Macmillan and Co. 1909)</w:t>
      </w:r>
      <w:r>
        <w:t xml:space="preserve"> p.146</w:t>
      </w:r>
    </w:p>
  </w:footnote>
  <w:footnote w:id="15">
    <w:p w14:paraId="4C48AC13" w14:textId="6CBC62AF" w:rsidR="002C16A3" w:rsidRDefault="002C16A3">
      <w:pPr>
        <w:pStyle w:val="FootnoteText"/>
      </w:pPr>
      <w:r>
        <w:rPr>
          <w:rStyle w:val="FootnoteReference"/>
        </w:rPr>
        <w:footnoteRef/>
      </w:r>
      <w:r>
        <w:t xml:space="preserve"> </w:t>
      </w:r>
      <w:bookmarkStart w:id="8" w:name="_Hlk509349924"/>
      <w:r w:rsidRPr="004C17F4">
        <w:t xml:space="preserve">Stephens, </w:t>
      </w:r>
      <w:r w:rsidRPr="004C17F4">
        <w:rPr>
          <w:i/>
        </w:rPr>
        <w:t xml:space="preserve">The English Church </w:t>
      </w:r>
      <w:r w:rsidRPr="004C17F4">
        <w:t>(London: Macmillan and Co. 1909)</w:t>
      </w:r>
      <w:r w:rsidRPr="004C17F4">
        <w:rPr>
          <w:i/>
        </w:rPr>
        <w:t xml:space="preserve"> </w:t>
      </w:r>
      <w:bookmarkStart w:id="9" w:name="_Hlk509344235"/>
      <w:bookmarkEnd w:id="8"/>
      <w:r w:rsidRPr="001112F4">
        <w:t>p.144</w:t>
      </w:r>
      <w:bookmarkEnd w:id="9"/>
    </w:p>
  </w:footnote>
  <w:footnote w:id="16">
    <w:p w14:paraId="618EEFBD" w14:textId="6042F14B" w:rsidR="002C16A3" w:rsidRDefault="002C16A3">
      <w:pPr>
        <w:pStyle w:val="FootnoteText"/>
      </w:pPr>
      <w:r>
        <w:rPr>
          <w:rStyle w:val="FootnoteReference"/>
        </w:rPr>
        <w:footnoteRef/>
      </w:r>
      <w:r>
        <w:t xml:space="preserve"> </w:t>
      </w:r>
      <w:bookmarkStart w:id="10" w:name="_Hlk509255562"/>
      <w:bookmarkStart w:id="11" w:name="_Hlk509257288"/>
      <w:r>
        <w:t xml:space="preserve">Stephens, </w:t>
      </w:r>
      <w:r>
        <w:rPr>
          <w:i/>
        </w:rPr>
        <w:t xml:space="preserve">The English Church </w:t>
      </w:r>
      <w:r>
        <w:t>(London: Macmillan and Co. 1909)</w:t>
      </w:r>
      <w:r>
        <w:rPr>
          <w:i/>
        </w:rPr>
        <w:t xml:space="preserve"> </w:t>
      </w:r>
      <w:bookmarkEnd w:id="10"/>
      <w:r>
        <w:t>p.144</w:t>
      </w:r>
      <w:bookmarkEnd w:id="11"/>
      <w:r>
        <w:t>-145</w:t>
      </w:r>
    </w:p>
  </w:footnote>
  <w:footnote w:id="17">
    <w:p w14:paraId="7B1E849A" w14:textId="3B72F9A5" w:rsidR="002C16A3" w:rsidRPr="00AC0F28" w:rsidRDefault="002C16A3">
      <w:pPr>
        <w:pStyle w:val="FootnoteText"/>
      </w:pPr>
      <w:r>
        <w:rPr>
          <w:rStyle w:val="FootnoteReference"/>
        </w:rPr>
        <w:footnoteRef/>
      </w:r>
      <w:r>
        <w:t xml:space="preserve"> Stephens, </w:t>
      </w:r>
      <w:r>
        <w:rPr>
          <w:i/>
        </w:rPr>
        <w:t xml:space="preserve">The English Church </w:t>
      </w:r>
      <w:r>
        <w:t>(London: Macmillan and Co. 1909) p. 145</w:t>
      </w:r>
    </w:p>
  </w:footnote>
  <w:footnote w:id="18">
    <w:p w14:paraId="59EDC702" w14:textId="238FA0AE" w:rsidR="002C16A3" w:rsidRDefault="002C16A3">
      <w:pPr>
        <w:pStyle w:val="FootnoteText"/>
      </w:pPr>
      <w:r>
        <w:rPr>
          <w:rStyle w:val="FootnoteReference"/>
        </w:rPr>
        <w:footnoteRef/>
      </w:r>
      <w:r>
        <w:t xml:space="preserve"> </w:t>
      </w:r>
      <w:bookmarkStart w:id="12" w:name="_Hlk509262323"/>
      <w:r>
        <w:t xml:space="preserve">Holdsworth, </w:t>
      </w:r>
      <w:r>
        <w:rPr>
          <w:i/>
        </w:rPr>
        <w:t xml:space="preserve">The Anarchy of King Stephen’s Reign </w:t>
      </w:r>
      <w:r>
        <w:t>(Bath: Clarendon Press 1994)</w:t>
      </w:r>
      <w:r>
        <w:rPr>
          <w:i/>
        </w:rPr>
        <w:t xml:space="preserve"> </w:t>
      </w:r>
      <w:bookmarkEnd w:id="12"/>
      <w:r>
        <w:t>p.211</w:t>
      </w:r>
    </w:p>
  </w:footnote>
  <w:footnote w:id="19">
    <w:p w14:paraId="6980F084" w14:textId="1E70155B" w:rsidR="002C16A3" w:rsidRPr="00080728" w:rsidRDefault="002C16A3">
      <w:pPr>
        <w:pStyle w:val="FootnoteText"/>
      </w:pPr>
      <w:r>
        <w:rPr>
          <w:rStyle w:val="FootnoteReference"/>
        </w:rPr>
        <w:footnoteRef/>
      </w:r>
      <w:r>
        <w:t xml:space="preserve"> Holdsworth, </w:t>
      </w:r>
      <w:r>
        <w:rPr>
          <w:i/>
        </w:rPr>
        <w:t xml:space="preserve">The Anarchy of King Stephen’s Reign </w:t>
      </w:r>
      <w:r>
        <w:t>(Bath: Clarendon Press 1994) p. 216</w:t>
      </w:r>
    </w:p>
  </w:footnote>
  <w:footnote w:id="20">
    <w:p w14:paraId="57DFC751" w14:textId="552F62DF" w:rsidR="002C16A3" w:rsidRPr="00D35F59" w:rsidRDefault="002C16A3">
      <w:pPr>
        <w:pStyle w:val="FootnoteText"/>
      </w:pPr>
      <w:r>
        <w:rPr>
          <w:rStyle w:val="FootnoteReference"/>
        </w:rPr>
        <w:footnoteRef/>
      </w:r>
      <w:r>
        <w:t xml:space="preserve"> </w:t>
      </w:r>
      <w:bookmarkStart w:id="13" w:name="_Hlk509302885"/>
      <w:r>
        <w:t xml:space="preserve">Stephens, </w:t>
      </w:r>
      <w:r>
        <w:rPr>
          <w:i/>
        </w:rPr>
        <w:t xml:space="preserve">The English Church </w:t>
      </w:r>
      <w:r>
        <w:t xml:space="preserve">(London: Macmillan and Co. 1909) </w:t>
      </w:r>
      <w:bookmarkEnd w:id="13"/>
      <w:r>
        <w:t>p. 146</w:t>
      </w:r>
    </w:p>
  </w:footnote>
  <w:footnote w:id="21">
    <w:p w14:paraId="4E454BA9" w14:textId="109D805F" w:rsidR="002C16A3" w:rsidRDefault="002C16A3">
      <w:pPr>
        <w:pStyle w:val="FootnoteText"/>
      </w:pPr>
      <w:r>
        <w:rPr>
          <w:rStyle w:val="FootnoteReference"/>
        </w:rPr>
        <w:footnoteRef/>
      </w:r>
      <w:r>
        <w:t xml:space="preserve"> </w:t>
      </w:r>
      <w:r w:rsidRPr="00274845">
        <w:t xml:space="preserve">Stephens, </w:t>
      </w:r>
      <w:r w:rsidRPr="00274845">
        <w:rPr>
          <w:i/>
        </w:rPr>
        <w:t xml:space="preserve">The English Church </w:t>
      </w:r>
      <w:r w:rsidRPr="00274845">
        <w:t>(London: Macmillan and Co. 1909)</w:t>
      </w:r>
      <w:r>
        <w:t xml:space="preserve"> p.149</w:t>
      </w:r>
    </w:p>
  </w:footnote>
  <w:footnote w:id="22">
    <w:p w14:paraId="49E27657" w14:textId="576D080A" w:rsidR="002C16A3" w:rsidRDefault="002C16A3">
      <w:pPr>
        <w:pStyle w:val="FootnoteText"/>
      </w:pPr>
      <w:r>
        <w:rPr>
          <w:rStyle w:val="FootnoteReference"/>
        </w:rPr>
        <w:footnoteRef/>
      </w:r>
      <w:r>
        <w:t xml:space="preserve"> </w:t>
      </w:r>
      <w:r w:rsidRPr="00274845">
        <w:t xml:space="preserve">Stephens, </w:t>
      </w:r>
      <w:r w:rsidRPr="00274845">
        <w:rPr>
          <w:i/>
        </w:rPr>
        <w:t xml:space="preserve">The English Church </w:t>
      </w:r>
      <w:r w:rsidRPr="00274845">
        <w:t>(London: Macmillan and Co. 1909)</w:t>
      </w:r>
      <w:r>
        <w:t xml:space="preserve"> p.153</w:t>
      </w:r>
    </w:p>
  </w:footnote>
  <w:footnote w:id="23">
    <w:p w14:paraId="55277740" w14:textId="68BC8B6D" w:rsidR="002C16A3" w:rsidRDefault="002C16A3">
      <w:pPr>
        <w:pStyle w:val="FootnoteText"/>
      </w:pPr>
      <w:r>
        <w:rPr>
          <w:rStyle w:val="FootnoteReference"/>
        </w:rPr>
        <w:footnoteRef/>
      </w:r>
      <w:r>
        <w:t xml:space="preserve"> Ibid </w:t>
      </w:r>
    </w:p>
  </w:footnote>
  <w:footnote w:id="24">
    <w:p w14:paraId="1942097F" w14:textId="631E3469" w:rsidR="002C16A3" w:rsidRDefault="002C16A3">
      <w:pPr>
        <w:pStyle w:val="FootnoteText"/>
      </w:pPr>
      <w:r>
        <w:rPr>
          <w:rStyle w:val="FootnoteReference"/>
        </w:rPr>
        <w:footnoteRef/>
      </w:r>
      <w:r>
        <w:t xml:space="preserve"> </w:t>
      </w:r>
      <w:bookmarkStart w:id="14" w:name="_Hlk509336750"/>
      <w:r>
        <w:t>Fordham University, ‘</w:t>
      </w:r>
      <w:r w:rsidRPr="001A36D7">
        <w:t>Charter of Liberties of Henry I, 1100</w:t>
      </w:r>
      <w:r>
        <w:t xml:space="preserve">’, </w:t>
      </w:r>
      <w:r w:rsidRPr="001A36D7">
        <w:t>Medieval Sourcebook</w:t>
      </w:r>
      <w:r>
        <w:t xml:space="preserve"> (1996) [online] Available   </w:t>
      </w:r>
      <w:hyperlink r:id="rId1" w:history="1">
        <w:r w:rsidRPr="008050D2">
          <w:rPr>
            <w:rStyle w:val="Hyperlink"/>
          </w:rPr>
          <w:t>https://sourcebooks.fordham.edu/Halsall/source/hcoronation.asp</w:t>
        </w:r>
      </w:hyperlink>
      <w:r>
        <w:t xml:space="preserve"> </w:t>
      </w:r>
      <w:bookmarkEnd w:id="14"/>
    </w:p>
  </w:footnote>
  <w:footnote w:id="25">
    <w:p w14:paraId="6E5C84B8" w14:textId="233D1EE6" w:rsidR="002C16A3" w:rsidRDefault="002C16A3">
      <w:pPr>
        <w:pStyle w:val="FootnoteText"/>
      </w:pPr>
      <w:r>
        <w:rPr>
          <w:rStyle w:val="FootnoteReference"/>
        </w:rPr>
        <w:footnoteRef/>
      </w:r>
      <w:r>
        <w:t xml:space="preserve"> </w:t>
      </w:r>
      <w:r w:rsidRPr="00274845">
        <w:t xml:space="preserve">Stephens, </w:t>
      </w:r>
      <w:r w:rsidRPr="00274845">
        <w:rPr>
          <w:i/>
        </w:rPr>
        <w:t xml:space="preserve">The English Church </w:t>
      </w:r>
      <w:r w:rsidRPr="00274845">
        <w:t>(London: Macmillan and Co. 1909)</w:t>
      </w:r>
      <w:r>
        <w:t xml:space="preserve"> p.115</w:t>
      </w:r>
    </w:p>
  </w:footnote>
  <w:footnote w:id="26">
    <w:p w14:paraId="6F0A94C7" w14:textId="56B436FA" w:rsidR="002C16A3" w:rsidRDefault="002C16A3">
      <w:pPr>
        <w:pStyle w:val="FootnoteText"/>
      </w:pPr>
      <w:r>
        <w:rPr>
          <w:rStyle w:val="FootnoteReference"/>
        </w:rPr>
        <w:footnoteRef/>
      </w:r>
      <w:r>
        <w:t xml:space="preserve"> </w:t>
      </w:r>
      <w:r w:rsidRPr="002F239C">
        <w:t xml:space="preserve">Stephens, </w:t>
      </w:r>
      <w:r w:rsidRPr="002F239C">
        <w:rPr>
          <w:i/>
        </w:rPr>
        <w:t xml:space="preserve">The English Church </w:t>
      </w:r>
      <w:r w:rsidRPr="002F239C">
        <w:t>(London: Macmillan and Co. 1909)</w:t>
      </w:r>
      <w:r>
        <w:t xml:space="preserve"> p. 119</w:t>
      </w:r>
    </w:p>
  </w:footnote>
  <w:footnote w:id="27">
    <w:p w14:paraId="5D6D3DC8" w14:textId="53745C06" w:rsidR="002C16A3" w:rsidRDefault="002C16A3">
      <w:pPr>
        <w:pStyle w:val="FootnoteText"/>
      </w:pPr>
      <w:r>
        <w:rPr>
          <w:rStyle w:val="FootnoteReference"/>
        </w:rPr>
        <w:footnoteRef/>
      </w:r>
      <w:r>
        <w:t xml:space="preserve"> </w:t>
      </w:r>
      <w:r w:rsidRPr="002F239C">
        <w:t xml:space="preserve">Stephens, </w:t>
      </w:r>
      <w:r w:rsidRPr="002F239C">
        <w:rPr>
          <w:i/>
        </w:rPr>
        <w:t xml:space="preserve">The English Church </w:t>
      </w:r>
      <w:r w:rsidRPr="002F239C">
        <w:t>(London: Macmillan and Co. 1909)</w:t>
      </w:r>
      <w:r>
        <w:t xml:space="preserve"> p.121-122</w:t>
      </w:r>
    </w:p>
  </w:footnote>
  <w:footnote w:id="28">
    <w:p w14:paraId="0A8CDC3C" w14:textId="03E2E1CA" w:rsidR="002C16A3" w:rsidRDefault="002C16A3">
      <w:pPr>
        <w:pStyle w:val="FootnoteText"/>
      </w:pPr>
      <w:r>
        <w:rPr>
          <w:rStyle w:val="FootnoteReference"/>
        </w:rPr>
        <w:footnoteRef/>
      </w:r>
      <w:r>
        <w:t xml:space="preserve"> </w:t>
      </w:r>
      <w:r w:rsidRPr="002F239C">
        <w:t xml:space="preserve">Stephens, </w:t>
      </w:r>
      <w:r w:rsidRPr="002F239C">
        <w:rPr>
          <w:i/>
        </w:rPr>
        <w:t xml:space="preserve">The English Church </w:t>
      </w:r>
      <w:r w:rsidRPr="002F239C">
        <w:t>(London: Macmillan and Co. 1909)</w:t>
      </w:r>
      <w:r>
        <w:t xml:space="preserve"> p.124-125</w:t>
      </w:r>
    </w:p>
  </w:footnote>
  <w:footnote w:id="29">
    <w:p w14:paraId="6AE11EAF" w14:textId="0E130828" w:rsidR="002C16A3" w:rsidRDefault="002C16A3">
      <w:pPr>
        <w:pStyle w:val="FootnoteText"/>
      </w:pPr>
      <w:r>
        <w:rPr>
          <w:rStyle w:val="FootnoteReference"/>
        </w:rPr>
        <w:footnoteRef/>
      </w:r>
      <w:r>
        <w:t xml:space="preserve"> </w:t>
      </w:r>
      <w:r w:rsidRPr="002F239C">
        <w:t xml:space="preserve">Stephens, </w:t>
      </w:r>
      <w:r w:rsidRPr="002F239C">
        <w:rPr>
          <w:i/>
        </w:rPr>
        <w:t xml:space="preserve">The English Church </w:t>
      </w:r>
      <w:r w:rsidRPr="002F239C">
        <w:t>(London: Macmillan and Co. 1909)</w:t>
      </w:r>
      <w:r>
        <w:t xml:space="preserve"> p.126</w:t>
      </w:r>
    </w:p>
  </w:footnote>
  <w:footnote w:id="30">
    <w:p w14:paraId="487657E6" w14:textId="0707B4A4" w:rsidR="002C16A3" w:rsidRDefault="002C16A3">
      <w:pPr>
        <w:pStyle w:val="FootnoteText"/>
      </w:pPr>
      <w:r>
        <w:rPr>
          <w:rStyle w:val="FootnoteReference"/>
        </w:rPr>
        <w:footnoteRef/>
      </w:r>
      <w:r>
        <w:t xml:space="preserve"> ibid</w:t>
      </w:r>
    </w:p>
  </w:footnote>
  <w:footnote w:id="31">
    <w:p w14:paraId="1DB079F4" w14:textId="2D0BAD43" w:rsidR="002C16A3" w:rsidRDefault="002C16A3">
      <w:pPr>
        <w:pStyle w:val="FootnoteText"/>
      </w:pPr>
      <w:r>
        <w:rPr>
          <w:rStyle w:val="FootnoteReference"/>
        </w:rPr>
        <w:footnoteRef/>
      </w:r>
      <w:r>
        <w:t xml:space="preserve"> </w:t>
      </w:r>
      <w:r w:rsidRPr="002F58ED">
        <w:t xml:space="preserve">Stephens, </w:t>
      </w:r>
      <w:r w:rsidRPr="002F58ED">
        <w:rPr>
          <w:i/>
        </w:rPr>
        <w:t xml:space="preserve">The English Church </w:t>
      </w:r>
      <w:bookmarkStart w:id="15" w:name="_Hlk509319810"/>
      <w:r w:rsidRPr="002F58ED">
        <w:t>(London: Macmillan and Co. 1909</w:t>
      </w:r>
      <w:bookmarkEnd w:id="15"/>
      <w:r w:rsidRPr="002F58ED">
        <w:t>) p.132</w:t>
      </w:r>
    </w:p>
  </w:footnote>
  <w:footnote w:id="32">
    <w:p w14:paraId="12A54847" w14:textId="3E8A11AA" w:rsidR="002C16A3" w:rsidRDefault="002C16A3">
      <w:pPr>
        <w:pStyle w:val="FootnoteText"/>
      </w:pPr>
      <w:r>
        <w:rPr>
          <w:rStyle w:val="FootnoteReference"/>
        </w:rPr>
        <w:footnoteRef/>
      </w:r>
      <w:r>
        <w:t xml:space="preserve"> </w:t>
      </w:r>
      <w:r w:rsidRPr="00E32022">
        <w:t xml:space="preserve">F. Barlow, </w:t>
      </w:r>
      <w:r w:rsidRPr="00E32022">
        <w:rPr>
          <w:i/>
        </w:rPr>
        <w:t xml:space="preserve">Thomas Becket </w:t>
      </w:r>
      <w:r w:rsidRPr="00E32022">
        <w:t>(London: Phoenix Press 2000)</w:t>
      </w:r>
      <w:r>
        <w:t xml:space="preserve"> p.67-68</w:t>
      </w:r>
    </w:p>
  </w:footnote>
  <w:footnote w:id="33">
    <w:p w14:paraId="30A04AC8" w14:textId="2A344623" w:rsidR="002C16A3" w:rsidRDefault="002C16A3">
      <w:pPr>
        <w:pStyle w:val="FootnoteText"/>
      </w:pPr>
      <w:r>
        <w:rPr>
          <w:rStyle w:val="FootnoteReference"/>
        </w:rPr>
        <w:footnoteRef/>
      </w:r>
      <w:r>
        <w:t xml:space="preserve"> Ibid </w:t>
      </w:r>
    </w:p>
  </w:footnote>
  <w:footnote w:id="34">
    <w:p w14:paraId="7783CB64" w14:textId="4C5928EC" w:rsidR="002C16A3" w:rsidRDefault="002C16A3">
      <w:pPr>
        <w:pStyle w:val="FootnoteText"/>
      </w:pPr>
      <w:r>
        <w:rPr>
          <w:rStyle w:val="FootnoteReference"/>
        </w:rPr>
        <w:footnoteRef/>
      </w:r>
      <w:bookmarkStart w:id="16" w:name="_Hlk509343164"/>
      <w:r>
        <w:t xml:space="preserve">Warren, </w:t>
      </w:r>
      <w:r>
        <w:rPr>
          <w:i/>
        </w:rPr>
        <w:t xml:space="preserve">Henry II </w:t>
      </w:r>
      <w:r>
        <w:t xml:space="preserve">(California: University of California Press 1977) </w:t>
      </w:r>
      <w:bookmarkEnd w:id="16"/>
      <w:r>
        <w:t xml:space="preserve">p. 450 </w:t>
      </w:r>
    </w:p>
  </w:footnote>
  <w:footnote w:id="35">
    <w:p w14:paraId="59399CC2" w14:textId="3925FA3A" w:rsidR="002C16A3" w:rsidRDefault="002C16A3">
      <w:pPr>
        <w:pStyle w:val="FootnoteText"/>
      </w:pPr>
      <w:r>
        <w:rPr>
          <w:rStyle w:val="FootnoteReference"/>
        </w:rPr>
        <w:footnoteRef/>
      </w:r>
      <w:r>
        <w:t xml:space="preserve"> </w:t>
      </w:r>
      <w:bookmarkStart w:id="17" w:name="_Hlk509341898"/>
      <w:r>
        <w:t xml:space="preserve">Barlow, </w:t>
      </w:r>
      <w:r>
        <w:rPr>
          <w:i/>
        </w:rPr>
        <w:t xml:space="preserve">Thomas Becket </w:t>
      </w:r>
      <w:r>
        <w:t xml:space="preserve">(London: Phoenix Press 2000) </w:t>
      </w:r>
      <w:bookmarkEnd w:id="17"/>
      <w:r>
        <w:t>p. 88-89</w:t>
      </w:r>
    </w:p>
  </w:footnote>
  <w:footnote w:id="36">
    <w:p w14:paraId="5CF2D064" w14:textId="151C2176" w:rsidR="002C16A3" w:rsidRDefault="002C16A3">
      <w:pPr>
        <w:pStyle w:val="FootnoteText"/>
      </w:pPr>
      <w:r>
        <w:rPr>
          <w:rStyle w:val="FootnoteReference"/>
        </w:rPr>
        <w:footnoteRef/>
      </w:r>
      <w:r>
        <w:t xml:space="preserve"> </w:t>
      </w:r>
      <w:bookmarkStart w:id="18" w:name="_Hlk509342440"/>
      <w:r>
        <w:t>Fordham University, ‘</w:t>
      </w:r>
      <w:r w:rsidRPr="004844FF">
        <w:t>Constitutions of Clarendon, 1164</w:t>
      </w:r>
      <w:r>
        <w:t xml:space="preserve">’ Medieval Sourcebook (1996) [online] Available </w:t>
      </w:r>
      <w:hyperlink r:id="rId2" w:history="1">
        <w:r w:rsidRPr="008050D2">
          <w:rPr>
            <w:rStyle w:val="Hyperlink"/>
          </w:rPr>
          <w:t>https://sourcebooks.fordham.edu/Halsall/source/cclarendon.asp</w:t>
        </w:r>
      </w:hyperlink>
      <w:r>
        <w:t xml:space="preserve"> </w:t>
      </w:r>
      <w:bookmarkEnd w:id="18"/>
    </w:p>
  </w:footnote>
  <w:footnote w:id="37">
    <w:p w14:paraId="28F29832" w14:textId="47621AFC" w:rsidR="002C16A3" w:rsidRDefault="002C16A3">
      <w:pPr>
        <w:pStyle w:val="FootnoteText"/>
      </w:pPr>
      <w:r>
        <w:rPr>
          <w:rStyle w:val="FootnoteReference"/>
        </w:rPr>
        <w:footnoteRef/>
      </w:r>
      <w:r>
        <w:t xml:space="preserve"> ibid</w:t>
      </w:r>
    </w:p>
  </w:footnote>
  <w:footnote w:id="38">
    <w:p w14:paraId="4A175707" w14:textId="1AB45386" w:rsidR="002C16A3" w:rsidRDefault="002C16A3" w:rsidP="00EC661B">
      <w:pPr>
        <w:pStyle w:val="FootnoteText"/>
      </w:pPr>
      <w:r>
        <w:rPr>
          <w:rStyle w:val="FootnoteReference"/>
        </w:rPr>
        <w:footnoteRef/>
      </w:r>
      <w:r>
        <w:t xml:space="preserve"> </w:t>
      </w:r>
      <w:bookmarkStart w:id="19" w:name="_Hlk509338514"/>
      <w:r>
        <w:t xml:space="preserve">Fordham University, ‘Roger of Hoveden: The Chronicle: On the Disputes between Thomas Becket, Archbishop of Canterbury and King Henry II of England: 1164’ </w:t>
      </w:r>
      <w:r w:rsidRPr="00EC661B">
        <w:t>Medieval Sourcebook</w:t>
      </w:r>
      <w:r>
        <w:t xml:space="preserve">, (1998) [online] Available  </w:t>
      </w:r>
      <w:hyperlink r:id="rId3" w:history="1">
        <w:r w:rsidRPr="008050D2">
          <w:rPr>
            <w:rStyle w:val="Hyperlink"/>
          </w:rPr>
          <w:t>https://sourcebooks.fordham.edu/Halsall/source/hoveden-becket.asp#1172a</w:t>
        </w:r>
      </w:hyperlink>
      <w:r>
        <w:t xml:space="preserve"> </w:t>
      </w:r>
      <w:bookmarkEnd w:id="19"/>
    </w:p>
  </w:footnote>
  <w:footnote w:id="39">
    <w:p w14:paraId="38AFE59D" w14:textId="2049DB21" w:rsidR="002C16A3" w:rsidRPr="00E30F9F" w:rsidRDefault="002C16A3">
      <w:pPr>
        <w:pStyle w:val="FootnoteText"/>
      </w:pPr>
      <w:r>
        <w:rPr>
          <w:rStyle w:val="FootnoteReference"/>
        </w:rPr>
        <w:footnoteRef/>
      </w:r>
      <w:r>
        <w:t xml:space="preserve"> Stephens, </w:t>
      </w:r>
      <w:r>
        <w:rPr>
          <w:i/>
        </w:rPr>
        <w:t xml:space="preserve">A History of the English Church </w:t>
      </w:r>
      <w:r w:rsidRPr="00E30F9F">
        <w:t>(London: Macmillan and Co. 1909</w:t>
      </w:r>
      <w:r>
        <w:t>) p. 148-149</w:t>
      </w:r>
    </w:p>
  </w:footnote>
  <w:footnote w:id="40">
    <w:p w14:paraId="40343971" w14:textId="5470E56D" w:rsidR="002C16A3" w:rsidRPr="00BA4346" w:rsidRDefault="002C16A3">
      <w:pPr>
        <w:pStyle w:val="FootnoteText"/>
      </w:pPr>
      <w:r>
        <w:rPr>
          <w:rStyle w:val="FootnoteReference"/>
        </w:rPr>
        <w:footnoteRef/>
      </w:r>
      <w:r>
        <w:t xml:space="preserve"> </w:t>
      </w:r>
      <w:bookmarkStart w:id="20" w:name="_Hlk509320465"/>
      <w:r>
        <w:t xml:space="preserve">H. A. Cronne, </w:t>
      </w:r>
      <w:r>
        <w:rPr>
          <w:i/>
        </w:rPr>
        <w:t xml:space="preserve">The Reign of Stephen 1135-54: Anarchy in England </w:t>
      </w:r>
      <w:r>
        <w:t>(London: Weidenfeld and Nicolson 1970</w:t>
      </w:r>
      <w:bookmarkEnd w:id="20"/>
      <w:r>
        <w:t>) p. 115</w:t>
      </w:r>
    </w:p>
  </w:footnote>
  <w:footnote w:id="41">
    <w:p w14:paraId="0117F3F1" w14:textId="1D1B9620" w:rsidR="002C16A3" w:rsidRDefault="002C16A3">
      <w:pPr>
        <w:pStyle w:val="FootnoteText"/>
      </w:pPr>
      <w:r>
        <w:rPr>
          <w:rStyle w:val="FootnoteReference"/>
        </w:rPr>
        <w:footnoteRef/>
      </w:r>
      <w:r>
        <w:t xml:space="preserve"> </w:t>
      </w:r>
      <w:r w:rsidRPr="00A823FD">
        <w:t xml:space="preserve">E. J. Kealey, ‘King Stephen: Government and Anarchy’ </w:t>
      </w:r>
      <w:r w:rsidRPr="00A823FD">
        <w:rPr>
          <w:i/>
          <w:iCs/>
        </w:rPr>
        <w:t xml:space="preserve">Albion: A Quarterly Journal Concerned with British Studies, </w:t>
      </w:r>
      <w:r w:rsidRPr="00A823FD">
        <w:rPr>
          <w:iCs/>
        </w:rPr>
        <w:t>6, 3, (1974) 201- 217 p. 203-204</w:t>
      </w:r>
    </w:p>
  </w:footnote>
  <w:footnote w:id="42">
    <w:p w14:paraId="2E9ABD31" w14:textId="37BFAFAE" w:rsidR="002C16A3" w:rsidRDefault="002C16A3">
      <w:pPr>
        <w:pStyle w:val="FootnoteText"/>
      </w:pPr>
      <w:r>
        <w:rPr>
          <w:rStyle w:val="FootnoteReference"/>
        </w:rPr>
        <w:footnoteRef/>
      </w:r>
      <w:r>
        <w:t xml:space="preserve"> </w:t>
      </w:r>
      <w:r w:rsidRPr="000E09F1">
        <w:t xml:space="preserve">E. J. Kealey, ‘King Stephen: Government and Anarchy’ </w:t>
      </w:r>
      <w:r w:rsidRPr="000E09F1">
        <w:rPr>
          <w:i/>
          <w:iCs/>
        </w:rPr>
        <w:t xml:space="preserve">Albion: A Quarterly Journal Concerned with British Studies, </w:t>
      </w:r>
      <w:r w:rsidRPr="000E09F1">
        <w:rPr>
          <w:iCs/>
        </w:rPr>
        <w:t>6, 3, (1974) 201- 217</w:t>
      </w:r>
      <w:r>
        <w:rPr>
          <w:iCs/>
        </w:rPr>
        <w:t xml:space="preserve"> p.203 </w:t>
      </w:r>
    </w:p>
  </w:footnote>
  <w:footnote w:id="43">
    <w:p w14:paraId="76201129" w14:textId="613C044B" w:rsidR="002C16A3" w:rsidRDefault="002C16A3">
      <w:pPr>
        <w:pStyle w:val="FootnoteText"/>
      </w:pPr>
      <w:r>
        <w:rPr>
          <w:rStyle w:val="FootnoteReference"/>
        </w:rPr>
        <w:footnoteRef/>
      </w:r>
      <w:r>
        <w:t xml:space="preserve"> </w:t>
      </w:r>
      <w:r w:rsidRPr="00915E60">
        <w:t xml:space="preserve">E. J. Kealey, ‘King Stephen: Government and Anarchy’ </w:t>
      </w:r>
      <w:r w:rsidRPr="00915E60">
        <w:rPr>
          <w:i/>
          <w:iCs/>
        </w:rPr>
        <w:t xml:space="preserve">Albion: A Quarterly Journal Concerned with British Studies, </w:t>
      </w:r>
      <w:r w:rsidRPr="00915E60">
        <w:rPr>
          <w:iCs/>
        </w:rPr>
        <w:t xml:space="preserve">6, 3, (1974) 201- 217 p. </w:t>
      </w:r>
      <w:r>
        <w:rPr>
          <w:iCs/>
        </w:rPr>
        <w:t xml:space="preserve">202 </w:t>
      </w:r>
    </w:p>
  </w:footnote>
  <w:footnote w:id="44">
    <w:p w14:paraId="3DA80579" w14:textId="262105A9" w:rsidR="002C16A3" w:rsidRDefault="002C16A3">
      <w:pPr>
        <w:pStyle w:val="FootnoteText"/>
      </w:pPr>
      <w:r>
        <w:rPr>
          <w:rStyle w:val="FootnoteReference"/>
        </w:rPr>
        <w:footnoteRef/>
      </w:r>
      <w:r>
        <w:t xml:space="preserve"> </w:t>
      </w:r>
      <w:bookmarkStart w:id="21" w:name="_Hlk509341226"/>
      <w:r w:rsidRPr="007E0F2A">
        <w:t xml:space="preserve">E. J. Kealey, ‘King Stephen: Government and Anarchy’ </w:t>
      </w:r>
      <w:r w:rsidRPr="007E0F2A">
        <w:rPr>
          <w:i/>
          <w:iCs/>
        </w:rPr>
        <w:t xml:space="preserve">Albion: A Quarterly Journal Concerned with British Studies, </w:t>
      </w:r>
      <w:r w:rsidRPr="007E0F2A">
        <w:rPr>
          <w:iCs/>
        </w:rPr>
        <w:t>6, 3, (1974) 201- 217</w:t>
      </w:r>
      <w:r>
        <w:rPr>
          <w:iCs/>
        </w:rPr>
        <w:t xml:space="preserve"> p. 203-204</w:t>
      </w:r>
      <w:bookmarkEnd w:id="21"/>
    </w:p>
  </w:footnote>
  <w:footnote w:id="45">
    <w:p w14:paraId="2F386BF8" w14:textId="6D049710" w:rsidR="002C16A3" w:rsidRPr="002E4AFB" w:rsidRDefault="002C16A3">
      <w:pPr>
        <w:pStyle w:val="FootnoteText"/>
      </w:pPr>
      <w:r>
        <w:rPr>
          <w:rStyle w:val="FootnoteReference"/>
        </w:rPr>
        <w:footnoteRef/>
      </w:r>
      <w:r>
        <w:t xml:space="preserve"> </w:t>
      </w:r>
      <w:bookmarkStart w:id="22" w:name="_Hlk509330074"/>
      <w:r>
        <w:t xml:space="preserve">C. Warren Hollister, </w:t>
      </w:r>
      <w:r>
        <w:rPr>
          <w:i/>
        </w:rPr>
        <w:t xml:space="preserve">Henry I </w:t>
      </w:r>
      <w:r>
        <w:t xml:space="preserve">(Hampshire: Yale University Press 2003) </w:t>
      </w:r>
      <w:bookmarkEnd w:id="22"/>
      <w:r>
        <w:t>p. 351</w:t>
      </w:r>
    </w:p>
  </w:footnote>
  <w:footnote w:id="46">
    <w:p w14:paraId="5E80BCEB" w14:textId="7B9E5C09" w:rsidR="002C16A3" w:rsidRPr="00E90622" w:rsidRDefault="002C16A3">
      <w:pPr>
        <w:pStyle w:val="FootnoteText"/>
      </w:pPr>
      <w:r>
        <w:rPr>
          <w:rStyle w:val="FootnoteReference"/>
        </w:rPr>
        <w:footnoteRef/>
      </w:r>
      <w:r>
        <w:t xml:space="preserve"> Hollister, </w:t>
      </w:r>
      <w:r>
        <w:rPr>
          <w:i/>
        </w:rPr>
        <w:t xml:space="preserve">Henry I </w:t>
      </w:r>
      <w:r>
        <w:t>(Hampshire: Yale University Press 2003) p. 349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1178"/>
    <w:rsid w:val="00001407"/>
    <w:rsid w:val="000014B1"/>
    <w:rsid w:val="000337D3"/>
    <w:rsid w:val="00042AB7"/>
    <w:rsid w:val="00047230"/>
    <w:rsid w:val="00054255"/>
    <w:rsid w:val="00062C88"/>
    <w:rsid w:val="00073211"/>
    <w:rsid w:val="00076A44"/>
    <w:rsid w:val="00080728"/>
    <w:rsid w:val="00083A00"/>
    <w:rsid w:val="0008618B"/>
    <w:rsid w:val="000A0C79"/>
    <w:rsid w:val="000A2F27"/>
    <w:rsid w:val="000B0295"/>
    <w:rsid w:val="000B2271"/>
    <w:rsid w:val="000C16F7"/>
    <w:rsid w:val="000C7B5E"/>
    <w:rsid w:val="000E082E"/>
    <w:rsid w:val="000E09F1"/>
    <w:rsid w:val="000E4C74"/>
    <w:rsid w:val="000E7A7A"/>
    <w:rsid w:val="000F28C2"/>
    <w:rsid w:val="00103DF5"/>
    <w:rsid w:val="0011063A"/>
    <w:rsid w:val="001112F4"/>
    <w:rsid w:val="0011261D"/>
    <w:rsid w:val="001206D9"/>
    <w:rsid w:val="00122568"/>
    <w:rsid w:val="0015433F"/>
    <w:rsid w:val="00164597"/>
    <w:rsid w:val="001A36D7"/>
    <w:rsid w:val="001A4FFE"/>
    <w:rsid w:val="001B14C1"/>
    <w:rsid w:val="001C0B78"/>
    <w:rsid w:val="001C71AA"/>
    <w:rsid w:val="001D002C"/>
    <w:rsid w:val="002000A9"/>
    <w:rsid w:val="00202197"/>
    <w:rsid w:val="00206629"/>
    <w:rsid w:val="00214CBD"/>
    <w:rsid w:val="00214EAF"/>
    <w:rsid w:val="00226C4A"/>
    <w:rsid w:val="0022701B"/>
    <w:rsid w:val="0024056C"/>
    <w:rsid w:val="00240DB1"/>
    <w:rsid w:val="00246F95"/>
    <w:rsid w:val="00274845"/>
    <w:rsid w:val="00282F7E"/>
    <w:rsid w:val="002A5B2E"/>
    <w:rsid w:val="002B47CF"/>
    <w:rsid w:val="002B4871"/>
    <w:rsid w:val="002B7F10"/>
    <w:rsid w:val="002C16A3"/>
    <w:rsid w:val="002E4AFB"/>
    <w:rsid w:val="002F239C"/>
    <w:rsid w:val="002F58ED"/>
    <w:rsid w:val="003227D3"/>
    <w:rsid w:val="003367AE"/>
    <w:rsid w:val="00342B76"/>
    <w:rsid w:val="00353D56"/>
    <w:rsid w:val="0037468E"/>
    <w:rsid w:val="00395A85"/>
    <w:rsid w:val="003A10B1"/>
    <w:rsid w:val="003A7D1A"/>
    <w:rsid w:val="003B07F0"/>
    <w:rsid w:val="003B1414"/>
    <w:rsid w:val="003D349B"/>
    <w:rsid w:val="003D4DEB"/>
    <w:rsid w:val="003F6EAE"/>
    <w:rsid w:val="00401F27"/>
    <w:rsid w:val="004048C5"/>
    <w:rsid w:val="004362FB"/>
    <w:rsid w:val="004542F3"/>
    <w:rsid w:val="004844FF"/>
    <w:rsid w:val="00484C80"/>
    <w:rsid w:val="00485F85"/>
    <w:rsid w:val="00496B04"/>
    <w:rsid w:val="004B0A26"/>
    <w:rsid w:val="004B1E72"/>
    <w:rsid w:val="004C17F4"/>
    <w:rsid w:val="004C575D"/>
    <w:rsid w:val="004D78A7"/>
    <w:rsid w:val="004E55F7"/>
    <w:rsid w:val="004F79D2"/>
    <w:rsid w:val="004F7B2E"/>
    <w:rsid w:val="005227D8"/>
    <w:rsid w:val="00543A95"/>
    <w:rsid w:val="00554355"/>
    <w:rsid w:val="00562AFA"/>
    <w:rsid w:val="00570F94"/>
    <w:rsid w:val="00575B70"/>
    <w:rsid w:val="00591758"/>
    <w:rsid w:val="005964BA"/>
    <w:rsid w:val="005972FC"/>
    <w:rsid w:val="00597F01"/>
    <w:rsid w:val="005A7414"/>
    <w:rsid w:val="005C6FA3"/>
    <w:rsid w:val="005C7FF7"/>
    <w:rsid w:val="005E59F1"/>
    <w:rsid w:val="005F0705"/>
    <w:rsid w:val="005F481C"/>
    <w:rsid w:val="005F7534"/>
    <w:rsid w:val="005F7C8E"/>
    <w:rsid w:val="00600D8C"/>
    <w:rsid w:val="00600ECA"/>
    <w:rsid w:val="006210FF"/>
    <w:rsid w:val="00627095"/>
    <w:rsid w:val="00635894"/>
    <w:rsid w:val="00665B50"/>
    <w:rsid w:val="00666B84"/>
    <w:rsid w:val="00677814"/>
    <w:rsid w:val="00687CF3"/>
    <w:rsid w:val="00691986"/>
    <w:rsid w:val="00693557"/>
    <w:rsid w:val="00695CAF"/>
    <w:rsid w:val="006A09BB"/>
    <w:rsid w:val="006A42C7"/>
    <w:rsid w:val="006B0793"/>
    <w:rsid w:val="006B282F"/>
    <w:rsid w:val="006C4B16"/>
    <w:rsid w:val="006C6A8B"/>
    <w:rsid w:val="006C7C3E"/>
    <w:rsid w:val="00710275"/>
    <w:rsid w:val="00711D48"/>
    <w:rsid w:val="00716DEA"/>
    <w:rsid w:val="00722FF4"/>
    <w:rsid w:val="007416EF"/>
    <w:rsid w:val="00750955"/>
    <w:rsid w:val="00772663"/>
    <w:rsid w:val="00773A77"/>
    <w:rsid w:val="00783FCB"/>
    <w:rsid w:val="007872FB"/>
    <w:rsid w:val="00793A1A"/>
    <w:rsid w:val="007B22F6"/>
    <w:rsid w:val="007B77D6"/>
    <w:rsid w:val="007D2BDB"/>
    <w:rsid w:val="007D4660"/>
    <w:rsid w:val="007E0F2A"/>
    <w:rsid w:val="007E378E"/>
    <w:rsid w:val="0080158F"/>
    <w:rsid w:val="00813E84"/>
    <w:rsid w:val="0081739A"/>
    <w:rsid w:val="00817A0E"/>
    <w:rsid w:val="0082015C"/>
    <w:rsid w:val="00823EB2"/>
    <w:rsid w:val="0086449C"/>
    <w:rsid w:val="00891DF4"/>
    <w:rsid w:val="00894EB3"/>
    <w:rsid w:val="00895BD6"/>
    <w:rsid w:val="008A0C5F"/>
    <w:rsid w:val="008A4FD0"/>
    <w:rsid w:val="008A501A"/>
    <w:rsid w:val="008A684D"/>
    <w:rsid w:val="008C6EAE"/>
    <w:rsid w:val="008C7649"/>
    <w:rsid w:val="008D0743"/>
    <w:rsid w:val="008F1C4D"/>
    <w:rsid w:val="00910C90"/>
    <w:rsid w:val="00915E50"/>
    <w:rsid w:val="00915E60"/>
    <w:rsid w:val="009406C9"/>
    <w:rsid w:val="009440F9"/>
    <w:rsid w:val="00946A08"/>
    <w:rsid w:val="00952B02"/>
    <w:rsid w:val="009712E8"/>
    <w:rsid w:val="00984713"/>
    <w:rsid w:val="00986554"/>
    <w:rsid w:val="00994E2B"/>
    <w:rsid w:val="009A0E96"/>
    <w:rsid w:val="009A3AA1"/>
    <w:rsid w:val="009A7763"/>
    <w:rsid w:val="009D06F5"/>
    <w:rsid w:val="009D4708"/>
    <w:rsid w:val="009E6D4E"/>
    <w:rsid w:val="009F7034"/>
    <w:rsid w:val="00A01283"/>
    <w:rsid w:val="00A07781"/>
    <w:rsid w:val="00A11B51"/>
    <w:rsid w:val="00A13FD0"/>
    <w:rsid w:val="00A15DAA"/>
    <w:rsid w:val="00A22880"/>
    <w:rsid w:val="00A471D2"/>
    <w:rsid w:val="00A52583"/>
    <w:rsid w:val="00A53C4E"/>
    <w:rsid w:val="00A5410D"/>
    <w:rsid w:val="00A823FD"/>
    <w:rsid w:val="00A8732B"/>
    <w:rsid w:val="00A878F8"/>
    <w:rsid w:val="00A90447"/>
    <w:rsid w:val="00AA042B"/>
    <w:rsid w:val="00AA6E82"/>
    <w:rsid w:val="00AB256C"/>
    <w:rsid w:val="00AB2E19"/>
    <w:rsid w:val="00AC0F28"/>
    <w:rsid w:val="00AD1823"/>
    <w:rsid w:val="00AE2226"/>
    <w:rsid w:val="00AF1E8F"/>
    <w:rsid w:val="00B067C2"/>
    <w:rsid w:val="00B30FDF"/>
    <w:rsid w:val="00B45D76"/>
    <w:rsid w:val="00B51DF6"/>
    <w:rsid w:val="00B660EE"/>
    <w:rsid w:val="00B747D4"/>
    <w:rsid w:val="00B80164"/>
    <w:rsid w:val="00BA07DF"/>
    <w:rsid w:val="00BA1A75"/>
    <w:rsid w:val="00BA4346"/>
    <w:rsid w:val="00BA5CBA"/>
    <w:rsid w:val="00BB0171"/>
    <w:rsid w:val="00BB2B20"/>
    <w:rsid w:val="00C16C55"/>
    <w:rsid w:val="00C24D93"/>
    <w:rsid w:val="00C64FAA"/>
    <w:rsid w:val="00C8158B"/>
    <w:rsid w:val="00C94BE8"/>
    <w:rsid w:val="00C974FA"/>
    <w:rsid w:val="00CA08D2"/>
    <w:rsid w:val="00CA3759"/>
    <w:rsid w:val="00CA53B0"/>
    <w:rsid w:val="00CB3862"/>
    <w:rsid w:val="00CC16AD"/>
    <w:rsid w:val="00CC6170"/>
    <w:rsid w:val="00D01178"/>
    <w:rsid w:val="00D154D0"/>
    <w:rsid w:val="00D21EB5"/>
    <w:rsid w:val="00D27533"/>
    <w:rsid w:val="00D35F59"/>
    <w:rsid w:val="00D36830"/>
    <w:rsid w:val="00D45A5D"/>
    <w:rsid w:val="00D55C60"/>
    <w:rsid w:val="00D560A6"/>
    <w:rsid w:val="00D5772A"/>
    <w:rsid w:val="00D724F9"/>
    <w:rsid w:val="00D73363"/>
    <w:rsid w:val="00D76EEB"/>
    <w:rsid w:val="00D85E3A"/>
    <w:rsid w:val="00DF57A3"/>
    <w:rsid w:val="00DF63E8"/>
    <w:rsid w:val="00E10B73"/>
    <w:rsid w:val="00E20440"/>
    <w:rsid w:val="00E232B1"/>
    <w:rsid w:val="00E30F9F"/>
    <w:rsid w:val="00E32022"/>
    <w:rsid w:val="00E32B6C"/>
    <w:rsid w:val="00E3403F"/>
    <w:rsid w:val="00E3484B"/>
    <w:rsid w:val="00E52664"/>
    <w:rsid w:val="00E712D5"/>
    <w:rsid w:val="00E76A5D"/>
    <w:rsid w:val="00E90622"/>
    <w:rsid w:val="00EA1C27"/>
    <w:rsid w:val="00EB7EA3"/>
    <w:rsid w:val="00EC661B"/>
    <w:rsid w:val="00ED5280"/>
    <w:rsid w:val="00F1294A"/>
    <w:rsid w:val="00F20200"/>
    <w:rsid w:val="00F23AD6"/>
    <w:rsid w:val="00F31D89"/>
    <w:rsid w:val="00F366D8"/>
    <w:rsid w:val="00F41DB5"/>
    <w:rsid w:val="00F444B9"/>
    <w:rsid w:val="00F45BAF"/>
    <w:rsid w:val="00F5414A"/>
    <w:rsid w:val="00F5515A"/>
    <w:rsid w:val="00F60C09"/>
    <w:rsid w:val="00F732BC"/>
    <w:rsid w:val="00FE7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0B037A"/>
  <w15:chartTrackingRefBased/>
  <w15:docId w15:val="{D10C0B3D-1E36-4606-87EF-6F5A5ED5D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6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6D8"/>
  </w:style>
  <w:style w:type="paragraph" w:styleId="Footer">
    <w:name w:val="footer"/>
    <w:basedOn w:val="Normal"/>
    <w:link w:val="FooterChar"/>
    <w:uiPriority w:val="99"/>
    <w:unhideWhenUsed/>
    <w:rsid w:val="00F36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6D8"/>
  </w:style>
  <w:style w:type="character" w:styleId="CommentReference">
    <w:name w:val="annotation reference"/>
    <w:basedOn w:val="DefaultParagraphFont"/>
    <w:uiPriority w:val="99"/>
    <w:semiHidden/>
    <w:unhideWhenUsed/>
    <w:rsid w:val="00A53C4E"/>
    <w:rPr>
      <w:sz w:val="16"/>
      <w:szCs w:val="16"/>
    </w:rPr>
  </w:style>
  <w:style w:type="paragraph" w:styleId="CommentText">
    <w:name w:val="annotation text"/>
    <w:basedOn w:val="Normal"/>
    <w:link w:val="CommentTextChar"/>
    <w:uiPriority w:val="99"/>
    <w:semiHidden/>
    <w:unhideWhenUsed/>
    <w:rsid w:val="00A53C4E"/>
    <w:pPr>
      <w:spacing w:line="240" w:lineRule="auto"/>
    </w:pPr>
    <w:rPr>
      <w:sz w:val="20"/>
      <w:szCs w:val="20"/>
    </w:rPr>
  </w:style>
  <w:style w:type="character" w:customStyle="1" w:styleId="CommentTextChar">
    <w:name w:val="Comment Text Char"/>
    <w:basedOn w:val="DefaultParagraphFont"/>
    <w:link w:val="CommentText"/>
    <w:uiPriority w:val="99"/>
    <w:semiHidden/>
    <w:rsid w:val="00A53C4E"/>
    <w:rPr>
      <w:sz w:val="20"/>
      <w:szCs w:val="20"/>
    </w:rPr>
  </w:style>
  <w:style w:type="paragraph" w:styleId="CommentSubject">
    <w:name w:val="annotation subject"/>
    <w:basedOn w:val="CommentText"/>
    <w:next w:val="CommentText"/>
    <w:link w:val="CommentSubjectChar"/>
    <w:uiPriority w:val="99"/>
    <w:semiHidden/>
    <w:unhideWhenUsed/>
    <w:rsid w:val="00A53C4E"/>
    <w:rPr>
      <w:b/>
      <w:bCs/>
    </w:rPr>
  </w:style>
  <w:style w:type="character" w:customStyle="1" w:styleId="CommentSubjectChar">
    <w:name w:val="Comment Subject Char"/>
    <w:basedOn w:val="CommentTextChar"/>
    <w:link w:val="CommentSubject"/>
    <w:uiPriority w:val="99"/>
    <w:semiHidden/>
    <w:rsid w:val="00A53C4E"/>
    <w:rPr>
      <w:b/>
      <w:bCs/>
      <w:sz w:val="20"/>
      <w:szCs w:val="20"/>
    </w:rPr>
  </w:style>
  <w:style w:type="paragraph" w:styleId="BalloonText">
    <w:name w:val="Balloon Text"/>
    <w:basedOn w:val="Normal"/>
    <w:link w:val="BalloonTextChar"/>
    <w:uiPriority w:val="99"/>
    <w:semiHidden/>
    <w:unhideWhenUsed/>
    <w:rsid w:val="00A53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C4E"/>
    <w:rPr>
      <w:rFonts w:ascii="Segoe UI" w:hAnsi="Segoe UI" w:cs="Segoe UI"/>
      <w:sz w:val="18"/>
      <w:szCs w:val="18"/>
    </w:rPr>
  </w:style>
  <w:style w:type="paragraph" w:styleId="Revision">
    <w:name w:val="Revision"/>
    <w:hidden/>
    <w:uiPriority w:val="99"/>
    <w:semiHidden/>
    <w:rsid w:val="00A53C4E"/>
    <w:pPr>
      <w:spacing w:after="0" w:line="240" w:lineRule="auto"/>
    </w:pPr>
  </w:style>
  <w:style w:type="paragraph" w:styleId="FootnoteText">
    <w:name w:val="footnote text"/>
    <w:basedOn w:val="Normal"/>
    <w:link w:val="FootnoteTextChar"/>
    <w:uiPriority w:val="99"/>
    <w:semiHidden/>
    <w:unhideWhenUsed/>
    <w:rsid w:val="00401F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1F27"/>
    <w:rPr>
      <w:sz w:val="20"/>
      <w:szCs w:val="20"/>
    </w:rPr>
  </w:style>
  <w:style w:type="character" w:styleId="FootnoteReference">
    <w:name w:val="footnote reference"/>
    <w:basedOn w:val="DefaultParagraphFont"/>
    <w:uiPriority w:val="99"/>
    <w:semiHidden/>
    <w:unhideWhenUsed/>
    <w:rsid w:val="00401F27"/>
    <w:rPr>
      <w:vertAlign w:val="superscript"/>
    </w:rPr>
  </w:style>
  <w:style w:type="character" w:styleId="Hyperlink">
    <w:name w:val="Hyperlink"/>
    <w:basedOn w:val="DefaultParagraphFont"/>
    <w:uiPriority w:val="99"/>
    <w:unhideWhenUsed/>
    <w:rsid w:val="001A36D7"/>
    <w:rPr>
      <w:color w:val="0563C1" w:themeColor="hyperlink"/>
      <w:u w:val="single"/>
    </w:rPr>
  </w:style>
  <w:style w:type="character" w:styleId="UnresolvedMention">
    <w:name w:val="Unresolved Mention"/>
    <w:basedOn w:val="DefaultParagraphFont"/>
    <w:uiPriority w:val="99"/>
    <w:semiHidden/>
    <w:unhideWhenUsed/>
    <w:rsid w:val="001A36D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Halsall/source/cclarendon.asp" TargetMode="External"/><Relationship Id="rId3" Type="http://schemas.openxmlformats.org/officeDocument/2006/relationships/settings" Target="settings.xml"/><Relationship Id="rId7" Type="http://schemas.openxmlformats.org/officeDocument/2006/relationships/hyperlink" Target="https://sourcebooks.fordham.edu/Halsall/source/hcoronation.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jstor.org.ezproxy.uwtsd.ac.uk/stable/4048242?sid=primo&amp;origin=crossref" TargetMode="External"/><Relationship Id="rId4" Type="http://schemas.openxmlformats.org/officeDocument/2006/relationships/webSettings" Target="webSettings.xml"/><Relationship Id="rId9" Type="http://schemas.openxmlformats.org/officeDocument/2006/relationships/hyperlink" Target="https://sourcebooks.fordham.edu/Halsall/source/hoveden-becket.asp#1172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Halsall/source/hoveden-becket.asp#1172a" TargetMode="External"/><Relationship Id="rId2" Type="http://schemas.openxmlformats.org/officeDocument/2006/relationships/hyperlink" Target="https://sourcebooks.fordham.edu/Halsall/source/cclarendon.asp" TargetMode="External"/><Relationship Id="rId1" Type="http://schemas.openxmlformats.org/officeDocument/2006/relationships/hyperlink" Target="https://sourcebooks.fordham.edu/Halsall/source/hcoronatio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502B21-8A03-497F-8C6F-A1651CE69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9</Pages>
  <Words>2236</Words>
  <Characters>12749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Diamond</dc:creator>
  <cp:keywords/>
  <dc:description/>
  <cp:lastModifiedBy>Rebecca Diamond</cp:lastModifiedBy>
  <cp:revision>52</cp:revision>
  <dcterms:created xsi:type="dcterms:W3CDTF">2018-03-19T14:16:00Z</dcterms:created>
  <dcterms:modified xsi:type="dcterms:W3CDTF">2018-03-20T23:43:00Z</dcterms:modified>
</cp:coreProperties>
</file>