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93AFDA" w14:textId="77777777" w:rsidR="006E3436" w:rsidRDefault="006E3436" w:rsidP="006E3436">
      <w:pPr>
        <w:jc w:val="center"/>
        <w:rPr>
          <w:sz w:val="34"/>
          <w:szCs w:val="34"/>
        </w:rPr>
      </w:pPr>
      <w:r>
        <w:rPr>
          <w:noProof/>
          <w:lang w:val="en-US"/>
        </w:rPr>
        <w:drawing>
          <wp:inline distT="0" distB="0" distL="0" distR="0" wp14:anchorId="340D1F5D" wp14:editId="76790115">
            <wp:extent cx="2816225" cy="673100"/>
            <wp:effectExtent l="0" t="0" r="0" b="0"/>
            <wp:docPr id="5552347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16225" cy="673100"/>
                    </a:xfrm>
                    <a:prstGeom prst="rect">
                      <a:avLst/>
                    </a:prstGeom>
                    <a:noFill/>
                    <a:ln>
                      <a:noFill/>
                    </a:ln>
                  </pic:spPr>
                </pic:pic>
              </a:graphicData>
            </a:graphic>
          </wp:inline>
        </w:drawing>
      </w:r>
    </w:p>
    <w:p w14:paraId="1909E81E" w14:textId="3E6A03E4" w:rsidR="0049660B" w:rsidRPr="009C063A" w:rsidRDefault="006E3436" w:rsidP="001841A2">
      <w:pPr>
        <w:spacing w:line="240" w:lineRule="auto"/>
        <w:jc w:val="center"/>
        <w:rPr>
          <w:sz w:val="38"/>
          <w:szCs w:val="38"/>
        </w:rPr>
      </w:pPr>
      <w:r w:rsidRPr="009C063A">
        <w:rPr>
          <w:sz w:val="38"/>
          <w:szCs w:val="38"/>
        </w:rPr>
        <w:t>Master of Business Administratio</w:t>
      </w:r>
      <w:r w:rsidR="001841A2">
        <w:rPr>
          <w:sz w:val="38"/>
          <w:szCs w:val="38"/>
        </w:rPr>
        <w:t xml:space="preserve">n </w:t>
      </w:r>
      <w:r w:rsidR="001841A2">
        <w:rPr>
          <w:sz w:val="38"/>
          <w:szCs w:val="38"/>
        </w:rPr>
        <w:br/>
      </w:r>
      <w:r w:rsidR="001841A2">
        <w:rPr>
          <w:sz w:val="38"/>
          <w:szCs w:val="38"/>
        </w:rPr>
        <w:br/>
        <w:t>International Business Pathway</w:t>
      </w:r>
    </w:p>
    <w:p w14:paraId="2C1A8551" w14:textId="77777777" w:rsidR="006E3436" w:rsidRDefault="006E3436" w:rsidP="006E3436">
      <w:pPr>
        <w:jc w:val="center"/>
        <w:rPr>
          <w:sz w:val="28"/>
          <w:szCs w:val="28"/>
        </w:rPr>
      </w:pPr>
      <w:r>
        <w:rPr>
          <w:noProof/>
          <w:sz w:val="28"/>
          <w:szCs w:val="28"/>
          <w:lang w:val="en-US"/>
        </w:rPr>
        <w:drawing>
          <wp:inline distT="0" distB="0" distL="0" distR="0" wp14:anchorId="1B2B7BB7" wp14:editId="6E35E356">
            <wp:extent cx="2257425" cy="2257425"/>
            <wp:effectExtent l="0" t="0" r="9525" b="9525"/>
            <wp:docPr id="73204094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257425" cy="2257425"/>
                    </a:xfrm>
                    <a:prstGeom prst="rect">
                      <a:avLst/>
                    </a:prstGeom>
                    <a:noFill/>
                    <a:ln>
                      <a:noFill/>
                    </a:ln>
                  </pic:spPr>
                </pic:pic>
              </a:graphicData>
            </a:graphic>
          </wp:inline>
        </w:drawing>
      </w:r>
    </w:p>
    <w:p w14:paraId="107933AB" w14:textId="77777777" w:rsidR="006E3436" w:rsidRPr="00180CA4" w:rsidRDefault="006E3436" w:rsidP="006E3436">
      <w:pPr>
        <w:jc w:val="center"/>
        <w:rPr>
          <w:color w:val="000000" w:themeColor="text1"/>
          <w:sz w:val="28"/>
          <w:szCs w:val="28"/>
        </w:rPr>
      </w:pPr>
      <w:r w:rsidRPr="00180CA4">
        <w:rPr>
          <w:color w:val="000000" w:themeColor="text1"/>
          <w:sz w:val="28"/>
          <w:szCs w:val="28"/>
        </w:rPr>
        <w:t>Assessment 1: Individual report. Weight: 100%</w:t>
      </w:r>
    </w:p>
    <w:p w14:paraId="14BFE64A" w14:textId="77777777" w:rsidR="006E3436" w:rsidRPr="00043B72" w:rsidRDefault="006E3436" w:rsidP="00BD3A4F">
      <w:pPr>
        <w:ind w:left="2160"/>
        <w:rPr>
          <w:sz w:val="28"/>
          <w:szCs w:val="28"/>
        </w:rPr>
      </w:pPr>
      <w:r w:rsidRPr="00043B72">
        <w:rPr>
          <w:b/>
          <w:bCs/>
          <w:sz w:val="28"/>
          <w:szCs w:val="28"/>
        </w:rPr>
        <w:t>Module name:</w:t>
      </w:r>
      <w:r>
        <w:rPr>
          <w:b/>
          <w:bCs/>
          <w:sz w:val="28"/>
          <w:szCs w:val="28"/>
        </w:rPr>
        <w:t xml:space="preserve"> </w:t>
      </w:r>
      <w:r w:rsidRPr="006E3436">
        <w:rPr>
          <w:b/>
          <w:bCs/>
          <w:sz w:val="28"/>
          <w:szCs w:val="28"/>
        </w:rPr>
        <w:t>Strategic Management</w:t>
      </w:r>
    </w:p>
    <w:p w14:paraId="20F25D15" w14:textId="6AFB9C79" w:rsidR="006E3436" w:rsidRPr="00043B72" w:rsidRDefault="00BD3A4F" w:rsidP="00BD3A4F">
      <w:pPr>
        <w:rPr>
          <w:sz w:val="28"/>
          <w:szCs w:val="28"/>
        </w:rPr>
      </w:pPr>
      <w:r>
        <w:rPr>
          <w:b/>
          <w:bCs/>
          <w:sz w:val="28"/>
          <w:szCs w:val="28"/>
        </w:rPr>
        <w:t xml:space="preserve">                                </w:t>
      </w:r>
      <w:r w:rsidR="006E3436" w:rsidRPr="00043B72">
        <w:rPr>
          <w:b/>
          <w:bCs/>
          <w:sz w:val="28"/>
          <w:szCs w:val="28"/>
        </w:rPr>
        <w:t>Module code</w:t>
      </w:r>
      <w:r w:rsidR="006E3436" w:rsidRPr="00043B72">
        <w:rPr>
          <w:sz w:val="28"/>
          <w:szCs w:val="28"/>
        </w:rPr>
        <w:t>:</w:t>
      </w:r>
      <w:r w:rsidR="006E3436">
        <w:rPr>
          <w:sz w:val="28"/>
          <w:szCs w:val="28"/>
        </w:rPr>
        <w:t xml:space="preserve"> </w:t>
      </w:r>
      <w:r w:rsidR="006E3436" w:rsidRPr="00D72251">
        <w:rPr>
          <w:sz w:val="28"/>
          <w:szCs w:val="28"/>
        </w:rPr>
        <w:t>L</w:t>
      </w:r>
      <w:r w:rsidR="006E3436" w:rsidRPr="006E3436">
        <w:rPr>
          <w:sz w:val="28"/>
          <w:szCs w:val="28"/>
        </w:rPr>
        <w:t>CMB7003</w:t>
      </w:r>
    </w:p>
    <w:p w14:paraId="0CE9AAF3" w14:textId="388415DD" w:rsidR="006E3436" w:rsidRPr="00043B72" w:rsidRDefault="00BD3A4F" w:rsidP="00BD3A4F">
      <w:pPr>
        <w:ind w:left="2160"/>
        <w:rPr>
          <w:sz w:val="28"/>
          <w:szCs w:val="28"/>
        </w:rPr>
      </w:pPr>
      <w:r>
        <w:rPr>
          <w:b/>
          <w:bCs/>
          <w:sz w:val="28"/>
          <w:szCs w:val="28"/>
        </w:rPr>
        <w:t xml:space="preserve">     </w:t>
      </w:r>
      <w:r w:rsidR="006E3436" w:rsidRPr="00043B72">
        <w:rPr>
          <w:b/>
          <w:bCs/>
          <w:sz w:val="28"/>
          <w:szCs w:val="28"/>
        </w:rPr>
        <w:t>Lecturer name</w:t>
      </w:r>
      <w:r w:rsidR="006E3436" w:rsidRPr="00043B72">
        <w:rPr>
          <w:sz w:val="28"/>
          <w:szCs w:val="28"/>
        </w:rPr>
        <w:t xml:space="preserve">: </w:t>
      </w:r>
      <w:r w:rsidR="001841A2">
        <w:rPr>
          <w:sz w:val="28"/>
          <w:szCs w:val="28"/>
        </w:rPr>
        <w:t>Hoang Nguyen</w:t>
      </w:r>
    </w:p>
    <w:p w14:paraId="6DB42CE4" w14:textId="519AA424" w:rsidR="00BD3A4F" w:rsidRDefault="00BD3A4F" w:rsidP="00BD3A4F">
      <w:pPr>
        <w:ind w:left="1440" w:firstLine="720"/>
        <w:rPr>
          <w:sz w:val="28"/>
          <w:szCs w:val="28"/>
        </w:rPr>
      </w:pPr>
      <w:r>
        <w:rPr>
          <w:b/>
          <w:bCs/>
          <w:sz w:val="28"/>
          <w:szCs w:val="28"/>
        </w:rPr>
        <w:t xml:space="preserve">     </w:t>
      </w:r>
      <w:r w:rsidR="006E3436" w:rsidRPr="00043B72">
        <w:rPr>
          <w:b/>
          <w:bCs/>
          <w:sz w:val="28"/>
          <w:szCs w:val="28"/>
        </w:rPr>
        <w:t>Student name</w:t>
      </w:r>
      <w:r w:rsidR="006E3436" w:rsidRPr="00043B72">
        <w:rPr>
          <w:sz w:val="28"/>
          <w:szCs w:val="28"/>
        </w:rPr>
        <w:t>:</w:t>
      </w:r>
      <w:r w:rsidR="001841A2">
        <w:rPr>
          <w:sz w:val="28"/>
          <w:szCs w:val="28"/>
        </w:rPr>
        <w:t xml:space="preserve"> Md Nebir Miah</w:t>
      </w:r>
    </w:p>
    <w:p w14:paraId="02D07622" w14:textId="0F981E80" w:rsidR="006E3436" w:rsidRPr="00043B72" w:rsidRDefault="00BD3A4F" w:rsidP="00BD3A4F">
      <w:pPr>
        <w:ind w:left="1440" w:firstLine="720"/>
        <w:rPr>
          <w:sz w:val="28"/>
          <w:szCs w:val="28"/>
        </w:rPr>
      </w:pPr>
      <w:r>
        <w:rPr>
          <w:b/>
          <w:bCs/>
          <w:sz w:val="28"/>
          <w:szCs w:val="28"/>
        </w:rPr>
        <w:t xml:space="preserve">     </w:t>
      </w:r>
      <w:r w:rsidR="006E3436" w:rsidRPr="00043B72">
        <w:rPr>
          <w:b/>
          <w:bCs/>
          <w:sz w:val="28"/>
          <w:szCs w:val="28"/>
        </w:rPr>
        <w:t>Student ID</w:t>
      </w:r>
      <w:r w:rsidR="006E3436" w:rsidRPr="00043B72">
        <w:rPr>
          <w:sz w:val="28"/>
          <w:szCs w:val="28"/>
        </w:rPr>
        <w:t>:</w:t>
      </w:r>
      <w:r w:rsidR="001841A2">
        <w:rPr>
          <w:sz w:val="28"/>
          <w:szCs w:val="28"/>
        </w:rPr>
        <w:t xml:space="preserve"> 2516200</w:t>
      </w:r>
      <w:r w:rsidR="006E3436">
        <w:rPr>
          <w:sz w:val="28"/>
          <w:szCs w:val="28"/>
        </w:rPr>
        <w:t xml:space="preserve"> </w:t>
      </w:r>
    </w:p>
    <w:p w14:paraId="3B761CDB" w14:textId="75847D26" w:rsidR="006E3436" w:rsidRPr="00043B72" w:rsidRDefault="00BD3A4F" w:rsidP="006E3436">
      <w:pPr>
        <w:rPr>
          <w:sz w:val="28"/>
          <w:szCs w:val="28"/>
        </w:rPr>
      </w:pPr>
      <w:r>
        <w:rPr>
          <w:sz w:val="28"/>
          <w:szCs w:val="28"/>
        </w:rPr>
        <w:t xml:space="preserve">                                 </w:t>
      </w:r>
      <w:r w:rsidR="006E3436" w:rsidRPr="00043B72">
        <w:rPr>
          <w:b/>
          <w:bCs/>
          <w:sz w:val="28"/>
          <w:szCs w:val="28"/>
        </w:rPr>
        <w:t>Word count</w:t>
      </w:r>
      <w:r w:rsidR="006E3436" w:rsidRPr="00043B72">
        <w:rPr>
          <w:sz w:val="28"/>
          <w:szCs w:val="28"/>
        </w:rPr>
        <w:t>:</w:t>
      </w:r>
      <w:r w:rsidR="006E3436">
        <w:rPr>
          <w:sz w:val="28"/>
          <w:szCs w:val="28"/>
        </w:rPr>
        <w:t xml:space="preserve"> 5103</w:t>
      </w:r>
    </w:p>
    <w:p w14:paraId="3D3DC651" w14:textId="23805077" w:rsidR="006E3436" w:rsidRDefault="00BD3A4F" w:rsidP="006E3436">
      <w:pPr>
        <w:rPr>
          <w:sz w:val="28"/>
          <w:szCs w:val="28"/>
        </w:rPr>
      </w:pPr>
      <w:r>
        <w:rPr>
          <w:b/>
          <w:bCs/>
          <w:sz w:val="28"/>
          <w:szCs w:val="28"/>
        </w:rPr>
        <w:t xml:space="preserve">                                 </w:t>
      </w:r>
      <w:r w:rsidR="006E3436" w:rsidRPr="00043B72">
        <w:rPr>
          <w:b/>
          <w:bCs/>
          <w:sz w:val="28"/>
          <w:szCs w:val="28"/>
        </w:rPr>
        <w:t>Submission date</w:t>
      </w:r>
      <w:r w:rsidR="006E3436" w:rsidRPr="00043B72">
        <w:rPr>
          <w:sz w:val="28"/>
          <w:szCs w:val="28"/>
        </w:rPr>
        <w:t>:</w:t>
      </w:r>
      <w:r w:rsidR="001841A2">
        <w:rPr>
          <w:sz w:val="28"/>
          <w:szCs w:val="28"/>
        </w:rPr>
        <w:t xml:space="preserve"> 1</w:t>
      </w:r>
      <w:r>
        <w:rPr>
          <w:sz w:val="28"/>
          <w:szCs w:val="28"/>
        </w:rPr>
        <w:t xml:space="preserve">1 August </w:t>
      </w:r>
      <w:r w:rsidR="001841A2">
        <w:rPr>
          <w:sz w:val="28"/>
          <w:szCs w:val="28"/>
        </w:rPr>
        <w:t>2026</w:t>
      </w:r>
    </w:p>
    <w:p w14:paraId="09A6C010" w14:textId="77777777" w:rsidR="005F5C79" w:rsidRDefault="001841A2" w:rsidP="005F5C79">
      <w:r>
        <w:br/>
      </w:r>
    </w:p>
    <w:p w14:paraId="72CA40E3" w14:textId="6DD46EAC" w:rsidR="005F5C79" w:rsidRPr="00BB76CA" w:rsidRDefault="005F5C79" w:rsidP="005F5C79">
      <w:pPr>
        <w:rPr>
          <w:b/>
          <w:bCs/>
        </w:rPr>
      </w:pPr>
      <w:r w:rsidRPr="00BB76CA">
        <w:rPr>
          <w:b/>
          <w:bCs/>
        </w:rPr>
        <w:lastRenderedPageBreak/>
        <w:t>AI use acknowledgement</w:t>
      </w:r>
    </w:p>
    <w:p w14:paraId="0FCCAAE4" w14:textId="542839CD" w:rsidR="006E3436" w:rsidRDefault="006E3436" w:rsidP="00080D9C">
      <w:r>
        <w:t>I acknowledge the use of Chatgpt (https://chatgpt.com/ on 27th July, 2026 to research, planning and development of my assignment. I used the prompt:</w:t>
      </w:r>
    </w:p>
    <w:p w14:paraId="39C4B25D" w14:textId="77777777" w:rsidR="006E3436" w:rsidRDefault="006E3436" w:rsidP="00080D9C">
      <w:r>
        <w:t>P</w:t>
      </w:r>
      <w:r w:rsidRPr="006E3436">
        <w:t>rovide an evidence-based foundation for analysing the strategic position of Suzuki Motorcycle India’s 2026 Gixxer SF 250 in the Indian market.</w:t>
      </w:r>
    </w:p>
    <w:p w14:paraId="49FB62D7" w14:textId="77777777" w:rsidR="00080D9C" w:rsidRDefault="006E3436" w:rsidP="00080D9C">
      <w:r>
        <w:t>I confirm that I have not presented any AI generated text as my own work. I confirm I have copies of my drafts, notes, and other resources I used before, and after the use of AI tools which I may be asked to provide in evidence.</w:t>
      </w:r>
    </w:p>
    <w:p w14:paraId="4C0BAFC4" w14:textId="77777777" w:rsidR="00080D9C" w:rsidRDefault="00080D9C">
      <w:pPr>
        <w:spacing w:line="259" w:lineRule="auto"/>
        <w:jc w:val="left"/>
      </w:pPr>
      <w:r>
        <w:br w:type="page"/>
      </w:r>
    </w:p>
    <w:sdt>
      <w:sdtPr>
        <w:rPr>
          <w:rFonts w:ascii="Arial" w:eastAsiaTheme="minorHAnsi" w:hAnsi="Arial" w:cstheme="minorBidi"/>
          <w:color w:val="auto"/>
          <w:sz w:val="24"/>
          <w:szCs w:val="22"/>
          <w:lang w:val="en-GB"/>
        </w:rPr>
        <w:id w:val="-1037125184"/>
        <w:docPartObj>
          <w:docPartGallery w:val="Table of Contents"/>
          <w:docPartUnique/>
        </w:docPartObj>
      </w:sdtPr>
      <w:sdtEndPr>
        <w:rPr>
          <w:b/>
          <w:bCs/>
          <w:noProof/>
        </w:rPr>
      </w:sdtEndPr>
      <w:sdtContent>
        <w:p w14:paraId="7762CDFD" w14:textId="77777777" w:rsidR="00080D9C" w:rsidRDefault="00080D9C">
          <w:pPr>
            <w:pStyle w:val="TOCHeading"/>
          </w:pPr>
          <w:r>
            <w:t>Contents</w:t>
          </w:r>
        </w:p>
        <w:p w14:paraId="2485504F" w14:textId="77777777" w:rsidR="00080D9C" w:rsidRDefault="00080D9C">
          <w:pPr>
            <w:pStyle w:val="TOC1"/>
            <w:tabs>
              <w:tab w:val="left" w:pos="480"/>
              <w:tab w:val="right" w:leader="dot" w:pos="9350"/>
            </w:tabs>
            <w:rPr>
              <w:rFonts w:asciiTheme="minorHAnsi" w:eastAsiaTheme="minorEastAsia" w:hAnsiTheme="minorHAnsi"/>
              <w:noProof/>
              <w:sz w:val="22"/>
              <w:lang w:val="en-US"/>
            </w:rPr>
          </w:pPr>
          <w:r>
            <w:fldChar w:fldCharType="begin"/>
          </w:r>
          <w:r>
            <w:instrText xml:space="preserve"> TOC \o "1-2" \h \z \u </w:instrText>
          </w:r>
          <w:r>
            <w:fldChar w:fldCharType="separate"/>
          </w:r>
          <w:hyperlink w:anchor="_Toc236648321" w:history="1">
            <w:r w:rsidRPr="00A66163">
              <w:rPr>
                <w:rStyle w:val="Hyperlink"/>
                <w:noProof/>
              </w:rPr>
              <w:t>1.</w:t>
            </w:r>
            <w:r>
              <w:rPr>
                <w:rFonts w:asciiTheme="minorHAnsi" w:eastAsiaTheme="minorEastAsia" w:hAnsiTheme="minorHAnsi"/>
                <w:noProof/>
                <w:sz w:val="22"/>
                <w:lang w:val="en-US"/>
              </w:rPr>
              <w:tab/>
            </w:r>
            <w:r w:rsidRPr="00A66163">
              <w:rPr>
                <w:rStyle w:val="Hyperlink"/>
                <w:noProof/>
              </w:rPr>
              <w:t>Organisational Context and Overview</w:t>
            </w:r>
            <w:r>
              <w:rPr>
                <w:noProof/>
                <w:webHidden/>
              </w:rPr>
              <w:tab/>
            </w:r>
            <w:r>
              <w:rPr>
                <w:noProof/>
                <w:webHidden/>
              </w:rPr>
              <w:fldChar w:fldCharType="begin"/>
            </w:r>
            <w:r>
              <w:rPr>
                <w:noProof/>
                <w:webHidden/>
              </w:rPr>
              <w:instrText xml:space="preserve"> PAGEREF _Toc236648321 \h </w:instrText>
            </w:r>
            <w:r>
              <w:rPr>
                <w:noProof/>
                <w:webHidden/>
              </w:rPr>
            </w:r>
            <w:r>
              <w:rPr>
                <w:noProof/>
                <w:webHidden/>
              </w:rPr>
              <w:fldChar w:fldCharType="separate"/>
            </w:r>
            <w:r>
              <w:rPr>
                <w:noProof/>
                <w:webHidden/>
              </w:rPr>
              <w:t>5</w:t>
            </w:r>
            <w:r>
              <w:rPr>
                <w:noProof/>
                <w:webHidden/>
              </w:rPr>
              <w:fldChar w:fldCharType="end"/>
            </w:r>
          </w:hyperlink>
        </w:p>
        <w:p w14:paraId="2966A1AB" w14:textId="77777777" w:rsidR="00080D9C" w:rsidRDefault="00080D9C">
          <w:pPr>
            <w:pStyle w:val="TOC2"/>
            <w:tabs>
              <w:tab w:val="left" w:pos="880"/>
              <w:tab w:val="right" w:leader="dot" w:pos="9350"/>
            </w:tabs>
            <w:rPr>
              <w:rFonts w:asciiTheme="minorHAnsi" w:eastAsiaTheme="minorEastAsia" w:hAnsiTheme="minorHAnsi"/>
              <w:noProof/>
              <w:sz w:val="22"/>
              <w:lang w:val="en-US"/>
            </w:rPr>
          </w:pPr>
          <w:hyperlink w:anchor="_Toc236648322" w:history="1">
            <w:r w:rsidRPr="00A66163">
              <w:rPr>
                <w:rStyle w:val="Hyperlink"/>
                <w:noProof/>
              </w:rPr>
              <w:t>1.1</w:t>
            </w:r>
            <w:r>
              <w:rPr>
                <w:rFonts w:asciiTheme="minorHAnsi" w:eastAsiaTheme="minorEastAsia" w:hAnsiTheme="minorHAnsi"/>
                <w:noProof/>
                <w:sz w:val="22"/>
                <w:lang w:val="en-US"/>
              </w:rPr>
              <w:tab/>
            </w:r>
            <w:r w:rsidRPr="00A66163">
              <w:rPr>
                <w:rStyle w:val="Hyperlink"/>
                <w:noProof/>
              </w:rPr>
              <w:t>Organisation and Product Background</w:t>
            </w:r>
            <w:r>
              <w:rPr>
                <w:noProof/>
                <w:webHidden/>
              </w:rPr>
              <w:tab/>
            </w:r>
            <w:r>
              <w:rPr>
                <w:noProof/>
                <w:webHidden/>
              </w:rPr>
              <w:fldChar w:fldCharType="begin"/>
            </w:r>
            <w:r>
              <w:rPr>
                <w:noProof/>
                <w:webHidden/>
              </w:rPr>
              <w:instrText xml:space="preserve"> PAGEREF _Toc236648322 \h </w:instrText>
            </w:r>
            <w:r>
              <w:rPr>
                <w:noProof/>
                <w:webHidden/>
              </w:rPr>
            </w:r>
            <w:r>
              <w:rPr>
                <w:noProof/>
                <w:webHidden/>
              </w:rPr>
              <w:fldChar w:fldCharType="separate"/>
            </w:r>
            <w:r>
              <w:rPr>
                <w:noProof/>
                <w:webHidden/>
              </w:rPr>
              <w:t>5</w:t>
            </w:r>
            <w:r>
              <w:rPr>
                <w:noProof/>
                <w:webHidden/>
              </w:rPr>
              <w:fldChar w:fldCharType="end"/>
            </w:r>
          </w:hyperlink>
        </w:p>
        <w:p w14:paraId="6154F516" w14:textId="77777777" w:rsidR="00080D9C" w:rsidRDefault="00080D9C">
          <w:pPr>
            <w:pStyle w:val="TOC2"/>
            <w:tabs>
              <w:tab w:val="left" w:pos="880"/>
              <w:tab w:val="right" w:leader="dot" w:pos="9350"/>
            </w:tabs>
            <w:rPr>
              <w:rFonts w:asciiTheme="minorHAnsi" w:eastAsiaTheme="minorEastAsia" w:hAnsiTheme="minorHAnsi"/>
              <w:noProof/>
              <w:sz w:val="22"/>
              <w:lang w:val="en-US"/>
            </w:rPr>
          </w:pPr>
          <w:hyperlink w:anchor="_Toc236648323" w:history="1">
            <w:r w:rsidRPr="00A66163">
              <w:rPr>
                <w:rStyle w:val="Hyperlink"/>
                <w:noProof/>
              </w:rPr>
              <w:t>1.2</w:t>
            </w:r>
            <w:r>
              <w:rPr>
                <w:rFonts w:asciiTheme="minorHAnsi" w:eastAsiaTheme="minorEastAsia" w:hAnsiTheme="minorHAnsi"/>
                <w:noProof/>
                <w:sz w:val="22"/>
                <w:lang w:val="en-US"/>
              </w:rPr>
              <w:tab/>
            </w:r>
            <w:r w:rsidRPr="00A66163">
              <w:rPr>
                <w:rStyle w:val="Hyperlink"/>
                <w:noProof/>
              </w:rPr>
              <w:t>Mission, Vision and Strategic Purpose</w:t>
            </w:r>
            <w:r>
              <w:rPr>
                <w:noProof/>
                <w:webHidden/>
              </w:rPr>
              <w:tab/>
            </w:r>
            <w:r>
              <w:rPr>
                <w:noProof/>
                <w:webHidden/>
              </w:rPr>
              <w:fldChar w:fldCharType="begin"/>
            </w:r>
            <w:r>
              <w:rPr>
                <w:noProof/>
                <w:webHidden/>
              </w:rPr>
              <w:instrText xml:space="preserve"> PAGEREF _Toc236648323 \h </w:instrText>
            </w:r>
            <w:r>
              <w:rPr>
                <w:noProof/>
                <w:webHidden/>
              </w:rPr>
            </w:r>
            <w:r>
              <w:rPr>
                <w:noProof/>
                <w:webHidden/>
              </w:rPr>
              <w:fldChar w:fldCharType="separate"/>
            </w:r>
            <w:r>
              <w:rPr>
                <w:noProof/>
                <w:webHidden/>
              </w:rPr>
              <w:t>5</w:t>
            </w:r>
            <w:r>
              <w:rPr>
                <w:noProof/>
                <w:webHidden/>
              </w:rPr>
              <w:fldChar w:fldCharType="end"/>
            </w:r>
          </w:hyperlink>
        </w:p>
        <w:p w14:paraId="134B3046" w14:textId="77777777" w:rsidR="00080D9C" w:rsidRDefault="00080D9C">
          <w:pPr>
            <w:pStyle w:val="TOC2"/>
            <w:tabs>
              <w:tab w:val="left" w:pos="880"/>
              <w:tab w:val="right" w:leader="dot" w:pos="9350"/>
            </w:tabs>
            <w:rPr>
              <w:rFonts w:asciiTheme="minorHAnsi" w:eastAsiaTheme="minorEastAsia" w:hAnsiTheme="minorHAnsi"/>
              <w:noProof/>
              <w:sz w:val="22"/>
              <w:lang w:val="en-US"/>
            </w:rPr>
          </w:pPr>
          <w:hyperlink w:anchor="_Toc236648324" w:history="1">
            <w:r w:rsidRPr="00A66163">
              <w:rPr>
                <w:rStyle w:val="Hyperlink"/>
                <w:noProof/>
              </w:rPr>
              <w:t>1.3</w:t>
            </w:r>
            <w:r>
              <w:rPr>
                <w:rFonts w:asciiTheme="minorHAnsi" w:eastAsiaTheme="minorEastAsia" w:hAnsiTheme="minorHAnsi"/>
                <w:noProof/>
                <w:sz w:val="22"/>
                <w:lang w:val="en-US"/>
              </w:rPr>
              <w:tab/>
            </w:r>
            <w:r w:rsidRPr="00A66163">
              <w:rPr>
                <w:rStyle w:val="Hyperlink"/>
                <w:noProof/>
              </w:rPr>
              <w:t>Business Model and Value Proposition</w:t>
            </w:r>
            <w:r>
              <w:rPr>
                <w:noProof/>
                <w:webHidden/>
              </w:rPr>
              <w:tab/>
            </w:r>
            <w:r>
              <w:rPr>
                <w:noProof/>
                <w:webHidden/>
              </w:rPr>
              <w:fldChar w:fldCharType="begin"/>
            </w:r>
            <w:r>
              <w:rPr>
                <w:noProof/>
                <w:webHidden/>
              </w:rPr>
              <w:instrText xml:space="preserve"> PAGEREF _Toc236648324 \h </w:instrText>
            </w:r>
            <w:r>
              <w:rPr>
                <w:noProof/>
                <w:webHidden/>
              </w:rPr>
            </w:r>
            <w:r>
              <w:rPr>
                <w:noProof/>
                <w:webHidden/>
              </w:rPr>
              <w:fldChar w:fldCharType="separate"/>
            </w:r>
            <w:r>
              <w:rPr>
                <w:noProof/>
                <w:webHidden/>
              </w:rPr>
              <w:t>6</w:t>
            </w:r>
            <w:r>
              <w:rPr>
                <w:noProof/>
                <w:webHidden/>
              </w:rPr>
              <w:fldChar w:fldCharType="end"/>
            </w:r>
          </w:hyperlink>
        </w:p>
        <w:p w14:paraId="4687BAC1" w14:textId="77777777" w:rsidR="00080D9C" w:rsidRDefault="00080D9C">
          <w:pPr>
            <w:pStyle w:val="TOC2"/>
            <w:tabs>
              <w:tab w:val="left" w:pos="880"/>
              <w:tab w:val="right" w:leader="dot" w:pos="9350"/>
            </w:tabs>
            <w:rPr>
              <w:rFonts w:asciiTheme="minorHAnsi" w:eastAsiaTheme="minorEastAsia" w:hAnsiTheme="minorHAnsi"/>
              <w:noProof/>
              <w:sz w:val="22"/>
              <w:lang w:val="en-US"/>
            </w:rPr>
          </w:pPr>
          <w:hyperlink w:anchor="_Toc236648325" w:history="1">
            <w:r w:rsidRPr="00A66163">
              <w:rPr>
                <w:rStyle w:val="Hyperlink"/>
                <w:noProof/>
              </w:rPr>
              <w:t>1.4</w:t>
            </w:r>
            <w:r>
              <w:rPr>
                <w:rFonts w:asciiTheme="minorHAnsi" w:eastAsiaTheme="minorEastAsia" w:hAnsiTheme="minorHAnsi"/>
                <w:noProof/>
                <w:sz w:val="22"/>
                <w:lang w:val="en-US"/>
              </w:rPr>
              <w:tab/>
            </w:r>
            <w:r w:rsidRPr="00A66163">
              <w:rPr>
                <w:rStyle w:val="Hyperlink"/>
                <w:noProof/>
              </w:rPr>
              <w:t>Industry, Competitors and Market Position</w:t>
            </w:r>
            <w:r>
              <w:rPr>
                <w:noProof/>
                <w:webHidden/>
              </w:rPr>
              <w:tab/>
            </w:r>
            <w:r>
              <w:rPr>
                <w:noProof/>
                <w:webHidden/>
              </w:rPr>
              <w:fldChar w:fldCharType="begin"/>
            </w:r>
            <w:r>
              <w:rPr>
                <w:noProof/>
                <w:webHidden/>
              </w:rPr>
              <w:instrText xml:space="preserve"> PAGEREF _Toc236648325 \h </w:instrText>
            </w:r>
            <w:r>
              <w:rPr>
                <w:noProof/>
                <w:webHidden/>
              </w:rPr>
            </w:r>
            <w:r>
              <w:rPr>
                <w:noProof/>
                <w:webHidden/>
              </w:rPr>
              <w:fldChar w:fldCharType="separate"/>
            </w:r>
            <w:r>
              <w:rPr>
                <w:noProof/>
                <w:webHidden/>
              </w:rPr>
              <w:t>7</w:t>
            </w:r>
            <w:r>
              <w:rPr>
                <w:noProof/>
                <w:webHidden/>
              </w:rPr>
              <w:fldChar w:fldCharType="end"/>
            </w:r>
          </w:hyperlink>
        </w:p>
        <w:p w14:paraId="60146956" w14:textId="77777777" w:rsidR="00080D9C" w:rsidRDefault="00080D9C">
          <w:pPr>
            <w:pStyle w:val="TOC1"/>
            <w:tabs>
              <w:tab w:val="left" w:pos="480"/>
              <w:tab w:val="right" w:leader="dot" w:pos="9350"/>
            </w:tabs>
            <w:rPr>
              <w:rFonts w:asciiTheme="minorHAnsi" w:eastAsiaTheme="minorEastAsia" w:hAnsiTheme="minorHAnsi"/>
              <w:noProof/>
              <w:sz w:val="22"/>
              <w:lang w:val="en-US"/>
            </w:rPr>
          </w:pPr>
          <w:hyperlink w:anchor="_Toc236648326" w:history="1">
            <w:r w:rsidRPr="00A66163">
              <w:rPr>
                <w:rStyle w:val="Hyperlink"/>
                <w:noProof/>
              </w:rPr>
              <w:t>2.</w:t>
            </w:r>
            <w:r>
              <w:rPr>
                <w:rFonts w:asciiTheme="minorHAnsi" w:eastAsiaTheme="minorEastAsia" w:hAnsiTheme="minorHAnsi"/>
                <w:noProof/>
                <w:sz w:val="22"/>
                <w:lang w:val="en-US"/>
              </w:rPr>
              <w:tab/>
            </w:r>
            <w:r w:rsidRPr="00A66163">
              <w:rPr>
                <w:rStyle w:val="Hyperlink"/>
                <w:noProof/>
              </w:rPr>
              <w:t>External and Internal Analysis</w:t>
            </w:r>
            <w:r>
              <w:rPr>
                <w:noProof/>
                <w:webHidden/>
              </w:rPr>
              <w:tab/>
            </w:r>
            <w:r>
              <w:rPr>
                <w:noProof/>
                <w:webHidden/>
              </w:rPr>
              <w:fldChar w:fldCharType="begin"/>
            </w:r>
            <w:r>
              <w:rPr>
                <w:noProof/>
                <w:webHidden/>
              </w:rPr>
              <w:instrText xml:space="preserve"> PAGEREF _Toc236648326 \h </w:instrText>
            </w:r>
            <w:r>
              <w:rPr>
                <w:noProof/>
                <w:webHidden/>
              </w:rPr>
            </w:r>
            <w:r>
              <w:rPr>
                <w:noProof/>
                <w:webHidden/>
              </w:rPr>
              <w:fldChar w:fldCharType="separate"/>
            </w:r>
            <w:r>
              <w:rPr>
                <w:noProof/>
                <w:webHidden/>
              </w:rPr>
              <w:t>8</w:t>
            </w:r>
            <w:r>
              <w:rPr>
                <w:noProof/>
                <w:webHidden/>
              </w:rPr>
              <w:fldChar w:fldCharType="end"/>
            </w:r>
          </w:hyperlink>
        </w:p>
        <w:p w14:paraId="0A19DF50" w14:textId="77777777" w:rsidR="00080D9C" w:rsidRDefault="00080D9C">
          <w:pPr>
            <w:pStyle w:val="TOC2"/>
            <w:tabs>
              <w:tab w:val="left" w:pos="880"/>
              <w:tab w:val="right" w:leader="dot" w:pos="9350"/>
            </w:tabs>
            <w:rPr>
              <w:rFonts w:asciiTheme="minorHAnsi" w:eastAsiaTheme="minorEastAsia" w:hAnsiTheme="minorHAnsi"/>
              <w:noProof/>
              <w:sz w:val="22"/>
              <w:lang w:val="en-US"/>
            </w:rPr>
          </w:pPr>
          <w:hyperlink w:anchor="_Toc236648327" w:history="1">
            <w:r w:rsidRPr="00A66163">
              <w:rPr>
                <w:rStyle w:val="Hyperlink"/>
                <w:noProof/>
              </w:rPr>
              <w:t>2.1</w:t>
            </w:r>
            <w:r>
              <w:rPr>
                <w:rFonts w:asciiTheme="minorHAnsi" w:eastAsiaTheme="minorEastAsia" w:hAnsiTheme="minorHAnsi"/>
                <w:noProof/>
                <w:sz w:val="22"/>
                <w:lang w:val="en-US"/>
              </w:rPr>
              <w:tab/>
            </w:r>
            <w:r w:rsidRPr="00A66163">
              <w:rPr>
                <w:rStyle w:val="Hyperlink"/>
                <w:noProof/>
              </w:rPr>
              <w:t>PESTEL Analysis</w:t>
            </w:r>
            <w:r>
              <w:rPr>
                <w:noProof/>
                <w:webHidden/>
              </w:rPr>
              <w:tab/>
            </w:r>
            <w:r>
              <w:rPr>
                <w:noProof/>
                <w:webHidden/>
              </w:rPr>
              <w:fldChar w:fldCharType="begin"/>
            </w:r>
            <w:r>
              <w:rPr>
                <w:noProof/>
                <w:webHidden/>
              </w:rPr>
              <w:instrText xml:space="preserve"> PAGEREF _Toc236648327 \h </w:instrText>
            </w:r>
            <w:r>
              <w:rPr>
                <w:noProof/>
                <w:webHidden/>
              </w:rPr>
            </w:r>
            <w:r>
              <w:rPr>
                <w:noProof/>
                <w:webHidden/>
              </w:rPr>
              <w:fldChar w:fldCharType="separate"/>
            </w:r>
            <w:r>
              <w:rPr>
                <w:noProof/>
                <w:webHidden/>
              </w:rPr>
              <w:t>8</w:t>
            </w:r>
            <w:r>
              <w:rPr>
                <w:noProof/>
                <w:webHidden/>
              </w:rPr>
              <w:fldChar w:fldCharType="end"/>
            </w:r>
          </w:hyperlink>
        </w:p>
        <w:p w14:paraId="1D98B617" w14:textId="77777777" w:rsidR="00080D9C" w:rsidRDefault="00080D9C">
          <w:pPr>
            <w:pStyle w:val="TOC2"/>
            <w:tabs>
              <w:tab w:val="left" w:pos="880"/>
              <w:tab w:val="right" w:leader="dot" w:pos="9350"/>
            </w:tabs>
            <w:rPr>
              <w:rFonts w:asciiTheme="minorHAnsi" w:eastAsiaTheme="minorEastAsia" w:hAnsiTheme="minorHAnsi"/>
              <w:noProof/>
              <w:sz w:val="22"/>
              <w:lang w:val="en-US"/>
            </w:rPr>
          </w:pPr>
          <w:hyperlink w:anchor="_Toc236648328" w:history="1">
            <w:r w:rsidRPr="00A66163">
              <w:rPr>
                <w:rStyle w:val="Hyperlink"/>
                <w:noProof/>
              </w:rPr>
              <w:t>2.2</w:t>
            </w:r>
            <w:r>
              <w:rPr>
                <w:rFonts w:asciiTheme="minorHAnsi" w:eastAsiaTheme="minorEastAsia" w:hAnsiTheme="minorHAnsi"/>
                <w:noProof/>
                <w:sz w:val="22"/>
                <w:lang w:val="en-US"/>
              </w:rPr>
              <w:tab/>
            </w:r>
            <w:r w:rsidRPr="00A66163">
              <w:rPr>
                <w:rStyle w:val="Hyperlink"/>
                <w:noProof/>
              </w:rPr>
              <w:t>Porter’s Five Forces</w:t>
            </w:r>
            <w:r>
              <w:rPr>
                <w:noProof/>
                <w:webHidden/>
              </w:rPr>
              <w:tab/>
            </w:r>
            <w:r>
              <w:rPr>
                <w:noProof/>
                <w:webHidden/>
              </w:rPr>
              <w:fldChar w:fldCharType="begin"/>
            </w:r>
            <w:r>
              <w:rPr>
                <w:noProof/>
                <w:webHidden/>
              </w:rPr>
              <w:instrText xml:space="preserve"> PAGEREF _Toc236648328 \h </w:instrText>
            </w:r>
            <w:r>
              <w:rPr>
                <w:noProof/>
                <w:webHidden/>
              </w:rPr>
            </w:r>
            <w:r>
              <w:rPr>
                <w:noProof/>
                <w:webHidden/>
              </w:rPr>
              <w:fldChar w:fldCharType="separate"/>
            </w:r>
            <w:r>
              <w:rPr>
                <w:noProof/>
                <w:webHidden/>
              </w:rPr>
              <w:t>12</w:t>
            </w:r>
            <w:r>
              <w:rPr>
                <w:noProof/>
                <w:webHidden/>
              </w:rPr>
              <w:fldChar w:fldCharType="end"/>
            </w:r>
          </w:hyperlink>
        </w:p>
        <w:p w14:paraId="068E4269" w14:textId="77777777" w:rsidR="00080D9C" w:rsidRDefault="00080D9C">
          <w:pPr>
            <w:pStyle w:val="TOC2"/>
            <w:tabs>
              <w:tab w:val="left" w:pos="880"/>
              <w:tab w:val="right" w:leader="dot" w:pos="9350"/>
            </w:tabs>
            <w:rPr>
              <w:rFonts w:asciiTheme="minorHAnsi" w:eastAsiaTheme="minorEastAsia" w:hAnsiTheme="minorHAnsi"/>
              <w:noProof/>
              <w:sz w:val="22"/>
              <w:lang w:val="en-US"/>
            </w:rPr>
          </w:pPr>
          <w:hyperlink w:anchor="_Toc236648329" w:history="1">
            <w:r w:rsidRPr="00A66163">
              <w:rPr>
                <w:rStyle w:val="Hyperlink"/>
                <w:noProof/>
              </w:rPr>
              <w:t>2.3</w:t>
            </w:r>
            <w:r>
              <w:rPr>
                <w:rFonts w:asciiTheme="minorHAnsi" w:eastAsiaTheme="minorEastAsia" w:hAnsiTheme="minorHAnsi"/>
                <w:noProof/>
                <w:sz w:val="22"/>
                <w:lang w:val="en-US"/>
              </w:rPr>
              <w:tab/>
            </w:r>
            <w:r w:rsidRPr="00A66163">
              <w:rPr>
                <w:rStyle w:val="Hyperlink"/>
                <w:noProof/>
              </w:rPr>
              <w:t>VRIO and Internal Analysis</w:t>
            </w:r>
            <w:r>
              <w:rPr>
                <w:noProof/>
                <w:webHidden/>
              </w:rPr>
              <w:tab/>
            </w:r>
            <w:r>
              <w:rPr>
                <w:noProof/>
                <w:webHidden/>
              </w:rPr>
              <w:fldChar w:fldCharType="begin"/>
            </w:r>
            <w:r>
              <w:rPr>
                <w:noProof/>
                <w:webHidden/>
              </w:rPr>
              <w:instrText xml:space="preserve"> PAGEREF _Toc236648329 \h </w:instrText>
            </w:r>
            <w:r>
              <w:rPr>
                <w:noProof/>
                <w:webHidden/>
              </w:rPr>
            </w:r>
            <w:r>
              <w:rPr>
                <w:noProof/>
                <w:webHidden/>
              </w:rPr>
              <w:fldChar w:fldCharType="separate"/>
            </w:r>
            <w:r>
              <w:rPr>
                <w:noProof/>
                <w:webHidden/>
              </w:rPr>
              <w:t>14</w:t>
            </w:r>
            <w:r>
              <w:rPr>
                <w:noProof/>
                <w:webHidden/>
              </w:rPr>
              <w:fldChar w:fldCharType="end"/>
            </w:r>
          </w:hyperlink>
        </w:p>
        <w:p w14:paraId="1A967683" w14:textId="77777777" w:rsidR="00080D9C" w:rsidRDefault="00080D9C">
          <w:pPr>
            <w:pStyle w:val="TOC2"/>
            <w:tabs>
              <w:tab w:val="left" w:pos="880"/>
              <w:tab w:val="right" w:leader="dot" w:pos="9350"/>
            </w:tabs>
            <w:rPr>
              <w:rFonts w:asciiTheme="minorHAnsi" w:eastAsiaTheme="minorEastAsia" w:hAnsiTheme="minorHAnsi"/>
              <w:noProof/>
              <w:sz w:val="22"/>
              <w:lang w:val="en-US"/>
            </w:rPr>
          </w:pPr>
          <w:hyperlink w:anchor="_Toc236648330" w:history="1">
            <w:r w:rsidRPr="00A66163">
              <w:rPr>
                <w:rStyle w:val="Hyperlink"/>
                <w:noProof/>
              </w:rPr>
              <w:t>2.4</w:t>
            </w:r>
            <w:r>
              <w:rPr>
                <w:rFonts w:asciiTheme="minorHAnsi" w:eastAsiaTheme="minorEastAsia" w:hAnsiTheme="minorHAnsi"/>
                <w:noProof/>
                <w:sz w:val="22"/>
                <w:lang w:val="en-US"/>
              </w:rPr>
              <w:tab/>
            </w:r>
            <w:r w:rsidRPr="00A66163">
              <w:rPr>
                <w:rStyle w:val="Hyperlink"/>
                <w:noProof/>
              </w:rPr>
              <w:t>SWOT Analysis</w:t>
            </w:r>
            <w:r>
              <w:rPr>
                <w:noProof/>
                <w:webHidden/>
              </w:rPr>
              <w:tab/>
            </w:r>
            <w:r>
              <w:rPr>
                <w:noProof/>
                <w:webHidden/>
              </w:rPr>
              <w:fldChar w:fldCharType="begin"/>
            </w:r>
            <w:r>
              <w:rPr>
                <w:noProof/>
                <w:webHidden/>
              </w:rPr>
              <w:instrText xml:space="preserve"> PAGEREF _Toc236648330 \h </w:instrText>
            </w:r>
            <w:r>
              <w:rPr>
                <w:noProof/>
                <w:webHidden/>
              </w:rPr>
            </w:r>
            <w:r>
              <w:rPr>
                <w:noProof/>
                <w:webHidden/>
              </w:rPr>
              <w:fldChar w:fldCharType="separate"/>
            </w:r>
            <w:r>
              <w:rPr>
                <w:noProof/>
                <w:webHidden/>
              </w:rPr>
              <w:t>16</w:t>
            </w:r>
            <w:r>
              <w:rPr>
                <w:noProof/>
                <w:webHidden/>
              </w:rPr>
              <w:fldChar w:fldCharType="end"/>
            </w:r>
          </w:hyperlink>
        </w:p>
        <w:p w14:paraId="194D3431" w14:textId="77777777" w:rsidR="00080D9C" w:rsidRDefault="00080D9C">
          <w:pPr>
            <w:pStyle w:val="TOC1"/>
            <w:tabs>
              <w:tab w:val="left" w:pos="480"/>
              <w:tab w:val="right" w:leader="dot" w:pos="9350"/>
            </w:tabs>
            <w:rPr>
              <w:rFonts w:asciiTheme="minorHAnsi" w:eastAsiaTheme="minorEastAsia" w:hAnsiTheme="minorHAnsi"/>
              <w:noProof/>
              <w:sz w:val="22"/>
              <w:lang w:val="en-US"/>
            </w:rPr>
          </w:pPr>
          <w:hyperlink w:anchor="_Toc236648331" w:history="1">
            <w:r w:rsidRPr="00A66163">
              <w:rPr>
                <w:rStyle w:val="Hyperlink"/>
                <w:noProof/>
              </w:rPr>
              <w:t>3.</w:t>
            </w:r>
            <w:r>
              <w:rPr>
                <w:rFonts w:asciiTheme="minorHAnsi" w:eastAsiaTheme="minorEastAsia" w:hAnsiTheme="minorHAnsi"/>
                <w:noProof/>
                <w:sz w:val="22"/>
                <w:lang w:val="en-US"/>
              </w:rPr>
              <w:tab/>
            </w:r>
            <w:r w:rsidRPr="00A66163">
              <w:rPr>
                <w:rStyle w:val="Hyperlink"/>
                <w:noProof/>
              </w:rPr>
              <w:t>Comprehensive and Holistic View of the Organisation</w:t>
            </w:r>
            <w:r>
              <w:rPr>
                <w:noProof/>
                <w:webHidden/>
              </w:rPr>
              <w:tab/>
            </w:r>
            <w:r>
              <w:rPr>
                <w:noProof/>
                <w:webHidden/>
              </w:rPr>
              <w:fldChar w:fldCharType="begin"/>
            </w:r>
            <w:r>
              <w:rPr>
                <w:noProof/>
                <w:webHidden/>
              </w:rPr>
              <w:instrText xml:space="preserve"> PAGEREF _Toc236648331 \h </w:instrText>
            </w:r>
            <w:r>
              <w:rPr>
                <w:noProof/>
                <w:webHidden/>
              </w:rPr>
            </w:r>
            <w:r>
              <w:rPr>
                <w:noProof/>
                <w:webHidden/>
              </w:rPr>
              <w:fldChar w:fldCharType="separate"/>
            </w:r>
            <w:r>
              <w:rPr>
                <w:noProof/>
                <w:webHidden/>
              </w:rPr>
              <w:t>18</w:t>
            </w:r>
            <w:r>
              <w:rPr>
                <w:noProof/>
                <w:webHidden/>
              </w:rPr>
              <w:fldChar w:fldCharType="end"/>
            </w:r>
          </w:hyperlink>
        </w:p>
        <w:p w14:paraId="41D802E8" w14:textId="77777777" w:rsidR="00080D9C" w:rsidRDefault="00080D9C">
          <w:pPr>
            <w:pStyle w:val="TOC2"/>
            <w:tabs>
              <w:tab w:val="left" w:pos="880"/>
              <w:tab w:val="right" w:leader="dot" w:pos="9350"/>
            </w:tabs>
            <w:rPr>
              <w:rFonts w:asciiTheme="minorHAnsi" w:eastAsiaTheme="minorEastAsia" w:hAnsiTheme="minorHAnsi"/>
              <w:noProof/>
              <w:sz w:val="22"/>
              <w:lang w:val="en-US"/>
            </w:rPr>
          </w:pPr>
          <w:hyperlink w:anchor="_Toc236648332" w:history="1">
            <w:r w:rsidRPr="00A66163">
              <w:rPr>
                <w:rStyle w:val="Hyperlink"/>
                <w:noProof/>
              </w:rPr>
              <w:t>3.1</w:t>
            </w:r>
            <w:r>
              <w:rPr>
                <w:rFonts w:asciiTheme="minorHAnsi" w:eastAsiaTheme="minorEastAsia" w:hAnsiTheme="minorHAnsi"/>
                <w:noProof/>
                <w:sz w:val="22"/>
                <w:lang w:val="en-US"/>
              </w:rPr>
              <w:tab/>
            </w:r>
            <w:r w:rsidRPr="00A66163">
              <w:rPr>
                <w:rStyle w:val="Hyperlink"/>
                <w:noProof/>
              </w:rPr>
              <w:t>CSR and Strategic Sustainability</w:t>
            </w:r>
            <w:r>
              <w:rPr>
                <w:noProof/>
                <w:webHidden/>
              </w:rPr>
              <w:tab/>
            </w:r>
            <w:r>
              <w:rPr>
                <w:noProof/>
                <w:webHidden/>
              </w:rPr>
              <w:fldChar w:fldCharType="begin"/>
            </w:r>
            <w:r>
              <w:rPr>
                <w:noProof/>
                <w:webHidden/>
              </w:rPr>
              <w:instrText xml:space="preserve"> PAGEREF _Toc236648332 \h </w:instrText>
            </w:r>
            <w:r>
              <w:rPr>
                <w:noProof/>
                <w:webHidden/>
              </w:rPr>
            </w:r>
            <w:r>
              <w:rPr>
                <w:noProof/>
                <w:webHidden/>
              </w:rPr>
              <w:fldChar w:fldCharType="separate"/>
            </w:r>
            <w:r>
              <w:rPr>
                <w:noProof/>
                <w:webHidden/>
              </w:rPr>
              <w:t>18</w:t>
            </w:r>
            <w:r>
              <w:rPr>
                <w:noProof/>
                <w:webHidden/>
              </w:rPr>
              <w:fldChar w:fldCharType="end"/>
            </w:r>
          </w:hyperlink>
        </w:p>
        <w:p w14:paraId="16F46696" w14:textId="77777777" w:rsidR="00080D9C" w:rsidRDefault="00080D9C">
          <w:pPr>
            <w:pStyle w:val="TOC2"/>
            <w:tabs>
              <w:tab w:val="left" w:pos="880"/>
              <w:tab w:val="right" w:leader="dot" w:pos="9350"/>
            </w:tabs>
            <w:rPr>
              <w:rFonts w:asciiTheme="minorHAnsi" w:eastAsiaTheme="minorEastAsia" w:hAnsiTheme="minorHAnsi"/>
              <w:noProof/>
              <w:sz w:val="22"/>
              <w:lang w:val="en-US"/>
            </w:rPr>
          </w:pPr>
          <w:hyperlink w:anchor="_Toc236648333" w:history="1">
            <w:r w:rsidRPr="00A66163">
              <w:rPr>
                <w:rStyle w:val="Hyperlink"/>
                <w:noProof/>
              </w:rPr>
              <w:t>3.2</w:t>
            </w:r>
            <w:r>
              <w:rPr>
                <w:rFonts w:asciiTheme="minorHAnsi" w:eastAsiaTheme="minorEastAsia" w:hAnsiTheme="minorHAnsi"/>
                <w:noProof/>
                <w:sz w:val="22"/>
                <w:lang w:val="en-US"/>
              </w:rPr>
              <w:tab/>
            </w:r>
            <w:r w:rsidRPr="00A66163">
              <w:rPr>
                <w:rStyle w:val="Hyperlink"/>
                <w:noProof/>
              </w:rPr>
              <w:t>Balanced Scorecard</w:t>
            </w:r>
            <w:r>
              <w:rPr>
                <w:noProof/>
                <w:webHidden/>
              </w:rPr>
              <w:tab/>
            </w:r>
            <w:r>
              <w:rPr>
                <w:noProof/>
                <w:webHidden/>
              </w:rPr>
              <w:fldChar w:fldCharType="begin"/>
            </w:r>
            <w:r>
              <w:rPr>
                <w:noProof/>
                <w:webHidden/>
              </w:rPr>
              <w:instrText xml:space="preserve"> PAGEREF _Toc236648333 \h </w:instrText>
            </w:r>
            <w:r>
              <w:rPr>
                <w:noProof/>
                <w:webHidden/>
              </w:rPr>
            </w:r>
            <w:r>
              <w:rPr>
                <w:noProof/>
                <w:webHidden/>
              </w:rPr>
              <w:fldChar w:fldCharType="separate"/>
            </w:r>
            <w:r>
              <w:rPr>
                <w:noProof/>
                <w:webHidden/>
              </w:rPr>
              <w:t>19</w:t>
            </w:r>
            <w:r>
              <w:rPr>
                <w:noProof/>
                <w:webHidden/>
              </w:rPr>
              <w:fldChar w:fldCharType="end"/>
            </w:r>
          </w:hyperlink>
        </w:p>
        <w:p w14:paraId="391035F9" w14:textId="77777777" w:rsidR="00080D9C" w:rsidRDefault="00080D9C">
          <w:pPr>
            <w:pStyle w:val="TOC1"/>
            <w:tabs>
              <w:tab w:val="left" w:pos="480"/>
              <w:tab w:val="right" w:leader="dot" w:pos="9350"/>
            </w:tabs>
            <w:rPr>
              <w:rFonts w:asciiTheme="minorHAnsi" w:eastAsiaTheme="minorEastAsia" w:hAnsiTheme="minorHAnsi"/>
              <w:noProof/>
              <w:sz w:val="22"/>
              <w:lang w:val="en-US"/>
            </w:rPr>
          </w:pPr>
          <w:hyperlink w:anchor="_Toc236648334" w:history="1">
            <w:r w:rsidRPr="00A66163">
              <w:rPr>
                <w:rStyle w:val="Hyperlink"/>
                <w:noProof/>
              </w:rPr>
              <w:t>4.</w:t>
            </w:r>
            <w:r>
              <w:rPr>
                <w:rFonts w:asciiTheme="minorHAnsi" w:eastAsiaTheme="minorEastAsia" w:hAnsiTheme="minorHAnsi"/>
                <w:noProof/>
                <w:sz w:val="22"/>
                <w:lang w:val="en-US"/>
              </w:rPr>
              <w:tab/>
            </w:r>
            <w:r w:rsidRPr="00A66163">
              <w:rPr>
                <w:rStyle w:val="Hyperlink"/>
                <w:noProof/>
              </w:rPr>
              <w:t>Strategic Choices and Implementation</w:t>
            </w:r>
            <w:r>
              <w:rPr>
                <w:noProof/>
                <w:webHidden/>
              </w:rPr>
              <w:tab/>
            </w:r>
            <w:r>
              <w:rPr>
                <w:noProof/>
                <w:webHidden/>
              </w:rPr>
              <w:fldChar w:fldCharType="begin"/>
            </w:r>
            <w:r>
              <w:rPr>
                <w:noProof/>
                <w:webHidden/>
              </w:rPr>
              <w:instrText xml:space="preserve"> PAGEREF _Toc236648334 \h </w:instrText>
            </w:r>
            <w:r>
              <w:rPr>
                <w:noProof/>
                <w:webHidden/>
              </w:rPr>
            </w:r>
            <w:r>
              <w:rPr>
                <w:noProof/>
                <w:webHidden/>
              </w:rPr>
              <w:fldChar w:fldCharType="separate"/>
            </w:r>
            <w:r>
              <w:rPr>
                <w:noProof/>
                <w:webHidden/>
              </w:rPr>
              <w:t>21</w:t>
            </w:r>
            <w:r>
              <w:rPr>
                <w:noProof/>
                <w:webHidden/>
              </w:rPr>
              <w:fldChar w:fldCharType="end"/>
            </w:r>
          </w:hyperlink>
        </w:p>
        <w:p w14:paraId="3DF3751D" w14:textId="77777777" w:rsidR="00080D9C" w:rsidRDefault="00080D9C">
          <w:pPr>
            <w:pStyle w:val="TOC2"/>
            <w:tabs>
              <w:tab w:val="left" w:pos="880"/>
              <w:tab w:val="right" w:leader="dot" w:pos="9350"/>
            </w:tabs>
            <w:rPr>
              <w:rFonts w:asciiTheme="minorHAnsi" w:eastAsiaTheme="minorEastAsia" w:hAnsiTheme="minorHAnsi"/>
              <w:noProof/>
              <w:sz w:val="22"/>
              <w:lang w:val="en-US"/>
            </w:rPr>
          </w:pPr>
          <w:hyperlink w:anchor="_Toc236648335" w:history="1">
            <w:r w:rsidRPr="00A66163">
              <w:rPr>
                <w:rStyle w:val="Hyperlink"/>
                <w:noProof/>
              </w:rPr>
              <w:t>4.1</w:t>
            </w:r>
            <w:r>
              <w:rPr>
                <w:rFonts w:asciiTheme="minorHAnsi" w:eastAsiaTheme="minorEastAsia" w:hAnsiTheme="minorHAnsi"/>
                <w:noProof/>
                <w:sz w:val="22"/>
                <w:lang w:val="en-US"/>
              </w:rPr>
              <w:tab/>
            </w:r>
            <w:r w:rsidRPr="00A66163">
              <w:rPr>
                <w:rStyle w:val="Hyperlink"/>
                <w:noProof/>
              </w:rPr>
              <w:t>Current business-level strategy</w:t>
            </w:r>
            <w:r>
              <w:rPr>
                <w:noProof/>
                <w:webHidden/>
              </w:rPr>
              <w:tab/>
            </w:r>
            <w:r>
              <w:rPr>
                <w:noProof/>
                <w:webHidden/>
              </w:rPr>
              <w:fldChar w:fldCharType="begin"/>
            </w:r>
            <w:r>
              <w:rPr>
                <w:noProof/>
                <w:webHidden/>
              </w:rPr>
              <w:instrText xml:space="preserve"> PAGEREF _Toc236648335 \h </w:instrText>
            </w:r>
            <w:r>
              <w:rPr>
                <w:noProof/>
                <w:webHidden/>
              </w:rPr>
            </w:r>
            <w:r>
              <w:rPr>
                <w:noProof/>
                <w:webHidden/>
              </w:rPr>
              <w:fldChar w:fldCharType="separate"/>
            </w:r>
            <w:r>
              <w:rPr>
                <w:noProof/>
                <w:webHidden/>
              </w:rPr>
              <w:t>21</w:t>
            </w:r>
            <w:r>
              <w:rPr>
                <w:noProof/>
                <w:webHidden/>
              </w:rPr>
              <w:fldChar w:fldCharType="end"/>
            </w:r>
          </w:hyperlink>
        </w:p>
        <w:p w14:paraId="3FE0A357" w14:textId="77777777" w:rsidR="00080D9C" w:rsidRDefault="00080D9C">
          <w:pPr>
            <w:pStyle w:val="TOC2"/>
            <w:tabs>
              <w:tab w:val="left" w:pos="880"/>
              <w:tab w:val="right" w:leader="dot" w:pos="9350"/>
            </w:tabs>
            <w:rPr>
              <w:rFonts w:asciiTheme="minorHAnsi" w:eastAsiaTheme="minorEastAsia" w:hAnsiTheme="minorHAnsi"/>
              <w:noProof/>
              <w:sz w:val="22"/>
              <w:lang w:val="en-US"/>
            </w:rPr>
          </w:pPr>
          <w:hyperlink w:anchor="_Toc236648336" w:history="1">
            <w:r w:rsidRPr="00A66163">
              <w:rPr>
                <w:rStyle w:val="Hyperlink"/>
                <w:noProof/>
              </w:rPr>
              <w:t>4.2</w:t>
            </w:r>
            <w:r>
              <w:rPr>
                <w:rFonts w:asciiTheme="minorHAnsi" w:eastAsiaTheme="minorEastAsia" w:hAnsiTheme="minorHAnsi"/>
                <w:noProof/>
                <w:sz w:val="22"/>
                <w:lang w:val="en-US"/>
              </w:rPr>
              <w:tab/>
            </w:r>
            <w:r w:rsidRPr="00A66163">
              <w:rPr>
                <w:rStyle w:val="Hyperlink"/>
                <w:noProof/>
              </w:rPr>
              <w:t>Available strategic choices</w:t>
            </w:r>
            <w:r>
              <w:rPr>
                <w:noProof/>
                <w:webHidden/>
              </w:rPr>
              <w:tab/>
            </w:r>
            <w:r>
              <w:rPr>
                <w:noProof/>
                <w:webHidden/>
              </w:rPr>
              <w:fldChar w:fldCharType="begin"/>
            </w:r>
            <w:r>
              <w:rPr>
                <w:noProof/>
                <w:webHidden/>
              </w:rPr>
              <w:instrText xml:space="preserve"> PAGEREF _Toc236648336 \h </w:instrText>
            </w:r>
            <w:r>
              <w:rPr>
                <w:noProof/>
                <w:webHidden/>
              </w:rPr>
            </w:r>
            <w:r>
              <w:rPr>
                <w:noProof/>
                <w:webHidden/>
              </w:rPr>
              <w:fldChar w:fldCharType="separate"/>
            </w:r>
            <w:r>
              <w:rPr>
                <w:noProof/>
                <w:webHidden/>
              </w:rPr>
              <w:t>21</w:t>
            </w:r>
            <w:r>
              <w:rPr>
                <w:noProof/>
                <w:webHidden/>
              </w:rPr>
              <w:fldChar w:fldCharType="end"/>
            </w:r>
          </w:hyperlink>
        </w:p>
        <w:p w14:paraId="27E71739" w14:textId="77777777" w:rsidR="00080D9C" w:rsidRDefault="00080D9C">
          <w:pPr>
            <w:pStyle w:val="TOC2"/>
            <w:tabs>
              <w:tab w:val="left" w:pos="880"/>
              <w:tab w:val="right" w:leader="dot" w:pos="9350"/>
            </w:tabs>
            <w:rPr>
              <w:rFonts w:asciiTheme="minorHAnsi" w:eastAsiaTheme="minorEastAsia" w:hAnsiTheme="minorHAnsi"/>
              <w:noProof/>
              <w:sz w:val="22"/>
              <w:lang w:val="en-US"/>
            </w:rPr>
          </w:pPr>
          <w:hyperlink w:anchor="_Toc236648337" w:history="1">
            <w:r w:rsidRPr="00A66163">
              <w:rPr>
                <w:rStyle w:val="Hyperlink"/>
                <w:noProof/>
              </w:rPr>
              <w:t>4.3</w:t>
            </w:r>
            <w:r>
              <w:rPr>
                <w:rFonts w:asciiTheme="minorHAnsi" w:eastAsiaTheme="minorEastAsia" w:hAnsiTheme="minorHAnsi"/>
                <w:noProof/>
                <w:sz w:val="22"/>
                <w:lang w:val="en-US"/>
              </w:rPr>
              <w:tab/>
            </w:r>
            <w:r w:rsidRPr="00A66163">
              <w:rPr>
                <w:rStyle w:val="Hyperlink"/>
                <w:noProof/>
              </w:rPr>
              <w:t>Evaluation using SAFe</w:t>
            </w:r>
            <w:r>
              <w:rPr>
                <w:noProof/>
                <w:webHidden/>
              </w:rPr>
              <w:tab/>
            </w:r>
            <w:r>
              <w:rPr>
                <w:noProof/>
                <w:webHidden/>
              </w:rPr>
              <w:fldChar w:fldCharType="begin"/>
            </w:r>
            <w:r>
              <w:rPr>
                <w:noProof/>
                <w:webHidden/>
              </w:rPr>
              <w:instrText xml:space="preserve"> PAGEREF _Toc236648337 \h </w:instrText>
            </w:r>
            <w:r>
              <w:rPr>
                <w:noProof/>
                <w:webHidden/>
              </w:rPr>
            </w:r>
            <w:r>
              <w:rPr>
                <w:noProof/>
                <w:webHidden/>
              </w:rPr>
              <w:fldChar w:fldCharType="separate"/>
            </w:r>
            <w:r>
              <w:rPr>
                <w:noProof/>
                <w:webHidden/>
              </w:rPr>
              <w:t>22</w:t>
            </w:r>
            <w:r>
              <w:rPr>
                <w:noProof/>
                <w:webHidden/>
              </w:rPr>
              <w:fldChar w:fldCharType="end"/>
            </w:r>
          </w:hyperlink>
        </w:p>
        <w:p w14:paraId="6772BEA5" w14:textId="77777777" w:rsidR="00080D9C" w:rsidRDefault="00080D9C">
          <w:pPr>
            <w:pStyle w:val="TOC1"/>
            <w:tabs>
              <w:tab w:val="left" w:pos="480"/>
              <w:tab w:val="right" w:leader="dot" w:pos="9350"/>
            </w:tabs>
            <w:rPr>
              <w:rFonts w:asciiTheme="minorHAnsi" w:eastAsiaTheme="minorEastAsia" w:hAnsiTheme="minorHAnsi"/>
              <w:noProof/>
              <w:sz w:val="22"/>
              <w:lang w:val="en-US"/>
            </w:rPr>
          </w:pPr>
          <w:hyperlink w:anchor="_Toc236648338" w:history="1">
            <w:r w:rsidRPr="00A66163">
              <w:rPr>
                <w:rStyle w:val="Hyperlink"/>
                <w:noProof/>
              </w:rPr>
              <w:t>5.</w:t>
            </w:r>
            <w:r>
              <w:rPr>
                <w:rFonts w:asciiTheme="minorHAnsi" w:eastAsiaTheme="minorEastAsia" w:hAnsiTheme="minorHAnsi"/>
                <w:noProof/>
                <w:sz w:val="22"/>
                <w:lang w:val="en-US"/>
              </w:rPr>
              <w:tab/>
            </w:r>
            <w:r w:rsidRPr="00A66163">
              <w:rPr>
                <w:rStyle w:val="Hyperlink"/>
                <w:noProof/>
              </w:rPr>
              <w:t>Gibbs reflective cycle</w:t>
            </w:r>
            <w:r>
              <w:rPr>
                <w:noProof/>
                <w:webHidden/>
              </w:rPr>
              <w:tab/>
            </w:r>
            <w:r>
              <w:rPr>
                <w:noProof/>
                <w:webHidden/>
              </w:rPr>
              <w:fldChar w:fldCharType="begin"/>
            </w:r>
            <w:r>
              <w:rPr>
                <w:noProof/>
                <w:webHidden/>
              </w:rPr>
              <w:instrText xml:space="preserve"> PAGEREF _Toc236648338 \h </w:instrText>
            </w:r>
            <w:r>
              <w:rPr>
                <w:noProof/>
                <w:webHidden/>
              </w:rPr>
            </w:r>
            <w:r>
              <w:rPr>
                <w:noProof/>
                <w:webHidden/>
              </w:rPr>
              <w:fldChar w:fldCharType="separate"/>
            </w:r>
            <w:r>
              <w:rPr>
                <w:noProof/>
                <w:webHidden/>
              </w:rPr>
              <w:t>25</w:t>
            </w:r>
            <w:r>
              <w:rPr>
                <w:noProof/>
                <w:webHidden/>
              </w:rPr>
              <w:fldChar w:fldCharType="end"/>
            </w:r>
          </w:hyperlink>
        </w:p>
        <w:p w14:paraId="3808B115" w14:textId="77777777" w:rsidR="00080D9C" w:rsidRDefault="00080D9C">
          <w:pPr>
            <w:pStyle w:val="TOC2"/>
            <w:tabs>
              <w:tab w:val="left" w:pos="880"/>
              <w:tab w:val="right" w:leader="dot" w:pos="9350"/>
            </w:tabs>
            <w:rPr>
              <w:rFonts w:asciiTheme="minorHAnsi" w:eastAsiaTheme="minorEastAsia" w:hAnsiTheme="minorHAnsi"/>
              <w:noProof/>
              <w:sz w:val="22"/>
              <w:lang w:val="en-US"/>
            </w:rPr>
          </w:pPr>
          <w:hyperlink w:anchor="_Toc236648339" w:history="1">
            <w:r w:rsidRPr="00A66163">
              <w:rPr>
                <w:rStyle w:val="Hyperlink"/>
                <w:noProof/>
              </w:rPr>
              <w:t>5.1</w:t>
            </w:r>
            <w:r>
              <w:rPr>
                <w:rFonts w:asciiTheme="minorHAnsi" w:eastAsiaTheme="minorEastAsia" w:hAnsiTheme="minorHAnsi"/>
                <w:noProof/>
                <w:sz w:val="22"/>
                <w:lang w:val="en-US"/>
              </w:rPr>
              <w:tab/>
            </w:r>
            <w:r w:rsidRPr="00A66163">
              <w:rPr>
                <w:rStyle w:val="Hyperlink"/>
                <w:noProof/>
              </w:rPr>
              <w:t>Description</w:t>
            </w:r>
            <w:r>
              <w:rPr>
                <w:noProof/>
                <w:webHidden/>
              </w:rPr>
              <w:tab/>
            </w:r>
            <w:r>
              <w:rPr>
                <w:noProof/>
                <w:webHidden/>
              </w:rPr>
              <w:fldChar w:fldCharType="begin"/>
            </w:r>
            <w:r>
              <w:rPr>
                <w:noProof/>
                <w:webHidden/>
              </w:rPr>
              <w:instrText xml:space="preserve"> PAGEREF _Toc236648339 \h </w:instrText>
            </w:r>
            <w:r>
              <w:rPr>
                <w:noProof/>
                <w:webHidden/>
              </w:rPr>
            </w:r>
            <w:r>
              <w:rPr>
                <w:noProof/>
                <w:webHidden/>
              </w:rPr>
              <w:fldChar w:fldCharType="separate"/>
            </w:r>
            <w:r>
              <w:rPr>
                <w:noProof/>
                <w:webHidden/>
              </w:rPr>
              <w:t>25</w:t>
            </w:r>
            <w:r>
              <w:rPr>
                <w:noProof/>
                <w:webHidden/>
              </w:rPr>
              <w:fldChar w:fldCharType="end"/>
            </w:r>
          </w:hyperlink>
        </w:p>
        <w:p w14:paraId="407E571C" w14:textId="77777777" w:rsidR="00080D9C" w:rsidRDefault="00080D9C">
          <w:pPr>
            <w:pStyle w:val="TOC2"/>
            <w:tabs>
              <w:tab w:val="left" w:pos="880"/>
              <w:tab w:val="right" w:leader="dot" w:pos="9350"/>
            </w:tabs>
            <w:rPr>
              <w:rFonts w:asciiTheme="minorHAnsi" w:eastAsiaTheme="minorEastAsia" w:hAnsiTheme="minorHAnsi"/>
              <w:noProof/>
              <w:sz w:val="22"/>
              <w:lang w:val="en-US"/>
            </w:rPr>
          </w:pPr>
          <w:hyperlink w:anchor="_Toc236648340" w:history="1">
            <w:r w:rsidRPr="00A66163">
              <w:rPr>
                <w:rStyle w:val="Hyperlink"/>
                <w:noProof/>
              </w:rPr>
              <w:t>5.2</w:t>
            </w:r>
            <w:r>
              <w:rPr>
                <w:rFonts w:asciiTheme="minorHAnsi" w:eastAsiaTheme="minorEastAsia" w:hAnsiTheme="minorHAnsi"/>
                <w:noProof/>
                <w:sz w:val="22"/>
                <w:lang w:val="en-US"/>
              </w:rPr>
              <w:tab/>
            </w:r>
            <w:r w:rsidRPr="00A66163">
              <w:rPr>
                <w:rStyle w:val="Hyperlink"/>
                <w:noProof/>
              </w:rPr>
              <w:t>Feelings</w:t>
            </w:r>
            <w:r>
              <w:rPr>
                <w:noProof/>
                <w:webHidden/>
              </w:rPr>
              <w:tab/>
            </w:r>
            <w:r>
              <w:rPr>
                <w:noProof/>
                <w:webHidden/>
              </w:rPr>
              <w:fldChar w:fldCharType="begin"/>
            </w:r>
            <w:r>
              <w:rPr>
                <w:noProof/>
                <w:webHidden/>
              </w:rPr>
              <w:instrText xml:space="preserve"> PAGEREF _Toc236648340 \h </w:instrText>
            </w:r>
            <w:r>
              <w:rPr>
                <w:noProof/>
                <w:webHidden/>
              </w:rPr>
            </w:r>
            <w:r>
              <w:rPr>
                <w:noProof/>
                <w:webHidden/>
              </w:rPr>
              <w:fldChar w:fldCharType="separate"/>
            </w:r>
            <w:r>
              <w:rPr>
                <w:noProof/>
                <w:webHidden/>
              </w:rPr>
              <w:t>26</w:t>
            </w:r>
            <w:r>
              <w:rPr>
                <w:noProof/>
                <w:webHidden/>
              </w:rPr>
              <w:fldChar w:fldCharType="end"/>
            </w:r>
          </w:hyperlink>
        </w:p>
        <w:p w14:paraId="49E096E7" w14:textId="77777777" w:rsidR="00080D9C" w:rsidRDefault="00080D9C">
          <w:pPr>
            <w:pStyle w:val="TOC2"/>
            <w:tabs>
              <w:tab w:val="left" w:pos="880"/>
              <w:tab w:val="right" w:leader="dot" w:pos="9350"/>
            </w:tabs>
            <w:rPr>
              <w:rFonts w:asciiTheme="minorHAnsi" w:eastAsiaTheme="minorEastAsia" w:hAnsiTheme="minorHAnsi"/>
              <w:noProof/>
              <w:sz w:val="22"/>
              <w:lang w:val="en-US"/>
            </w:rPr>
          </w:pPr>
          <w:hyperlink w:anchor="_Toc236648341" w:history="1">
            <w:r w:rsidRPr="00A66163">
              <w:rPr>
                <w:rStyle w:val="Hyperlink"/>
                <w:noProof/>
              </w:rPr>
              <w:t>5.3</w:t>
            </w:r>
            <w:r>
              <w:rPr>
                <w:rFonts w:asciiTheme="minorHAnsi" w:eastAsiaTheme="minorEastAsia" w:hAnsiTheme="minorHAnsi"/>
                <w:noProof/>
                <w:sz w:val="22"/>
                <w:lang w:val="en-US"/>
              </w:rPr>
              <w:tab/>
            </w:r>
            <w:r w:rsidRPr="00A66163">
              <w:rPr>
                <w:rStyle w:val="Hyperlink"/>
                <w:noProof/>
              </w:rPr>
              <w:t>Evaluation</w:t>
            </w:r>
            <w:r>
              <w:rPr>
                <w:noProof/>
                <w:webHidden/>
              </w:rPr>
              <w:tab/>
            </w:r>
            <w:r>
              <w:rPr>
                <w:noProof/>
                <w:webHidden/>
              </w:rPr>
              <w:fldChar w:fldCharType="begin"/>
            </w:r>
            <w:r>
              <w:rPr>
                <w:noProof/>
                <w:webHidden/>
              </w:rPr>
              <w:instrText xml:space="preserve"> PAGEREF _Toc236648341 \h </w:instrText>
            </w:r>
            <w:r>
              <w:rPr>
                <w:noProof/>
                <w:webHidden/>
              </w:rPr>
            </w:r>
            <w:r>
              <w:rPr>
                <w:noProof/>
                <w:webHidden/>
              </w:rPr>
              <w:fldChar w:fldCharType="separate"/>
            </w:r>
            <w:r>
              <w:rPr>
                <w:noProof/>
                <w:webHidden/>
              </w:rPr>
              <w:t>26</w:t>
            </w:r>
            <w:r>
              <w:rPr>
                <w:noProof/>
                <w:webHidden/>
              </w:rPr>
              <w:fldChar w:fldCharType="end"/>
            </w:r>
          </w:hyperlink>
        </w:p>
        <w:p w14:paraId="4809EB91" w14:textId="77777777" w:rsidR="00080D9C" w:rsidRDefault="00080D9C">
          <w:pPr>
            <w:pStyle w:val="TOC2"/>
            <w:tabs>
              <w:tab w:val="left" w:pos="880"/>
              <w:tab w:val="right" w:leader="dot" w:pos="9350"/>
            </w:tabs>
            <w:rPr>
              <w:rFonts w:asciiTheme="minorHAnsi" w:eastAsiaTheme="minorEastAsia" w:hAnsiTheme="minorHAnsi"/>
              <w:noProof/>
              <w:sz w:val="22"/>
              <w:lang w:val="en-US"/>
            </w:rPr>
          </w:pPr>
          <w:hyperlink w:anchor="_Toc236648342" w:history="1">
            <w:r w:rsidRPr="00A66163">
              <w:rPr>
                <w:rStyle w:val="Hyperlink"/>
                <w:noProof/>
              </w:rPr>
              <w:t>5.4</w:t>
            </w:r>
            <w:r>
              <w:rPr>
                <w:rFonts w:asciiTheme="minorHAnsi" w:eastAsiaTheme="minorEastAsia" w:hAnsiTheme="minorHAnsi"/>
                <w:noProof/>
                <w:sz w:val="22"/>
                <w:lang w:val="en-US"/>
              </w:rPr>
              <w:tab/>
            </w:r>
            <w:r w:rsidRPr="00A66163">
              <w:rPr>
                <w:rStyle w:val="Hyperlink"/>
                <w:noProof/>
              </w:rPr>
              <w:t>Analysis</w:t>
            </w:r>
            <w:r>
              <w:rPr>
                <w:noProof/>
                <w:webHidden/>
              </w:rPr>
              <w:tab/>
            </w:r>
            <w:r>
              <w:rPr>
                <w:noProof/>
                <w:webHidden/>
              </w:rPr>
              <w:fldChar w:fldCharType="begin"/>
            </w:r>
            <w:r>
              <w:rPr>
                <w:noProof/>
                <w:webHidden/>
              </w:rPr>
              <w:instrText xml:space="preserve"> PAGEREF _Toc236648342 \h </w:instrText>
            </w:r>
            <w:r>
              <w:rPr>
                <w:noProof/>
                <w:webHidden/>
              </w:rPr>
            </w:r>
            <w:r>
              <w:rPr>
                <w:noProof/>
                <w:webHidden/>
              </w:rPr>
              <w:fldChar w:fldCharType="separate"/>
            </w:r>
            <w:r>
              <w:rPr>
                <w:noProof/>
                <w:webHidden/>
              </w:rPr>
              <w:t>27</w:t>
            </w:r>
            <w:r>
              <w:rPr>
                <w:noProof/>
                <w:webHidden/>
              </w:rPr>
              <w:fldChar w:fldCharType="end"/>
            </w:r>
          </w:hyperlink>
        </w:p>
        <w:p w14:paraId="3F9EF6BD" w14:textId="77777777" w:rsidR="00080D9C" w:rsidRDefault="00080D9C">
          <w:pPr>
            <w:pStyle w:val="TOC2"/>
            <w:tabs>
              <w:tab w:val="left" w:pos="880"/>
              <w:tab w:val="right" w:leader="dot" w:pos="9350"/>
            </w:tabs>
            <w:rPr>
              <w:rFonts w:asciiTheme="minorHAnsi" w:eastAsiaTheme="minorEastAsia" w:hAnsiTheme="minorHAnsi"/>
              <w:noProof/>
              <w:sz w:val="22"/>
              <w:lang w:val="en-US"/>
            </w:rPr>
          </w:pPr>
          <w:hyperlink w:anchor="_Toc236648343" w:history="1">
            <w:r w:rsidRPr="00A66163">
              <w:rPr>
                <w:rStyle w:val="Hyperlink"/>
                <w:noProof/>
              </w:rPr>
              <w:t>5.5</w:t>
            </w:r>
            <w:r>
              <w:rPr>
                <w:rFonts w:asciiTheme="minorHAnsi" w:eastAsiaTheme="minorEastAsia" w:hAnsiTheme="minorHAnsi"/>
                <w:noProof/>
                <w:sz w:val="22"/>
                <w:lang w:val="en-US"/>
              </w:rPr>
              <w:tab/>
            </w:r>
            <w:r w:rsidRPr="00A66163">
              <w:rPr>
                <w:rStyle w:val="Hyperlink"/>
                <w:noProof/>
              </w:rPr>
              <w:t>Conclusion</w:t>
            </w:r>
            <w:r>
              <w:rPr>
                <w:noProof/>
                <w:webHidden/>
              </w:rPr>
              <w:tab/>
            </w:r>
            <w:r>
              <w:rPr>
                <w:noProof/>
                <w:webHidden/>
              </w:rPr>
              <w:fldChar w:fldCharType="begin"/>
            </w:r>
            <w:r>
              <w:rPr>
                <w:noProof/>
                <w:webHidden/>
              </w:rPr>
              <w:instrText xml:space="preserve"> PAGEREF _Toc236648343 \h </w:instrText>
            </w:r>
            <w:r>
              <w:rPr>
                <w:noProof/>
                <w:webHidden/>
              </w:rPr>
            </w:r>
            <w:r>
              <w:rPr>
                <w:noProof/>
                <w:webHidden/>
              </w:rPr>
              <w:fldChar w:fldCharType="separate"/>
            </w:r>
            <w:r>
              <w:rPr>
                <w:noProof/>
                <w:webHidden/>
              </w:rPr>
              <w:t>27</w:t>
            </w:r>
            <w:r>
              <w:rPr>
                <w:noProof/>
                <w:webHidden/>
              </w:rPr>
              <w:fldChar w:fldCharType="end"/>
            </w:r>
          </w:hyperlink>
        </w:p>
        <w:p w14:paraId="506C7B10" w14:textId="77777777" w:rsidR="00080D9C" w:rsidRDefault="00080D9C">
          <w:pPr>
            <w:pStyle w:val="TOC2"/>
            <w:tabs>
              <w:tab w:val="left" w:pos="880"/>
              <w:tab w:val="right" w:leader="dot" w:pos="9350"/>
            </w:tabs>
            <w:rPr>
              <w:rFonts w:asciiTheme="minorHAnsi" w:eastAsiaTheme="minorEastAsia" w:hAnsiTheme="minorHAnsi"/>
              <w:noProof/>
              <w:sz w:val="22"/>
              <w:lang w:val="en-US"/>
            </w:rPr>
          </w:pPr>
          <w:hyperlink w:anchor="_Toc236648344" w:history="1">
            <w:r w:rsidRPr="00A66163">
              <w:rPr>
                <w:rStyle w:val="Hyperlink"/>
                <w:noProof/>
              </w:rPr>
              <w:t>5.6</w:t>
            </w:r>
            <w:r>
              <w:rPr>
                <w:rFonts w:asciiTheme="minorHAnsi" w:eastAsiaTheme="minorEastAsia" w:hAnsiTheme="minorHAnsi"/>
                <w:noProof/>
                <w:sz w:val="22"/>
                <w:lang w:val="en-US"/>
              </w:rPr>
              <w:tab/>
            </w:r>
            <w:r w:rsidRPr="00A66163">
              <w:rPr>
                <w:rStyle w:val="Hyperlink"/>
                <w:noProof/>
              </w:rPr>
              <w:t>Action plan</w:t>
            </w:r>
            <w:r>
              <w:rPr>
                <w:noProof/>
                <w:webHidden/>
              </w:rPr>
              <w:tab/>
            </w:r>
            <w:r>
              <w:rPr>
                <w:noProof/>
                <w:webHidden/>
              </w:rPr>
              <w:fldChar w:fldCharType="begin"/>
            </w:r>
            <w:r>
              <w:rPr>
                <w:noProof/>
                <w:webHidden/>
              </w:rPr>
              <w:instrText xml:space="preserve"> PAGEREF _Toc236648344 \h </w:instrText>
            </w:r>
            <w:r>
              <w:rPr>
                <w:noProof/>
                <w:webHidden/>
              </w:rPr>
            </w:r>
            <w:r>
              <w:rPr>
                <w:noProof/>
                <w:webHidden/>
              </w:rPr>
              <w:fldChar w:fldCharType="separate"/>
            </w:r>
            <w:r>
              <w:rPr>
                <w:noProof/>
                <w:webHidden/>
              </w:rPr>
              <w:t>28</w:t>
            </w:r>
            <w:r>
              <w:rPr>
                <w:noProof/>
                <w:webHidden/>
              </w:rPr>
              <w:fldChar w:fldCharType="end"/>
            </w:r>
          </w:hyperlink>
        </w:p>
        <w:p w14:paraId="6CB9FCD0" w14:textId="77777777" w:rsidR="00080D9C" w:rsidRDefault="00080D9C">
          <w:pPr>
            <w:pStyle w:val="TOC1"/>
            <w:tabs>
              <w:tab w:val="left" w:pos="480"/>
              <w:tab w:val="right" w:leader="dot" w:pos="9350"/>
            </w:tabs>
            <w:rPr>
              <w:rFonts w:asciiTheme="minorHAnsi" w:eastAsiaTheme="minorEastAsia" w:hAnsiTheme="minorHAnsi"/>
              <w:noProof/>
              <w:sz w:val="22"/>
              <w:lang w:val="en-US"/>
            </w:rPr>
          </w:pPr>
          <w:hyperlink w:anchor="_Toc236648345" w:history="1">
            <w:r w:rsidRPr="00A66163">
              <w:rPr>
                <w:rStyle w:val="Hyperlink"/>
                <w:noProof/>
              </w:rPr>
              <w:t>6.</w:t>
            </w:r>
            <w:r>
              <w:rPr>
                <w:rFonts w:asciiTheme="minorHAnsi" w:eastAsiaTheme="minorEastAsia" w:hAnsiTheme="minorHAnsi"/>
                <w:noProof/>
                <w:sz w:val="22"/>
                <w:lang w:val="en-US"/>
              </w:rPr>
              <w:tab/>
            </w:r>
            <w:r w:rsidRPr="00A66163">
              <w:rPr>
                <w:rStyle w:val="Hyperlink"/>
                <w:noProof/>
              </w:rPr>
              <w:t>Reference</w:t>
            </w:r>
            <w:r>
              <w:rPr>
                <w:noProof/>
                <w:webHidden/>
              </w:rPr>
              <w:tab/>
            </w:r>
            <w:r>
              <w:rPr>
                <w:noProof/>
                <w:webHidden/>
              </w:rPr>
              <w:fldChar w:fldCharType="begin"/>
            </w:r>
            <w:r>
              <w:rPr>
                <w:noProof/>
                <w:webHidden/>
              </w:rPr>
              <w:instrText xml:space="preserve"> PAGEREF _Toc236648345 \h </w:instrText>
            </w:r>
            <w:r>
              <w:rPr>
                <w:noProof/>
                <w:webHidden/>
              </w:rPr>
            </w:r>
            <w:r>
              <w:rPr>
                <w:noProof/>
                <w:webHidden/>
              </w:rPr>
              <w:fldChar w:fldCharType="separate"/>
            </w:r>
            <w:r>
              <w:rPr>
                <w:noProof/>
                <w:webHidden/>
              </w:rPr>
              <w:t>29</w:t>
            </w:r>
            <w:r>
              <w:rPr>
                <w:noProof/>
                <w:webHidden/>
              </w:rPr>
              <w:fldChar w:fldCharType="end"/>
            </w:r>
          </w:hyperlink>
        </w:p>
        <w:p w14:paraId="362495E6" w14:textId="77777777" w:rsidR="00080D9C" w:rsidRDefault="00080D9C">
          <w:r>
            <w:fldChar w:fldCharType="end"/>
          </w:r>
        </w:p>
      </w:sdtContent>
    </w:sdt>
    <w:p w14:paraId="34976668" w14:textId="77777777" w:rsidR="00DE5E41" w:rsidRDefault="00DE5E41" w:rsidP="00080D9C"/>
    <w:p w14:paraId="2F40730F" w14:textId="77777777" w:rsidR="00080D9C" w:rsidRDefault="00080D9C">
      <w:pPr>
        <w:pStyle w:val="TableofFigures"/>
        <w:tabs>
          <w:tab w:val="right" w:leader="dot" w:pos="9350"/>
        </w:tabs>
        <w:rPr>
          <w:noProof/>
        </w:rPr>
      </w:pPr>
      <w:r>
        <w:rPr>
          <w:rFonts w:cs="Arial"/>
          <w:b/>
          <w:sz w:val="32"/>
        </w:rPr>
        <w:fldChar w:fldCharType="begin"/>
      </w:r>
      <w:r>
        <w:rPr>
          <w:rFonts w:cs="Arial"/>
          <w:b/>
          <w:sz w:val="32"/>
        </w:rPr>
        <w:instrText xml:space="preserve"> TOC \h \z \c "Figure" </w:instrText>
      </w:r>
      <w:r>
        <w:rPr>
          <w:rFonts w:cs="Arial"/>
          <w:b/>
          <w:sz w:val="32"/>
        </w:rPr>
        <w:fldChar w:fldCharType="separate"/>
      </w:r>
      <w:hyperlink w:anchor="_Toc236648346" w:history="1">
        <w:r w:rsidRPr="007465DA">
          <w:rPr>
            <w:rStyle w:val="Hyperlink"/>
            <w:noProof/>
          </w:rPr>
          <w:t>Figure 1: Trademark of Suzuki Motor Corporation. Source: Suzuki Motor Corporation (2026).</w:t>
        </w:r>
        <w:r>
          <w:rPr>
            <w:noProof/>
            <w:webHidden/>
          </w:rPr>
          <w:tab/>
        </w:r>
        <w:r>
          <w:rPr>
            <w:noProof/>
            <w:webHidden/>
          </w:rPr>
          <w:fldChar w:fldCharType="begin"/>
        </w:r>
        <w:r>
          <w:rPr>
            <w:noProof/>
            <w:webHidden/>
          </w:rPr>
          <w:instrText xml:space="preserve"> PAGEREF _Toc236648346 \h </w:instrText>
        </w:r>
        <w:r>
          <w:rPr>
            <w:noProof/>
            <w:webHidden/>
          </w:rPr>
        </w:r>
        <w:r>
          <w:rPr>
            <w:noProof/>
            <w:webHidden/>
          </w:rPr>
          <w:fldChar w:fldCharType="separate"/>
        </w:r>
        <w:r>
          <w:rPr>
            <w:noProof/>
            <w:webHidden/>
          </w:rPr>
          <w:t>5</w:t>
        </w:r>
        <w:r>
          <w:rPr>
            <w:noProof/>
            <w:webHidden/>
          </w:rPr>
          <w:fldChar w:fldCharType="end"/>
        </w:r>
      </w:hyperlink>
    </w:p>
    <w:p w14:paraId="568AC0AB" w14:textId="77777777" w:rsidR="00080D9C" w:rsidRDefault="00080D9C">
      <w:pPr>
        <w:pStyle w:val="TableofFigures"/>
        <w:tabs>
          <w:tab w:val="right" w:leader="dot" w:pos="9350"/>
        </w:tabs>
        <w:rPr>
          <w:noProof/>
        </w:rPr>
      </w:pPr>
      <w:hyperlink w:anchor="_Toc236648347" w:history="1">
        <w:r w:rsidRPr="007465DA">
          <w:rPr>
            <w:rStyle w:val="Hyperlink"/>
            <w:noProof/>
          </w:rPr>
          <w:t>Figure 2: Suzuki Gixxer SF 250. Source: Suzuki Motorcycle India (2025).</w:t>
        </w:r>
        <w:r>
          <w:rPr>
            <w:noProof/>
            <w:webHidden/>
          </w:rPr>
          <w:tab/>
        </w:r>
        <w:r>
          <w:rPr>
            <w:noProof/>
            <w:webHidden/>
          </w:rPr>
          <w:fldChar w:fldCharType="begin"/>
        </w:r>
        <w:r>
          <w:rPr>
            <w:noProof/>
            <w:webHidden/>
          </w:rPr>
          <w:instrText xml:space="preserve"> PAGEREF _Toc236648347 \h </w:instrText>
        </w:r>
        <w:r>
          <w:rPr>
            <w:noProof/>
            <w:webHidden/>
          </w:rPr>
        </w:r>
        <w:r>
          <w:rPr>
            <w:noProof/>
            <w:webHidden/>
          </w:rPr>
          <w:fldChar w:fldCharType="separate"/>
        </w:r>
        <w:r>
          <w:rPr>
            <w:noProof/>
            <w:webHidden/>
          </w:rPr>
          <w:t>6</w:t>
        </w:r>
        <w:r>
          <w:rPr>
            <w:noProof/>
            <w:webHidden/>
          </w:rPr>
          <w:fldChar w:fldCharType="end"/>
        </w:r>
      </w:hyperlink>
    </w:p>
    <w:p w14:paraId="240E3F22" w14:textId="77777777" w:rsidR="00080D9C" w:rsidRDefault="00080D9C">
      <w:pPr>
        <w:pStyle w:val="TableofFigures"/>
        <w:tabs>
          <w:tab w:val="right" w:leader="dot" w:pos="9350"/>
        </w:tabs>
        <w:rPr>
          <w:noProof/>
        </w:rPr>
      </w:pPr>
      <w:hyperlink w:anchor="_Toc236648348" w:history="1">
        <w:r w:rsidRPr="007465DA">
          <w:rPr>
            <w:rStyle w:val="Hyperlink"/>
            <w:noProof/>
          </w:rPr>
          <w:t>Figure 3: Summary of PESTEL Analysis for Suzuki Gixxer SF 250 in India. Source: Own Contribution.</w:t>
        </w:r>
        <w:r>
          <w:rPr>
            <w:noProof/>
            <w:webHidden/>
          </w:rPr>
          <w:tab/>
        </w:r>
        <w:r>
          <w:rPr>
            <w:noProof/>
            <w:webHidden/>
          </w:rPr>
          <w:fldChar w:fldCharType="begin"/>
        </w:r>
        <w:r>
          <w:rPr>
            <w:noProof/>
            <w:webHidden/>
          </w:rPr>
          <w:instrText xml:space="preserve"> PAGEREF _Toc236648348 \h </w:instrText>
        </w:r>
        <w:r>
          <w:rPr>
            <w:noProof/>
            <w:webHidden/>
          </w:rPr>
        </w:r>
        <w:r>
          <w:rPr>
            <w:noProof/>
            <w:webHidden/>
          </w:rPr>
          <w:fldChar w:fldCharType="separate"/>
        </w:r>
        <w:r>
          <w:rPr>
            <w:noProof/>
            <w:webHidden/>
          </w:rPr>
          <w:t>8</w:t>
        </w:r>
        <w:r>
          <w:rPr>
            <w:noProof/>
            <w:webHidden/>
          </w:rPr>
          <w:fldChar w:fldCharType="end"/>
        </w:r>
      </w:hyperlink>
    </w:p>
    <w:p w14:paraId="5198BB1D" w14:textId="77777777" w:rsidR="00080D9C" w:rsidRDefault="00080D9C">
      <w:pPr>
        <w:pStyle w:val="TableofFigures"/>
        <w:tabs>
          <w:tab w:val="right" w:leader="dot" w:pos="9350"/>
        </w:tabs>
        <w:rPr>
          <w:noProof/>
        </w:rPr>
      </w:pPr>
      <w:hyperlink w:anchor="_Toc236648349" w:history="1">
        <w:r w:rsidRPr="007465DA">
          <w:rPr>
            <w:rStyle w:val="Hyperlink"/>
            <w:noProof/>
          </w:rPr>
          <w:t>Figure 4: India Interest Rate. Source: Trading Economics (2026).</w:t>
        </w:r>
        <w:r>
          <w:rPr>
            <w:noProof/>
            <w:webHidden/>
          </w:rPr>
          <w:tab/>
        </w:r>
        <w:r>
          <w:rPr>
            <w:noProof/>
            <w:webHidden/>
          </w:rPr>
          <w:fldChar w:fldCharType="begin"/>
        </w:r>
        <w:r>
          <w:rPr>
            <w:noProof/>
            <w:webHidden/>
          </w:rPr>
          <w:instrText xml:space="preserve"> PAGEREF _Toc236648349 \h </w:instrText>
        </w:r>
        <w:r>
          <w:rPr>
            <w:noProof/>
            <w:webHidden/>
          </w:rPr>
        </w:r>
        <w:r>
          <w:rPr>
            <w:noProof/>
            <w:webHidden/>
          </w:rPr>
          <w:fldChar w:fldCharType="separate"/>
        </w:r>
        <w:r>
          <w:rPr>
            <w:noProof/>
            <w:webHidden/>
          </w:rPr>
          <w:t>9</w:t>
        </w:r>
        <w:r>
          <w:rPr>
            <w:noProof/>
            <w:webHidden/>
          </w:rPr>
          <w:fldChar w:fldCharType="end"/>
        </w:r>
      </w:hyperlink>
    </w:p>
    <w:p w14:paraId="6B4F377A" w14:textId="77777777" w:rsidR="00080D9C" w:rsidRDefault="00080D9C">
      <w:pPr>
        <w:pStyle w:val="TableofFigures"/>
        <w:tabs>
          <w:tab w:val="right" w:leader="dot" w:pos="9350"/>
        </w:tabs>
        <w:rPr>
          <w:noProof/>
        </w:rPr>
      </w:pPr>
      <w:hyperlink w:anchor="_Toc236648350" w:history="1">
        <w:r w:rsidRPr="007465DA">
          <w:rPr>
            <w:rStyle w:val="Hyperlink"/>
            <w:noProof/>
          </w:rPr>
          <w:t>Figure 5: Annual GDP Estimates along with Y-o-Y Growth Rates. Source: PIB (2025).</w:t>
        </w:r>
        <w:r>
          <w:rPr>
            <w:noProof/>
            <w:webHidden/>
          </w:rPr>
          <w:tab/>
        </w:r>
        <w:r>
          <w:rPr>
            <w:noProof/>
            <w:webHidden/>
          </w:rPr>
          <w:fldChar w:fldCharType="begin"/>
        </w:r>
        <w:r>
          <w:rPr>
            <w:noProof/>
            <w:webHidden/>
          </w:rPr>
          <w:instrText xml:space="preserve"> PAGEREF _Toc236648350 \h </w:instrText>
        </w:r>
        <w:r>
          <w:rPr>
            <w:noProof/>
            <w:webHidden/>
          </w:rPr>
        </w:r>
        <w:r>
          <w:rPr>
            <w:noProof/>
            <w:webHidden/>
          </w:rPr>
          <w:fldChar w:fldCharType="separate"/>
        </w:r>
        <w:r>
          <w:rPr>
            <w:noProof/>
            <w:webHidden/>
          </w:rPr>
          <w:t>9</w:t>
        </w:r>
        <w:r>
          <w:rPr>
            <w:noProof/>
            <w:webHidden/>
          </w:rPr>
          <w:fldChar w:fldCharType="end"/>
        </w:r>
      </w:hyperlink>
    </w:p>
    <w:p w14:paraId="59102B65" w14:textId="77777777" w:rsidR="00080D9C" w:rsidRDefault="00080D9C">
      <w:pPr>
        <w:pStyle w:val="TableofFigures"/>
        <w:tabs>
          <w:tab w:val="right" w:leader="dot" w:pos="9350"/>
        </w:tabs>
        <w:rPr>
          <w:noProof/>
        </w:rPr>
      </w:pPr>
      <w:hyperlink w:anchor="_Toc236648351" w:history="1">
        <w:r w:rsidRPr="007465DA">
          <w:rPr>
            <w:rStyle w:val="Hyperlink"/>
            <w:noProof/>
          </w:rPr>
          <w:t>Figure 6: Porter’s Five Forces Summary for Suzuki Gixxer SF 250 in India. Source: Own Contribution.</w:t>
        </w:r>
        <w:r>
          <w:rPr>
            <w:noProof/>
            <w:webHidden/>
          </w:rPr>
          <w:tab/>
        </w:r>
        <w:r>
          <w:rPr>
            <w:noProof/>
            <w:webHidden/>
          </w:rPr>
          <w:fldChar w:fldCharType="begin"/>
        </w:r>
        <w:r>
          <w:rPr>
            <w:noProof/>
            <w:webHidden/>
          </w:rPr>
          <w:instrText xml:space="preserve"> PAGEREF _Toc236648351 \h </w:instrText>
        </w:r>
        <w:r>
          <w:rPr>
            <w:noProof/>
            <w:webHidden/>
          </w:rPr>
        </w:r>
        <w:r>
          <w:rPr>
            <w:noProof/>
            <w:webHidden/>
          </w:rPr>
          <w:fldChar w:fldCharType="separate"/>
        </w:r>
        <w:r>
          <w:rPr>
            <w:noProof/>
            <w:webHidden/>
          </w:rPr>
          <w:t>12</w:t>
        </w:r>
        <w:r>
          <w:rPr>
            <w:noProof/>
            <w:webHidden/>
          </w:rPr>
          <w:fldChar w:fldCharType="end"/>
        </w:r>
      </w:hyperlink>
    </w:p>
    <w:p w14:paraId="5C5DA711" w14:textId="77777777" w:rsidR="00080D9C" w:rsidRDefault="00080D9C">
      <w:pPr>
        <w:pStyle w:val="TableofFigures"/>
        <w:tabs>
          <w:tab w:val="right" w:leader="dot" w:pos="9350"/>
        </w:tabs>
        <w:rPr>
          <w:noProof/>
        </w:rPr>
      </w:pPr>
      <w:hyperlink w:anchor="_Toc236648352" w:history="1">
        <w:r w:rsidRPr="007465DA">
          <w:rPr>
            <w:rStyle w:val="Hyperlink"/>
            <w:noProof/>
          </w:rPr>
          <w:t>Figure 7: VRIO Analysis Summary for Suzuki Gixxer SF 250 in India. Source: Own Contribution.</w:t>
        </w:r>
        <w:r>
          <w:rPr>
            <w:noProof/>
            <w:webHidden/>
          </w:rPr>
          <w:tab/>
        </w:r>
        <w:r>
          <w:rPr>
            <w:noProof/>
            <w:webHidden/>
          </w:rPr>
          <w:fldChar w:fldCharType="begin"/>
        </w:r>
        <w:r>
          <w:rPr>
            <w:noProof/>
            <w:webHidden/>
          </w:rPr>
          <w:instrText xml:space="preserve"> PAGEREF _Toc236648352 \h </w:instrText>
        </w:r>
        <w:r>
          <w:rPr>
            <w:noProof/>
            <w:webHidden/>
          </w:rPr>
        </w:r>
        <w:r>
          <w:rPr>
            <w:noProof/>
            <w:webHidden/>
          </w:rPr>
          <w:fldChar w:fldCharType="separate"/>
        </w:r>
        <w:r>
          <w:rPr>
            <w:noProof/>
            <w:webHidden/>
          </w:rPr>
          <w:t>14</w:t>
        </w:r>
        <w:r>
          <w:rPr>
            <w:noProof/>
            <w:webHidden/>
          </w:rPr>
          <w:fldChar w:fldCharType="end"/>
        </w:r>
      </w:hyperlink>
    </w:p>
    <w:p w14:paraId="0FDF2E2A" w14:textId="77777777" w:rsidR="00080D9C" w:rsidRDefault="00080D9C">
      <w:pPr>
        <w:pStyle w:val="TableofFigures"/>
        <w:tabs>
          <w:tab w:val="right" w:leader="dot" w:pos="9350"/>
        </w:tabs>
        <w:rPr>
          <w:noProof/>
        </w:rPr>
      </w:pPr>
      <w:hyperlink w:anchor="_Toc236648353" w:history="1">
        <w:r w:rsidRPr="007465DA">
          <w:rPr>
            <w:rStyle w:val="Hyperlink"/>
            <w:noProof/>
          </w:rPr>
          <w:t>Figure 8: SWOT Analysis Summary for Suzuki Gixxer SF 250 in India. Source: Own Contribution.</w:t>
        </w:r>
        <w:r>
          <w:rPr>
            <w:noProof/>
            <w:webHidden/>
          </w:rPr>
          <w:tab/>
        </w:r>
        <w:r>
          <w:rPr>
            <w:noProof/>
            <w:webHidden/>
          </w:rPr>
          <w:fldChar w:fldCharType="begin"/>
        </w:r>
        <w:r>
          <w:rPr>
            <w:noProof/>
            <w:webHidden/>
          </w:rPr>
          <w:instrText xml:space="preserve"> PAGEREF _Toc236648353 \h </w:instrText>
        </w:r>
        <w:r>
          <w:rPr>
            <w:noProof/>
            <w:webHidden/>
          </w:rPr>
        </w:r>
        <w:r>
          <w:rPr>
            <w:noProof/>
            <w:webHidden/>
          </w:rPr>
          <w:fldChar w:fldCharType="separate"/>
        </w:r>
        <w:r>
          <w:rPr>
            <w:noProof/>
            <w:webHidden/>
          </w:rPr>
          <w:t>16</w:t>
        </w:r>
        <w:r>
          <w:rPr>
            <w:noProof/>
            <w:webHidden/>
          </w:rPr>
          <w:fldChar w:fldCharType="end"/>
        </w:r>
      </w:hyperlink>
    </w:p>
    <w:p w14:paraId="7FFAC5D0" w14:textId="77777777" w:rsidR="00080D9C" w:rsidRDefault="00080D9C">
      <w:pPr>
        <w:pStyle w:val="TableofFigures"/>
        <w:tabs>
          <w:tab w:val="right" w:leader="dot" w:pos="9350"/>
        </w:tabs>
        <w:rPr>
          <w:noProof/>
        </w:rPr>
      </w:pPr>
      <w:hyperlink w:anchor="_Toc236648354" w:history="1">
        <w:r w:rsidRPr="007465DA">
          <w:rPr>
            <w:rStyle w:val="Hyperlink"/>
            <w:noProof/>
          </w:rPr>
          <w:t>Figure 9: Balanced Scorecard for Suzuki Gixxer SF 250 in India. Source: Own Contribution.</w:t>
        </w:r>
        <w:r>
          <w:rPr>
            <w:noProof/>
            <w:webHidden/>
          </w:rPr>
          <w:tab/>
        </w:r>
        <w:r>
          <w:rPr>
            <w:noProof/>
            <w:webHidden/>
          </w:rPr>
          <w:fldChar w:fldCharType="begin"/>
        </w:r>
        <w:r>
          <w:rPr>
            <w:noProof/>
            <w:webHidden/>
          </w:rPr>
          <w:instrText xml:space="preserve"> PAGEREF _Toc236648354 \h </w:instrText>
        </w:r>
        <w:r>
          <w:rPr>
            <w:noProof/>
            <w:webHidden/>
          </w:rPr>
        </w:r>
        <w:r>
          <w:rPr>
            <w:noProof/>
            <w:webHidden/>
          </w:rPr>
          <w:fldChar w:fldCharType="separate"/>
        </w:r>
        <w:r>
          <w:rPr>
            <w:noProof/>
            <w:webHidden/>
          </w:rPr>
          <w:t>19</w:t>
        </w:r>
        <w:r>
          <w:rPr>
            <w:noProof/>
            <w:webHidden/>
          </w:rPr>
          <w:fldChar w:fldCharType="end"/>
        </w:r>
      </w:hyperlink>
    </w:p>
    <w:p w14:paraId="5283C47B" w14:textId="77777777" w:rsidR="00080D9C" w:rsidRDefault="00080D9C">
      <w:pPr>
        <w:pStyle w:val="TableofFigures"/>
        <w:tabs>
          <w:tab w:val="right" w:leader="dot" w:pos="9350"/>
        </w:tabs>
        <w:rPr>
          <w:noProof/>
        </w:rPr>
      </w:pPr>
      <w:hyperlink w:anchor="_Toc236648355" w:history="1">
        <w:r w:rsidRPr="007465DA">
          <w:rPr>
            <w:rStyle w:val="Hyperlink"/>
            <w:noProof/>
          </w:rPr>
          <w:t>Figure 10: Implementation challenges and mitigation for Suzuki Gixxer SF 250 in India. Source: Own Contribution.</w:t>
        </w:r>
        <w:r>
          <w:rPr>
            <w:noProof/>
            <w:webHidden/>
          </w:rPr>
          <w:tab/>
        </w:r>
        <w:r>
          <w:rPr>
            <w:noProof/>
            <w:webHidden/>
          </w:rPr>
          <w:fldChar w:fldCharType="begin"/>
        </w:r>
        <w:r>
          <w:rPr>
            <w:noProof/>
            <w:webHidden/>
          </w:rPr>
          <w:instrText xml:space="preserve"> PAGEREF _Toc236648355 \h </w:instrText>
        </w:r>
        <w:r>
          <w:rPr>
            <w:noProof/>
            <w:webHidden/>
          </w:rPr>
        </w:r>
        <w:r>
          <w:rPr>
            <w:noProof/>
            <w:webHidden/>
          </w:rPr>
          <w:fldChar w:fldCharType="separate"/>
        </w:r>
        <w:r>
          <w:rPr>
            <w:noProof/>
            <w:webHidden/>
          </w:rPr>
          <w:t>24</w:t>
        </w:r>
        <w:r>
          <w:rPr>
            <w:noProof/>
            <w:webHidden/>
          </w:rPr>
          <w:fldChar w:fldCharType="end"/>
        </w:r>
      </w:hyperlink>
    </w:p>
    <w:p w14:paraId="24158FB5" w14:textId="77777777" w:rsidR="00080D9C" w:rsidRDefault="00080D9C">
      <w:pPr>
        <w:pStyle w:val="TableofFigures"/>
        <w:tabs>
          <w:tab w:val="right" w:leader="dot" w:pos="9350"/>
        </w:tabs>
        <w:rPr>
          <w:noProof/>
        </w:rPr>
      </w:pPr>
      <w:hyperlink w:anchor="_Toc236648356" w:history="1">
        <w:r w:rsidRPr="007465DA">
          <w:rPr>
            <w:rStyle w:val="Hyperlink"/>
            <w:noProof/>
          </w:rPr>
          <w:t>Figure 11: Reflective Account using Gibbs' (1988). Source: Own Contribution.</w:t>
        </w:r>
        <w:r>
          <w:rPr>
            <w:noProof/>
            <w:webHidden/>
          </w:rPr>
          <w:tab/>
        </w:r>
        <w:r>
          <w:rPr>
            <w:noProof/>
            <w:webHidden/>
          </w:rPr>
          <w:fldChar w:fldCharType="begin"/>
        </w:r>
        <w:r>
          <w:rPr>
            <w:noProof/>
            <w:webHidden/>
          </w:rPr>
          <w:instrText xml:space="preserve"> PAGEREF _Toc236648356 \h </w:instrText>
        </w:r>
        <w:r>
          <w:rPr>
            <w:noProof/>
            <w:webHidden/>
          </w:rPr>
        </w:r>
        <w:r>
          <w:rPr>
            <w:noProof/>
            <w:webHidden/>
          </w:rPr>
          <w:fldChar w:fldCharType="separate"/>
        </w:r>
        <w:r>
          <w:rPr>
            <w:noProof/>
            <w:webHidden/>
          </w:rPr>
          <w:t>25</w:t>
        </w:r>
        <w:r>
          <w:rPr>
            <w:noProof/>
            <w:webHidden/>
          </w:rPr>
          <w:fldChar w:fldCharType="end"/>
        </w:r>
      </w:hyperlink>
    </w:p>
    <w:p w14:paraId="6A36D13E" w14:textId="77777777" w:rsidR="00080D9C" w:rsidRDefault="00080D9C">
      <w:pPr>
        <w:spacing w:line="259" w:lineRule="auto"/>
        <w:jc w:val="left"/>
        <w:rPr>
          <w:rFonts w:cs="Arial"/>
          <w:b/>
          <w:sz w:val="32"/>
          <w:szCs w:val="24"/>
          <w:lang w:val="en-US"/>
        </w:rPr>
      </w:pPr>
      <w:r>
        <w:rPr>
          <w:rFonts w:cs="Arial"/>
          <w:b/>
          <w:sz w:val="32"/>
        </w:rPr>
        <w:fldChar w:fldCharType="end"/>
      </w:r>
      <w:r>
        <w:rPr>
          <w:rFonts w:cs="Arial"/>
          <w:b/>
          <w:sz w:val="32"/>
        </w:rPr>
        <w:br w:type="page"/>
      </w:r>
    </w:p>
    <w:p w14:paraId="54062418" w14:textId="77777777" w:rsidR="00534BDA" w:rsidRPr="006E3436" w:rsidRDefault="00534BDA" w:rsidP="00534BDA">
      <w:pPr>
        <w:pStyle w:val="Compact"/>
        <w:rPr>
          <w:rFonts w:ascii="Arial" w:hAnsi="Arial" w:cs="Arial"/>
          <w:b/>
          <w:sz w:val="32"/>
        </w:rPr>
      </w:pPr>
      <w:r w:rsidRPr="006E3436">
        <w:rPr>
          <w:rFonts w:ascii="Arial" w:hAnsi="Arial" w:cs="Arial"/>
          <w:b/>
          <w:sz w:val="32"/>
        </w:rPr>
        <w:lastRenderedPageBreak/>
        <w:t>Section 1: Strategic Management Report</w:t>
      </w:r>
    </w:p>
    <w:p w14:paraId="0AA38E21" w14:textId="77777777" w:rsidR="00DE5E41" w:rsidRPr="006E3436" w:rsidRDefault="00DE5E41" w:rsidP="00DE5E41">
      <w:pPr>
        <w:pStyle w:val="Heading1"/>
        <w:numPr>
          <w:ilvl w:val="0"/>
          <w:numId w:val="1"/>
        </w:numPr>
      </w:pPr>
      <w:bookmarkStart w:id="0" w:name="_Toc236648321"/>
      <w:r w:rsidRPr="006E3436">
        <w:t>Organisational Context and Overview</w:t>
      </w:r>
      <w:bookmarkEnd w:id="0"/>
    </w:p>
    <w:p w14:paraId="3F90408F" w14:textId="77777777" w:rsidR="00DE5E41" w:rsidRPr="006E3436" w:rsidRDefault="00DE5E41" w:rsidP="00DE5E41">
      <w:pPr>
        <w:pStyle w:val="Heading2"/>
        <w:numPr>
          <w:ilvl w:val="1"/>
          <w:numId w:val="1"/>
        </w:numPr>
      </w:pPr>
      <w:bookmarkStart w:id="1" w:name="_Toc236648322"/>
      <w:r w:rsidRPr="006E3436">
        <w:t>Organisation and Product Background</w:t>
      </w:r>
      <w:bookmarkEnd w:id="1"/>
    </w:p>
    <w:p w14:paraId="1C098D1C" w14:textId="77777777" w:rsidR="0023251F" w:rsidRPr="006E3436" w:rsidRDefault="0023251F" w:rsidP="0023251F">
      <w:r w:rsidRPr="006E3436">
        <w:t>Suzuki Motor Corporation is the Japanese mobility company that has operations all over the world, in motorcycles, cars and associated technologies.</w:t>
      </w:r>
    </w:p>
    <w:p w14:paraId="357738E0" w14:textId="77777777" w:rsidR="00DE5E41" w:rsidRPr="006E3436" w:rsidRDefault="00DE5E41" w:rsidP="00DE5E41">
      <w:pPr>
        <w:keepNext/>
        <w:jc w:val="center"/>
      </w:pPr>
      <w:r w:rsidRPr="006E3436">
        <w:rPr>
          <w:noProof/>
          <w:lang w:val="en-US"/>
        </w:rPr>
        <w:drawing>
          <wp:inline distT="0" distB="0" distL="0" distR="0" wp14:anchorId="45FE41CD" wp14:editId="462F2379">
            <wp:extent cx="3810000" cy="1228725"/>
            <wp:effectExtent l="0" t="0" r="0" b="9525"/>
            <wp:docPr id="2" name="Picture 2" descr="H:\Assignment 2026\Nebir\Strategic Management\Signature_Horizontal-logo_PNG.png"/>
            <wp:cNvGraphicFramePr/>
            <a:graphic xmlns:a="http://schemas.openxmlformats.org/drawingml/2006/main">
              <a:graphicData uri="http://schemas.openxmlformats.org/drawingml/2006/picture">
                <pic:pic xmlns:pic="http://schemas.openxmlformats.org/drawingml/2006/picture">
                  <pic:nvPicPr>
                    <pic:cNvPr id="2" name="Picture 2" descr="H:\Assignment 2026\Nebir\Strategic Management\Signature_Horizontal-logo_PNG.png"/>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10000" cy="1228725"/>
                    </a:xfrm>
                    <a:prstGeom prst="rect">
                      <a:avLst/>
                    </a:prstGeom>
                    <a:noFill/>
                    <a:ln>
                      <a:noFill/>
                    </a:ln>
                  </pic:spPr>
                </pic:pic>
              </a:graphicData>
            </a:graphic>
          </wp:inline>
        </w:drawing>
      </w:r>
    </w:p>
    <w:p w14:paraId="39CDAAB7" w14:textId="77777777" w:rsidR="00DE5E41" w:rsidRPr="006E3436" w:rsidRDefault="00DE5E41" w:rsidP="00DE5E41">
      <w:pPr>
        <w:pStyle w:val="Caption"/>
        <w:jc w:val="center"/>
      </w:pPr>
      <w:bookmarkStart w:id="2" w:name="_Toc236648346"/>
      <w:r w:rsidRPr="006E3436">
        <w:t xml:space="preserve">Figure </w:t>
      </w:r>
      <w:r w:rsidRPr="006E3436">
        <w:fldChar w:fldCharType="begin"/>
      </w:r>
      <w:r w:rsidRPr="006E3436">
        <w:instrText xml:space="preserve"> SEQ Figure \* ARABIC </w:instrText>
      </w:r>
      <w:r w:rsidRPr="006E3436">
        <w:fldChar w:fldCharType="separate"/>
      </w:r>
      <w:r w:rsidR="00111562" w:rsidRPr="006E3436">
        <w:rPr>
          <w:noProof/>
        </w:rPr>
        <w:t>1</w:t>
      </w:r>
      <w:r w:rsidRPr="006E3436">
        <w:fldChar w:fldCharType="end"/>
      </w:r>
      <w:r w:rsidRPr="006E3436">
        <w:t>: Trademark of Suzuki Motor Corporation. Source: Suzuki Motor Corporation (2026).</w:t>
      </w:r>
      <w:bookmarkEnd w:id="2"/>
    </w:p>
    <w:p w14:paraId="221AF0F2" w14:textId="77777777" w:rsidR="0023251F" w:rsidRPr="006E3436" w:rsidRDefault="0023251F" w:rsidP="0023251F">
      <w:r w:rsidRPr="006E3436">
        <w:t>It has a 100% owned subsidiary in India called Suzuki Motorcycle India Private Limited (SMIPL) which was revived in 2006 following the earlier TVS-Suzuki joint venture, and operates from a 37-acre manufacturing premises at Kherki Dhaula, Gurugram with an annual capacity of one million two-wheelers (Suzuki Motorcycle India, 2025; Right to Repair India, 2025). Targeted at the aspirational young audience of the Indian market, the Gixxer family has become Suzuki's flagship sports range. The report is dedicated to the 2026-model-year Gixxer SF 250, which is the fully-faired sibling of the naked Gixxer 250, and which was refreshed in January 2026 with new colourways and OBD-2B emission compliance while keeping the same mechanical specification as the 2026 Gixxer 250 (Rajput, 2026; Fasterwheeler, 2026).</w:t>
      </w:r>
    </w:p>
    <w:p w14:paraId="7E9A2BCF" w14:textId="77777777" w:rsidR="00DE5E41" w:rsidRPr="006E3436" w:rsidRDefault="00DE5E41" w:rsidP="00DE5E41">
      <w:pPr>
        <w:pStyle w:val="Heading2"/>
        <w:numPr>
          <w:ilvl w:val="1"/>
          <w:numId w:val="1"/>
        </w:numPr>
      </w:pPr>
      <w:bookmarkStart w:id="3" w:name="_Toc236648323"/>
      <w:r w:rsidRPr="006E3436">
        <w:t>Mission, Vision and Strategic Purpose</w:t>
      </w:r>
      <w:bookmarkEnd w:id="3"/>
    </w:p>
    <w:p w14:paraId="7B8F915E" w14:textId="77777777" w:rsidR="0023251F" w:rsidRPr="006E3436" w:rsidRDefault="0023251F" w:rsidP="0023251F">
      <w:r w:rsidRPr="006E3436">
        <w:t xml:space="preserve">The Suzuki Motorcycle India 2025 philosophy of the company is based on the “value-packed”, reliable and accessible products, which are products of superior value, with the aim of always achieving a higher level of technology. SMIPL's strategic intent is to make this philosophy relevant in the Indian context – manufacture of two-wheelers, which are relevant for the value-conscious Indian rider, across the commuter and sport and adventure segment. The Gixxer SF 250 does just that directly, benefiting from Suzuki's own oil-cooling technology, which was developed based on the principles of weight and </w:t>
      </w:r>
      <w:r w:rsidRPr="006E3436">
        <w:lastRenderedPageBreak/>
        <w:t>friction reduction found in MotoGP (Suzuki Motorcycle India, 2025), to offer performance without compromising reliability or running costs. This is aligned with the resource-based literature, which states that company's mission becomes actionable by the deployment of the resources and capabilities in a specific market (Utami and Alamanos, 2023).</w:t>
      </w:r>
    </w:p>
    <w:p w14:paraId="4DC8B603" w14:textId="77777777" w:rsidR="00DE5E41" w:rsidRPr="006E3436" w:rsidRDefault="00DE5E41" w:rsidP="00DE5E41">
      <w:pPr>
        <w:pStyle w:val="Heading2"/>
        <w:numPr>
          <w:ilvl w:val="1"/>
          <w:numId w:val="1"/>
        </w:numPr>
      </w:pPr>
      <w:bookmarkStart w:id="4" w:name="_Toc236648324"/>
      <w:r w:rsidRPr="006E3436">
        <w:t>Business Model and Value Proposition</w:t>
      </w:r>
      <w:bookmarkEnd w:id="4"/>
    </w:p>
    <w:p w14:paraId="27FB7C77" w14:textId="77777777" w:rsidR="0023251F" w:rsidRPr="006E3436" w:rsidRDefault="0023251F" w:rsidP="0023251F">
      <w:r w:rsidRPr="006E3436">
        <w:t>SMIPL is a value creator with its in-house manufacturing at Gurugram, pan-India dealership and services network and product range covering commuter, sport and touring categories. Dealerships are currently offering schemes like extended warranties, insurance benefits and financing at 7.99 per cent interest, while value is captured through direct sales to the dealers, after-sales servicing, and accessory and finance tie-ups.</w:t>
      </w:r>
    </w:p>
    <w:p w14:paraId="75E29FDE" w14:textId="77777777" w:rsidR="008062DB" w:rsidRPr="006E3436" w:rsidRDefault="008062DB" w:rsidP="008062DB">
      <w:pPr>
        <w:keepNext/>
        <w:jc w:val="center"/>
      </w:pPr>
      <w:r w:rsidRPr="006E3436">
        <w:rPr>
          <w:noProof/>
          <w:lang w:val="en-US"/>
        </w:rPr>
        <w:drawing>
          <wp:inline distT="0" distB="0" distL="0" distR="0" wp14:anchorId="1970B62C" wp14:editId="140967F7">
            <wp:extent cx="4890154" cy="2750712"/>
            <wp:effectExtent l="0" t="0" r="5715" b="0"/>
            <wp:docPr id="11" name="Picture 11" descr="C:\Users\NITP~1\AppData\Local\Temp\{8321708A-AEC3-48AA-A3F7-F4165F36A972}.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C:\Users\NITP~1\AppData\Local\Temp\{8321708A-AEC3-48AA-A3F7-F4165F36A972}.tmp"/>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907681" cy="2760571"/>
                    </a:xfrm>
                    <a:prstGeom prst="rect">
                      <a:avLst/>
                    </a:prstGeom>
                    <a:noFill/>
                    <a:ln>
                      <a:noFill/>
                    </a:ln>
                  </pic:spPr>
                </pic:pic>
              </a:graphicData>
            </a:graphic>
          </wp:inline>
        </w:drawing>
      </w:r>
    </w:p>
    <w:p w14:paraId="121C0229" w14:textId="77777777" w:rsidR="008062DB" w:rsidRPr="006E3436" w:rsidRDefault="008062DB" w:rsidP="008062DB">
      <w:pPr>
        <w:pStyle w:val="Caption"/>
        <w:jc w:val="center"/>
      </w:pPr>
      <w:bookmarkStart w:id="5" w:name="_Toc236648347"/>
      <w:r w:rsidRPr="006E3436">
        <w:t xml:space="preserve">Figure </w:t>
      </w:r>
      <w:r w:rsidRPr="006E3436">
        <w:fldChar w:fldCharType="begin"/>
      </w:r>
      <w:r w:rsidRPr="006E3436">
        <w:instrText xml:space="preserve"> SEQ Figure \* ARABIC </w:instrText>
      </w:r>
      <w:r w:rsidRPr="006E3436">
        <w:fldChar w:fldCharType="separate"/>
      </w:r>
      <w:r w:rsidR="00111562" w:rsidRPr="006E3436">
        <w:rPr>
          <w:noProof/>
        </w:rPr>
        <w:t>2</w:t>
      </w:r>
      <w:r w:rsidRPr="006E3436">
        <w:fldChar w:fldCharType="end"/>
      </w:r>
      <w:r w:rsidRPr="006E3436">
        <w:t>: Suzuki Gixxer SF 250. Source: Suzuki Motorcycle India (2025).</w:t>
      </w:r>
      <w:bookmarkEnd w:id="5"/>
    </w:p>
    <w:p w14:paraId="578B91C5" w14:textId="77777777" w:rsidR="0023251F" w:rsidRPr="006E3436" w:rsidRDefault="0023251F" w:rsidP="0023251F">
      <w:pPr>
        <w:rPr>
          <w:lang w:val="en-US"/>
        </w:rPr>
      </w:pPr>
      <w:r w:rsidRPr="006E3436">
        <w:rPr>
          <w:lang w:val="en-US"/>
        </w:rPr>
        <w:t>The Gixxer SF 250's true strength is its all-faired touring-ready sports bike, combining the reliability of Suzuki's oil-cooled engine with digital connectivity (Suzuki Ride Connect) and practical ergonomics with impressive fuel economy of approximately 38 kmpl (BikeDekho, 2026). With its recent 3,259 kilometre mark in 24 hours, the first 250cc machine to achieve such a distance in India, SMIPL is taking a stance of a durable touring machine, as opposed to a track machine (Gupta, 2026).</w:t>
      </w:r>
    </w:p>
    <w:p w14:paraId="20641938" w14:textId="77777777" w:rsidR="00DE5E41" w:rsidRPr="006E3436" w:rsidRDefault="00DE5E41" w:rsidP="00DE5E41">
      <w:pPr>
        <w:pStyle w:val="Heading2"/>
        <w:numPr>
          <w:ilvl w:val="1"/>
          <w:numId w:val="1"/>
        </w:numPr>
      </w:pPr>
      <w:bookmarkStart w:id="6" w:name="_Toc236648325"/>
      <w:r w:rsidRPr="006E3436">
        <w:lastRenderedPageBreak/>
        <w:t>Industry, Competitors and Market Position</w:t>
      </w:r>
      <w:bookmarkEnd w:id="6"/>
    </w:p>
    <w:p w14:paraId="3B284D57" w14:textId="77777777" w:rsidR="0023251F" w:rsidRPr="006E3436" w:rsidRDefault="0023251F" w:rsidP="0023251F">
      <w:r w:rsidRPr="006E3436">
        <w:t>The Indian premium full-faired motorcycle segment, as a whole, includes KTM RC 200, Hero Karizma XMR, Bajaj Pulsar RS200, TVS Apache RR 310 and the Yamaha R15 range of motorcycles which are broadly defined as engines ranging from around 150cc to 310cc. The price range is from around ₹1.74 lakh (Bajaj Pulsar RS200) to more than ₹2.3 lakh (KTM RC 200), with the Hero Karizma XMR and Yamaha R15 in between at ₹1.66 lakh and ₹1.9 lakh ex-showroom, respectively (Rajput, 2025; BikeDekho, 2026). The Gixxer SF 250 is an ex-Delhi ex-showroom price of around ₹1.90 lakh which falls in the middle of this segment.The price of Gixxer 250 is around ₹1.90 lakh ex-showroom in dhaula khan, in the middle of this range. According to the Crisil Intelligence data, premium motorcycles (more than 150cc) accounted for 14 per cent of the two-wheeler volume in FY2019, but it has jumped to 19 per cent in FY2025 and will reach 22 per cent by FY2030, making Suzuki's performance in this volume segment the fastest in the industry (Press Trust of India, 2025).</w:t>
      </w:r>
    </w:p>
    <w:p w14:paraId="142BCDD6" w14:textId="77777777" w:rsidR="00DE5E41" w:rsidRPr="006E3436" w:rsidRDefault="00DE5E41" w:rsidP="00DE5E41"/>
    <w:p w14:paraId="6F844C4D" w14:textId="77777777" w:rsidR="00DE5E41" w:rsidRPr="006E3436" w:rsidRDefault="00DE5E41" w:rsidP="00DE5E41">
      <w:pPr>
        <w:pStyle w:val="Heading1"/>
        <w:numPr>
          <w:ilvl w:val="0"/>
          <w:numId w:val="1"/>
        </w:numPr>
      </w:pPr>
      <w:bookmarkStart w:id="7" w:name="_Toc236648326"/>
      <w:r w:rsidRPr="006E3436">
        <w:lastRenderedPageBreak/>
        <w:t>External and Internal Analysis</w:t>
      </w:r>
      <w:bookmarkEnd w:id="7"/>
    </w:p>
    <w:p w14:paraId="417023B4" w14:textId="77777777" w:rsidR="00DE5E41" w:rsidRPr="006E3436" w:rsidRDefault="00DE5E41" w:rsidP="00DE5E41">
      <w:pPr>
        <w:pStyle w:val="Heading2"/>
        <w:numPr>
          <w:ilvl w:val="1"/>
          <w:numId w:val="1"/>
        </w:numPr>
      </w:pPr>
      <w:bookmarkStart w:id="8" w:name="_Toc236648327"/>
      <w:r w:rsidRPr="006E3436">
        <w:t>PESTEL Analysis</w:t>
      </w:r>
      <w:bookmarkEnd w:id="8"/>
    </w:p>
    <w:p w14:paraId="06168271" w14:textId="77777777" w:rsidR="00D21832" w:rsidRPr="006E3436" w:rsidRDefault="0082353F" w:rsidP="00D21832">
      <w:pPr>
        <w:keepNext/>
        <w:jc w:val="center"/>
      </w:pPr>
      <w:r w:rsidRPr="006E3436">
        <w:rPr>
          <w:noProof/>
        </w:rPr>
        <w:drawing>
          <wp:inline distT="0" distB="0" distL="0" distR="0" wp14:anchorId="47E62820" wp14:editId="639E32B5">
            <wp:extent cx="4153577" cy="44100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181411" cy="4439628"/>
                    </a:xfrm>
                    <a:prstGeom prst="rect">
                      <a:avLst/>
                    </a:prstGeom>
                  </pic:spPr>
                </pic:pic>
              </a:graphicData>
            </a:graphic>
          </wp:inline>
        </w:drawing>
      </w:r>
    </w:p>
    <w:p w14:paraId="2896D88F" w14:textId="77777777" w:rsidR="00DE5E41" w:rsidRPr="006E3436" w:rsidRDefault="00D21832" w:rsidP="00D21832">
      <w:pPr>
        <w:pStyle w:val="Caption"/>
        <w:jc w:val="center"/>
      </w:pPr>
      <w:bookmarkStart w:id="9" w:name="_Toc236648348"/>
      <w:r w:rsidRPr="006E3436">
        <w:t xml:space="preserve">Figure </w:t>
      </w:r>
      <w:r w:rsidRPr="006E3436">
        <w:fldChar w:fldCharType="begin"/>
      </w:r>
      <w:r w:rsidRPr="006E3436">
        <w:instrText xml:space="preserve"> SEQ Figure \* ARABIC </w:instrText>
      </w:r>
      <w:r w:rsidRPr="006E3436">
        <w:fldChar w:fldCharType="separate"/>
      </w:r>
      <w:r w:rsidR="00111562" w:rsidRPr="006E3436">
        <w:rPr>
          <w:noProof/>
        </w:rPr>
        <w:t>3</w:t>
      </w:r>
      <w:r w:rsidRPr="006E3436">
        <w:fldChar w:fldCharType="end"/>
      </w:r>
      <w:r w:rsidRPr="006E3436">
        <w:t>: Summary of PESTEL Analysis for Suzuki Gixxer SF 250 in India. Source: Own Contribution.</w:t>
      </w:r>
      <w:bookmarkEnd w:id="9"/>
    </w:p>
    <w:p w14:paraId="3DFE9F92" w14:textId="77777777" w:rsidR="00DE5E41" w:rsidRPr="006E3436" w:rsidRDefault="00DE5E41" w:rsidP="00DE5E41">
      <w:pPr>
        <w:pStyle w:val="Heading3"/>
        <w:numPr>
          <w:ilvl w:val="2"/>
          <w:numId w:val="1"/>
        </w:numPr>
      </w:pPr>
      <w:r w:rsidRPr="006E3436">
        <w:t>Political</w:t>
      </w:r>
    </w:p>
    <w:p w14:paraId="6C3C71AA" w14:textId="77777777" w:rsidR="0023251F" w:rsidRPr="006E3436" w:rsidRDefault="0023251F" w:rsidP="0023251F">
      <w:r w:rsidRPr="006E3436">
        <w:t xml:space="preserve">The “Make in India” initiative and the Production Linked Incentive (PLI) scheme for the automotive industry remain in favor of domestic manufacturing and localisation of automotive components, all of which are advantageous for SMIPL's plant in Gurugram (Jameel Motors, 2025). There is also a push towards electrification happening via policy, with the PM E-DRIVE scheme (October 2024-March 2026) having a target for 10 per cent market share for electric two-wheelers, and the requirement for 50 per cent local content for the scheme to be eligible for subsidy (Revolt Motors, 2026). In the case of an ICE-only producer like SMIPL, this is a policy risk and a potential diversification indicator, a pattern seen in previous studies indicating that supply-side policy can affect competitive </w:t>
      </w:r>
      <w:r w:rsidRPr="006E3436">
        <w:lastRenderedPageBreak/>
        <w:t>positioning quicker than demand-side subsidy alone (Clean Mobility Shift 2025). As a 100% subsidiary of a Japanese parent company, SMIPL is also highly attuned to bilateral trade deals and import taxes on connectivity components and other advanced chemistry-cell materials, even as a significant amount of bill-of-materials components still come from abroad, despite efforts to localise (Jameel Motors, 2025).</w:t>
      </w:r>
    </w:p>
    <w:p w14:paraId="65E1677D" w14:textId="77777777" w:rsidR="00DE5E41" w:rsidRPr="006E3436" w:rsidRDefault="00DE5E41" w:rsidP="00D21832">
      <w:pPr>
        <w:pStyle w:val="Heading3"/>
        <w:numPr>
          <w:ilvl w:val="2"/>
          <w:numId w:val="1"/>
        </w:numPr>
      </w:pPr>
      <w:r w:rsidRPr="006E3436">
        <w:t>Economic</w:t>
      </w:r>
    </w:p>
    <w:p w14:paraId="134C136F" w14:textId="77777777" w:rsidR="0023251F" w:rsidRPr="006E3436" w:rsidRDefault="0023251F" w:rsidP="0023251F">
      <w:r w:rsidRPr="006E3436">
        <w:t>The Reserve Bank of India has been implementing a policy of easing through 2025-26, dropping the repo rate to 5.25 per cent and the cash reserve ratio 100 bps, which pushes down the cost of financing two-wheelers (Trading Economics, 2026).</w:t>
      </w:r>
    </w:p>
    <w:p w14:paraId="689247D0" w14:textId="77777777" w:rsidR="00D73C6E" w:rsidRPr="006E3436" w:rsidRDefault="00D73C6E" w:rsidP="00D73C6E">
      <w:pPr>
        <w:keepNext/>
        <w:jc w:val="center"/>
      </w:pPr>
      <w:r w:rsidRPr="006E3436">
        <w:rPr>
          <w:noProof/>
        </w:rPr>
        <w:drawing>
          <wp:inline distT="0" distB="0" distL="0" distR="0" wp14:anchorId="470C36D9" wp14:editId="3AA10EA8">
            <wp:extent cx="3706495" cy="1613276"/>
            <wp:effectExtent l="0" t="0" r="8255" b="63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747354" cy="1631060"/>
                    </a:xfrm>
                    <a:prstGeom prst="rect">
                      <a:avLst/>
                    </a:prstGeom>
                  </pic:spPr>
                </pic:pic>
              </a:graphicData>
            </a:graphic>
          </wp:inline>
        </w:drawing>
      </w:r>
    </w:p>
    <w:p w14:paraId="4ED9E322" w14:textId="77777777" w:rsidR="00D73C6E" w:rsidRPr="006E3436" w:rsidRDefault="00D73C6E" w:rsidP="00D73C6E">
      <w:pPr>
        <w:pStyle w:val="Caption"/>
        <w:jc w:val="center"/>
      </w:pPr>
      <w:bookmarkStart w:id="10" w:name="_Toc236648349"/>
      <w:r w:rsidRPr="006E3436">
        <w:t xml:space="preserve">Figure </w:t>
      </w:r>
      <w:r w:rsidRPr="006E3436">
        <w:fldChar w:fldCharType="begin"/>
      </w:r>
      <w:r w:rsidRPr="006E3436">
        <w:instrText xml:space="preserve"> SEQ Figure \* ARABIC </w:instrText>
      </w:r>
      <w:r w:rsidRPr="006E3436">
        <w:fldChar w:fldCharType="separate"/>
      </w:r>
      <w:r w:rsidR="00111562" w:rsidRPr="006E3436">
        <w:rPr>
          <w:noProof/>
        </w:rPr>
        <w:t>4</w:t>
      </w:r>
      <w:r w:rsidRPr="006E3436">
        <w:fldChar w:fldCharType="end"/>
      </w:r>
      <w:r w:rsidRPr="006E3436">
        <w:t>: India Interest Rate. Source: Trading Economics (2026).</w:t>
      </w:r>
      <w:bookmarkEnd w:id="10"/>
    </w:p>
    <w:p w14:paraId="17EB70C3" w14:textId="77777777" w:rsidR="0023251F" w:rsidRPr="006E3436" w:rsidRDefault="0023251F" w:rsidP="0023251F">
      <w:r w:rsidRPr="006E3436">
        <w:t>The growth projections for FY2025-26 have been kept high, ranging between 6.6 and 7.8 per cent, across the RBI revisions, with CPI inflation having remained historically low, close to 2 per cent in some places, before central bank estimates have revised it upwards to around 5.1 per cent with pressures on energy and rupee rates (PIB, 2025; News On AIR, 2026).</w:t>
      </w:r>
    </w:p>
    <w:p w14:paraId="3E51A169" w14:textId="77777777" w:rsidR="00111562" w:rsidRPr="006E3436" w:rsidRDefault="008110D4" w:rsidP="00111562">
      <w:pPr>
        <w:keepNext/>
        <w:jc w:val="center"/>
      </w:pPr>
      <w:r w:rsidRPr="006E3436">
        <w:rPr>
          <w:noProof/>
        </w:rPr>
        <w:drawing>
          <wp:inline distT="0" distB="0" distL="0" distR="0" wp14:anchorId="4FBC051E" wp14:editId="7B1D31AD">
            <wp:extent cx="3339632" cy="1656971"/>
            <wp:effectExtent l="0" t="0" r="0" b="63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383452" cy="1678712"/>
                    </a:xfrm>
                    <a:prstGeom prst="rect">
                      <a:avLst/>
                    </a:prstGeom>
                  </pic:spPr>
                </pic:pic>
              </a:graphicData>
            </a:graphic>
          </wp:inline>
        </w:drawing>
      </w:r>
    </w:p>
    <w:p w14:paraId="5CAA184D" w14:textId="77777777" w:rsidR="00D73C6E" w:rsidRPr="006E3436" w:rsidRDefault="00111562" w:rsidP="00111562">
      <w:pPr>
        <w:pStyle w:val="Caption"/>
        <w:jc w:val="center"/>
      </w:pPr>
      <w:bookmarkStart w:id="11" w:name="_Toc236648350"/>
      <w:r w:rsidRPr="006E3436">
        <w:t xml:space="preserve">Figure </w:t>
      </w:r>
      <w:r w:rsidRPr="006E3436">
        <w:fldChar w:fldCharType="begin"/>
      </w:r>
      <w:r w:rsidRPr="006E3436">
        <w:instrText xml:space="preserve"> SEQ Figure \* ARABIC </w:instrText>
      </w:r>
      <w:r w:rsidRPr="006E3436">
        <w:fldChar w:fldCharType="separate"/>
      </w:r>
      <w:r w:rsidRPr="006E3436">
        <w:rPr>
          <w:noProof/>
        </w:rPr>
        <w:t>5</w:t>
      </w:r>
      <w:r w:rsidRPr="006E3436">
        <w:fldChar w:fldCharType="end"/>
      </w:r>
      <w:r w:rsidRPr="006E3436">
        <w:t>: Annual GDP Estimates along with Y-o-Y Growth Rates. Source: PIB (2025).</w:t>
      </w:r>
      <w:bookmarkEnd w:id="11"/>
    </w:p>
    <w:p w14:paraId="0473360A" w14:textId="77777777" w:rsidR="0023251F" w:rsidRPr="006E3436" w:rsidRDefault="0023251F" w:rsidP="0023251F">
      <w:r w:rsidRPr="006E3436">
        <w:lastRenderedPageBreak/>
        <w:t>The changes to the rates of the two-wheelers under GST 2.0 to make them more affordable in the festive season of 2025-26 have been cited as a catalyst for the 7.4 per cent surge in two-vehicle sales in Q2 FY26 (SIAM, 2025). The overall scenario for premium motorcycle financing is good, but the risk of currency fluctuations and import cost fluctuations is present. Labour and production costs are a live consideration too: the Union Budget's personal income-tax changes and two back-to-back RBI rate cuts have been directly attributed to making vehicle financing more accessible, which should aid discretionary spending on more premium motorcycles, in the medium term (SIAM, 2025).</w:t>
      </w:r>
    </w:p>
    <w:p w14:paraId="52ECDEF8" w14:textId="77777777" w:rsidR="00D21832" w:rsidRPr="006E3436" w:rsidRDefault="00DE5E41" w:rsidP="00D21832">
      <w:pPr>
        <w:pStyle w:val="Heading3"/>
        <w:numPr>
          <w:ilvl w:val="2"/>
          <w:numId w:val="1"/>
        </w:numPr>
      </w:pPr>
      <w:r w:rsidRPr="006E3436">
        <w:t>Social</w:t>
      </w:r>
    </w:p>
    <w:p w14:paraId="6432B8EB" w14:textId="77777777" w:rsidR="0023251F" w:rsidRPr="006E3436" w:rsidRDefault="0023251F" w:rsidP="0023251F">
      <w:r w:rsidRPr="006E3436">
        <w:t>As identified in Indian consumer-behaviour studies (Kumar and Sarkar, 2008; Kumar et al., 2025), this aspiration of the many young people of India is towards the sport-themed motorcycles, which are seen as emblems of personal accomplishments. The Indian two-wheeler market is greatly influenced by brand reputation, resale value, and total cost of ownership, with customers considering factors such as durability and service-network proximity when making purchase decisions (Kumar et al., 2025). The focus on safety is also increasing, with dual-channel ABS becoming mandatory on all machines to all but eliminate brake lock-up, and more rider involvement in the brand community via social media and organised “pit-stop” events (Gupta, 2026).</w:t>
      </w:r>
    </w:p>
    <w:p w14:paraId="08ECEDA2" w14:textId="77777777" w:rsidR="00D21832" w:rsidRPr="006E3436" w:rsidRDefault="00D21832" w:rsidP="00D21832">
      <w:pPr>
        <w:pStyle w:val="Heading3"/>
        <w:numPr>
          <w:ilvl w:val="2"/>
          <w:numId w:val="1"/>
        </w:numPr>
      </w:pPr>
      <w:r w:rsidRPr="006E3436">
        <w:t>Technological</w:t>
      </w:r>
    </w:p>
    <w:p w14:paraId="046526AA" w14:textId="77777777" w:rsidR="0023251F" w:rsidRPr="006E3436" w:rsidRDefault="0023251F" w:rsidP="0023251F">
      <w:r w:rsidRPr="006E3436">
        <w:t>Competitors are separating themselves with connected dashboards, ride-mode electronics and app-based diagnostics: The Gixxer SF 250 has a cluster that has a Bluetooth option with Suzuki Ride Connect, while other models, like the Apache RR 310 and Karizma XMR, have similar or more comprehensive dashboards. This finding aligns with broader evidence that digital engagement is now a critical factor in the pre-purchase journey and that brand trust and purchase decisions in nascent automotive markets are significantly influenced by digital engagement (Gupta et al., 2023). Rivals are also stepping up their game with more features, bigger TFTs, navigation and quickshifters at comparable price points, which is driving up feature expectations for the entire 200–310cc class and forces Suzuki to speed up its digital path, not only with Ride Connect, but with its own product offering (Miller, 2019).</w:t>
      </w:r>
    </w:p>
    <w:p w14:paraId="3788EDD2" w14:textId="77777777" w:rsidR="00D21832" w:rsidRPr="006E3436" w:rsidRDefault="00D21832" w:rsidP="00D21832">
      <w:pPr>
        <w:pStyle w:val="Heading3"/>
        <w:numPr>
          <w:ilvl w:val="2"/>
          <w:numId w:val="1"/>
        </w:numPr>
      </w:pPr>
      <w:r w:rsidRPr="006E3436">
        <w:lastRenderedPageBreak/>
        <w:t>Environmental</w:t>
      </w:r>
    </w:p>
    <w:p w14:paraId="1B18759F" w14:textId="77777777" w:rsidR="0023251F" w:rsidRPr="006E3436" w:rsidRDefault="0023251F" w:rsidP="0023251F">
      <w:r w:rsidRPr="006E3436">
        <w:t>Emission regulation is getting tighter, with OBD-2B compliance from April 2025, and the government's ethanol-blending programme has already met the E20 (20 per cent ethanol) standard nationally, five years before the original 2030 target, with policy now in the direction of flex-fuel vehicles (E85/E100) now in the pipeline (Fasterwheeler, 2026; Ranjan, 2026). However, Suzuki has anticipated this development—with the Gixxer SF 250 available in a flex-fuel version that is compliant with the E85 standard—and is ahead of some of its competitors on this particular regulatory journey (Gupta, 2026). The details of corporate environmental commitments, such as the waste management, emissions, and energy management at the Gurugram plant, are recorded in Suzuki Motorcycle India's own environmental policy (Suzuki Motorcycle India, 2025).</w:t>
      </w:r>
    </w:p>
    <w:p w14:paraId="1465108F" w14:textId="77777777" w:rsidR="00D21832" w:rsidRPr="006E3436" w:rsidRDefault="00D21832" w:rsidP="00D21832">
      <w:pPr>
        <w:pStyle w:val="Heading3"/>
        <w:numPr>
          <w:ilvl w:val="2"/>
          <w:numId w:val="1"/>
        </w:numPr>
      </w:pPr>
      <w:r w:rsidRPr="006E3436">
        <w:t>Legal</w:t>
      </w:r>
    </w:p>
    <w:p w14:paraId="0438EF7B" w14:textId="77777777" w:rsidR="0023251F" w:rsidRPr="006E3436" w:rsidRDefault="0023251F" w:rsidP="0023251F">
      <w:r w:rsidRPr="006E3436">
        <w:t xml:space="preserve">In addition to BS6 and OBD-2B emission norms, manufacturers are required to meet increasingly complex Motor Vehicle Rules being amended to provide a formal definition of flex-fuel vehicles, and also face obligations under consumer-protection and right-to-repair rules, which are beginning to be given regulatory attention in India (Consumer Protection India, 2025; Ranjan, 2026). </w:t>
      </w:r>
    </w:p>
    <w:p w14:paraId="1747F7A3" w14:textId="77777777" w:rsidR="0023251F" w:rsidRPr="006E3436" w:rsidRDefault="0023251F" w:rsidP="0023251F">
      <w:r w:rsidRPr="006E3436">
        <w:t>Combined, the PESTEL analysis suggests that premiumisation, flex-fuel readiness and good financing terms represent the greatest opportunities, while electrification policy, rupee-related volatility in costs and increased compliance costs for emissions represent the key threats.</w:t>
      </w:r>
    </w:p>
    <w:p w14:paraId="3EF3D34D" w14:textId="77777777" w:rsidR="00D21832" w:rsidRPr="006E3436" w:rsidRDefault="00D21832" w:rsidP="00D21832">
      <w:pPr>
        <w:pStyle w:val="Heading2"/>
        <w:numPr>
          <w:ilvl w:val="1"/>
          <w:numId w:val="1"/>
        </w:numPr>
      </w:pPr>
      <w:bookmarkStart w:id="12" w:name="_Toc236648328"/>
      <w:r w:rsidRPr="006E3436">
        <w:lastRenderedPageBreak/>
        <w:t>Porter’s Five Forces</w:t>
      </w:r>
      <w:bookmarkEnd w:id="12"/>
    </w:p>
    <w:p w14:paraId="2AFDF575" w14:textId="77777777" w:rsidR="00A906F3" w:rsidRPr="006E3436" w:rsidRDefault="00F9304F" w:rsidP="00A906F3">
      <w:pPr>
        <w:keepNext/>
        <w:jc w:val="center"/>
      </w:pPr>
      <w:r w:rsidRPr="006E3436">
        <w:rPr>
          <w:noProof/>
        </w:rPr>
        <w:drawing>
          <wp:inline distT="0" distB="0" distL="0" distR="0" wp14:anchorId="2A07BBA0" wp14:editId="05B5B3AF">
            <wp:extent cx="4629150" cy="4235764"/>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645684" cy="4250893"/>
                    </a:xfrm>
                    <a:prstGeom prst="rect">
                      <a:avLst/>
                    </a:prstGeom>
                  </pic:spPr>
                </pic:pic>
              </a:graphicData>
            </a:graphic>
          </wp:inline>
        </w:drawing>
      </w:r>
    </w:p>
    <w:p w14:paraId="6BBE6417" w14:textId="77777777" w:rsidR="00A906F3" w:rsidRPr="006E3436" w:rsidRDefault="00A906F3" w:rsidP="0082353F">
      <w:pPr>
        <w:pStyle w:val="Caption"/>
        <w:jc w:val="center"/>
      </w:pPr>
      <w:bookmarkStart w:id="13" w:name="_Toc236648351"/>
      <w:r w:rsidRPr="006E3436">
        <w:t xml:space="preserve">Figure </w:t>
      </w:r>
      <w:r w:rsidRPr="006E3436">
        <w:fldChar w:fldCharType="begin"/>
      </w:r>
      <w:r w:rsidRPr="006E3436">
        <w:instrText xml:space="preserve"> SEQ Figure \* ARABIC </w:instrText>
      </w:r>
      <w:r w:rsidRPr="006E3436">
        <w:fldChar w:fldCharType="separate"/>
      </w:r>
      <w:r w:rsidR="00111562" w:rsidRPr="006E3436">
        <w:rPr>
          <w:noProof/>
        </w:rPr>
        <w:t>6</w:t>
      </w:r>
      <w:r w:rsidRPr="006E3436">
        <w:fldChar w:fldCharType="end"/>
      </w:r>
      <w:r w:rsidRPr="006E3436">
        <w:t>: Porter’s Five Forces Summary for Suzuki Gixxer SF 250 in India. Source: Own Contribution.</w:t>
      </w:r>
      <w:bookmarkEnd w:id="13"/>
    </w:p>
    <w:p w14:paraId="0212B75A" w14:textId="77777777" w:rsidR="00A906F3" w:rsidRPr="006E3436" w:rsidRDefault="00A906F3" w:rsidP="00A906F3">
      <w:pPr>
        <w:pStyle w:val="Heading3"/>
        <w:numPr>
          <w:ilvl w:val="2"/>
          <w:numId w:val="1"/>
        </w:numPr>
      </w:pPr>
      <w:r w:rsidRPr="006E3436">
        <w:t>Competitive rivalry (High)</w:t>
      </w:r>
    </w:p>
    <w:p w14:paraId="2310A7E0" w14:textId="77777777" w:rsidR="0023251F" w:rsidRPr="006E3436" w:rsidRDefault="0023251F" w:rsidP="0023251F">
      <w:r w:rsidRPr="006E3436">
        <w:t>The premium fully-faired segment (200-310cc) has a high level of competitive rivalry. The empirical study on the motorcycle industry reveals that the bargaining power of the dealers as well as the suppliers is considered “high,” the power of the buyer is also assessed as “high” and the availability of substitutes is “high” while the entry threat and rivalry is rated as “high” by the managers, which shows an intensely contested industry structure (Dacula Jr and Gelacio, 2023).</w:t>
      </w:r>
    </w:p>
    <w:p w14:paraId="51050E59" w14:textId="77777777" w:rsidR="00D21832" w:rsidRPr="006E3436" w:rsidRDefault="00D21832" w:rsidP="00D21832">
      <w:pPr>
        <w:pStyle w:val="Heading3"/>
        <w:numPr>
          <w:ilvl w:val="2"/>
          <w:numId w:val="1"/>
        </w:numPr>
      </w:pPr>
      <w:r w:rsidRPr="006E3436">
        <w:t>Threat of new entrants (moderate)</w:t>
      </w:r>
    </w:p>
    <w:p w14:paraId="4A04523C" w14:textId="77777777" w:rsidR="0023251F" w:rsidRPr="006E3436" w:rsidRDefault="0023251F" w:rsidP="0023251F">
      <w:r w:rsidRPr="006E3436">
        <w:t>The capital costs of manufacturing or homologation are significant, and dealer network and brand equity are an advantage for the incumbents, but this does not mean they are a formidable threat as they can gain access through completely knocked down (CKD) configurations, with Chinese-backed brands as another option (Obu, 2022).</w:t>
      </w:r>
    </w:p>
    <w:p w14:paraId="22D3A2D6" w14:textId="77777777" w:rsidR="00D21832" w:rsidRPr="006E3436" w:rsidRDefault="00D21832" w:rsidP="00D21832">
      <w:pPr>
        <w:pStyle w:val="Heading3"/>
        <w:numPr>
          <w:ilvl w:val="2"/>
          <w:numId w:val="1"/>
        </w:numPr>
      </w:pPr>
      <w:r w:rsidRPr="006E3436">
        <w:lastRenderedPageBreak/>
        <w:t>Threat of substitutes (</w:t>
      </w:r>
      <w:r w:rsidR="0023251F" w:rsidRPr="006E3436">
        <w:t>high</w:t>
      </w:r>
      <w:r w:rsidRPr="006E3436">
        <w:t>)</w:t>
      </w:r>
    </w:p>
    <w:p w14:paraId="2C1AB9D2" w14:textId="77777777" w:rsidR="0023251F" w:rsidRPr="006E3436" w:rsidRDefault="0023251F" w:rsidP="0023251F">
      <w:r w:rsidRPr="006E3436">
        <w:t>With the PM E-DRIVE scheme (Clean Mobility Shift, 2025) nearing meaningful volumes of EV two-wheelers, naked sports motorcycles, high-spec commuter bikes and the used-bike market are all fighting for the same discretionary dollar.</w:t>
      </w:r>
    </w:p>
    <w:p w14:paraId="18576B1C" w14:textId="77777777" w:rsidR="00D21832" w:rsidRPr="006E3436" w:rsidRDefault="00D21832" w:rsidP="00D21832">
      <w:pPr>
        <w:pStyle w:val="Heading3"/>
        <w:numPr>
          <w:ilvl w:val="2"/>
          <w:numId w:val="1"/>
        </w:numPr>
      </w:pPr>
      <w:r w:rsidRPr="006E3436">
        <w:t>Buyer power (high)</w:t>
      </w:r>
    </w:p>
    <w:p w14:paraId="6CB4BF07" w14:textId="77777777" w:rsidR="0023251F" w:rsidRPr="006E3436" w:rsidRDefault="0023251F" w:rsidP="0023251F">
      <w:r w:rsidRPr="006E3436">
        <w:t>Riders can easily view specifications and compare prices online, switching costs are low, and price sensitivity is high even among premium buyers, as seen in the study that resale value and overall cost of ownership are the most important factors in Indian riders' buying decisions (Kumar et al., 2025).</w:t>
      </w:r>
    </w:p>
    <w:p w14:paraId="6D114FAC" w14:textId="77777777" w:rsidR="00D21832" w:rsidRPr="006E3436" w:rsidRDefault="00D21832" w:rsidP="00D21832">
      <w:pPr>
        <w:pStyle w:val="Heading3"/>
        <w:numPr>
          <w:ilvl w:val="2"/>
          <w:numId w:val="1"/>
        </w:numPr>
      </w:pPr>
      <w:r w:rsidRPr="006E3436">
        <w:t>Supplier power (moderate)</w:t>
      </w:r>
    </w:p>
    <w:p w14:paraId="4C2A7B7C" w14:textId="77777777" w:rsidR="0023251F" w:rsidRPr="006E3436" w:rsidRDefault="0023251F" w:rsidP="0023251F">
      <w:r w:rsidRPr="006E3436">
        <w:t>Localisation and PLI linked component procurement are advantages for SMIPL; however, it is still reliant on the global semiconductor and electronics suppliers for connectivity hardware and raw material price movement in steel and aluminium which has an impact on all manufacturers to a certain extent. Supplier power is somewhat lessened as a domestic supplier can easily switch to another and the switching cost for a manufacturer on SMIPL's scale is relatively low.</w:t>
      </w:r>
    </w:p>
    <w:p w14:paraId="14D02395" w14:textId="77777777" w:rsidR="00F9304F" w:rsidRPr="006E3436" w:rsidRDefault="0023251F" w:rsidP="0023251F">
      <w:pPr>
        <w:rPr>
          <w:rFonts w:eastAsiaTheme="majorEastAsia" w:cstheme="majorBidi"/>
          <w:b/>
          <w:color w:val="2E74B5" w:themeColor="accent1" w:themeShade="BF"/>
          <w:sz w:val="28"/>
          <w:szCs w:val="26"/>
        </w:rPr>
      </w:pPr>
      <w:r w:rsidRPr="006E3436">
        <w:t>The overall segment is moderately attractive and profitable, cost leadership is not sufficient for competitive advantage; the segment is structurally challenged due to buyer power and threats from substitutes; and well differentiated players can make money.</w:t>
      </w:r>
    </w:p>
    <w:p w14:paraId="0FF1D550" w14:textId="77777777" w:rsidR="0023251F" w:rsidRPr="006E3436" w:rsidRDefault="0023251F">
      <w:pPr>
        <w:spacing w:line="259" w:lineRule="auto"/>
        <w:jc w:val="left"/>
        <w:rPr>
          <w:rFonts w:eastAsiaTheme="majorEastAsia" w:cstheme="majorBidi"/>
          <w:b/>
          <w:color w:val="2E74B5" w:themeColor="accent1" w:themeShade="BF"/>
          <w:sz w:val="28"/>
          <w:szCs w:val="26"/>
        </w:rPr>
      </w:pPr>
      <w:r w:rsidRPr="006E3436">
        <w:br w:type="page"/>
      </w:r>
    </w:p>
    <w:p w14:paraId="4B910ACB" w14:textId="77777777" w:rsidR="00A906F3" w:rsidRPr="006E3436" w:rsidRDefault="00A906F3" w:rsidP="00A906F3">
      <w:pPr>
        <w:pStyle w:val="Heading2"/>
        <w:numPr>
          <w:ilvl w:val="1"/>
          <w:numId w:val="1"/>
        </w:numPr>
      </w:pPr>
      <w:bookmarkStart w:id="14" w:name="_Toc236648329"/>
      <w:r w:rsidRPr="006E3436">
        <w:lastRenderedPageBreak/>
        <w:t>VRIO and Internal Analysis</w:t>
      </w:r>
      <w:bookmarkEnd w:id="14"/>
    </w:p>
    <w:p w14:paraId="1657F872" w14:textId="77777777" w:rsidR="0023251F" w:rsidRPr="006E3436" w:rsidRDefault="0023251F" w:rsidP="0023251F">
      <w:r w:rsidRPr="006E3436">
        <w:t>The tangible assets of SMIPL are the Gurugram plant and dealer network, while the intangible assets are the Suzuki global brand, oil-cooling engineering skills, and access to the parent company R&amp;D. Adopting the VRIO framework (Barney, 1991, Antony and Dr. Anuradha, 2026)</w:t>
      </w:r>
    </w:p>
    <w:p w14:paraId="47E2FA11" w14:textId="77777777" w:rsidR="00A906F3" w:rsidRPr="006E3436" w:rsidRDefault="00A906F3" w:rsidP="00A906F3">
      <w:pPr>
        <w:keepNext/>
        <w:jc w:val="center"/>
      </w:pPr>
      <w:r w:rsidRPr="006E3436">
        <w:rPr>
          <w:noProof/>
        </w:rPr>
        <w:drawing>
          <wp:inline distT="0" distB="0" distL="0" distR="0" wp14:anchorId="26BAE9C9" wp14:editId="6BA79A1C">
            <wp:extent cx="5238750" cy="2740418"/>
            <wp:effectExtent l="0" t="0" r="0" b="31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266427" cy="2754896"/>
                    </a:xfrm>
                    <a:prstGeom prst="rect">
                      <a:avLst/>
                    </a:prstGeom>
                  </pic:spPr>
                </pic:pic>
              </a:graphicData>
            </a:graphic>
          </wp:inline>
        </w:drawing>
      </w:r>
    </w:p>
    <w:p w14:paraId="69A0310B" w14:textId="77777777" w:rsidR="00D21832" w:rsidRPr="006E3436" w:rsidRDefault="00A906F3" w:rsidP="00A906F3">
      <w:pPr>
        <w:pStyle w:val="Caption"/>
        <w:jc w:val="center"/>
      </w:pPr>
      <w:bookmarkStart w:id="15" w:name="_Toc236648352"/>
      <w:r w:rsidRPr="006E3436">
        <w:t xml:space="preserve">Figure </w:t>
      </w:r>
      <w:r w:rsidRPr="006E3436">
        <w:fldChar w:fldCharType="begin"/>
      </w:r>
      <w:r w:rsidRPr="006E3436">
        <w:instrText xml:space="preserve"> SEQ Figure \* ARABIC </w:instrText>
      </w:r>
      <w:r w:rsidRPr="006E3436">
        <w:fldChar w:fldCharType="separate"/>
      </w:r>
      <w:r w:rsidR="00111562" w:rsidRPr="006E3436">
        <w:rPr>
          <w:noProof/>
        </w:rPr>
        <w:t>7</w:t>
      </w:r>
      <w:r w:rsidRPr="006E3436">
        <w:fldChar w:fldCharType="end"/>
      </w:r>
      <w:r w:rsidRPr="006E3436">
        <w:t>: VRIO Analysis Summary for Suzuki Gixxer SF 250 in India. Source: Own Contribution</w:t>
      </w:r>
      <w:r w:rsidR="004631C8" w:rsidRPr="006E3436">
        <w:t>.</w:t>
      </w:r>
      <w:bookmarkEnd w:id="15"/>
    </w:p>
    <w:p w14:paraId="41866F27" w14:textId="77777777" w:rsidR="004631C8" w:rsidRPr="006E3436" w:rsidRDefault="004631C8" w:rsidP="004631C8">
      <w:r w:rsidRPr="006E3436">
        <w:t xml:space="preserve">Scale of manufacturing and coverage of dealers is important, albeit not uncommon features of the top five, and a threshold resource required to compete (Cardeal and António, 2012). The oil-cooling platform and early flex-fuel readiness are more unique: they are valuable, comparatively rare in this particular niche and somewhat harder to be quickly matched with engineering lead times, but not so difficult that it would take the competitors more than a few product cycles. The most obvious sustainable competitive advantage is the ability to access Suzuki's knowledge base and the transfer of technology from MotoGP, which is embedded within the organisation and has not been easily duplicated by other domestic competitors like Bajaj or Hero, although, for example, Austrian (KTM) and Japanese (Yamaha) rivals do likewise have comparable parent level resources (Utami and Alamanos, 2023; Antony and Dr. Anuradha). 2026). However, manufacturing capacity (as well as the dealer network) is a necessary but insufficient condition for sustained advantage or competitive edge; the VRIO literature cautions </w:t>
      </w:r>
      <w:r w:rsidRPr="006E3436">
        <w:lastRenderedPageBreak/>
        <w:t>against the assumption that operational capability is a source of durable advantage, given that without it a competitor cannot sustain its presence in the segment. A quick look at the value chain lends credence to this; Suzuki's competitive strength lies in engineering and manufacturing and the outbound and service part of the value chain, both of which are customer-facing, are comparatively under-exploited when compared to its rivals like TVS and KTM, which indicates that the company should invest more in the customer end of the value chain than in its manufacturing efficiency.</w:t>
      </w:r>
    </w:p>
    <w:p w14:paraId="5D63042E" w14:textId="77777777" w:rsidR="004631C8" w:rsidRPr="006E3436" w:rsidRDefault="004631C8">
      <w:pPr>
        <w:spacing w:line="259" w:lineRule="auto"/>
        <w:jc w:val="left"/>
        <w:rPr>
          <w:rFonts w:eastAsiaTheme="majorEastAsia" w:cstheme="majorBidi"/>
          <w:b/>
          <w:color w:val="2E74B5" w:themeColor="accent1" w:themeShade="BF"/>
          <w:sz w:val="28"/>
          <w:szCs w:val="26"/>
        </w:rPr>
      </w:pPr>
      <w:r w:rsidRPr="006E3436">
        <w:br w:type="page"/>
      </w:r>
    </w:p>
    <w:p w14:paraId="3AA450D2" w14:textId="77777777" w:rsidR="00A906F3" w:rsidRPr="006E3436" w:rsidRDefault="004631C8" w:rsidP="00A906F3">
      <w:pPr>
        <w:pStyle w:val="Heading2"/>
        <w:numPr>
          <w:ilvl w:val="1"/>
          <w:numId w:val="1"/>
        </w:numPr>
      </w:pPr>
      <w:r w:rsidRPr="006E3436">
        <w:lastRenderedPageBreak/>
        <w:t xml:space="preserve"> </w:t>
      </w:r>
      <w:bookmarkStart w:id="16" w:name="_Toc236648330"/>
      <w:r w:rsidR="00A906F3" w:rsidRPr="006E3436">
        <w:t>SWOT Analysis</w:t>
      </w:r>
      <w:bookmarkEnd w:id="16"/>
    </w:p>
    <w:p w14:paraId="4CBD68A5" w14:textId="77777777" w:rsidR="006F6D53" w:rsidRPr="006E3436" w:rsidRDefault="00A906F3" w:rsidP="006F6D53">
      <w:pPr>
        <w:keepNext/>
      </w:pPr>
      <w:r w:rsidRPr="006E3436">
        <w:rPr>
          <w:noProof/>
          <w:lang w:val="en-US"/>
        </w:rPr>
        <w:drawing>
          <wp:inline distT="0" distB="0" distL="0" distR="0" wp14:anchorId="17D01910" wp14:editId="255E3C14">
            <wp:extent cx="6072505" cy="3114136"/>
            <wp:effectExtent l="0" t="0" r="4445" b="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19647269" w14:textId="77777777" w:rsidR="00A906F3" w:rsidRPr="006E3436" w:rsidRDefault="006F6D53" w:rsidP="006F6D53">
      <w:pPr>
        <w:pStyle w:val="Caption"/>
        <w:jc w:val="center"/>
      </w:pPr>
      <w:bookmarkStart w:id="17" w:name="_Toc236648353"/>
      <w:r w:rsidRPr="006E3436">
        <w:t xml:space="preserve">Figure </w:t>
      </w:r>
      <w:r w:rsidRPr="006E3436">
        <w:fldChar w:fldCharType="begin"/>
      </w:r>
      <w:r w:rsidRPr="006E3436">
        <w:instrText xml:space="preserve"> SEQ Figure \* ARABIC </w:instrText>
      </w:r>
      <w:r w:rsidRPr="006E3436">
        <w:fldChar w:fldCharType="separate"/>
      </w:r>
      <w:r w:rsidR="00111562" w:rsidRPr="006E3436">
        <w:rPr>
          <w:noProof/>
        </w:rPr>
        <w:t>8</w:t>
      </w:r>
      <w:r w:rsidRPr="006E3436">
        <w:fldChar w:fldCharType="end"/>
      </w:r>
      <w:r w:rsidRPr="006E3436">
        <w:t>: SWOT Analysis Summary for Suzuki Gixxer SF 250 in India. Source: Own Contribution.</w:t>
      </w:r>
      <w:bookmarkEnd w:id="17"/>
    </w:p>
    <w:p w14:paraId="3D85F246" w14:textId="77777777" w:rsidR="00376AF8" w:rsidRPr="006E3436" w:rsidRDefault="00376AF8" w:rsidP="00376AF8">
      <w:pPr>
        <w:pStyle w:val="Heading3"/>
        <w:numPr>
          <w:ilvl w:val="2"/>
          <w:numId w:val="1"/>
        </w:numPr>
      </w:pPr>
      <w:r w:rsidRPr="006E3436">
        <w:t>Strengths</w:t>
      </w:r>
    </w:p>
    <w:p w14:paraId="56AC2FE2" w14:textId="77777777" w:rsidR="004631C8" w:rsidRPr="006E3436" w:rsidRDefault="004631C8" w:rsidP="004631C8">
      <w:r w:rsidRPr="006E3436">
        <w:t>The Gixxer SF 250 carries over a 249cc oil-cooled engine, a six-speed transmission, enhanced delivery, and a stable handling and long ride comfort package, all in keeping with Suzuki's reliability-based sports-touring approach. The E85 version is flex-fuel, ensuring alignment with India's ethanol transition, while its local manufacturing and dealer support bolster availability and ownership confidence. The fuel efficiency is also tested and has an estimated mileage of approximately 35 km/l, which is suitable for regular use as well (Suzuki Motorcycle India, 2026a; BikeWale, 2026).</w:t>
      </w:r>
    </w:p>
    <w:p w14:paraId="26B5E3BE" w14:textId="77777777" w:rsidR="000157B8" w:rsidRPr="006E3436" w:rsidRDefault="000157B8" w:rsidP="000157B8">
      <w:pPr>
        <w:pStyle w:val="Heading3"/>
        <w:numPr>
          <w:ilvl w:val="2"/>
          <w:numId w:val="1"/>
        </w:numPr>
      </w:pPr>
      <w:r w:rsidRPr="006E3436">
        <w:t>Weaknesses</w:t>
      </w:r>
    </w:p>
    <w:p w14:paraId="2AEEC66B" w14:textId="77777777" w:rsidR="004631C8" w:rsidRPr="006E3436" w:rsidRDefault="004631C8" w:rsidP="004631C8">
      <w:r w:rsidRPr="006E3436">
        <w:t>Suzuki Ride Connect is helpful, but less comprehensive than the Apache RR 310's navigation, race computer and ride modes. KTM's racing heritage also lends a more track like vibe to the RC 200. The 2026 update brought in some colours and graphics, but there is a lack of feature innovation and excitement at the model level. (TVS Motor Company, 2024; KTM India, 2026; Suzuki Motorcycle India, 2026b).</w:t>
      </w:r>
    </w:p>
    <w:p w14:paraId="253EBAE8" w14:textId="77777777" w:rsidR="000157B8" w:rsidRPr="006E3436" w:rsidRDefault="00376AF8" w:rsidP="000157B8">
      <w:pPr>
        <w:pStyle w:val="Heading3"/>
        <w:numPr>
          <w:ilvl w:val="2"/>
          <w:numId w:val="1"/>
        </w:numPr>
      </w:pPr>
      <w:r w:rsidRPr="006E3436">
        <w:lastRenderedPageBreak/>
        <w:t>Opportunities</w:t>
      </w:r>
    </w:p>
    <w:p w14:paraId="72952D6C" w14:textId="77777777" w:rsidR="004631C8" w:rsidRPr="006E3436" w:rsidRDefault="004631C8" w:rsidP="004631C8">
      <w:r w:rsidRPr="006E3436">
        <w:t>Motorcycles of above 150cc have grown from 14% of Indian motorcycle sales in FY2019 to 19% in FY2025. There are additional avenues for engagement and financed purchases due to flex-fuel alignment, digital rider communities and RBI's 5.25% repo rate (ET Auto, 2025; Reserve Bank of India, 2026).</w:t>
      </w:r>
    </w:p>
    <w:p w14:paraId="5FFC6B96" w14:textId="77777777" w:rsidR="000157B8" w:rsidRPr="006E3436" w:rsidRDefault="000157B8" w:rsidP="000157B8">
      <w:pPr>
        <w:pStyle w:val="Heading3"/>
        <w:numPr>
          <w:ilvl w:val="2"/>
          <w:numId w:val="1"/>
        </w:numPr>
      </w:pPr>
      <w:r w:rsidRPr="006E3436">
        <w:t>Threats</w:t>
      </w:r>
    </w:p>
    <w:p w14:paraId="71B8544C" w14:textId="77777777" w:rsidR="004631C8" w:rsidRPr="006E3436" w:rsidRDefault="004631C8" w:rsidP="000157B8">
      <w:r w:rsidRPr="006E3436">
        <w:t>Yamaha’s proposed R2, aggressive domestic rivals, growing electric-two-wheeler adoption and OBD-2B compliance can intensify competition and raise development costs. Suzuki must therefore upgrade features without weakening price competitiveness (BikeDekho, 2026).</w:t>
      </w:r>
    </w:p>
    <w:p w14:paraId="4786DCA6" w14:textId="77777777" w:rsidR="00F9304F" w:rsidRPr="006E3436" w:rsidRDefault="004631C8" w:rsidP="000157B8">
      <w:pPr>
        <w:rPr>
          <w:rFonts w:eastAsiaTheme="majorEastAsia" w:cstheme="majorBidi"/>
          <w:b/>
          <w:color w:val="002060"/>
          <w:sz w:val="32"/>
          <w:szCs w:val="32"/>
        </w:rPr>
      </w:pPr>
      <w:r w:rsidRPr="006E3436">
        <w:t>Overall, analysis shows that the Gixxer SF 250 has a strong foundation in brand reputation, refinement, fuel efficiency, touring comfort and flex-fuel readiness. But, digital features are less strong and marketing intensity and strong competitor positioning could limit growth. To achieve focused sports-touring differentiation, SMIPL should work on enhancing connectivity, engaging customers and product features, with reliable, comfortable and competitive prices.</w:t>
      </w:r>
      <w:r w:rsidR="00F9304F" w:rsidRPr="006E3436">
        <w:br w:type="page"/>
      </w:r>
    </w:p>
    <w:p w14:paraId="1BCB9BA8" w14:textId="77777777" w:rsidR="006F6D53" w:rsidRPr="006E3436" w:rsidRDefault="006F6D53" w:rsidP="006F6D53">
      <w:pPr>
        <w:pStyle w:val="Heading1"/>
        <w:numPr>
          <w:ilvl w:val="0"/>
          <w:numId w:val="1"/>
        </w:numPr>
      </w:pPr>
      <w:bookmarkStart w:id="18" w:name="_Toc236648331"/>
      <w:r w:rsidRPr="006E3436">
        <w:lastRenderedPageBreak/>
        <w:t>Comprehensive and Holistic View of the Organisation</w:t>
      </w:r>
      <w:bookmarkEnd w:id="18"/>
    </w:p>
    <w:p w14:paraId="6D1F3D37" w14:textId="77777777" w:rsidR="006F6D53" w:rsidRPr="006E3436" w:rsidRDefault="006F6D53" w:rsidP="006F6D53">
      <w:pPr>
        <w:pStyle w:val="Heading2"/>
        <w:numPr>
          <w:ilvl w:val="1"/>
          <w:numId w:val="1"/>
        </w:numPr>
      </w:pPr>
      <w:bookmarkStart w:id="19" w:name="_Toc236648332"/>
      <w:r w:rsidRPr="006E3436">
        <w:t>CSR and Strategic Sustainability</w:t>
      </w:r>
      <w:bookmarkEnd w:id="19"/>
    </w:p>
    <w:p w14:paraId="627C683B" w14:textId="77777777" w:rsidR="004631C8" w:rsidRPr="006E3436" w:rsidRDefault="004631C8" w:rsidP="004631C8">
      <w:r w:rsidRPr="006E3436">
        <w:t>SMIPL's CSR policy (Companies Act 2013, Section 135) is a policy that aims to include and sustain the growth of vulnerable and marginalised groups in the areas of operation and also to engage the stakeholders and achieve shared value creation, which is a clear commitment by the company to create a better world for the people around them (Suzuki Motorcycle India, 2025). Environmentally, a Suzuki Motorcycle India (Suzuki Motorcycle India, 2025) Environmental Management System is in place at the company's Gurugram plant, which includes pollution prevention, compliance, and staff environmental education. In general, CSR investments in the automotive industry are aligned with the business goals, and empirical evidence suggests that investing in CSR positively correlates with increased brand reputation and, in certain markets and companies, with better financial performance (Chandrasekaran, 2022; Rhoden, Groening and Wolff, 2023). As a specific example for SMIPL, CSR activity that focuses on road safety and community involvement could support the positioning of the Gixxer SF 250 as a touring and reliability brand, making it a compliance obligation, rather than an asset that distinguishes the brand.</w:t>
      </w:r>
    </w:p>
    <w:p w14:paraId="59B78602" w14:textId="77777777" w:rsidR="004631C8" w:rsidRPr="006E3436" w:rsidRDefault="004631C8" w:rsidP="004631C8">
      <w:r w:rsidRPr="006E3436">
        <w:t>External drivers of green value chain are flex-fuel E85 and OBD-2B compliance, which are proactive, not merely reactive steps towards sustainability – they are anticipating sustainability rather than following it (Fasterwheeler, 2026). A critical analysis, however, should highlight the weaknesses: SMIPL does not have targets that are clearly measurable or are reported externally, and the concern of superficial versus substantive disclosure of sustainability information, more widely raised in automotive CSR-disclosure research (Rhoden, Groening and Wolff, 2023), is a significant one in this context. Cost is another factor to consider because road-safety programmes, community involvement and environmental-management improvements must continue to be funded for the long term, and without clear, independently verifiable targets there is no way for external parties to differentiate between progress and routine compliance activities, which make it more important for SMIPL to publish sustainable measures in addition to its policy statements.</w:t>
      </w:r>
    </w:p>
    <w:p w14:paraId="709CEE1D" w14:textId="77777777" w:rsidR="006F6D53" w:rsidRPr="006E3436" w:rsidRDefault="006F6D53" w:rsidP="006F6D53">
      <w:pPr>
        <w:pStyle w:val="Heading2"/>
        <w:numPr>
          <w:ilvl w:val="1"/>
          <w:numId w:val="1"/>
        </w:numPr>
      </w:pPr>
      <w:bookmarkStart w:id="20" w:name="_Toc236648333"/>
      <w:r w:rsidRPr="006E3436">
        <w:lastRenderedPageBreak/>
        <w:t>Balanced Scorecard</w:t>
      </w:r>
      <w:bookmarkEnd w:id="20"/>
    </w:p>
    <w:p w14:paraId="4F67C43F" w14:textId="77777777" w:rsidR="004631C8" w:rsidRPr="006E3436" w:rsidRDefault="004631C8" w:rsidP="004631C8">
      <w:r w:rsidRPr="006E3436">
        <w:t>The Balanced Scorecard helps to break down the Gixxer SF 250's competitive strategy into measurable objectives for four perspectives, which has been proven to help improve the execution of strategy in an organisation, especially when used across the board (Oyewo, Moses and Erin, 2022).</w:t>
      </w:r>
    </w:p>
    <w:p w14:paraId="5AE08C83" w14:textId="77777777" w:rsidR="006F6D53" w:rsidRPr="006E3436" w:rsidRDefault="006F6D53" w:rsidP="006F6D53">
      <w:pPr>
        <w:keepNext/>
        <w:jc w:val="center"/>
      </w:pPr>
      <w:r w:rsidRPr="006E3436">
        <w:rPr>
          <w:noProof/>
        </w:rPr>
        <w:drawing>
          <wp:inline distT="0" distB="0" distL="0" distR="0" wp14:anchorId="2B3386C3" wp14:editId="72C5A2DB">
            <wp:extent cx="4782217" cy="4248743"/>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782217" cy="4248743"/>
                    </a:xfrm>
                    <a:prstGeom prst="rect">
                      <a:avLst/>
                    </a:prstGeom>
                  </pic:spPr>
                </pic:pic>
              </a:graphicData>
            </a:graphic>
          </wp:inline>
        </w:drawing>
      </w:r>
    </w:p>
    <w:p w14:paraId="737B5F72" w14:textId="77777777" w:rsidR="006F6D53" w:rsidRPr="006E3436" w:rsidRDefault="006F6D53" w:rsidP="006F6D53">
      <w:pPr>
        <w:pStyle w:val="Caption"/>
        <w:jc w:val="center"/>
      </w:pPr>
      <w:bookmarkStart w:id="21" w:name="_Toc236648354"/>
      <w:r w:rsidRPr="006E3436">
        <w:t xml:space="preserve">Figure </w:t>
      </w:r>
      <w:r w:rsidRPr="006E3436">
        <w:fldChar w:fldCharType="begin"/>
      </w:r>
      <w:r w:rsidRPr="006E3436">
        <w:instrText xml:space="preserve"> SEQ Figure \* ARABIC </w:instrText>
      </w:r>
      <w:r w:rsidRPr="006E3436">
        <w:fldChar w:fldCharType="separate"/>
      </w:r>
      <w:r w:rsidR="00111562" w:rsidRPr="006E3436">
        <w:rPr>
          <w:noProof/>
        </w:rPr>
        <w:t>9</w:t>
      </w:r>
      <w:r w:rsidRPr="006E3436">
        <w:fldChar w:fldCharType="end"/>
      </w:r>
      <w:r w:rsidRPr="006E3436">
        <w:t>: Balanced Scorecard for Suzuki Gixxer SF 250 in India. Source: Own Contribution.</w:t>
      </w:r>
      <w:bookmarkEnd w:id="21"/>
    </w:p>
    <w:p w14:paraId="5F097ACB" w14:textId="77777777" w:rsidR="006F6D53" w:rsidRPr="006E3436" w:rsidRDefault="006F6D53" w:rsidP="006F6D53">
      <w:pPr>
        <w:pStyle w:val="Heading3"/>
        <w:numPr>
          <w:ilvl w:val="2"/>
          <w:numId w:val="1"/>
        </w:numPr>
      </w:pPr>
      <w:r w:rsidRPr="006E3436">
        <w:t>Financial perspective</w:t>
      </w:r>
    </w:p>
    <w:p w14:paraId="09B8AA9F" w14:textId="77777777" w:rsidR="004631C8" w:rsidRPr="006E3436" w:rsidRDefault="004631C8" w:rsidP="004631C8">
      <w:r w:rsidRPr="006E3436">
        <w:t>The goals are to sell more Gixxer SF 250 bikes, boost per-unit contribution margin and raise the market share for premium-segment bikes. Appropriate KPIs include year-on-year sales growth, revenue growth, contribution margin per unit, production cost per motorcycle, and share of the &gt;150cc segment – as compared to SMIPL's reported FY2024 revenue growth of more than 24 per cent (The Company Check, 2026).</w:t>
      </w:r>
    </w:p>
    <w:p w14:paraId="0C764652" w14:textId="77777777" w:rsidR="006F6D53" w:rsidRPr="006E3436" w:rsidRDefault="006F6D53" w:rsidP="006F6D53">
      <w:pPr>
        <w:pStyle w:val="Heading3"/>
        <w:numPr>
          <w:ilvl w:val="2"/>
          <w:numId w:val="1"/>
        </w:numPr>
      </w:pPr>
      <w:r w:rsidRPr="006E3436">
        <w:lastRenderedPageBreak/>
        <w:t>Customer perspective</w:t>
      </w:r>
    </w:p>
    <w:p w14:paraId="30745FE1" w14:textId="77777777" w:rsidR="004631C8" w:rsidRPr="006E3436" w:rsidRDefault="004631C8" w:rsidP="004631C8">
      <w:r w:rsidRPr="006E3436">
        <w:t>Objectives involve making customers more satisfied, enhancing the sports-touring brand reputation, and making the after sale experience better. Customer satisfaction scores, Net Promoter Score, repeat-purchase rate, referral rate, complaint-resolution time, and test-ride-to-sale conversion are among the KPIs, as research has revealed that resale value, brand trust and service quality play a pivotal role in building a loyal base of two-wheelers in India (Kumar et al., 2025).</w:t>
      </w:r>
    </w:p>
    <w:p w14:paraId="7B8EF507" w14:textId="77777777" w:rsidR="006F6D53" w:rsidRPr="006E3436" w:rsidRDefault="006F6D53" w:rsidP="006F6D53">
      <w:pPr>
        <w:pStyle w:val="Heading3"/>
        <w:numPr>
          <w:ilvl w:val="2"/>
          <w:numId w:val="1"/>
        </w:numPr>
      </w:pPr>
      <w:r w:rsidRPr="006E3436">
        <w:t>Internal business process perspective</w:t>
      </w:r>
    </w:p>
    <w:p w14:paraId="365B19E2" w14:textId="77777777" w:rsidR="004631C8" w:rsidRPr="006E3436" w:rsidRDefault="004631C8" w:rsidP="004631C8">
      <w:r w:rsidRPr="006E3436">
        <w:t>Enables faster product-development cycles for features, faster service turnaround times and better digital marketing capability. Product-development cycle time, warranty claim rate, average service turnaround, defect rate and digital lead-conversion rate are among the KPIs.</w:t>
      </w:r>
    </w:p>
    <w:p w14:paraId="5FFCD52E" w14:textId="77777777" w:rsidR="00376AF8" w:rsidRPr="006E3436" w:rsidRDefault="006F6D53" w:rsidP="00376AF8">
      <w:pPr>
        <w:pStyle w:val="Heading3"/>
        <w:numPr>
          <w:ilvl w:val="2"/>
          <w:numId w:val="1"/>
        </w:numPr>
      </w:pPr>
      <w:r w:rsidRPr="006E3436">
        <w:t>L</w:t>
      </w:r>
      <w:r w:rsidR="00376AF8" w:rsidRPr="006E3436">
        <w:t>earning and growth perspective</w:t>
      </w:r>
    </w:p>
    <w:p w14:paraId="018B3D00" w14:textId="77777777" w:rsidR="004631C8" w:rsidRPr="006E3436" w:rsidRDefault="004631C8" w:rsidP="004631C8">
      <w:r w:rsidRPr="006E3436">
        <w:t>It aims to build skills of the dealers, enhance their innovation capability and motivate their employees. Some of the KPIs are training hours per technician, employee engagement scores, technical certification, number of incremental product improvements per year and staff retention (Bhatti, Awan and Razaq, 2014).</w:t>
      </w:r>
    </w:p>
    <w:p w14:paraId="55AFE312" w14:textId="77777777" w:rsidR="006F6D53" w:rsidRPr="006E3436" w:rsidRDefault="006F6D53" w:rsidP="006F6D53">
      <w:r w:rsidRPr="006E3436">
        <w:t xml:space="preserve">Together, </w:t>
      </w:r>
      <w:r w:rsidR="004631C8" w:rsidRPr="006E3436">
        <w:t>all four perspectives are complementary to the proposed competitive strategy as they ensure that, the financial goals of the Gixxer SF 250 are grounded in customer perceived value, internal efficiency and continuous organisational learning, in line with the belief that the use of BSC improves the efficiency of the organisation when perspectives are used as a whole, not as isolated components (Oyewo, Moses and Erin, 2022).</w:t>
      </w:r>
    </w:p>
    <w:p w14:paraId="57A6FA9D" w14:textId="77777777" w:rsidR="006F6D53" w:rsidRPr="006E3436" w:rsidRDefault="006F6D53">
      <w:pPr>
        <w:spacing w:line="259" w:lineRule="auto"/>
        <w:jc w:val="left"/>
        <w:rPr>
          <w:rFonts w:eastAsiaTheme="majorEastAsia" w:cstheme="majorBidi"/>
          <w:b/>
          <w:color w:val="002060"/>
          <w:sz w:val="32"/>
          <w:szCs w:val="32"/>
        </w:rPr>
      </w:pPr>
      <w:r w:rsidRPr="006E3436">
        <w:br w:type="page"/>
      </w:r>
    </w:p>
    <w:p w14:paraId="3BE92C81" w14:textId="77777777" w:rsidR="006F6D53" w:rsidRPr="006E3436" w:rsidRDefault="006F6D53" w:rsidP="006F6D53">
      <w:pPr>
        <w:pStyle w:val="Heading1"/>
        <w:numPr>
          <w:ilvl w:val="0"/>
          <w:numId w:val="1"/>
        </w:numPr>
      </w:pPr>
      <w:bookmarkStart w:id="22" w:name="_Toc236648334"/>
      <w:r w:rsidRPr="006E3436">
        <w:lastRenderedPageBreak/>
        <w:t>Strategic Choices and Implementation</w:t>
      </w:r>
      <w:bookmarkEnd w:id="22"/>
    </w:p>
    <w:p w14:paraId="7B5D3809" w14:textId="77777777" w:rsidR="006F6D53" w:rsidRPr="006E3436" w:rsidRDefault="006F6D53" w:rsidP="006F6D53">
      <w:pPr>
        <w:pStyle w:val="Heading2"/>
        <w:numPr>
          <w:ilvl w:val="1"/>
          <w:numId w:val="1"/>
        </w:numPr>
      </w:pPr>
      <w:bookmarkStart w:id="23" w:name="_Toc236648335"/>
      <w:r w:rsidRPr="006E3436">
        <w:t>Current business-level strategy</w:t>
      </w:r>
      <w:bookmarkEnd w:id="23"/>
    </w:p>
    <w:p w14:paraId="423BB60B" w14:textId="77777777" w:rsidR="004631C8" w:rsidRPr="006E3436" w:rsidRDefault="004631C8" w:rsidP="004631C8">
      <w:r w:rsidRPr="006E3436">
        <w:t>Presently, the Gixxer SF 250 is following a focused differentiation strategy with a clear focus on engineering reliability, fuel economy, and touring comfort over high performance and lowest cost (Suzuki Motorcycle India, 2026). It offers a value proposition, refinement, reliable oil-cooled operating performance, a competitive running cost, and is now flex-fuel ready, all of which present a differentiation logic where the customer is willing to pay a moderate premium for perceived reliability and lower costs of ownership than for outright specification leadership (Al-Surmi, Cao and Duan, 2020). At the moment, however, the strategy is not quite as niche as it could be, given that its features and price are shared more or less with the Karizma XMR and Yamaha R15.</w:t>
      </w:r>
    </w:p>
    <w:p w14:paraId="07C398BE" w14:textId="77777777" w:rsidR="006F6D53" w:rsidRPr="006E3436" w:rsidRDefault="006F6D53" w:rsidP="006F6D53">
      <w:pPr>
        <w:pStyle w:val="Heading2"/>
        <w:numPr>
          <w:ilvl w:val="1"/>
          <w:numId w:val="1"/>
        </w:numPr>
      </w:pPr>
      <w:bookmarkStart w:id="24" w:name="_Toc236648336"/>
      <w:r w:rsidRPr="006E3436">
        <w:t>Available strategic choices</w:t>
      </w:r>
      <w:bookmarkEnd w:id="24"/>
    </w:p>
    <w:p w14:paraId="75C77535" w14:textId="77777777" w:rsidR="004631C8" w:rsidRPr="006E3436" w:rsidRDefault="004631C8" w:rsidP="004631C8">
      <w:r w:rsidRPr="006E3436">
        <w:t xml:space="preserve">There are a number of realistic options. A cost-based strategy, which will directly compete on price with the Bajaj Pulsar RS200, is likely to strip away Suzuki's reputation for reliability. The differentiation strategy has to be performance-based, which would demand a considerable re-engineering and would clash with the Suzuki brand story of touring (KTM India, 2026). A technology-based differentiation strategy for this technology is an investment in richer connectivity and rider assistance systems, which directly targets the weakness identified in the SWOT analysis. A differentiated strategy based on sports-touring would reinforce Suzuki's current positioning on reliability and comfort instead of competing with its rivals on their agenda. A differentiation strategy on sustainability or flex-fuel would continue Suzuki's lead in targeting E85 as a clear message. There was also the possibility of a hybrid approach, where the Gixxer SF 250 would not be the value leader and would not be the technology leader, but would be somewhere in between, this is an appealing idea, but one that fails to sustain a value position, and is a common trap for companies that try to pursue a cost squeeze while trying to be the “value” brand (Al-Surmi, Cao and Duan, 2020). Based on the best evidence of differentiation-strategy research in emerging markets, innovation capability and the ability to communicate differentiation work together to provide a more reliable boost to competitive advantage than price competition alone (Sivaslioğlu, 2021; Soomro, Cao and Islam, 2023). The most </w:t>
      </w:r>
      <w:r w:rsidRPr="006E3436">
        <w:lastRenderedPageBreak/>
        <w:t>promising solutions for SMIPL, then, are those that differentiate their offerings in the sport-tourism niche while incorporating technology and flex-fuel elements, not those that aim for cost leadership or an un-targeted hybrid strategy.</w:t>
      </w:r>
    </w:p>
    <w:p w14:paraId="7FE85754" w14:textId="77777777" w:rsidR="006F6D53" w:rsidRPr="006E3436" w:rsidRDefault="006F6D53" w:rsidP="006F6D53">
      <w:pPr>
        <w:pStyle w:val="Heading2"/>
        <w:numPr>
          <w:ilvl w:val="1"/>
          <w:numId w:val="1"/>
        </w:numPr>
      </w:pPr>
      <w:bookmarkStart w:id="25" w:name="_Toc236648337"/>
      <w:r w:rsidRPr="006E3436">
        <w:t>Evaluation using SAFe</w:t>
      </w:r>
      <w:bookmarkEnd w:id="25"/>
    </w:p>
    <w:p w14:paraId="0F6B3312" w14:textId="77777777" w:rsidR="006F6D53" w:rsidRPr="006E3436" w:rsidRDefault="006F6D53" w:rsidP="006F6D53">
      <w:pPr>
        <w:pStyle w:val="Heading3"/>
        <w:numPr>
          <w:ilvl w:val="2"/>
          <w:numId w:val="1"/>
        </w:numPr>
      </w:pPr>
      <w:r w:rsidRPr="006E3436">
        <w:t>Suitability</w:t>
      </w:r>
    </w:p>
    <w:p w14:paraId="1E92EF44" w14:textId="77777777" w:rsidR="004631C8" w:rsidRPr="006E3436" w:rsidRDefault="004631C8" w:rsidP="004631C8">
      <w:r w:rsidRPr="006E3436">
        <w:t>A differentiation strategy based on technology and sustainability directly addresses the external analysis discovery that ethanol policy and consumer expectations for digital products are both accelerating, and the VRIO discovery that Suzuki's most defensible resources are its engineering and flex-fuel readiness. It also tackles the SWOT identified weakness of feature visibility.</w:t>
      </w:r>
    </w:p>
    <w:p w14:paraId="05F1C040" w14:textId="77777777" w:rsidR="006F6D53" w:rsidRPr="006E3436" w:rsidRDefault="006F6D53" w:rsidP="006F6D53">
      <w:pPr>
        <w:pStyle w:val="Heading3"/>
        <w:numPr>
          <w:ilvl w:val="2"/>
          <w:numId w:val="1"/>
        </w:numPr>
      </w:pPr>
      <w:r w:rsidRPr="006E3436">
        <w:t>Acceptability</w:t>
      </w:r>
    </w:p>
    <w:p w14:paraId="266901BC" w14:textId="77777777" w:rsidR="004631C8" w:rsidRPr="006E3436" w:rsidRDefault="004631C8" w:rsidP="004631C8">
      <w:r w:rsidRPr="006E3436">
        <w:t>The risk is moderate as incremental feature and marketing investment is lower-risk than a full platform redesign. Probable returns involve expanded share and margin from upspecs. If the features can be communicated, customers will appreciate it, the showroom story will be enhanced and the parent company will be pleased to see a strategy based on the technology in place rather than capital intensive development, which is what the shareholders expect, given the strong profitability growth the company has reported recently (The Company Check, 2026).</w:t>
      </w:r>
    </w:p>
    <w:p w14:paraId="257462C3" w14:textId="77777777" w:rsidR="004631C8" w:rsidRPr="006E3436" w:rsidRDefault="006F6D53" w:rsidP="004631C8">
      <w:pPr>
        <w:pStyle w:val="Heading3"/>
        <w:numPr>
          <w:ilvl w:val="2"/>
          <w:numId w:val="1"/>
        </w:numPr>
      </w:pPr>
      <w:r w:rsidRPr="006E3436">
        <w:t>Feasibility</w:t>
      </w:r>
    </w:p>
    <w:p w14:paraId="7CFDA808" w14:textId="77777777" w:rsidR="004631C8" w:rsidRPr="006E3436" w:rsidRDefault="004631C8" w:rsidP="004631C8">
      <w:r w:rsidRPr="006E3436">
        <w:t>In terms of financial, incremental connectivity and marketing investment is possible with reported profit growth, in terms of manager, existing Gurugram capacity can be used without investing in new plant and in terms of material, flex-fuel components are already validated in the existing E85 variants which minimizes supplier risk. The three main alternatives (performance differentiation, technology differentiation and combined sports-touring/flex-fuel differentiation) are briefly compared and a favorable outcome is obtained for the combined alternative on a consistent basis when compared on the basis of suitability, acceptability and feasibility.</w:t>
      </w:r>
    </w:p>
    <w:p w14:paraId="2A2428E7" w14:textId="77777777" w:rsidR="006F6D53" w:rsidRPr="006E3436" w:rsidRDefault="006F6D53" w:rsidP="00534BDA">
      <w:pPr>
        <w:pStyle w:val="Heading3"/>
        <w:numPr>
          <w:ilvl w:val="2"/>
          <w:numId w:val="1"/>
        </w:numPr>
      </w:pPr>
      <w:r w:rsidRPr="006E3436">
        <w:lastRenderedPageBreak/>
        <w:t>Recommended strategy and competitive advantage</w:t>
      </w:r>
    </w:p>
    <w:p w14:paraId="4841F245" w14:textId="77777777" w:rsidR="006F6D53" w:rsidRPr="006E3436" w:rsidRDefault="004631C8" w:rsidP="006F6D53">
      <w:r w:rsidRPr="006E3436">
        <w:t>The suggested course of action is a sports-touring differentiation strategy that is targeted, with technology upgrades and improvement in customer value and pricing. Their target clientele are young aspirational riders (around 20-35 years) who are looking for some real touring ability, not just track running, and who are looking for cheaper running costs and reliable engineering. The suggested "value proposition" is centered on the current flex-fuel, oil-cooled platform with more rewarding connected-dashboard extras, bigger ownership packages (extended service and touring accessory deals), and increased engagement in the dealer and community with the broader Gixxer rider community, all through more extensive Gixxer rider events. This contrasts with KTM's performance-first brand and Bajaj's price-first approach by focusing on key purchase drivers – TCO, touring comfort and environmental readiness (KTM India, 2026). When followed consistently, the expected competitive advantage is a defensible mid-premium position that is more difficult for pure performance or pure budget competitors to occupy simultaneously, in line with research indicating that offering differentiation is the most likely to create competitive advantage when supported by ongoing innovation and not a single-off launch of a new feature (Fabrizio et al., 2022).</w:t>
      </w:r>
    </w:p>
    <w:p w14:paraId="24F81E6E" w14:textId="77777777" w:rsidR="00534BDA" w:rsidRPr="006E3436" w:rsidRDefault="00534BDA" w:rsidP="00534BDA">
      <w:pPr>
        <w:pStyle w:val="Heading3"/>
        <w:numPr>
          <w:ilvl w:val="2"/>
          <w:numId w:val="1"/>
        </w:numPr>
      </w:pPr>
      <w:r w:rsidRPr="006E3436">
        <w:lastRenderedPageBreak/>
        <w:t>Implementation challenges and mitigation</w:t>
      </w:r>
    </w:p>
    <w:p w14:paraId="5DB421E0" w14:textId="77777777" w:rsidR="00534BDA" w:rsidRPr="006E3436" w:rsidRDefault="00534BDA" w:rsidP="00534BDA">
      <w:pPr>
        <w:keepNext/>
      </w:pPr>
      <w:r w:rsidRPr="006E3436">
        <w:rPr>
          <w:noProof/>
          <w:lang w:val="en-US"/>
        </w:rPr>
        <w:drawing>
          <wp:inline distT="0" distB="0" distL="0" distR="0" wp14:anchorId="2305985B" wp14:editId="28B2AB02">
            <wp:extent cx="5915025" cy="4905375"/>
            <wp:effectExtent l="38100" t="0" r="66675" b="9525"/>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3" r:lo="rId24" r:qs="rId25" r:cs="rId26"/>
              </a:graphicData>
            </a:graphic>
          </wp:inline>
        </w:drawing>
      </w:r>
    </w:p>
    <w:p w14:paraId="628465E4" w14:textId="77777777" w:rsidR="00534BDA" w:rsidRPr="006E3436" w:rsidRDefault="00534BDA" w:rsidP="00534BDA">
      <w:pPr>
        <w:pStyle w:val="Caption"/>
        <w:jc w:val="center"/>
      </w:pPr>
      <w:bookmarkStart w:id="26" w:name="_Toc236648355"/>
      <w:r w:rsidRPr="006E3436">
        <w:t xml:space="preserve">Figure </w:t>
      </w:r>
      <w:r w:rsidRPr="006E3436">
        <w:fldChar w:fldCharType="begin"/>
      </w:r>
      <w:r w:rsidRPr="006E3436">
        <w:instrText xml:space="preserve"> SEQ Figure \* ARABIC </w:instrText>
      </w:r>
      <w:r w:rsidRPr="006E3436">
        <w:fldChar w:fldCharType="separate"/>
      </w:r>
      <w:r w:rsidR="00111562" w:rsidRPr="006E3436">
        <w:rPr>
          <w:noProof/>
        </w:rPr>
        <w:t>10</w:t>
      </w:r>
      <w:r w:rsidRPr="006E3436">
        <w:fldChar w:fldCharType="end"/>
      </w:r>
      <w:r w:rsidRPr="006E3436">
        <w:t>: Implementation challenges and mitigation for Suzuki Gixxer SF 250 in India. Source: Own Contribution.</w:t>
      </w:r>
      <w:bookmarkEnd w:id="26"/>
    </w:p>
    <w:p w14:paraId="0C45BBAA" w14:textId="77777777" w:rsidR="00534BDA" w:rsidRPr="006E3436" w:rsidRDefault="00534BDA">
      <w:pPr>
        <w:spacing w:line="259" w:lineRule="auto"/>
        <w:jc w:val="left"/>
      </w:pPr>
      <w:r w:rsidRPr="006E3436">
        <w:br w:type="page"/>
      </w:r>
    </w:p>
    <w:p w14:paraId="6A3D2872" w14:textId="77777777" w:rsidR="00534BDA" w:rsidRPr="006E3436" w:rsidRDefault="00534BDA" w:rsidP="00534BDA">
      <w:pPr>
        <w:pStyle w:val="Compact"/>
        <w:rPr>
          <w:rFonts w:ascii="Arial" w:hAnsi="Arial" w:cs="Arial"/>
          <w:b/>
          <w:sz w:val="32"/>
        </w:rPr>
      </w:pPr>
      <w:r w:rsidRPr="006E3436">
        <w:rPr>
          <w:rFonts w:ascii="Arial" w:hAnsi="Arial" w:cs="Arial"/>
          <w:b/>
          <w:sz w:val="32"/>
        </w:rPr>
        <w:lastRenderedPageBreak/>
        <w:t>Section 2: Reflective Account</w:t>
      </w:r>
    </w:p>
    <w:p w14:paraId="47458663" w14:textId="77777777" w:rsidR="00097A1A" w:rsidRPr="006E3436" w:rsidRDefault="00097A1A" w:rsidP="00097A1A">
      <w:pPr>
        <w:pStyle w:val="Heading1"/>
        <w:numPr>
          <w:ilvl w:val="0"/>
          <w:numId w:val="1"/>
        </w:numPr>
      </w:pPr>
      <w:bookmarkStart w:id="27" w:name="_Toc236648338"/>
      <w:r w:rsidRPr="006E3436">
        <w:t>Gibbs reflective cycle</w:t>
      </w:r>
      <w:bookmarkEnd w:id="27"/>
    </w:p>
    <w:p w14:paraId="51417029" w14:textId="77777777" w:rsidR="004453BD" w:rsidRPr="006E3436" w:rsidRDefault="00097A1A" w:rsidP="004453BD">
      <w:pPr>
        <w:keepNext/>
      </w:pPr>
      <w:r w:rsidRPr="006E3436">
        <w:rPr>
          <w:noProof/>
          <w:lang w:val="en-US"/>
        </w:rPr>
        <w:drawing>
          <wp:inline distT="0" distB="0" distL="0" distR="0" wp14:anchorId="69573E4C" wp14:editId="52FDC9E4">
            <wp:extent cx="5934075" cy="5915025"/>
            <wp:effectExtent l="0" t="0" r="9525" b="0"/>
            <wp:docPr id="12" name="Diagram 1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8" r:lo="rId29" r:qs="rId30" r:cs="rId31"/>
              </a:graphicData>
            </a:graphic>
          </wp:inline>
        </w:drawing>
      </w:r>
    </w:p>
    <w:p w14:paraId="5678B9D2" w14:textId="77777777" w:rsidR="00097A1A" w:rsidRPr="006E3436" w:rsidRDefault="004453BD" w:rsidP="004453BD">
      <w:pPr>
        <w:pStyle w:val="Caption"/>
        <w:jc w:val="center"/>
      </w:pPr>
      <w:bookmarkStart w:id="28" w:name="_Toc236648356"/>
      <w:r w:rsidRPr="006E3436">
        <w:t xml:space="preserve">Figure </w:t>
      </w:r>
      <w:r w:rsidRPr="006E3436">
        <w:fldChar w:fldCharType="begin"/>
      </w:r>
      <w:r w:rsidRPr="006E3436">
        <w:instrText xml:space="preserve"> SEQ Figure \* ARABIC </w:instrText>
      </w:r>
      <w:r w:rsidRPr="006E3436">
        <w:fldChar w:fldCharType="separate"/>
      </w:r>
      <w:r w:rsidR="00111562" w:rsidRPr="006E3436">
        <w:rPr>
          <w:noProof/>
        </w:rPr>
        <w:t>11</w:t>
      </w:r>
      <w:r w:rsidRPr="006E3436">
        <w:fldChar w:fldCharType="end"/>
      </w:r>
      <w:r w:rsidRPr="006E3436">
        <w:t>: Reflective Account using Gibbs' (1988). Source: Own Contribution.</w:t>
      </w:r>
      <w:bookmarkEnd w:id="28"/>
    </w:p>
    <w:p w14:paraId="707DA0D3" w14:textId="77777777" w:rsidR="00097A1A" w:rsidRPr="006E3436" w:rsidRDefault="00534BDA" w:rsidP="00D97E8D">
      <w:pPr>
        <w:pStyle w:val="Heading2"/>
        <w:numPr>
          <w:ilvl w:val="1"/>
          <w:numId w:val="1"/>
        </w:numPr>
      </w:pPr>
      <w:bookmarkStart w:id="29" w:name="_Toc236648339"/>
      <w:r w:rsidRPr="006E3436">
        <w:t>Description</w:t>
      </w:r>
      <w:bookmarkEnd w:id="29"/>
    </w:p>
    <w:p w14:paraId="1E8FC24E" w14:textId="77777777" w:rsidR="004631C8" w:rsidRPr="006E3436" w:rsidRDefault="004631C8" w:rsidP="004631C8">
      <w:r w:rsidRPr="006E3436">
        <w:t xml:space="preserve">I chose Suzuki Motorcycle India and the Gixxer SF 250 as the bikes had existing and reliable information on pricing, specification and market position at the time of the model year 2026 refresh. For product information, I used data obtained from manufacturer and </w:t>
      </w:r>
      <w:r w:rsidRPr="006E3436">
        <w:lastRenderedPageBreak/>
        <w:t>dealer. For competitor information, I relied on automotive trade press while for market figures, I used macroeconomic sources like the RBI and SIAM. I used the framework of PESTEL, Porter's 5 Forces analysis, VRIO, SWOT, Balanced Scorecard and SAFe evaluation framework to develop a structured strategic argument.</w:t>
      </w:r>
    </w:p>
    <w:p w14:paraId="0C1DE35C" w14:textId="77777777" w:rsidR="00534BDA" w:rsidRPr="006E3436" w:rsidRDefault="00534BDA" w:rsidP="004631C8">
      <w:pPr>
        <w:pStyle w:val="Heading2"/>
        <w:numPr>
          <w:ilvl w:val="1"/>
          <w:numId w:val="1"/>
        </w:numPr>
      </w:pPr>
      <w:bookmarkStart w:id="30" w:name="_Toc236648340"/>
      <w:r w:rsidRPr="006E3436">
        <w:t>Feelings</w:t>
      </w:r>
      <w:bookmarkEnd w:id="30"/>
    </w:p>
    <w:p w14:paraId="71A7FCA9" w14:textId="77777777" w:rsidR="004631C8" w:rsidRPr="006E3436" w:rsidRDefault="004631C8" w:rsidP="004631C8">
      <w:r w:rsidRPr="006E3436">
        <w:t>I started the assignment with a decent amount of confidence as strategic frameworks are familiar tools from previous assignments. That confidence would be put to the test as soon as I began collecting model specific evidence: Suzuki is a company that is not known for posting a lot of granular financial or strategic information on the SMIPL level and much of the information made available online is focused on pricing and specification and not strategy. This brought some initial confusion regarding the implementation of the VRIO and the Balanced Scorecard with real and pertinent data from the company itself, not just industry statements. My confidence grew as I triangulated a variety of information, such as the trade press, government policy data, and peer-reviewed literature, and by the analysis stage I was confident enough to make strategic judgements that were reasonable rather than merely a description of the frameworks.</w:t>
      </w:r>
    </w:p>
    <w:p w14:paraId="5494E118" w14:textId="77777777" w:rsidR="00534BDA" w:rsidRPr="006E3436" w:rsidRDefault="00534BDA" w:rsidP="004631C8">
      <w:pPr>
        <w:pStyle w:val="Heading2"/>
        <w:numPr>
          <w:ilvl w:val="1"/>
          <w:numId w:val="1"/>
        </w:numPr>
      </w:pPr>
      <w:bookmarkStart w:id="31" w:name="_Toc236648341"/>
      <w:r w:rsidRPr="006E3436">
        <w:t>Evaluation</w:t>
      </w:r>
      <w:bookmarkEnd w:id="31"/>
    </w:p>
    <w:p w14:paraId="6E8C3FBD" w14:textId="77777777" w:rsidR="004631C8" w:rsidRPr="006E3436" w:rsidRDefault="004631C8" w:rsidP="004631C8">
      <w:r w:rsidRPr="006E3436">
        <w:t>What's worked out well has been the ability to synthesize the data from the current trade press (product specification, competitor pricing) and academic literature (framework validity and generalised findings). The sources that were more informative and provided up-to-date and accurate product details were automotive trade sources like Times Drive, BikeDekho and Bikeadvice, and government and RBI sources which provided reliable macroeconomic details. The academic literature for VRIO, Porter's Five Forces and differentiation strategy and the Balanced Scorecard were useful to provide a basis for interpretation that was sound in academic theory, and not opinion. One of the challenges was the lack of financial data presentation specific to the SMIPL, meaning that some internal-analysis judgements, notably the rarity and imitability of the VRIO, were based on industry-wide patterns rather than on confirmed SMIPL data.</w:t>
      </w:r>
    </w:p>
    <w:p w14:paraId="157636B1" w14:textId="77777777" w:rsidR="00534BDA" w:rsidRPr="006E3436" w:rsidRDefault="00534BDA" w:rsidP="004631C8">
      <w:pPr>
        <w:pStyle w:val="Heading2"/>
        <w:numPr>
          <w:ilvl w:val="1"/>
          <w:numId w:val="1"/>
        </w:numPr>
      </w:pPr>
      <w:bookmarkStart w:id="32" w:name="_Toc236648342"/>
      <w:r w:rsidRPr="006E3436">
        <w:lastRenderedPageBreak/>
        <w:t>Analysis</w:t>
      </w:r>
      <w:bookmarkEnd w:id="32"/>
    </w:p>
    <w:p w14:paraId="731CCFAE" w14:textId="77777777" w:rsidR="004631C8" w:rsidRPr="006E3436" w:rsidRDefault="004631C8" w:rsidP="004631C8">
      <w:r w:rsidRPr="006E3436">
        <w:t>I was impacted by the sequence in which I worked through PESTEL, Five Forces and VRIO, as it changed my understanding of how they all work together as opposed to on their own. At first glance PESTEL seemed like a checklist of which factors should be considered for assessing a company's external environment, but when I started to relate these factors to the VRIO assessment of the readiness of the company to use the flexibility of fuel, I realized that external opportunity and internal capability, rather than being distinct exercises, are actually complementary. The biggest hurdles were how to connect theory with the realities of the company - much of the literature I found on VRIO, and the Balanced Scorecard was abstract, or was based on other industry contexts and needed to be adapted to the context of a mid-sized subsidiary in a very competitive Indian segment, not a large multinational OEM. I also came across some conflicting data, especially regarding the GDP growth and inflation rate figures that were kept getting changed by RBI in 2025 and 2026— solved by using only the latest data, as opposed to the average of the estimates. Developing strategic judgement involved the ability to assess the quality of the evidence, the ability to differentiate between verified company facts and marketing statements, and a general level of knowledge within the industry as opposed to peer reviewed findings, not to be treated as equally authoritative. Hindsight being 20/20, I wish I'd developed a structured evidence log earlier, documenting what I found and how reliable each source was as I was reading it, instead of piecing it back together from the analytical writing when I finished. I also see, looking back, that the same sort of thing could happen with VRIO in that regard – being too generous in characterizing the capacity of a company as a competitive advantage, because ultimately if you're an honest analyst, as you get closer and closer to the facts, you want to distinguish between the capacity that's a threshold resource and the capacity that's actually a sustained competitive advantage.</w:t>
      </w:r>
    </w:p>
    <w:p w14:paraId="33584CEF" w14:textId="77777777" w:rsidR="00534BDA" w:rsidRPr="006E3436" w:rsidRDefault="00534BDA" w:rsidP="004631C8">
      <w:pPr>
        <w:pStyle w:val="Heading2"/>
        <w:numPr>
          <w:ilvl w:val="1"/>
          <w:numId w:val="1"/>
        </w:numPr>
      </w:pPr>
      <w:bookmarkStart w:id="33" w:name="_Toc236648343"/>
      <w:r w:rsidRPr="006E3436">
        <w:t>Conclusion</w:t>
      </w:r>
      <w:bookmarkEnd w:id="33"/>
    </w:p>
    <w:p w14:paraId="5D8C3714" w14:textId="77777777" w:rsidR="004631C8" w:rsidRPr="006E3436" w:rsidRDefault="004631C8" w:rsidP="004631C8">
      <w:r w:rsidRPr="006E3436">
        <w:t xml:space="preserve">This assessment further developed my understanding and skills in applying a number of strategic frameworks to a single case, not just separately, and helped to enhance my critical awareness of the quality of evidence when disclosure of the public company is </w:t>
      </w:r>
      <w:r w:rsidRPr="006E3436">
        <w:lastRenderedPageBreak/>
        <w:t>limited. I gained research, synthesis and Harvard referencing skills, and an understanding that strategic recommendations should be based on specific analytical findings, not general intuition. Re-doing that job, I would start financial and policy research earlier because the macroeconomic data is regularly updated and macroeconomic figures had to be rechecked at the last minute. My perception of strategic management as an academic exercise to a lens that can be used in conjunction with another lens to result in a more defensible strategic recommendation.</w:t>
      </w:r>
    </w:p>
    <w:p w14:paraId="6729D454" w14:textId="77777777" w:rsidR="006E3436" w:rsidRPr="006E3436" w:rsidRDefault="00534BDA" w:rsidP="006E3436">
      <w:pPr>
        <w:pStyle w:val="Heading2"/>
        <w:numPr>
          <w:ilvl w:val="1"/>
          <w:numId w:val="1"/>
        </w:numPr>
      </w:pPr>
      <w:bookmarkStart w:id="34" w:name="_Toc236648344"/>
      <w:r w:rsidRPr="006E3436">
        <w:t>Action plan</w:t>
      </w:r>
      <w:bookmarkEnd w:id="34"/>
    </w:p>
    <w:p w14:paraId="4AC38118" w14:textId="77777777" w:rsidR="00080D9C" w:rsidRDefault="006E3436" w:rsidP="00534BDA">
      <w:r w:rsidRPr="006E3436">
        <w:t>In future strategic management work I will: use university available academic databases such as Scopus, EBSCO and Emerald Insight earlier in the research process, as these are good sources of peer reviewed information for strategic management which is subject to frequent changes; use one of the above-mentioned databases in preference to the others, as it is more widely available for strategic management research than the others; have a structured reference tracker from the outset of research, rather than compile references at the end of the assignment; compare frameworks in a more critical manner than they are currently applied; improve my time management by setting fixed research time windows before starting the writing; and strengthen my financial analysis skills, such as ratio analysis, to more effectively evaluate company performance, so as to better support evidence-based recommendations for future assignments.</w:t>
      </w:r>
    </w:p>
    <w:p w14:paraId="493C42BF" w14:textId="77777777" w:rsidR="00080D9C" w:rsidRDefault="00080D9C">
      <w:pPr>
        <w:spacing w:line="259" w:lineRule="auto"/>
        <w:jc w:val="left"/>
      </w:pPr>
      <w:r>
        <w:br w:type="page"/>
      </w:r>
    </w:p>
    <w:p w14:paraId="27D968BD" w14:textId="77777777" w:rsidR="00534BDA" w:rsidRDefault="00080D9C" w:rsidP="00080D9C">
      <w:pPr>
        <w:pStyle w:val="Heading1"/>
        <w:numPr>
          <w:ilvl w:val="0"/>
          <w:numId w:val="1"/>
        </w:numPr>
      </w:pPr>
      <w:bookmarkStart w:id="35" w:name="_Toc236648345"/>
      <w:r>
        <w:lastRenderedPageBreak/>
        <w:t>Reference</w:t>
      </w:r>
      <w:bookmarkEnd w:id="35"/>
    </w:p>
    <w:p w14:paraId="5A93DBD9" w14:textId="77777777" w:rsidR="00080D9C" w:rsidRPr="00080D9C" w:rsidRDefault="00080D9C" w:rsidP="00080D9C">
      <w:pPr>
        <w:rPr>
          <w:lang w:val="en-US"/>
        </w:rPr>
      </w:pPr>
      <w:r w:rsidRPr="00080D9C">
        <w:rPr>
          <w:lang w:val="en-US"/>
        </w:rPr>
        <w:t>Al-Surmi, A., Cao, G. and Duan, Y. (2020). The impact of aligning business, IT, and marketing strategies on firm performance. </w:t>
      </w:r>
      <w:r w:rsidRPr="00080D9C">
        <w:rPr>
          <w:i/>
          <w:iCs/>
          <w:lang w:val="en-US"/>
        </w:rPr>
        <w:t>Industrial Marketing Management</w:t>
      </w:r>
      <w:r w:rsidRPr="00080D9C">
        <w:rPr>
          <w:lang w:val="en-US"/>
        </w:rPr>
        <w:t>, 27(1). doi:10.1016/j.indmarman.2019.04.002.</w:t>
      </w:r>
    </w:p>
    <w:p w14:paraId="7565EEB8" w14:textId="77777777" w:rsidR="00080D9C" w:rsidRPr="00080D9C" w:rsidRDefault="00080D9C" w:rsidP="00080D9C">
      <w:pPr>
        <w:rPr>
          <w:lang w:val="en-US"/>
        </w:rPr>
      </w:pPr>
      <w:r w:rsidRPr="00080D9C">
        <w:rPr>
          <w:lang w:val="en-US"/>
        </w:rPr>
        <w:t>Antony, A.C. and Dr. Anuradha. P.S (2026). Resources to Advantage: An Integrated Conceptual AnalysisOf VRIN and VRIO Frameworks in Strategic Management. </w:t>
      </w:r>
      <w:r w:rsidRPr="00080D9C">
        <w:rPr>
          <w:i/>
          <w:iCs/>
          <w:lang w:val="en-US"/>
        </w:rPr>
        <w:t>International Journal of Accounting and Economics Studies</w:t>
      </w:r>
      <w:r w:rsidRPr="00080D9C">
        <w:rPr>
          <w:lang w:val="en-US"/>
        </w:rPr>
        <w:t>, 13(1), pp.68–72. doi:10.14419/s546e580.</w:t>
      </w:r>
    </w:p>
    <w:p w14:paraId="6283EF58" w14:textId="77777777" w:rsidR="00080D9C" w:rsidRPr="00080D9C" w:rsidRDefault="00080D9C" w:rsidP="00080D9C">
      <w:pPr>
        <w:rPr>
          <w:lang w:val="en-US"/>
        </w:rPr>
      </w:pPr>
      <w:r w:rsidRPr="00080D9C">
        <w:rPr>
          <w:lang w:val="en-US"/>
        </w:rPr>
        <w:t>Barney, J. (1991). Firm resources and sustained competitive advantage. </w:t>
      </w:r>
      <w:r w:rsidRPr="00080D9C">
        <w:rPr>
          <w:i/>
          <w:iCs/>
          <w:lang w:val="en-US"/>
        </w:rPr>
        <w:t>Journal of Management</w:t>
      </w:r>
      <w:r w:rsidRPr="00080D9C">
        <w:rPr>
          <w:lang w:val="en-US"/>
        </w:rPr>
        <w:t>, 17(1), pp.99–120. doi:https://doi.org/10.1177/014920639101700108.</w:t>
      </w:r>
    </w:p>
    <w:p w14:paraId="7A81EF63" w14:textId="77777777" w:rsidR="00080D9C" w:rsidRPr="00080D9C" w:rsidRDefault="00080D9C" w:rsidP="00080D9C">
      <w:pPr>
        <w:rPr>
          <w:lang w:val="en-US"/>
        </w:rPr>
      </w:pPr>
      <w:r w:rsidRPr="00080D9C">
        <w:rPr>
          <w:lang w:val="en-US"/>
        </w:rPr>
        <w:t>Bhatti, M.I., Awan, H. and Razaq, Z. (2014). The key performance indicators (kpis) and their impact on overall organizational performance. </w:t>
      </w:r>
      <w:r w:rsidRPr="00080D9C">
        <w:rPr>
          <w:i/>
          <w:iCs/>
          <w:lang w:val="en-US"/>
        </w:rPr>
        <w:t>ResearchGate</w:t>
      </w:r>
      <w:r w:rsidRPr="00080D9C">
        <w:rPr>
          <w:lang w:val="en-US"/>
        </w:rPr>
        <w:t>. [online] doi:10.1007/s11135-013-9945-y.</w:t>
      </w:r>
    </w:p>
    <w:p w14:paraId="65C9A2CC" w14:textId="77777777" w:rsidR="00080D9C" w:rsidRPr="00080D9C" w:rsidRDefault="00080D9C" w:rsidP="00080D9C">
      <w:pPr>
        <w:rPr>
          <w:lang w:val="en-US"/>
        </w:rPr>
      </w:pPr>
      <w:r w:rsidRPr="00080D9C">
        <w:rPr>
          <w:lang w:val="en-US"/>
        </w:rPr>
        <w:t>BikeDekho (2026). </w:t>
      </w:r>
      <w:r w:rsidRPr="00080D9C">
        <w:rPr>
          <w:i/>
          <w:iCs/>
          <w:lang w:val="en-US"/>
        </w:rPr>
        <w:t>Suzuki Gixxer SF 250 price 2026 – mileage, colours, images</w:t>
      </w:r>
      <w:r w:rsidRPr="00080D9C">
        <w:rPr>
          <w:lang w:val="en-US"/>
        </w:rPr>
        <w:t xml:space="preserve">. [online] BikeDekho. Available at: </w:t>
      </w:r>
      <w:hyperlink r:id="rId33" w:history="1">
        <w:r w:rsidRPr="00080D9C">
          <w:rPr>
            <w:rStyle w:val="Hyperlink"/>
            <w:lang w:val="en-US"/>
          </w:rPr>
          <w:t>https://www.bikedekho.com/suzuki/gixxer-sf-250</w:t>
        </w:r>
      </w:hyperlink>
      <w:r w:rsidRPr="00080D9C">
        <w:rPr>
          <w:lang w:val="en-US"/>
        </w:rPr>
        <w:t>.</w:t>
      </w:r>
    </w:p>
    <w:p w14:paraId="03775371" w14:textId="77777777" w:rsidR="00080D9C" w:rsidRPr="00080D9C" w:rsidRDefault="00080D9C" w:rsidP="00080D9C">
      <w:pPr>
        <w:rPr>
          <w:lang w:val="en-US"/>
        </w:rPr>
      </w:pPr>
      <w:r w:rsidRPr="00080D9C">
        <w:rPr>
          <w:lang w:val="en-US"/>
        </w:rPr>
        <w:t>Cardeal, N. and António, N. (2012). Valuable, rare, Inimitable Resources and Organization (VRIO) Resources or valuable, rare, Inimitable Resources (VRI) capabilities: What Leads to Competitive advantage? </w:t>
      </w:r>
      <w:r w:rsidRPr="00080D9C">
        <w:rPr>
          <w:i/>
          <w:iCs/>
          <w:lang w:val="en-US"/>
        </w:rPr>
        <w:t>African Journal of Business Management</w:t>
      </w:r>
      <w:r w:rsidRPr="00080D9C">
        <w:rPr>
          <w:lang w:val="en-US"/>
        </w:rPr>
        <w:t>, [online] 6(37), pp.10159–10170. doi:10.5897/ajbm12.295.</w:t>
      </w:r>
    </w:p>
    <w:p w14:paraId="13C8B5AC" w14:textId="77777777" w:rsidR="00080D9C" w:rsidRPr="00080D9C" w:rsidRDefault="00080D9C" w:rsidP="00080D9C">
      <w:pPr>
        <w:rPr>
          <w:lang w:val="en-US"/>
        </w:rPr>
      </w:pPr>
      <w:r w:rsidRPr="00080D9C">
        <w:rPr>
          <w:lang w:val="en-US"/>
        </w:rPr>
        <w:t>Chandrasekaran, M.M. (2022). Does corporate social responsibility fuel firm performance? Evidence from the Asian automotive sector. </w:t>
      </w:r>
      <w:r w:rsidRPr="00080D9C">
        <w:rPr>
          <w:i/>
          <w:iCs/>
          <w:lang w:val="en-US"/>
        </w:rPr>
        <w:t>Sustainability</w:t>
      </w:r>
      <w:r w:rsidRPr="00080D9C">
        <w:rPr>
          <w:lang w:val="en-US"/>
        </w:rPr>
        <w:t>, 14(22), p.15440. doi:10.3390/su142215440.</w:t>
      </w:r>
    </w:p>
    <w:p w14:paraId="15EE53FD" w14:textId="77777777" w:rsidR="00080D9C" w:rsidRPr="00080D9C" w:rsidRDefault="00080D9C" w:rsidP="00080D9C">
      <w:pPr>
        <w:rPr>
          <w:lang w:val="en-US"/>
        </w:rPr>
      </w:pPr>
      <w:r w:rsidRPr="00080D9C">
        <w:rPr>
          <w:lang w:val="en-US"/>
        </w:rPr>
        <w:t>Clean Mobility Shift (2025). </w:t>
      </w:r>
      <w:r w:rsidRPr="00080D9C">
        <w:rPr>
          <w:i/>
          <w:iCs/>
          <w:lang w:val="en-US"/>
        </w:rPr>
        <w:t>How a decade of subsidy support has driven India’s EV journey</w:t>
      </w:r>
      <w:r w:rsidRPr="00080D9C">
        <w:rPr>
          <w:lang w:val="en-US"/>
        </w:rPr>
        <w:t xml:space="preserve">. [online] Clean Mobility Shift. Available at: </w:t>
      </w:r>
      <w:hyperlink r:id="rId34" w:history="1">
        <w:r w:rsidRPr="00080D9C">
          <w:rPr>
            <w:rStyle w:val="Hyperlink"/>
            <w:lang w:val="en-US"/>
          </w:rPr>
          <w:t>https://cleanmobilityshift.com/market-trends/how-a-decade-of-subsidy-support-has-driven-indias-ev-journey/</w:t>
        </w:r>
      </w:hyperlink>
      <w:r w:rsidRPr="00080D9C">
        <w:rPr>
          <w:lang w:val="en-US"/>
        </w:rPr>
        <w:t>.</w:t>
      </w:r>
    </w:p>
    <w:p w14:paraId="7318D5D7" w14:textId="77777777" w:rsidR="00080D9C" w:rsidRPr="00080D9C" w:rsidRDefault="00080D9C" w:rsidP="00080D9C">
      <w:pPr>
        <w:rPr>
          <w:lang w:val="en-US"/>
        </w:rPr>
      </w:pPr>
      <w:r w:rsidRPr="00080D9C">
        <w:rPr>
          <w:lang w:val="en-US"/>
        </w:rPr>
        <w:t xml:space="preserve">Dacula Jr, J.C. and Gelacio, A.B. (2023). Application of porter's five forces in assessing the competitive advantage of the motorcycle industry psychology and education: a multidisciplinary journal application of porter's five forces in assessing the competitive </w:t>
      </w:r>
      <w:r w:rsidRPr="00080D9C">
        <w:rPr>
          <w:lang w:val="en-US"/>
        </w:rPr>
        <w:lastRenderedPageBreak/>
        <w:t>advantage of the motorcycle industry. </w:t>
      </w:r>
      <w:r w:rsidRPr="00080D9C">
        <w:rPr>
          <w:i/>
          <w:iCs/>
          <w:lang w:val="en-US"/>
        </w:rPr>
        <w:t>Psychology and Education A Multidisciplinary Journal</w:t>
      </w:r>
      <w:r w:rsidRPr="00080D9C">
        <w:rPr>
          <w:lang w:val="en-US"/>
        </w:rPr>
        <w:t>, [online] 14, pp.213–219. doi:10.5281/zenodo.8403162.</w:t>
      </w:r>
    </w:p>
    <w:p w14:paraId="1AD09D82" w14:textId="77777777" w:rsidR="00080D9C" w:rsidRPr="00080D9C" w:rsidRDefault="00080D9C" w:rsidP="00080D9C">
      <w:pPr>
        <w:rPr>
          <w:lang w:val="en-US"/>
        </w:rPr>
      </w:pPr>
      <w:r w:rsidRPr="00080D9C">
        <w:rPr>
          <w:lang w:val="en-US"/>
        </w:rPr>
        <w:t>ET Auto (2025). </w:t>
      </w:r>
      <w:r w:rsidRPr="00080D9C">
        <w:rPr>
          <w:i/>
          <w:iCs/>
          <w:lang w:val="en-US"/>
        </w:rPr>
        <w:t>Premium motorcycle market gains ground in India as consumer preferences evolve: Crisil</w:t>
      </w:r>
      <w:r w:rsidRPr="00080D9C">
        <w:rPr>
          <w:lang w:val="en-US"/>
        </w:rPr>
        <w:t xml:space="preserve">. [online] ETAuto.com. Available at: </w:t>
      </w:r>
      <w:hyperlink r:id="rId35" w:history="1">
        <w:r w:rsidRPr="00080D9C">
          <w:rPr>
            <w:rStyle w:val="Hyperlink"/>
            <w:lang w:val="en-US"/>
          </w:rPr>
          <w:t>https://auto.economictimes.indiatimes.com/news/two-wheelers/indias-premium-motorcycle-market-surges-consumer-trends-transforming-the-two-wheeler-landscape/122377113</w:t>
        </w:r>
      </w:hyperlink>
      <w:r w:rsidRPr="00080D9C">
        <w:rPr>
          <w:lang w:val="en-US"/>
        </w:rPr>
        <w:t>.</w:t>
      </w:r>
    </w:p>
    <w:p w14:paraId="50373634" w14:textId="77777777" w:rsidR="00080D9C" w:rsidRPr="00080D9C" w:rsidRDefault="00080D9C" w:rsidP="00080D9C">
      <w:pPr>
        <w:rPr>
          <w:lang w:val="en-US"/>
        </w:rPr>
      </w:pPr>
      <w:r w:rsidRPr="00080D9C">
        <w:rPr>
          <w:lang w:val="en-US"/>
        </w:rPr>
        <w:t>Fabrizio, C.M., Kaczam, F., de Moura, G.L., da Silva, L.S.C.V., da Silva, W.V. and da Veiga, C.P. (2022). Competitive advantage and dynamic capability in small and medium-sized enterprises: A systematic literature review and future research directions. </w:t>
      </w:r>
      <w:r w:rsidRPr="00080D9C">
        <w:rPr>
          <w:i/>
          <w:iCs/>
          <w:lang w:val="en-US"/>
        </w:rPr>
        <w:t>Review of Managerial Science</w:t>
      </w:r>
      <w:r w:rsidRPr="00080D9C">
        <w:rPr>
          <w:lang w:val="en-US"/>
        </w:rPr>
        <w:t>, 16. doi:10.1007/s11846-021-00459-8.</w:t>
      </w:r>
    </w:p>
    <w:p w14:paraId="712748A5" w14:textId="77777777" w:rsidR="00080D9C" w:rsidRPr="00080D9C" w:rsidRDefault="00080D9C" w:rsidP="00080D9C">
      <w:pPr>
        <w:rPr>
          <w:lang w:val="en-US"/>
        </w:rPr>
      </w:pPr>
      <w:r w:rsidRPr="00080D9C">
        <w:rPr>
          <w:lang w:val="en-US"/>
        </w:rPr>
        <w:t>Fasterwheeler (2026). </w:t>
      </w:r>
      <w:r w:rsidRPr="00080D9C">
        <w:rPr>
          <w:i/>
          <w:iCs/>
          <w:lang w:val="en-US"/>
        </w:rPr>
        <w:t>suzuki gixxer sf 250</w:t>
      </w:r>
      <w:r w:rsidRPr="00080D9C">
        <w:rPr>
          <w:lang w:val="en-US"/>
        </w:rPr>
        <w:t xml:space="preserve">. [online] Fasterwheeler. Available at: </w:t>
      </w:r>
      <w:hyperlink r:id="rId36" w:history="1">
        <w:r w:rsidRPr="00080D9C">
          <w:rPr>
            <w:rStyle w:val="Hyperlink"/>
            <w:lang w:val="en-US"/>
          </w:rPr>
          <w:t>https://fasterwheeler.com/in/bikes/suzuki-gixxer-sf-250-10235</w:t>
        </w:r>
      </w:hyperlink>
    </w:p>
    <w:p w14:paraId="0B1AE764" w14:textId="77777777" w:rsidR="00080D9C" w:rsidRPr="00080D9C" w:rsidRDefault="00080D9C" w:rsidP="00080D9C">
      <w:pPr>
        <w:rPr>
          <w:lang w:val="en-US"/>
        </w:rPr>
      </w:pPr>
      <w:r w:rsidRPr="00080D9C">
        <w:rPr>
          <w:lang w:val="en-US"/>
        </w:rPr>
        <w:t>Gibbs, G. (1988). </w:t>
      </w:r>
      <w:r w:rsidRPr="00080D9C">
        <w:rPr>
          <w:i/>
          <w:iCs/>
          <w:lang w:val="en-US"/>
        </w:rPr>
        <w:t>Learning by doing: A guide to teaching and learning methods</w:t>
      </w:r>
      <w:r w:rsidRPr="00080D9C">
        <w:rPr>
          <w:lang w:val="en-US"/>
        </w:rPr>
        <w:t>. Oxford: Further Education Unit.</w:t>
      </w:r>
    </w:p>
    <w:p w14:paraId="222BAE23" w14:textId="77777777" w:rsidR="00080D9C" w:rsidRPr="00080D9C" w:rsidRDefault="00080D9C" w:rsidP="00080D9C">
      <w:pPr>
        <w:rPr>
          <w:lang w:val="en-US"/>
        </w:rPr>
      </w:pPr>
      <w:r w:rsidRPr="00080D9C">
        <w:rPr>
          <w:lang w:val="en-US"/>
        </w:rPr>
        <w:t>Gupta, M. (2026). </w:t>
      </w:r>
      <w:r w:rsidRPr="00080D9C">
        <w:rPr>
          <w:i/>
          <w:iCs/>
          <w:lang w:val="en-US"/>
        </w:rPr>
        <w:t>2026 Suzuki Gixxer SF 250, Gixxer 250 Launched in India</w:t>
      </w:r>
      <w:r w:rsidRPr="00080D9C">
        <w:rPr>
          <w:lang w:val="en-US"/>
        </w:rPr>
        <w:t xml:space="preserve">. [online] BikeAdvice - Latest Bike News, Motorcycle Reviews, Electric Vehicle Updates. Available at: </w:t>
      </w:r>
      <w:hyperlink r:id="rId37" w:history="1">
        <w:r w:rsidRPr="00080D9C">
          <w:rPr>
            <w:rStyle w:val="Hyperlink"/>
            <w:lang w:val="en-US"/>
          </w:rPr>
          <w:t>https://bikeadvice.in/2026-suzuki-gixxer-sf-250-gixxer-250-launched-in-india/</w:t>
        </w:r>
      </w:hyperlink>
      <w:r w:rsidRPr="00080D9C">
        <w:rPr>
          <w:lang w:val="en-US"/>
        </w:rPr>
        <w:t>.</w:t>
      </w:r>
    </w:p>
    <w:p w14:paraId="00C44125" w14:textId="77777777" w:rsidR="00080D9C" w:rsidRPr="00080D9C" w:rsidRDefault="00080D9C" w:rsidP="00080D9C">
      <w:pPr>
        <w:rPr>
          <w:lang w:val="en-US"/>
        </w:rPr>
      </w:pPr>
      <w:r w:rsidRPr="00080D9C">
        <w:rPr>
          <w:lang w:val="en-US"/>
        </w:rPr>
        <w:t>Gupta, S., Kushwaha, Pooja.S., Badhera, U., Chatterjee, P. and Gonzalez, E.D.R.S. (2023). Identification of benefits, challenges, and Pathways in e-commerce industries: an Integrated two-phase decision-making Model. </w:t>
      </w:r>
      <w:r w:rsidRPr="00080D9C">
        <w:rPr>
          <w:i/>
          <w:iCs/>
          <w:lang w:val="en-US"/>
        </w:rPr>
        <w:t>Sustainable Operations and Computers</w:t>
      </w:r>
      <w:r w:rsidRPr="00080D9C">
        <w:rPr>
          <w:lang w:val="en-US"/>
        </w:rPr>
        <w:t>, 4(4), pp.200–218. doi:https://doi.org/10.1016/j.susoc.2023.08.005.</w:t>
      </w:r>
    </w:p>
    <w:p w14:paraId="0403E669" w14:textId="77777777" w:rsidR="00080D9C" w:rsidRPr="00080D9C" w:rsidRDefault="00080D9C" w:rsidP="00080D9C">
      <w:pPr>
        <w:rPr>
          <w:lang w:val="en-US"/>
        </w:rPr>
      </w:pPr>
      <w:r w:rsidRPr="00080D9C">
        <w:rPr>
          <w:lang w:val="en-US"/>
        </w:rPr>
        <w:t>Jameel Motors. (2025). </w:t>
      </w:r>
      <w:r w:rsidRPr="00080D9C">
        <w:rPr>
          <w:i/>
          <w:iCs/>
          <w:lang w:val="en-US"/>
        </w:rPr>
        <w:t>Exploring India’s EV transition</w:t>
      </w:r>
      <w:r w:rsidRPr="00080D9C">
        <w:rPr>
          <w:lang w:val="en-US"/>
        </w:rPr>
        <w:t xml:space="preserve">. [online] Available at: </w:t>
      </w:r>
      <w:hyperlink r:id="rId38" w:history="1">
        <w:r w:rsidRPr="00080D9C">
          <w:rPr>
            <w:rStyle w:val="Hyperlink"/>
            <w:lang w:val="en-US"/>
          </w:rPr>
          <w:t>https://jameelmotors.com/en/insights/exploring-indias-ev-transition/</w:t>
        </w:r>
      </w:hyperlink>
      <w:r w:rsidRPr="00080D9C">
        <w:rPr>
          <w:lang w:val="en-US"/>
        </w:rPr>
        <w:t>.</w:t>
      </w:r>
    </w:p>
    <w:p w14:paraId="24AB05F1" w14:textId="77777777" w:rsidR="00080D9C" w:rsidRPr="00080D9C" w:rsidRDefault="00080D9C" w:rsidP="00080D9C">
      <w:pPr>
        <w:rPr>
          <w:lang w:val="en-US"/>
        </w:rPr>
      </w:pPr>
      <w:r w:rsidRPr="00080D9C">
        <w:rPr>
          <w:lang w:val="en-US"/>
        </w:rPr>
        <w:t>KTM India (2026). </w:t>
      </w:r>
      <w:r w:rsidRPr="00080D9C">
        <w:rPr>
          <w:i/>
          <w:iCs/>
          <w:lang w:val="en-US"/>
        </w:rPr>
        <w:t>KTM RC 200</w:t>
      </w:r>
      <w:r w:rsidRPr="00080D9C">
        <w:rPr>
          <w:lang w:val="en-US"/>
        </w:rPr>
        <w:t>. [online] Bajaj Auto. Available at: https://www.ktmindia.com/ktm-bikes/supersport/ktm-rc-200 [Accessed 3 Aug. 2026].</w:t>
      </w:r>
    </w:p>
    <w:p w14:paraId="500FAB93" w14:textId="77777777" w:rsidR="00080D9C" w:rsidRPr="00080D9C" w:rsidRDefault="00080D9C" w:rsidP="00080D9C">
      <w:pPr>
        <w:rPr>
          <w:lang w:val="en-US"/>
        </w:rPr>
      </w:pPr>
      <w:r w:rsidRPr="00080D9C">
        <w:rPr>
          <w:lang w:val="en-US"/>
        </w:rPr>
        <w:lastRenderedPageBreak/>
        <w:t>Kumar, R.V. and Sarkar, A. (2008). Psychographic segmentation of indian urban consumers. </w:t>
      </w:r>
      <w:r w:rsidRPr="00080D9C">
        <w:rPr>
          <w:i/>
          <w:iCs/>
          <w:lang w:val="en-US"/>
        </w:rPr>
        <w:t>Journal of the Asia Pacific Economy</w:t>
      </w:r>
      <w:r w:rsidRPr="00080D9C">
        <w:rPr>
          <w:lang w:val="en-US"/>
        </w:rPr>
        <w:t>, 13(2), pp.204–226. doi:10.1080/13547860801923590.</w:t>
      </w:r>
    </w:p>
    <w:p w14:paraId="043609B9" w14:textId="77777777" w:rsidR="00080D9C" w:rsidRPr="00080D9C" w:rsidRDefault="00080D9C" w:rsidP="00080D9C">
      <w:pPr>
        <w:rPr>
          <w:lang w:val="en-US"/>
        </w:rPr>
      </w:pPr>
      <w:r w:rsidRPr="00080D9C">
        <w:t xml:space="preserve">Kumar, T.S., Suriakandh, T.S., Visaal, U.S. and Vishal, B. (2025) ‘Mapping the ride: A multidimensional view of India’s two-wheeler consumers’, </w:t>
      </w:r>
      <w:r w:rsidRPr="00080D9C">
        <w:rPr>
          <w:i/>
          <w:iCs/>
        </w:rPr>
        <w:t>International Research Journal of Modernization in Engineering Technology and Science</w:t>
      </w:r>
      <w:r w:rsidRPr="00080D9C">
        <w:t>, 7(5), pp. 7401–7409. doi: 10.56726/IRJMETS77477</w:t>
      </w:r>
    </w:p>
    <w:p w14:paraId="281FBBCD" w14:textId="77777777" w:rsidR="00080D9C" w:rsidRPr="00080D9C" w:rsidRDefault="00080D9C" w:rsidP="00080D9C">
      <w:pPr>
        <w:rPr>
          <w:lang w:val="en-US"/>
        </w:rPr>
      </w:pPr>
      <w:r w:rsidRPr="00080D9C">
        <w:rPr>
          <w:lang w:val="en-US"/>
        </w:rPr>
        <w:t>Miller, M. (2019). </w:t>
      </w:r>
      <w:r w:rsidRPr="00080D9C">
        <w:rPr>
          <w:i/>
          <w:iCs/>
          <w:lang w:val="en-US"/>
        </w:rPr>
        <w:t>Seven Liter Bikes That Left Me Weak In The Knee Pucks: A Sicilian Love Affair</w:t>
      </w:r>
      <w:r w:rsidRPr="00080D9C">
        <w:rPr>
          <w:lang w:val="en-US"/>
        </w:rPr>
        <w:t xml:space="preserve">. [online] Motorcycle.com. Available at: </w:t>
      </w:r>
      <w:hyperlink r:id="rId39" w:history="1">
        <w:r w:rsidRPr="00080D9C">
          <w:rPr>
            <w:rStyle w:val="Hyperlink"/>
            <w:lang w:val="en-US"/>
          </w:rPr>
          <w:t>https://www.motorcycle.com/shoot-outs/seven-liter-bikes-that-left-me-weak-in-the-knee-pucks-a-sicilian-love-affair</w:t>
        </w:r>
      </w:hyperlink>
      <w:r w:rsidRPr="00080D9C">
        <w:rPr>
          <w:lang w:val="en-US"/>
        </w:rPr>
        <w:t>.</w:t>
      </w:r>
    </w:p>
    <w:p w14:paraId="647466C9" w14:textId="77777777" w:rsidR="00080D9C" w:rsidRPr="00080D9C" w:rsidRDefault="00080D9C" w:rsidP="00080D9C">
      <w:pPr>
        <w:rPr>
          <w:lang w:val="en-US"/>
        </w:rPr>
      </w:pPr>
      <w:r w:rsidRPr="00080D9C">
        <w:rPr>
          <w:lang w:val="en-US"/>
        </w:rPr>
        <w:t>News On AIR (2026). </w:t>
      </w:r>
      <w:r w:rsidRPr="00080D9C">
        <w:rPr>
          <w:i/>
          <w:iCs/>
          <w:lang w:val="en-US"/>
        </w:rPr>
        <w:t>RBI keeps repo rate unchanged at 5.25%, Reduces GDP growth projection to 6.6% | Akashvani News</w:t>
      </w:r>
      <w:r w:rsidRPr="00080D9C">
        <w:rPr>
          <w:lang w:val="en-US"/>
        </w:rPr>
        <w:t xml:space="preserve">. [online] Newsonair.gov.in. Available at: </w:t>
      </w:r>
      <w:hyperlink r:id="rId40" w:history="1">
        <w:r w:rsidRPr="00080D9C">
          <w:rPr>
            <w:rStyle w:val="Hyperlink"/>
            <w:lang w:val="en-US"/>
          </w:rPr>
          <w:t>https://newsonair.gov.in/rbi-keeps-repo-rate-unchanged-at-5-25-retains-neutral-stance/</w:t>
        </w:r>
      </w:hyperlink>
    </w:p>
    <w:p w14:paraId="60981984" w14:textId="77777777" w:rsidR="00080D9C" w:rsidRPr="00080D9C" w:rsidRDefault="00080D9C" w:rsidP="00080D9C">
      <w:pPr>
        <w:rPr>
          <w:lang w:val="en-US"/>
        </w:rPr>
      </w:pPr>
      <w:r w:rsidRPr="00080D9C">
        <w:rPr>
          <w:lang w:val="en-US"/>
        </w:rPr>
        <w:t>Obu, O.C. (2022). The Determinants of the Attractiveness of an Industry: An Extension of the Porter’s Five-Forces Framework. </w:t>
      </w:r>
      <w:r w:rsidRPr="00080D9C">
        <w:rPr>
          <w:i/>
          <w:iCs/>
          <w:lang w:val="en-US"/>
        </w:rPr>
        <w:t>Global Journal of Management and Business Research</w:t>
      </w:r>
      <w:r w:rsidRPr="00080D9C">
        <w:rPr>
          <w:lang w:val="en-US"/>
        </w:rPr>
        <w:t>. doi:10.2139/ssrn.4218820.</w:t>
      </w:r>
    </w:p>
    <w:p w14:paraId="4617B764" w14:textId="77777777" w:rsidR="00080D9C" w:rsidRPr="00080D9C" w:rsidRDefault="00080D9C" w:rsidP="00080D9C">
      <w:pPr>
        <w:rPr>
          <w:lang w:val="en-US"/>
        </w:rPr>
      </w:pPr>
      <w:r w:rsidRPr="00080D9C">
        <w:rPr>
          <w:lang w:val="en-US"/>
        </w:rPr>
        <w:t>Oyewo, B., Moses, O. and Erin, O. (2022). Balanced scorecard usage and organizational effectiveness: evidence from manufacturing sector. </w:t>
      </w:r>
      <w:r w:rsidRPr="00080D9C">
        <w:rPr>
          <w:i/>
          <w:iCs/>
          <w:lang w:val="en-US"/>
        </w:rPr>
        <w:t>Measuring Business Excellence</w:t>
      </w:r>
      <w:r w:rsidRPr="00080D9C">
        <w:rPr>
          <w:lang w:val="en-US"/>
        </w:rPr>
        <w:t>, 26(4), pp.558–582. doi:10.1108/mbe-01-2021-0005.</w:t>
      </w:r>
    </w:p>
    <w:p w14:paraId="16E35A63" w14:textId="77777777" w:rsidR="00080D9C" w:rsidRPr="00080D9C" w:rsidRDefault="00080D9C" w:rsidP="00080D9C">
      <w:pPr>
        <w:rPr>
          <w:lang w:val="en-US"/>
        </w:rPr>
      </w:pPr>
      <w:r w:rsidRPr="00080D9C">
        <w:rPr>
          <w:lang w:val="en-US"/>
        </w:rPr>
        <w:t>PIB (2025). </w:t>
      </w:r>
      <w:r w:rsidRPr="00080D9C">
        <w:rPr>
          <w:i/>
          <w:iCs/>
          <w:lang w:val="en-US"/>
        </w:rPr>
        <w:t>RBI monetary policy: repo rate unchanged, GDP outlook</w:t>
      </w:r>
      <w:r w:rsidRPr="00080D9C">
        <w:rPr>
          <w:lang w:val="en-US"/>
        </w:rPr>
        <w:t xml:space="preserve">. [online] Press Information Bureau. Available at: </w:t>
      </w:r>
      <w:hyperlink r:id="rId41" w:history="1">
        <w:r w:rsidRPr="00080D9C">
          <w:rPr>
            <w:rStyle w:val="Hyperlink"/>
            <w:lang w:val="en-US"/>
          </w:rPr>
          <w:t>https://www.pib.gov.in/FactsheetDetails.aspx?Id=150328&amp;reg=48&amp;lang=2</w:t>
        </w:r>
      </w:hyperlink>
      <w:r w:rsidRPr="00080D9C">
        <w:rPr>
          <w:lang w:val="en-US"/>
        </w:rPr>
        <w:t>.</w:t>
      </w:r>
    </w:p>
    <w:p w14:paraId="2B0F4063" w14:textId="77777777" w:rsidR="00080D9C" w:rsidRPr="00080D9C" w:rsidRDefault="00080D9C" w:rsidP="00080D9C">
      <w:pPr>
        <w:rPr>
          <w:lang w:val="en-US"/>
        </w:rPr>
      </w:pPr>
      <w:r w:rsidRPr="00080D9C">
        <w:rPr>
          <w:lang w:val="en-US"/>
        </w:rPr>
        <w:t>Press Trust of India (2025). </w:t>
      </w:r>
      <w:r w:rsidRPr="00080D9C">
        <w:rPr>
          <w:i/>
          <w:iCs/>
          <w:lang w:val="en-US"/>
        </w:rPr>
        <w:t>Premium motorcycles may account for 22% of total market by 2030: Crisil</w:t>
      </w:r>
      <w:r w:rsidRPr="00080D9C">
        <w:rPr>
          <w:lang w:val="en-US"/>
        </w:rPr>
        <w:t>. [online] bsindia. Available at: https://www.business-standard.com/industry/auto/premium-motorcycles-may-account-for-22-of-total-market-by-2030-crisil-125071000564_1.html</w:t>
      </w:r>
    </w:p>
    <w:p w14:paraId="0325E731" w14:textId="77777777" w:rsidR="00080D9C" w:rsidRPr="00080D9C" w:rsidRDefault="00080D9C" w:rsidP="00080D9C">
      <w:pPr>
        <w:rPr>
          <w:lang w:val="en-US"/>
        </w:rPr>
      </w:pPr>
      <w:r w:rsidRPr="00080D9C">
        <w:rPr>
          <w:lang w:val="en-US"/>
        </w:rPr>
        <w:lastRenderedPageBreak/>
        <w:t>Rajput, K. (2025). </w:t>
      </w:r>
      <w:r w:rsidRPr="00080D9C">
        <w:rPr>
          <w:i/>
          <w:iCs/>
          <w:lang w:val="en-US"/>
        </w:rPr>
        <w:t>5 Exciting Competitors To Pulsar RS200 Under Rs 2 Lakh</w:t>
      </w:r>
      <w:r w:rsidRPr="00080D9C">
        <w:rPr>
          <w:lang w:val="en-US"/>
        </w:rPr>
        <w:t xml:space="preserve">. [online] Timesdrive.in. Available at: </w:t>
      </w:r>
      <w:hyperlink r:id="rId42" w:history="1">
        <w:r w:rsidRPr="00080D9C">
          <w:rPr>
            <w:rStyle w:val="Hyperlink"/>
            <w:lang w:val="en-US"/>
          </w:rPr>
          <w:t>https://www.timesdrive.in/web-stories/5-exciting-competitors-to-pulsar-rs200-under-rs-2-lakh/photostory/151147329.cms</w:t>
        </w:r>
      </w:hyperlink>
      <w:r w:rsidRPr="00080D9C">
        <w:rPr>
          <w:lang w:val="en-US"/>
        </w:rPr>
        <w:t>.</w:t>
      </w:r>
    </w:p>
    <w:p w14:paraId="6022F261" w14:textId="77777777" w:rsidR="00080D9C" w:rsidRPr="00080D9C" w:rsidRDefault="00080D9C" w:rsidP="00080D9C">
      <w:pPr>
        <w:rPr>
          <w:lang w:val="en-US"/>
        </w:rPr>
      </w:pPr>
      <w:r w:rsidRPr="00080D9C">
        <w:rPr>
          <w:lang w:val="en-US"/>
        </w:rPr>
        <w:t>Rajput, K. (2026). </w:t>
      </w:r>
      <w:r w:rsidRPr="00080D9C">
        <w:rPr>
          <w:i/>
          <w:iCs/>
          <w:lang w:val="en-US"/>
        </w:rPr>
        <w:t>2026 suzuki gixxer sf 250, gixxer 250 launched in india at rs 1.81 lakh, gets new colours</w:t>
      </w:r>
      <w:r w:rsidRPr="00080D9C">
        <w:rPr>
          <w:lang w:val="en-US"/>
        </w:rPr>
        <w:t xml:space="preserve">. [online] Times Drive. Available at: </w:t>
      </w:r>
      <w:hyperlink r:id="rId43" w:history="1">
        <w:r w:rsidRPr="00080D9C">
          <w:rPr>
            <w:rStyle w:val="Hyperlink"/>
            <w:lang w:val="en-US"/>
          </w:rPr>
          <w:t>https://www.timesdrive.in/news/2026-suzuki-gixxer-sf-250-gixxer-250-launched-in-india-at-rs-1-81-lakh-gets-new-colours-article-153451109</w:t>
        </w:r>
      </w:hyperlink>
      <w:r w:rsidRPr="00080D9C">
        <w:rPr>
          <w:lang w:val="en-US"/>
        </w:rPr>
        <w:t>.</w:t>
      </w:r>
    </w:p>
    <w:p w14:paraId="37B95A31" w14:textId="77777777" w:rsidR="00080D9C" w:rsidRPr="00080D9C" w:rsidRDefault="00080D9C" w:rsidP="00080D9C">
      <w:pPr>
        <w:rPr>
          <w:lang w:val="en-US"/>
        </w:rPr>
      </w:pPr>
      <w:r w:rsidRPr="00080D9C">
        <w:rPr>
          <w:lang w:val="en-US"/>
        </w:rPr>
        <w:t>Ranjan, A. (2026). </w:t>
      </w:r>
      <w:r w:rsidRPr="00080D9C">
        <w:rPr>
          <w:i/>
          <w:iCs/>
          <w:lang w:val="en-US"/>
        </w:rPr>
        <w:t>India’s push beyond E20 fuel: reasons, pitfalls, and the flex fuel future</w:t>
      </w:r>
      <w:r w:rsidRPr="00080D9C">
        <w:rPr>
          <w:lang w:val="en-US"/>
        </w:rPr>
        <w:t xml:space="preserve">. [online] Plutus IAS. Available at: </w:t>
      </w:r>
      <w:hyperlink r:id="rId44" w:history="1">
        <w:r w:rsidRPr="00080D9C">
          <w:rPr>
            <w:rStyle w:val="Hyperlink"/>
            <w:lang w:val="en-US"/>
          </w:rPr>
          <w:t>https://plutusias.com/indias-push-beyond-e20-fuel-reasons-pitfalls-and-the-flex-fuel-future/</w:t>
        </w:r>
      </w:hyperlink>
      <w:r w:rsidRPr="00080D9C">
        <w:rPr>
          <w:lang w:val="en-US"/>
        </w:rPr>
        <w:t>.</w:t>
      </w:r>
    </w:p>
    <w:p w14:paraId="5CC5EA4F" w14:textId="77777777" w:rsidR="00080D9C" w:rsidRPr="00080D9C" w:rsidRDefault="00080D9C" w:rsidP="00080D9C">
      <w:pPr>
        <w:rPr>
          <w:lang w:val="en-US"/>
        </w:rPr>
      </w:pPr>
      <w:r w:rsidRPr="00080D9C">
        <w:rPr>
          <w:lang w:val="en-US"/>
        </w:rPr>
        <w:t>Reserve Bank of India (2026). </w:t>
      </w:r>
      <w:r w:rsidRPr="00080D9C">
        <w:rPr>
          <w:i/>
          <w:iCs/>
          <w:lang w:val="en-US"/>
        </w:rPr>
        <w:t>Reserve Bank of India</w:t>
      </w:r>
      <w:r w:rsidRPr="00080D9C">
        <w:rPr>
          <w:lang w:val="en-US"/>
        </w:rPr>
        <w:t>. [online] </w:t>
      </w:r>
      <w:r w:rsidRPr="00080D9C">
        <w:rPr>
          <w:i/>
          <w:iCs/>
          <w:lang w:val="en-US"/>
        </w:rPr>
        <w:t>Rbi.org.in</w:t>
      </w:r>
      <w:r w:rsidRPr="00080D9C">
        <w:rPr>
          <w:lang w:val="en-US"/>
        </w:rPr>
        <w:t xml:space="preserve">. Available at: </w:t>
      </w:r>
      <w:hyperlink r:id="rId45" w:history="1">
        <w:r w:rsidRPr="00080D9C">
          <w:rPr>
            <w:rStyle w:val="Hyperlink"/>
            <w:lang w:val="en-US"/>
          </w:rPr>
          <w:t>https://www.rbi.org.in/</w:t>
        </w:r>
      </w:hyperlink>
      <w:r w:rsidRPr="00080D9C">
        <w:rPr>
          <w:lang w:val="en-US"/>
        </w:rPr>
        <w:t>.</w:t>
      </w:r>
    </w:p>
    <w:p w14:paraId="2FBAB0BE" w14:textId="77777777" w:rsidR="00080D9C" w:rsidRPr="00080D9C" w:rsidRDefault="00080D9C" w:rsidP="00080D9C">
      <w:pPr>
        <w:rPr>
          <w:lang w:val="en-US"/>
        </w:rPr>
      </w:pPr>
      <w:r w:rsidRPr="00080D9C">
        <w:rPr>
          <w:lang w:val="en-US"/>
        </w:rPr>
        <w:t>Revolt Motors. (2026). </w:t>
      </w:r>
      <w:r w:rsidRPr="00080D9C">
        <w:rPr>
          <w:i/>
          <w:iCs/>
          <w:lang w:val="en-US"/>
        </w:rPr>
        <w:t>Government Policies for Electric 2-Wheelers - What You Need to Know</w:t>
      </w:r>
      <w:r w:rsidRPr="00080D9C">
        <w:rPr>
          <w:lang w:val="en-US"/>
        </w:rPr>
        <w:t xml:space="preserve">. [online] Available at: </w:t>
      </w:r>
      <w:hyperlink r:id="rId46" w:history="1">
        <w:r w:rsidRPr="00080D9C">
          <w:rPr>
            <w:rStyle w:val="Hyperlink"/>
            <w:lang w:val="en-US"/>
          </w:rPr>
          <w:t>https://www.revoltmotors.com/blog/government-policies-supporting-electric-2-wheelers</w:t>
        </w:r>
      </w:hyperlink>
      <w:r w:rsidRPr="00080D9C">
        <w:rPr>
          <w:lang w:val="en-US"/>
        </w:rPr>
        <w:t>.</w:t>
      </w:r>
    </w:p>
    <w:p w14:paraId="281B2CE9" w14:textId="77777777" w:rsidR="00080D9C" w:rsidRPr="00080D9C" w:rsidRDefault="00080D9C" w:rsidP="00080D9C">
      <w:pPr>
        <w:rPr>
          <w:lang w:val="en-US"/>
        </w:rPr>
      </w:pPr>
      <w:r w:rsidRPr="00080D9C">
        <w:rPr>
          <w:lang w:val="en-US"/>
        </w:rPr>
        <w:t>Rhoden, I., Ball, C.S., Vögele, S. and Kuckshinrichs, W. (2023). Minding the gap</w:t>
      </w:r>
      <w:r w:rsidRPr="00080D9C">
        <w:rPr>
          <w:rFonts w:ascii="Cambria Math" w:hAnsi="Cambria Math" w:cs="Cambria Math"/>
          <w:lang w:val="en-US"/>
        </w:rPr>
        <w:t>‐</w:t>
      </w:r>
      <w:r w:rsidRPr="00080D9C">
        <w:rPr>
          <w:lang w:val="en-US"/>
        </w:rPr>
        <w:t>relating disclosure to contexts of sustainability reporting in the automotive industry.</w:t>
      </w:r>
      <w:r w:rsidRPr="00080D9C">
        <w:rPr>
          <w:rFonts w:cs="Arial"/>
          <w:lang w:val="en-US"/>
        </w:rPr>
        <w:t> </w:t>
      </w:r>
      <w:r w:rsidRPr="00080D9C">
        <w:rPr>
          <w:i/>
          <w:iCs/>
          <w:lang w:val="en-US"/>
        </w:rPr>
        <w:t>Corporate Social Responsibility and Environmental Management</w:t>
      </w:r>
      <w:r w:rsidRPr="00080D9C">
        <w:rPr>
          <w:lang w:val="en-US"/>
        </w:rPr>
        <w:t>, 30(2). doi:10.1002/csr.2392.</w:t>
      </w:r>
    </w:p>
    <w:p w14:paraId="3596AFDA" w14:textId="77777777" w:rsidR="00080D9C" w:rsidRPr="00080D9C" w:rsidRDefault="00080D9C" w:rsidP="00080D9C">
      <w:pPr>
        <w:rPr>
          <w:lang w:val="en-US"/>
        </w:rPr>
      </w:pPr>
      <w:r w:rsidRPr="00080D9C">
        <w:rPr>
          <w:lang w:val="en-US"/>
        </w:rPr>
        <w:t>Right to Repair India (2025). </w:t>
      </w:r>
      <w:r w:rsidRPr="00080D9C">
        <w:rPr>
          <w:i/>
          <w:iCs/>
          <w:lang w:val="en-US"/>
        </w:rPr>
        <w:t>Suzuki motorcycle india pvt. ltd. profile | right to repair india</w:t>
      </w:r>
      <w:r w:rsidRPr="00080D9C">
        <w:rPr>
          <w:lang w:val="en-US"/>
        </w:rPr>
        <w:t xml:space="preserve">. [online] Righttorepairindia.gov.in. Available at: </w:t>
      </w:r>
      <w:hyperlink r:id="rId47" w:history="1">
        <w:r w:rsidRPr="00080D9C">
          <w:rPr>
            <w:rStyle w:val="Hyperlink"/>
            <w:lang w:val="en-US"/>
          </w:rPr>
          <w:t>https://righttorepairindia.gov.in/product/10075</w:t>
        </w:r>
      </w:hyperlink>
      <w:r w:rsidRPr="00080D9C">
        <w:rPr>
          <w:lang w:val="en-US"/>
        </w:rPr>
        <w:t>.</w:t>
      </w:r>
    </w:p>
    <w:p w14:paraId="70E5036D" w14:textId="77777777" w:rsidR="00080D9C" w:rsidRPr="00080D9C" w:rsidRDefault="00080D9C" w:rsidP="00080D9C">
      <w:pPr>
        <w:rPr>
          <w:lang w:val="en-US"/>
        </w:rPr>
      </w:pPr>
      <w:r w:rsidRPr="00080D9C">
        <w:rPr>
          <w:lang w:val="en-US"/>
        </w:rPr>
        <w:t>SIAM (2025). </w:t>
      </w:r>
      <w:r w:rsidRPr="00080D9C">
        <w:rPr>
          <w:i/>
          <w:iCs/>
          <w:lang w:val="en-US"/>
        </w:rPr>
        <w:t>Auto Industry Sales Performance of September 2025 and Q2 (July–September 2025)</w:t>
      </w:r>
      <w:r w:rsidRPr="00080D9C">
        <w:rPr>
          <w:lang w:val="en-US"/>
        </w:rPr>
        <w:t>. [online] </w:t>
      </w:r>
      <w:r w:rsidRPr="00080D9C">
        <w:rPr>
          <w:i/>
          <w:iCs/>
          <w:lang w:val="en-US"/>
        </w:rPr>
        <w:t>Society of Indian Automobile Manufactures</w:t>
      </w:r>
      <w:r w:rsidRPr="00080D9C">
        <w:rPr>
          <w:lang w:val="en-US"/>
        </w:rPr>
        <w:t xml:space="preserve">. Available at: </w:t>
      </w:r>
      <w:hyperlink r:id="rId48" w:history="1">
        <w:r w:rsidRPr="00080D9C">
          <w:rPr>
            <w:rStyle w:val="Hyperlink"/>
            <w:lang w:val="en-US"/>
          </w:rPr>
          <w:t>https://www.siam.in/pressrelease-details.aspx?mpgid=48&amp;pgidtrail=50&amp;pid=591</w:t>
        </w:r>
      </w:hyperlink>
      <w:r w:rsidRPr="00080D9C">
        <w:rPr>
          <w:lang w:val="en-US"/>
        </w:rPr>
        <w:t>.</w:t>
      </w:r>
    </w:p>
    <w:p w14:paraId="1CC16682" w14:textId="77777777" w:rsidR="00080D9C" w:rsidRPr="00080D9C" w:rsidRDefault="00080D9C" w:rsidP="00080D9C">
      <w:pPr>
        <w:rPr>
          <w:lang w:val="en-US"/>
        </w:rPr>
      </w:pPr>
      <w:r w:rsidRPr="00080D9C">
        <w:rPr>
          <w:lang w:val="en-US"/>
        </w:rPr>
        <w:t>Sivaslioğlu, F. (2021). The Relationship Between Innovation Capabilities, Differentiation Strategies and Market Performance. </w:t>
      </w:r>
      <w:r w:rsidRPr="00080D9C">
        <w:rPr>
          <w:i/>
          <w:iCs/>
          <w:lang w:val="en-US"/>
        </w:rPr>
        <w:t>9th International Conference on Leadership, Technology, Innovation and Business Management: Leadership, Innovation, Media and Communication</w:t>
      </w:r>
      <w:r w:rsidRPr="00080D9C">
        <w:rPr>
          <w:lang w:val="en-US"/>
        </w:rPr>
        <w:t>, [online] pp.104–117. doi:10.15405/epsbs.2021.02.10.</w:t>
      </w:r>
    </w:p>
    <w:p w14:paraId="42865115" w14:textId="77777777" w:rsidR="00080D9C" w:rsidRPr="00080D9C" w:rsidRDefault="00080D9C" w:rsidP="00080D9C">
      <w:pPr>
        <w:rPr>
          <w:lang w:val="en-US"/>
        </w:rPr>
      </w:pPr>
      <w:r w:rsidRPr="00080D9C">
        <w:rPr>
          <w:lang w:val="en-US"/>
        </w:rPr>
        <w:lastRenderedPageBreak/>
        <w:t>Soomro, G.N., Cao, G.S. and Islam, S.G. (2023). Differentiation Strategy and Performance of Fast Moving Consumer Goods (FMCG) Firms. A study of Godrej Consumer Products in India. </w:t>
      </w:r>
      <w:r w:rsidRPr="00080D9C">
        <w:rPr>
          <w:i/>
          <w:iCs/>
          <w:lang w:val="en-US"/>
        </w:rPr>
        <w:t>Journal of strategic management</w:t>
      </w:r>
      <w:r w:rsidRPr="00080D9C">
        <w:rPr>
          <w:lang w:val="en-US"/>
        </w:rPr>
        <w:t>, 7(8), pp.1–11. doi:10.53819/81018102t5286.</w:t>
      </w:r>
    </w:p>
    <w:p w14:paraId="35E173E3" w14:textId="77777777" w:rsidR="00080D9C" w:rsidRPr="00080D9C" w:rsidRDefault="00080D9C" w:rsidP="00080D9C">
      <w:pPr>
        <w:rPr>
          <w:lang w:val="en-US"/>
        </w:rPr>
      </w:pPr>
      <w:r w:rsidRPr="00080D9C">
        <w:rPr>
          <w:lang w:val="en-US"/>
        </w:rPr>
        <w:t>Suzuki Motor Corporation (2026). </w:t>
      </w:r>
      <w:r w:rsidRPr="00080D9C">
        <w:rPr>
          <w:i/>
          <w:iCs/>
          <w:lang w:val="en-US"/>
        </w:rPr>
        <w:t>Mission Statement | Global Suzuki</w:t>
      </w:r>
      <w:r w:rsidRPr="00080D9C">
        <w:rPr>
          <w:lang w:val="en-US"/>
        </w:rPr>
        <w:t xml:space="preserve">. [online] Www.globalsuzuki.com. Available at: </w:t>
      </w:r>
      <w:hyperlink r:id="rId49" w:history="1">
        <w:r w:rsidRPr="00080D9C">
          <w:rPr>
            <w:rStyle w:val="Hyperlink"/>
            <w:lang w:val="en-US"/>
          </w:rPr>
          <w:t>https://www.globalsuzuki.com/corporate/message/mission/index.html</w:t>
        </w:r>
      </w:hyperlink>
    </w:p>
    <w:p w14:paraId="25279C77" w14:textId="77777777" w:rsidR="00080D9C" w:rsidRPr="00080D9C" w:rsidRDefault="00080D9C" w:rsidP="00080D9C">
      <w:pPr>
        <w:rPr>
          <w:lang w:val="en-US"/>
        </w:rPr>
      </w:pPr>
      <w:r w:rsidRPr="00080D9C">
        <w:rPr>
          <w:lang w:val="en-US"/>
        </w:rPr>
        <w:t>Suzuki Motorcycle India (2025). </w:t>
      </w:r>
      <w:r w:rsidRPr="00080D9C">
        <w:rPr>
          <w:i/>
          <w:iCs/>
          <w:lang w:val="en-US"/>
        </w:rPr>
        <w:t>About Suzuki Motorcycle India</w:t>
      </w:r>
      <w:r w:rsidRPr="00080D9C">
        <w:rPr>
          <w:lang w:val="en-US"/>
        </w:rPr>
        <w:t>. [online] </w:t>
      </w:r>
      <w:r w:rsidRPr="00080D9C">
        <w:rPr>
          <w:i/>
          <w:iCs/>
          <w:lang w:val="en-US"/>
        </w:rPr>
        <w:t>Suzukimotorcycle.co.in</w:t>
      </w:r>
      <w:r w:rsidRPr="00080D9C">
        <w:rPr>
          <w:lang w:val="en-US"/>
        </w:rPr>
        <w:t xml:space="preserve">. Available at: </w:t>
      </w:r>
      <w:hyperlink r:id="rId50" w:history="1">
        <w:r w:rsidRPr="00080D9C">
          <w:rPr>
            <w:rStyle w:val="Hyperlink"/>
            <w:lang w:val="en-US"/>
          </w:rPr>
          <w:t>https://www.suzukimotorcycle.co.in/about-us</w:t>
        </w:r>
      </w:hyperlink>
      <w:r w:rsidRPr="00080D9C">
        <w:rPr>
          <w:lang w:val="en-US"/>
        </w:rPr>
        <w:t>.</w:t>
      </w:r>
    </w:p>
    <w:p w14:paraId="7BAA4244" w14:textId="77777777" w:rsidR="00080D9C" w:rsidRPr="00080D9C" w:rsidRDefault="00080D9C" w:rsidP="00080D9C">
      <w:pPr>
        <w:rPr>
          <w:lang w:val="en-US"/>
        </w:rPr>
      </w:pPr>
      <w:r w:rsidRPr="00080D9C">
        <w:rPr>
          <w:lang w:val="en-US"/>
        </w:rPr>
        <w:t>Suzuki Motorcycle India (2026). </w:t>
      </w:r>
      <w:r w:rsidRPr="00080D9C">
        <w:rPr>
          <w:i/>
          <w:iCs/>
          <w:lang w:val="en-US"/>
        </w:rPr>
        <w:t>Suzuki Gixxer SF 250</w:t>
      </w:r>
      <w:r w:rsidRPr="00080D9C">
        <w:rPr>
          <w:lang w:val="en-US"/>
        </w:rPr>
        <w:t xml:space="preserve">. [online] SUZUKI MOTORCYCLE INDIA. Available at: </w:t>
      </w:r>
      <w:hyperlink r:id="rId51" w:history="1">
        <w:r w:rsidRPr="00080D9C">
          <w:rPr>
            <w:rStyle w:val="Hyperlink"/>
            <w:lang w:val="en-US"/>
          </w:rPr>
          <w:t>https://www.suzukimotorcycle.co.in/product-details/gixxer-sf-250</w:t>
        </w:r>
      </w:hyperlink>
      <w:r w:rsidRPr="00080D9C">
        <w:rPr>
          <w:lang w:val="en-US"/>
        </w:rPr>
        <w:t>.</w:t>
      </w:r>
    </w:p>
    <w:p w14:paraId="4DBD1E04" w14:textId="77777777" w:rsidR="00080D9C" w:rsidRPr="00080D9C" w:rsidRDefault="00080D9C" w:rsidP="00080D9C">
      <w:pPr>
        <w:rPr>
          <w:lang w:val="en-US"/>
        </w:rPr>
      </w:pPr>
      <w:r w:rsidRPr="00080D9C">
        <w:rPr>
          <w:lang w:val="en-US"/>
        </w:rPr>
        <w:t>Suzuki Motorcycle India (2026a). </w:t>
      </w:r>
      <w:r w:rsidRPr="00080D9C">
        <w:rPr>
          <w:i/>
          <w:iCs/>
          <w:lang w:val="en-US"/>
        </w:rPr>
        <w:t>Suzuki Gixxer SF 250</w:t>
      </w:r>
      <w:r w:rsidRPr="00080D9C">
        <w:rPr>
          <w:lang w:val="en-US"/>
        </w:rPr>
        <w:t xml:space="preserve">. [online] SUZUKI MOTORCYCLE INDIA. Available at: </w:t>
      </w:r>
      <w:hyperlink r:id="rId52" w:history="1">
        <w:r w:rsidRPr="00080D9C">
          <w:rPr>
            <w:rStyle w:val="Hyperlink"/>
            <w:lang w:val="en-US"/>
          </w:rPr>
          <w:t>https://www.suzukimotorcycle.co.in/product-details/gixxer-sf-250</w:t>
        </w:r>
      </w:hyperlink>
    </w:p>
    <w:p w14:paraId="6B356E45" w14:textId="77777777" w:rsidR="00080D9C" w:rsidRPr="00080D9C" w:rsidRDefault="00080D9C" w:rsidP="00080D9C">
      <w:pPr>
        <w:rPr>
          <w:lang w:val="en-US"/>
        </w:rPr>
      </w:pPr>
      <w:r w:rsidRPr="00080D9C">
        <w:rPr>
          <w:lang w:val="en-US"/>
        </w:rPr>
        <w:t>Suzuki Motorcycle India (2026b). </w:t>
      </w:r>
      <w:r w:rsidRPr="00080D9C">
        <w:rPr>
          <w:i/>
          <w:iCs/>
          <w:lang w:val="en-US"/>
        </w:rPr>
        <w:t>Suzuki Motorcycle India Media &amp; Press Kit</w:t>
      </w:r>
      <w:r w:rsidRPr="00080D9C">
        <w:rPr>
          <w:lang w:val="en-US"/>
        </w:rPr>
        <w:t xml:space="preserve">. [online] SUZUKI MOTORCYCLE INDIA. Available at: </w:t>
      </w:r>
      <w:hyperlink r:id="rId53" w:history="1">
        <w:r w:rsidRPr="00080D9C">
          <w:rPr>
            <w:rStyle w:val="Hyperlink"/>
            <w:lang w:val="en-US"/>
          </w:rPr>
          <w:t>https://www.suzukimotorcycle.co.in/media-kit</w:t>
        </w:r>
      </w:hyperlink>
      <w:r w:rsidRPr="00080D9C">
        <w:rPr>
          <w:lang w:val="en-US"/>
        </w:rPr>
        <w:t>.</w:t>
      </w:r>
    </w:p>
    <w:p w14:paraId="7BD43FB4" w14:textId="77777777" w:rsidR="00080D9C" w:rsidRPr="00080D9C" w:rsidRDefault="00080D9C" w:rsidP="00080D9C">
      <w:pPr>
        <w:rPr>
          <w:lang w:val="en-US"/>
        </w:rPr>
      </w:pPr>
      <w:r w:rsidRPr="00080D9C">
        <w:rPr>
          <w:lang w:val="en-US"/>
        </w:rPr>
        <w:t>The Company Check (2026). </w:t>
      </w:r>
      <w:r w:rsidRPr="00080D9C">
        <w:rPr>
          <w:i/>
          <w:iCs/>
          <w:lang w:val="en-US"/>
        </w:rPr>
        <w:t>Suzuki Motorcycle India Private Limited – FY 2026 profile</w:t>
      </w:r>
      <w:r w:rsidRPr="00080D9C">
        <w:rPr>
          <w:lang w:val="en-US"/>
        </w:rPr>
        <w:t xml:space="preserve">. [online] The Company Check. Available at: </w:t>
      </w:r>
      <w:hyperlink r:id="rId54" w:history="1">
        <w:r w:rsidRPr="00080D9C">
          <w:rPr>
            <w:rStyle w:val="Hyperlink"/>
            <w:lang w:val="en-US"/>
          </w:rPr>
          <w:t>https://www.thecompanycheck.com/company/suzuki-motorcycle-india-private-limited/U74899HR1997FTC132389</w:t>
        </w:r>
      </w:hyperlink>
      <w:r w:rsidRPr="00080D9C">
        <w:rPr>
          <w:lang w:val="en-US"/>
        </w:rPr>
        <w:t>.</w:t>
      </w:r>
    </w:p>
    <w:p w14:paraId="189CD94C" w14:textId="77777777" w:rsidR="00080D9C" w:rsidRPr="00080D9C" w:rsidRDefault="00080D9C" w:rsidP="00080D9C">
      <w:pPr>
        <w:rPr>
          <w:lang w:val="en-US"/>
        </w:rPr>
      </w:pPr>
      <w:r w:rsidRPr="00080D9C">
        <w:rPr>
          <w:lang w:val="en-US"/>
        </w:rPr>
        <w:t>Trading Economics (2026). </w:t>
      </w:r>
      <w:r w:rsidRPr="00080D9C">
        <w:rPr>
          <w:i/>
          <w:iCs/>
          <w:lang w:val="en-US"/>
        </w:rPr>
        <w:t>India interest rate</w:t>
      </w:r>
      <w:r w:rsidRPr="00080D9C">
        <w:rPr>
          <w:lang w:val="en-US"/>
        </w:rPr>
        <w:t>. [online] </w:t>
      </w:r>
      <w:r w:rsidRPr="00080D9C">
        <w:rPr>
          <w:i/>
          <w:iCs/>
          <w:lang w:val="en-US"/>
        </w:rPr>
        <w:t>Tradingeconomics.com</w:t>
      </w:r>
      <w:r w:rsidRPr="00080D9C">
        <w:rPr>
          <w:lang w:val="en-US"/>
        </w:rPr>
        <w:t xml:space="preserve">. TRADING ECONOMICS. Available at: </w:t>
      </w:r>
      <w:hyperlink r:id="rId55" w:history="1">
        <w:r w:rsidRPr="00080D9C">
          <w:rPr>
            <w:rStyle w:val="Hyperlink"/>
            <w:lang w:val="en-US"/>
          </w:rPr>
          <w:t>https://tradingeconomics.com/india/interest-rate</w:t>
        </w:r>
      </w:hyperlink>
      <w:r w:rsidRPr="00080D9C">
        <w:rPr>
          <w:lang w:val="en-US"/>
        </w:rPr>
        <w:t>.</w:t>
      </w:r>
    </w:p>
    <w:p w14:paraId="54490AA8" w14:textId="77777777" w:rsidR="00080D9C" w:rsidRPr="00080D9C" w:rsidRDefault="00080D9C" w:rsidP="00080D9C">
      <w:pPr>
        <w:rPr>
          <w:lang w:val="en-US"/>
        </w:rPr>
      </w:pPr>
      <w:r w:rsidRPr="00080D9C">
        <w:rPr>
          <w:lang w:val="en-US"/>
        </w:rPr>
        <w:t>TVS Motor Company. (2024). </w:t>
      </w:r>
      <w:r w:rsidRPr="00080D9C">
        <w:rPr>
          <w:i/>
          <w:iCs/>
          <w:lang w:val="en-US"/>
        </w:rPr>
        <w:t>TVS apache RR 310 BS6: Price, mileage, colors, features &amp; specs</w:t>
      </w:r>
      <w:r w:rsidRPr="00080D9C">
        <w:rPr>
          <w:lang w:val="en-US"/>
        </w:rPr>
        <w:t xml:space="preserve">. [online] Available at: </w:t>
      </w:r>
      <w:hyperlink r:id="rId56" w:history="1">
        <w:r w:rsidRPr="00080D9C">
          <w:rPr>
            <w:rStyle w:val="Hyperlink"/>
            <w:lang w:val="en-US"/>
          </w:rPr>
          <w:t>https://www.tvsmotor.com/tvs-apache/super-premium/rr-310%20</w:t>
        </w:r>
      </w:hyperlink>
      <w:r w:rsidRPr="00080D9C">
        <w:rPr>
          <w:lang w:val="en-US"/>
        </w:rPr>
        <w:t>.</w:t>
      </w:r>
    </w:p>
    <w:p w14:paraId="112AA4E7" w14:textId="77777777" w:rsidR="00080D9C" w:rsidRPr="00CB6CD7" w:rsidRDefault="00080D9C" w:rsidP="00080D9C">
      <w:pPr>
        <w:rPr>
          <w:lang w:val="en-US"/>
        </w:rPr>
      </w:pPr>
      <w:r w:rsidRPr="00080D9C">
        <w:rPr>
          <w:lang w:val="en-US"/>
        </w:rPr>
        <w:t xml:space="preserve">Utami, H. and Alamanos, E. (2023). Resource-based theory: a review, </w:t>
      </w:r>
      <w:r w:rsidRPr="00080D9C">
        <w:rPr>
          <w:i/>
          <w:iCs/>
          <w:lang w:val="en-US"/>
        </w:rPr>
        <w:t>TheoryHub</w:t>
      </w:r>
      <w:r w:rsidRPr="00080D9C">
        <w:rPr>
          <w:lang w:val="en-US"/>
        </w:rPr>
        <w:t>. Available at: https://open.ncl.ac.uk/theories/4/resource-based-theory/</w:t>
      </w:r>
    </w:p>
    <w:p w14:paraId="2C04EB8A" w14:textId="77777777" w:rsidR="00080D9C" w:rsidRPr="00080D9C" w:rsidRDefault="00080D9C" w:rsidP="00080D9C"/>
    <w:p w14:paraId="53CCDAC2" w14:textId="77777777" w:rsidR="00080D9C" w:rsidRPr="00534BDA" w:rsidRDefault="00080D9C" w:rsidP="00534BDA"/>
    <w:sectPr w:rsidR="00080D9C" w:rsidRPr="00534BDA">
      <w:footerReference w:type="default" r:id="rId5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24072E" w14:textId="77777777" w:rsidR="003126D0" w:rsidRDefault="003126D0" w:rsidP="00080D9C">
      <w:pPr>
        <w:spacing w:after="0" w:line="240" w:lineRule="auto"/>
      </w:pPr>
      <w:r>
        <w:separator/>
      </w:r>
    </w:p>
  </w:endnote>
  <w:endnote w:type="continuationSeparator" w:id="0">
    <w:p w14:paraId="3FD98DAE" w14:textId="77777777" w:rsidR="003126D0" w:rsidRDefault="003126D0" w:rsidP="00080D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6864164"/>
      <w:docPartObj>
        <w:docPartGallery w:val="Page Numbers (Bottom of Page)"/>
        <w:docPartUnique/>
      </w:docPartObj>
    </w:sdtPr>
    <w:sdtEndPr>
      <w:rPr>
        <w:noProof/>
      </w:rPr>
    </w:sdtEndPr>
    <w:sdtContent>
      <w:p w14:paraId="15A24CF1" w14:textId="77777777" w:rsidR="00080D9C" w:rsidRDefault="00080D9C">
        <w:pPr>
          <w:pStyle w:val="Footer"/>
          <w:jc w:val="right"/>
        </w:pPr>
        <w:r>
          <w:fldChar w:fldCharType="begin"/>
        </w:r>
        <w:r>
          <w:instrText xml:space="preserve"> PAGE   \* MERGEFORMAT </w:instrText>
        </w:r>
        <w:r>
          <w:fldChar w:fldCharType="separate"/>
        </w:r>
        <w:r w:rsidR="00F00B1C">
          <w:rPr>
            <w:noProof/>
          </w:rPr>
          <w:t>2</w:t>
        </w:r>
        <w:r>
          <w:rPr>
            <w:noProof/>
          </w:rPr>
          <w:fldChar w:fldCharType="end"/>
        </w:r>
      </w:p>
    </w:sdtContent>
  </w:sdt>
  <w:p w14:paraId="0E6E7233" w14:textId="77777777" w:rsidR="00080D9C" w:rsidRDefault="00080D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17F068" w14:textId="77777777" w:rsidR="003126D0" w:rsidRDefault="003126D0" w:rsidP="00080D9C">
      <w:pPr>
        <w:spacing w:after="0" w:line="240" w:lineRule="auto"/>
      </w:pPr>
      <w:r>
        <w:separator/>
      </w:r>
    </w:p>
  </w:footnote>
  <w:footnote w:type="continuationSeparator" w:id="0">
    <w:p w14:paraId="3E3C04F1" w14:textId="77777777" w:rsidR="003126D0" w:rsidRDefault="003126D0" w:rsidP="00080D9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E7B784F"/>
    <w:multiLevelType w:val="multilevel"/>
    <w:tmpl w:val="EA0A1218"/>
    <w:lvl w:ilvl="0">
      <w:start w:val="1"/>
      <w:numFmt w:val="decimal"/>
      <w:lvlText w:val="%1."/>
      <w:lvlJc w:val="left"/>
      <w:pPr>
        <w:ind w:left="720" w:hanging="360"/>
      </w:pPr>
      <w:rPr>
        <w:rFonts w:hint="default"/>
      </w:r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16cid:durableId="16598463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13069"/>
    <w:rsid w:val="000157B8"/>
    <w:rsid w:val="00020323"/>
    <w:rsid w:val="00080D9C"/>
    <w:rsid w:val="00097A1A"/>
    <w:rsid w:val="000D54C5"/>
    <w:rsid w:val="00111562"/>
    <w:rsid w:val="001620EB"/>
    <w:rsid w:val="001841A2"/>
    <w:rsid w:val="0023251F"/>
    <w:rsid w:val="003126D0"/>
    <w:rsid w:val="00313069"/>
    <w:rsid w:val="00376AF8"/>
    <w:rsid w:val="004453BD"/>
    <w:rsid w:val="004631C8"/>
    <w:rsid w:val="0049660B"/>
    <w:rsid w:val="00534BDA"/>
    <w:rsid w:val="005F5C79"/>
    <w:rsid w:val="00636307"/>
    <w:rsid w:val="006E3436"/>
    <w:rsid w:val="006F344B"/>
    <w:rsid w:val="006F6D53"/>
    <w:rsid w:val="008062DB"/>
    <w:rsid w:val="008110D4"/>
    <w:rsid w:val="0082353F"/>
    <w:rsid w:val="00A906F3"/>
    <w:rsid w:val="00A914F5"/>
    <w:rsid w:val="00AA4C2B"/>
    <w:rsid w:val="00BD3A4F"/>
    <w:rsid w:val="00C32645"/>
    <w:rsid w:val="00D12C2A"/>
    <w:rsid w:val="00D21832"/>
    <w:rsid w:val="00D73C6E"/>
    <w:rsid w:val="00D97E8D"/>
    <w:rsid w:val="00DE5E41"/>
    <w:rsid w:val="00F00B1C"/>
    <w:rsid w:val="00F9304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16C484"/>
  <w15:chartTrackingRefBased/>
  <w15:docId w15:val="{F62E6FD1-C578-4A03-92F9-B7CE98874A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0323"/>
    <w:pPr>
      <w:spacing w:line="360" w:lineRule="auto"/>
      <w:jc w:val="both"/>
    </w:pPr>
    <w:rPr>
      <w:rFonts w:ascii="Arial" w:hAnsi="Arial"/>
      <w:sz w:val="24"/>
      <w:lang w:val="en-GB"/>
    </w:rPr>
  </w:style>
  <w:style w:type="paragraph" w:styleId="Heading1">
    <w:name w:val="heading 1"/>
    <w:basedOn w:val="Normal"/>
    <w:next w:val="Normal"/>
    <w:link w:val="Heading1Char"/>
    <w:autoRedefine/>
    <w:uiPriority w:val="9"/>
    <w:qFormat/>
    <w:rsid w:val="00020323"/>
    <w:pPr>
      <w:keepNext/>
      <w:keepLines/>
      <w:spacing w:before="240" w:after="0"/>
      <w:outlineLvl w:val="0"/>
    </w:pPr>
    <w:rPr>
      <w:rFonts w:eastAsiaTheme="majorEastAsia" w:cstheme="majorBidi"/>
      <w:b/>
      <w:color w:val="002060"/>
      <w:sz w:val="32"/>
      <w:szCs w:val="32"/>
    </w:rPr>
  </w:style>
  <w:style w:type="paragraph" w:styleId="Heading2">
    <w:name w:val="heading 2"/>
    <w:basedOn w:val="Normal"/>
    <w:next w:val="Normal"/>
    <w:link w:val="Heading2Char"/>
    <w:autoRedefine/>
    <w:uiPriority w:val="9"/>
    <w:unhideWhenUsed/>
    <w:qFormat/>
    <w:rsid w:val="00020323"/>
    <w:pPr>
      <w:keepNext/>
      <w:keepLines/>
      <w:spacing w:before="40" w:after="0"/>
      <w:outlineLvl w:val="1"/>
    </w:pPr>
    <w:rPr>
      <w:rFonts w:eastAsiaTheme="majorEastAsia" w:cstheme="majorBidi"/>
      <w:b/>
      <w:color w:val="2E74B5" w:themeColor="accent1" w:themeShade="BF"/>
      <w:sz w:val="28"/>
      <w:szCs w:val="26"/>
    </w:rPr>
  </w:style>
  <w:style w:type="paragraph" w:styleId="Heading3">
    <w:name w:val="heading 3"/>
    <w:basedOn w:val="Normal"/>
    <w:next w:val="Normal"/>
    <w:link w:val="Heading3Char"/>
    <w:uiPriority w:val="9"/>
    <w:unhideWhenUsed/>
    <w:qFormat/>
    <w:rsid w:val="00DE5E41"/>
    <w:pPr>
      <w:keepNext/>
      <w:keepLines/>
      <w:spacing w:before="40" w:after="0"/>
      <w:outlineLvl w:val="2"/>
    </w:pPr>
    <w:rPr>
      <w:rFonts w:eastAsiaTheme="majorEastAsia" w:cstheme="majorBidi"/>
      <w:b/>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0323"/>
    <w:rPr>
      <w:rFonts w:ascii="Arial" w:eastAsiaTheme="majorEastAsia" w:hAnsi="Arial" w:cstheme="majorBidi"/>
      <w:b/>
      <w:color w:val="002060"/>
      <w:sz w:val="32"/>
      <w:szCs w:val="32"/>
    </w:rPr>
  </w:style>
  <w:style w:type="character" w:customStyle="1" w:styleId="Heading2Char">
    <w:name w:val="Heading 2 Char"/>
    <w:basedOn w:val="DefaultParagraphFont"/>
    <w:link w:val="Heading2"/>
    <w:uiPriority w:val="9"/>
    <w:rsid w:val="00020323"/>
    <w:rPr>
      <w:rFonts w:ascii="Arial" w:eastAsiaTheme="majorEastAsia" w:hAnsi="Arial" w:cstheme="majorBidi"/>
      <w:b/>
      <w:color w:val="2E74B5" w:themeColor="accent1" w:themeShade="BF"/>
      <w:sz w:val="28"/>
      <w:szCs w:val="26"/>
    </w:rPr>
  </w:style>
  <w:style w:type="paragraph" w:styleId="ListParagraph">
    <w:name w:val="List Paragraph"/>
    <w:basedOn w:val="Normal"/>
    <w:uiPriority w:val="34"/>
    <w:qFormat/>
    <w:rsid w:val="00DE5E41"/>
    <w:pPr>
      <w:ind w:left="720"/>
      <w:contextualSpacing/>
    </w:pPr>
  </w:style>
  <w:style w:type="paragraph" w:styleId="Caption">
    <w:name w:val="caption"/>
    <w:basedOn w:val="Normal"/>
    <w:next w:val="Normal"/>
    <w:uiPriority w:val="35"/>
    <w:unhideWhenUsed/>
    <w:qFormat/>
    <w:rsid w:val="00DE5E41"/>
    <w:pPr>
      <w:spacing w:after="200" w:line="240" w:lineRule="auto"/>
    </w:pPr>
    <w:rPr>
      <w:i/>
      <w:iCs/>
      <w:color w:val="44546A" w:themeColor="text2"/>
      <w:sz w:val="18"/>
      <w:szCs w:val="18"/>
    </w:rPr>
  </w:style>
  <w:style w:type="character" w:customStyle="1" w:styleId="Heading3Char">
    <w:name w:val="Heading 3 Char"/>
    <w:basedOn w:val="DefaultParagraphFont"/>
    <w:link w:val="Heading3"/>
    <w:uiPriority w:val="9"/>
    <w:rsid w:val="00DE5E41"/>
    <w:rPr>
      <w:rFonts w:ascii="Arial" w:eastAsiaTheme="majorEastAsia" w:hAnsi="Arial" w:cstheme="majorBidi"/>
      <w:b/>
      <w:color w:val="000000" w:themeColor="text1"/>
      <w:sz w:val="24"/>
      <w:szCs w:val="24"/>
      <w:lang w:val="en-GB"/>
    </w:rPr>
  </w:style>
  <w:style w:type="character" w:styleId="Strong">
    <w:name w:val="Strong"/>
    <w:basedOn w:val="DefaultParagraphFont"/>
    <w:uiPriority w:val="22"/>
    <w:qFormat/>
    <w:rsid w:val="00DE5E41"/>
    <w:rPr>
      <w:b/>
      <w:bCs/>
    </w:rPr>
  </w:style>
  <w:style w:type="table" w:styleId="GridTable4-Accent3">
    <w:name w:val="Grid Table 4 Accent 3"/>
    <w:basedOn w:val="TableNormal"/>
    <w:uiPriority w:val="49"/>
    <w:rsid w:val="00DE5E41"/>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paragraph" w:customStyle="1" w:styleId="Compact">
    <w:name w:val="Compact"/>
    <w:basedOn w:val="BodyText"/>
    <w:qFormat/>
    <w:rsid w:val="00A906F3"/>
    <w:pPr>
      <w:spacing w:before="36" w:after="36" w:line="240" w:lineRule="auto"/>
      <w:jc w:val="left"/>
    </w:pPr>
    <w:rPr>
      <w:rFonts w:asciiTheme="minorHAnsi" w:hAnsiTheme="minorHAnsi"/>
      <w:szCs w:val="24"/>
      <w:lang w:val="en-US"/>
    </w:rPr>
  </w:style>
  <w:style w:type="table" w:customStyle="1" w:styleId="Table">
    <w:name w:val="Table"/>
    <w:semiHidden/>
    <w:unhideWhenUsed/>
    <w:qFormat/>
    <w:rsid w:val="00A906F3"/>
    <w:pPr>
      <w:spacing w:after="200" w:line="240" w:lineRule="auto"/>
    </w:pPr>
    <w:rPr>
      <w:sz w:val="24"/>
      <w:szCs w:val="24"/>
    </w:rPr>
    <w:tblPr>
      <w:tblInd w:w="0" w:type="dxa"/>
      <w:tblCellMar>
        <w:top w:w="0" w:type="dxa"/>
        <w:left w:w="108" w:type="dxa"/>
        <w:bottom w:w="0" w:type="dxa"/>
        <w:right w:w="108" w:type="dxa"/>
      </w:tblCellMar>
    </w:tblPr>
    <w:tblStylePr w:type="firstRow">
      <w:tblPr>
        <w:jc w:val="left"/>
      </w:tblPr>
      <w:trPr>
        <w:jc w:val="left"/>
      </w:trPr>
      <w:tcPr>
        <w:tcBorders>
          <w:bottom w:val="single" w:sz="0" w:space="0" w:color="auto"/>
        </w:tcBorders>
        <w:vAlign w:val="bottom"/>
      </w:tcPr>
    </w:tblStylePr>
  </w:style>
  <w:style w:type="paragraph" w:styleId="BodyText">
    <w:name w:val="Body Text"/>
    <w:basedOn w:val="Normal"/>
    <w:link w:val="BodyTextChar"/>
    <w:uiPriority w:val="99"/>
    <w:semiHidden/>
    <w:unhideWhenUsed/>
    <w:rsid w:val="00A906F3"/>
    <w:pPr>
      <w:spacing w:after="120"/>
    </w:pPr>
  </w:style>
  <w:style w:type="character" w:customStyle="1" w:styleId="BodyTextChar">
    <w:name w:val="Body Text Char"/>
    <w:basedOn w:val="DefaultParagraphFont"/>
    <w:link w:val="BodyText"/>
    <w:uiPriority w:val="99"/>
    <w:semiHidden/>
    <w:rsid w:val="00A906F3"/>
    <w:rPr>
      <w:rFonts w:ascii="Arial" w:hAnsi="Arial"/>
      <w:sz w:val="24"/>
      <w:lang w:val="en-GB"/>
    </w:rPr>
  </w:style>
  <w:style w:type="paragraph" w:styleId="Header">
    <w:name w:val="header"/>
    <w:basedOn w:val="Normal"/>
    <w:link w:val="HeaderChar"/>
    <w:uiPriority w:val="99"/>
    <w:unhideWhenUsed/>
    <w:rsid w:val="00080D9C"/>
    <w:pPr>
      <w:tabs>
        <w:tab w:val="center" w:pos="4680"/>
        <w:tab w:val="right" w:pos="9360"/>
      </w:tabs>
      <w:spacing w:after="0" w:line="240" w:lineRule="auto"/>
    </w:pPr>
  </w:style>
  <w:style w:type="character" w:customStyle="1" w:styleId="HeaderChar">
    <w:name w:val="Header Char"/>
    <w:basedOn w:val="DefaultParagraphFont"/>
    <w:link w:val="Header"/>
    <w:uiPriority w:val="99"/>
    <w:rsid w:val="00080D9C"/>
    <w:rPr>
      <w:rFonts w:ascii="Arial" w:hAnsi="Arial"/>
      <w:sz w:val="24"/>
      <w:lang w:val="en-GB"/>
    </w:rPr>
  </w:style>
  <w:style w:type="paragraph" w:styleId="Footer">
    <w:name w:val="footer"/>
    <w:basedOn w:val="Normal"/>
    <w:link w:val="FooterChar"/>
    <w:uiPriority w:val="99"/>
    <w:unhideWhenUsed/>
    <w:rsid w:val="00080D9C"/>
    <w:pPr>
      <w:tabs>
        <w:tab w:val="center" w:pos="4680"/>
        <w:tab w:val="right" w:pos="9360"/>
      </w:tabs>
      <w:spacing w:after="0" w:line="240" w:lineRule="auto"/>
    </w:pPr>
  </w:style>
  <w:style w:type="character" w:customStyle="1" w:styleId="FooterChar">
    <w:name w:val="Footer Char"/>
    <w:basedOn w:val="DefaultParagraphFont"/>
    <w:link w:val="Footer"/>
    <w:uiPriority w:val="99"/>
    <w:rsid w:val="00080D9C"/>
    <w:rPr>
      <w:rFonts w:ascii="Arial" w:hAnsi="Arial"/>
      <w:sz w:val="24"/>
      <w:lang w:val="en-GB"/>
    </w:rPr>
  </w:style>
  <w:style w:type="character" w:styleId="Hyperlink">
    <w:name w:val="Hyperlink"/>
    <w:basedOn w:val="DefaultParagraphFont"/>
    <w:uiPriority w:val="99"/>
    <w:unhideWhenUsed/>
    <w:rsid w:val="00080D9C"/>
    <w:rPr>
      <w:color w:val="0563C1" w:themeColor="hyperlink"/>
      <w:u w:val="single"/>
    </w:rPr>
  </w:style>
  <w:style w:type="paragraph" w:styleId="TOCHeading">
    <w:name w:val="TOC Heading"/>
    <w:basedOn w:val="Heading1"/>
    <w:next w:val="Normal"/>
    <w:uiPriority w:val="39"/>
    <w:unhideWhenUsed/>
    <w:qFormat/>
    <w:rsid w:val="00080D9C"/>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080D9C"/>
    <w:pPr>
      <w:spacing w:after="100"/>
    </w:pPr>
  </w:style>
  <w:style w:type="paragraph" w:styleId="TOC2">
    <w:name w:val="toc 2"/>
    <w:basedOn w:val="Normal"/>
    <w:next w:val="Normal"/>
    <w:autoRedefine/>
    <w:uiPriority w:val="39"/>
    <w:unhideWhenUsed/>
    <w:rsid w:val="00080D9C"/>
    <w:pPr>
      <w:spacing w:after="100"/>
      <w:ind w:left="240"/>
    </w:pPr>
  </w:style>
  <w:style w:type="paragraph" w:styleId="TOC3">
    <w:name w:val="toc 3"/>
    <w:basedOn w:val="Normal"/>
    <w:next w:val="Normal"/>
    <w:autoRedefine/>
    <w:uiPriority w:val="39"/>
    <w:unhideWhenUsed/>
    <w:rsid w:val="00080D9C"/>
    <w:pPr>
      <w:spacing w:after="100"/>
      <w:ind w:left="480"/>
    </w:pPr>
  </w:style>
  <w:style w:type="paragraph" w:styleId="TableofFigures">
    <w:name w:val="table of figures"/>
    <w:basedOn w:val="Normal"/>
    <w:next w:val="Normal"/>
    <w:uiPriority w:val="99"/>
    <w:unhideWhenUsed/>
    <w:rsid w:val="00080D9C"/>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9584579">
      <w:bodyDiv w:val="1"/>
      <w:marLeft w:val="0"/>
      <w:marRight w:val="0"/>
      <w:marTop w:val="0"/>
      <w:marBottom w:val="0"/>
      <w:divBdr>
        <w:top w:val="none" w:sz="0" w:space="0" w:color="auto"/>
        <w:left w:val="none" w:sz="0" w:space="0" w:color="auto"/>
        <w:bottom w:val="none" w:sz="0" w:space="0" w:color="auto"/>
        <w:right w:val="none" w:sz="0" w:space="0" w:color="auto"/>
      </w:divBdr>
    </w:div>
    <w:div w:id="922255101">
      <w:bodyDiv w:val="1"/>
      <w:marLeft w:val="0"/>
      <w:marRight w:val="0"/>
      <w:marTop w:val="0"/>
      <w:marBottom w:val="0"/>
      <w:divBdr>
        <w:top w:val="none" w:sz="0" w:space="0" w:color="auto"/>
        <w:left w:val="none" w:sz="0" w:space="0" w:color="auto"/>
        <w:bottom w:val="none" w:sz="0" w:space="0" w:color="auto"/>
        <w:right w:val="none" w:sz="0" w:space="0" w:color="auto"/>
      </w:divBdr>
    </w:div>
    <w:div w:id="9573730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diagramLayout" Target="diagrams/layout1.xml"/><Relationship Id="rId26" Type="http://schemas.openxmlformats.org/officeDocument/2006/relationships/diagramColors" Target="diagrams/colors2.xml"/><Relationship Id="rId39" Type="http://schemas.openxmlformats.org/officeDocument/2006/relationships/hyperlink" Target="https://www.motorcycle.com/shoot-outs/seven-liter-bikes-that-left-me-weak-in-the-knee-pucks-a-sicilian-love-affair" TargetMode="External"/><Relationship Id="rId21" Type="http://schemas.microsoft.com/office/2007/relationships/diagramDrawing" Target="diagrams/drawing1.xml"/><Relationship Id="rId34" Type="http://schemas.openxmlformats.org/officeDocument/2006/relationships/hyperlink" Target="https://cleanmobilityshift.com/market-trends/how-a-decade-of-subsidy-support-has-driven-indias-ev-journey/" TargetMode="External"/><Relationship Id="rId42" Type="http://schemas.openxmlformats.org/officeDocument/2006/relationships/hyperlink" Target="https://www.timesdrive.in/web-stories/5-exciting-competitors-to-pulsar-rs200-under-rs-2-lakh/photostory/151147329.cms" TargetMode="External"/><Relationship Id="rId47" Type="http://schemas.openxmlformats.org/officeDocument/2006/relationships/hyperlink" Target="https://righttorepairindia.gov.in/product/10075" TargetMode="External"/><Relationship Id="rId50" Type="http://schemas.openxmlformats.org/officeDocument/2006/relationships/hyperlink" Target="https://www.suzukimotorcycle.co.in/about-us" TargetMode="External"/><Relationship Id="rId55" Type="http://schemas.openxmlformats.org/officeDocument/2006/relationships/hyperlink" Target="https://tradingeconomics.com/india/interest-rate"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diagramLayout" Target="diagrams/layout3.xml"/><Relationship Id="rId11" Type="http://schemas.openxmlformats.org/officeDocument/2006/relationships/image" Target="media/image4.jpeg"/><Relationship Id="rId24" Type="http://schemas.openxmlformats.org/officeDocument/2006/relationships/diagramLayout" Target="diagrams/layout2.xml"/><Relationship Id="rId32" Type="http://schemas.microsoft.com/office/2007/relationships/diagramDrawing" Target="diagrams/drawing3.xml"/><Relationship Id="rId37" Type="http://schemas.openxmlformats.org/officeDocument/2006/relationships/hyperlink" Target="https://bikeadvice.in/2026-suzuki-gixxer-sf-250-gixxer-250-launched-in-india/" TargetMode="External"/><Relationship Id="rId40" Type="http://schemas.openxmlformats.org/officeDocument/2006/relationships/hyperlink" Target="https://newsonair.gov.in/rbi-keeps-repo-rate-unchanged-at-5-25-retains-neutral-stance/" TargetMode="External"/><Relationship Id="rId45" Type="http://schemas.openxmlformats.org/officeDocument/2006/relationships/hyperlink" Target="https://www.rbi.org.in/" TargetMode="External"/><Relationship Id="rId53" Type="http://schemas.openxmlformats.org/officeDocument/2006/relationships/hyperlink" Target="https://www.suzukimotorcycle.co.in/media-kit" TargetMode="External"/><Relationship Id="rId58" Type="http://schemas.openxmlformats.org/officeDocument/2006/relationships/fontTable" Target="fontTable.xml"/><Relationship Id="rId5" Type="http://schemas.openxmlformats.org/officeDocument/2006/relationships/webSettings" Target="webSettings.xml"/><Relationship Id="rId19"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image" Target="media/image14.png"/><Relationship Id="rId27" Type="http://schemas.microsoft.com/office/2007/relationships/diagramDrawing" Target="diagrams/drawing2.xml"/><Relationship Id="rId30" Type="http://schemas.openxmlformats.org/officeDocument/2006/relationships/diagramQuickStyle" Target="diagrams/quickStyle3.xml"/><Relationship Id="rId35" Type="http://schemas.openxmlformats.org/officeDocument/2006/relationships/hyperlink" Target="https://auto.economictimes.indiatimes.com/news/two-wheelers/indias-premium-motorcycle-market-surges-consumer-trends-transforming-the-two-wheeler-landscape/122377113" TargetMode="External"/><Relationship Id="rId43" Type="http://schemas.openxmlformats.org/officeDocument/2006/relationships/hyperlink" Target="https://www.timesdrive.in/news/2026-suzuki-gixxer-sf-250-gixxer-250-launched-in-india-at-rs-1-81-lakh-gets-new-colours-article-153451109" TargetMode="External"/><Relationship Id="rId48" Type="http://schemas.openxmlformats.org/officeDocument/2006/relationships/hyperlink" Target="https://www.siam.in/pressrelease-details.aspx?mpgid=48&amp;pgidtrail=50&amp;pid=591" TargetMode="External"/><Relationship Id="rId56" Type="http://schemas.openxmlformats.org/officeDocument/2006/relationships/hyperlink" Target="https://www.tvsmotor.com/tvs-apache/super-premium/rr-310%20" TargetMode="External"/><Relationship Id="rId8" Type="http://schemas.openxmlformats.org/officeDocument/2006/relationships/image" Target="media/image1.png"/><Relationship Id="rId51" Type="http://schemas.openxmlformats.org/officeDocument/2006/relationships/hyperlink" Target="https://www.suzukimotorcycle.co.in/product-details/gixxer-sf-250"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diagramData" Target="diagrams/data1.xml"/><Relationship Id="rId25" Type="http://schemas.openxmlformats.org/officeDocument/2006/relationships/diagramQuickStyle" Target="diagrams/quickStyle2.xml"/><Relationship Id="rId33" Type="http://schemas.openxmlformats.org/officeDocument/2006/relationships/hyperlink" Target="https://www.bikedekho.com/suzuki/gixxer-sf-250" TargetMode="External"/><Relationship Id="rId38" Type="http://schemas.openxmlformats.org/officeDocument/2006/relationships/hyperlink" Target="https://jameelmotors.com/en/insights/exploring-indias-ev-transition/" TargetMode="External"/><Relationship Id="rId46" Type="http://schemas.openxmlformats.org/officeDocument/2006/relationships/hyperlink" Target="https://www.revoltmotors.com/blog/government-policies-supporting-electric-2-wheelers" TargetMode="External"/><Relationship Id="rId59" Type="http://schemas.openxmlformats.org/officeDocument/2006/relationships/theme" Target="theme/theme1.xml"/><Relationship Id="rId20" Type="http://schemas.openxmlformats.org/officeDocument/2006/relationships/diagramColors" Target="diagrams/colors1.xml"/><Relationship Id="rId41" Type="http://schemas.openxmlformats.org/officeDocument/2006/relationships/hyperlink" Target="https://www.pib.gov.in/FactsheetDetails.aspx?Id=150328&amp;reg=48&amp;lang=2" TargetMode="External"/><Relationship Id="rId54" Type="http://schemas.openxmlformats.org/officeDocument/2006/relationships/hyperlink" Target="https://www.thecompanycheck.com/company/suzuki-motorcycle-india-private-limited/U74899HR1997FTC132389"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diagramData" Target="diagrams/data2.xml"/><Relationship Id="rId28" Type="http://schemas.openxmlformats.org/officeDocument/2006/relationships/diagramData" Target="diagrams/data3.xml"/><Relationship Id="rId36" Type="http://schemas.openxmlformats.org/officeDocument/2006/relationships/hyperlink" Target="https://fasterwheeler.com/in/bikes/suzuki-gixxer-sf-250-10235" TargetMode="External"/><Relationship Id="rId49" Type="http://schemas.openxmlformats.org/officeDocument/2006/relationships/hyperlink" Target="https://www.globalsuzuki.com/corporate/message/mission/index.html" TargetMode="External"/><Relationship Id="rId57" Type="http://schemas.openxmlformats.org/officeDocument/2006/relationships/footer" Target="footer1.xml"/><Relationship Id="rId10" Type="http://schemas.openxmlformats.org/officeDocument/2006/relationships/image" Target="media/image3.png"/><Relationship Id="rId31" Type="http://schemas.openxmlformats.org/officeDocument/2006/relationships/diagramColors" Target="diagrams/colors3.xml"/><Relationship Id="rId44" Type="http://schemas.openxmlformats.org/officeDocument/2006/relationships/hyperlink" Target="https://plutusias.com/indias-push-beyond-e20-fuel-reasons-pitfalls-and-the-flex-fuel-future/" TargetMode="External"/><Relationship Id="rId52" Type="http://schemas.openxmlformats.org/officeDocument/2006/relationships/hyperlink" Target="https://www.suzukimotorcycle.co.in/product-details/gixxer-sf-250" TargetMode="External"/></Relationships>
</file>

<file path=word/diagrams/_rels/data1.xml.rels><?xml version="1.0" encoding="UTF-8" standalone="yes"?>
<Relationships xmlns="http://schemas.openxmlformats.org/package/2006/relationships"><Relationship Id="rId3" Type="http://schemas.openxmlformats.org/officeDocument/2006/relationships/image" Target="../media/image12.png"/><Relationship Id="rId2" Type="http://schemas.openxmlformats.org/officeDocument/2006/relationships/image" Target="../media/image11.png"/><Relationship Id="rId1" Type="http://schemas.openxmlformats.org/officeDocument/2006/relationships/image" Target="../media/image10.png"/><Relationship Id="rId4" Type="http://schemas.openxmlformats.org/officeDocument/2006/relationships/image" Target="../media/image13.png"/></Relationships>
</file>

<file path=word/diagrams/_rels/drawing1.xml.rels><?xml version="1.0" encoding="UTF-8" standalone="yes"?>
<Relationships xmlns="http://schemas.openxmlformats.org/package/2006/relationships"><Relationship Id="rId3" Type="http://schemas.openxmlformats.org/officeDocument/2006/relationships/image" Target="../media/image12.png"/><Relationship Id="rId2" Type="http://schemas.openxmlformats.org/officeDocument/2006/relationships/image" Target="../media/image11.png"/><Relationship Id="rId1" Type="http://schemas.openxmlformats.org/officeDocument/2006/relationships/image" Target="../media/image10.png"/><Relationship Id="rId4" Type="http://schemas.openxmlformats.org/officeDocument/2006/relationships/image" Target="../media/image13.png"/></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3_1">
  <dgm:title val=""/>
  <dgm:desc val=""/>
  <dgm:catLst>
    <dgm:cat type="accent3" pri="11100"/>
  </dgm:catLst>
  <dgm:styleLbl name="node0">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3">
        <a:shade val="80000"/>
      </a:schemeClr>
    </dgm:linClrLst>
    <dgm:effectClrLst/>
    <dgm:txLinClrLst/>
    <dgm:txFillClrLst/>
    <dgm:txEffectClrLst/>
  </dgm:styleLbl>
  <dgm:styleLbl name="node2">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fg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align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bg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fg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bg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sibTrans1D1">
    <dgm:fillClrLst meth="repeat">
      <a:schemeClr val="accent3"/>
    </dgm:fillClrLst>
    <dgm:linClrLst meth="repeat">
      <a:schemeClr val="accent3"/>
    </dgm:linClrLst>
    <dgm:effectClrLst/>
    <dgm:txLinClrLst/>
    <dgm:txFillClrLst meth="repeat">
      <a:schemeClr val="tx1"/>
    </dgm:txFillClrLst>
    <dgm:txEffectClrLst/>
  </dgm:styleLbl>
  <dgm:styleLbl name="callout">
    <dgm:fillClrLst meth="repeat">
      <a:schemeClr val="accent3"/>
    </dgm:fillClrLst>
    <dgm:linClrLst meth="repeat">
      <a:schemeClr val="accent3"/>
    </dgm:linClrLst>
    <dgm:effectClrLst/>
    <dgm:txLinClrLst/>
    <dgm:txFillClrLst meth="repeat">
      <a:schemeClr val="tx1"/>
    </dgm:txFillClrLst>
    <dgm:txEffectClrLst/>
  </dgm:styleLbl>
  <dgm:styleLbl name="asst0">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parChTrans2D1">
    <dgm:fillClrLst meth="repeat">
      <a:schemeClr val="accent3">
        <a:tint val="60000"/>
      </a:schemeClr>
    </dgm:fillClrLst>
    <dgm:linClrLst meth="repeat">
      <a:schemeClr val="accent3">
        <a:tint val="60000"/>
      </a:schemeClr>
    </dgm:linClrLst>
    <dgm:effectClrLst/>
    <dgm:txLinClrLst/>
    <dgm:txFillClrLst/>
    <dgm:txEffectClrLst/>
  </dgm:styleLbl>
  <dgm:styleLbl name="parChTrans2D2">
    <dgm:fillClrLst meth="repeat">
      <a:schemeClr val="accent3"/>
    </dgm:fillClrLst>
    <dgm:linClrLst meth="repeat">
      <a:schemeClr val="accent3"/>
    </dgm:linClrLst>
    <dgm:effectClrLst/>
    <dgm:txLinClrLst/>
    <dgm:txFillClrLst/>
    <dgm:txEffectClrLst/>
  </dgm:styleLbl>
  <dgm:styleLbl name="parChTrans2D3">
    <dgm:fillClrLst meth="repeat">
      <a:schemeClr val="accent3"/>
    </dgm:fillClrLst>
    <dgm:linClrLst meth="repeat">
      <a:schemeClr val="accent3"/>
    </dgm:linClrLst>
    <dgm:effectClrLst/>
    <dgm:txLinClrLst/>
    <dgm:txFillClrLst/>
    <dgm:txEffectClrLst/>
  </dgm:styleLbl>
  <dgm:styleLbl name="parChTrans2D4">
    <dgm:fillClrLst meth="repeat">
      <a:schemeClr val="accent3"/>
    </dgm:fillClrLst>
    <dgm:linClrLst meth="repeat">
      <a:schemeClr val="accent3"/>
    </dgm:linClrLst>
    <dgm:effectClrLst/>
    <dgm:txLinClrLst/>
    <dgm:txFillClrLst meth="repeat">
      <a:schemeClr val="lt1"/>
    </dgm:txFillClrLst>
    <dgm:txEffectClrLst/>
  </dgm:styleLbl>
  <dgm:styleLbl name="parChTrans1D1">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2">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3">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parChTrans1D4">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f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conF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align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trAlignAcc1">
    <dgm:fillClrLst meth="repeat">
      <a:schemeClr val="accent3">
        <a:alpha val="40000"/>
        <a:tint val="40000"/>
      </a:schemeClr>
    </dgm:fillClrLst>
    <dgm:linClrLst meth="repeat">
      <a:schemeClr val="accent3"/>
    </dgm:linClrLst>
    <dgm:effectClrLst/>
    <dgm:txLinClrLst/>
    <dgm:txFillClrLst meth="repeat">
      <a:schemeClr val="dk1"/>
    </dgm:txFillClrLst>
    <dgm:txEffectClrLst/>
  </dgm:styleLbl>
  <dgm:styleLbl name="b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solidFgAcc1">
    <dgm:fillClrLst meth="repeat">
      <a:schemeClr val="lt1"/>
    </dgm:fillClrLst>
    <dgm:linClrLst meth="repeat">
      <a:schemeClr val="accent3"/>
    </dgm:linClrLst>
    <dgm:effectClrLst/>
    <dgm:txLinClrLst/>
    <dgm:txFillClrLst meth="repeat">
      <a:schemeClr val="dk1"/>
    </dgm:txFillClrLst>
    <dgm:txEffectClrLst/>
  </dgm:styleLbl>
  <dgm:styleLbl name="solidAlignAcc1">
    <dgm:fillClrLst meth="repeat">
      <a:schemeClr val="lt1"/>
    </dgm:fillClrLst>
    <dgm:linClrLst meth="repeat">
      <a:schemeClr val="accent3"/>
    </dgm:linClrLst>
    <dgm:effectClrLst/>
    <dgm:txLinClrLst/>
    <dgm:txFillClrLst meth="repeat">
      <a:schemeClr val="dk1"/>
    </dgm:txFillClrLst>
    <dgm:txEffectClrLst/>
  </dgm:styleLbl>
  <dgm:styleLbl name="solidBgAcc1">
    <dgm:fillClrLst meth="repeat">
      <a:schemeClr val="lt1"/>
    </dgm:fillClrLst>
    <dgm:linClrLst meth="repeat">
      <a:schemeClr val="accent3"/>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fgAcc0">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2">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3">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4">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accent3"/>
    </dgm:linClrLst>
    <dgm:effectClrLst/>
    <dgm:txLinClrLst/>
    <dgm:txFillClrLst meth="repeat">
      <a:schemeClr val="dk1"/>
    </dgm:txFillClrLst>
    <dgm:txEffectClrLst/>
  </dgm:styleLbl>
  <dgm:styleLbl name="dkBgShp">
    <dgm:fillClrLst meth="repeat">
      <a:schemeClr val="accent3">
        <a:shade val="80000"/>
      </a:schemeClr>
    </dgm:fillClrLst>
    <dgm:linClrLst meth="repeat">
      <a:schemeClr val="accent3"/>
    </dgm:linClrLst>
    <dgm:effectClrLst/>
    <dgm:txLinClrLst/>
    <dgm:txFillClrLst meth="repeat">
      <a:schemeClr val="lt1"/>
    </dgm:txFillClrLst>
    <dgm:txEffectClrLst/>
  </dgm:styleLbl>
  <dgm:styleLbl name="trBgShp">
    <dgm:fillClrLst meth="repeat">
      <a:schemeClr val="accent3">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3FB44B2-8AB3-4547-9A17-E46A7956F33C}" type="doc">
      <dgm:prSet loTypeId="urn:microsoft.com/office/officeart/2005/8/layout/hList2" loCatId="relationship" qsTypeId="urn:microsoft.com/office/officeart/2005/8/quickstyle/simple1" qsCatId="simple" csTypeId="urn:microsoft.com/office/officeart/2005/8/colors/colorful1" csCatId="colorful" phldr="1"/>
      <dgm:spPr/>
      <dgm:t>
        <a:bodyPr/>
        <a:lstStyle/>
        <a:p>
          <a:endParaRPr lang="en-US"/>
        </a:p>
      </dgm:t>
    </dgm:pt>
    <dgm:pt modelId="{8149525C-00A5-4FD8-A5B4-E14AF63E81DC}">
      <dgm:prSet phldrT="[Text]" custT="1"/>
      <dgm:spPr/>
      <dgm:t>
        <a:bodyPr/>
        <a:lstStyle/>
        <a:p>
          <a:r>
            <a:rPr lang="en-US" sz="2400">
              <a:latin typeface="Arial" panose="020B0604020202020204" pitchFamily="34" charset="0"/>
              <a:cs typeface="Arial" panose="020B0604020202020204" pitchFamily="34" charset="0"/>
            </a:rPr>
            <a:t>Strengths</a:t>
          </a:r>
        </a:p>
      </dgm:t>
    </dgm:pt>
    <dgm:pt modelId="{76ED3883-A34B-4D60-8BA8-2E5DD56B47A5}" type="parTrans" cxnId="{BFFB3305-AC1E-4DF7-A884-70E7E1DFEBCB}">
      <dgm:prSet/>
      <dgm:spPr/>
      <dgm:t>
        <a:bodyPr/>
        <a:lstStyle/>
        <a:p>
          <a:endParaRPr lang="en-US" sz="2000">
            <a:latin typeface="Arial" panose="020B0604020202020204" pitchFamily="34" charset="0"/>
            <a:cs typeface="Arial" panose="020B0604020202020204" pitchFamily="34" charset="0"/>
          </a:endParaRPr>
        </a:p>
      </dgm:t>
    </dgm:pt>
    <dgm:pt modelId="{B9412D9B-4C4F-4FFA-B6E0-4A41A59363B9}" type="sibTrans" cxnId="{BFFB3305-AC1E-4DF7-A884-70E7E1DFEBCB}">
      <dgm:prSet/>
      <dgm:spPr/>
      <dgm:t>
        <a:bodyPr/>
        <a:lstStyle/>
        <a:p>
          <a:endParaRPr lang="en-US" sz="2000">
            <a:latin typeface="Arial" panose="020B0604020202020204" pitchFamily="34" charset="0"/>
            <a:cs typeface="Arial" panose="020B0604020202020204" pitchFamily="34" charset="0"/>
          </a:endParaRPr>
        </a:p>
      </dgm:t>
    </dgm:pt>
    <dgm:pt modelId="{D21E28F7-06F1-4C58-A0A5-5F376D6F90FA}">
      <dgm:prSet phldrT="[Text]" custT="1"/>
      <dgm:spPr/>
      <dgm:t>
        <a:bodyPr/>
        <a:lstStyle/>
        <a:p>
          <a:r>
            <a:rPr lang="en-US" sz="900">
              <a:latin typeface="Arial" panose="020B0604020202020204" pitchFamily="34" charset="0"/>
              <a:cs typeface="Arial" panose="020B0604020202020204" pitchFamily="34" charset="0"/>
            </a:rPr>
            <a:t>Reliable, refined oil-cooled engine and Suzuki brand heritage</a:t>
          </a:r>
        </a:p>
      </dgm:t>
    </dgm:pt>
    <dgm:pt modelId="{08644949-CEA9-4EBF-B6EE-EC291B179DE1}" type="parTrans" cxnId="{3AFB8CF5-F784-4AFE-9153-53A4A70FB254}">
      <dgm:prSet/>
      <dgm:spPr/>
      <dgm:t>
        <a:bodyPr/>
        <a:lstStyle/>
        <a:p>
          <a:endParaRPr lang="en-US" sz="2000">
            <a:latin typeface="Arial" panose="020B0604020202020204" pitchFamily="34" charset="0"/>
            <a:cs typeface="Arial" panose="020B0604020202020204" pitchFamily="34" charset="0"/>
          </a:endParaRPr>
        </a:p>
      </dgm:t>
    </dgm:pt>
    <dgm:pt modelId="{94E9BAFD-6F8A-49EA-B08F-1BBEF356D5C0}" type="sibTrans" cxnId="{3AFB8CF5-F784-4AFE-9153-53A4A70FB254}">
      <dgm:prSet/>
      <dgm:spPr/>
      <dgm:t>
        <a:bodyPr/>
        <a:lstStyle/>
        <a:p>
          <a:endParaRPr lang="en-US" sz="2000">
            <a:latin typeface="Arial" panose="020B0604020202020204" pitchFamily="34" charset="0"/>
            <a:cs typeface="Arial" panose="020B0604020202020204" pitchFamily="34" charset="0"/>
          </a:endParaRPr>
        </a:p>
      </dgm:t>
    </dgm:pt>
    <dgm:pt modelId="{E518DCA5-E297-4103-AB03-011FF21FD6DA}">
      <dgm:prSet phldrT="[Text]" custT="1"/>
      <dgm:spPr/>
      <dgm:t>
        <a:bodyPr/>
        <a:lstStyle/>
        <a:p>
          <a:r>
            <a:rPr lang="en-US" sz="2400">
              <a:latin typeface="Arial" panose="020B0604020202020204" pitchFamily="34" charset="0"/>
              <a:cs typeface="Arial" panose="020B0604020202020204" pitchFamily="34" charset="0"/>
            </a:rPr>
            <a:t>Weaknesses</a:t>
          </a:r>
        </a:p>
      </dgm:t>
    </dgm:pt>
    <dgm:pt modelId="{D86C8C67-A2BD-4AAC-AB6D-F633D5405C78}" type="parTrans" cxnId="{3D0DA73F-B771-49B2-9FE3-4CE20AB90526}">
      <dgm:prSet/>
      <dgm:spPr/>
      <dgm:t>
        <a:bodyPr/>
        <a:lstStyle/>
        <a:p>
          <a:endParaRPr lang="en-US" sz="2000">
            <a:latin typeface="Arial" panose="020B0604020202020204" pitchFamily="34" charset="0"/>
            <a:cs typeface="Arial" panose="020B0604020202020204" pitchFamily="34" charset="0"/>
          </a:endParaRPr>
        </a:p>
      </dgm:t>
    </dgm:pt>
    <dgm:pt modelId="{A37B9109-E403-405D-97BD-713EF45BBA42}" type="sibTrans" cxnId="{3D0DA73F-B771-49B2-9FE3-4CE20AB90526}">
      <dgm:prSet/>
      <dgm:spPr/>
      <dgm:t>
        <a:bodyPr/>
        <a:lstStyle/>
        <a:p>
          <a:endParaRPr lang="en-US" sz="2000">
            <a:latin typeface="Arial" panose="020B0604020202020204" pitchFamily="34" charset="0"/>
            <a:cs typeface="Arial" panose="020B0604020202020204" pitchFamily="34" charset="0"/>
          </a:endParaRPr>
        </a:p>
      </dgm:t>
    </dgm:pt>
    <dgm:pt modelId="{9F65C0BA-3CD7-434A-A9EF-6225FE72E9FF}">
      <dgm:prSet phldrT="[Text]" custT="1"/>
      <dgm:spPr/>
      <dgm:t>
        <a:bodyPr/>
        <a:lstStyle/>
        <a:p>
          <a:r>
            <a:rPr lang="en-US" sz="2400">
              <a:latin typeface="Arial" panose="020B0604020202020204" pitchFamily="34" charset="0"/>
              <a:cs typeface="Arial" panose="020B0604020202020204" pitchFamily="34" charset="0"/>
            </a:rPr>
            <a:t>Opportunities</a:t>
          </a:r>
        </a:p>
      </dgm:t>
    </dgm:pt>
    <dgm:pt modelId="{9866E6AB-E93C-49AF-AE7E-754010DC6290}" type="parTrans" cxnId="{0642FA78-0B2D-49FC-AE40-72D7B133E47D}">
      <dgm:prSet/>
      <dgm:spPr/>
      <dgm:t>
        <a:bodyPr/>
        <a:lstStyle/>
        <a:p>
          <a:endParaRPr lang="en-US" sz="2000">
            <a:latin typeface="Arial" panose="020B0604020202020204" pitchFamily="34" charset="0"/>
            <a:cs typeface="Arial" panose="020B0604020202020204" pitchFamily="34" charset="0"/>
          </a:endParaRPr>
        </a:p>
      </dgm:t>
    </dgm:pt>
    <dgm:pt modelId="{89108E2A-D459-4086-B42D-F6F821556ECD}" type="sibTrans" cxnId="{0642FA78-0B2D-49FC-AE40-72D7B133E47D}">
      <dgm:prSet/>
      <dgm:spPr/>
      <dgm:t>
        <a:bodyPr/>
        <a:lstStyle/>
        <a:p>
          <a:endParaRPr lang="en-US" sz="2000">
            <a:latin typeface="Arial" panose="020B0604020202020204" pitchFamily="34" charset="0"/>
            <a:cs typeface="Arial" panose="020B0604020202020204" pitchFamily="34" charset="0"/>
          </a:endParaRPr>
        </a:p>
      </dgm:t>
    </dgm:pt>
    <dgm:pt modelId="{BFE5C09B-FF4C-4CA5-8F5F-828A109B40B6}">
      <dgm:prSet phldrT="[Text]" custT="1"/>
      <dgm:spPr/>
      <dgm:t>
        <a:bodyPr/>
        <a:lstStyle/>
        <a:p>
          <a:r>
            <a:rPr lang="en-US" sz="900">
              <a:latin typeface="Arial" panose="020B0604020202020204" pitchFamily="34" charset="0"/>
              <a:cs typeface="Arial" panose="020B0604020202020204" pitchFamily="34" charset="0"/>
            </a:rPr>
            <a:t>Growing premium (&gt;150cc) segment share, 19% and rising</a:t>
          </a:r>
        </a:p>
      </dgm:t>
    </dgm:pt>
    <dgm:pt modelId="{386BAAB6-0FF2-4D61-89FC-D6125AD18ACE}" type="parTrans" cxnId="{11E01390-65D9-4455-9982-979956E90873}">
      <dgm:prSet/>
      <dgm:spPr/>
      <dgm:t>
        <a:bodyPr/>
        <a:lstStyle/>
        <a:p>
          <a:endParaRPr lang="en-US" sz="2000">
            <a:latin typeface="Arial" panose="020B0604020202020204" pitchFamily="34" charset="0"/>
            <a:cs typeface="Arial" panose="020B0604020202020204" pitchFamily="34" charset="0"/>
          </a:endParaRPr>
        </a:p>
      </dgm:t>
    </dgm:pt>
    <dgm:pt modelId="{6B076515-1450-4CFE-963B-2C11E82E06A9}" type="sibTrans" cxnId="{11E01390-65D9-4455-9982-979956E90873}">
      <dgm:prSet/>
      <dgm:spPr/>
      <dgm:t>
        <a:bodyPr/>
        <a:lstStyle/>
        <a:p>
          <a:endParaRPr lang="en-US" sz="2000">
            <a:latin typeface="Arial" panose="020B0604020202020204" pitchFamily="34" charset="0"/>
            <a:cs typeface="Arial" panose="020B0604020202020204" pitchFamily="34" charset="0"/>
          </a:endParaRPr>
        </a:p>
      </dgm:t>
    </dgm:pt>
    <dgm:pt modelId="{9C7ED547-0CA2-4A7A-95CF-4EDB88094CF0}">
      <dgm:prSet phldrT="[Text]" custT="1"/>
      <dgm:spPr/>
      <dgm:t>
        <a:bodyPr/>
        <a:lstStyle/>
        <a:p>
          <a:r>
            <a:rPr lang="en-US" sz="2400">
              <a:latin typeface="Arial" panose="020B0604020202020204" pitchFamily="34" charset="0"/>
              <a:cs typeface="Arial" panose="020B0604020202020204" pitchFamily="34" charset="0"/>
            </a:rPr>
            <a:t>Threats</a:t>
          </a:r>
        </a:p>
      </dgm:t>
    </dgm:pt>
    <dgm:pt modelId="{7457686B-21F1-466E-AD9E-6212751E72C7}" type="parTrans" cxnId="{EC4AD667-5CEA-4917-8A09-8E7A694F0D1C}">
      <dgm:prSet/>
      <dgm:spPr/>
      <dgm:t>
        <a:bodyPr/>
        <a:lstStyle/>
        <a:p>
          <a:endParaRPr lang="en-US" sz="2000">
            <a:latin typeface="Arial" panose="020B0604020202020204" pitchFamily="34" charset="0"/>
            <a:cs typeface="Arial" panose="020B0604020202020204" pitchFamily="34" charset="0"/>
          </a:endParaRPr>
        </a:p>
      </dgm:t>
    </dgm:pt>
    <dgm:pt modelId="{8DCD49F1-9DE9-4618-8A62-0E21A1D9BF78}" type="sibTrans" cxnId="{EC4AD667-5CEA-4917-8A09-8E7A694F0D1C}">
      <dgm:prSet/>
      <dgm:spPr/>
      <dgm:t>
        <a:bodyPr/>
        <a:lstStyle/>
        <a:p>
          <a:endParaRPr lang="en-US" sz="2000">
            <a:latin typeface="Arial" panose="020B0604020202020204" pitchFamily="34" charset="0"/>
            <a:cs typeface="Arial" panose="020B0604020202020204" pitchFamily="34" charset="0"/>
          </a:endParaRPr>
        </a:p>
      </dgm:t>
    </dgm:pt>
    <dgm:pt modelId="{CCBF3101-3E1E-4E0A-A18B-FC05BED434D9}">
      <dgm:prSet phldrT="[Text]" custT="1"/>
      <dgm:spPr/>
      <dgm:t>
        <a:bodyPr/>
        <a:lstStyle/>
        <a:p>
          <a:r>
            <a:rPr lang="en-US" sz="900">
              <a:latin typeface="Arial" panose="020B0604020202020204" pitchFamily="34" charset="0"/>
              <a:cs typeface="Arial" panose="020B0604020202020204" pitchFamily="34" charset="0"/>
            </a:rPr>
            <a:t>New/refreshed competitor launches (e.g., Yamaha R2)</a:t>
          </a:r>
        </a:p>
      </dgm:t>
    </dgm:pt>
    <dgm:pt modelId="{5FA0095D-FD7E-4464-9698-E8A778E81B0E}" type="parTrans" cxnId="{47C148CE-D2F3-4307-ABE2-1E367D36B6C6}">
      <dgm:prSet/>
      <dgm:spPr/>
      <dgm:t>
        <a:bodyPr/>
        <a:lstStyle/>
        <a:p>
          <a:endParaRPr lang="en-US" sz="2000">
            <a:latin typeface="Arial" panose="020B0604020202020204" pitchFamily="34" charset="0"/>
            <a:cs typeface="Arial" panose="020B0604020202020204" pitchFamily="34" charset="0"/>
          </a:endParaRPr>
        </a:p>
      </dgm:t>
    </dgm:pt>
    <dgm:pt modelId="{44AF810E-74C2-4EAA-A678-CECFC4E285A4}" type="sibTrans" cxnId="{47C148CE-D2F3-4307-ABE2-1E367D36B6C6}">
      <dgm:prSet/>
      <dgm:spPr/>
      <dgm:t>
        <a:bodyPr/>
        <a:lstStyle/>
        <a:p>
          <a:endParaRPr lang="en-US" sz="2000">
            <a:latin typeface="Arial" panose="020B0604020202020204" pitchFamily="34" charset="0"/>
            <a:cs typeface="Arial" panose="020B0604020202020204" pitchFamily="34" charset="0"/>
          </a:endParaRPr>
        </a:p>
      </dgm:t>
    </dgm:pt>
    <dgm:pt modelId="{B5571B24-FEDF-4EBE-B0CB-23E342AEA47B}">
      <dgm:prSet custT="1"/>
      <dgm:spPr/>
      <dgm:t>
        <a:bodyPr/>
        <a:lstStyle/>
        <a:p>
          <a:r>
            <a:rPr lang="en-US" sz="900">
              <a:latin typeface="Arial" panose="020B0604020202020204" pitchFamily="34" charset="0"/>
              <a:cs typeface="Arial" panose="020B0604020202020204" pitchFamily="34" charset="0"/>
            </a:rPr>
            <a:t>Early flex-fuel (E85) variant availability</a:t>
          </a:r>
        </a:p>
      </dgm:t>
    </dgm:pt>
    <dgm:pt modelId="{41EE952F-3298-4654-A293-A198F5ED1284}" type="parTrans" cxnId="{29C743CB-97C6-4613-AC69-07FED64F9398}">
      <dgm:prSet/>
      <dgm:spPr/>
      <dgm:t>
        <a:bodyPr/>
        <a:lstStyle/>
        <a:p>
          <a:endParaRPr lang="en-US" sz="2000">
            <a:latin typeface="Arial" panose="020B0604020202020204" pitchFamily="34" charset="0"/>
            <a:cs typeface="Arial" panose="020B0604020202020204" pitchFamily="34" charset="0"/>
          </a:endParaRPr>
        </a:p>
      </dgm:t>
    </dgm:pt>
    <dgm:pt modelId="{5E18B5DD-AF95-45A4-B9E4-6E5E948872DE}" type="sibTrans" cxnId="{29C743CB-97C6-4613-AC69-07FED64F9398}">
      <dgm:prSet/>
      <dgm:spPr/>
      <dgm:t>
        <a:bodyPr/>
        <a:lstStyle/>
        <a:p>
          <a:endParaRPr lang="en-US" sz="2000">
            <a:latin typeface="Arial" panose="020B0604020202020204" pitchFamily="34" charset="0"/>
            <a:cs typeface="Arial" panose="020B0604020202020204" pitchFamily="34" charset="0"/>
          </a:endParaRPr>
        </a:p>
      </dgm:t>
    </dgm:pt>
    <dgm:pt modelId="{DB66B2E9-67A0-42B7-B527-0218A01DB899}">
      <dgm:prSet custT="1"/>
      <dgm:spPr/>
      <dgm:t>
        <a:bodyPr/>
        <a:lstStyle/>
        <a:p>
          <a:r>
            <a:rPr lang="en-US" sz="900">
              <a:latin typeface="Arial" panose="020B0604020202020204" pitchFamily="34" charset="0"/>
              <a:cs typeface="Arial" panose="020B0604020202020204" pitchFamily="34" charset="0"/>
            </a:rPr>
            <a:t>Competitive fuel economy (~38 kmpl) and touring credentials</a:t>
          </a:r>
        </a:p>
      </dgm:t>
    </dgm:pt>
    <dgm:pt modelId="{60ACAF03-336E-4E5C-AD4B-7ADED52AD8EB}" type="parTrans" cxnId="{B1E8A477-BDD4-46E7-A26D-C6BEEA35C6A1}">
      <dgm:prSet/>
      <dgm:spPr/>
      <dgm:t>
        <a:bodyPr/>
        <a:lstStyle/>
        <a:p>
          <a:endParaRPr lang="en-US" sz="2000">
            <a:latin typeface="Arial" panose="020B0604020202020204" pitchFamily="34" charset="0"/>
            <a:cs typeface="Arial" panose="020B0604020202020204" pitchFamily="34" charset="0"/>
          </a:endParaRPr>
        </a:p>
      </dgm:t>
    </dgm:pt>
    <dgm:pt modelId="{A375A0F2-4CF2-488F-851F-1D9D9D47AF35}" type="sibTrans" cxnId="{B1E8A477-BDD4-46E7-A26D-C6BEEA35C6A1}">
      <dgm:prSet/>
      <dgm:spPr/>
      <dgm:t>
        <a:bodyPr/>
        <a:lstStyle/>
        <a:p>
          <a:endParaRPr lang="en-US" sz="2000">
            <a:latin typeface="Arial" panose="020B0604020202020204" pitchFamily="34" charset="0"/>
            <a:cs typeface="Arial" panose="020B0604020202020204" pitchFamily="34" charset="0"/>
          </a:endParaRPr>
        </a:p>
      </dgm:t>
    </dgm:pt>
    <dgm:pt modelId="{30C98B91-875F-47F9-AC53-EA44AA81C755}">
      <dgm:prSet custT="1"/>
      <dgm:spPr/>
      <dgm:t>
        <a:bodyPr/>
        <a:lstStyle/>
        <a:p>
          <a:r>
            <a:rPr lang="en-US" sz="900">
              <a:latin typeface="Arial" panose="020B0604020202020204" pitchFamily="34" charset="0"/>
              <a:cs typeface="Arial" panose="020B0604020202020204" pitchFamily="34" charset="0"/>
            </a:rPr>
            <a:t>Established manufacturing and dealer network</a:t>
          </a:r>
        </a:p>
      </dgm:t>
    </dgm:pt>
    <dgm:pt modelId="{A8F775E5-B617-4905-BF60-4F3410630FD8}" type="parTrans" cxnId="{31397266-22F9-4C4E-9E1A-507F16B24A10}">
      <dgm:prSet/>
      <dgm:spPr/>
      <dgm:t>
        <a:bodyPr/>
        <a:lstStyle/>
        <a:p>
          <a:endParaRPr lang="en-US" sz="2000">
            <a:latin typeface="Arial" panose="020B0604020202020204" pitchFamily="34" charset="0"/>
            <a:cs typeface="Arial" panose="020B0604020202020204" pitchFamily="34" charset="0"/>
          </a:endParaRPr>
        </a:p>
      </dgm:t>
    </dgm:pt>
    <dgm:pt modelId="{758FA83C-1198-41FC-AC6C-398B01D544E5}" type="sibTrans" cxnId="{31397266-22F9-4C4E-9E1A-507F16B24A10}">
      <dgm:prSet/>
      <dgm:spPr/>
      <dgm:t>
        <a:bodyPr/>
        <a:lstStyle/>
        <a:p>
          <a:endParaRPr lang="en-US" sz="2000">
            <a:latin typeface="Arial" panose="020B0604020202020204" pitchFamily="34" charset="0"/>
            <a:cs typeface="Arial" panose="020B0604020202020204" pitchFamily="34" charset="0"/>
          </a:endParaRPr>
        </a:p>
      </dgm:t>
    </dgm:pt>
    <dgm:pt modelId="{3BA8B785-8B44-498C-86EB-503E5E395485}">
      <dgm:prSet phldrT="[Text]" custT="1"/>
      <dgm:spPr/>
      <dgm:t>
        <a:bodyPr/>
        <a:lstStyle/>
        <a:p>
          <a:r>
            <a:rPr lang="en-US" sz="900">
              <a:latin typeface="Arial" panose="020B0604020202020204" pitchFamily="34" charset="0"/>
              <a:cs typeface="Arial" panose="020B0604020202020204" pitchFamily="34" charset="0"/>
            </a:rPr>
            <a:t>Fewer headline features (ride modes, TFT graphics) than some rivals</a:t>
          </a:r>
        </a:p>
      </dgm:t>
    </dgm:pt>
    <dgm:pt modelId="{495FE10E-5E58-4BC4-954B-96625A67D959}" type="parTrans" cxnId="{C12D8994-12DE-4CAF-BF4D-D679AF38DA46}">
      <dgm:prSet/>
      <dgm:spPr/>
      <dgm:t>
        <a:bodyPr/>
        <a:lstStyle/>
        <a:p>
          <a:endParaRPr lang="en-US" sz="2000">
            <a:latin typeface="Arial" panose="020B0604020202020204" pitchFamily="34" charset="0"/>
            <a:cs typeface="Arial" panose="020B0604020202020204" pitchFamily="34" charset="0"/>
          </a:endParaRPr>
        </a:p>
      </dgm:t>
    </dgm:pt>
    <dgm:pt modelId="{8FD69222-6998-49CC-B742-2ACFB5E488AD}" type="sibTrans" cxnId="{C12D8994-12DE-4CAF-BF4D-D679AF38DA46}">
      <dgm:prSet/>
      <dgm:spPr/>
      <dgm:t>
        <a:bodyPr/>
        <a:lstStyle/>
        <a:p>
          <a:endParaRPr lang="en-US" sz="2000">
            <a:latin typeface="Arial" panose="020B0604020202020204" pitchFamily="34" charset="0"/>
            <a:cs typeface="Arial" panose="020B0604020202020204" pitchFamily="34" charset="0"/>
          </a:endParaRPr>
        </a:p>
      </dgm:t>
    </dgm:pt>
    <dgm:pt modelId="{085B6322-C774-454D-9C20-8171DE5C723E}">
      <dgm:prSet custT="1"/>
      <dgm:spPr/>
      <dgm:t>
        <a:bodyPr/>
        <a:lstStyle/>
        <a:p>
          <a:r>
            <a:rPr lang="en-US" sz="900">
              <a:latin typeface="Arial" panose="020B0604020202020204" pitchFamily="34" charset="0"/>
              <a:cs typeface="Arial" panose="020B0604020202020204" pitchFamily="34" charset="0"/>
            </a:rPr>
            <a:t>Less aggressive track-focused image than KTM RC 200</a:t>
          </a:r>
        </a:p>
      </dgm:t>
    </dgm:pt>
    <dgm:pt modelId="{A921AF64-A88D-403C-B707-4F4AE9F554AF}" type="parTrans" cxnId="{6918B989-B194-4D31-B17A-0D8A84932E28}">
      <dgm:prSet/>
      <dgm:spPr/>
      <dgm:t>
        <a:bodyPr/>
        <a:lstStyle/>
        <a:p>
          <a:endParaRPr lang="en-US" sz="2000">
            <a:latin typeface="Arial" panose="020B0604020202020204" pitchFamily="34" charset="0"/>
            <a:cs typeface="Arial" panose="020B0604020202020204" pitchFamily="34" charset="0"/>
          </a:endParaRPr>
        </a:p>
      </dgm:t>
    </dgm:pt>
    <dgm:pt modelId="{2D78E1F6-12D6-469C-BC40-77E38975DAAA}" type="sibTrans" cxnId="{6918B989-B194-4D31-B17A-0D8A84932E28}">
      <dgm:prSet/>
      <dgm:spPr/>
      <dgm:t>
        <a:bodyPr/>
        <a:lstStyle/>
        <a:p>
          <a:endParaRPr lang="en-US" sz="2000">
            <a:latin typeface="Arial" panose="020B0604020202020204" pitchFamily="34" charset="0"/>
            <a:cs typeface="Arial" panose="020B0604020202020204" pitchFamily="34" charset="0"/>
          </a:endParaRPr>
        </a:p>
      </dgm:t>
    </dgm:pt>
    <dgm:pt modelId="{18044A5C-81FE-4F97-8E7A-C6C9033EB592}">
      <dgm:prSet custT="1"/>
      <dgm:spPr/>
      <dgm:t>
        <a:bodyPr/>
        <a:lstStyle/>
        <a:p>
          <a:r>
            <a:rPr lang="en-US" sz="900">
              <a:latin typeface="Arial" panose="020B0604020202020204" pitchFamily="34" charset="0"/>
              <a:cs typeface="Arial" panose="020B0604020202020204" pitchFamily="34" charset="0"/>
            </a:rPr>
            <a:t>Limited marketing intensity at model level versus TVS/KTM</a:t>
          </a:r>
        </a:p>
      </dgm:t>
    </dgm:pt>
    <dgm:pt modelId="{31D382B9-9EE3-4720-A105-B67B8433B059}" type="parTrans" cxnId="{2A592966-96E9-408A-88D4-21A585A5C8B9}">
      <dgm:prSet/>
      <dgm:spPr/>
      <dgm:t>
        <a:bodyPr/>
        <a:lstStyle/>
        <a:p>
          <a:endParaRPr lang="en-US" sz="2000">
            <a:latin typeface="Arial" panose="020B0604020202020204" pitchFamily="34" charset="0"/>
            <a:cs typeface="Arial" panose="020B0604020202020204" pitchFamily="34" charset="0"/>
          </a:endParaRPr>
        </a:p>
      </dgm:t>
    </dgm:pt>
    <dgm:pt modelId="{1B506519-4A3B-47AC-A4DE-711E7B453954}" type="sibTrans" cxnId="{2A592966-96E9-408A-88D4-21A585A5C8B9}">
      <dgm:prSet/>
      <dgm:spPr/>
      <dgm:t>
        <a:bodyPr/>
        <a:lstStyle/>
        <a:p>
          <a:endParaRPr lang="en-US" sz="2000">
            <a:latin typeface="Arial" panose="020B0604020202020204" pitchFamily="34" charset="0"/>
            <a:cs typeface="Arial" panose="020B0604020202020204" pitchFamily="34" charset="0"/>
          </a:endParaRPr>
        </a:p>
      </dgm:t>
    </dgm:pt>
    <dgm:pt modelId="{2D3F1B8B-EE6C-4F00-8EF4-D5C5EB89E574}">
      <dgm:prSet custT="1"/>
      <dgm:spPr/>
      <dgm:t>
        <a:bodyPr/>
        <a:lstStyle/>
        <a:p>
          <a:r>
            <a:rPr lang="en-US" sz="900">
              <a:latin typeface="Arial" panose="020B0604020202020204" pitchFamily="34" charset="0"/>
              <a:cs typeface="Arial" panose="020B0604020202020204" pitchFamily="34" charset="0"/>
            </a:rPr>
            <a:t>Narrower model-level digital ecosystem</a:t>
          </a:r>
        </a:p>
      </dgm:t>
    </dgm:pt>
    <dgm:pt modelId="{2134DE86-47BD-40A2-A7D3-E4196E4E4775}" type="parTrans" cxnId="{C6A8A1DE-88D8-4D1C-9CA4-1FD2DE9DEAA6}">
      <dgm:prSet/>
      <dgm:spPr/>
      <dgm:t>
        <a:bodyPr/>
        <a:lstStyle/>
        <a:p>
          <a:endParaRPr lang="en-US" sz="2000">
            <a:latin typeface="Arial" panose="020B0604020202020204" pitchFamily="34" charset="0"/>
            <a:cs typeface="Arial" panose="020B0604020202020204" pitchFamily="34" charset="0"/>
          </a:endParaRPr>
        </a:p>
      </dgm:t>
    </dgm:pt>
    <dgm:pt modelId="{032430AE-790B-452F-9269-B074734C4048}" type="sibTrans" cxnId="{C6A8A1DE-88D8-4D1C-9CA4-1FD2DE9DEAA6}">
      <dgm:prSet/>
      <dgm:spPr/>
      <dgm:t>
        <a:bodyPr/>
        <a:lstStyle/>
        <a:p>
          <a:endParaRPr lang="en-US" sz="2000">
            <a:latin typeface="Arial" panose="020B0604020202020204" pitchFamily="34" charset="0"/>
            <a:cs typeface="Arial" panose="020B0604020202020204" pitchFamily="34" charset="0"/>
          </a:endParaRPr>
        </a:p>
      </dgm:t>
    </dgm:pt>
    <dgm:pt modelId="{B91FDE5C-40C5-41B9-B481-D038E3AD6F10}">
      <dgm:prSet custT="1"/>
      <dgm:spPr/>
      <dgm:t>
        <a:bodyPr/>
        <a:lstStyle/>
        <a:p>
          <a:r>
            <a:rPr lang="en-US" sz="900">
              <a:latin typeface="Arial" panose="020B0604020202020204" pitchFamily="34" charset="0"/>
              <a:cs typeface="Arial" panose="020B0604020202020204" pitchFamily="34" charset="0"/>
            </a:rPr>
            <a:t>Flex-fuel and ethanol-blend policy alignment</a:t>
          </a:r>
        </a:p>
      </dgm:t>
    </dgm:pt>
    <dgm:pt modelId="{184BC20D-547A-473F-8FBC-ADF1830A8286}" type="parTrans" cxnId="{0FC8415D-8795-4DC2-AAA6-9B31B2D7A12E}">
      <dgm:prSet/>
      <dgm:spPr/>
      <dgm:t>
        <a:bodyPr/>
        <a:lstStyle/>
        <a:p>
          <a:endParaRPr lang="en-US"/>
        </a:p>
      </dgm:t>
    </dgm:pt>
    <dgm:pt modelId="{1428537A-E109-47C8-8AEC-21F11D5AA462}" type="sibTrans" cxnId="{0FC8415D-8795-4DC2-AAA6-9B31B2D7A12E}">
      <dgm:prSet/>
      <dgm:spPr/>
      <dgm:t>
        <a:bodyPr/>
        <a:lstStyle/>
        <a:p>
          <a:endParaRPr lang="en-US"/>
        </a:p>
      </dgm:t>
    </dgm:pt>
    <dgm:pt modelId="{C2AA7B73-B9B5-43C5-BD4A-5C274A775F8A}">
      <dgm:prSet custT="1"/>
      <dgm:spPr/>
      <dgm:t>
        <a:bodyPr/>
        <a:lstStyle/>
        <a:p>
          <a:r>
            <a:rPr lang="en-US" sz="900">
              <a:latin typeface="Arial" panose="020B0604020202020204" pitchFamily="34" charset="0"/>
              <a:cs typeface="Arial" panose="020B0604020202020204" pitchFamily="34" charset="0"/>
            </a:rPr>
            <a:t>Digital rider communities and connected-technology upgrades</a:t>
          </a:r>
        </a:p>
      </dgm:t>
    </dgm:pt>
    <dgm:pt modelId="{BA9A8A61-A902-4C5B-82D6-ADDB6E7DCFE7}" type="parTrans" cxnId="{029AA43C-F556-4709-94C8-9E3EFAEBC8F7}">
      <dgm:prSet/>
      <dgm:spPr/>
      <dgm:t>
        <a:bodyPr/>
        <a:lstStyle/>
        <a:p>
          <a:endParaRPr lang="en-US"/>
        </a:p>
      </dgm:t>
    </dgm:pt>
    <dgm:pt modelId="{671CF302-3320-4F8A-91DC-848CE5E52891}" type="sibTrans" cxnId="{029AA43C-F556-4709-94C8-9E3EFAEBC8F7}">
      <dgm:prSet/>
      <dgm:spPr/>
      <dgm:t>
        <a:bodyPr/>
        <a:lstStyle/>
        <a:p>
          <a:endParaRPr lang="en-US"/>
        </a:p>
      </dgm:t>
    </dgm:pt>
    <dgm:pt modelId="{11652E12-1B5B-45EB-9F2E-E44EEC281F85}">
      <dgm:prSet custT="1"/>
      <dgm:spPr/>
      <dgm:t>
        <a:bodyPr/>
        <a:lstStyle/>
        <a:p>
          <a:r>
            <a:rPr lang="en-US" sz="900">
              <a:latin typeface="Arial" panose="020B0604020202020204" pitchFamily="34" charset="0"/>
              <a:cs typeface="Arial" panose="020B0604020202020204" pitchFamily="34" charset="0"/>
            </a:rPr>
            <a:t>Favourable financing conditions from RBI rate cuts</a:t>
          </a:r>
        </a:p>
      </dgm:t>
    </dgm:pt>
    <dgm:pt modelId="{534F1BF7-473A-4D07-B966-A3937EF601A8}" type="parTrans" cxnId="{ED75B038-1C28-4AA4-B195-3ACA08CBB0A9}">
      <dgm:prSet/>
      <dgm:spPr/>
      <dgm:t>
        <a:bodyPr/>
        <a:lstStyle/>
        <a:p>
          <a:endParaRPr lang="en-US"/>
        </a:p>
      </dgm:t>
    </dgm:pt>
    <dgm:pt modelId="{D91A2228-C24A-4C6E-BD0D-628302023381}" type="sibTrans" cxnId="{ED75B038-1C28-4AA4-B195-3ACA08CBB0A9}">
      <dgm:prSet/>
      <dgm:spPr/>
      <dgm:t>
        <a:bodyPr/>
        <a:lstStyle/>
        <a:p>
          <a:endParaRPr lang="en-US"/>
        </a:p>
      </dgm:t>
    </dgm:pt>
    <dgm:pt modelId="{032DFDBC-7357-4B30-999B-5D6C1E378009}">
      <dgm:prSet custT="1"/>
      <dgm:spPr/>
      <dgm:t>
        <a:bodyPr/>
        <a:lstStyle/>
        <a:p>
          <a:r>
            <a:rPr lang="en-US" sz="900">
              <a:latin typeface="Arial" panose="020B0604020202020204" pitchFamily="34" charset="0"/>
              <a:cs typeface="Arial" panose="020B0604020202020204" pitchFamily="34" charset="0"/>
            </a:rPr>
            <a:t>Aggressive pricing from Bajaj and TVS</a:t>
          </a:r>
        </a:p>
      </dgm:t>
    </dgm:pt>
    <dgm:pt modelId="{D09727B4-A56A-4D9E-9B03-66BB5B0CF418}" type="parTrans" cxnId="{A02D7C17-2FF0-4428-B767-D436A39C01D9}">
      <dgm:prSet/>
      <dgm:spPr/>
      <dgm:t>
        <a:bodyPr/>
        <a:lstStyle/>
        <a:p>
          <a:endParaRPr lang="en-US"/>
        </a:p>
      </dgm:t>
    </dgm:pt>
    <dgm:pt modelId="{826307CF-CAA5-4234-BCD0-6841217D7ADF}" type="sibTrans" cxnId="{A02D7C17-2FF0-4428-B767-D436A39C01D9}">
      <dgm:prSet/>
      <dgm:spPr/>
      <dgm:t>
        <a:bodyPr/>
        <a:lstStyle/>
        <a:p>
          <a:endParaRPr lang="en-US"/>
        </a:p>
      </dgm:t>
    </dgm:pt>
    <dgm:pt modelId="{83A0F1BB-1BC6-4EFD-9AF8-49655C890260}">
      <dgm:prSet custT="1"/>
      <dgm:spPr/>
      <dgm:t>
        <a:bodyPr/>
        <a:lstStyle/>
        <a:p>
          <a:r>
            <a:rPr lang="en-US" sz="900">
              <a:latin typeface="Arial" panose="020B0604020202020204" pitchFamily="34" charset="0"/>
              <a:cs typeface="Arial" panose="020B0604020202020204" pitchFamily="34" charset="0"/>
            </a:rPr>
            <a:t>Electrification policy and EV substitution</a:t>
          </a:r>
        </a:p>
      </dgm:t>
    </dgm:pt>
    <dgm:pt modelId="{A434E484-2F36-480D-8FA3-E8A02EB1F4B2}" type="parTrans" cxnId="{04208ACF-2315-4C2B-90C3-07F623F31EBC}">
      <dgm:prSet/>
      <dgm:spPr/>
      <dgm:t>
        <a:bodyPr/>
        <a:lstStyle/>
        <a:p>
          <a:endParaRPr lang="en-US"/>
        </a:p>
      </dgm:t>
    </dgm:pt>
    <dgm:pt modelId="{725A11B4-F85F-445D-91D4-8B1FC268B49A}" type="sibTrans" cxnId="{04208ACF-2315-4C2B-90C3-07F623F31EBC}">
      <dgm:prSet/>
      <dgm:spPr/>
      <dgm:t>
        <a:bodyPr/>
        <a:lstStyle/>
        <a:p>
          <a:endParaRPr lang="en-US"/>
        </a:p>
      </dgm:t>
    </dgm:pt>
    <dgm:pt modelId="{EAEF0582-A0FA-4C8C-A7FE-1F444F71CA47}">
      <dgm:prSet custT="1"/>
      <dgm:spPr/>
      <dgm:t>
        <a:bodyPr/>
        <a:lstStyle/>
        <a:p>
          <a:r>
            <a:rPr lang="en-US" sz="900">
              <a:latin typeface="Arial" panose="020B0604020202020204" pitchFamily="34" charset="0"/>
              <a:cs typeface="Arial" panose="020B0604020202020204" pitchFamily="34" charset="0"/>
            </a:rPr>
            <a:t>Rising input and compliance costs (OBD-2B, emissions)</a:t>
          </a:r>
        </a:p>
      </dgm:t>
    </dgm:pt>
    <dgm:pt modelId="{D5EE607B-BB21-48B0-B0D5-068D2B4F7E61}" type="parTrans" cxnId="{24AB9EA3-58E0-4B95-8DEC-B09B7A23CEC8}">
      <dgm:prSet/>
      <dgm:spPr/>
      <dgm:t>
        <a:bodyPr/>
        <a:lstStyle/>
        <a:p>
          <a:endParaRPr lang="en-US"/>
        </a:p>
      </dgm:t>
    </dgm:pt>
    <dgm:pt modelId="{1C6CB650-DFFE-431B-99F4-B3A145543EEC}" type="sibTrans" cxnId="{24AB9EA3-58E0-4B95-8DEC-B09B7A23CEC8}">
      <dgm:prSet/>
      <dgm:spPr/>
      <dgm:t>
        <a:bodyPr/>
        <a:lstStyle/>
        <a:p>
          <a:endParaRPr lang="en-US"/>
        </a:p>
      </dgm:t>
    </dgm:pt>
    <dgm:pt modelId="{794D4778-D378-4A8F-B486-3B838D2D8289}" type="pres">
      <dgm:prSet presAssocID="{53FB44B2-8AB3-4547-9A17-E46A7956F33C}" presName="linearFlow" presStyleCnt="0">
        <dgm:presLayoutVars>
          <dgm:dir/>
          <dgm:animLvl val="lvl"/>
          <dgm:resizeHandles/>
        </dgm:presLayoutVars>
      </dgm:prSet>
      <dgm:spPr/>
    </dgm:pt>
    <dgm:pt modelId="{46D9FAEE-5DB3-4454-AFC8-35A464654AE8}" type="pres">
      <dgm:prSet presAssocID="{8149525C-00A5-4FD8-A5B4-E14AF63E81DC}" presName="compositeNode" presStyleCnt="0">
        <dgm:presLayoutVars>
          <dgm:bulletEnabled val="1"/>
        </dgm:presLayoutVars>
      </dgm:prSet>
      <dgm:spPr/>
    </dgm:pt>
    <dgm:pt modelId="{2007BA6A-2233-4262-A91D-88AECDEA8439}" type="pres">
      <dgm:prSet presAssocID="{8149525C-00A5-4FD8-A5B4-E14AF63E81DC}" presName="image" presStyleLbl="fgImgPlace1" presStyleIdx="0" presStyleCnt="4"/>
      <dgm:spPr>
        <a:blipFill rotWithShape="1">
          <a:blip xmlns:r="http://schemas.openxmlformats.org/officeDocument/2006/relationships" r:embed="rId1"/>
          <a:stretch>
            <a:fillRect/>
          </a:stretch>
        </a:blipFill>
      </dgm:spPr>
    </dgm:pt>
    <dgm:pt modelId="{6C9D761C-66E3-42A4-A322-7FF02088735C}" type="pres">
      <dgm:prSet presAssocID="{8149525C-00A5-4FD8-A5B4-E14AF63E81DC}" presName="childNode" presStyleLbl="node1" presStyleIdx="0" presStyleCnt="4">
        <dgm:presLayoutVars>
          <dgm:bulletEnabled val="1"/>
        </dgm:presLayoutVars>
      </dgm:prSet>
      <dgm:spPr/>
    </dgm:pt>
    <dgm:pt modelId="{CBD4BDD4-C51F-4267-B6F9-19D40AAED5D2}" type="pres">
      <dgm:prSet presAssocID="{8149525C-00A5-4FD8-A5B4-E14AF63E81DC}" presName="parentNode" presStyleLbl="revTx" presStyleIdx="0" presStyleCnt="4">
        <dgm:presLayoutVars>
          <dgm:chMax val="0"/>
          <dgm:bulletEnabled val="1"/>
        </dgm:presLayoutVars>
      </dgm:prSet>
      <dgm:spPr/>
    </dgm:pt>
    <dgm:pt modelId="{CE4EE2E6-2EEA-468E-B7D6-522217A41F25}" type="pres">
      <dgm:prSet presAssocID="{B9412D9B-4C4F-4FFA-B6E0-4A41A59363B9}" presName="sibTrans" presStyleCnt="0"/>
      <dgm:spPr/>
    </dgm:pt>
    <dgm:pt modelId="{A734F468-B138-4FFA-850E-0CDB9F63C24B}" type="pres">
      <dgm:prSet presAssocID="{E518DCA5-E297-4103-AB03-011FF21FD6DA}" presName="compositeNode" presStyleCnt="0">
        <dgm:presLayoutVars>
          <dgm:bulletEnabled val="1"/>
        </dgm:presLayoutVars>
      </dgm:prSet>
      <dgm:spPr/>
    </dgm:pt>
    <dgm:pt modelId="{CD8E473E-A0BA-408C-B7A3-B078A1B28E33}" type="pres">
      <dgm:prSet presAssocID="{E518DCA5-E297-4103-AB03-011FF21FD6DA}" presName="image" presStyleLbl="fgImgPlace1" presStyleIdx="1" presStyleCnt="4"/>
      <dgm:spPr>
        <a:blipFill rotWithShape="1">
          <a:blip xmlns:r="http://schemas.openxmlformats.org/officeDocument/2006/relationships" r:embed="rId2"/>
          <a:stretch>
            <a:fillRect/>
          </a:stretch>
        </a:blipFill>
      </dgm:spPr>
    </dgm:pt>
    <dgm:pt modelId="{2F9C9BD9-512E-4789-9DE5-E965220E28C4}" type="pres">
      <dgm:prSet presAssocID="{E518DCA5-E297-4103-AB03-011FF21FD6DA}" presName="childNode" presStyleLbl="node1" presStyleIdx="1" presStyleCnt="4">
        <dgm:presLayoutVars>
          <dgm:bulletEnabled val="1"/>
        </dgm:presLayoutVars>
      </dgm:prSet>
      <dgm:spPr/>
    </dgm:pt>
    <dgm:pt modelId="{C6D4CECA-B4A2-43BB-929D-FD9B08AE4BA8}" type="pres">
      <dgm:prSet presAssocID="{E518DCA5-E297-4103-AB03-011FF21FD6DA}" presName="parentNode" presStyleLbl="revTx" presStyleIdx="1" presStyleCnt="4">
        <dgm:presLayoutVars>
          <dgm:chMax val="0"/>
          <dgm:bulletEnabled val="1"/>
        </dgm:presLayoutVars>
      </dgm:prSet>
      <dgm:spPr/>
    </dgm:pt>
    <dgm:pt modelId="{186A7F56-083C-4962-BE4F-D4C1E26A80DB}" type="pres">
      <dgm:prSet presAssocID="{A37B9109-E403-405D-97BD-713EF45BBA42}" presName="sibTrans" presStyleCnt="0"/>
      <dgm:spPr/>
    </dgm:pt>
    <dgm:pt modelId="{51A544BE-6F0D-4231-ABD2-15459F595814}" type="pres">
      <dgm:prSet presAssocID="{9F65C0BA-3CD7-434A-A9EF-6225FE72E9FF}" presName="compositeNode" presStyleCnt="0">
        <dgm:presLayoutVars>
          <dgm:bulletEnabled val="1"/>
        </dgm:presLayoutVars>
      </dgm:prSet>
      <dgm:spPr/>
    </dgm:pt>
    <dgm:pt modelId="{3431C189-80D1-45B6-917B-DC58E915B262}" type="pres">
      <dgm:prSet presAssocID="{9F65C0BA-3CD7-434A-A9EF-6225FE72E9FF}" presName="image" presStyleLbl="fgImgPlace1" presStyleIdx="2" presStyleCnt="4"/>
      <dgm:spPr>
        <a:blipFill rotWithShape="1">
          <a:blip xmlns:r="http://schemas.openxmlformats.org/officeDocument/2006/relationships" r:embed="rId3"/>
          <a:stretch>
            <a:fillRect/>
          </a:stretch>
        </a:blipFill>
      </dgm:spPr>
    </dgm:pt>
    <dgm:pt modelId="{E65BAF03-6A3E-49C9-B800-F084300E33ED}" type="pres">
      <dgm:prSet presAssocID="{9F65C0BA-3CD7-434A-A9EF-6225FE72E9FF}" presName="childNode" presStyleLbl="node1" presStyleIdx="2" presStyleCnt="4">
        <dgm:presLayoutVars>
          <dgm:bulletEnabled val="1"/>
        </dgm:presLayoutVars>
      </dgm:prSet>
      <dgm:spPr/>
    </dgm:pt>
    <dgm:pt modelId="{B9D7547C-8F17-4EE5-A4B2-503E7CF88484}" type="pres">
      <dgm:prSet presAssocID="{9F65C0BA-3CD7-434A-A9EF-6225FE72E9FF}" presName="parentNode" presStyleLbl="revTx" presStyleIdx="2" presStyleCnt="4">
        <dgm:presLayoutVars>
          <dgm:chMax val="0"/>
          <dgm:bulletEnabled val="1"/>
        </dgm:presLayoutVars>
      </dgm:prSet>
      <dgm:spPr/>
    </dgm:pt>
    <dgm:pt modelId="{A47C5924-ED5F-4AE5-896F-7A97C0BE4C12}" type="pres">
      <dgm:prSet presAssocID="{89108E2A-D459-4086-B42D-F6F821556ECD}" presName="sibTrans" presStyleCnt="0"/>
      <dgm:spPr/>
    </dgm:pt>
    <dgm:pt modelId="{806A70AC-64CF-481A-85CF-25E47966852A}" type="pres">
      <dgm:prSet presAssocID="{9C7ED547-0CA2-4A7A-95CF-4EDB88094CF0}" presName="compositeNode" presStyleCnt="0">
        <dgm:presLayoutVars>
          <dgm:bulletEnabled val="1"/>
        </dgm:presLayoutVars>
      </dgm:prSet>
      <dgm:spPr/>
    </dgm:pt>
    <dgm:pt modelId="{EE4941EC-7918-48C7-BE2C-BB5063A67EA6}" type="pres">
      <dgm:prSet presAssocID="{9C7ED547-0CA2-4A7A-95CF-4EDB88094CF0}" presName="image" presStyleLbl="fgImgPlace1" presStyleIdx="3" presStyleCnt="4"/>
      <dgm:spPr>
        <a:blipFill rotWithShape="1">
          <a:blip xmlns:r="http://schemas.openxmlformats.org/officeDocument/2006/relationships" r:embed="rId4"/>
          <a:stretch>
            <a:fillRect/>
          </a:stretch>
        </a:blipFill>
      </dgm:spPr>
    </dgm:pt>
    <dgm:pt modelId="{1971AD7F-1D9E-43EC-A56E-C7EEC6513075}" type="pres">
      <dgm:prSet presAssocID="{9C7ED547-0CA2-4A7A-95CF-4EDB88094CF0}" presName="childNode" presStyleLbl="node1" presStyleIdx="3" presStyleCnt="4">
        <dgm:presLayoutVars>
          <dgm:bulletEnabled val="1"/>
        </dgm:presLayoutVars>
      </dgm:prSet>
      <dgm:spPr/>
    </dgm:pt>
    <dgm:pt modelId="{AA72BB22-6C5E-4388-975E-EA13D8D98288}" type="pres">
      <dgm:prSet presAssocID="{9C7ED547-0CA2-4A7A-95CF-4EDB88094CF0}" presName="parentNode" presStyleLbl="revTx" presStyleIdx="3" presStyleCnt="4">
        <dgm:presLayoutVars>
          <dgm:chMax val="0"/>
          <dgm:bulletEnabled val="1"/>
        </dgm:presLayoutVars>
      </dgm:prSet>
      <dgm:spPr/>
    </dgm:pt>
  </dgm:ptLst>
  <dgm:cxnLst>
    <dgm:cxn modelId="{BFFB3305-AC1E-4DF7-A884-70E7E1DFEBCB}" srcId="{53FB44B2-8AB3-4547-9A17-E46A7956F33C}" destId="{8149525C-00A5-4FD8-A5B4-E14AF63E81DC}" srcOrd="0" destOrd="0" parTransId="{76ED3883-A34B-4D60-8BA8-2E5DD56B47A5}" sibTransId="{B9412D9B-4C4F-4FFA-B6E0-4A41A59363B9}"/>
    <dgm:cxn modelId="{D6087E06-9FC2-4F98-90B6-4A79673F3304}" type="presOf" srcId="{CCBF3101-3E1E-4E0A-A18B-FC05BED434D9}" destId="{1971AD7F-1D9E-43EC-A56E-C7EEC6513075}" srcOrd="0" destOrd="0" presId="urn:microsoft.com/office/officeart/2005/8/layout/hList2"/>
    <dgm:cxn modelId="{F1F30713-751C-4C6D-8D43-5185DDD70147}" type="presOf" srcId="{9C7ED547-0CA2-4A7A-95CF-4EDB88094CF0}" destId="{AA72BB22-6C5E-4388-975E-EA13D8D98288}" srcOrd="0" destOrd="0" presId="urn:microsoft.com/office/officeart/2005/8/layout/hList2"/>
    <dgm:cxn modelId="{04AC1317-053E-4CE9-867E-51CC7722AE54}" type="presOf" srcId="{3BA8B785-8B44-498C-86EB-503E5E395485}" destId="{2F9C9BD9-512E-4789-9DE5-E965220E28C4}" srcOrd="0" destOrd="0" presId="urn:microsoft.com/office/officeart/2005/8/layout/hList2"/>
    <dgm:cxn modelId="{A02D7C17-2FF0-4428-B767-D436A39C01D9}" srcId="{9C7ED547-0CA2-4A7A-95CF-4EDB88094CF0}" destId="{032DFDBC-7357-4B30-999B-5D6C1E378009}" srcOrd="1" destOrd="0" parTransId="{D09727B4-A56A-4D9E-9B03-66BB5B0CF418}" sibTransId="{826307CF-CAA5-4234-BCD0-6841217D7ADF}"/>
    <dgm:cxn modelId="{6E1F0B18-1C3B-4300-AFC4-D39586966607}" type="presOf" srcId="{11652E12-1B5B-45EB-9F2E-E44EEC281F85}" destId="{E65BAF03-6A3E-49C9-B800-F084300E33ED}" srcOrd="0" destOrd="3" presId="urn:microsoft.com/office/officeart/2005/8/layout/hList2"/>
    <dgm:cxn modelId="{9D6FFA1B-F5D0-4678-BD25-0CC78E3389A3}" type="presOf" srcId="{30C98B91-875F-47F9-AC53-EA44AA81C755}" destId="{6C9D761C-66E3-42A4-A322-7FF02088735C}" srcOrd="0" destOrd="3" presId="urn:microsoft.com/office/officeart/2005/8/layout/hList2"/>
    <dgm:cxn modelId="{ED75B038-1C28-4AA4-B195-3ACA08CBB0A9}" srcId="{9F65C0BA-3CD7-434A-A9EF-6225FE72E9FF}" destId="{11652E12-1B5B-45EB-9F2E-E44EEC281F85}" srcOrd="3" destOrd="0" parTransId="{534F1BF7-473A-4D07-B966-A3937EF601A8}" sibTransId="{D91A2228-C24A-4C6E-BD0D-628302023381}"/>
    <dgm:cxn modelId="{029AA43C-F556-4709-94C8-9E3EFAEBC8F7}" srcId="{9F65C0BA-3CD7-434A-A9EF-6225FE72E9FF}" destId="{C2AA7B73-B9B5-43C5-BD4A-5C274A775F8A}" srcOrd="2" destOrd="0" parTransId="{BA9A8A61-A902-4C5B-82D6-ADDB6E7DCFE7}" sibTransId="{671CF302-3320-4F8A-91DC-848CE5E52891}"/>
    <dgm:cxn modelId="{3D0DA73F-B771-49B2-9FE3-4CE20AB90526}" srcId="{53FB44B2-8AB3-4547-9A17-E46A7956F33C}" destId="{E518DCA5-E297-4103-AB03-011FF21FD6DA}" srcOrd="1" destOrd="0" parTransId="{D86C8C67-A2BD-4AAC-AB6D-F633D5405C78}" sibTransId="{A37B9109-E403-405D-97BD-713EF45BBA42}"/>
    <dgm:cxn modelId="{0FC8415D-8795-4DC2-AAA6-9B31B2D7A12E}" srcId="{9F65C0BA-3CD7-434A-A9EF-6225FE72E9FF}" destId="{B91FDE5C-40C5-41B9-B481-D038E3AD6F10}" srcOrd="1" destOrd="0" parTransId="{184BC20D-547A-473F-8FBC-ADF1830A8286}" sibTransId="{1428537A-E109-47C8-8AEC-21F11D5AA462}"/>
    <dgm:cxn modelId="{75BC1641-1F78-43A8-A644-E6E59561EA82}" type="presOf" srcId="{085B6322-C774-454D-9C20-8171DE5C723E}" destId="{2F9C9BD9-512E-4789-9DE5-E965220E28C4}" srcOrd="0" destOrd="1" presId="urn:microsoft.com/office/officeart/2005/8/layout/hList2"/>
    <dgm:cxn modelId="{96E18744-3F77-4503-9A6A-4E71484C2A71}" type="presOf" srcId="{BFE5C09B-FF4C-4CA5-8F5F-828A109B40B6}" destId="{E65BAF03-6A3E-49C9-B800-F084300E33ED}" srcOrd="0" destOrd="0" presId="urn:microsoft.com/office/officeart/2005/8/layout/hList2"/>
    <dgm:cxn modelId="{2A592966-96E9-408A-88D4-21A585A5C8B9}" srcId="{E518DCA5-E297-4103-AB03-011FF21FD6DA}" destId="{18044A5C-81FE-4F97-8E7A-C6C9033EB592}" srcOrd="2" destOrd="0" parTransId="{31D382B9-9EE3-4720-A105-B67B8433B059}" sibTransId="{1B506519-4A3B-47AC-A4DE-711E7B453954}"/>
    <dgm:cxn modelId="{31397266-22F9-4C4E-9E1A-507F16B24A10}" srcId="{8149525C-00A5-4FD8-A5B4-E14AF63E81DC}" destId="{30C98B91-875F-47F9-AC53-EA44AA81C755}" srcOrd="3" destOrd="0" parTransId="{A8F775E5-B617-4905-BF60-4F3410630FD8}" sibTransId="{758FA83C-1198-41FC-AC6C-398B01D544E5}"/>
    <dgm:cxn modelId="{EC4AD667-5CEA-4917-8A09-8E7A694F0D1C}" srcId="{53FB44B2-8AB3-4547-9A17-E46A7956F33C}" destId="{9C7ED547-0CA2-4A7A-95CF-4EDB88094CF0}" srcOrd="3" destOrd="0" parTransId="{7457686B-21F1-466E-AD9E-6212751E72C7}" sibTransId="{8DCD49F1-9DE9-4618-8A62-0E21A1D9BF78}"/>
    <dgm:cxn modelId="{5D695569-16B9-4646-A7C4-AF45F5FB3660}" type="presOf" srcId="{9F65C0BA-3CD7-434A-A9EF-6225FE72E9FF}" destId="{B9D7547C-8F17-4EE5-A4B2-503E7CF88484}" srcOrd="0" destOrd="0" presId="urn:microsoft.com/office/officeart/2005/8/layout/hList2"/>
    <dgm:cxn modelId="{437B6773-95B9-4070-A624-C6CFFBF4E7A5}" type="presOf" srcId="{E518DCA5-E297-4103-AB03-011FF21FD6DA}" destId="{C6D4CECA-B4A2-43BB-929D-FD9B08AE4BA8}" srcOrd="0" destOrd="0" presId="urn:microsoft.com/office/officeart/2005/8/layout/hList2"/>
    <dgm:cxn modelId="{B1E8A477-BDD4-46E7-A26D-C6BEEA35C6A1}" srcId="{8149525C-00A5-4FD8-A5B4-E14AF63E81DC}" destId="{DB66B2E9-67A0-42B7-B527-0218A01DB899}" srcOrd="2" destOrd="0" parTransId="{60ACAF03-336E-4E5C-AD4B-7ADED52AD8EB}" sibTransId="{A375A0F2-4CF2-488F-851F-1D9D9D47AF35}"/>
    <dgm:cxn modelId="{0642FA78-0B2D-49FC-AE40-72D7B133E47D}" srcId="{53FB44B2-8AB3-4547-9A17-E46A7956F33C}" destId="{9F65C0BA-3CD7-434A-A9EF-6225FE72E9FF}" srcOrd="2" destOrd="0" parTransId="{9866E6AB-E93C-49AF-AE7E-754010DC6290}" sibTransId="{89108E2A-D459-4086-B42D-F6F821556ECD}"/>
    <dgm:cxn modelId="{EDB8F383-E8AF-4F5F-ACB5-CDAC64D951EB}" type="presOf" srcId="{EAEF0582-A0FA-4C8C-A7FE-1F444F71CA47}" destId="{1971AD7F-1D9E-43EC-A56E-C7EEC6513075}" srcOrd="0" destOrd="3" presId="urn:microsoft.com/office/officeart/2005/8/layout/hList2"/>
    <dgm:cxn modelId="{6918B989-B194-4D31-B17A-0D8A84932E28}" srcId="{E518DCA5-E297-4103-AB03-011FF21FD6DA}" destId="{085B6322-C774-454D-9C20-8171DE5C723E}" srcOrd="1" destOrd="0" parTransId="{A921AF64-A88D-403C-B707-4F4AE9F554AF}" sibTransId="{2D78E1F6-12D6-469C-BC40-77E38975DAAA}"/>
    <dgm:cxn modelId="{8BAC108C-7721-462D-B434-4260159C862C}" type="presOf" srcId="{18044A5C-81FE-4F97-8E7A-C6C9033EB592}" destId="{2F9C9BD9-512E-4789-9DE5-E965220E28C4}" srcOrd="0" destOrd="2" presId="urn:microsoft.com/office/officeart/2005/8/layout/hList2"/>
    <dgm:cxn modelId="{11E01390-65D9-4455-9982-979956E90873}" srcId="{9F65C0BA-3CD7-434A-A9EF-6225FE72E9FF}" destId="{BFE5C09B-FF4C-4CA5-8F5F-828A109B40B6}" srcOrd="0" destOrd="0" parTransId="{386BAAB6-0FF2-4D61-89FC-D6125AD18ACE}" sibTransId="{6B076515-1450-4CFE-963B-2C11E82E06A9}"/>
    <dgm:cxn modelId="{C12D8994-12DE-4CAF-BF4D-D679AF38DA46}" srcId="{E518DCA5-E297-4103-AB03-011FF21FD6DA}" destId="{3BA8B785-8B44-498C-86EB-503E5E395485}" srcOrd="0" destOrd="0" parTransId="{495FE10E-5E58-4BC4-954B-96625A67D959}" sibTransId="{8FD69222-6998-49CC-B742-2ACFB5E488AD}"/>
    <dgm:cxn modelId="{0870F19C-EE93-4D42-85AE-3828B60B2B47}" type="presOf" srcId="{C2AA7B73-B9B5-43C5-BD4A-5C274A775F8A}" destId="{E65BAF03-6A3E-49C9-B800-F084300E33ED}" srcOrd="0" destOrd="2" presId="urn:microsoft.com/office/officeart/2005/8/layout/hList2"/>
    <dgm:cxn modelId="{3E2752A0-F093-4ADD-B0F7-9741A978677F}" type="presOf" srcId="{53FB44B2-8AB3-4547-9A17-E46A7956F33C}" destId="{794D4778-D378-4A8F-B486-3B838D2D8289}" srcOrd="0" destOrd="0" presId="urn:microsoft.com/office/officeart/2005/8/layout/hList2"/>
    <dgm:cxn modelId="{24AB9EA3-58E0-4B95-8DEC-B09B7A23CEC8}" srcId="{9C7ED547-0CA2-4A7A-95CF-4EDB88094CF0}" destId="{EAEF0582-A0FA-4C8C-A7FE-1F444F71CA47}" srcOrd="3" destOrd="0" parTransId="{D5EE607B-BB21-48B0-B0D5-068D2B4F7E61}" sibTransId="{1C6CB650-DFFE-431B-99F4-B3A145543EEC}"/>
    <dgm:cxn modelId="{4A3070A4-0E5C-4412-9AE7-DF1EDC72A702}" type="presOf" srcId="{B5571B24-FEDF-4EBE-B0CB-23E342AEA47B}" destId="{6C9D761C-66E3-42A4-A322-7FF02088735C}" srcOrd="0" destOrd="1" presId="urn:microsoft.com/office/officeart/2005/8/layout/hList2"/>
    <dgm:cxn modelId="{C60646B3-0865-43CA-97F4-AB9892F1C5EE}" type="presOf" srcId="{B91FDE5C-40C5-41B9-B481-D038E3AD6F10}" destId="{E65BAF03-6A3E-49C9-B800-F084300E33ED}" srcOrd="0" destOrd="1" presId="urn:microsoft.com/office/officeart/2005/8/layout/hList2"/>
    <dgm:cxn modelId="{18851FB7-5292-41BD-8EEB-1EC70399C782}" type="presOf" srcId="{DB66B2E9-67A0-42B7-B527-0218A01DB899}" destId="{6C9D761C-66E3-42A4-A322-7FF02088735C}" srcOrd="0" destOrd="2" presId="urn:microsoft.com/office/officeart/2005/8/layout/hList2"/>
    <dgm:cxn modelId="{9003D7BC-CF8B-464C-98AF-64B272AB52FB}" type="presOf" srcId="{2D3F1B8B-EE6C-4F00-8EF4-D5C5EB89E574}" destId="{2F9C9BD9-512E-4789-9DE5-E965220E28C4}" srcOrd="0" destOrd="3" presId="urn:microsoft.com/office/officeart/2005/8/layout/hList2"/>
    <dgm:cxn modelId="{29C743CB-97C6-4613-AC69-07FED64F9398}" srcId="{8149525C-00A5-4FD8-A5B4-E14AF63E81DC}" destId="{B5571B24-FEDF-4EBE-B0CB-23E342AEA47B}" srcOrd="1" destOrd="0" parTransId="{41EE952F-3298-4654-A293-A198F5ED1284}" sibTransId="{5E18B5DD-AF95-45A4-B9E4-6E5E948872DE}"/>
    <dgm:cxn modelId="{47C148CE-D2F3-4307-ABE2-1E367D36B6C6}" srcId="{9C7ED547-0CA2-4A7A-95CF-4EDB88094CF0}" destId="{CCBF3101-3E1E-4E0A-A18B-FC05BED434D9}" srcOrd="0" destOrd="0" parTransId="{5FA0095D-FD7E-4464-9698-E8A778E81B0E}" sibTransId="{44AF810E-74C2-4EAA-A678-CECFC4E285A4}"/>
    <dgm:cxn modelId="{04208ACF-2315-4C2B-90C3-07F623F31EBC}" srcId="{9C7ED547-0CA2-4A7A-95CF-4EDB88094CF0}" destId="{83A0F1BB-1BC6-4EFD-9AF8-49655C890260}" srcOrd="2" destOrd="0" parTransId="{A434E484-2F36-480D-8FA3-E8A02EB1F4B2}" sibTransId="{725A11B4-F85F-445D-91D4-8B1FC268B49A}"/>
    <dgm:cxn modelId="{9E7266D7-2046-466F-89D5-7C508A50C20F}" type="presOf" srcId="{D21E28F7-06F1-4C58-A0A5-5F376D6F90FA}" destId="{6C9D761C-66E3-42A4-A322-7FF02088735C}" srcOrd="0" destOrd="0" presId="urn:microsoft.com/office/officeart/2005/8/layout/hList2"/>
    <dgm:cxn modelId="{C6A8A1DE-88D8-4D1C-9CA4-1FD2DE9DEAA6}" srcId="{E518DCA5-E297-4103-AB03-011FF21FD6DA}" destId="{2D3F1B8B-EE6C-4F00-8EF4-D5C5EB89E574}" srcOrd="3" destOrd="0" parTransId="{2134DE86-47BD-40A2-A7D3-E4196E4E4775}" sibTransId="{032430AE-790B-452F-9269-B074734C4048}"/>
    <dgm:cxn modelId="{EAA206E5-6451-4F71-9B1C-518F12A11013}" type="presOf" srcId="{83A0F1BB-1BC6-4EFD-9AF8-49655C890260}" destId="{1971AD7F-1D9E-43EC-A56E-C7EEC6513075}" srcOrd="0" destOrd="2" presId="urn:microsoft.com/office/officeart/2005/8/layout/hList2"/>
    <dgm:cxn modelId="{F6A077E8-772E-40B6-9C9A-BBF77D1A7AEA}" type="presOf" srcId="{032DFDBC-7357-4B30-999B-5D6C1E378009}" destId="{1971AD7F-1D9E-43EC-A56E-C7EEC6513075}" srcOrd="0" destOrd="1" presId="urn:microsoft.com/office/officeart/2005/8/layout/hList2"/>
    <dgm:cxn modelId="{3AFB8CF5-F784-4AFE-9153-53A4A70FB254}" srcId="{8149525C-00A5-4FD8-A5B4-E14AF63E81DC}" destId="{D21E28F7-06F1-4C58-A0A5-5F376D6F90FA}" srcOrd="0" destOrd="0" parTransId="{08644949-CEA9-4EBF-B6EE-EC291B179DE1}" sibTransId="{94E9BAFD-6F8A-49EA-B08F-1BBEF356D5C0}"/>
    <dgm:cxn modelId="{7E5BADFD-FFE9-4548-90BE-55E40ECF1673}" type="presOf" srcId="{8149525C-00A5-4FD8-A5B4-E14AF63E81DC}" destId="{CBD4BDD4-C51F-4267-B6F9-19D40AAED5D2}" srcOrd="0" destOrd="0" presId="urn:microsoft.com/office/officeart/2005/8/layout/hList2"/>
    <dgm:cxn modelId="{11966507-E6EE-4202-BB41-51CA01CC8F1B}" type="presParOf" srcId="{794D4778-D378-4A8F-B486-3B838D2D8289}" destId="{46D9FAEE-5DB3-4454-AFC8-35A464654AE8}" srcOrd="0" destOrd="0" presId="urn:microsoft.com/office/officeart/2005/8/layout/hList2"/>
    <dgm:cxn modelId="{08423B56-926E-45CD-BDFF-51991F7DF3AE}" type="presParOf" srcId="{46D9FAEE-5DB3-4454-AFC8-35A464654AE8}" destId="{2007BA6A-2233-4262-A91D-88AECDEA8439}" srcOrd="0" destOrd="0" presId="urn:microsoft.com/office/officeart/2005/8/layout/hList2"/>
    <dgm:cxn modelId="{8903ADBC-DE83-4DA0-8EE2-D9B184A68F0C}" type="presParOf" srcId="{46D9FAEE-5DB3-4454-AFC8-35A464654AE8}" destId="{6C9D761C-66E3-42A4-A322-7FF02088735C}" srcOrd="1" destOrd="0" presId="urn:microsoft.com/office/officeart/2005/8/layout/hList2"/>
    <dgm:cxn modelId="{64B6A00B-78C6-4B9C-BBF0-FE4D0B1EC166}" type="presParOf" srcId="{46D9FAEE-5DB3-4454-AFC8-35A464654AE8}" destId="{CBD4BDD4-C51F-4267-B6F9-19D40AAED5D2}" srcOrd="2" destOrd="0" presId="urn:microsoft.com/office/officeart/2005/8/layout/hList2"/>
    <dgm:cxn modelId="{0882F42F-5208-444B-A01B-FFE33AEFC80E}" type="presParOf" srcId="{794D4778-D378-4A8F-B486-3B838D2D8289}" destId="{CE4EE2E6-2EEA-468E-B7D6-522217A41F25}" srcOrd="1" destOrd="0" presId="urn:microsoft.com/office/officeart/2005/8/layout/hList2"/>
    <dgm:cxn modelId="{5188029A-4FAC-47E9-AADF-AD0588462513}" type="presParOf" srcId="{794D4778-D378-4A8F-B486-3B838D2D8289}" destId="{A734F468-B138-4FFA-850E-0CDB9F63C24B}" srcOrd="2" destOrd="0" presId="urn:microsoft.com/office/officeart/2005/8/layout/hList2"/>
    <dgm:cxn modelId="{8F26825E-874B-4D34-A256-CCF5EB5B07E9}" type="presParOf" srcId="{A734F468-B138-4FFA-850E-0CDB9F63C24B}" destId="{CD8E473E-A0BA-408C-B7A3-B078A1B28E33}" srcOrd="0" destOrd="0" presId="urn:microsoft.com/office/officeart/2005/8/layout/hList2"/>
    <dgm:cxn modelId="{CF9EFE52-0A9D-4EB3-AD5C-87EAF7C031E9}" type="presParOf" srcId="{A734F468-B138-4FFA-850E-0CDB9F63C24B}" destId="{2F9C9BD9-512E-4789-9DE5-E965220E28C4}" srcOrd="1" destOrd="0" presId="urn:microsoft.com/office/officeart/2005/8/layout/hList2"/>
    <dgm:cxn modelId="{B719B381-9263-446A-A83A-6203F1E1A81A}" type="presParOf" srcId="{A734F468-B138-4FFA-850E-0CDB9F63C24B}" destId="{C6D4CECA-B4A2-43BB-929D-FD9B08AE4BA8}" srcOrd="2" destOrd="0" presId="urn:microsoft.com/office/officeart/2005/8/layout/hList2"/>
    <dgm:cxn modelId="{167B92DB-5E76-4BDD-AF9B-8D785491ECDB}" type="presParOf" srcId="{794D4778-D378-4A8F-B486-3B838D2D8289}" destId="{186A7F56-083C-4962-BE4F-D4C1E26A80DB}" srcOrd="3" destOrd="0" presId="urn:microsoft.com/office/officeart/2005/8/layout/hList2"/>
    <dgm:cxn modelId="{98E01D97-50D3-4811-9AF8-8AB1094B1B57}" type="presParOf" srcId="{794D4778-D378-4A8F-B486-3B838D2D8289}" destId="{51A544BE-6F0D-4231-ABD2-15459F595814}" srcOrd="4" destOrd="0" presId="urn:microsoft.com/office/officeart/2005/8/layout/hList2"/>
    <dgm:cxn modelId="{4D424582-CE34-494C-AC0E-6A52CD6E32EA}" type="presParOf" srcId="{51A544BE-6F0D-4231-ABD2-15459F595814}" destId="{3431C189-80D1-45B6-917B-DC58E915B262}" srcOrd="0" destOrd="0" presId="urn:microsoft.com/office/officeart/2005/8/layout/hList2"/>
    <dgm:cxn modelId="{67934C4C-AC37-45C4-A7BF-612747896363}" type="presParOf" srcId="{51A544BE-6F0D-4231-ABD2-15459F595814}" destId="{E65BAF03-6A3E-49C9-B800-F084300E33ED}" srcOrd="1" destOrd="0" presId="urn:microsoft.com/office/officeart/2005/8/layout/hList2"/>
    <dgm:cxn modelId="{4764EDA0-70CF-4CEF-BD2D-33A5C6A4A110}" type="presParOf" srcId="{51A544BE-6F0D-4231-ABD2-15459F595814}" destId="{B9D7547C-8F17-4EE5-A4B2-503E7CF88484}" srcOrd="2" destOrd="0" presId="urn:microsoft.com/office/officeart/2005/8/layout/hList2"/>
    <dgm:cxn modelId="{876D59AC-ED74-42C2-BC67-98CB5D9EDA04}" type="presParOf" srcId="{794D4778-D378-4A8F-B486-3B838D2D8289}" destId="{A47C5924-ED5F-4AE5-896F-7A97C0BE4C12}" srcOrd="5" destOrd="0" presId="urn:microsoft.com/office/officeart/2005/8/layout/hList2"/>
    <dgm:cxn modelId="{2437AAC6-7559-4E8B-B2CB-124391C3D958}" type="presParOf" srcId="{794D4778-D378-4A8F-B486-3B838D2D8289}" destId="{806A70AC-64CF-481A-85CF-25E47966852A}" srcOrd="6" destOrd="0" presId="urn:microsoft.com/office/officeart/2005/8/layout/hList2"/>
    <dgm:cxn modelId="{033DCFDD-4DCF-4A58-9089-08B4EBCA6A55}" type="presParOf" srcId="{806A70AC-64CF-481A-85CF-25E47966852A}" destId="{EE4941EC-7918-48C7-BE2C-BB5063A67EA6}" srcOrd="0" destOrd="0" presId="urn:microsoft.com/office/officeart/2005/8/layout/hList2"/>
    <dgm:cxn modelId="{A14A7823-966B-4416-9757-8A464EC360E4}" type="presParOf" srcId="{806A70AC-64CF-481A-85CF-25E47966852A}" destId="{1971AD7F-1D9E-43EC-A56E-C7EEC6513075}" srcOrd="1" destOrd="0" presId="urn:microsoft.com/office/officeart/2005/8/layout/hList2"/>
    <dgm:cxn modelId="{C5157EAC-5217-4FA5-8D63-660E7AF5A991}" type="presParOf" srcId="{806A70AC-64CF-481A-85CF-25E47966852A}" destId="{AA72BB22-6C5E-4388-975E-EA13D8D98288}" srcOrd="2" destOrd="0" presId="urn:microsoft.com/office/officeart/2005/8/layout/hList2"/>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B9CB50B8-D1C5-4B37-94ED-B3778F47E128}" type="doc">
      <dgm:prSet loTypeId="urn:microsoft.com/office/officeart/2008/layout/LinedList" loCatId="list" qsTypeId="urn:microsoft.com/office/officeart/2005/8/quickstyle/simple1" qsCatId="simple" csTypeId="urn:microsoft.com/office/officeart/2005/8/colors/accent3_1" csCatId="accent3" phldr="1"/>
      <dgm:spPr/>
      <dgm:t>
        <a:bodyPr/>
        <a:lstStyle/>
        <a:p>
          <a:endParaRPr lang="en-US"/>
        </a:p>
      </dgm:t>
    </dgm:pt>
    <dgm:pt modelId="{82FFF41E-479A-4810-8D21-71D15922D47F}">
      <dgm:prSet phldrT="[Text]" custT="1"/>
      <dgm:spPr>
        <a:noFill/>
      </dgm:spPr>
      <dgm:t>
        <a:bodyPr/>
        <a:lstStyle/>
        <a:p>
          <a:r>
            <a:rPr lang="en-US" sz="1200" b="1">
              <a:latin typeface="Arial" panose="020B0604020202020204" pitchFamily="34" charset="0"/>
              <a:cs typeface="Arial" panose="020B0604020202020204" pitchFamily="34" charset="0"/>
            </a:rPr>
            <a:t>Challenge</a:t>
          </a:r>
        </a:p>
      </dgm:t>
    </dgm:pt>
    <dgm:pt modelId="{49539BA2-7B14-41FB-8038-D0E71F3906EE}" type="parTrans" cxnId="{42D36DA6-3158-4D3F-B99D-961E2D3BC06E}">
      <dgm:prSet/>
      <dgm:spPr/>
      <dgm:t>
        <a:bodyPr/>
        <a:lstStyle/>
        <a:p>
          <a:endParaRPr lang="en-US" sz="1200">
            <a:latin typeface="Arial" panose="020B0604020202020204" pitchFamily="34" charset="0"/>
            <a:cs typeface="Arial" panose="020B0604020202020204" pitchFamily="34" charset="0"/>
          </a:endParaRPr>
        </a:p>
      </dgm:t>
    </dgm:pt>
    <dgm:pt modelId="{937B0CD2-6521-4A2C-9460-2E130D3AD39F}" type="sibTrans" cxnId="{42D36DA6-3158-4D3F-B99D-961E2D3BC06E}">
      <dgm:prSet/>
      <dgm:spPr/>
      <dgm:t>
        <a:bodyPr/>
        <a:lstStyle/>
        <a:p>
          <a:endParaRPr lang="en-US" sz="1200">
            <a:latin typeface="Arial" panose="020B0604020202020204" pitchFamily="34" charset="0"/>
            <a:cs typeface="Arial" panose="020B0604020202020204" pitchFamily="34" charset="0"/>
          </a:endParaRPr>
        </a:p>
      </dgm:t>
    </dgm:pt>
    <dgm:pt modelId="{D5391012-F545-43A7-80A0-79E15DAE54BD}">
      <dgm:prSet phldrT="[Text]" custT="1"/>
      <dgm:spPr>
        <a:solidFill>
          <a:schemeClr val="tx2"/>
        </a:solidFill>
      </dgm:spPr>
      <dgm:t>
        <a:bodyPr/>
        <a:lstStyle/>
        <a:p>
          <a:r>
            <a:rPr lang="en-US" sz="1200" b="1">
              <a:latin typeface="Arial" panose="020B0604020202020204" pitchFamily="34" charset="0"/>
              <a:cs typeface="Arial" panose="020B0604020202020204" pitchFamily="34" charset="0"/>
            </a:rPr>
            <a:t>Likely effect</a:t>
          </a:r>
        </a:p>
      </dgm:t>
    </dgm:pt>
    <dgm:pt modelId="{27A814B3-68B6-4350-82FD-8BB92CB10FD2}" type="parTrans" cxnId="{972C0D83-021F-4712-BC06-4A884B0F83A9}">
      <dgm:prSet/>
      <dgm:spPr/>
      <dgm:t>
        <a:bodyPr/>
        <a:lstStyle/>
        <a:p>
          <a:endParaRPr lang="en-US" sz="1200">
            <a:latin typeface="Arial" panose="020B0604020202020204" pitchFamily="34" charset="0"/>
            <a:cs typeface="Arial" panose="020B0604020202020204" pitchFamily="34" charset="0"/>
          </a:endParaRPr>
        </a:p>
      </dgm:t>
    </dgm:pt>
    <dgm:pt modelId="{EE2675E1-E335-452D-8383-48035DBF1921}" type="sibTrans" cxnId="{972C0D83-021F-4712-BC06-4A884B0F83A9}">
      <dgm:prSet/>
      <dgm:spPr/>
      <dgm:t>
        <a:bodyPr/>
        <a:lstStyle/>
        <a:p>
          <a:endParaRPr lang="en-US" sz="1200">
            <a:latin typeface="Arial" panose="020B0604020202020204" pitchFamily="34" charset="0"/>
            <a:cs typeface="Arial" panose="020B0604020202020204" pitchFamily="34" charset="0"/>
          </a:endParaRPr>
        </a:p>
      </dgm:t>
    </dgm:pt>
    <dgm:pt modelId="{6AFE9255-2B10-49B2-86E9-F52EC92E5E77}">
      <dgm:prSet phldrT="[Text]" custT="1"/>
      <dgm:spPr/>
      <dgm:t>
        <a:bodyPr/>
        <a:lstStyle/>
        <a:p>
          <a:r>
            <a:rPr lang="en-US" sz="1200">
              <a:latin typeface="Arial" panose="020B0604020202020204" pitchFamily="34" charset="0"/>
              <a:cs typeface="Arial" panose="020B0604020202020204" pitchFamily="34" charset="0"/>
            </a:rPr>
            <a:t>Development costs for new connectivity features</a:t>
          </a:r>
        </a:p>
      </dgm:t>
    </dgm:pt>
    <dgm:pt modelId="{3BE4B232-816F-4DF2-8469-433535E52251}" type="parTrans" cxnId="{5AEC25E7-47ED-4458-B4FC-7130A26713D8}">
      <dgm:prSet/>
      <dgm:spPr/>
      <dgm:t>
        <a:bodyPr/>
        <a:lstStyle/>
        <a:p>
          <a:endParaRPr lang="en-US" sz="1200">
            <a:latin typeface="Arial" panose="020B0604020202020204" pitchFamily="34" charset="0"/>
            <a:cs typeface="Arial" panose="020B0604020202020204" pitchFamily="34" charset="0"/>
          </a:endParaRPr>
        </a:p>
      </dgm:t>
    </dgm:pt>
    <dgm:pt modelId="{C13C33BE-FB76-41DB-9B3C-8F2EE49CD901}" type="sibTrans" cxnId="{5AEC25E7-47ED-4458-B4FC-7130A26713D8}">
      <dgm:prSet/>
      <dgm:spPr/>
      <dgm:t>
        <a:bodyPr/>
        <a:lstStyle/>
        <a:p>
          <a:endParaRPr lang="en-US" sz="1200">
            <a:latin typeface="Arial" panose="020B0604020202020204" pitchFamily="34" charset="0"/>
            <a:cs typeface="Arial" panose="020B0604020202020204" pitchFamily="34" charset="0"/>
          </a:endParaRPr>
        </a:p>
      </dgm:t>
    </dgm:pt>
    <dgm:pt modelId="{81C8BC76-5299-48E3-B7C0-C56D399C2B44}">
      <dgm:prSet phldrT="[Text]" custT="1"/>
      <dgm:spPr>
        <a:solidFill>
          <a:schemeClr val="accent1">
            <a:lumMod val="20000"/>
            <a:lumOff val="80000"/>
          </a:schemeClr>
        </a:solidFill>
      </dgm:spPr>
      <dgm:t>
        <a:bodyPr/>
        <a:lstStyle/>
        <a:p>
          <a:r>
            <a:rPr lang="en-US" sz="1200">
              <a:latin typeface="Arial" panose="020B0604020202020204" pitchFamily="34" charset="0"/>
              <a:cs typeface="Arial" panose="020B0604020202020204" pitchFamily="34" charset="0"/>
            </a:rPr>
            <a:t>Margin pressure in the short term</a:t>
          </a:r>
        </a:p>
      </dgm:t>
    </dgm:pt>
    <dgm:pt modelId="{608A9FA4-D529-464A-B6FE-B6261E5F005A}" type="parTrans" cxnId="{3EA10643-3024-4F5F-9B2D-32A456A91C4D}">
      <dgm:prSet/>
      <dgm:spPr/>
      <dgm:t>
        <a:bodyPr/>
        <a:lstStyle/>
        <a:p>
          <a:endParaRPr lang="en-US" sz="1200">
            <a:latin typeface="Arial" panose="020B0604020202020204" pitchFamily="34" charset="0"/>
            <a:cs typeface="Arial" panose="020B0604020202020204" pitchFamily="34" charset="0"/>
          </a:endParaRPr>
        </a:p>
      </dgm:t>
    </dgm:pt>
    <dgm:pt modelId="{F62A6161-FC03-422C-9838-15229E2AF2DD}" type="sibTrans" cxnId="{3EA10643-3024-4F5F-9B2D-32A456A91C4D}">
      <dgm:prSet/>
      <dgm:spPr/>
      <dgm:t>
        <a:bodyPr/>
        <a:lstStyle/>
        <a:p>
          <a:endParaRPr lang="en-US" sz="1200">
            <a:latin typeface="Arial" panose="020B0604020202020204" pitchFamily="34" charset="0"/>
            <a:cs typeface="Arial" panose="020B0604020202020204" pitchFamily="34" charset="0"/>
          </a:endParaRPr>
        </a:p>
      </dgm:t>
    </dgm:pt>
    <dgm:pt modelId="{85161513-1A5E-4925-8262-851858F03784}">
      <dgm:prSet phldrT="[Text]" custT="1"/>
      <dgm:spPr>
        <a:solidFill>
          <a:schemeClr val="tx2"/>
        </a:solidFill>
      </dgm:spPr>
      <dgm:t>
        <a:bodyPr/>
        <a:lstStyle/>
        <a:p>
          <a:r>
            <a:rPr lang="en-US" sz="1200" b="1">
              <a:latin typeface="Arial" panose="020B0604020202020204" pitchFamily="34" charset="0"/>
              <a:cs typeface="Arial" panose="020B0604020202020204" pitchFamily="34" charset="0"/>
            </a:rPr>
            <a:t>Mitigation</a:t>
          </a:r>
        </a:p>
      </dgm:t>
    </dgm:pt>
    <dgm:pt modelId="{A793F31A-9769-4D8E-ABD5-3C76D5DED310}" type="parTrans" cxnId="{DDA420EE-3801-4778-BA5F-1C66ADC27F4F}">
      <dgm:prSet/>
      <dgm:spPr/>
      <dgm:t>
        <a:bodyPr/>
        <a:lstStyle/>
        <a:p>
          <a:endParaRPr lang="en-US" sz="1200">
            <a:latin typeface="Arial" panose="020B0604020202020204" pitchFamily="34" charset="0"/>
            <a:cs typeface="Arial" panose="020B0604020202020204" pitchFamily="34" charset="0"/>
          </a:endParaRPr>
        </a:p>
      </dgm:t>
    </dgm:pt>
    <dgm:pt modelId="{0DBBB0B1-E63F-4F92-B404-19AC35E3742D}" type="sibTrans" cxnId="{DDA420EE-3801-4778-BA5F-1C66ADC27F4F}">
      <dgm:prSet/>
      <dgm:spPr/>
      <dgm:t>
        <a:bodyPr/>
        <a:lstStyle/>
        <a:p>
          <a:endParaRPr lang="en-US" sz="1200">
            <a:latin typeface="Arial" panose="020B0604020202020204" pitchFamily="34" charset="0"/>
            <a:cs typeface="Arial" panose="020B0604020202020204" pitchFamily="34" charset="0"/>
          </a:endParaRPr>
        </a:p>
      </dgm:t>
    </dgm:pt>
    <dgm:pt modelId="{6DD3793A-A231-4B54-8E62-3BA5F6DBF49C}">
      <dgm:prSet phldrT="[Text]" custT="1"/>
      <dgm:spPr>
        <a:solidFill>
          <a:schemeClr val="accent1">
            <a:lumMod val="20000"/>
            <a:lumOff val="80000"/>
          </a:schemeClr>
        </a:solidFill>
      </dgm:spPr>
      <dgm:t>
        <a:bodyPr/>
        <a:lstStyle/>
        <a:p>
          <a:r>
            <a:rPr lang="en-US" sz="1200">
              <a:latin typeface="Arial" panose="020B0604020202020204" pitchFamily="34" charset="0"/>
              <a:cs typeface="Arial" panose="020B0604020202020204" pitchFamily="34" charset="0"/>
            </a:rPr>
            <a:t>Phase features across variants; leverage parent-company technology transfer</a:t>
          </a:r>
        </a:p>
      </dgm:t>
    </dgm:pt>
    <dgm:pt modelId="{36DACF19-E3E4-4B82-ADD5-840E0945A454}" type="parTrans" cxnId="{67DA92EA-F4A6-46A6-8FAE-E827DC9CDF83}">
      <dgm:prSet/>
      <dgm:spPr/>
      <dgm:t>
        <a:bodyPr/>
        <a:lstStyle/>
        <a:p>
          <a:endParaRPr lang="en-US" sz="1200">
            <a:latin typeface="Arial" panose="020B0604020202020204" pitchFamily="34" charset="0"/>
            <a:cs typeface="Arial" panose="020B0604020202020204" pitchFamily="34" charset="0"/>
          </a:endParaRPr>
        </a:p>
      </dgm:t>
    </dgm:pt>
    <dgm:pt modelId="{F00C7077-CAF5-45E9-860E-5C1BF6E1E8AA}" type="sibTrans" cxnId="{67DA92EA-F4A6-46A6-8FAE-E827DC9CDF83}">
      <dgm:prSet/>
      <dgm:spPr/>
      <dgm:t>
        <a:bodyPr/>
        <a:lstStyle/>
        <a:p>
          <a:endParaRPr lang="en-US" sz="1200">
            <a:latin typeface="Arial" panose="020B0604020202020204" pitchFamily="34" charset="0"/>
            <a:cs typeface="Arial" panose="020B0604020202020204" pitchFamily="34" charset="0"/>
          </a:endParaRPr>
        </a:p>
      </dgm:t>
    </dgm:pt>
    <dgm:pt modelId="{C783EC9E-E672-4C89-99A2-E3579CEE3682}">
      <dgm:prSet phldrT="[Text]" custT="1"/>
      <dgm:spPr/>
      <dgm:t>
        <a:bodyPr/>
        <a:lstStyle/>
        <a:p>
          <a:r>
            <a:rPr lang="en-US" sz="1200">
              <a:latin typeface="Arial" panose="020B0604020202020204" pitchFamily="34" charset="0"/>
              <a:cs typeface="Arial" panose="020B0604020202020204" pitchFamily="34" charset="0"/>
            </a:rPr>
            <a:t>Dealer inconsistency in communicating new positioning</a:t>
          </a:r>
        </a:p>
      </dgm:t>
    </dgm:pt>
    <dgm:pt modelId="{564A7B01-AADB-4D00-BE15-4914384ADAA7}" type="parTrans" cxnId="{1A7BFCB2-7D99-48A6-B4F7-8D7F4DF90951}">
      <dgm:prSet/>
      <dgm:spPr/>
      <dgm:t>
        <a:bodyPr/>
        <a:lstStyle/>
        <a:p>
          <a:endParaRPr lang="en-US" sz="1200"/>
        </a:p>
      </dgm:t>
    </dgm:pt>
    <dgm:pt modelId="{448B36B7-5F41-4F01-B798-FD6EB190AA34}" type="sibTrans" cxnId="{1A7BFCB2-7D99-48A6-B4F7-8D7F4DF90951}">
      <dgm:prSet/>
      <dgm:spPr/>
      <dgm:t>
        <a:bodyPr/>
        <a:lstStyle/>
        <a:p>
          <a:endParaRPr lang="en-US" sz="1200"/>
        </a:p>
      </dgm:t>
    </dgm:pt>
    <dgm:pt modelId="{BE75DC73-715F-4DD5-809D-9124739617B6}">
      <dgm:prSet phldrT="[Text]" custT="1"/>
      <dgm:spPr>
        <a:solidFill>
          <a:schemeClr val="accent2">
            <a:lumMod val="20000"/>
            <a:lumOff val="80000"/>
          </a:schemeClr>
        </a:solidFill>
      </dgm:spPr>
      <dgm:t>
        <a:bodyPr/>
        <a:lstStyle/>
        <a:p>
          <a:r>
            <a:rPr lang="en-US" sz="1200">
              <a:latin typeface="Arial" panose="020B0604020202020204" pitchFamily="34" charset="0"/>
              <a:cs typeface="Arial" panose="020B0604020202020204" pitchFamily="34" charset="0"/>
            </a:rPr>
            <a:t>Diluted brand message</a:t>
          </a:r>
        </a:p>
      </dgm:t>
    </dgm:pt>
    <dgm:pt modelId="{5E9B6F9D-2A55-4A9B-B85D-F75A2C92F7A9}" type="parTrans" cxnId="{2CBDA5BE-AB8F-41B7-A56B-EB849218CAA6}">
      <dgm:prSet/>
      <dgm:spPr/>
      <dgm:t>
        <a:bodyPr/>
        <a:lstStyle/>
        <a:p>
          <a:endParaRPr lang="en-US" sz="1200"/>
        </a:p>
      </dgm:t>
    </dgm:pt>
    <dgm:pt modelId="{35BF3E2A-A272-4AE7-ADC8-09917D4E16BC}" type="sibTrans" cxnId="{2CBDA5BE-AB8F-41B7-A56B-EB849218CAA6}">
      <dgm:prSet/>
      <dgm:spPr/>
      <dgm:t>
        <a:bodyPr/>
        <a:lstStyle/>
        <a:p>
          <a:endParaRPr lang="en-US" sz="1200"/>
        </a:p>
      </dgm:t>
    </dgm:pt>
    <dgm:pt modelId="{72F8FDE6-C9EA-404A-B9CF-E9A5B78A9EEB}">
      <dgm:prSet phldrT="[Text]" custT="1"/>
      <dgm:spPr>
        <a:solidFill>
          <a:schemeClr val="accent2">
            <a:lumMod val="20000"/>
            <a:lumOff val="80000"/>
          </a:schemeClr>
        </a:solidFill>
      </dgm:spPr>
      <dgm:t>
        <a:bodyPr/>
        <a:lstStyle/>
        <a:p>
          <a:r>
            <a:rPr lang="en-US" sz="1200">
              <a:latin typeface="Arial" panose="020B0604020202020204" pitchFamily="34" charset="0"/>
              <a:cs typeface="Arial" panose="020B0604020202020204" pitchFamily="34" charset="0"/>
            </a:rPr>
            <a:t>Structured dealer training tied to the Learning and Growth scorecard perspective</a:t>
          </a:r>
        </a:p>
      </dgm:t>
    </dgm:pt>
    <dgm:pt modelId="{30233E13-64CD-4C64-8CC3-078885986FAC}" type="parTrans" cxnId="{2A3BB426-2DD2-47CD-BD74-4C67CFFFF174}">
      <dgm:prSet/>
      <dgm:spPr/>
      <dgm:t>
        <a:bodyPr/>
        <a:lstStyle/>
        <a:p>
          <a:endParaRPr lang="en-US" sz="1200"/>
        </a:p>
      </dgm:t>
    </dgm:pt>
    <dgm:pt modelId="{DEFEAA5B-C06A-45B6-9176-AA47DBD0C9E9}" type="sibTrans" cxnId="{2A3BB426-2DD2-47CD-BD74-4C67CFFFF174}">
      <dgm:prSet/>
      <dgm:spPr/>
      <dgm:t>
        <a:bodyPr/>
        <a:lstStyle/>
        <a:p>
          <a:endParaRPr lang="en-US" sz="1200"/>
        </a:p>
      </dgm:t>
    </dgm:pt>
    <dgm:pt modelId="{F31319CC-3260-483F-9D29-CEACC6214317}">
      <dgm:prSet phldrT="[Text]" custT="1"/>
      <dgm:spPr/>
      <dgm:t>
        <a:bodyPr/>
        <a:lstStyle/>
        <a:p>
          <a:r>
            <a:rPr lang="en-US" sz="1200">
              <a:latin typeface="Arial" panose="020B0604020202020204" pitchFamily="34" charset="0"/>
              <a:cs typeface="Arial" panose="020B0604020202020204" pitchFamily="34" charset="0"/>
            </a:rPr>
            <a:t>Competitor retaliation (e.g., Yamaha R2 launch)</a:t>
          </a:r>
        </a:p>
      </dgm:t>
    </dgm:pt>
    <dgm:pt modelId="{90276A43-48DD-4B17-985C-DDC74B000D49}" type="parTrans" cxnId="{5EB6A7A9-FBD8-45AC-BC3F-B07544F4CB18}">
      <dgm:prSet/>
      <dgm:spPr/>
      <dgm:t>
        <a:bodyPr/>
        <a:lstStyle/>
        <a:p>
          <a:endParaRPr lang="en-US" sz="1200"/>
        </a:p>
      </dgm:t>
    </dgm:pt>
    <dgm:pt modelId="{B8560BFF-CC31-4242-9667-0F00AE41F270}" type="sibTrans" cxnId="{5EB6A7A9-FBD8-45AC-BC3F-B07544F4CB18}">
      <dgm:prSet/>
      <dgm:spPr/>
      <dgm:t>
        <a:bodyPr/>
        <a:lstStyle/>
        <a:p>
          <a:endParaRPr lang="en-US" sz="1200"/>
        </a:p>
      </dgm:t>
    </dgm:pt>
    <dgm:pt modelId="{B072D752-637E-43CA-90D6-A4CACC399E08}">
      <dgm:prSet phldrT="[Text]" custT="1"/>
      <dgm:spPr>
        <a:solidFill>
          <a:schemeClr val="accent3">
            <a:lumMod val="40000"/>
            <a:lumOff val="60000"/>
          </a:schemeClr>
        </a:solidFill>
      </dgm:spPr>
      <dgm:t>
        <a:bodyPr/>
        <a:lstStyle/>
        <a:p>
          <a:r>
            <a:rPr lang="en-US" sz="1200">
              <a:latin typeface="Arial" panose="020B0604020202020204" pitchFamily="34" charset="0"/>
              <a:cs typeface="Arial" panose="020B0604020202020204" pitchFamily="34" charset="0"/>
            </a:rPr>
            <a:t>Price and feature pressure</a:t>
          </a:r>
        </a:p>
      </dgm:t>
    </dgm:pt>
    <dgm:pt modelId="{03AA77BB-BF79-4273-B9FA-19B46B7413C6}" type="parTrans" cxnId="{1C3A21B5-9EEF-4641-AF5C-AA9C65B33EC9}">
      <dgm:prSet/>
      <dgm:spPr/>
      <dgm:t>
        <a:bodyPr/>
        <a:lstStyle/>
        <a:p>
          <a:endParaRPr lang="en-US" sz="1200"/>
        </a:p>
      </dgm:t>
    </dgm:pt>
    <dgm:pt modelId="{F38173CA-1222-4BFB-846F-D6E449811A9B}" type="sibTrans" cxnId="{1C3A21B5-9EEF-4641-AF5C-AA9C65B33EC9}">
      <dgm:prSet/>
      <dgm:spPr/>
      <dgm:t>
        <a:bodyPr/>
        <a:lstStyle/>
        <a:p>
          <a:endParaRPr lang="en-US" sz="1200"/>
        </a:p>
      </dgm:t>
    </dgm:pt>
    <dgm:pt modelId="{91A202A6-4F72-4818-8181-A8B3DE9CEE38}">
      <dgm:prSet phldrT="[Text]" custT="1"/>
      <dgm:spPr>
        <a:solidFill>
          <a:schemeClr val="accent3">
            <a:lumMod val="40000"/>
            <a:lumOff val="60000"/>
          </a:schemeClr>
        </a:solidFill>
      </dgm:spPr>
      <dgm:t>
        <a:bodyPr/>
        <a:lstStyle/>
        <a:p>
          <a:r>
            <a:rPr lang="en-US" sz="1200">
              <a:latin typeface="Arial" panose="020B0604020202020204" pitchFamily="34" charset="0"/>
              <a:cs typeface="Arial" panose="020B0604020202020204" pitchFamily="34" charset="0"/>
            </a:rPr>
            <a:t>Monitor competitor launches; maintain flex-fuel and reliability messaging as a distinct anchor</a:t>
          </a:r>
        </a:p>
      </dgm:t>
    </dgm:pt>
    <dgm:pt modelId="{B932B5A7-312F-4580-AFE1-28D19A5949DB}" type="parTrans" cxnId="{17F539F2-3E9E-46B2-B090-91BD3BE5C172}">
      <dgm:prSet/>
      <dgm:spPr/>
      <dgm:t>
        <a:bodyPr/>
        <a:lstStyle/>
        <a:p>
          <a:endParaRPr lang="en-US" sz="1200"/>
        </a:p>
      </dgm:t>
    </dgm:pt>
    <dgm:pt modelId="{D14C2E42-731F-4A1F-B548-C8BDE08CB9D5}" type="sibTrans" cxnId="{17F539F2-3E9E-46B2-B090-91BD3BE5C172}">
      <dgm:prSet/>
      <dgm:spPr/>
      <dgm:t>
        <a:bodyPr/>
        <a:lstStyle/>
        <a:p>
          <a:endParaRPr lang="en-US" sz="1200"/>
        </a:p>
      </dgm:t>
    </dgm:pt>
    <dgm:pt modelId="{1E24551D-6520-4E42-95D5-239B59942A0C}">
      <dgm:prSet phldrT="[Text]" custT="1"/>
      <dgm:spPr/>
      <dgm:t>
        <a:bodyPr/>
        <a:lstStyle/>
        <a:p>
          <a:r>
            <a:rPr lang="en-US" sz="1200">
              <a:latin typeface="Arial" panose="020B0604020202020204" pitchFamily="34" charset="0"/>
              <a:cs typeface="Arial" panose="020B0604020202020204" pitchFamily="34" charset="0"/>
            </a:rPr>
            <a:t>Supply-chain exposure for electronics components</a:t>
          </a:r>
        </a:p>
      </dgm:t>
    </dgm:pt>
    <dgm:pt modelId="{6FA829E5-AA88-4B54-A597-9E2B12514752}" type="parTrans" cxnId="{FF0EAC6C-1C9F-49E3-ACBA-F868530CF3B6}">
      <dgm:prSet/>
      <dgm:spPr/>
      <dgm:t>
        <a:bodyPr/>
        <a:lstStyle/>
        <a:p>
          <a:endParaRPr lang="en-US" sz="1200"/>
        </a:p>
      </dgm:t>
    </dgm:pt>
    <dgm:pt modelId="{DEE068EC-B350-4F07-8241-F604E7F7270F}" type="sibTrans" cxnId="{FF0EAC6C-1C9F-49E3-ACBA-F868530CF3B6}">
      <dgm:prSet/>
      <dgm:spPr/>
      <dgm:t>
        <a:bodyPr/>
        <a:lstStyle/>
        <a:p>
          <a:endParaRPr lang="en-US" sz="1200"/>
        </a:p>
      </dgm:t>
    </dgm:pt>
    <dgm:pt modelId="{0EC23947-47B4-4788-A43F-66BB43DDF9B2}">
      <dgm:prSet phldrT="[Text]" custT="1"/>
      <dgm:spPr>
        <a:solidFill>
          <a:schemeClr val="accent4">
            <a:lumMod val="20000"/>
            <a:lumOff val="80000"/>
          </a:schemeClr>
        </a:solidFill>
      </dgm:spPr>
      <dgm:t>
        <a:bodyPr/>
        <a:lstStyle/>
        <a:p>
          <a:r>
            <a:rPr lang="en-US" sz="1200">
              <a:latin typeface="Arial" panose="020B0604020202020204" pitchFamily="34" charset="0"/>
              <a:cs typeface="Arial" panose="020B0604020202020204" pitchFamily="34" charset="0"/>
            </a:rPr>
            <a:t>Delays or cost increases</a:t>
          </a:r>
        </a:p>
      </dgm:t>
    </dgm:pt>
    <dgm:pt modelId="{F2EAA076-868F-47D0-804B-08241C0D5061}" type="parTrans" cxnId="{3C46C86A-2D49-4054-A45D-D29CE7796A76}">
      <dgm:prSet/>
      <dgm:spPr/>
      <dgm:t>
        <a:bodyPr/>
        <a:lstStyle/>
        <a:p>
          <a:endParaRPr lang="en-US" sz="1200"/>
        </a:p>
      </dgm:t>
    </dgm:pt>
    <dgm:pt modelId="{357A578F-E4BD-47EE-8C79-D7900B63B190}" type="sibTrans" cxnId="{3C46C86A-2D49-4054-A45D-D29CE7796A76}">
      <dgm:prSet/>
      <dgm:spPr/>
      <dgm:t>
        <a:bodyPr/>
        <a:lstStyle/>
        <a:p>
          <a:endParaRPr lang="en-US" sz="1200"/>
        </a:p>
      </dgm:t>
    </dgm:pt>
    <dgm:pt modelId="{49368DEB-5AFA-4356-AA03-CB3995B9BF66}">
      <dgm:prSet phldrT="[Text]" custT="1"/>
      <dgm:spPr>
        <a:solidFill>
          <a:schemeClr val="accent4">
            <a:lumMod val="20000"/>
            <a:lumOff val="80000"/>
          </a:schemeClr>
        </a:solidFill>
      </dgm:spPr>
      <dgm:t>
        <a:bodyPr/>
        <a:lstStyle/>
        <a:p>
          <a:r>
            <a:rPr lang="en-US" sz="1200">
              <a:latin typeface="Arial" panose="020B0604020202020204" pitchFamily="34" charset="0"/>
              <a:cs typeface="Arial" panose="020B0604020202020204" pitchFamily="34" charset="0"/>
            </a:rPr>
            <a:t>Diversify suppliers where feasible under PLI localisation incentives</a:t>
          </a:r>
        </a:p>
      </dgm:t>
    </dgm:pt>
    <dgm:pt modelId="{09142DFC-5367-442B-8BDD-E7AEDFA49A96}" type="parTrans" cxnId="{78AC63F0-3187-4670-A430-793B409CFBBC}">
      <dgm:prSet/>
      <dgm:spPr/>
      <dgm:t>
        <a:bodyPr/>
        <a:lstStyle/>
        <a:p>
          <a:endParaRPr lang="en-US" sz="1200"/>
        </a:p>
      </dgm:t>
    </dgm:pt>
    <dgm:pt modelId="{BC0F688A-E607-4065-A680-25CBC504A5DF}" type="sibTrans" cxnId="{78AC63F0-3187-4670-A430-793B409CFBBC}">
      <dgm:prSet/>
      <dgm:spPr/>
      <dgm:t>
        <a:bodyPr/>
        <a:lstStyle/>
        <a:p>
          <a:endParaRPr lang="en-US" sz="1200"/>
        </a:p>
      </dgm:t>
    </dgm:pt>
    <dgm:pt modelId="{957FD7D2-8F47-4FDA-8EC6-900189B5A551}">
      <dgm:prSet phldrT="[Text]" custT="1"/>
      <dgm:spPr>
        <a:noFill/>
      </dgm:spPr>
      <dgm:t>
        <a:bodyPr/>
        <a:lstStyle/>
        <a:p>
          <a:r>
            <a:rPr lang="en-US" sz="1200">
              <a:latin typeface="Arial" panose="020B0604020202020204" pitchFamily="34" charset="0"/>
              <a:cs typeface="Arial" panose="020B0604020202020204" pitchFamily="34" charset="0"/>
            </a:rPr>
            <a:t>Weak market communication of flex-fuel advantage</a:t>
          </a:r>
        </a:p>
      </dgm:t>
    </dgm:pt>
    <dgm:pt modelId="{9716FD8E-48A9-4E48-AF62-733B5BFAA1C9}" type="parTrans" cxnId="{646A3D76-75EF-4DA6-B1BF-1A14ECD86A6A}">
      <dgm:prSet/>
      <dgm:spPr/>
      <dgm:t>
        <a:bodyPr/>
        <a:lstStyle/>
        <a:p>
          <a:endParaRPr lang="en-US"/>
        </a:p>
      </dgm:t>
    </dgm:pt>
    <dgm:pt modelId="{D596A949-3F34-4333-B3BD-84DF9D7F6F88}" type="sibTrans" cxnId="{646A3D76-75EF-4DA6-B1BF-1A14ECD86A6A}">
      <dgm:prSet/>
      <dgm:spPr/>
      <dgm:t>
        <a:bodyPr/>
        <a:lstStyle/>
        <a:p>
          <a:endParaRPr lang="en-US"/>
        </a:p>
      </dgm:t>
    </dgm:pt>
    <dgm:pt modelId="{796A5ABD-0526-49CB-89E9-1965B4D80669}">
      <dgm:prSet phldrT="[Text]" custT="1"/>
      <dgm:spPr>
        <a:solidFill>
          <a:schemeClr val="accent6">
            <a:lumMod val="20000"/>
            <a:lumOff val="80000"/>
          </a:schemeClr>
        </a:solidFill>
      </dgm:spPr>
      <dgm:t>
        <a:bodyPr/>
        <a:lstStyle/>
        <a:p>
          <a:r>
            <a:rPr lang="en-US" sz="1200">
              <a:latin typeface="Arial" panose="020B0604020202020204" pitchFamily="34" charset="0"/>
              <a:cs typeface="Arial" panose="020B0604020202020204" pitchFamily="34" charset="0"/>
            </a:rPr>
            <a:t>Under-recognised differentiation</a:t>
          </a:r>
        </a:p>
      </dgm:t>
    </dgm:pt>
    <dgm:pt modelId="{AFF4D1E4-0DB4-4944-90B7-FF86E59D9099}" type="parTrans" cxnId="{DDDE9168-8A11-4D41-986A-01CE08A9828D}">
      <dgm:prSet/>
      <dgm:spPr/>
      <dgm:t>
        <a:bodyPr/>
        <a:lstStyle/>
        <a:p>
          <a:endParaRPr lang="en-US"/>
        </a:p>
      </dgm:t>
    </dgm:pt>
    <dgm:pt modelId="{4DD0B53D-9ED3-4629-9BA4-C83E79D592A9}" type="sibTrans" cxnId="{DDDE9168-8A11-4D41-986A-01CE08A9828D}">
      <dgm:prSet/>
      <dgm:spPr/>
      <dgm:t>
        <a:bodyPr/>
        <a:lstStyle/>
        <a:p>
          <a:endParaRPr lang="en-US"/>
        </a:p>
      </dgm:t>
    </dgm:pt>
    <dgm:pt modelId="{3D781ECC-7DB6-4183-80A2-31CCF0A634FC}">
      <dgm:prSet phldrT="[Text]" custT="1"/>
      <dgm:spPr>
        <a:solidFill>
          <a:schemeClr val="accent6">
            <a:lumMod val="20000"/>
            <a:lumOff val="80000"/>
          </a:schemeClr>
        </a:solidFill>
      </dgm:spPr>
      <dgm:t>
        <a:bodyPr/>
        <a:lstStyle/>
        <a:p>
          <a:r>
            <a:rPr lang="en-US" sz="1200">
              <a:latin typeface="Arial" panose="020B0604020202020204" pitchFamily="34" charset="0"/>
              <a:cs typeface="Arial" panose="020B0604020202020204" pitchFamily="34" charset="0"/>
            </a:rPr>
            <a:t>Integrate flex-fuel messaging into digital marketing and dealership signage</a:t>
          </a:r>
        </a:p>
      </dgm:t>
    </dgm:pt>
    <dgm:pt modelId="{695D9B1A-27C8-478D-A6EE-375F34D740AF}" type="parTrans" cxnId="{1A3A374C-9BD1-4138-9E30-7D4BCE089D1D}">
      <dgm:prSet/>
      <dgm:spPr/>
      <dgm:t>
        <a:bodyPr/>
        <a:lstStyle/>
        <a:p>
          <a:endParaRPr lang="en-US"/>
        </a:p>
      </dgm:t>
    </dgm:pt>
    <dgm:pt modelId="{41CF746B-9327-4B18-8E32-F623DB63FB96}" type="sibTrans" cxnId="{1A3A374C-9BD1-4138-9E30-7D4BCE089D1D}">
      <dgm:prSet/>
      <dgm:spPr/>
      <dgm:t>
        <a:bodyPr/>
        <a:lstStyle/>
        <a:p>
          <a:endParaRPr lang="en-US"/>
        </a:p>
      </dgm:t>
    </dgm:pt>
    <dgm:pt modelId="{36AD06CA-C4C9-409F-9097-7BBFF6BCC527}" type="pres">
      <dgm:prSet presAssocID="{B9CB50B8-D1C5-4B37-94ED-B3778F47E128}" presName="vert0" presStyleCnt="0">
        <dgm:presLayoutVars>
          <dgm:dir/>
          <dgm:animOne val="branch"/>
          <dgm:animLvl val="lvl"/>
        </dgm:presLayoutVars>
      </dgm:prSet>
      <dgm:spPr/>
    </dgm:pt>
    <dgm:pt modelId="{CE2B8AC8-B3AD-43E5-892D-00B75CB15294}" type="pres">
      <dgm:prSet presAssocID="{82FFF41E-479A-4810-8D21-71D15922D47F}" presName="thickLine" presStyleLbl="alignNode1" presStyleIdx="0" presStyleCnt="6"/>
      <dgm:spPr/>
    </dgm:pt>
    <dgm:pt modelId="{0A4D9EE2-E982-43DA-83FB-C388238AFF42}" type="pres">
      <dgm:prSet presAssocID="{82FFF41E-479A-4810-8D21-71D15922D47F}" presName="horz1" presStyleCnt="0"/>
      <dgm:spPr/>
    </dgm:pt>
    <dgm:pt modelId="{DBD4FDC4-A338-4B40-9574-9650C3307559}" type="pres">
      <dgm:prSet presAssocID="{82FFF41E-479A-4810-8D21-71D15922D47F}" presName="tx1" presStyleLbl="revTx" presStyleIdx="0" presStyleCnt="18"/>
      <dgm:spPr/>
    </dgm:pt>
    <dgm:pt modelId="{D9D144C1-B37E-4231-A8F8-A4046CDB06FA}" type="pres">
      <dgm:prSet presAssocID="{82FFF41E-479A-4810-8D21-71D15922D47F}" presName="vert1" presStyleCnt="0"/>
      <dgm:spPr/>
    </dgm:pt>
    <dgm:pt modelId="{2B1CD9D0-59C5-4299-A042-5F6A14B40B9A}" type="pres">
      <dgm:prSet presAssocID="{D5391012-F545-43A7-80A0-79E15DAE54BD}" presName="vertSpace2a" presStyleCnt="0"/>
      <dgm:spPr/>
    </dgm:pt>
    <dgm:pt modelId="{9D8768FF-6B33-4F8D-9BFC-4F3ECD66D9E0}" type="pres">
      <dgm:prSet presAssocID="{D5391012-F545-43A7-80A0-79E15DAE54BD}" presName="horz2" presStyleCnt="0"/>
      <dgm:spPr/>
    </dgm:pt>
    <dgm:pt modelId="{3BF7402A-7CD4-4FC7-9199-4B275F742E97}" type="pres">
      <dgm:prSet presAssocID="{D5391012-F545-43A7-80A0-79E15DAE54BD}" presName="horzSpace2" presStyleCnt="0"/>
      <dgm:spPr/>
    </dgm:pt>
    <dgm:pt modelId="{76248582-177D-4303-B20C-3ED62FCF8C03}" type="pres">
      <dgm:prSet presAssocID="{D5391012-F545-43A7-80A0-79E15DAE54BD}" presName="tx2" presStyleLbl="revTx" presStyleIdx="1" presStyleCnt="18"/>
      <dgm:spPr/>
    </dgm:pt>
    <dgm:pt modelId="{D86FFD33-C70C-43C8-BD9A-159FB490665E}" type="pres">
      <dgm:prSet presAssocID="{D5391012-F545-43A7-80A0-79E15DAE54BD}" presName="vert2" presStyleCnt="0"/>
      <dgm:spPr/>
    </dgm:pt>
    <dgm:pt modelId="{F3F17A49-27C9-46B0-AF19-CB17CD8F6C98}" type="pres">
      <dgm:prSet presAssocID="{85161513-1A5E-4925-8262-851858F03784}" presName="horz3" presStyleCnt="0"/>
      <dgm:spPr/>
    </dgm:pt>
    <dgm:pt modelId="{DF9A5230-6A55-406C-B647-DC2796B30593}" type="pres">
      <dgm:prSet presAssocID="{85161513-1A5E-4925-8262-851858F03784}" presName="horzSpace3" presStyleCnt="0"/>
      <dgm:spPr/>
    </dgm:pt>
    <dgm:pt modelId="{0B5A107B-8254-43E5-8DF4-B3135A1200A1}" type="pres">
      <dgm:prSet presAssocID="{85161513-1A5E-4925-8262-851858F03784}" presName="tx3" presStyleLbl="revTx" presStyleIdx="2" presStyleCnt="18"/>
      <dgm:spPr/>
    </dgm:pt>
    <dgm:pt modelId="{A9F44D5C-55BB-4393-83DD-F5C1E384789E}" type="pres">
      <dgm:prSet presAssocID="{85161513-1A5E-4925-8262-851858F03784}" presName="vert3" presStyleCnt="0"/>
      <dgm:spPr/>
    </dgm:pt>
    <dgm:pt modelId="{AC3090A5-346D-4576-90D1-EB53FD76AD00}" type="pres">
      <dgm:prSet presAssocID="{D5391012-F545-43A7-80A0-79E15DAE54BD}" presName="thinLine2b" presStyleLbl="callout" presStyleIdx="0" presStyleCnt="6"/>
      <dgm:spPr/>
    </dgm:pt>
    <dgm:pt modelId="{5FFCB60E-E66A-4C4D-8CAB-A35344864E60}" type="pres">
      <dgm:prSet presAssocID="{D5391012-F545-43A7-80A0-79E15DAE54BD}" presName="vertSpace2b" presStyleCnt="0"/>
      <dgm:spPr/>
    </dgm:pt>
    <dgm:pt modelId="{AC9E6975-68C5-4DD0-A6B6-173EFE0851EF}" type="pres">
      <dgm:prSet presAssocID="{6AFE9255-2B10-49B2-86E9-F52EC92E5E77}" presName="thickLine" presStyleLbl="alignNode1" presStyleIdx="1" presStyleCnt="6"/>
      <dgm:spPr/>
    </dgm:pt>
    <dgm:pt modelId="{C18B24E8-BD05-46CA-AC97-1ABA6B689CF1}" type="pres">
      <dgm:prSet presAssocID="{6AFE9255-2B10-49B2-86E9-F52EC92E5E77}" presName="horz1" presStyleCnt="0"/>
      <dgm:spPr/>
    </dgm:pt>
    <dgm:pt modelId="{9991C883-018C-4797-9B72-FFEA44FA8E85}" type="pres">
      <dgm:prSet presAssocID="{6AFE9255-2B10-49B2-86E9-F52EC92E5E77}" presName="tx1" presStyleLbl="revTx" presStyleIdx="3" presStyleCnt="18"/>
      <dgm:spPr/>
    </dgm:pt>
    <dgm:pt modelId="{E30BD3BC-A949-45D7-AD94-EE26FC2FB2AD}" type="pres">
      <dgm:prSet presAssocID="{6AFE9255-2B10-49B2-86E9-F52EC92E5E77}" presName="vert1" presStyleCnt="0"/>
      <dgm:spPr/>
    </dgm:pt>
    <dgm:pt modelId="{70103D3D-F4CB-4E1D-9DBB-739C01036E1C}" type="pres">
      <dgm:prSet presAssocID="{81C8BC76-5299-48E3-B7C0-C56D399C2B44}" presName="vertSpace2a" presStyleCnt="0"/>
      <dgm:spPr/>
    </dgm:pt>
    <dgm:pt modelId="{7A75F378-9127-43DF-9FBB-3FD9B7D5449B}" type="pres">
      <dgm:prSet presAssocID="{81C8BC76-5299-48E3-B7C0-C56D399C2B44}" presName="horz2" presStyleCnt="0"/>
      <dgm:spPr/>
    </dgm:pt>
    <dgm:pt modelId="{4D1236A9-A02E-49CF-A111-AB3C7373EF77}" type="pres">
      <dgm:prSet presAssocID="{81C8BC76-5299-48E3-B7C0-C56D399C2B44}" presName="horzSpace2" presStyleCnt="0"/>
      <dgm:spPr/>
    </dgm:pt>
    <dgm:pt modelId="{0AD5A7DC-7A0D-4403-B548-869D4D04A29C}" type="pres">
      <dgm:prSet presAssocID="{81C8BC76-5299-48E3-B7C0-C56D399C2B44}" presName="tx2" presStyleLbl="revTx" presStyleIdx="4" presStyleCnt="18"/>
      <dgm:spPr/>
    </dgm:pt>
    <dgm:pt modelId="{BDC0341F-2C70-4DAD-B07D-0E5EE667772B}" type="pres">
      <dgm:prSet presAssocID="{81C8BC76-5299-48E3-B7C0-C56D399C2B44}" presName="vert2" presStyleCnt="0"/>
      <dgm:spPr/>
    </dgm:pt>
    <dgm:pt modelId="{8434FC5B-E612-4DC6-9B77-C9A4F4C2FD9D}" type="pres">
      <dgm:prSet presAssocID="{6DD3793A-A231-4B54-8E62-3BA5F6DBF49C}" presName="horz3" presStyleCnt="0"/>
      <dgm:spPr/>
    </dgm:pt>
    <dgm:pt modelId="{580F00BC-621C-4F50-914B-A723B1B2FE24}" type="pres">
      <dgm:prSet presAssocID="{6DD3793A-A231-4B54-8E62-3BA5F6DBF49C}" presName="horzSpace3" presStyleCnt="0"/>
      <dgm:spPr/>
    </dgm:pt>
    <dgm:pt modelId="{4FEC8737-F72A-4512-A944-C0D85F2678DF}" type="pres">
      <dgm:prSet presAssocID="{6DD3793A-A231-4B54-8E62-3BA5F6DBF49C}" presName="tx3" presStyleLbl="revTx" presStyleIdx="5" presStyleCnt="18"/>
      <dgm:spPr/>
    </dgm:pt>
    <dgm:pt modelId="{DF7EA854-CEDB-4FB6-B181-B5909839D2B6}" type="pres">
      <dgm:prSet presAssocID="{6DD3793A-A231-4B54-8E62-3BA5F6DBF49C}" presName="vert3" presStyleCnt="0"/>
      <dgm:spPr/>
    </dgm:pt>
    <dgm:pt modelId="{5DC6B466-65A0-4FDD-8633-5C86F899CDE3}" type="pres">
      <dgm:prSet presAssocID="{81C8BC76-5299-48E3-B7C0-C56D399C2B44}" presName="thinLine2b" presStyleLbl="callout" presStyleIdx="1" presStyleCnt="6"/>
      <dgm:spPr/>
    </dgm:pt>
    <dgm:pt modelId="{B85AC120-13F6-48DE-8671-92900E2B558E}" type="pres">
      <dgm:prSet presAssocID="{81C8BC76-5299-48E3-B7C0-C56D399C2B44}" presName="vertSpace2b" presStyleCnt="0"/>
      <dgm:spPr/>
    </dgm:pt>
    <dgm:pt modelId="{CE0C3682-EC58-4249-BC08-295ABE0D4993}" type="pres">
      <dgm:prSet presAssocID="{C783EC9E-E672-4C89-99A2-E3579CEE3682}" presName="thickLine" presStyleLbl="alignNode1" presStyleIdx="2" presStyleCnt="6"/>
      <dgm:spPr/>
    </dgm:pt>
    <dgm:pt modelId="{66C26C74-BE97-46CA-B4D9-0664627FBF1D}" type="pres">
      <dgm:prSet presAssocID="{C783EC9E-E672-4C89-99A2-E3579CEE3682}" presName="horz1" presStyleCnt="0"/>
      <dgm:spPr/>
    </dgm:pt>
    <dgm:pt modelId="{67530875-8E3F-49B9-8C14-6BD4DE078086}" type="pres">
      <dgm:prSet presAssocID="{C783EC9E-E672-4C89-99A2-E3579CEE3682}" presName="tx1" presStyleLbl="revTx" presStyleIdx="6" presStyleCnt="18"/>
      <dgm:spPr/>
    </dgm:pt>
    <dgm:pt modelId="{0059E632-EAAA-44F8-A28A-E4D256A43526}" type="pres">
      <dgm:prSet presAssocID="{C783EC9E-E672-4C89-99A2-E3579CEE3682}" presName="vert1" presStyleCnt="0"/>
      <dgm:spPr/>
    </dgm:pt>
    <dgm:pt modelId="{BAE66B6D-1941-4724-8438-57D5FD82BAE8}" type="pres">
      <dgm:prSet presAssocID="{BE75DC73-715F-4DD5-809D-9124739617B6}" presName="vertSpace2a" presStyleCnt="0"/>
      <dgm:spPr/>
    </dgm:pt>
    <dgm:pt modelId="{7D141509-1A61-43FC-9B31-469708BAD75D}" type="pres">
      <dgm:prSet presAssocID="{BE75DC73-715F-4DD5-809D-9124739617B6}" presName="horz2" presStyleCnt="0"/>
      <dgm:spPr/>
    </dgm:pt>
    <dgm:pt modelId="{3156FE8E-10BA-49C1-9B74-B913B712FBA5}" type="pres">
      <dgm:prSet presAssocID="{BE75DC73-715F-4DD5-809D-9124739617B6}" presName="horzSpace2" presStyleCnt="0"/>
      <dgm:spPr/>
    </dgm:pt>
    <dgm:pt modelId="{9CB8D96A-1950-4F45-9721-3E71F22DD17B}" type="pres">
      <dgm:prSet presAssocID="{BE75DC73-715F-4DD5-809D-9124739617B6}" presName="tx2" presStyleLbl="revTx" presStyleIdx="7" presStyleCnt="18" custLinFactNeighborY="-3905"/>
      <dgm:spPr/>
    </dgm:pt>
    <dgm:pt modelId="{1FAFE3C4-C270-4C02-8D08-EA8F85F7BE3E}" type="pres">
      <dgm:prSet presAssocID="{BE75DC73-715F-4DD5-809D-9124739617B6}" presName="vert2" presStyleCnt="0"/>
      <dgm:spPr/>
    </dgm:pt>
    <dgm:pt modelId="{DB02D85D-174D-48E5-A36C-F0B007542DFB}" type="pres">
      <dgm:prSet presAssocID="{72F8FDE6-C9EA-404A-B9CF-E9A5B78A9EEB}" presName="horz3" presStyleCnt="0"/>
      <dgm:spPr/>
    </dgm:pt>
    <dgm:pt modelId="{62DA5B1D-1032-4CA0-8732-4E56FA90C559}" type="pres">
      <dgm:prSet presAssocID="{72F8FDE6-C9EA-404A-B9CF-E9A5B78A9EEB}" presName="horzSpace3" presStyleCnt="0"/>
      <dgm:spPr/>
    </dgm:pt>
    <dgm:pt modelId="{652D6CFE-A313-44CB-AE10-B7926C0FE80A}" type="pres">
      <dgm:prSet presAssocID="{72F8FDE6-C9EA-404A-B9CF-E9A5B78A9EEB}" presName="tx3" presStyleLbl="revTx" presStyleIdx="8" presStyleCnt="18"/>
      <dgm:spPr/>
    </dgm:pt>
    <dgm:pt modelId="{670771B1-E549-478A-8D33-31741547857C}" type="pres">
      <dgm:prSet presAssocID="{72F8FDE6-C9EA-404A-B9CF-E9A5B78A9EEB}" presName="vert3" presStyleCnt="0"/>
      <dgm:spPr/>
    </dgm:pt>
    <dgm:pt modelId="{F1CAF6F8-E417-46C8-8235-8D5505143F16}" type="pres">
      <dgm:prSet presAssocID="{BE75DC73-715F-4DD5-809D-9124739617B6}" presName="thinLine2b" presStyleLbl="callout" presStyleIdx="2" presStyleCnt="6"/>
      <dgm:spPr/>
    </dgm:pt>
    <dgm:pt modelId="{94AA2081-A19C-440E-B492-FC7D0A566A36}" type="pres">
      <dgm:prSet presAssocID="{BE75DC73-715F-4DD5-809D-9124739617B6}" presName="vertSpace2b" presStyleCnt="0"/>
      <dgm:spPr/>
    </dgm:pt>
    <dgm:pt modelId="{492F82FB-21C8-4748-953F-3648F565F61B}" type="pres">
      <dgm:prSet presAssocID="{F31319CC-3260-483F-9D29-CEACC6214317}" presName="thickLine" presStyleLbl="alignNode1" presStyleIdx="3" presStyleCnt="6"/>
      <dgm:spPr/>
    </dgm:pt>
    <dgm:pt modelId="{238FE98A-0302-4A24-8769-AE734B15321E}" type="pres">
      <dgm:prSet presAssocID="{F31319CC-3260-483F-9D29-CEACC6214317}" presName="horz1" presStyleCnt="0"/>
      <dgm:spPr/>
    </dgm:pt>
    <dgm:pt modelId="{5659A6A1-667F-46FC-9B74-1855405E62E1}" type="pres">
      <dgm:prSet presAssocID="{F31319CC-3260-483F-9D29-CEACC6214317}" presName="tx1" presStyleLbl="revTx" presStyleIdx="9" presStyleCnt="18"/>
      <dgm:spPr/>
    </dgm:pt>
    <dgm:pt modelId="{E6AC34BA-211F-43E7-AA2A-2592F5410AC1}" type="pres">
      <dgm:prSet presAssocID="{F31319CC-3260-483F-9D29-CEACC6214317}" presName="vert1" presStyleCnt="0"/>
      <dgm:spPr/>
    </dgm:pt>
    <dgm:pt modelId="{448D8A2A-1178-4D8E-82CB-AF8DE9B0E4BB}" type="pres">
      <dgm:prSet presAssocID="{B072D752-637E-43CA-90D6-A4CACC399E08}" presName="vertSpace2a" presStyleCnt="0"/>
      <dgm:spPr/>
    </dgm:pt>
    <dgm:pt modelId="{F138B76E-4EB7-4BC8-906E-95BA4BA2A626}" type="pres">
      <dgm:prSet presAssocID="{B072D752-637E-43CA-90D6-A4CACC399E08}" presName="horz2" presStyleCnt="0"/>
      <dgm:spPr/>
    </dgm:pt>
    <dgm:pt modelId="{45C95CAB-F501-40DB-B840-743DCF5C876C}" type="pres">
      <dgm:prSet presAssocID="{B072D752-637E-43CA-90D6-A4CACC399E08}" presName="horzSpace2" presStyleCnt="0"/>
      <dgm:spPr/>
    </dgm:pt>
    <dgm:pt modelId="{28D0E865-47F7-47D9-8DB1-E755074648CB}" type="pres">
      <dgm:prSet presAssocID="{B072D752-637E-43CA-90D6-A4CACC399E08}" presName="tx2" presStyleLbl="revTx" presStyleIdx="10" presStyleCnt="18"/>
      <dgm:spPr/>
    </dgm:pt>
    <dgm:pt modelId="{050AAC64-8B9B-4698-AD70-8D1EB1BD22CE}" type="pres">
      <dgm:prSet presAssocID="{B072D752-637E-43CA-90D6-A4CACC399E08}" presName="vert2" presStyleCnt="0"/>
      <dgm:spPr/>
    </dgm:pt>
    <dgm:pt modelId="{2010BD52-BEB0-4790-9FD7-152D5F079F0F}" type="pres">
      <dgm:prSet presAssocID="{91A202A6-4F72-4818-8181-A8B3DE9CEE38}" presName="horz3" presStyleCnt="0"/>
      <dgm:spPr/>
    </dgm:pt>
    <dgm:pt modelId="{ED6C136F-914D-478B-8F12-750C1D89BA16}" type="pres">
      <dgm:prSet presAssocID="{91A202A6-4F72-4818-8181-A8B3DE9CEE38}" presName="horzSpace3" presStyleCnt="0"/>
      <dgm:spPr/>
    </dgm:pt>
    <dgm:pt modelId="{9FD9B73F-25E7-4F56-916C-F5666FEFEFEF}" type="pres">
      <dgm:prSet presAssocID="{91A202A6-4F72-4818-8181-A8B3DE9CEE38}" presName="tx3" presStyleLbl="revTx" presStyleIdx="11" presStyleCnt="18"/>
      <dgm:spPr/>
    </dgm:pt>
    <dgm:pt modelId="{47454120-239C-40F9-803D-C730EF1FB46B}" type="pres">
      <dgm:prSet presAssocID="{91A202A6-4F72-4818-8181-A8B3DE9CEE38}" presName="vert3" presStyleCnt="0"/>
      <dgm:spPr/>
    </dgm:pt>
    <dgm:pt modelId="{99D804FE-6AA7-4959-BF98-782072915987}" type="pres">
      <dgm:prSet presAssocID="{B072D752-637E-43CA-90D6-A4CACC399E08}" presName="thinLine2b" presStyleLbl="callout" presStyleIdx="3" presStyleCnt="6"/>
      <dgm:spPr/>
    </dgm:pt>
    <dgm:pt modelId="{8BCD7961-4062-40F5-8F4C-781997888718}" type="pres">
      <dgm:prSet presAssocID="{B072D752-637E-43CA-90D6-A4CACC399E08}" presName="vertSpace2b" presStyleCnt="0"/>
      <dgm:spPr/>
    </dgm:pt>
    <dgm:pt modelId="{5BD3B693-19D0-4807-A3CC-5F4912F9B0D4}" type="pres">
      <dgm:prSet presAssocID="{1E24551D-6520-4E42-95D5-239B59942A0C}" presName="thickLine" presStyleLbl="alignNode1" presStyleIdx="4" presStyleCnt="6"/>
      <dgm:spPr/>
    </dgm:pt>
    <dgm:pt modelId="{333EDD7A-6D79-4FB9-B401-3ECF59ACEC12}" type="pres">
      <dgm:prSet presAssocID="{1E24551D-6520-4E42-95D5-239B59942A0C}" presName="horz1" presStyleCnt="0"/>
      <dgm:spPr/>
    </dgm:pt>
    <dgm:pt modelId="{7D693E8A-A848-4D15-9CFB-FEF843EFD107}" type="pres">
      <dgm:prSet presAssocID="{1E24551D-6520-4E42-95D5-239B59942A0C}" presName="tx1" presStyleLbl="revTx" presStyleIdx="12" presStyleCnt="18"/>
      <dgm:spPr/>
    </dgm:pt>
    <dgm:pt modelId="{C2A623F8-49E3-4F90-8A12-B2AEDEFF8F3B}" type="pres">
      <dgm:prSet presAssocID="{1E24551D-6520-4E42-95D5-239B59942A0C}" presName="vert1" presStyleCnt="0"/>
      <dgm:spPr/>
    </dgm:pt>
    <dgm:pt modelId="{D39DED16-A5AA-46BF-81B4-1BF031FE6F24}" type="pres">
      <dgm:prSet presAssocID="{0EC23947-47B4-4788-A43F-66BB43DDF9B2}" presName="vertSpace2a" presStyleCnt="0"/>
      <dgm:spPr/>
    </dgm:pt>
    <dgm:pt modelId="{2BB33A81-7C7B-429D-85CB-61E6703C9BB9}" type="pres">
      <dgm:prSet presAssocID="{0EC23947-47B4-4788-A43F-66BB43DDF9B2}" presName="horz2" presStyleCnt="0"/>
      <dgm:spPr/>
    </dgm:pt>
    <dgm:pt modelId="{F02A51C1-E39B-427B-8DFA-537115F5E2E0}" type="pres">
      <dgm:prSet presAssocID="{0EC23947-47B4-4788-A43F-66BB43DDF9B2}" presName="horzSpace2" presStyleCnt="0"/>
      <dgm:spPr/>
    </dgm:pt>
    <dgm:pt modelId="{5A591B37-C7B6-4831-84B2-3E48769B4366}" type="pres">
      <dgm:prSet presAssocID="{0EC23947-47B4-4788-A43F-66BB43DDF9B2}" presName="tx2" presStyleLbl="revTx" presStyleIdx="13" presStyleCnt="18"/>
      <dgm:spPr/>
    </dgm:pt>
    <dgm:pt modelId="{82139266-3C88-4C52-925A-4F59DB82125E}" type="pres">
      <dgm:prSet presAssocID="{0EC23947-47B4-4788-A43F-66BB43DDF9B2}" presName="vert2" presStyleCnt="0"/>
      <dgm:spPr/>
    </dgm:pt>
    <dgm:pt modelId="{5C0D6AAF-C7A9-4E39-A097-56DC77C74024}" type="pres">
      <dgm:prSet presAssocID="{49368DEB-5AFA-4356-AA03-CB3995B9BF66}" presName="horz3" presStyleCnt="0"/>
      <dgm:spPr/>
    </dgm:pt>
    <dgm:pt modelId="{7D903E3B-2ECB-4EA2-951D-9E6E80E578EB}" type="pres">
      <dgm:prSet presAssocID="{49368DEB-5AFA-4356-AA03-CB3995B9BF66}" presName="horzSpace3" presStyleCnt="0"/>
      <dgm:spPr/>
    </dgm:pt>
    <dgm:pt modelId="{E6C0E14C-F9C3-4A10-A0F0-A918E9028951}" type="pres">
      <dgm:prSet presAssocID="{49368DEB-5AFA-4356-AA03-CB3995B9BF66}" presName="tx3" presStyleLbl="revTx" presStyleIdx="14" presStyleCnt="18"/>
      <dgm:spPr/>
    </dgm:pt>
    <dgm:pt modelId="{A8801CA9-6FE8-4117-8113-D3F4702A2CB4}" type="pres">
      <dgm:prSet presAssocID="{49368DEB-5AFA-4356-AA03-CB3995B9BF66}" presName="vert3" presStyleCnt="0"/>
      <dgm:spPr/>
    </dgm:pt>
    <dgm:pt modelId="{85396B93-9D37-4899-9F7D-FD249068FAC2}" type="pres">
      <dgm:prSet presAssocID="{0EC23947-47B4-4788-A43F-66BB43DDF9B2}" presName="thinLine2b" presStyleLbl="callout" presStyleIdx="4" presStyleCnt="6"/>
      <dgm:spPr/>
    </dgm:pt>
    <dgm:pt modelId="{DEBA1644-0DA3-4782-B789-06B931523E7C}" type="pres">
      <dgm:prSet presAssocID="{0EC23947-47B4-4788-A43F-66BB43DDF9B2}" presName="vertSpace2b" presStyleCnt="0"/>
      <dgm:spPr/>
    </dgm:pt>
    <dgm:pt modelId="{02F6FC7C-D50D-4C07-814D-EC63C075B9F8}" type="pres">
      <dgm:prSet presAssocID="{957FD7D2-8F47-4FDA-8EC6-900189B5A551}" presName="thickLine" presStyleLbl="alignNode1" presStyleIdx="5" presStyleCnt="6"/>
      <dgm:spPr/>
    </dgm:pt>
    <dgm:pt modelId="{4E4CEBD0-38F7-496F-A82E-711B333D2529}" type="pres">
      <dgm:prSet presAssocID="{957FD7D2-8F47-4FDA-8EC6-900189B5A551}" presName="horz1" presStyleCnt="0"/>
      <dgm:spPr/>
    </dgm:pt>
    <dgm:pt modelId="{2523AF69-51E5-450C-8396-0E5E0BF88B59}" type="pres">
      <dgm:prSet presAssocID="{957FD7D2-8F47-4FDA-8EC6-900189B5A551}" presName="tx1" presStyleLbl="revTx" presStyleIdx="15" presStyleCnt="18"/>
      <dgm:spPr/>
    </dgm:pt>
    <dgm:pt modelId="{EEF42EB3-FCBE-4296-9F01-C5E921BDF1C9}" type="pres">
      <dgm:prSet presAssocID="{957FD7D2-8F47-4FDA-8EC6-900189B5A551}" presName="vert1" presStyleCnt="0"/>
      <dgm:spPr/>
    </dgm:pt>
    <dgm:pt modelId="{23746F08-B99D-4467-94F9-C1106AAD181C}" type="pres">
      <dgm:prSet presAssocID="{796A5ABD-0526-49CB-89E9-1965B4D80669}" presName="vertSpace2a" presStyleCnt="0"/>
      <dgm:spPr/>
    </dgm:pt>
    <dgm:pt modelId="{A9F0F2C7-ADEA-45B0-88C8-E8DF53A1271A}" type="pres">
      <dgm:prSet presAssocID="{796A5ABD-0526-49CB-89E9-1965B4D80669}" presName="horz2" presStyleCnt="0"/>
      <dgm:spPr/>
    </dgm:pt>
    <dgm:pt modelId="{6E29D1DC-BA98-4719-A943-E2F857466286}" type="pres">
      <dgm:prSet presAssocID="{796A5ABD-0526-49CB-89E9-1965B4D80669}" presName="horzSpace2" presStyleCnt="0"/>
      <dgm:spPr/>
    </dgm:pt>
    <dgm:pt modelId="{1D512A4D-3B63-48B3-B8AB-6AD3A7281B64}" type="pres">
      <dgm:prSet presAssocID="{796A5ABD-0526-49CB-89E9-1965B4D80669}" presName="tx2" presStyleLbl="revTx" presStyleIdx="16" presStyleCnt="18"/>
      <dgm:spPr/>
    </dgm:pt>
    <dgm:pt modelId="{860628ED-4E2F-4C15-9402-53614D196A09}" type="pres">
      <dgm:prSet presAssocID="{796A5ABD-0526-49CB-89E9-1965B4D80669}" presName="vert2" presStyleCnt="0"/>
      <dgm:spPr/>
    </dgm:pt>
    <dgm:pt modelId="{E9674053-472D-4AF1-928D-86A2CDB2DB17}" type="pres">
      <dgm:prSet presAssocID="{3D781ECC-7DB6-4183-80A2-31CCF0A634FC}" presName="horz3" presStyleCnt="0"/>
      <dgm:spPr/>
    </dgm:pt>
    <dgm:pt modelId="{819920E8-AC05-47BB-BDDF-CF8D88B2EBE0}" type="pres">
      <dgm:prSet presAssocID="{3D781ECC-7DB6-4183-80A2-31CCF0A634FC}" presName="horzSpace3" presStyleCnt="0"/>
      <dgm:spPr/>
    </dgm:pt>
    <dgm:pt modelId="{62318437-5A60-49BC-A668-BBB82CE7C853}" type="pres">
      <dgm:prSet presAssocID="{3D781ECC-7DB6-4183-80A2-31CCF0A634FC}" presName="tx3" presStyleLbl="revTx" presStyleIdx="17" presStyleCnt="18"/>
      <dgm:spPr/>
    </dgm:pt>
    <dgm:pt modelId="{30B5BC9F-98DE-4A98-8BBF-0EC4F1A2C865}" type="pres">
      <dgm:prSet presAssocID="{3D781ECC-7DB6-4183-80A2-31CCF0A634FC}" presName="vert3" presStyleCnt="0"/>
      <dgm:spPr/>
    </dgm:pt>
    <dgm:pt modelId="{B8F991AF-E2B5-48B5-951A-ECC790F51326}" type="pres">
      <dgm:prSet presAssocID="{796A5ABD-0526-49CB-89E9-1965B4D80669}" presName="thinLine2b" presStyleLbl="callout" presStyleIdx="5" presStyleCnt="6"/>
      <dgm:spPr/>
    </dgm:pt>
    <dgm:pt modelId="{5A095840-61E9-41AC-AE73-F7C1D7FEA296}" type="pres">
      <dgm:prSet presAssocID="{796A5ABD-0526-49CB-89E9-1965B4D80669}" presName="vertSpace2b" presStyleCnt="0"/>
      <dgm:spPr/>
    </dgm:pt>
  </dgm:ptLst>
  <dgm:cxnLst>
    <dgm:cxn modelId="{AD7E8E13-20C5-4D47-9AC6-72B9862CE295}" type="presOf" srcId="{B072D752-637E-43CA-90D6-A4CACC399E08}" destId="{28D0E865-47F7-47D9-8DB1-E755074648CB}" srcOrd="0" destOrd="0" presId="urn:microsoft.com/office/officeart/2008/layout/LinedList"/>
    <dgm:cxn modelId="{8757111A-AD2B-4835-BDDF-9F656486AE46}" type="presOf" srcId="{0EC23947-47B4-4788-A43F-66BB43DDF9B2}" destId="{5A591B37-C7B6-4831-84B2-3E48769B4366}" srcOrd="0" destOrd="0" presId="urn:microsoft.com/office/officeart/2008/layout/LinedList"/>
    <dgm:cxn modelId="{5025FD24-1A4B-430D-8ABF-22578BF414E6}" type="presOf" srcId="{6AFE9255-2B10-49B2-86E9-F52EC92E5E77}" destId="{9991C883-018C-4797-9B72-FFEA44FA8E85}" srcOrd="0" destOrd="0" presId="urn:microsoft.com/office/officeart/2008/layout/LinedList"/>
    <dgm:cxn modelId="{2A3BB426-2DD2-47CD-BD74-4C67CFFFF174}" srcId="{BE75DC73-715F-4DD5-809D-9124739617B6}" destId="{72F8FDE6-C9EA-404A-B9CF-E9A5B78A9EEB}" srcOrd="0" destOrd="0" parTransId="{30233E13-64CD-4C64-8CC3-078885986FAC}" sibTransId="{DEFEAA5B-C06A-45B6-9176-AA47DBD0C9E9}"/>
    <dgm:cxn modelId="{4BD0D127-799F-4596-A67D-65573312BAC4}" type="presOf" srcId="{957FD7D2-8F47-4FDA-8EC6-900189B5A551}" destId="{2523AF69-51E5-450C-8396-0E5E0BF88B59}" srcOrd="0" destOrd="0" presId="urn:microsoft.com/office/officeart/2008/layout/LinedList"/>
    <dgm:cxn modelId="{709D272D-B753-44E6-AFC1-C97BD96C5896}" type="presOf" srcId="{F31319CC-3260-483F-9D29-CEACC6214317}" destId="{5659A6A1-667F-46FC-9B74-1855405E62E1}" srcOrd="0" destOrd="0" presId="urn:microsoft.com/office/officeart/2008/layout/LinedList"/>
    <dgm:cxn modelId="{B7C9672D-9366-40BD-80B2-B7AE2D921CE1}" type="presOf" srcId="{3D781ECC-7DB6-4183-80A2-31CCF0A634FC}" destId="{62318437-5A60-49BC-A668-BBB82CE7C853}" srcOrd="0" destOrd="0" presId="urn:microsoft.com/office/officeart/2008/layout/LinedList"/>
    <dgm:cxn modelId="{27EA7D39-4CA2-4E3D-A7DA-92D975B0C7BB}" type="presOf" srcId="{B9CB50B8-D1C5-4B37-94ED-B3778F47E128}" destId="{36AD06CA-C4C9-409F-9097-7BBFF6BCC527}" srcOrd="0" destOrd="0" presId="urn:microsoft.com/office/officeart/2008/layout/LinedList"/>
    <dgm:cxn modelId="{3EA10643-3024-4F5F-9B2D-32A456A91C4D}" srcId="{6AFE9255-2B10-49B2-86E9-F52EC92E5E77}" destId="{81C8BC76-5299-48E3-B7C0-C56D399C2B44}" srcOrd="0" destOrd="0" parTransId="{608A9FA4-D529-464A-B6FE-B6261E5F005A}" sibTransId="{F62A6161-FC03-422C-9838-15229E2AF2DD}"/>
    <dgm:cxn modelId="{DDDE9168-8A11-4D41-986A-01CE08A9828D}" srcId="{957FD7D2-8F47-4FDA-8EC6-900189B5A551}" destId="{796A5ABD-0526-49CB-89E9-1965B4D80669}" srcOrd="0" destOrd="0" parTransId="{AFF4D1E4-0DB4-4944-90B7-FF86E59D9099}" sibTransId="{4DD0B53D-9ED3-4629-9BA4-C83E79D592A9}"/>
    <dgm:cxn modelId="{3C46C86A-2D49-4054-A45D-D29CE7796A76}" srcId="{1E24551D-6520-4E42-95D5-239B59942A0C}" destId="{0EC23947-47B4-4788-A43F-66BB43DDF9B2}" srcOrd="0" destOrd="0" parTransId="{F2EAA076-868F-47D0-804B-08241C0D5061}" sibTransId="{357A578F-E4BD-47EE-8C79-D7900B63B190}"/>
    <dgm:cxn modelId="{1A3A374C-9BD1-4138-9E30-7D4BCE089D1D}" srcId="{796A5ABD-0526-49CB-89E9-1965B4D80669}" destId="{3D781ECC-7DB6-4183-80A2-31CCF0A634FC}" srcOrd="0" destOrd="0" parTransId="{695D9B1A-27C8-478D-A6EE-375F34D740AF}" sibTransId="{41CF746B-9327-4B18-8E32-F623DB63FB96}"/>
    <dgm:cxn modelId="{FF0EAC6C-1C9F-49E3-ACBA-F868530CF3B6}" srcId="{B9CB50B8-D1C5-4B37-94ED-B3778F47E128}" destId="{1E24551D-6520-4E42-95D5-239B59942A0C}" srcOrd="4" destOrd="0" parTransId="{6FA829E5-AA88-4B54-A597-9E2B12514752}" sibTransId="{DEE068EC-B350-4F07-8241-F604E7F7270F}"/>
    <dgm:cxn modelId="{6784D472-881B-42A2-89EB-0A28CA7DB988}" type="presOf" srcId="{BE75DC73-715F-4DD5-809D-9124739617B6}" destId="{9CB8D96A-1950-4F45-9721-3E71F22DD17B}" srcOrd="0" destOrd="0" presId="urn:microsoft.com/office/officeart/2008/layout/LinedList"/>
    <dgm:cxn modelId="{646A3D76-75EF-4DA6-B1BF-1A14ECD86A6A}" srcId="{B9CB50B8-D1C5-4B37-94ED-B3778F47E128}" destId="{957FD7D2-8F47-4FDA-8EC6-900189B5A551}" srcOrd="5" destOrd="0" parTransId="{9716FD8E-48A9-4E48-AF62-733B5BFAA1C9}" sibTransId="{D596A949-3F34-4333-B3BD-84DF9D7F6F88}"/>
    <dgm:cxn modelId="{E8393F81-C34E-4E9D-BCCE-243375B64407}" type="presOf" srcId="{6DD3793A-A231-4B54-8E62-3BA5F6DBF49C}" destId="{4FEC8737-F72A-4512-A944-C0D85F2678DF}" srcOrd="0" destOrd="0" presId="urn:microsoft.com/office/officeart/2008/layout/LinedList"/>
    <dgm:cxn modelId="{972C0D83-021F-4712-BC06-4A884B0F83A9}" srcId="{82FFF41E-479A-4810-8D21-71D15922D47F}" destId="{D5391012-F545-43A7-80A0-79E15DAE54BD}" srcOrd="0" destOrd="0" parTransId="{27A814B3-68B6-4350-82FD-8BB92CB10FD2}" sibTransId="{EE2675E1-E335-452D-8383-48035DBF1921}"/>
    <dgm:cxn modelId="{ACA25085-F529-49D6-994A-44F23480391B}" type="presOf" srcId="{C783EC9E-E672-4C89-99A2-E3579CEE3682}" destId="{67530875-8E3F-49B9-8C14-6BD4DE078086}" srcOrd="0" destOrd="0" presId="urn:microsoft.com/office/officeart/2008/layout/LinedList"/>
    <dgm:cxn modelId="{42D36DA6-3158-4D3F-B99D-961E2D3BC06E}" srcId="{B9CB50B8-D1C5-4B37-94ED-B3778F47E128}" destId="{82FFF41E-479A-4810-8D21-71D15922D47F}" srcOrd="0" destOrd="0" parTransId="{49539BA2-7B14-41FB-8038-D0E71F3906EE}" sibTransId="{937B0CD2-6521-4A2C-9460-2E130D3AD39F}"/>
    <dgm:cxn modelId="{5EB6A7A9-FBD8-45AC-BC3F-B07544F4CB18}" srcId="{B9CB50B8-D1C5-4B37-94ED-B3778F47E128}" destId="{F31319CC-3260-483F-9D29-CEACC6214317}" srcOrd="3" destOrd="0" parTransId="{90276A43-48DD-4B17-985C-DDC74B000D49}" sibTransId="{B8560BFF-CC31-4242-9667-0F00AE41F270}"/>
    <dgm:cxn modelId="{1A7BFCB2-7D99-48A6-B4F7-8D7F4DF90951}" srcId="{B9CB50B8-D1C5-4B37-94ED-B3778F47E128}" destId="{C783EC9E-E672-4C89-99A2-E3579CEE3682}" srcOrd="2" destOrd="0" parTransId="{564A7B01-AADB-4D00-BE15-4914384ADAA7}" sibTransId="{448B36B7-5F41-4F01-B798-FD6EB190AA34}"/>
    <dgm:cxn modelId="{1C3A21B5-9EEF-4641-AF5C-AA9C65B33EC9}" srcId="{F31319CC-3260-483F-9D29-CEACC6214317}" destId="{B072D752-637E-43CA-90D6-A4CACC399E08}" srcOrd="0" destOrd="0" parTransId="{03AA77BB-BF79-4273-B9FA-19B46B7413C6}" sibTransId="{F38173CA-1222-4BFB-846F-D6E449811A9B}"/>
    <dgm:cxn modelId="{DA2B74B9-1807-4984-B0AB-E566BD3E1B65}" type="presOf" srcId="{85161513-1A5E-4925-8262-851858F03784}" destId="{0B5A107B-8254-43E5-8DF4-B3135A1200A1}" srcOrd="0" destOrd="0" presId="urn:microsoft.com/office/officeart/2008/layout/LinedList"/>
    <dgm:cxn modelId="{2CBDA5BE-AB8F-41B7-A56B-EB849218CAA6}" srcId="{C783EC9E-E672-4C89-99A2-E3579CEE3682}" destId="{BE75DC73-715F-4DD5-809D-9124739617B6}" srcOrd="0" destOrd="0" parTransId="{5E9B6F9D-2A55-4A9B-B85D-F75A2C92F7A9}" sibTransId="{35BF3E2A-A272-4AE7-ADC8-09917D4E16BC}"/>
    <dgm:cxn modelId="{F0A429C6-288F-4B4A-A28D-1458F44AED0E}" type="presOf" srcId="{D5391012-F545-43A7-80A0-79E15DAE54BD}" destId="{76248582-177D-4303-B20C-3ED62FCF8C03}" srcOrd="0" destOrd="0" presId="urn:microsoft.com/office/officeart/2008/layout/LinedList"/>
    <dgm:cxn modelId="{0704C7D2-6016-4099-8332-FDE8E3CB7B98}" type="presOf" srcId="{91A202A6-4F72-4818-8181-A8B3DE9CEE38}" destId="{9FD9B73F-25E7-4F56-916C-F5666FEFEFEF}" srcOrd="0" destOrd="0" presId="urn:microsoft.com/office/officeart/2008/layout/LinedList"/>
    <dgm:cxn modelId="{1241BDDB-3CCE-49DB-83BF-DC6AF0BFFDF2}" type="presOf" srcId="{49368DEB-5AFA-4356-AA03-CB3995B9BF66}" destId="{E6C0E14C-F9C3-4A10-A0F0-A918E9028951}" srcOrd="0" destOrd="0" presId="urn:microsoft.com/office/officeart/2008/layout/LinedList"/>
    <dgm:cxn modelId="{4A1408DC-4EA2-4819-AA5C-3E8392A2D7D6}" type="presOf" srcId="{1E24551D-6520-4E42-95D5-239B59942A0C}" destId="{7D693E8A-A848-4D15-9CFB-FEF843EFD107}" srcOrd="0" destOrd="0" presId="urn:microsoft.com/office/officeart/2008/layout/LinedList"/>
    <dgm:cxn modelId="{B07049E0-6A62-4B3C-9FD5-1F236134E60D}" type="presOf" srcId="{72F8FDE6-C9EA-404A-B9CF-E9A5B78A9EEB}" destId="{652D6CFE-A313-44CB-AE10-B7926C0FE80A}" srcOrd="0" destOrd="0" presId="urn:microsoft.com/office/officeart/2008/layout/LinedList"/>
    <dgm:cxn modelId="{5AEC25E7-47ED-4458-B4FC-7130A26713D8}" srcId="{B9CB50B8-D1C5-4B37-94ED-B3778F47E128}" destId="{6AFE9255-2B10-49B2-86E9-F52EC92E5E77}" srcOrd="1" destOrd="0" parTransId="{3BE4B232-816F-4DF2-8469-433535E52251}" sibTransId="{C13C33BE-FB76-41DB-9B3C-8F2EE49CD901}"/>
    <dgm:cxn modelId="{4CF475EA-61C7-4862-8272-1FCFE3780EB3}" type="presOf" srcId="{796A5ABD-0526-49CB-89E9-1965B4D80669}" destId="{1D512A4D-3B63-48B3-B8AB-6AD3A7281B64}" srcOrd="0" destOrd="0" presId="urn:microsoft.com/office/officeart/2008/layout/LinedList"/>
    <dgm:cxn modelId="{67DA92EA-F4A6-46A6-8FAE-E827DC9CDF83}" srcId="{81C8BC76-5299-48E3-B7C0-C56D399C2B44}" destId="{6DD3793A-A231-4B54-8E62-3BA5F6DBF49C}" srcOrd="0" destOrd="0" parTransId="{36DACF19-E3E4-4B82-ADD5-840E0945A454}" sibTransId="{F00C7077-CAF5-45E9-860E-5C1BF6E1E8AA}"/>
    <dgm:cxn modelId="{0A4A14EE-ABB3-4607-8B10-72D5D9D42300}" type="presOf" srcId="{81C8BC76-5299-48E3-B7C0-C56D399C2B44}" destId="{0AD5A7DC-7A0D-4403-B548-869D4D04A29C}" srcOrd="0" destOrd="0" presId="urn:microsoft.com/office/officeart/2008/layout/LinedList"/>
    <dgm:cxn modelId="{DDA420EE-3801-4778-BA5F-1C66ADC27F4F}" srcId="{D5391012-F545-43A7-80A0-79E15DAE54BD}" destId="{85161513-1A5E-4925-8262-851858F03784}" srcOrd="0" destOrd="0" parTransId="{A793F31A-9769-4D8E-ABD5-3C76D5DED310}" sibTransId="{0DBBB0B1-E63F-4F92-B404-19AC35E3742D}"/>
    <dgm:cxn modelId="{78AC63F0-3187-4670-A430-793B409CFBBC}" srcId="{0EC23947-47B4-4788-A43F-66BB43DDF9B2}" destId="{49368DEB-5AFA-4356-AA03-CB3995B9BF66}" srcOrd="0" destOrd="0" parTransId="{09142DFC-5367-442B-8BDD-E7AEDFA49A96}" sibTransId="{BC0F688A-E607-4065-A680-25CBC504A5DF}"/>
    <dgm:cxn modelId="{17F539F2-3E9E-46B2-B090-91BD3BE5C172}" srcId="{B072D752-637E-43CA-90D6-A4CACC399E08}" destId="{91A202A6-4F72-4818-8181-A8B3DE9CEE38}" srcOrd="0" destOrd="0" parTransId="{B932B5A7-312F-4580-AFE1-28D19A5949DB}" sibTransId="{D14C2E42-731F-4A1F-B548-C8BDE08CB9D5}"/>
    <dgm:cxn modelId="{9D4F89FB-7862-4AE6-A643-0A36F6502D60}" type="presOf" srcId="{82FFF41E-479A-4810-8D21-71D15922D47F}" destId="{DBD4FDC4-A338-4B40-9574-9650C3307559}" srcOrd="0" destOrd="0" presId="urn:microsoft.com/office/officeart/2008/layout/LinedList"/>
    <dgm:cxn modelId="{0D9FE841-3B48-4913-86D2-CF975E219E7E}" type="presParOf" srcId="{36AD06CA-C4C9-409F-9097-7BBFF6BCC527}" destId="{CE2B8AC8-B3AD-43E5-892D-00B75CB15294}" srcOrd="0" destOrd="0" presId="urn:microsoft.com/office/officeart/2008/layout/LinedList"/>
    <dgm:cxn modelId="{2BD7BA08-6FB8-4B7C-9718-C3F316B681C5}" type="presParOf" srcId="{36AD06CA-C4C9-409F-9097-7BBFF6BCC527}" destId="{0A4D9EE2-E982-43DA-83FB-C388238AFF42}" srcOrd="1" destOrd="0" presId="urn:microsoft.com/office/officeart/2008/layout/LinedList"/>
    <dgm:cxn modelId="{9B0BA98A-3909-46D8-B56C-ACD39B0BD31C}" type="presParOf" srcId="{0A4D9EE2-E982-43DA-83FB-C388238AFF42}" destId="{DBD4FDC4-A338-4B40-9574-9650C3307559}" srcOrd="0" destOrd="0" presId="urn:microsoft.com/office/officeart/2008/layout/LinedList"/>
    <dgm:cxn modelId="{C7C4AE49-0D48-4A3B-AB77-D42863AD2130}" type="presParOf" srcId="{0A4D9EE2-E982-43DA-83FB-C388238AFF42}" destId="{D9D144C1-B37E-4231-A8F8-A4046CDB06FA}" srcOrd="1" destOrd="0" presId="urn:microsoft.com/office/officeart/2008/layout/LinedList"/>
    <dgm:cxn modelId="{2C1B3AE8-4713-4A3C-B2E4-C4C2DBB7853D}" type="presParOf" srcId="{D9D144C1-B37E-4231-A8F8-A4046CDB06FA}" destId="{2B1CD9D0-59C5-4299-A042-5F6A14B40B9A}" srcOrd="0" destOrd="0" presId="urn:microsoft.com/office/officeart/2008/layout/LinedList"/>
    <dgm:cxn modelId="{42492BD5-72B5-4ED6-9A87-6F1DD3A04337}" type="presParOf" srcId="{D9D144C1-B37E-4231-A8F8-A4046CDB06FA}" destId="{9D8768FF-6B33-4F8D-9BFC-4F3ECD66D9E0}" srcOrd="1" destOrd="0" presId="urn:microsoft.com/office/officeart/2008/layout/LinedList"/>
    <dgm:cxn modelId="{1322610B-F8BB-4203-B912-D08468108781}" type="presParOf" srcId="{9D8768FF-6B33-4F8D-9BFC-4F3ECD66D9E0}" destId="{3BF7402A-7CD4-4FC7-9199-4B275F742E97}" srcOrd="0" destOrd="0" presId="urn:microsoft.com/office/officeart/2008/layout/LinedList"/>
    <dgm:cxn modelId="{F49A59B6-253A-46C8-B605-91389949036D}" type="presParOf" srcId="{9D8768FF-6B33-4F8D-9BFC-4F3ECD66D9E0}" destId="{76248582-177D-4303-B20C-3ED62FCF8C03}" srcOrd="1" destOrd="0" presId="urn:microsoft.com/office/officeart/2008/layout/LinedList"/>
    <dgm:cxn modelId="{9BD9A014-78A9-4A31-9927-BD86F8DBB6E7}" type="presParOf" srcId="{9D8768FF-6B33-4F8D-9BFC-4F3ECD66D9E0}" destId="{D86FFD33-C70C-43C8-BD9A-159FB490665E}" srcOrd="2" destOrd="0" presId="urn:microsoft.com/office/officeart/2008/layout/LinedList"/>
    <dgm:cxn modelId="{129EA417-3CF1-42E7-9B99-3198A3DEBEED}" type="presParOf" srcId="{D86FFD33-C70C-43C8-BD9A-159FB490665E}" destId="{F3F17A49-27C9-46B0-AF19-CB17CD8F6C98}" srcOrd="0" destOrd="0" presId="urn:microsoft.com/office/officeart/2008/layout/LinedList"/>
    <dgm:cxn modelId="{F80BFE9D-5B15-4833-A8D5-9BE9915DC0AD}" type="presParOf" srcId="{F3F17A49-27C9-46B0-AF19-CB17CD8F6C98}" destId="{DF9A5230-6A55-406C-B647-DC2796B30593}" srcOrd="0" destOrd="0" presId="urn:microsoft.com/office/officeart/2008/layout/LinedList"/>
    <dgm:cxn modelId="{3953EC5D-3386-4A09-96F6-403D50B8D592}" type="presParOf" srcId="{F3F17A49-27C9-46B0-AF19-CB17CD8F6C98}" destId="{0B5A107B-8254-43E5-8DF4-B3135A1200A1}" srcOrd="1" destOrd="0" presId="urn:microsoft.com/office/officeart/2008/layout/LinedList"/>
    <dgm:cxn modelId="{95478B0F-C577-46CC-B949-A74586BA8257}" type="presParOf" srcId="{F3F17A49-27C9-46B0-AF19-CB17CD8F6C98}" destId="{A9F44D5C-55BB-4393-83DD-F5C1E384789E}" srcOrd="2" destOrd="0" presId="urn:microsoft.com/office/officeart/2008/layout/LinedList"/>
    <dgm:cxn modelId="{69A750B0-3080-4DD1-86A1-1C55558A5F0C}" type="presParOf" srcId="{D9D144C1-B37E-4231-A8F8-A4046CDB06FA}" destId="{AC3090A5-346D-4576-90D1-EB53FD76AD00}" srcOrd="2" destOrd="0" presId="urn:microsoft.com/office/officeart/2008/layout/LinedList"/>
    <dgm:cxn modelId="{704BC719-CDCC-4C38-9A5E-F261F0077900}" type="presParOf" srcId="{D9D144C1-B37E-4231-A8F8-A4046CDB06FA}" destId="{5FFCB60E-E66A-4C4D-8CAB-A35344864E60}" srcOrd="3" destOrd="0" presId="urn:microsoft.com/office/officeart/2008/layout/LinedList"/>
    <dgm:cxn modelId="{7EB2D9E1-71A3-4817-9340-7CAE9212F3B5}" type="presParOf" srcId="{36AD06CA-C4C9-409F-9097-7BBFF6BCC527}" destId="{AC9E6975-68C5-4DD0-A6B6-173EFE0851EF}" srcOrd="2" destOrd="0" presId="urn:microsoft.com/office/officeart/2008/layout/LinedList"/>
    <dgm:cxn modelId="{A09EF5D0-B50E-4026-AC00-E15D73B75173}" type="presParOf" srcId="{36AD06CA-C4C9-409F-9097-7BBFF6BCC527}" destId="{C18B24E8-BD05-46CA-AC97-1ABA6B689CF1}" srcOrd="3" destOrd="0" presId="urn:microsoft.com/office/officeart/2008/layout/LinedList"/>
    <dgm:cxn modelId="{95B3FE76-DB55-41CB-BAE2-9879D954F578}" type="presParOf" srcId="{C18B24E8-BD05-46CA-AC97-1ABA6B689CF1}" destId="{9991C883-018C-4797-9B72-FFEA44FA8E85}" srcOrd="0" destOrd="0" presId="urn:microsoft.com/office/officeart/2008/layout/LinedList"/>
    <dgm:cxn modelId="{774C466B-4998-499B-8236-E154712BAE55}" type="presParOf" srcId="{C18B24E8-BD05-46CA-AC97-1ABA6B689CF1}" destId="{E30BD3BC-A949-45D7-AD94-EE26FC2FB2AD}" srcOrd="1" destOrd="0" presId="urn:microsoft.com/office/officeart/2008/layout/LinedList"/>
    <dgm:cxn modelId="{4B704C36-F532-447D-A194-1ACC0C909C8F}" type="presParOf" srcId="{E30BD3BC-A949-45D7-AD94-EE26FC2FB2AD}" destId="{70103D3D-F4CB-4E1D-9DBB-739C01036E1C}" srcOrd="0" destOrd="0" presId="urn:microsoft.com/office/officeart/2008/layout/LinedList"/>
    <dgm:cxn modelId="{4E538D7C-66D9-4F3B-A922-858DBBB485D2}" type="presParOf" srcId="{E30BD3BC-A949-45D7-AD94-EE26FC2FB2AD}" destId="{7A75F378-9127-43DF-9FBB-3FD9B7D5449B}" srcOrd="1" destOrd="0" presId="urn:microsoft.com/office/officeart/2008/layout/LinedList"/>
    <dgm:cxn modelId="{E5E47BC2-6815-4D2C-AE05-D0BDD5E909A0}" type="presParOf" srcId="{7A75F378-9127-43DF-9FBB-3FD9B7D5449B}" destId="{4D1236A9-A02E-49CF-A111-AB3C7373EF77}" srcOrd="0" destOrd="0" presId="urn:microsoft.com/office/officeart/2008/layout/LinedList"/>
    <dgm:cxn modelId="{FF328411-2871-4A5E-8B2A-005E94D088E3}" type="presParOf" srcId="{7A75F378-9127-43DF-9FBB-3FD9B7D5449B}" destId="{0AD5A7DC-7A0D-4403-B548-869D4D04A29C}" srcOrd="1" destOrd="0" presId="urn:microsoft.com/office/officeart/2008/layout/LinedList"/>
    <dgm:cxn modelId="{227EF786-800D-4CC1-A98F-6E9512E54722}" type="presParOf" srcId="{7A75F378-9127-43DF-9FBB-3FD9B7D5449B}" destId="{BDC0341F-2C70-4DAD-B07D-0E5EE667772B}" srcOrd="2" destOrd="0" presId="urn:microsoft.com/office/officeart/2008/layout/LinedList"/>
    <dgm:cxn modelId="{22851839-072F-42C5-A1C6-C27437A65301}" type="presParOf" srcId="{BDC0341F-2C70-4DAD-B07D-0E5EE667772B}" destId="{8434FC5B-E612-4DC6-9B77-C9A4F4C2FD9D}" srcOrd="0" destOrd="0" presId="urn:microsoft.com/office/officeart/2008/layout/LinedList"/>
    <dgm:cxn modelId="{367C6B2D-DB21-43CD-90DC-9E9319F2DAA7}" type="presParOf" srcId="{8434FC5B-E612-4DC6-9B77-C9A4F4C2FD9D}" destId="{580F00BC-621C-4F50-914B-A723B1B2FE24}" srcOrd="0" destOrd="0" presId="urn:microsoft.com/office/officeart/2008/layout/LinedList"/>
    <dgm:cxn modelId="{D0C75586-C2E0-47DD-A9DC-B3C5F4B8D871}" type="presParOf" srcId="{8434FC5B-E612-4DC6-9B77-C9A4F4C2FD9D}" destId="{4FEC8737-F72A-4512-A944-C0D85F2678DF}" srcOrd="1" destOrd="0" presId="urn:microsoft.com/office/officeart/2008/layout/LinedList"/>
    <dgm:cxn modelId="{A144B90E-57B4-4540-A7BD-8BAD1DE7AE38}" type="presParOf" srcId="{8434FC5B-E612-4DC6-9B77-C9A4F4C2FD9D}" destId="{DF7EA854-CEDB-4FB6-B181-B5909839D2B6}" srcOrd="2" destOrd="0" presId="urn:microsoft.com/office/officeart/2008/layout/LinedList"/>
    <dgm:cxn modelId="{9D14A829-2016-45DC-AD06-04D0459CAEA1}" type="presParOf" srcId="{E30BD3BC-A949-45D7-AD94-EE26FC2FB2AD}" destId="{5DC6B466-65A0-4FDD-8633-5C86F899CDE3}" srcOrd="2" destOrd="0" presId="urn:microsoft.com/office/officeart/2008/layout/LinedList"/>
    <dgm:cxn modelId="{4BB451DC-9B7D-48B5-9C2A-490550C35BE0}" type="presParOf" srcId="{E30BD3BC-A949-45D7-AD94-EE26FC2FB2AD}" destId="{B85AC120-13F6-48DE-8671-92900E2B558E}" srcOrd="3" destOrd="0" presId="urn:microsoft.com/office/officeart/2008/layout/LinedList"/>
    <dgm:cxn modelId="{747414BA-0D39-4CB4-9D5E-79ED707F27DC}" type="presParOf" srcId="{36AD06CA-C4C9-409F-9097-7BBFF6BCC527}" destId="{CE0C3682-EC58-4249-BC08-295ABE0D4993}" srcOrd="4" destOrd="0" presId="urn:microsoft.com/office/officeart/2008/layout/LinedList"/>
    <dgm:cxn modelId="{95B3EC74-625A-4684-AB73-BEF73502327D}" type="presParOf" srcId="{36AD06CA-C4C9-409F-9097-7BBFF6BCC527}" destId="{66C26C74-BE97-46CA-B4D9-0664627FBF1D}" srcOrd="5" destOrd="0" presId="urn:microsoft.com/office/officeart/2008/layout/LinedList"/>
    <dgm:cxn modelId="{AA91823D-9346-455E-B3F6-4DB18451D8A0}" type="presParOf" srcId="{66C26C74-BE97-46CA-B4D9-0664627FBF1D}" destId="{67530875-8E3F-49B9-8C14-6BD4DE078086}" srcOrd="0" destOrd="0" presId="urn:microsoft.com/office/officeart/2008/layout/LinedList"/>
    <dgm:cxn modelId="{4AC20266-F238-4369-BAC0-833172E87F69}" type="presParOf" srcId="{66C26C74-BE97-46CA-B4D9-0664627FBF1D}" destId="{0059E632-EAAA-44F8-A28A-E4D256A43526}" srcOrd="1" destOrd="0" presId="urn:microsoft.com/office/officeart/2008/layout/LinedList"/>
    <dgm:cxn modelId="{FAB33A3A-73ED-4296-898E-0445E84A5C8A}" type="presParOf" srcId="{0059E632-EAAA-44F8-A28A-E4D256A43526}" destId="{BAE66B6D-1941-4724-8438-57D5FD82BAE8}" srcOrd="0" destOrd="0" presId="urn:microsoft.com/office/officeart/2008/layout/LinedList"/>
    <dgm:cxn modelId="{1F568B22-AC91-4FB8-8FA9-C0018077AE75}" type="presParOf" srcId="{0059E632-EAAA-44F8-A28A-E4D256A43526}" destId="{7D141509-1A61-43FC-9B31-469708BAD75D}" srcOrd="1" destOrd="0" presId="urn:microsoft.com/office/officeart/2008/layout/LinedList"/>
    <dgm:cxn modelId="{9837C168-8184-428E-8FA2-9850645C486A}" type="presParOf" srcId="{7D141509-1A61-43FC-9B31-469708BAD75D}" destId="{3156FE8E-10BA-49C1-9B74-B913B712FBA5}" srcOrd="0" destOrd="0" presId="urn:microsoft.com/office/officeart/2008/layout/LinedList"/>
    <dgm:cxn modelId="{5D8E6FDF-FA6F-4E73-BE52-8FEDC6921B9F}" type="presParOf" srcId="{7D141509-1A61-43FC-9B31-469708BAD75D}" destId="{9CB8D96A-1950-4F45-9721-3E71F22DD17B}" srcOrd="1" destOrd="0" presId="urn:microsoft.com/office/officeart/2008/layout/LinedList"/>
    <dgm:cxn modelId="{039B9B85-DF65-4B68-B881-10D7D003C49F}" type="presParOf" srcId="{7D141509-1A61-43FC-9B31-469708BAD75D}" destId="{1FAFE3C4-C270-4C02-8D08-EA8F85F7BE3E}" srcOrd="2" destOrd="0" presId="urn:microsoft.com/office/officeart/2008/layout/LinedList"/>
    <dgm:cxn modelId="{CD3F667C-43DC-4DBF-B744-00A808BF7F0B}" type="presParOf" srcId="{1FAFE3C4-C270-4C02-8D08-EA8F85F7BE3E}" destId="{DB02D85D-174D-48E5-A36C-F0B007542DFB}" srcOrd="0" destOrd="0" presId="urn:microsoft.com/office/officeart/2008/layout/LinedList"/>
    <dgm:cxn modelId="{0CB0D4AC-8B19-4BF9-B999-4469ACCC63A3}" type="presParOf" srcId="{DB02D85D-174D-48E5-A36C-F0B007542DFB}" destId="{62DA5B1D-1032-4CA0-8732-4E56FA90C559}" srcOrd="0" destOrd="0" presId="urn:microsoft.com/office/officeart/2008/layout/LinedList"/>
    <dgm:cxn modelId="{77E041B5-7908-42F3-BECD-4FA438045711}" type="presParOf" srcId="{DB02D85D-174D-48E5-A36C-F0B007542DFB}" destId="{652D6CFE-A313-44CB-AE10-B7926C0FE80A}" srcOrd="1" destOrd="0" presId="urn:microsoft.com/office/officeart/2008/layout/LinedList"/>
    <dgm:cxn modelId="{C8FD0E52-58C4-4734-882F-6629741D0CB0}" type="presParOf" srcId="{DB02D85D-174D-48E5-A36C-F0B007542DFB}" destId="{670771B1-E549-478A-8D33-31741547857C}" srcOrd="2" destOrd="0" presId="urn:microsoft.com/office/officeart/2008/layout/LinedList"/>
    <dgm:cxn modelId="{E1A5FA81-C4B6-426D-BCAB-A30649552AE8}" type="presParOf" srcId="{0059E632-EAAA-44F8-A28A-E4D256A43526}" destId="{F1CAF6F8-E417-46C8-8235-8D5505143F16}" srcOrd="2" destOrd="0" presId="urn:microsoft.com/office/officeart/2008/layout/LinedList"/>
    <dgm:cxn modelId="{05047955-FA10-48FD-87CD-416B76357881}" type="presParOf" srcId="{0059E632-EAAA-44F8-A28A-E4D256A43526}" destId="{94AA2081-A19C-440E-B492-FC7D0A566A36}" srcOrd="3" destOrd="0" presId="urn:microsoft.com/office/officeart/2008/layout/LinedList"/>
    <dgm:cxn modelId="{D6C0A2B9-C2BD-49A1-A4CE-89E43D3F6F6D}" type="presParOf" srcId="{36AD06CA-C4C9-409F-9097-7BBFF6BCC527}" destId="{492F82FB-21C8-4748-953F-3648F565F61B}" srcOrd="6" destOrd="0" presId="urn:microsoft.com/office/officeart/2008/layout/LinedList"/>
    <dgm:cxn modelId="{6604137A-7D3C-4B6C-A8C9-4649DF689CF4}" type="presParOf" srcId="{36AD06CA-C4C9-409F-9097-7BBFF6BCC527}" destId="{238FE98A-0302-4A24-8769-AE734B15321E}" srcOrd="7" destOrd="0" presId="urn:microsoft.com/office/officeart/2008/layout/LinedList"/>
    <dgm:cxn modelId="{9467D028-5389-4C9A-894E-20732564F766}" type="presParOf" srcId="{238FE98A-0302-4A24-8769-AE734B15321E}" destId="{5659A6A1-667F-46FC-9B74-1855405E62E1}" srcOrd="0" destOrd="0" presId="urn:microsoft.com/office/officeart/2008/layout/LinedList"/>
    <dgm:cxn modelId="{CD110546-3ABC-4E66-B737-55FF415C7038}" type="presParOf" srcId="{238FE98A-0302-4A24-8769-AE734B15321E}" destId="{E6AC34BA-211F-43E7-AA2A-2592F5410AC1}" srcOrd="1" destOrd="0" presId="urn:microsoft.com/office/officeart/2008/layout/LinedList"/>
    <dgm:cxn modelId="{379BF043-061F-4BEA-AED5-F1D0DBD51644}" type="presParOf" srcId="{E6AC34BA-211F-43E7-AA2A-2592F5410AC1}" destId="{448D8A2A-1178-4D8E-82CB-AF8DE9B0E4BB}" srcOrd="0" destOrd="0" presId="urn:microsoft.com/office/officeart/2008/layout/LinedList"/>
    <dgm:cxn modelId="{C76B9FFF-C7CF-46FC-8E49-F32E8F659C16}" type="presParOf" srcId="{E6AC34BA-211F-43E7-AA2A-2592F5410AC1}" destId="{F138B76E-4EB7-4BC8-906E-95BA4BA2A626}" srcOrd="1" destOrd="0" presId="urn:microsoft.com/office/officeart/2008/layout/LinedList"/>
    <dgm:cxn modelId="{6F5C3627-AF82-4982-9E2A-CD35D31C9281}" type="presParOf" srcId="{F138B76E-4EB7-4BC8-906E-95BA4BA2A626}" destId="{45C95CAB-F501-40DB-B840-743DCF5C876C}" srcOrd="0" destOrd="0" presId="urn:microsoft.com/office/officeart/2008/layout/LinedList"/>
    <dgm:cxn modelId="{C5632F6B-7E24-4AF4-9458-BE8B339C6E8C}" type="presParOf" srcId="{F138B76E-4EB7-4BC8-906E-95BA4BA2A626}" destId="{28D0E865-47F7-47D9-8DB1-E755074648CB}" srcOrd="1" destOrd="0" presId="urn:microsoft.com/office/officeart/2008/layout/LinedList"/>
    <dgm:cxn modelId="{A5BA9701-83C5-4E85-AAEA-2AD64BBE7CD5}" type="presParOf" srcId="{F138B76E-4EB7-4BC8-906E-95BA4BA2A626}" destId="{050AAC64-8B9B-4698-AD70-8D1EB1BD22CE}" srcOrd="2" destOrd="0" presId="urn:microsoft.com/office/officeart/2008/layout/LinedList"/>
    <dgm:cxn modelId="{20D916A5-13F1-4EF9-8A59-97233D713D28}" type="presParOf" srcId="{050AAC64-8B9B-4698-AD70-8D1EB1BD22CE}" destId="{2010BD52-BEB0-4790-9FD7-152D5F079F0F}" srcOrd="0" destOrd="0" presId="urn:microsoft.com/office/officeart/2008/layout/LinedList"/>
    <dgm:cxn modelId="{C182604E-1CB8-4F04-8A65-5FAB011FDBD5}" type="presParOf" srcId="{2010BD52-BEB0-4790-9FD7-152D5F079F0F}" destId="{ED6C136F-914D-478B-8F12-750C1D89BA16}" srcOrd="0" destOrd="0" presId="urn:microsoft.com/office/officeart/2008/layout/LinedList"/>
    <dgm:cxn modelId="{399BBFEA-50F0-4A3B-86B9-166BFDBE5F36}" type="presParOf" srcId="{2010BD52-BEB0-4790-9FD7-152D5F079F0F}" destId="{9FD9B73F-25E7-4F56-916C-F5666FEFEFEF}" srcOrd="1" destOrd="0" presId="urn:microsoft.com/office/officeart/2008/layout/LinedList"/>
    <dgm:cxn modelId="{6BB54D1C-9611-4E1F-84C0-1BD8491A0D2B}" type="presParOf" srcId="{2010BD52-BEB0-4790-9FD7-152D5F079F0F}" destId="{47454120-239C-40F9-803D-C730EF1FB46B}" srcOrd="2" destOrd="0" presId="urn:microsoft.com/office/officeart/2008/layout/LinedList"/>
    <dgm:cxn modelId="{A34DF056-8025-4E14-B24B-857B2B6FB2AD}" type="presParOf" srcId="{E6AC34BA-211F-43E7-AA2A-2592F5410AC1}" destId="{99D804FE-6AA7-4959-BF98-782072915987}" srcOrd="2" destOrd="0" presId="urn:microsoft.com/office/officeart/2008/layout/LinedList"/>
    <dgm:cxn modelId="{D6585D85-D88A-4643-B82D-B20F8EEA7861}" type="presParOf" srcId="{E6AC34BA-211F-43E7-AA2A-2592F5410AC1}" destId="{8BCD7961-4062-40F5-8F4C-781997888718}" srcOrd="3" destOrd="0" presId="urn:microsoft.com/office/officeart/2008/layout/LinedList"/>
    <dgm:cxn modelId="{A2FA1670-96D4-4B75-9AE2-BD365CF6C89A}" type="presParOf" srcId="{36AD06CA-C4C9-409F-9097-7BBFF6BCC527}" destId="{5BD3B693-19D0-4807-A3CC-5F4912F9B0D4}" srcOrd="8" destOrd="0" presId="urn:microsoft.com/office/officeart/2008/layout/LinedList"/>
    <dgm:cxn modelId="{94881765-1A05-49F5-B31D-3082969B933C}" type="presParOf" srcId="{36AD06CA-C4C9-409F-9097-7BBFF6BCC527}" destId="{333EDD7A-6D79-4FB9-B401-3ECF59ACEC12}" srcOrd="9" destOrd="0" presId="urn:microsoft.com/office/officeart/2008/layout/LinedList"/>
    <dgm:cxn modelId="{95C89AEE-A13F-4EE6-A766-D45249BAE801}" type="presParOf" srcId="{333EDD7A-6D79-4FB9-B401-3ECF59ACEC12}" destId="{7D693E8A-A848-4D15-9CFB-FEF843EFD107}" srcOrd="0" destOrd="0" presId="urn:microsoft.com/office/officeart/2008/layout/LinedList"/>
    <dgm:cxn modelId="{5DEA0074-7E6A-49BC-A9CF-9915EF47A57F}" type="presParOf" srcId="{333EDD7A-6D79-4FB9-B401-3ECF59ACEC12}" destId="{C2A623F8-49E3-4F90-8A12-B2AEDEFF8F3B}" srcOrd="1" destOrd="0" presId="urn:microsoft.com/office/officeart/2008/layout/LinedList"/>
    <dgm:cxn modelId="{AEBA03A5-5563-43E3-BC53-FACA80F6F0BD}" type="presParOf" srcId="{C2A623F8-49E3-4F90-8A12-B2AEDEFF8F3B}" destId="{D39DED16-A5AA-46BF-81B4-1BF031FE6F24}" srcOrd="0" destOrd="0" presId="urn:microsoft.com/office/officeart/2008/layout/LinedList"/>
    <dgm:cxn modelId="{DCE2F6EB-99B6-4BAB-AD1E-A6186BEFC8E3}" type="presParOf" srcId="{C2A623F8-49E3-4F90-8A12-B2AEDEFF8F3B}" destId="{2BB33A81-7C7B-429D-85CB-61E6703C9BB9}" srcOrd="1" destOrd="0" presId="urn:microsoft.com/office/officeart/2008/layout/LinedList"/>
    <dgm:cxn modelId="{A4C6F53E-7933-4A8A-8AAD-DD64503BDF74}" type="presParOf" srcId="{2BB33A81-7C7B-429D-85CB-61E6703C9BB9}" destId="{F02A51C1-E39B-427B-8DFA-537115F5E2E0}" srcOrd="0" destOrd="0" presId="urn:microsoft.com/office/officeart/2008/layout/LinedList"/>
    <dgm:cxn modelId="{0DF114EB-6D12-4D43-A4AE-FA3B31D3A193}" type="presParOf" srcId="{2BB33A81-7C7B-429D-85CB-61E6703C9BB9}" destId="{5A591B37-C7B6-4831-84B2-3E48769B4366}" srcOrd="1" destOrd="0" presId="urn:microsoft.com/office/officeart/2008/layout/LinedList"/>
    <dgm:cxn modelId="{51F42105-0702-4FEE-94AA-D477E466F31E}" type="presParOf" srcId="{2BB33A81-7C7B-429D-85CB-61E6703C9BB9}" destId="{82139266-3C88-4C52-925A-4F59DB82125E}" srcOrd="2" destOrd="0" presId="urn:microsoft.com/office/officeart/2008/layout/LinedList"/>
    <dgm:cxn modelId="{4D3E9087-3F0B-4D3C-943F-F4C94DFA39CC}" type="presParOf" srcId="{82139266-3C88-4C52-925A-4F59DB82125E}" destId="{5C0D6AAF-C7A9-4E39-A097-56DC77C74024}" srcOrd="0" destOrd="0" presId="urn:microsoft.com/office/officeart/2008/layout/LinedList"/>
    <dgm:cxn modelId="{A3E63B1A-541E-4A4B-BD04-DE31DEA58819}" type="presParOf" srcId="{5C0D6AAF-C7A9-4E39-A097-56DC77C74024}" destId="{7D903E3B-2ECB-4EA2-951D-9E6E80E578EB}" srcOrd="0" destOrd="0" presId="urn:microsoft.com/office/officeart/2008/layout/LinedList"/>
    <dgm:cxn modelId="{05F34C8A-B40A-48FC-94CF-9F41D08C9A6F}" type="presParOf" srcId="{5C0D6AAF-C7A9-4E39-A097-56DC77C74024}" destId="{E6C0E14C-F9C3-4A10-A0F0-A918E9028951}" srcOrd="1" destOrd="0" presId="urn:microsoft.com/office/officeart/2008/layout/LinedList"/>
    <dgm:cxn modelId="{4B75D704-A36C-4AE6-B0A5-2685843DE383}" type="presParOf" srcId="{5C0D6AAF-C7A9-4E39-A097-56DC77C74024}" destId="{A8801CA9-6FE8-4117-8113-D3F4702A2CB4}" srcOrd="2" destOrd="0" presId="urn:microsoft.com/office/officeart/2008/layout/LinedList"/>
    <dgm:cxn modelId="{5323960B-4CDD-4035-820F-C84B07DF5855}" type="presParOf" srcId="{C2A623F8-49E3-4F90-8A12-B2AEDEFF8F3B}" destId="{85396B93-9D37-4899-9F7D-FD249068FAC2}" srcOrd="2" destOrd="0" presId="urn:microsoft.com/office/officeart/2008/layout/LinedList"/>
    <dgm:cxn modelId="{D695FC41-24BC-454B-BA3A-B72782AAA229}" type="presParOf" srcId="{C2A623F8-49E3-4F90-8A12-B2AEDEFF8F3B}" destId="{DEBA1644-0DA3-4782-B789-06B931523E7C}" srcOrd="3" destOrd="0" presId="urn:microsoft.com/office/officeart/2008/layout/LinedList"/>
    <dgm:cxn modelId="{D0087D6D-CA47-4169-BB6F-4A2624C5B969}" type="presParOf" srcId="{36AD06CA-C4C9-409F-9097-7BBFF6BCC527}" destId="{02F6FC7C-D50D-4C07-814D-EC63C075B9F8}" srcOrd="10" destOrd="0" presId="urn:microsoft.com/office/officeart/2008/layout/LinedList"/>
    <dgm:cxn modelId="{C1DCF282-E68C-4E41-9301-92F09E1CF306}" type="presParOf" srcId="{36AD06CA-C4C9-409F-9097-7BBFF6BCC527}" destId="{4E4CEBD0-38F7-496F-A82E-711B333D2529}" srcOrd="11" destOrd="0" presId="urn:microsoft.com/office/officeart/2008/layout/LinedList"/>
    <dgm:cxn modelId="{EEB84178-6377-43A1-8DE8-D0816D13FCE3}" type="presParOf" srcId="{4E4CEBD0-38F7-496F-A82E-711B333D2529}" destId="{2523AF69-51E5-450C-8396-0E5E0BF88B59}" srcOrd="0" destOrd="0" presId="urn:microsoft.com/office/officeart/2008/layout/LinedList"/>
    <dgm:cxn modelId="{3A11ED5E-2B77-4D3A-A4A1-1296B9D4E6B7}" type="presParOf" srcId="{4E4CEBD0-38F7-496F-A82E-711B333D2529}" destId="{EEF42EB3-FCBE-4296-9F01-C5E921BDF1C9}" srcOrd="1" destOrd="0" presId="urn:microsoft.com/office/officeart/2008/layout/LinedList"/>
    <dgm:cxn modelId="{F83BD004-0275-4EC6-9634-CF5D0C195E5C}" type="presParOf" srcId="{EEF42EB3-FCBE-4296-9F01-C5E921BDF1C9}" destId="{23746F08-B99D-4467-94F9-C1106AAD181C}" srcOrd="0" destOrd="0" presId="urn:microsoft.com/office/officeart/2008/layout/LinedList"/>
    <dgm:cxn modelId="{CA7C3C73-5B1A-4F08-AB14-488DD2F80293}" type="presParOf" srcId="{EEF42EB3-FCBE-4296-9F01-C5E921BDF1C9}" destId="{A9F0F2C7-ADEA-45B0-88C8-E8DF53A1271A}" srcOrd="1" destOrd="0" presId="urn:microsoft.com/office/officeart/2008/layout/LinedList"/>
    <dgm:cxn modelId="{6A623B32-CBEF-49D8-937E-EA8542C5CF22}" type="presParOf" srcId="{A9F0F2C7-ADEA-45B0-88C8-E8DF53A1271A}" destId="{6E29D1DC-BA98-4719-A943-E2F857466286}" srcOrd="0" destOrd="0" presId="urn:microsoft.com/office/officeart/2008/layout/LinedList"/>
    <dgm:cxn modelId="{03D7ABFA-9CA3-49FF-9615-E7EAE333CF18}" type="presParOf" srcId="{A9F0F2C7-ADEA-45B0-88C8-E8DF53A1271A}" destId="{1D512A4D-3B63-48B3-B8AB-6AD3A7281B64}" srcOrd="1" destOrd="0" presId="urn:microsoft.com/office/officeart/2008/layout/LinedList"/>
    <dgm:cxn modelId="{5573D989-A43A-4257-9781-06ABA8609812}" type="presParOf" srcId="{A9F0F2C7-ADEA-45B0-88C8-E8DF53A1271A}" destId="{860628ED-4E2F-4C15-9402-53614D196A09}" srcOrd="2" destOrd="0" presId="urn:microsoft.com/office/officeart/2008/layout/LinedList"/>
    <dgm:cxn modelId="{B1C7F15C-0445-480E-A662-E65D15B24F05}" type="presParOf" srcId="{860628ED-4E2F-4C15-9402-53614D196A09}" destId="{E9674053-472D-4AF1-928D-86A2CDB2DB17}" srcOrd="0" destOrd="0" presId="urn:microsoft.com/office/officeart/2008/layout/LinedList"/>
    <dgm:cxn modelId="{4CC494D3-3AEF-429C-8321-93DB6F1207FD}" type="presParOf" srcId="{E9674053-472D-4AF1-928D-86A2CDB2DB17}" destId="{819920E8-AC05-47BB-BDDF-CF8D88B2EBE0}" srcOrd="0" destOrd="0" presId="urn:microsoft.com/office/officeart/2008/layout/LinedList"/>
    <dgm:cxn modelId="{32B0B55A-68E4-4187-8D2A-6A66F8DB5EE9}" type="presParOf" srcId="{E9674053-472D-4AF1-928D-86A2CDB2DB17}" destId="{62318437-5A60-49BC-A668-BBB82CE7C853}" srcOrd="1" destOrd="0" presId="urn:microsoft.com/office/officeart/2008/layout/LinedList"/>
    <dgm:cxn modelId="{691DFE52-77DA-4C8B-B71A-471178D1D5D5}" type="presParOf" srcId="{E9674053-472D-4AF1-928D-86A2CDB2DB17}" destId="{30B5BC9F-98DE-4A98-8BBF-0EC4F1A2C865}" srcOrd="2" destOrd="0" presId="urn:microsoft.com/office/officeart/2008/layout/LinedList"/>
    <dgm:cxn modelId="{44994C4A-BB4B-4255-83A6-F4268572EC17}" type="presParOf" srcId="{EEF42EB3-FCBE-4296-9F01-C5E921BDF1C9}" destId="{B8F991AF-E2B5-48B5-951A-ECC790F51326}" srcOrd="2" destOrd="0" presId="urn:microsoft.com/office/officeart/2008/layout/LinedList"/>
    <dgm:cxn modelId="{FDCB403C-ACEE-42D5-84CD-CE24408A632F}" type="presParOf" srcId="{EEF42EB3-FCBE-4296-9F01-C5E921BDF1C9}" destId="{5A095840-61E9-41AC-AE73-F7C1D7FEA296}" srcOrd="3" destOrd="0" presId="urn:microsoft.com/office/officeart/2008/layout/LinedList"/>
  </dgm:cxnLst>
  <dgm:bg/>
  <dgm:whole/>
  <dgm:extLst>
    <a:ext uri="http://schemas.microsoft.com/office/drawing/2008/diagram">
      <dsp:dataModelExt xmlns:dsp="http://schemas.microsoft.com/office/drawing/2008/diagram" relId="rId2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FB6313CD-7D8C-415C-AAE5-8FBFD837F561}" type="doc">
      <dgm:prSet loTypeId="urn:microsoft.com/office/officeart/2005/8/layout/cycle3" loCatId="cycle" qsTypeId="urn:microsoft.com/office/officeart/2005/8/quickstyle/simple1" qsCatId="simple" csTypeId="urn:microsoft.com/office/officeart/2005/8/colors/accent0_3" csCatId="mainScheme" phldr="1"/>
      <dgm:spPr/>
      <dgm:t>
        <a:bodyPr/>
        <a:lstStyle/>
        <a:p>
          <a:endParaRPr lang="en-US"/>
        </a:p>
      </dgm:t>
    </dgm:pt>
    <dgm:pt modelId="{7273C508-FF52-4526-860C-1041FAF54290}">
      <dgm:prSet phldrT="[Text]" custT="1"/>
      <dgm:spPr/>
      <dgm:t>
        <a:bodyPr/>
        <a:lstStyle/>
        <a:p>
          <a:r>
            <a:rPr lang="en-US" sz="900">
              <a:latin typeface="Arial" panose="020B0604020202020204" pitchFamily="34" charset="0"/>
              <a:cs typeface="Arial" panose="020B0604020202020204" pitchFamily="34" charset="0"/>
            </a:rPr>
            <a:t>Description</a:t>
          </a:r>
        </a:p>
      </dgm:t>
    </dgm:pt>
    <dgm:pt modelId="{EC226B9B-1657-45D3-ACC0-B98BFA4FB771}" type="parTrans" cxnId="{154C130C-BFB5-45DA-BD96-3D87337D0C30}">
      <dgm:prSet/>
      <dgm:spPr/>
      <dgm:t>
        <a:bodyPr/>
        <a:lstStyle/>
        <a:p>
          <a:endParaRPr lang="en-US" sz="2000">
            <a:latin typeface="Arial" panose="020B0604020202020204" pitchFamily="34" charset="0"/>
            <a:cs typeface="Arial" panose="020B0604020202020204" pitchFamily="34" charset="0"/>
          </a:endParaRPr>
        </a:p>
      </dgm:t>
    </dgm:pt>
    <dgm:pt modelId="{5AA57F02-5816-4C3E-9373-FC0D72E7BB10}" type="sibTrans" cxnId="{154C130C-BFB5-45DA-BD96-3D87337D0C30}">
      <dgm:prSet/>
      <dgm:spPr/>
      <dgm:t>
        <a:bodyPr/>
        <a:lstStyle/>
        <a:p>
          <a:endParaRPr lang="en-US" sz="2000">
            <a:latin typeface="Arial" panose="020B0604020202020204" pitchFamily="34" charset="0"/>
            <a:cs typeface="Arial" panose="020B0604020202020204" pitchFamily="34" charset="0"/>
          </a:endParaRPr>
        </a:p>
      </dgm:t>
    </dgm:pt>
    <dgm:pt modelId="{F586D2EF-8CAD-425B-8ADA-F774B42FC52F}">
      <dgm:prSet phldrT="[Text]" custT="1"/>
      <dgm:spPr/>
      <dgm:t>
        <a:bodyPr/>
        <a:lstStyle/>
        <a:p>
          <a:r>
            <a:rPr lang="en-US" sz="900">
              <a:latin typeface="Arial" panose="020B0604020202020204" pitchFamily="34" charset="0"/>
              <a:cs typeface="Arial" panose="020B0604020202020204" pitchFamily="34" charset="0"/>
            </a:rPr>
            <a:t>Feelings</a:t>
          </a:r>
        </a:p>
      </dgm:t>
    </dgm:pt>
    <dgm:pt modelId="{AA6BB4E0-354C-4251-ABD1-D3ACA563F8DB}" type="parTrans" cxnId="{45E739D1-5CED-46E4-96BC-6ACDB183F361}">
      <dgm:prSet/>
      <dgm:spPr/>
      <dgm:t>
        <a:bodyPr/>
        <a:lstStyle/>
        <a:p>
          <a:endParaRPr lang="en-US" sz="2000">
            <a:latin typeface="Arial" panose="020B0604020202020204" pitchFamily="34" charset="0"/>
            <a:cs typeface="Arial" panose="020B0604020202020204" pitchFamily="34" charset="0"/>
          </a:endParaRPr>
        </a:p>
      </dgm:t>
    </dgm:pt>
    <dgm:pt modelId="{8CCBAAA5-DE6C-4C20-AC00-EB8D044B458D}" type="sibTrans" cxnId="{45E739D1-5CED-46E4-96BC-6ACDB183F361}">
      <dgm:prSet/>
      <dgm:spPr/>
      <dgm:t>
        <a:bodyPr/>
        <a:lstStyle/>
        <a:p>
          <a:endParaRPr lang="en-US" sz="2000">
            <a:latin typeface="Arial" panose="020B0604020202020204" pitchFamily="34" charset="0"/>
            <a:cs typeface="Arial" panose="020B0604020202020204" pitchFamily="34" charset="0"/>
          </a:endParaRPr>
        </a:p>
      </dgm:t>
    </dgm:pt>
    <dgm:pt modelId="{096C7F0C-F634-47A4-9327-27ACDC17C1C4}">
      <dgm:prSet phldrT="[Text]" custT="1"/>
      <dgm:spPr/>
      <dgm:t>
        <a:bodyPr/>
        <a:lstStyle/>
        <a:p>
          <a:r>
            <a:rPr lang="en-US" sz="900">
              <a:latin typeface="Arial" panose="020B0604020202020204" pitchFamily="34" charset="0"/>
              <a:cs typeface="Arial" panose="020B0604020202020204" pitchFamily="34" charset="0"/>
            </a:rPr>
            <a:t>Evaluation</a:t>
          </a:r>
        </a:p>
      </dgm:t>
    </dgm:pt>
    <dgm:pt modelId="{3447B670-240F-407A-BEA9-71A6DA0391FF}" type="parTrans" cxnId="{712FA880-9CB9-4478-96AB-E357D938E6A7}">
      <dgm:prSet/>
      <dgm:spPr/>
      <dgm:t>
        <a:bodyPr/>
        <a:lstStyle/>
        <a:p>
          <a:endParaRPr lang="en-US" sz="2000">
            <a:latin typeface="Arial" panose="020B0604020202020204" pitchFamily="34" charset="0"/>
            <a:cs typeface="Arial" panose="020B0604020202020204" pitchFamily="34" charset="0"/>
          </a:endParaRPr>
        </a:p>
      </dgm:t>
    </dgm:pt>
    <dgm:pt modelId="{4FDDFF04-6438-49D8-AA3B-7AB24EDA38B4}" type="sibTrans" cxnId="{712FA880-9CB9-4478-96AB-E357D938E6A7}">
      <dgm:prSet/>
      <dgm:spPr/>
      <dgm:t>
        <a:bodyPr/>
        <a:lstStyle/>
        <a:p>
          <a:endParaRPr lang="en-US" sz="2000">
            <a:latin typeface="Arial" panose="020B0604020202020204" pitchFamily="34" charset="0"/>
            <a:cs typeface="Arial" panose="020B0604020202020204" pitchFamily="34" charset="0"/>
          </a:endParaRPr>
        </a:p>
      </dgm:t>
    </dgm:pt>
    <dgm:pt modelId="{6E0FFB7A-30BB-48D1-AA99-5887B5C185EF}">
      <dgm:prSet phldrT="[Text]" custT="1"/>
      <dgm:spPr/>
      <dgm:t>
        <a:bodyPr/>
        <a:lstStyle/>
        <a:p>
          <a:r>
            <a:rPr lang="en-US" sz="900">
              <a:latin typeface="Arial" panose="020B0604020202020204" pitchFamily="34" charset="0"/>
              <a:cs typeface="Arial" panose="020B0604020202020204" pitchFamily="34" charset="0"/>
            </a:rPr>
            <a:t>Analysis</a:t>
          </a:r>
        </a:p>
      </dgm:t>
    </dgm:pt>
    <dgm:pt modelId="{87D68623-8BF2-4004-AA30-4645D899B31D}" type="parTrans" cxnId="{7B973DA1-6331-4FD8-A4EA-A30350F6F8C2}">
      <dgm:prSet/>
      <dgm:spPr/>
      <dgm:t>
        <a:bodyPr/>
        <a:lstStyle/>
        <a:p>
          <a:endParaRPr lang="en-US" sz="2000">
            <a:latin typeface="Arial" panose="020B0604020202020204" pitchFamily="34" charset="0"/>
            <a:cs typeface="Arial" panose="020B0604020202020204" pitchFamily="34" charset="0"/>
          </a:endParaRPr>
        </a:p>
      </dgm:t>
    </dgm:pt>
    <dgm:pt modelId="{2DE65D20-14E6-43F1-A284-B07C255F5938}" type="sibTrans" cxnId="{7B973DA1-6331-4FD8-A4EA-A30350F6F8C2}">
      <dgm:prSet/>
      <dgm:spPr/>
      <dgm:t>
        <a:bodyPr/>
        <a:lstStyle/>
        <a:p>
          <a:endParaRPr lang="en-US" sz="2000">
            <a:latin typeface="Arial" panose="020B0604020202020204" pitchFamily="34" charset="0"/>
            <a:cs typeface="Arial" panose="020B0604020202020204" pitchFamily="34" charset="0"/>
          </a:endParaRPr>
        </a:p>
      </dgm:t>
    </dgm:pt>
    <dgm:pt modelId="{F2EFD56B-D100-41F0-B96F-73ED557FE82E}">
      <dgm:prSet phldrT="[Text]" custT="1"/>
      <dgm:spPr/>
      <dgm:t>
        <a:bodyPr/>
        <a:lstStyle/>
        <a:p>
          <a:r>
            <a:rPr lang="en-US" sz="900">
              <a:latin typeface="Arial" panose="020B0604020202020204" pitchFamily="34" charset="0"/>
              <a:cs typeface="Arial" panose="020B0604020202020204" pitchFamily="34" charset="0"/>
            </a:rPr>
            <a:t>Conclusion</a:t>
          </a:r>
        </a:p>
      </dgm:t>
    </dgm:pt>
    <dgm:pt modelId="{2D82C2C6-C376-4AD7-ACC7-C32FF7A8F286}" type="parTrans" cxnId="{F17F1506-EA47-4533-9B72-969621100778}">
      <dgm:prSet/>
      <dgm:spPr/>
      <dgm:t>
        <a:bodyPr/>
        <a:lstStyle/>
        <a:p>
          <a:endParaRPr lang="en-US" sz="2000">
            <a:latin typeface="Arial" panose="020B0604020202020204" pitchFamily="34" charset="0"/>
            <a:cs typeface="Arial" panose="020B0604020202020204" pitchFamily="34" charset="0"/>
          </a:endParaRPr>
        </a:p>
      </dgm:t>
    </dgm:pt>
    <dgm:pt modelId="{CAF91C26-02C6-4D1C-B3F6-88DC38BF50AA}" type="sibTrans" cxnId="{F17F1506-EA47-4533-9B72-969621100778}">
      <dgm:prSet/>
      <dgm:spPr/>
      <dgm:t>
        <a:bodyPr/>
        <a:lstStyle/>
        <a:p>
          <a:endParaRPr lang="en-US" sz="2000">
            <a:latin typeface="Arial" panose="020B0604020202020204" pitchFamily="34" charset="0"/>
            <a:cs typeface="Arial" panose="020B0604020202020204" pitchFamily="34" charset="0"/>
          </a:endParaRPr>
        </a:p>
      </dgm:t>
    </dgm:pt>
    <dgm:pt modelId="{F89D5FA6-BA7C-403D-BFD3-F0E39377A786}">
      <dgm:prSet phldrT="[Text]" custT="1"/>
      <dgm:spPr/>
      <dgm:t>
        <a:bodyPr/>
        <a:lstStyle/>
        <a:p>
          <a:r>
            <a:rPr lang="en-US" sz="700">
              <a:latin typeface="Arial" panose="020B0604020202020204" pitchFamily="34" charset="0"/>
              <a:cs typeface="Arial" panose="020B0604020202020204" pitchFamily="34" charset="0"/>
            </a:rPr>
            <a:t>I selected Suzuki Motorcycle India and the 2026 Gixxer SF 250 because current product and market information was publicly available. The analysis used manufacturer, industry, academic and macroeconomic sources alongside PESTEL, Five Forces, VRIO, SWOT, Balanced Scorecard and SAFe.</a:t>
          </a:r>
        </a:p>
      </dgm:t>
    </dgm:pt>
    <dgm:pt modelId="{1294E8EB-7BDF-44EC-A2D7-4B30FE81D66F}" type="parTrans" cxnId="{E5103272-E637-4F6A-A86C-5594D90A4535}">
      <dgm:prSet/>
      <dgm:spPr/>
      <dgm:t>
        <a:bodyPr/>
        <a:lstStyle/>
        <a:p>
          <a:endParaRPr lang="en-US" sz="2000">
            <a:latin typeface="Arial" panose="020B0604020202020204" pitchFamily="34" charset="0"/>
            <a:cs typeface="Arial" panose="020B0604020202020204" pitchFamily="34" charset="0"/>
          </a:endParaRPr>
        </a:p>
      </dgm:t>
    </dgm:pt>
    <dgm:pt modelId="{400B136E-8DF4-457A-9C80-6CB5099E0A80}" type="sibTrans" cxnId="{E5103272-E637-4F6A-A86C-5594D90A4535}">
      <dgm:prSet/>
      <dgm:spPr/>
      <dgm:t>
        <a:bodyPr/>
        <a:lstStyle/>
        <a:p>
          <a:endParaRPr lang="en-US" sz="2000">
            <a:latin typeface="Arial" panose="020B0604020202020204" pitchFamily="34" charset="0"/>
            <a:cs typeface="Arial" panose="020B0604020202020204" pitchFamily="34" charset="0"/>
          </a:endParaRPr>
        </a:p>
      </dgm:t>
    </dgm:pt>
    <dgm:pt modelId="{D61D1CF3-0205-44EA-A8F4-588C7AF439BC}">
      <dgm:prSet phldrT="[Text]" custT="1"/>
      <dgm:spPr/>
      <dgm:t>
        <a:bodyPr/>
        <a:lstStyle/>
        <a:p>
          <a:r>
            <a:rPr lang="en-US" sz="700">
              <a:latin typeface="Arial" panose="020B0604020202020204" pitchFamily="34" charset="0"/>
              <a:cs typeface="Arial" panose="020B0604020202020204" pitchFamily="34" charset="0"/>
            </a:rPr>
            <a:t>I initially felt confident, but limited SMIPL-specific financial and strategic information created uncertainty during the internal analysis. My confidence improved after triangulating company, industry, government and academic evidence.</a:t>
          </a:r>
        </a:p>
      </dgm:t>
    </dgm:pt>
    <dgm:pt modelId="{33EA0BE4-21B8-4CF2-B7EC-333C0A8B1986}" type="parTrans" cxnId="{82490BD5-7E50-433E-B768-870802C46662}">
      <dgm:prSet/>
      <dgm:spPr/>
      <dgm:t>
        <a:bodyPr/>
        <a:lstStyle/>
        <a:p>
          <a:endParaRPr lang="en-US" sz="2000">
            <a:latin typeface="Arial" panose="020B0604020202020204" pitchFamily="34" charset="0"/>
            <a:cs typeface="Arial" panose="020B0604020202020204" pitchFamily="34" charset="0"/>
          </a:endParaRPr>
        </a:p>
      </dgm:t>
    </dgm:pt>
    <dgm:pt modelId="{67F4A2A7-4C4B-4234-AA2D-A61828BDD664}" type="sibTrans" cxnId="{82490BD5-7E50-433E-B768-870802C46662}">
      <dgm:prSet/>
      <dgm:spPr/>
      <dgm:t>
        <a:bodyPr/>
        <a:lstStyle/>
        <a:p>
          <a:endParaRPr lang="en-US" sz="2000">
            <a:latin typeface="Arial" panose="020B0604020202020204" pitchFamily="34" charset="0"/>
            <a:cs typeface="Arial" panose="020B0604020202020204" pitchFamily="34" charset="0"/>
          </a:endParaRPr>
        </a:p>
      </dgm:t>
    </dgm:pt>
    <dgm:pt modelId="{A26F2460-ED8D-44CE-BC32-E301F50F8FBD}">
      <dgm:prSet phldrT="[Text]" custT="1"/>
      <dgm:spPr/>
      <dgm:t>
        <a:bodyPr/>
        <a:lstStyle/>
        <a:p>
          <a:r>
            <a:rPr lang="en-US" sz="700">
              <a:latin typeface="Arial" panose="020B0604020202020204" pitchFamily="34" charset="0"/>
              <a:cs typeface="Arial" panose="020B0604020202020204" pitchFamily="34" charset="0"/>
            </a:rPr>
            <a:t>Combining current automotive sources with academic and government evidence helped produce a more credible and theoretically grounded analysis. However, limited SMIPL disclosure meant that some VRIO and performance judgements depended on cautious inference.</a:t>
          </a:r>
        </a:p>
      </dgm:t>
    </dgm:pt>
    <dgm:pt modelId="{F82701F5-AE57-403A-80ED-0B3F58874563}" type="parTrans" cxnId="{CB4ED482-B903-44DA-A30B-79ECBB4F7A6F}">
      <dgm:prSet/>
      <dgm:spPr/>
      <dgm:t>
        <a:bodyPr/>
        <a:lstStyle/>
        <a:p>
          <a:endParaRPr lang="en-US" sz="2000">
            <a:latin typeface="Arial" panose="020B0604020202020204" pitchFamily="34" charset="0"/>
            <a:cs typeface="Arial" panose="020B0604020202020204" pitchFamily="34" charset="0"/>
          </a:endParaRPr>
        </a:p>
      </dgm:t>
    </dgm:pt>
    <dgm:pt modelId="{630CC0A5-A126-4A29-AC14-1D44828A4D1E}" type="sibTrans" cxnId="{CB4ED482-B903-44DA-A30B-79ECBB4F7A6F}">
      <dgm:prSet/>
      <dgm:spPr/>
      <dgm:t>
        <a:bodyPr/>
        <a:lstStyle/>
        <a:p>
          <a:endParaRPr lang="en-US" sz="2000">
            <a:latin typeface="Arial" panose="020B0604020202020204" pitchFamily="34" charset="0"/>
            <a:cs typeface="Arial" panose="020B0604020202020204" pitchFamily="34" charset="0"/>
          </a:endParaRPr>
        </a:p>
      </dgm:t>
    </dgm:pt>
    <dgm:pt modelId="{4383D8A6-A574-4076-A8D5-9CD10A2245B4}">
      <dgm:prSet phldrT="[Text]" custT="1"/>
      <dgm:spPr/>
      <dgm:t>
        <a:bodyPr/>
        <a:lstStyle/>
        <a:p>
          <a:r>
            <a:rPr lang="en-US" sz="700">
              <a:latin typeface="Arial" panose="020B0604020202020204" pitchFamily="34" charset="0"/>
              <a:cs typeface="Arial" panose="020B0604020202020204" pitchFamily="34" charset="0"/>
            </a:rPr>
            <a:t>The assignment showed how external factors, internal capabilities and strategic choices are interconnected rather than separate analytical tasks. It also improved my ability to evaluate source quality, resolve conflicting data and distinguish threshold resources from genuine competitive advantages.</a:t>
          </a:r>
        </a:p>
      </dgm:t>
    </dgm:pt>
    <dgm:pt modelId="{CD3B0F6A-46D8-4012-A648-56E0D8119901}" type="parTrans" cxnId="{53FC8622-D04C-45CE-81B5-88E254F38D97}">
      <dgm:prSet/>
      <dgm:spPr/>
      <dgm:t>
        <a:bodyPr/>
        <a:lstStyle/>
        <a:p>
          <a:endParaRPr lang="en-US" sz="2000">
            <a:latin typeface="Arial" panose="020B0604020202020204" pitchFamily="34" charset="0"/>
            <a:cs typeface="Arial" panose="020B0604020202020204" pitchFamily="34" charset="0"/>
          </a:endParaRPr>
        </a:p>
      </dgm:t>
    </dgm:pt>
    <dgm:pt modelId="{C067CD1B-F1C8-4C0E-893F-FBACA34ACEB8}" type="sibTrans" cxnId="{53FC8622-D04C-45CE-81B5-88E254F38D97}">
      <dgm:prSet/>
      <dgm:spPr/>
      <dgm:t>
        <a:bodyPr/>
        <a:lstStyle/>
        <a:p>
          <a:endParaRPr lang="en-US" sz="2000">
            <a:latin typeface="Arial" panose="020B0604020202020204" pitchFamily="34" charset="0"/>
            <a:cs typeface="Arial" panose="020B0604020202020204" pitchFamily="34" charset="0"/>
          </a:endParaRPr>
        </a:p>
      </dgm:t>
    </dgm:pt>
    <dgm:pt modelId="{60CDE651-637A-46D0-8C14-8024C5B6ECF5}">
      <dgm:prSet phldrT="[Text]" custT="1"/>
      <dgm:spPr/>
      <dgm:t>
        <a:bodyPr/>
        <a:lstStyle/>
        <a:p>
          <a:r>
            <a:rPr lang="en-US" sz="700">
              <a:latin typeface="Arial" panose="020B0604020202020204" pitchFamily="34" charset="0"/>
              <a:cs typeface="Arial" panose="020B0604020202020204" pitchFamily="34" charset="0"/>
            </a:rPr>
            <a:t>The assignment strengthened my ability to apply strategic frameworks coherently and develop evidence-based recommendations. It also improved my research, synthesis and Harvard-referencing skills while highlighting the need to verify changing financial and policy data.</a:t>
          </a:r>
        </a:p>
      </dgm:t>
    </dgm:pt>
    <dgm:pt modelId="{F1932732-DD35-4722-B7AE-589CB6E6B59B}" type="parTrans" cxnId="{F93AA509-16D4-4C37-9FB5-732975E41C4E}">
      <dgm:prSet/>
      <dgm:spPr/>
      <dgm:t>
        <a:bodyPr/>
        <a:lstStyle/>
        <a:p>
          <a:endParaRPr lang="en-US" sz="2000">
            <a:latin typeface="Arial" panose="020B0604020202020204" pitchFamily="34" charset="0"/>
            <a:cs typeface="Arial" panose="020B0604020202020204" pitchFamily="34" charset="0"/>
          </a:endParaRPr>
        </a:p>
      </dgm:t>
    </dgm:pt>
    <dgm:pt modelId="{55934BB6-FD56-4F74-B441-081CA47ABF0E}" type="sibTrans" cxnId="{F93AA509-16D4-4C37-9FB5-732975E41C4E}">
      <dgm:prSet/>
      <dgm:spPr/>
      <dgm:t>
        <a:bodyPr/>
        <a:lstStyle/>
        <a:p>
          <a:endParaRPr lang="en-US" sz="2000">
            <a:latin typeface="Arial" panose="020B0604020202020204" pitchFamily="34" charset="0"/>
            <a:cs typeface="Arial" panose="020B0604020202020204" pitchFamily="34" charset="0"/>
          </a:endParaRPr>
        </a:p>
      </dgm:t>
    </dgm:pt>
    <dgm:pt modelId="{0A927E8B-5AA3-4F22-BF28-EE8D53894E3A}">
      <dgm:prSet phldrT="[Text]" custT="1"/>
      <dgm:spPr/>
      <dgm:t>
        <a:bodyPr/>
        <a:lstStyle/>
        <a:p>
          <a:r>
            <a:rPr lang="en-US" sz="900">
              <a:latin typeface="Arial" panose="020B0604020202020204" pitchFamily="34" charset="0"/>
              <a:cs typeface="Arial" panose="020B0604020202020204" pitchFamily="34" charset="0"/>
            </a:rPr>
            <a:t>Action Plan</a:t>
          </a:r>
        </a:p>
      </dgm:t>
    </dgm:pt>
    <dgm:pt modelId="{3F4DB0B1-F0BC-44BD-9614-15DE49332A29}" type="parTrans" cxnId="{F02286D3-2FA8-4F86-A030-2EF186A2284A}">
      <dgm:prSet/>
      <dgm:spPr/>
      <dgm:t>
        <a:bodyPr/>
        <a:lstStyle/>
        <a:p>
          <a:endParaRPr lang="en-US" sz="2000">
            <a:latin typeface="Arial" panose="020B0604020202020204" pitchFamily="34" charset="0"/>
            <a:cs typeface="Arial" panose="020B0604020202020204" pitchFamily="34" charset="0"/>
          </a:endParaRPr>
        </a:p>
      </dgm:t>
    </dgm:pt>
    <dgm:pt modelId="{E14EC74A-A73F-4A06-8700-7A1AAC7E73C9}" type="sibTrans" cxnId="{F02286D3-2FA8-4F86-A030-2EF186A2284A}">
      <dgm:prSet/>
      <dgm:spPr/>
      <dgm:t>
        <a:bodyPr/>
        <a:lstStyle/>
        <a:p>
          <a:endParaRPr lang="en-US" sz="2000">
            <a:latin typeface="Arial" panose="020B0604020202020204" pitchFamily="34" charset="0"/>
            <a:cs typeface="Arial" panose="020B0604020202020204" pitchFamily="34" charset="0"/>
          </a:endParaRPr>
        </a:p>
      </dgm:t>
    </dgm:pt>
    <dgm:pt modelId="{FB80DB16-1CB4-4554-8B5E-85EDFC9FA30E}">
      <dgm:prSet phldrT="[Text]" custT="1"/>
      <dgm:spPr/>
      <dgm:t>
        <a:bodyPr/>
        <a:lstStyle/>
        <a:p>
          <a:r>
            <a:rPr lang="en-US" sz="700">
              <a:latin typeface="Arial" panose="020B0604020202020204" pitchFamily="34" charset="0"/>
              <a:cs typeface="Arial" panose="020B0604020202020204" pitchFamily="34" charset="0"/>
            </a:rPr>
            <a:t>In future, I will start research earlier, use more peer-reviewed databases and maintain a structured reference tracker from the beginning. I will also improve time management, framework comparison and financial-analysis skills to produce stronger strategic evaluations.</a:t>
          </a:r>
        </a:p>
      </dgm:t>
    </dgm:pt>
    <dgm:pt modelId="{139048F5-CAAE-45A8-A206-BF5A4ED05450}" type="parTrans" cxnId="{39E40378-D051-4E5F-9061-5E2C08E6726C}">
      <dgm:prSet/>
      <dgm:spPr/>
      <dgm:t>
        <a:bodyPr/>
        <a:lstStyle/>
        <a:p>
          <a:endParaRPr lang="en-US" sz="2000">
            <a:latin typeface="Arial" panose="020B0604020202020204" pitchFamily="34" charset="0"/>
            <a:cs typeface="Arial" panose="020B0604020202020204" pitchFamily="34" charset="0"/>
          </a:endParaRPr>
        </a:p>
      </dgm:t>
    </dgm:pt>
    <dgm:pt modelId="{584F1753-4585-4CC7-A7A9-12139B269C5D}" type="sibTrans" cxnId="{39E40378-D051-4E5F-9061-5E2C08E6726C}">
      <dgm:prSet/>
      <dgm:spPr/>
      <dgm:t>
        <a:bodyPr/>
        <a:lstStyle/>
        <a:p>
          <a:endParaRPr lang="en-US" sz="2000">
            <a:latin typeface="Arial" panose="020B0604020202020204" pitchFamily="34" charset="0"/>
            <a:cs typeface="Arial" panose="020B0604020202020204" pitchFamily="34" charset="0"/>
          </a:endParaRPr>
        </a:p>
      </dgm:t>
    </dgm:pt>
    <dgm:pt modelId="{32A9CF64-850F-48DB-B4FC-9C80C877EDE3}" type="pres">
      <dgm:prSet presAssocID="{FB6313CD-7D8C-415C-AAE5-8FBFD837F561}" presName="Name0" presStyleCnt="0">
        <dgm:presLayoutVars>
          <dgm:dir/>
          <dgm:resizeHandles val="exact"/>
        </dgm:presLayoutVars>
      </dgm:prSet>
      <dgm:spPr/>
    </dgm:pt>
    <dgm:pt modelId="{DCCFA3C5-8CA6-4182-B01A-8ADF1FFA8ECA}" type="pres">
      <dgm:prSet presAssocID="{FB6313CD-7D8C-415C-AAE5-8FBFD837F561}" presName="cycle" presStyleCnt="0"/>
      <dgm:spPr/>
    </dgm:pt>
    <dgm:pt modelId="{4613E86E-E6F5-4602-BEC0-EC1AF8CA2052}" type="pres">
      <dgm:prSet presAssocID="{7273C508-FF52-4526-860C-1041FAF54290}" presName="nodeFirstNode" presStyleLbl="node1" presStyleIdx="0" presStyleCnt="6">
        <dgm:presLayoutVars>
          <dgm:bulletEnabled val="1"/>
        </dgm:presLayoutVars>
      </dgm:prSet>
      <dgm:spPr/>
    </dgm:pt>
    <dgm:pt modelId="{B5D7F18F-698D-477B-83DA-662BF74F4BA0}" type="pres">
      <dgm:prSet presAssocID="{5AA57F02-5816-4C3E-9373-FC0D72E7BB10}" presName="sibTransFirstNode" presStyleLbl="bgShp" presStyleIdx="0" presStyleCnt="1"/>
      <dgm:spPr/>
    </dgm:pt>
    <dgm:pt modelId="{C65A8DF4-162D-4F4A-A910-A9BC8E2BBA27}" type="pres">
      <dgm:prSet presAssocID="{F586D2EF-8CAD-425B-8ADA-F774B42FC52F}" presName="nodeFollowingNodes" presStyleLbl="node1" presStyleIdx="1" presStyleCnt="6">
        <dgm:presLayoutVars>
          <dgm:bulletEnabled val="1"/>
        </dgm:presLayoutVars>
      </dgm:prSet>
      <dgm:spPr/>
    </dgm:pt>
    <dgm:pt modelId="{B40B70ED-2F79-41A4-BB79-62F283BBBB4B}" type="pres">
      <dgm:prSet presAssocID="{096C7F0C-F634-47A4-9327-27ACDC17C1C4}" presName="nodeFollowingNodes" presStyleLbl="node1" presStyleIdx="2" presStyleCnt="6">
        <dgm:presLayoutVars>
          <dgm:bulletEnabled val="1"/>
        </dgm:presLayoutVars>
      </dgm:prSet>
      <dgm:spPr/>
    </dgm:pt>
    <dgm:pt modelId="{39350A6D-E5AA-4641-AB23-0C0731A646B0}" type="pres">
      <dgm:prSet presAssocID="{6E0FFB7A-30BB-48D1-AA99-5887B5C185EF}" presName="nodeFollowingNodes" presStyleLbl="node1" presStyleIdx="3" presStyleCnt="6">
        <dgm:presLayoutVars>
          <dgm:bulletEnabled val="1"/>
        </dgm:presLayoutVars>
      </dgm:prSet>
      <dgm:spPr/>
    </dgm:pt>
    <dgm:pt modelId="{D54BDEA9-AA69-4E4D-AA98-6C64AF040E18}" type="pres">
      <dgm:prSet presAssocID="{F2EFD56B-D100-41F0-B96F-73ED557FE82E}" presName="nodeFollowingNodes" presStyleLbl="node1" presStyleIdx="4" presStyleCnt="6">
        <dgm:presLayoutVars>
          <dgm:bulletEnabled val="1"/>
        </dgm:presLayoutVars>
      </dgm:prSet>
      <dgm:spPr/>
    </dgm:pt>
    <dgm:pt modelId="{46D1CAFD-7872-4690-9D53-407078720519}" type="pres">
      <dgm:prSet presAssocID="{0A927E8B-5AA3-4F22-BF28-EE8D53894E3A}" presName="nodeFollowingNodes" presStyleLbl="node1" presStyleIdx="5" presStyleCnt="6">
        <dgm:presLayoutVars>
          <dgm:bulletEnabled val="1"/>
        </dgm:presLayoutVars>
      </dgm:prSet>
      <dgm:spPr/>
    </dgm:pt>
  </dgm:ptLst>
  <dgm:cxnLst>
    <dgm:cxn modelId="{64E94000-EAFB-4E73-B164-F8CDC3E5B52D}" type="presOf" srcId="{4383D8A6-A574-4076-A8D5-9CD10A2245B4}" destId="{39350A6D-E5AA-4641-AB23-0C0731A646B0}" srcOrd="0" destOrd="1" presId="urn:microsoft.com/office/officeart/2005/8/layout/cycle3"/>
    <dgm:cxn modelId="{F17F1506-EA47-4533-9B72-969621100778}" srcId="{FB6313CD-7D8C-415C-AAE5-8FBFD837F561}" destId="{F2EFD56B-D100-41F0-B96F-73ED557FE82E}" srcOrd="4" destOrd="0" parTransId="{2D82C2C6-C376-4AD7-ACC7-C32FF7A8F286}" sibTransId="{CAF91C26-02C6-4D1C-B3F6-88DC38BF50AA}"/>
    <dgm:cxn modelId="{F93AA509-16D4-4C37-9FB5-732975E41C4E}" srcId="{F2EFD56B-D100-41F0-B96F-73ED557FE82E}" destId="{60CDE651-637A-46D0-8C14-8024C5B6ECF5}" srcOrd="0" destOrd="0" parTransId="{F1932732-DD35-4722-B7AE-589CB6E6B59B}" sibTransId="{55934BB6-FD56-4F74-B441-081CA47ABF0E}"/>
    <dgm:cxn modelId="{154C130C-BFB5-45DA-BD96-3D87337D0C30}" srcId="{FB6313CD-7D8C-415C-AAE5-8FBFD837F561}" destId="{7273C508-FF52-4526-860C-1041FAF54290}" srcOrd="0" destOrd="0" parTransId="{EC226B9B-1657-45D3-ACC0-B98BFA4FB771}" sibTransId="{5AA57F02-5816-4C3E-9373-FC0D72E7BB10}"/>
    <dgm:cxn modelId="{8C58CD16-CE06-47B6-914C-884B5AAD6DD3}" type="presOf" srcId="{F89D5FA6-BA7C-403D-BFD3-F0E39377A786}" destId="{4613E86E-E6F5-4602-BEC0-EC1AF8CA2052}" srcOrd="0" destOrd="1" presId="urn:microsoft.com/office/officeart/2005/8/layout/cycle3"/>
    <dgm:cxn modelId="{EC48F41C-B71F-4945-A83D-E5A2AFB66F46}" type="presOf" srcId="{096C7F0C-F634-47A4-9327-27ACDC17C1C4}" destId="{B40B70ED-2F79-41A4-BB79-62F283BBBB4B}" srcOrd="0" destOrd="0" presId="urn:microsoft.com/office/officeart/2005/8/layout/cycle3"/>
    <dgm:cxn modelId="{53FC8622-D04C-45CE-81B5-88E254F38D97}" srcId="{6E0FFB7A-30BB-48D1-AA99-5887B5C185EF}" destId="{4383D8A6-A574-4076-A8D5-9CD10A2245B4}" srcOrd="0" destOrd="0" parTransId="{CD3B0F6A-46D8-4012-A648-56E0D8119901}" sibTransId="{C067CD1B-F1C8-4C0E-893F-FBACA34ACEB8}"/>
    <dgm:cxn modelId="{448E5825-7F7C-4FDB-B8E6-C05A15930399}" type="presOf" srcId="{7273C508-FF52-4526-860C-1041FAF54290}" destId="{4613E86E-E6F5-4602-BEC0-EC1AF8CA2052}" srcOrd="0" destOrd="0" presId="urn:microsoft.com/office/officeart/2005/8/layout/cycle3"/>
    <dgm:cxn modelId="{2EF52339-2CB1-4A4D-AB6C-F5E342991FD5}" type="presOf" srcId="{F586D2EF-8CAD-425B-8ADA-F774B42FC52F}" destId="{C65A8DF4-162D-4F4A-A910-A9BC8E2BBA27}" srcOrd="0" destOrd="0" presId="urn:microsoft.com/office/officeart/2005/8/layout/cycle3"/>
    <dgm:cxn modelId="{727AAF39-76E8-4B00-8E33-004BF3E73844}" type="presOf" srcId="{0A927E8B-5AA3-4F22-BF28-EE8D53894E3A}" destId="{46D1CAFD-7872-4690-9D53-407078720519}" srcOrd="0" destOrd="0" presId="urn:microsoft.com/office/officeart/2005/8/layout/cycle3"/>
    <dgm:cxn modelId="{5DD3EA63-2A37-441E-B4B7-F4AE76500A2B}" type="presOf" srcId="{FB80DB16-1CB4-4554-8B5E-85EDFC9FA30E}" destId="{46D1CAFD-7872-4690-9D53-407078720519}" srcOrd="0" destOrd="1" presId="urn:microsoft.com/office/officeart/2005/8/layout/cycle3"/>
    <dgm:cxn modelId="{E5103272-E637-4F6A-A86C-5594D90A4535}" srcId="{7273C508-FF52-4526-860C-1041FAF54290}" destId="{F89D5FA6-BA7C-403D-BFD3-F0E39377A786}" srcOrd="0" destOrd="0" parTransId="{1294E8EB-7BDF-44EC-A2D7-4B30FE81D66F}" sibTransId="{400B136E-8DF4-457A-9C80-6CB5099E0A80}"/>
    <dgm:cxn modelId="{39E40378-D051-4E5F-9061-5E2C08E6726C}" srcId="{0A927E8B-5AA3-4F22-BF28-EE8D53894E3A}" destId="{FB80DB16-1CB4-4554-8B5E-85EDFC9FA30E}" srcOrd="0" destOrd="0" parTransId="{139048F5-CAAE-45A8-A206-BF5A4ED05450}" sibTransId="{584F1753-4585-4CC7-A7A9-12139B269C5D}"/>
    <dgm:cxn modelId="{016F8679-9D95-4248-B037-55AEFC59A412}" type="presOf" srcId="{F2EFD56B-D100-41F0-B96F-73ED557FE82E}" destId="{D54BDEA9-AA69-4E4D-AA98-6C64AF040E18}" srcOrd="0" destOrd="0" presId="urn:microsoft.com/office/officeart/2005/8/layout/cycle3"/>
    <dgm:cxn modelId="{712FA880-9CB9-4478-96AB-E357D938E6A7}" srcId="{FB6313CD-7D8C-415C-AAE5-8FBFD837F561}" destId="{096C7F0C-F634-47A4-9327-27ACDC17C1C4}" srcOrd="2" destOrd="0" parTransId="{3447B670-240F-407A-BEA9-71A6DA0391FF}" sibTransId="{4FDDFF04-6438-49D8-AA3B-7AB24EDA38B4}"/>
    <dgm:cxn modelId="{CB4ED482-B903-44DA-A30B-79ECBB4F7A6F}" srcId="{096C7F0C-F634-47A4-9327-27ACDC17C1C4}" destId="{A26F2460-ED8D-44CE-BC32-E301F50F8FBD}" srcOrd="0" destOrd="0" parTransId="{F82701F5-AE57-403A-80ED-0B3F58874563}" sibTransId="{630CC0A5-A126-4A29-AC14-1D44828A4D1E}"/>
    <dgm:cxn modelId="{6610D795-EECC-474D-AD10-BAB66E074CB3}" type="presOf" srcId="{5AA57F02-5816-4C3E-9373-FC0D72E7BB10}" destId="{B5D7F18F-698D-477B-83DA-662BF74F4BA0}" srcOrd="0" destOrd="0" presId="urn:microsoft.com/office/officeart/2005/8/layout/cycle3"/>
    <dgm:cxn modelId="{7B973DA1-6331-4FD8-A4EA-A30350F6F8C2}" srcId="{FB6313CD-7D8C-415C-AAE5-8FBFD837F561}" destId="{6E0FFB7A-30BB-48D1-AA99-5887B5C185EF}" srcOrd="3" destOrd="0" parTransId="{87D68623-8BF2-4004-AA30-4645D899B31D}" sibTransId="{2DE65D20-14E6-43F1-A284-B07C255F5938}"/>
    <dgm:cxn modelId="{D23CD7AF-61C9-44C8-9C15-480B360274DA}" type="presOf" srcId="{6E0FFB7A-30BB-48D1-AA99-5887B5C185EF}" destId="{39350A6D-E5AA-4641-AB23-0C0731A646B0}" srcOrd="0" destOrd="0" presId="urn:microsoft.com/office/officeart/2005/8/layout/cycle3"/>
    <dgm:cxn modelId="{F62A91BA-E0A2-4C39-9DDA-D95F8C0FC1FF}" type="presOf" srcId="{60CDE651-637A-46D0-8C14-8024C5B6ECF5}" destId="{D54BDEA9-AA69-4E4D-AA98-6C64AF040E18}" srcOrd="0" destOrd="1" presId="urn:microsoft.com/office/officeart/2005/8/layout/cycle3"/>
    <dgm:cxn modelId="{CAE8C1BF-54A8-483D-9FF4-D4C5561F2DFB}" type="presOf" srcId="{A26F2460-ED8D-44CE-BC32-E301F50F8FBD}" destId="{B40B70ED-2F79-41A4-BB79-62F283BBBB4B}" srcOrd="0" destOrd="1" presId="urn:microsoft.com/office/officeart/2005/8/layout/cycle3"/>
    <dgm:cxn modelId="{45E739D1-5CED-46E4-96BC-6ACDB183F361}" srcId="{FB6313CD-7D8C-415C-AAE5-8FBFD837F561}" destId="{F586D2EF-8CAD-425B-8ADA-F774B42FC52F}" srcOrd="1" destOrd="0" parTransId="{AA6BB4E0-354C-4251-ABD1-D3ACA563F8DB}" sibTransId="{8CCBAAA5-DE6C-4C20-AC00-EB8D044B458D}"/>
    <dgm:cxn modelId="{F02286D3-2FA8-4F86-A030-2EF186A2284A}" srcId="{FB6313CD-7D8C-415C-AAE5-8FBFD837F561}" destId="{0A927E8B-5AA3-4F22-BF28-EE8D53894E3A}" srcOrd="5" destOrd="0" parTransId="{3F4DB0B1-F0BC-44BD-9614-15DE49332A29}" sibTransId="{E14EC74A-A73F-4A06-8700-7A1AAC7E73C9}"/>
    <dgm:cxn modelId="{82490BD5-7E50-433E-B768-870802C46662}" srcId="{F586D2EF-8CAD-425B-8ADA-F774B42FC52F}" destId="{D61D1CF3-0205-44EA-A8F4-588C7AF439BC}" srcOrd="0" destOrd="0" parTransId="{33EA0BE4-21B8-4CF2-B7EC-333C0A8B1986}" sibTransId="{67F4A2A7-4C4B-4234-AA2D-A61828BDD664}"/>
    <dgm:cxn modelId="{FC9FE5E8-5937-44E6-8B99-523DFEC7DB17}" type="presOf" srcId="{FB6313CD-7D8C-415C-AAE5-8FBFD837F561}" destId="{32A9CF64-850F-48DB-B4FC-9C80C877EDE3}" srcOrd="0" destOrd="0" presId="urn:microsoft.com/office/officeart/2005/8/layout/cycle3"/>
    <dgm:cxn modelId="{B8B6F9EC-5C5D-4E29-B167-D009C0C4D2F5}" type="presOf" srcId="{D61D1CF3-0205-44EA-A8F4-588C7AF439BC}" destId="{C65A8DF4-162D-4F4A-A910-A9BC8E2BBA27}" srcOrd="0" destOrd="1" presId="urn:microsoft.com/office/officeart/2005/8/layout/cycle3"/>
    <dgm:cxn modelId="{653EBDDD-2E34-4B0E-BAC2-4260F1EB6549}" type="presParOf" srcId="{32A9CF64-850F-48DB-B4FC-9C80C877EDE3}" destId="{DCCFA3C5-8CA6-4182-B01A-8ADF1FFA8ECA}" srcOrd="0" destOrd="0" presId="urn:microsoft.com/office/officeart/2005/8/layout/cycle3"/>
    <dgm:cxn modelId="{A0D31F09-EB97-481F-A22C-A292B9ECBCB7}" type="presParOf" srcId="{DCCFA3C5-8CA6-4182-B01A-8ADF1FFA8ECA}" destId="{4613E86E-E6F5-4602-BEC0-EC1AF8CA2052}" srcOrd="0" destOrd="0" presId="urn:microsoft.com/office/officeart/2005/8/layout/cycle3"/>
    <dgm:cxn modelId="{D9008265-AAE1-4E78-B494-53582B6DDD02}" type="presParOf" srcId="{DCCFA3C5-8CA6-4182-B01A-8ADF1FFA8ECA}" destId="{B5D7F18F-698D-477B-83DA-662BF74F4BA0}" srcOrd="1" destOrd="0" presId="urn:microsoft.com/office/officeart/2005/8/layout/cycle3"/>
    <dgm:cxn modelId="{8891666B-E658-403D-9A7D-EFAF2083A36C}" type="presParOf" srcId="{DCCFA3C5-8CA6-4182-B01A-8ADF1FFA8ECA}" destId="{C65A8DF4-162D-4F4A-A910-A9BC8E2BBA27}" srcOrd="2" destOrd="0" presId="urn:microsoft.com/office/officeart/2005/8/layout/cycle3"/>
    <dgm:cxn modelId="{C1A7589D-5A96-482D-BE17-59AB5E553FAA}" type="presParOf" srcId="{DCCFA3C5-8CA6-4182-B01A-8ADF1FFA8ECA}" destId="{B40B70ED-2F79-41A4-BB79-62F283BBBB4B}" srcOrd="3" destOrd="0" presId="urn:microsoft.com/office/officeart/2005/8/layout/cycle3"/>
    <dgm:cxn modelId="{1FE0FC3D-F355-46B1-B575-C9C9EE871871}" type="presParOf" srcId="{DCCFA3C5-8CA6-4182-B01A-8ADF1FFA8ECA}" destId="{39350A6D-E5AA-4641-AB23-0C0731A646B0}" srcOrd="4" destOrd="0" presId="urn:microsoft.com/office/officeart/2005/8/layout/cycle3"/>
    <dgm:cxn modelId="{C48BFF74-7E41-4502-A9B1-41A134CD72C4}" type="presParOf" srcId="{DCCFA3C5-8CA6-4182-B01A-8ADF1FFA8ECA}" destId="{D54BDEA9-AA69-4E4D-AA98-6C64AF040E18}" srcOrd="5" destOrd="0" presId="urn:microsoft.com/office/officeart/2005/8/layout/cycle3"/>
    <dgm:cxn modelId="{EC5C8645-B768-4EDC-B3F0-8C8F0E35E8A8}" type="presParOf" srcId="{DCCFA3C5-8CA6-4182-B01A-8ADF1FFA8ECA}" destId="{46D1CAFD-7872-4690-9D53-407078720519}" srcOrd="6" destOrd="0" presId="urn:microsoft.com/office/officeart/2005/8/layout/cycle3"/>
  </dgm:cxnLst>
  <dgm:bg/>
  <dgm:whole/>
  <dgm:extLst>
    <a:ext uri="http://schemas.microsoft.com/office/drawing/2008/diagram">
      <dsp:dataModelExt xmlns:dsp="http://schemas.microsoft.com/office/drawing/2008/diagram" relId="rId3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BD4BDD4-C51F-4267-B6F9-19D40AAED5D2}">
      <dsp:nvSpPr>
        <dsp:cNvPr id="0" name=""/>
        <dsp:cNvSpPr/>
      </dsp:nvSpPr>
      <dsp:spPr>
        <a:xfrm rot="16200000">
          <a:off x="-1071903" y="1591599"/>
          <a:ext cx="2429026" cy="21582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190344" bIns="0" numCol="1" spcCol="1270" anchor="t" anchorCtr="0">
          <a:noAutofit/>
        </a:bodyPr>
        <a:lstStyle/>
        <a:p>
          <a:pPr marL="0" lvl="0" indent="0" algn="r" defTabSz="1066800">
            <a:lnSpc>
              <a:spcPct val="90000"/>
            </a:lnSpc>
            <a:spcBef>
              <a:spcPct val="0"/>
            </a:spcBef>
            <a:spcAft>
              <a:spcPct val="35000"/>
            </a:spcAft>
            <a:buNone/>
          </a:pPr>
          <a:r>
            <a:rPr lang="en-US" sz="2400" kern="1200">
              <a:latin typeface="Arial" panose="020B0604020202020204" pitchFamily="34" charset="0"/>
              <a:cs typeface="Arial" panose="020B0604020202020204" pitchFamily="34" charset="0"/>
            </a:rPr>
            <a:t>Strengths</a:t>
          </a:r>
        </a:p>
      </dsp:txBody>
      <dsp:txXfrm>
        <a:off x="-1071903" y="1591599"/>
        <a:ext cx="2429026" cy="215822"/>
      </dsp:txXfrm>
    </dsp:sp>
    <dsp:sp modelId="{6C9D761C-66E3-42A4-A322-7FF02088735C}">
      <dsp:nvSpPr>
        <dsp:cNvPr id="0" name=""/>
        <dsp:cNvSpPr/>
      </dsp:nvSpPr>
      <dsp:spPr>
        <a:xfrm>
          <a:off x="250520" y="484997"/>
          <a:ext cx="1075026" cy="2429026"/>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190344" rIns="64008" bIns="64008" numCol="1" spcCol="1270" anchor="t" anchorCtr="0">
          <a:noAutofit/>
        </a:bodyPr>
        <a:lstStyle/>
        <a:p>
          <a:pPr marL="57150" lvl="1" indent="-57150" algn="l" defTabSz="400050">
            <a:lnSpc>
              <a:spcPct val="90000"/>
            </a:lnSpc>
            <a:spcBef>
              <a:spcPct val="0"/>
            </a:spcBef>
            <a:spcAft>
              <a:spcPct val="15000"/>
            </a:spcAft>
            <a:buChar char="•"/>
          </a:pPr>
          <a:r>
            <a:rPr lang="en-US" sz="900" kern="1200">
              <a:latin typeface="Arial" panose="020B0604020202020204" pitchFamily="34" charset="0"/>
              <a:cs typeface="Arial" panose="020B0604020202020204" pitchFamily="34" charset="0"/>
            </a:rPr>
            <a:t>Reliable, refined oil-cooled engine and Suzuki brand heritage</a:t>
          </a:r>
        </a:p>
        <a:p>
          <a:pPr marL="57150" lvl="1" indent="-57150" algn="l" defTabSz="400050">
            <a:lnSpc>
              <a:spcPct val="90000"/>
            </a:lnSpc>
            <a:spcBef>
              <a:spcPct val="0"/>
            </a:spcBef>
            <a:spcAft>
              <a:spcPct val="15000"/>
            </a:spcAft>
            <a:buChar char="•"/>
          </a:pPr>
          <a:r>
            <a:rPr lang="en-US" sz="900" kern="1200">
              <a:latin typeface="Arial" panose="020B0604020202020204" pitchFamily="34" charset="0"/>
              <a:cs typeface="Arial" panose="020B0604020202020204" pitchFamily="34" charset="0"/>
            </a:rPr>
            <a:t>Early flex-fuel (E85) variant availability</a:t>
          </a:r>
        </a:p>
        <a:p>
          <a:pPr marL="57150" lvl="1" indent="-57150" algn="l" defTabSz="400050">
            <a:lnSpc>
              <a:spcPct val="90000"/>
            </a:lnSpc>
            <a:spcBef>
              <a:spcPct val="0"/>
            </a:spcBef>
            <a:spcAft>
              <a:spcPct val="15000"/>
            </a:spcAft>
            <a:buChar char="•"/>
          </a:pPr>
          <a:r>
            <a:rPr lang="en-US" sz="900" kern="1200">
              <a:latin typeface="Arial" panose="020B0604020202020204" pitchFamily="34" charset="0"/>
              <a:cs typeface="Arial" panose="020B0604020202020204" pitchFamily="34" charset="0"/>
            </a:rPr>
            <a:t>Competitive fuel economy (~38 kmpl) and touring credentials</a:t>
          </a:r>
        </a:p>
        <a:p>
          <a:pPr marL="57150" lvl="1" indent="-57150" algn="l" defTabSz="400050">
            <a:lnSpc>
              <a:spcPct val="90000"/>
            </a:lnSpc>
            <a:spcBef>
              <a:spcPct val="0"/>
            </a:spcBef>
            <a:spcAft>
              <a:spcPct val="15000"/>
            </a:spcAft>
            <a:buChar char="•"/>
          </a:pPr>
          <a:r>
            <a:rPr lang="en-US" sz="900" kern="1200">
              <a:latin typeface="Arial" panose="020B0604020202020204" pitchFamily="34" charset="0"/>
              <a:cs typeface="Arial" panose="020B0604020202020204" pitchFamily="34" charset="0"/>
            </a:rPr>
            <a:t>Established manufacturing and dealer network</a:t>
          </a:r>
        </a:p>
      </dsp:txBody>
      <dsp:txXfrm>
        <a:off x="250520" y="484997"/>
        <a:ext cx="1075026" cy="2429026"/>
      </dsp:txXfrm>
    </dsp:sp>
    <dsp:sp modelId="{2007BA6A-2233-4262-A91D-88AECDEA8439}">
      <dsp:nvSpPr>
        <dsp:cNvPr id="0" name=""/>
        <dsp:cNvSpPr/>
      </dsp:nvSpPr>
      <dsp:spPr>
        <a:xfrm>
          <a:off x="34698" y="200111"/>
          <a:ext cx="431645" cy="431645"/>
        </a:xfrm>
        <a:prstGeom prst="rect">
          <a:avLst/>
        </a:prstGeom>
        <a:blipFill rotWithShape="1">
          <a:blip xmlns:r="http://schemas.openxmlformats.org/officeDocument/2006/relationships" r:embed="rId1"/>
          <a:stretch>
            <a:fillRect/>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C6D4CECA-B4A2-43BB-929D-FD9B08AE4BA8}">
      <dsp:nvSpPr>
        <dsp:cNvPr id="0" name=""/>
        <dsp:cNvSpPr/>
      </dsp:nvSpPr>
      <dsp:spPr>
        <a:xfrm rot="16200000">
          <a:off x="498849" y="1591599"/>
          <a:ext cx="2429026" cy="21582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190344" bIns="0" numCol="1" spcCol="1270" anchor="t" anchorCtr="0">
          <a:noAutofit/>
        </a:bodyPr>
        <a:lstStyle/>
        <a:p>
          <a:pPr marL="0" lvl="0" indent="0" algn="r" defTabSz="1066800">
            <a:lnSpc>
              <a:spcPct val="90000"/>
            </a:lnSpc>
            <a:spcBef>
              <a:spcPct val="0"/>
            </a:spcBef>
            <a:spcAft>
              <a:spcPct val="35000"/>
            </a:spcAft>
            <a:buNone/>
          </a:pPr>
          <a:r>
            <a:rPr lang="en-US" sz="2400" kern="1200">
              <a:latin typeface="Arial" panose="020B0604020202020204" pitchFamily="34" charset="0"/>
              <a:cs typeface="Arial" panose="020B0604020202020204" pitchFamily="34" charset="0"/>
            </a:rPr>
            <a:t>Weaknesses</a:t>
          </a:r>
        </a:p>
      </dsp:txBody>
      <dsp:txXfrm>
        <a:off x="498849" y="1591599"/>
        <a:ext cx="2429026" cy="215822"/>
      </dsp:txXfrm>
    </dsp:sp>
    <dsp:sp modelId="{2F9C9BD9-512E-4789-9DE5-E965220E28C4}">
      <dsp:nvSpPr>
        <dsp:cNvPr id="0" name=""/>
        <dsp:cNvSpPr/>
      </dsp:nvSpPr>
      <dsp:spPr>
        <a:xfrm>
          <a:off x="1821274" y="484997"/>
          <a:ext cx="1075026" cy="2429026"/>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190344" rIns="64008" bIns="64008" numCol="1" spcCol="1270" anchor="t" anchorCtr="0">
          <a:noAutofit/>
        </a:bodyPr>
        <a:lstStyle/>
        <a:p>
          <a:pPr marL="57150" lvl="1" indent="-57150" algn="l" defTabSz="400050">
            <a:lnSpc>
              <a:spcPct val="90000"/>
            </a:lnSpc>
            <a:spcBef>
              <a:spcPct val="0"/>
            </a:spcBef>
            <a:spcAft>
              <a:spcPct val="15000"/>
            </a:spcAft>
            <a:buChar char="•"/>
          </a:pPr>
          <a:r>
            <a:rPr lang="en-US" sz="900" kern="1200">
              <a:latin typeface="Arial" panose="020B0604020202020204" pitchFamily="34" charset="0"/>
              <a:cs typeface="Arial" panose="020B0604020202020204" pitchFamily="34" charset="0"/>
            </a:rPr>
            <a:t>Fewer headline features (ride modes, TFT graphics) than some rivals</a:t>
          </a:r>
        </a:p>
        <a:p>
          <a:pPr marL="57150" lvl="1" indent="-57150" algn="l" defTabSz="400050">
            <a:lnSpc>
              <a:spcPct val="90000"/>
            </a:lnSpc>
            <a:spcBef>
              <a:spcPct val="0"/>
            </a:spcBef>
            <a:spcAft>
              <a:spcPct val="15000"/>
            </a:spcAft>
            <a:buChar char="•"/>
          </a:pPr>
          <a:r>
            <a:rPr lang="en-US" sz="900" kern="1200">
              <a:latin typeface="Arial" panose="020B0604020202020204" pitchFamily="34" charset="0"/>
              <a:cs typeface="Arial" panose="020B0604020202020204" pitchFamily="34" charset="0"/>
            </a:rPr>
            <a:t>Less aggressive track-focused image than KTM RC 200</a:t>
          </a:r>
        </a:p>
        <a:p>
          <a:pPr marL="57150" lvl="1" indent="-57150" algn="l" defTabSz="400050">
            <a:lnSpc>
              <a:spcPct val="90000"/>
            </a:lnSpc>
            <a:spcBef>
              <a:spcPct val="0"/>
            </a:spcBef>
            <a:spcAft>
              <a:spcPct val="15000"/>
            </a:spcAft>
            <a:buChar char="•"/>
          </a:pPr>
          <a:r>
            <a:rPr lang="en-US" sz="900" kern="1200">
              <a:latin typeface="Arial" panose="020B0604020202020204" pitchFamily="34" charset="0"/>
              <a:cs typeface="Arial" panose="020B0604020202020204" pitchFamily="34" charset="0"/>
            </a:rPr>
            <a:t>Limited marketing intensity at model level versus TVS/KTM</a:t>
          </a:r>
        </a:p>
        <a:p>
          <a:pPr marL="57150" lvl="1" indent="-57150" algn="l" defTabSz="400050">
            <a:lnSpc>
              <a:spcPct val="90000"/>
            </a:lnSpc>
            <a:spcBef>
              <a:spcPct val="0"/>
            </a:spcBef>
            <a:spcAft>
              <a:spcPct val="15000"/>
            </a:spcAft>
            <a:buChar char="•"/>
          </a:pPr>
          <a:r>
            <a:rPr lang="en-US" sz="900" kern="1200">
              <a:latin typeface="Arial" panose="020B0604020202020204" pitchFamily="34" charset="0"/>
              <a:cs typeface="Arial" panose="020B0604020202020204" pitchFamily="34" charset="0"/>
            </a:rPr>
            <a:t>Narrower model-level digital ecosystem</a:t>
          </a:r>
        </a:p>
      </dsp:txBody>
      <dsp:txXfrm>
        <a:off x="1821274" y="484997"/>
        <a:ext cx="1075026" cy="2429026"/>
      </dsp:txXfrm>
    </dsp:sp>
    <dsp:sp modelId="{CD8E473E-A0BA-408C-B7A3-B078A1B28E33}">
      <dsp:nvSpPr>
        <dsp:cNvPr id="0" name=""/>
        <dsp:cNvSpPr/>
      </dsp:nvSpPr>
      <dsp:spPr>
        <a:xfrm>
          <a:off x="1605451" y="200111"/>
          <a:ext cx="431645" cy="431645"/>
        </a:xfrm>
        <a:prstGeom prst="rect">
          <a:avLst/>
        </a:prstGeom>
        <a:blipFill rotWithShape="1">
          <a:blip xmlns:r="http://schemas.openxmlformats.org/officeDocument/2006/relationships" r:embed="rId2"/>
          <a:stretch>
            <a:fillRect/>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B9D7547C-8F17-4EE5-A4B2-503E7CF88484}">
      <dsp:nvSpPr>
        <dsp:cNvPr id="0" name=""/>
        <dsp:cNvSpPr/>
      </dsp:nvSpPr>
      <dsp:spPr>
        <a:xfrm rot="16200000">
          <a:off x="2069603" y="1591599"/>
          <a:ext cx="2429026" cy="21582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190344" bIns="0" numCol="1" spcCol="1270" anchor="t" anchorCtr="0">
          <a:noAutofit/>
        </a:bodyPr>
        <a:lstStyle/>
        <a:p>
          <a:pPr marL="0" lvl="0" indent="0" algn="r" defTabSz="1066800">
            <a:lnSpc>
              <a:spcPct val="90000"/>
            </a:lnSpc>
            <a:spcBef>
              <a:spcPct val="0"/>
            </a:spcBef>
            <a:spcAft>
              <a:spcPct val="35000"/>
            </a:spcAft>
            <a:buNone/>
          </a:pPr>
          <a:r>
            <a:rPr lang="en-US" sz="2400" kern="1200">
              <a:latin typeface="Arial" panose="020B0604020202020204" pitchFamily="34" charset="0"/>
              <a:cs typeface="Arial" panose="020B0604020202020204" pitchFamily="34" charset="0"/>
            </a:rPr>
            <a:t>Opportunities</a:t>
          </a:r>
        </a:p>
      </dsp:txBody>
      <dsp:txXfrm>
        <a:off x="2069603" y="1591599"/>
        <a:ext cx="2429026" cy="215822"/>
      </dsp:txXfrm>
    </dsp:sp>
    <dsp:sp modelId="{E65BAF03-6A3E-49C9-B800-F084300E33ED}">
      <dsp:nvSpPr>
        <dsp:cNvPr id="0" name=""/>
        <dsp:cNvSpPr/>
      </dsp:nvSpPr>
      <dsp:spPr>
        <a:xfrm>
          <a:off x="3392027" y="484997"/>
          <a:ext cx="1075026" cy="2429026"/>
        </a:xfrm>
        <a:prstGeom prst="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190344" rIns="64008" bIns="64008" numCol="1" spcCol="1270" anchor="t" anchorCtr="0">
          <a:noAutofit/>
        </a:bodyPr>
        <a:lstStyle/>
        <a:p>
          <a:pPr marL="57150" lvl="1" indent="-57150" algn="l" defTabSz="400050">
            <a:lnSpc>
              <a:spcPct val="90000"/>
            </a:lnSpc>
            <a:spcBef>
              <a:spcPct val="0"/>
            </a:spcBef>
            <a:spcAft>
              <a:spcPct val="15000"/>
            </a:spcAft>
            <a:buChar char="•"/>
          </a:pPr>
          <a:r>
            <a:rPr lang="en-US" sz="900" kern="1200">
              <a:latin typeface="Arial" panose="020B0604020202020204" pitchFamily="34" charset="0"/>
              <a:cs typeface="Arial" panose="020B0604020202020204" pitchFamily="34" charset="0"/>
            </a:rPr>
            <a:t>Growing premium (&gt;150cc) segment share, 19% and rising</a:t>
          </a:r>
        </a:p>
        <a:p>
          <a:pPr marL="57150" lvl="1" indent="-57150" algn="l" defTabSz="400050">
            <a:lnSpc>
              <a:spcPct val="90000"/>
            </a:lnSpc>
            <a:spcBef>
              <a:spcPct val="0"/>
            </a:spcBef>
            <a:spcAft>
              <a:spcPct val="15000"/>
            </a:spcAft>
            <a:buChar char="•"/>
          </a:pPr>
          <a:r>
            <a:rPr lang="en-US" sz="900" kern="1200">
              <a:latin typeface="Arial" panose="020B0604020202020204" pitchFamily="34" charset="0"/>
              <a:cs typeface="Arial" panose="020B0604020202020204" pitchFamily="34" charset="0"/>
            </a:rPr>
            <a:t>Flex-fuel and ethanol-blend policy alignment</a:t>
          </a:r>
        </a:p>
        <a:p>
          <a:pPr marL="57150" lvl="1" indent="-57150" algn="l" defTabSz="400050">
            <a:lnSpc>
              <a:spcPct val="90000"/>
            </a:lnSpc>
            <a:spcBef>
              <a:spcPct val="0"/>
            </a:spcBef>
            <a:spcAft>
              <a:spcPct val="15000"/>
            </a:spcAft>
            <a:buChar char="•"/>
          </a:pPr>
          <a:r>
            <a:rPr lang="en-US" sz="900" kern="1200">
              <a:latin typeface="Arial" panose="020B0604020202020204" pitchFamily="34" charset="0"/>
              <a:cs typeface="Arial" panose="020B0604020202020204" pitchFamily="34" charset="0"/>
            </a:rPr>
            <a:t>Digital rider communities and connected-technology upgrades</a:t>
          </a:r>
        </a:p>
        <a:p>
          <a:pPr marL="57150" lvl="1" indent="-57150" algn="l" defTabSz="400050">
            <a:lnSpc>
              <a:spcPct val="90000"/>
            </a:lnSpc>
            <a:spcBef>
              <a:spcPct val="0"/>
            </a:spcBef>
            <a:spcAft>
              <a:spcPct val="15000"/>
            </a:spcAft>
            <a:buChar char="•"/>
          </a:pPr>
          <a:r>
            <a:rPr lang="en-US" sz="900" kern="1200">
              <a:latin typeface="Arial" panose="020B0604020202020204" pitchFamily="34" charset="0"/>
              <a:cs typeface="Arial" panose="020B0604020202020204" pitchFamily="34" charset="0"/>
            </a:rPr>
            <a:t>Favourable financing conditions from RBI rate cuts</a:t>
          </a:r>
        </a:p>
      </dsp:txBody>
      <dsp:txXfrm>
        <a:off x="3392027" y="484997"/>
        <a:ext cx="1075026" cy="2429026"/>
      </dsp:txXfrm>
    </dsp:sp>
    <dsp:sp modelId="{3431C189-80D1-45B6-917B-DC58E915B262}">
      <dsp:nvSpPr>
        <dsp:cNvPr id="0" name=""/>
        <dsp:cNvSpPr/>
      </dsp:nvSpPr>
      <dsp:spPr>
        <a:xfrm>
          <a:off x="3176204" y="200111"/>
          <a:ext cx="431645" cy="431645"/>
        </a:xfrm>
        <a:prstGeom prst="rect">
          <a:avLst/>
        </a:prstGeom>
        <a:blipFill rotWithShape="1">
          <a:blip xmlns:r="http://schemas.openxmlformats.org/officeDocument/2006/relationships" r:embed="rId3"/>
          <a:stretch>
            <a:fillRect/>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AA72BB22-6C5E-4388-975E-EA13D8D98288}">
      <dsp:nvSpPr>
        <dsp:cNvPr id="0" name=""/>
        <dsp:cNvSpPr/>
      </dsp:nvSpPr>
      <dsp:spPr>
        <a:xfrm rot="16200000">
          <a:off x="3640356" y="1591599"/>
          <a:ext cx="2429026" cy="21582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190344" bIns="0" numCol="1" spcCol="1270" anchor="t" anchorCtr="0">
          <a:noAutofit/>
        </a:bodyPr>
        <a:lstStyle/>
        <a:p>
          <a:pPr marL="0" lvl="0" indent="0" algn="r" defTabSz="1066800">
            <a:lnSpc>
              <a:spcPct val="90000"/>
            </a:lnSpc>
            <a:spcBef>
              <a:spcPct val="0"/>
            </a:spcBef>
            <a:spcAft>
              <a:spcPct val="35000"/>
            </a:spcAft>
            <a:buNone/>
          </a:pPr>
          <a:r>
            <a:rPr lang="en-US" sz="2400" kern="1200">
              <a:latin typeface="Arial" panose="020B0604020202020204" pitchFamily="34" charset="0"/>
              <a:cs typeface="Arial" panose="020B0604020202020204" pitchFamily="34" charset="0"/>
            </a:rPr>
            <a:t>Threats</a:t>
          </a:r>
        </a:p>
      </dsp:txBody>
      <dsp:txXfrm>
        <a:off x="3640356" y="1591599"/>
        <a:ext cx="2429026" cy="215822"/>
      </dsp:txXfrm>
    </dsp:sp>
    <dsp:sp modelId="{1971AD7F-1D9E-43EC-A56E-C7EEC6513075}">
      <dsp:nvSpPr>
        <dsp:cNvPr id="0" name=""/>
        <dsp:cNvSpPr/>
      </dsp:nvSpPr>
      <dsp:spPr>
        <a:xfrm>
          <a:off x="4962780" y="484997"/>
          <a:ext cx="1075026" cy="2429026"/>
        </a:xfrm>
        <a:prstGeom prst="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190344" rIns="64008" bIns="64008" numCol="1" spcCol="1270" anchor="t" anchorCtr="0">
          <a:noAutofit/>
        </a:bodyPr>
        <a:lstStyle/>
        <a:p>
          <a:pPr marL="57150" lvl="1" indent="-57150" algn="l" defTabSz="400050">
            <a:lnSpc>
              <a:spcPct val="90000"/>
            </a:lnSpc>
            <a:spcBef>
              <a:spcPct val="0"/>
            </a:spcBef>
            <a:spcAft>
              <a:spcPct val="15000"/>
            </a:spcAft>
            <a:buChar char="•"/>
          </a:pPr>
          <a:r>
            <a:rPr lang="en-US" sz="900" kern="1200">
              <a:latin typeface="Arial" panose="020B0604020202020204" pitchFamily="34" charset="0"/>
              <a:cs typeface="Arial" panose="020B0604020202020204" pitchFamily="34" charset="0"/>
            </a:rPr>
            <a:t>New/refreshed competitor launches (e.g., Yamaha R2)</a:t>
          </a:r>
        </a:p>
        <a:p>
          <a:pPr marL="57150" lvl="1" indent="-57150" algn="l" defTabSz="400050">
            <a:lnSpc>
              <a:spcPct val="90000"/>
            </a:lnSpc>
            <a:spcBef>
              <a:spcPct val="0"/>
            </a:spcBef>
            <a:spcAft>
              <a:spcPct val="15000"/>
            </a:spcAft>
            <a:buChar char="•"/>
          </a:pPr>
          <a:r>
            <a:rPr lang="en-US" sz="900" kern="1200">
              <a:latin typeface="Arial" panose="020B0604020202020204" pitchFamily="34" charset="0"/>
              <a:cs typeface="Arial" panose="020B0604020202020204" pitchFamily="34" charset="0"/>
            </a:rPr>
            <a:t>Aggressive pricing from Bajaj and TVS</a:t>
          </a:r>
        </a:p>
        <a:p>
          <a:pPr marL="57150" lvl="1" indent="-57150" algn="l" defTabSz="400050">
            <a:lnSpc>
              <a:spcPct val="90000"/>
            </a:lnSpc>
            <a:spcBef>
              <a:spcPct val="0"/>
            </a:spcBef>
            <a:spcAft>
              <a:spcPct val="15000"/>
            </a:spcAft>
            <a:buChar char="•"/>
          </a:pPr>
          <a:r>
            <a:rPr lang="en-US" sz="900" kern="1200">
              <a:latin typeface="Arial" panose="020B0604020202020204" pitchFamily="34" charset="0"/>
              <a:cs typeface="Arial" panose="020B0604020202020204" pitchFamily="34" charset="0"/>
            </a:rPr>
            <a:t>Electrification policy and EV substitution</a:t>
          </a:r>
        </a:p>
        <a:p>
          <a:pPr marL="57150" lvl="1" indent="-57150" algn="l" defTabSz="400050">
            <a:lnSpc>
              <a:spcPct val="90000"/>
            </a:lnSpc>
            <a:spcBef>
              <a:spcPct val="0"/>
            </a:spcBef>
            <a:spcAft>
              <a:spcPct val="15000"/>
            </a:spcAft>
            <a:buChar char="•"/>
          </a:pPr>
          <a:r>
            <a:rPr lang="en-US" sz="900" kern="1200">
              <a:latin typeface="Arial" panose="020B0604020202020204" pitchFamily="34" charset="0"/>
              <a:cs typeface="Arial" panose="020B0604020202020204" pitchFamily="34" charset="0"/>
            </a:rPr>
            <a:t>Rising input and compliance costs (OBD-2B, emissions)</a:t>
          </a:r>
        </a:p>
      </dsp:txBody>
      <dsp:txXfrm>
        <a:off x="4962780" y="484997"/>
        <a:ext cx="1075026" cy="2429026"/>
      </dsp:txXfrm>
    </dsp:sp>
    <dsp:sp modelId="{EE4941EC-7918-48C7-BE2C-BB5063A67EA6}">
      <dsp:nvSpPr>
        <dsp:cNvPr id="0" name=""/>
        <dsp:cNvSpPr/>
      </dsp:nvSpPr>
      <dsp:spPr>
        <a:xfrm>
          <a:off x="4746958" y="200111"/>
          <a:ext cx="431645" cy="431645"/>
        </a:xfrm>
        <a:prstGeom prst="rect">
          <a:avLst/>
        </a:prstGeom>
        <a:blipFill rotWithShape="1">
          <a:blip xmlns:r="http://schemas.openxmlformats.org/officeDocument/2006/relationships" r:embed="rId4"/>
          <a:stretch>
            <a:fillRect/>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E2B8AC8-B3AD-43E5-892D-00B75CB15294}">
      <dsp:nvSpPr>
        <dsp:cNvPr id="0" name=""/>
        <dsp:cNvSpPr/>
      </dsp:nvSpPr>
      <dsp:spPr>
        <a:xfrm>
          <a:off x="0" y="2395"/>
          <a:ext cx="5915025" cy="0"/>
        </a:xfrm>
        <a:prstGeom prst="line">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BD4FDC4-A338-4B40-9574-9650C3307559}">
      <dsp:nvSpPr>
        <dsp:cNvPr id="0" name=""/>
        <dsp:cNvSpPr/>
      </dsp:nvSpPr>
      <dsp:spPr>
        <a:xfrm>
          <a:off x="0" y="2395"/>
          <a:ext cx="1183005" cy="81676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marL="0" lvl="0" indent="0" algn="l" defTabSz="533400">
            <a:lnSpc>
              <a:spcPct val="90000"/>
            </a:lnSpc>
            <a:spcBef>
              <a:spcPct val="0"/>
            </a:spcBef>
            <a:spcAft>
              <a:spcPct val="35000"/>
            </a:spcAft>
            <a:buNone/>
          </a:pPr>
          <a:r>
            <a:rPr lang="en-US" sz="1200" b="1" kern="1200">
              <a:latin typeface="Arial" panose="020B0604020202020204" pitchFamily="34" charset="0"/>
              <a:cs typeface="Arial" panose="020B0604020202020204" pitchFamily="34" charset="0"/>
            </a:rPr>
            <a:t>Challenge</a:t>
          </a:r>
        </a:p>
      </dsp:txBody>
      <dsp:txXfrm>
        <a:off x="0" y="2395"/>
        <a:ext cx="1183005" cy="816764"/>
      </dsp:txXfrm>
    </dsp:sp>
    <dsp:sp modelId="{76248582-177D-4303-B20C-3ED62FCF8C03}">
      <dsp:nvSpPr>
        <dsp:cNvPr id="0" name=""/>
        <dsp:cNvSpPr/>
      </dsp:nvSpPr>
      <dsp:spPr>
        <a:xfrm>
          <a:off x="1271730" y="39484"/>
          <a:ext cx="2277284" cy="741787"/>
        </a:xfrm>
        <a:prstGeom prst="rect">
          <a:avLst/>
        </a:prstGeom>
        <a:solidFill>
          <a:schemeClr val="tx2"/>
        </a:solid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marL="0" lvl="0" indent="0" algn="l" defTabSz="533400">
            <a:lnSpc>
              <a:spcPct val="90000"/>
            </a:lnSpc>
            <a:spcBef>
              <a:spcPct val="0"/>
            </a:spcBef>
            <a:spcAft>
              <a:spcPct val="35000"/>
            </a:spcAft>
            <a:buNone/>
          </a:pPr>
          <a:r>
            <a:rPr lang="en-US" sz="1200" b="1" kern="1200">
              <a:latin typeface="Arial" panose="020B0604020202020204" pitchFamily="34" charset="0"/>
              <a:cs typeface="Arial" panose="020B0604020202020204" pitchFamily="34" charset="0"/>
            </a:rPr>
            <a:t>Likely effect</a:t>
          </a:r>
        </a:p>
      </dsp:txBody>
      <dsp:txXfrm>
        <a:off x="1271730" y="39484"/>
        <a:ext cx="2277284" cy="741787"/>
      </dsp:txXfrm>
    </dsp:sp>
    <dsp:sp modelId="{0B5A107B-8254-43E5-8DF4-B3135A1200A1}">
      <dsp:nvSpPr>
        <dsp:cNvPr id="0" name=""/>
        <dsp:cNvSpPr/>
      </dsp:nvSpPr>
      <dsp:spPr>
        <a:xfrm>
          <a:off x="3637740" y="39484"/>
          <a:ext cx="2277284" cy="741787"/>
        </a:xfrm>
        <a:prstGeom prst="rect">
          <a:avLst/>
        </a:prstGeom>
        <a:solidFill>
          <a:schemeClr val="tx2"/>
        </a:solid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marL="0" lvl="0" indent="0" algn="l" defTabSz="533400">
            <a:lnSpc>
              <a:spcPct val="90000"/>
            </a:lnSpc>
            <a:spcBef>
              <a:spcPct val="0"/>
            </a:spcBef>
            <a:spcAft>
              <a:spcPct val="35000"/>
            </a:spcAft>
            <a:buNone/>
          </a:pPr>
          <a:r>
            <a:rPr lang="en-US" sz="1200" b="1" kern="1200">
              <a:latin typeface="Arial" panose="020B0604020202020204" pitchFamily="34" charset="0"/>
              <a:cs typeface="Arial" panose="020B0604020202020204" pitchFamily="34" charset="0"/>
            </a:rPr>
            <a:t>Mitigation</a:t>
          </a:r>
        </a:p>
      </dsp:txBody>
      <dsp:txXfrm>
        <a:off x="3637740" y="39484"/>
        <a:ext cx="2277284" cy="741787"/>
      </dsp:txXfrm>
    </dsp:sp>
    <dsp:sp modelId="{AC3090A5-346D-4576-90D1-EB53FD76AD00}">
      <dsp:nvSpPr>
        <dsp:cNvPr id="0" name=""/>
        <dsp:cNvSpPr/>
      </dsp:nvSpPr>
      <dsp:spPr>
        <a:xfrm>
          <a:off x="1183004" y="781272"/>
          <a:ext cx="4732020" cy="0"/>
        </a:xfrm>
        <a:prstGeom prst="line">
          <a:avLst/>
        </a:prstGeom>
        <a:solidFill>
          <a:schemeClr val="accent3">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AC9E6975-68C5-4DD0-A6B6-173EFE0851EF}">
      <dsp:nvSpPr>
        <dsp:cNvPr id="0" name=""/>
        <dsp:cNvSpPr/>
      </dsp:nvSpPr>
      <dsp:spPr>
        <a:xfrm>
          <a:off x="0" y="819159"/>
          <a:ext cx="5915025" cy="0"/>
        </a:xfrm>
        <a:prstGeom prst="line">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9991C883-018C-4797-9B72-FFEA44FA8E85}">
      <dsp:nvSpPr>
        <dsp:cNvPr id="0" name=""/>
        <dsp:cNvSpPr/>
      </dsp:nvSpPr>
      <dsp:spPr>
        <a:xfrm>
          <a:off x="0" y="819159"/>
          <a:ext cx="1183005" cy="81676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marL="0" lvl="0" indent="0" algn="l" defTabSz="533400">
            <a:lnSpc>
              <a:spcPct val="90000"/>
            </a:lnSpc>
            <a:spcBef>
              <a:spcPct val="0"/>
            </a:spcBef>
            <a:spcAft>
              <a:spcPct val="35000"/>
            </a:spcAft>
            <a:buNone/>
          </a:pPr>
          <a:r>
            <a:rPr lang="en-US" sz="1200" kern="1200">
              <a:latin typeface="Arial" panose="020B0604020202020204" pitchFamily="34" charset="0"/>
              <a:cs typeface="Arial" panose="020B0604020202020204" pitchFamily="34" charset="0"/>
            </a:rPr>
            <a:t>Development costs for new connectivity features</a:t>
          </a:r>
        </a:p>
      </dsp:txBody>
      <dsp:txXfrm>
        <a:off x="0" y="819159"/>
        <a:ext cx="1183005" cy="816764"/>
      </dsp:txXfrm>
    </dsp:sp>
    <dsp:sp modelId="{0AD5A7DC-7A0D-4403-B548-869D4D04A29C}">
      <dsp:nvSpPr>
        <dsp:cNvPr id="0" name=""/>
        <dsp:cNvSpPr/>
      </dsp:nvSpPr>
      <dsp:spPr>
        <a:xfrm>
          <a:off x="1271730" y="856248"/>
          <a:ext cx="2277284" cy="741787"/>
        </a:xfrm>
        <a:prstGeom prst="rect">
          <a:avLst/>
        </a:prstGeom>
        <a:solidFill>
          <a:schemeClr val="accent1">
            <a:lumMod val="20000"/>
            <a:lumOff val="80000"/>
          </a:schemeClr>
        </a:solid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marL="0" lvl="0" indent="0" algn="l" defTabSz="533400">
            <a:lnSpc>
              <a:spcPct val="90000"/>
            </a:lnSpc>
            <a:spcBef>
              <a:spcPct val="0"/>
            </a:spcBef>
            <a:spcAft>
              <a:spcPct val="35000"/>
            </a:spcAft>
            <a:buNone/>
          </a:pPr>
          <a:r>
            <a:rPr lang="en-US" sz="1200" kern="1200">
              <a:latin typeface="Arial" panose="020B0604020202020204" pitchFamily="34" charset="0"/>
              <a:cs typeface="Arial" panose="020B0604020202020204" pitchFamily="34" charset="0"/>
            </a:rPr>
            <a:t>Margin pressure in the short term</a:t>
          </a:r>
        </a:p>
      </dsp:txBody>
      <dsp:txXfrm>
        <a:off x="1271730" y="856248"/>
        <a:ext cx="2277284" cy="741787"/>
      </dsp:txXfrm>
    </dsp:sp>
    <dsp:sp modelId="{4FEC8737-F72A-4512-A944-C0D85F2678DF}">
      <dsp:nvSpPr>
        <dsp:cNvPr id="0" name=""/>
        <dsp:cNvSpPr/>
      </dsp:nvSpPr>
      <dsp:spPr>
        <a:xfrm>
          <a:off x="3637740" y="856248"/>
          <a:ext cx="2277284" cy="741787"/>
        </a:xfrm>
        <a:prstGeom prst="rect">
          <a:avLst/>
        </a:prstGeom>
        <a:solidFill>
          <a:schemeClr val="accent1">
            <a:lumMod val="20000"/>
            <a:lumOff val="80000"/>
          </a:schemeClr>
        </a:solid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marL="0" lvl="0" indent="0" algn="l" defTabSz="533400">
            <a:lnSpc>
              <a:spcPct val="90000"/>
            </a:lnSpc>
            <a:spcBef>
              <a:spcPct val="0"/>
            </a:spcBef>
            <a:spcAft>
              <a:spcPct val="35000"/>
            </a:spcAft>
            <a:buNone/>
          </a:pPr>
          <a:r>
            <a:rPr lang="en-US" sz="1200" kern="1200">
              <a:latin typeface="Arial" panose="020B0604020202020204" pitchFamily="34" charset="0"/>
              <a:cs typeface="Arial" panose="020B0604020202020204" pitchFamily="34" charset="0"/>
            </a:rPr>
            <a:t>Phase features across variants; leverage parent-company technology transfer</a:t>
          </a:r>
        </a:p>
      </dsp:txBody>
      <dsp:txXfrm>
        <a:off x="3637740" y="856248"/>
        <a:ext cx="2277284" cy="741787"/>
      </dsp:txXfrm>
    </dsp:sp>
    <dsp:sp modelId="{5DC6B466-65A0-4FDD-8633-5C86F899CDE3}">
      <dsp:nvSpPr>
        <dsp:cNvPr id="0" name=""/>
        <dsp:cNvSpPr/>
      </dsp:nvSpPr>
      <dsp:spPr>
        <a:xfrm>
          <a:off x="1183004" y="1598036"/>
          <a:ext cx="4732020" cy="0"/>
        </a:xfrm>
        <a:prstGeom prst="line">
          <a:avLst/>
        </a:prstGeom>
        <a:solidFill>
          <a:schemeClr val="accent3">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CE0C3682-EC58-4249-BC08-295ABE0D4993}">
      <dsp:nvSpPr>
        <dsp:cNvPr id="0" name=""/>
        <dsp:cNvSpPr/>
      </dsp:nvSpPr>
      <dsp:spPr>
        <a:xfrm>
          <a:off x="0" y="1635923"/>
          <a:ext cx="5915025" cy="0"/>
        </a:xfrm>
        <a:prstGeom prst="line">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67530875-8E3F-49B9-8C14-6BD4DE078086}">
      <dsp:nvSpPr>
        <dsp:cNvPr id="0" name=""/>
        <dsp:cNvSpPr/>
      </dsp:nvSpPr>
      <dsp:spPr>
        <a:xfrm>
          <a:off x="0" y="1635923"/>
          <a:ext cx="1183005" cy="81676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marL="0" lvl="0" indent="0" algn="l" defTabSz="533400">
            <a:lnSpc>
              <a:spcPct val="90000"/>
            </a:lnSpc>
            <a:spcBef>
              <a:spcPct val="0"/>
            </a:spcBef>
            <a:spcAft>
              <a:spcPct val="35000"/>
            </a:spcAft>
            <a:buNone/>
          </a:pPr>
          <a:r>
            <a:rPr lang="en-US" sz="1200" kern="1200">
              <a:latin typeface="Arial" panose="020B0604020202020204" pitchFamily="34" charset="0"/>
              <a:cs typeface="Arial" panose="020B0604020202020204" pitchFamily="34" charset="0"/>
            </a:rPr>
            <a:t>Dealer inconsistency in communicating new positioning</a:t>
          </a:r>
        </a:p>
      </dsp:txBody>
      <dsp:txXfrm>
        <a:off x="0" y="1635923"/>
        <a:ext cx="1183005" cy="816764"/>
      </dsp:txXfrm>
    </dsp:sp>
    <dsp:sp modelId="{9CB8D96A-1950-4F45-9721-3E71F22DD17B}">
      <dsp:nvSpPr>
        <dsp:cNvPr id="0" name=""/>
        <dsp:cNvSpPr/>
      </dsp:nvSpPr>
      <dsp:spPr>
        <a:xfrm>
          <a:off x="1271730" y="1644045"/>
          <a:ext cx="2277284" cy="741787"/>
        </a:xfrm>
        <a:prstGeom prst="rect">
          <a:avLst/>
        </a:prstGeom>
        <a:solidFill>
          <a:schemeClr val="accent2">
            <a:lumMod val="20000"/>
            <a:lumOff val="80000"/>
          </a:schemeClr>
        </a:solid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marL="0" lvl="0" indent="0" algn="l" defTabSz="533400">
            <a:lnSpc>
              <a:spcPct val="90000"/>
            </a:lnSpc>
            <a:spcBef>
              <a:spcPct val="0"/>
            </a:spcBef>
            <a:spcAft>
              <a:spcPct val="35000"/>
            </a:spcAft>
            <a:buNone/>
          </a:pPr>
          <a:r>
            <a:rPr lang="en-US" sz="1200" kern="1200">
              <a:latin typeface="Arial" panose="020B0604020202020204" pitchFamily="34" charset="0"/>
              <a:cs typeface="Arial" panose="020B0604020202020204" pitchFamily="34" charset="0"/>
            </a:rPr>
            <a:t>Diluted brand message</a:t>
          </a:r>
        </a:p>
      </dsp:txBody>
      <dsp:txXfrm>
        <a:off x="1271730" y="1644045"/>
        <a:ext cx="2277284" cy="741787"/>
      </dsp:txXfrm>
    </dsp:sp>
    <dsp:sp modelId="{652D6CFE-A313-44CB-AE10-B7926C0FE80A}">
      <dsp:nvSpPr>
        <dsp:cNvPr id="0" name=""/>
        <dsp:cNvSpPr/>
      </dsp:nvSpPr>
      <dsp:spPr>
        <a:xfrm>
          <a:off x="3637740" y="1673012"/>
          <a:ext cx="2277284" cy="741787"/>
        </a:xfrm>
        <a:prstGeom prst="rect">
          <a:avLst/>
        </a:prstGeom>
        <a:solidFill>
          <a:schemeClr val="accent2">
            <a:lumMod val="20000"/>
            <a:lumOff val="80000"/>
          </a:schemeClr>
        </a:solid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marL="0" lvl="0" indent="0" algn="l" defTabSz="533400">
            <a:lnSpc>
              <a:spcPct val="90000"/>
            </a:lnSpc>
            <a:spcBef>
              <a:spcPct val="0"/>
            </a:spcBef>
            <a:spcAft>
              <a:spcPct val="35000"/>
            </a:spcAft>
            <a:buNone/>
          </a:pPr>
          <a:r>
            <a:rPr lang="en-US" sz="1200" kern="1200">
              <a:latin typeface="Arial" panose="020B0604020202020204" pitchFamily="34" charset="0"/>
              <a:cs typeface="Arial" panose="020B0604020202020204" pitchFamily="34" charset="0"/>
            </a:rPr>
            <a:t>Structured dealer training tied to the Learning and Growth scorecard perspective</a:t>
          </a:r>
        </a:p>
      </dsp:txBody>
      <dsp:txXfrm>
        <a:off x="3637740" y="1673012"/>
        <a:ext cx="2277284" cy="741787"/>
      </dsp:txXfrm>
    </dsp:sp>
    <dsp:sp modelId="{F1CAF6F8-E417-46C8-8235-8D5505143F16}">
      <dsp:nvSpPr>
        <dsp:cNvPr id="0" name=""/>
        <dsp:cNvSpPr/>
      </dsp:nvSpPr>
      <dsp:spPr>
        <a:xfrm>
          <a:off x="1183004" y="2414800"/>
          <a:ext cx="4732020" cy="0"/>
        </a:xfrm>
        <a:prstGeom prst="line">
          <a:avLst/>
        </a:prstGeom>
        <a:solidFill>
          <a:schemeClr val="accent3">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492F82FB-21C8-4748-953F-3648F565F61B}">
      <dsp:nvSpPr>
        <dsp:cNvPr id="0" name=""/>
        <dsp:cNvSpPr/>
      </dsp:nvSpPr>
      <dsp:spPr>
        <a:xfrm>
          <a:off x="0" y="2452687"/>
          <a:ext cx="5915025" cy="0"/>
        </a:xfrm>
        <a:prstGeom prst="line">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5659A6A1-667F-46FC-9B74-1855405E62E1}">
      <dsp:nvSpPr>
        <dsp:cNvPr id="0" name=""/>
        <dsp:cNvSpPr/>
      </dsp:nvSpPr>
      <dsp:spPr>
        <a:xfrm>
          <a:off x="0" y="2452687"/>
          <a:ext cx="1183005" cy="81676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marL="0" lvl="0" indent="0" algn="l" defTabSz="533400">
            <a:lnSpc>
              <a:spcPct val="90000"/>
            </a:lnSpc>
            <a:spcBef>
              <a:spcPct val="0"/>
            </a:spcBef>
            <a:spcAft>
              <a:spcPct val="35000"/>
            </a:spcAft>
            <a:buNone/>
          </a:pPr>
          <a:r>
            <a:rPr lang="en-US" sz="1200" kern="1200">
              <a:latin typeface="Arial" panose="020B0604020202020204" pitchFamily="34" charset="0"/>
              <a:cs typeface="Arial" panose="020B0604020202020204" pitchFamily="34" charset="0"/>
            </a:rPr>
            <a:t>Competitor retaliation (e.g., Yamaha R2 launch)</a:t>
          </a:r>
        </a:p>
      </dsp:txBody>
      <dsp:txXfrm>
        <a:off x="0" y="2452687"/>
        <a:ext cx="1183005" cy="816764"/>
      </dsp:txXfrm>
    </dsp:sp>
    <dsp:sp modelId="{28D0E865-47F7-47D9-8DB1-E755074648CB}">
      <dsp:nvSpPr>
        <dsp:cNvPr id="0" name=""/>
        <dsp:cNvSpPr/>
      </dsp:nvSpPr>
      <dsp:spPr>
        <a:xfrm>
          <a:off x="1271730" y="2489776"/>
          <a:ext cx="2277284" cy="741787"/>
        </a:xfrm>
        <a:prstGeom prst="rect">
          <a:avLst/>
        </a:prstGeom>
        <a:solidFill>
          <a:schemeClr val="accent3">
            <a:lumMod val="40000"/>
            <a:lumOff val="60000"/>
          </a:schemeClr>
        </a:solid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marL="0" lvl="0" indent="0" algn="l" defTabSz="533400">
            <a:lnSpc>
              <a:spcPct val="90000"/>
            </a:lnSpc>
            <a:spcBef>
              <a:spcPct val="0"/>
            </a:spcBef>
            <a:spcAft>
              <a:spcPct val="35000"/>
            </a:spcAft>
            <a:buNone/>
          </a:pPr>
          <a:r>
            <a:rPr lang="en-US" sz="1200" kern="1200">
              <a:latin typeface="Arial" panose="020B0604020202020204" pitchFamily="34" charset="0"/>
              <a:cs typeface="Arial" panose="020B0604020202020204" pitchFamily="34" charset="0"/>
            </a:rPr>
            <a:t>Price and feature pressure</a:t>
          </a:r>
        </a:p>
      </dsp:txBody>
      <dsp:txXfrm>
        <a:off x="1271730" y="2489776"/>
        <a:ext cx="2277284" cy="741787"/>
      </dsp:txXfrm>
    </dsp:sp>
    <dsp:sp modelId="{9FD9B73F-25E7-4F56-916C-F5666FEFEFEF}">
      <dsp:nvSpPr>
        <dsp:cNvPr id="0" name=""/>
        <dsp:cNvSpPr/>
      </dsp:nvSpPr>
      <dsp:spPr>
        <a:xfrm>
          <a:off x="3637740" y="2489776"/>
          <a:ext cx="2277284" cy="741787"/>
        </a:xfrm>
        <a:prstGeom prst="rect">
          <a:avLst/>
        </a:prstGeom>
        <a:solidFill>
          <a:schemeClr val="accent3">
            <a:lumMod val="40000"/>
            <a:lumOff val="60000"/>
          </a:schemeClr>
        </a:solid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marL="0" lvl="0" indent="0" algn="l" defTabSz="533400">
            <a:lnSpc>
              <a:spcPct val="90000"/>
            </a:lnSpc>
            <a:spcBef>
              <a:spcPct val="0"/>
            </a:spcBef>
            <a:spcAft>
              <a:spcPct val="35000"/>
            </a:spcAft>
            <a:buNone/>
          </a:pPr>
          <a:r>
            <a:rPr lang="en-US" sz="1200" kern="1200">
              <a:latin typeface="Arial" panose="020B0604020202020204" pitchFamily="34" charset="0"/>
              <a:cs typeface="Arial" panose="020B0604020202020204" pitchFamily="34" charset="0"/>
            </a:rPr>
            <a:t>Monitor competitor launches; maintain flex-fuel and reliability messaging as a distinct anchor</a:t>
          </a:r>
        </a:p>
      </dsp:txBody>
      <dsp:txXfrm>
        <a:off x="3637740" y="2489776"/>
        <a:ext cx="2277284" cy="741787"/>
      </dsp:txXfrm>
    </dsp:sp>
    <dsp:sp modelId="{99D804FE-6AA7-4959-BF98-782072915987}">
      <dsp:nvSpPr>
        <dsp:cNvPr id="0" name=""/>
        <dsp:cNvSpPr/>
      </dsp:nvSpPr>
      <dsp:spPr>
        <a:xfrm>
          <a:off x="1183004" y="3231564"/>
          <a:ext cx="4732020" cy="0"/>
        </a:xfrm>
        <a:prstGeom prst="line">
          <a:avLst/>
        </a:prstGeom>
        <a:solidFill>
          <a:schemeClr val="accent3">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5BD3B693-19D0-4807-A3CC-5F4912F9B0D4}">
      <dsp:nvSpPr>
        <dsp:cNvPr id="0" name=""/>
        <dsp:cNvSpPr/>
      </dsp:nvSpPr>
      <dsp:spPr>
        <a:xfrm>
          <a:off x="0" y="3269451"/>
          <a:ext cx="5915025" cy="0"/>
        </a:xfrm>
        <a:prstGeom prst="line">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7D693E8A-A848-4D15-9CFB-FEF843EFD107}">
      <dsp:nvSpPr>
        <dsp:cNvPr id="0" name=""/>
        <dsp:cNvSpPr/>
      </dsp:nvSpPr>
      <dsp:spPr>
        <a:xfrm>
          <a:off x="0" y="3269451"/>
          <a:ext cx="1183005" cy="81676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marL="0" lvl="0" indent="0" algn="l" defTabSz="533400">
            <a:lnSpc>
              <a:spcPct val="90000"/>
            </a:lnSpc>
            <a:spcBef>
              <a:spcPct val="0"/>
            </a:spcBef>
            <a:spcAft>
              <a:spcPct val="35000"/>
            </a:spcAft>
            <a:buNone/>
          </a:pPr>
          <a:r>
            <a:rPr lang="en-US" sz="1200" kern="1200">
              <a:latin typeface="Arial" panose="020B0604020202020204" pitchFamily="34" charset="0"/>
              <a:cs typeface="Arial" panose="020B0604020202020204" pitchFamily="34" charset="0"/>
            </a:rPr>
            <a:t>Supply-chain exposure for electronics components</a:t>
          </a:r>
        </a:p>
      </dsp:txBody>
      <dsp:txXfrm>
        <a:off x="0" y="3269451"/>
        <a:ext cx="1183005" cy="816764"/>
      </dsp:txXfrm>
    </dsp:sp>
    <dsp:sp modelId="{5A591B37-C7B6-4831-84B2-3E48769B4366}">
      <dsp:nvSpPr>
        <dsp:cNvPr id="0" name=""/>
        <dsp:cNvSpPr/>
      </dsp:nvSpPr>
      <dsp:spPr>
        <a:xfrm>
          <a:off x="1271730" y="3306540"/>
          <a:ext cx="2277284" cy="741787"/>
        </a:xfrm>
        <a:prstGeom prst="rect">
          <a:avLst/>
        </a:prstGeom>
        <a:solidFill>
          <a:schemeClr val="accent4">
            <a:lumMod val="20000"/>
            <a:lumOff val="80000"/>
          </a:schemeClr>
        </a:solid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marL="0" lvl="0" indent="0" algn="l" defTabSz="533400">
            <a:lnSpc>
              <a:spcPct val="90000"/>
            </a:lnSpc>
            <a:spcBef>
              <a:spcPct val="0"/>
            </a:spcBef>
            <a:spcAft>
              <a:spcPct val="35000"/>
            </a:spcAft>
            <a:buNone/>
          </a:pPr>
          <a:r>
            <a:rPr lang="en-US" sz="1200" kern="1200">
              <a:latin typeface="Arial" panose="020B0604020202020204" pitchFamily="34" charset="0"/>
              <a:cs typeface="Arial" panose="020B0604020202020204" pitchFamily="34" charset="0"/>
            </a:rPr>
            <a:t>Delays or cost increases</a:t>
          </a:r>
        </a:p>
      </dsp:txBody>
      <dsp:txXfrm>
        <a:off x="1271730" y="3306540"/>
        <a:ext cx="2277284" cy="741787"/>
      </dsp:txXfrm>
    </dsp:sp>
    <dsp:sp modelId="{E6C0E14C-F9C3-4A10-A0F0-A918E9028951}">
      <dsp:nvSpPr>
        <dsp:cNvPr id="0" name=""/>
        <dsp:cNvSpPr/>
      </dsp:nvSpPr>
      <dsp:spPr>
        <a:xfrm>
          <a:off x="3637740" y="3306540"/>
          <a:ext cx="2277284" cy="741787"/>
        </a:xfrm>
        <a:prstGeom prst="rect">
          <a:avLst/>
        </a:prstGeom>
        <a:solidFill>
          <a:schemeClr val="accent4">
            <a:lumMod val="20000"/>
            <a:lumOff val="80000"/>
          </a:schemeClr>
        </a:solid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marL="0" lvl="0" indent="0" algn="l" defTabSz="533400">
            <a:lnSpc>
              <a:spcPct val="90000"/>
            </a:lnSpc>
            <a:spcBef>
              <a:spcPct val="0"/>
            </a:spcBef>
            <a:spcAft>
              <a:spcPct val="35000"/>
            </a:spcAft>
            <a:buNone/>
          </a:pPr>
          <a:r>
            <a:rPr lang="en-US" sz="1200" kern="1200">
              <a:latin typeface="Arial" panose="020B0604020202020204" pitchFamily="34" charset="0"/>
              <a:cs typeface="Arial" panose="020B0604020202020204" pitchFamily="34" charset="0"/>
            </a:rPr>
            <a:t>Diversify suppliers where feasible under PLI localisation incentives</a:t>
          </a:r>
        </a:p>
      </dsp:txBody>
      <dsp:txXfrm>
        <a:off x="3637740" y="3306540"/>
        <a:ext cx="2277284" cy="741787"/>
      </dsp:txXfrm>
    </dsp:sp>
    <dsp:sp modelId="{85396B93-9D37-4899-9F7D-FD249068FAC2}">
      <dsp:nvSpPr>
        <dsp:cNvPr id="0" name=""/>
        <dsp:cNvSpPr/>
      </dsp:nvSpPr>
      <dsp:spPr>
        <a:xfrm>
          <a:off x="1183004" y="4048328"/>
          <a:ext cx="4732020" cy="0"/>
        </a:xfrm>
        <a:prstGeom prst="line">
          <a:avLst/>
        </a:prstGeom>
        <a:solidFill>
          <a:schemeClr val="accent3">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02F6FC7C-D50D-4C07-814D-EC63C075B9F8}">
      <dsp:nvSpPr>
        <dsp:cNvPr id="0" name=""/>
        <dsp:cNvSpPr/>
      </dsp:nvSpPr>
      <dsp:spPr>
        <a:xfrm>
          <a:off x="0" y="4086215"/>
          <a:ext cx="5915025" cy="0"/>
        </a:xfrm>
        <a:prstGeom prst="line">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2523AF69-51E5-450C-8396-0E5E0BF88B59}">
      <dsp:nvSpPr>
        <dsp:cNvPr id="0" name=""/>
        <dsp:cNvSpPr/>
      </dsp:nvSpPr>
      <dsp:spPr>
        <a:xfrm>
          <a:off x="0" y="4086215"/>
          <a:ext cx="1183005" cy="81676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marL="0" lvl="0" indent="0" algn="l" defTabSz="533400">
            <a:lnSpc>
              <a:spcPct val="90000"/>
            </a:lnSpc>
            <a:spcBef>
              <a:spcPct val="0"/>
            </a:spcBef>
            <a:spcAft>
              <a:spcPct val="35000"/>
            </a:spcAft>
            <a:buNone/>
          </a:pPr>
          <a:r>
            <a:rPr lang="en-US" sz="1200" kern="1200">
              <a:latin typeface="Arial" panose="020B0604020202020204" pitchFamily="34" charset="0"/>
              <a:cs typeface="Arial" panose="020B0604020202020204" pitchFamily="34" charset="0"/>
            </a:rPr>
            <a:t>Weak market communication of flex-fuel advantage</a:t>
          </a:r>
        </a:p>
      </dsp:txBody>
      <dsp:txXfrm>
        <a:off x="0" y="4086215"/>
        <a:ext cx="1183005" cy="816764"/>
      </dsp:txXfrm>
    </dsp:sp>
    <dsp:sp modelId="{1D512A4D-3B63-48B3-B8AB-6AD3A7281B64}">
      <dsp:nvSpPr>
        <dsp:cNvPr id="0" name=""/>
        <dsp:cNvSpPr/>
      </dsp:nvSpPr>
      <dsp:spPr>
        <a:xfrm>
          <a:off x="1271730" y="4123305"/>
          <a:ext cx="2277284" cy="741787"/>
        </a:xfrm>
        <a:prstGeom prst="rect">
          <a:avLst/>
        </a:prstGeom>
        <a:solidFill>
          <a:schemeClr val="accent6">
            <a:lumMod val="20000"/>
            <a:lumOff val="80000"/>
          </a:schemeClr>
        </a:solid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marL="0" lvl="0" indent="0" algn="l" defTabSz="533400">
            <a:lnSpc>
              <a:spcPct val="90000"/>
            </a:lnSpc>
            <a:spcBef>
              <a:spcPct val="0"/>
            </a:spcBef>
            <a:spcAft>
              <a:spcPct val="35000"/>
            </a:spcAft>
            <a:buNone/>
          </a:pPr>
          <a:r>
            <a:rPr lang="en-US" sz="1200" kern="1200">
              <a:latin typeface="Arial" panose="020B0604020202020204" pitchFamily="34" charset="0"/>
              <a:cs typeface="Arial" panose="020B0604020202020204" pitchFamily="34" charset="0"/>
            </a:rPr>
            <a:t>Under-recognised differentiation</a:t>
          </a:r>
        </a:p>
      </dsp:txBody>
      <dsp:txXfrm>
        <a:off x="1271730" y="4123305"/>
        <a:ext cx="2277284" cy="741787"/>
      </dsp:txXfrm>
    </dsp:sp>
    <dsp:sp modelId="{62318437-5A60-49BC-A668-BBB82CE7C853}">
      <dsp:nvSpPr>
        <dsp:cNvPr id="0" name=""/>
        <dsp:cNvSpPr/>
      </dsp:nvSpPr>
      <dsp:spPr>
        <a:xfrm>
          <a:off x="3637740" y="4123305"/>
          <a:ext cx="2277284" cy="741787"/>
        </a:xfrm>
        <a:prstGeom prst="rect">
          <a:avLst/>
        </a:prstGeom>
        <a:solidFill>
          <a:schemeClr val="accent6">
            <a:lumMod val="20000"/>
            <a:lumOff val="80000"/>
          </a:schemeClr>
        </a:solid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marL="0" lvl="0" indent="0" algn="l" defTabSz="533400">
            <a:lnSpc>
              <a:spcPct val="90000"/>
            </a:lnSpc>
            <a:spcBef>
              <a:spcPct val="0"/>
            </a:spcBef>
            <a:spcAft>
              <a:spcPct val="35000"/>
            </a:spcAft>
            <a:buNone/>
          </a:pPr>
          <a:r>
            <a:rPr lang="en-US" sz="1200" kern="1200">
              <a:latin typeface="Arial" panose="020B0604020202020204" pitchFamily="34" charset="0"/>
              <a:cs typeface="Arial" panose="020B0604020202020204" pitchFamily="34" charset="0"/>
            </a:rPr>
            <a:t>Integrate flex-fuel messaging into digital marketing and dealership signage</a:t>
          </a:r>
        </a:p>
      </dsp:txBody>
      <dsp:txXfrm>
        <a:off x="3637740" y="4123305"/>
        <a:ext cx="2277284" cy="741787"/>
      </dsp:txXfrm>
    </dsp:sp>
    <dsp:sp modelId="{B8F991AF-E2B5-48B5-951A-ECC790F51326}">
      <dsp:nvSpPr>
        <dsp:cNvPr id="0" name=""/>
        <dsp:cNvSpPr/>
      </dsp:nvSpPr>
      <dsp:spPr>
        <a:xfrm>
          <a:off x="1183004" y="4865092"/>
          <a:ext cx="4732020" cy="0"/>
        </a:xfrm>
        <a:prstGeom prst="line">
          <a:avLst/>
        </a:prstGeom>
        <a:solidFill>
          <a:schemeClr val="accent3">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5D7F18F-698D-477B-83DA-662BF74F4BA0}">
      <dsp:nvSpPr>
        <dsp:cNvPr id="0" name=""/>
        <dsp:cNvSpPr/>
      </dsp:nvSpPr>
      <dsp:spPr>
        <a:xfrm>
          <a:off x="206451" y="197248"/>
          <a:ext cx="5521172" cy="5521172"/>
        </a:xfrm>
        <a:prstGeom prst="circularArrow">
          <a:avLst>
            <a:gd name="adj1" fmla="val 5274"/>
            <a:gd name="adj2" fmla="val 312630"/>
            <a:gd name="adj3" fmla="val 14268133"/>
            <a:gd name="adj4" fmla="val 17103649"/>
            <a:gd name="adj5" fmla="val 5477"/>
          </a:avLst>
        </a:prstGeom>
        <a:solidFill>
          <a:schemeClr val="dk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4613E86E-E6F5-4602-BEC0-EC1AF8CA2052}">
      <dsp:nvSpPr>
        <dsp:cNvPr id="0" name=""/>
        <dsp:cNvSpPr/>
      </dsp:nvSpPr>
      <dsp:spPr>
        <a:xfrm>
          <a:off x="1941323" y="204828"/>
          <a:ext cx="2051428" cy="1025714"/>
        </a:xfrm>
        <a:prstGeom prst="round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t" anchorCtr="0">
          <a:noAutofit/>
        </a:bodyPr>
        <a:lstStyle/>
        <a:p>
          <a:pPr marL="0" lvl="0" indent="0" algn="l" defTabSz="400050">
            <a:lnSpc>
              <a:spcPct val="90000"/>
            </a:lnSpc>
            <a:spcBef>
              <a:spcPct val="0"/>
            </a:spcBef>
            <a:spcAft>
              <a:spcPct val="35000"/>
            </a:spcAft>
            <a:buNone/>
          </a:pPr>
          <a:r>
            <a:rPr lang="en-US" sz="900" kern="1200">
              <a:latin typeface="Arial" panose="020B0604020202020204" pitchFamily="34" charset="0"/>
              <a:cs typeface="Arial" panose="020B0604020202020204" pitchFamily="34" charset="0"/>
            </a:rPr>
            <a:t>Description</a:t>
          </a:r>
        </a:p>
        <a:p>
          <a:pPr marL="57150" lvl="1" indent="-57150" algn="l" defTabSz="311150">
            <a:lnSpc>
              <a:spcPct val="90000"/>
            </a:lnSpc>
            <a:spcBef>
              <a:spcPct val="0"/>
            </a:spcBef>
            <a:spcAft>
              <a:spcPct val="15000"/>
            </a:spcAft>
            <a:buChar char="•"/>
          </a:pPr>
          <a:r>
            <a:rPr lang="en-US" sz="700" kern="1200">
              <a:latin typeface="Arial" panose="020B0604020202020204" pitchFamily="34" charset="0"/>
              <a:cs typeface="Arial" panose="020B0604020202020204" pitchFamily="34" charset="0"/>
            </a:rPr>
            <a:t>I selected Suzuki Motorcycle India and the 2026 Gixxer SF 250 because current product and market information was publicly available. The analysis used manufacturer, industry, academic and macroeconomic sources alongside PESTEL, Five Forces, VRIO, SWOT, Balanced Scorecard and SAFe.</a:t>
          </a:r>
        </a:p>
      </dsp:txBody>
      <dsp:txXfrm>
        <a:off x="1991394" y="254899"/>
        <a:ext cx="1951286" cy="925572"/>
      </dsp:txXfrm>
    </dsp:sp>
    <dsp:sp modelId="{C65A8DF4-162D-4F4A-A910-A9BC8E2BBA27}">
      <dsp:nvSpPr>
        <dsp:cNvPr id="0" name=""/>
        <dsp:cNvSpPr/>
      </dsp:nvSpPr>
      <dsp:spPr>
        <a:xfrm>
          <a:off x="3881070" y="1324742"/>
          <a:ext cx="2051428" cy="1025714"/>
        </a:xfrm>
        <a:prstGeom prst="round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t" anchorCtr="0">
          <a:noAutofit/>
        </a:bodyPr>
        <a:lstStyle/>
        <a:p>
          <a:pPr marL="0" lvl="0" indent="0" algn="l" defTabSz="400050">
            <a:lnSpc>
              <a:spcPct val="90000"/>
            </a:lnSpc>
            <a:spcBef>
              <a:spcPct val="0"/>
            </a:spcBef>
            <a:spcAft>
              <a:spcPct val="35000"/>
            </a:spcAft>
            <a:buNone/>
          </a:pPr>
          <a:r>
            <a:rPr lang="en-US" sz="900" kern="1200">
              <a:latin typeface="Arial" panose="020B0604020202020204" pitchFamily="34" charset="0"/>
              <a:cs typeface="Arial" panose="020B0604020202020204" pitchFamily="34" charset="0"/>
            </a:rPr>
            <a:t>Feelings</a:t>
          </a:r>
        </a:p>
        <a:p>
          <a:pPr marL="57150" lvl="1" indent="-57150" algn="l" defTabSz="311150">
            <a:lnSpc>
              <a:spcPct val="90000"/>
            </a:lnSpc>
            <a:spcBef>
              <a:spcPct val="0"/>
            </a:spcBef>
            <a:spcAft>
              <a:spcPct val="15000"/>
            </a:spcAft>
            <a:buChar char="•"/>
          </a:pPr>
          <a:r>
            <a:rPr lang="en-US" sz="700" kern="1200">
              <a:latin typeface="Arial" panose="020B0604020202020204" pitchFamily="34" charset="0"/>
              <a:cs typeface="Arial" panose="020B0604020202020204" pitchFamily="34" charset="0"/>
            </a:rPr>
            <a:t>I initially felt confident, but limited SMIPL-specific financial and strategic information created uncertainty during the internal analysis. My confidence improved after triangulating company, industry, government and academic evidence.</a:t>
          </a:r>
        </a:p>
      </dsp:txBody>
      <dsp:txXfrm>
        <a:off x="3931141" y="1374813"/>
        <a:ext cx="1951286" cy="925572"/>
      </dsp:txXfrm>
    </dsp:sp>
    <dsp:sp modelId="{B40B70ED-2F79-41A4-BB79-62F283BBBB4B}">
      <dsp:nvSpPr>
        <dsp:cNvPr id="0" name=""/>
        <dsp:cNvSpPr/>
      </dsp:nvSpPr>
      <dsp:spPr>
        <a:xfrm>
          <a:off x="3881070" y="3564568"/>
          <a:ext cx="2051428" cy="1025714"/>
        </a:xfrm>
        <a:prstGeom prst="round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t" anchorCtr="0">
          <a:noAutofit/>
        </a:bodyPr>
        <a:lstStyle/>
        <a:p>
          <a:pPr marL="0" lvl="0" indent="0" algn="l" defTabSz="400050">
            <a:lnSpc>
              <a:spcPct val="90000"/>
            </a:lnSpc>
            <a:spcBef>
              <a:spcPct val="0"/>
            </a:spcBef>
            <a:spcAft>
              <a:spcPct val="35000"/>
            </a:spcAft>
            <a:buNone/>
          </a:pPr>
          <a:r>
            <a:rPr lang="en-US" sz="900" kern="1200">
              <a:latin typeface="Arial" panose="020B0604020202020204" pitchFamily="34" charset="0"/>
              <a:cs typeface="Arial" panose="020B0604020202020204" pitchFamily="34" charset="0"/>
            </a:rPr>
            <a:t>Evaluation</a:t>
          </a:r>
        </a:p>
        <a:p>
          <a:pPr marL="57150" lvl="1" indent="-57150" algn="l" defTabSz="311150">
            <a:lnSpc>
              <a:spcPct val="90000"/>
            </a:lnSpc>
            <a:spcBef>
              <a:spcPct val="0"/>
            </a:spcBef>
            <a:spcAft>
              <a:spcPct val="15000"/>
            </a:spcAft>
            <a:buChar char="•"/>
          </a:pPr>
          <a:r>
            <a:rPr lang="en-US" sz="700" kern="1200">
              <a:latin typeface="Arial" panose="020B0604020202020204" pitchFamily="34" charset="0"/>
              <a:cs typeface="Arial" panose="020B0604020202020204" pitchFamily="34" charset="0"/>
            </a:rPr>
            <a:t>Combining current automotive sources with academic and government evidence helped produce a more credible and theoretically grounded analysis. However, limited SMIPL disclosure meant that some VRIO and performance judgements depended on cautious inference.</a:t>
          </a:r>
        </a:p>
      </dsp:txBody>
      <dsp:txXfrm>
        <a:off x="3931141" y="3614639"/>
        <a:ext cx="1951286" cy="925572"/>
      </dsp:txXfrm>
    </dsp:sp>
    <dsp:sp modelId="{39350A6D-E5AA-4641-AB23-0C0731A646B0}">
      <dsp:nvSpPr>
        <dsp:cNvPr id="0" name=""/>
        <dsp:cNvSpPr/>
      </dsp:nvSpPr>
      <dsp:spPr>
        <a:xfrm>
          <a:off x="1941323" y="4684482"/>
          <a:ext cx="2051428" cy="1025714"/>
        </a:xfrm>
        <a:prstGeom prst="round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t" anchorCtr="0">
          <a:noAutofit/>
        </a:bodyPr>
        <a:lstStyle/>
        <a:p>
          <a:pPr marL="0" lvl="0" indent="0" algn="l" defTabSz="400050">
            <a:lnSpc>
              <a:spcPct val="90000"/>
            </a:lnSpc>
            <a:spcBef>
              <a:spcPct val="0"/>
            </a:spcBef>
            <a:spcAft>
              <a:spcPct val="35000"/>
            </a:spcAft>
            <a:buNone/>
          </a:pPr>
          <a:r>
            <a:rPr lang="en-US" sz="900" kern="1200">
              <a:latin typeface="Arial" panose="020B0604020202020204" pitchFamily="34" charset="0"/>
              <a:cs typeface="Arial" panose="020B0604020202020204" pitchFamily="34" charset="0"/>
            </a:rPr>
            <a:t>Analysis</a:t>
          </a:r>
        </a:p>
        <a:p>
          <a:pPr marL="57150" lvl="1" indent="-57150" algn="l" defTabSz="311150">
            <a:lnSpc>
              <a:spcPct val="90000"/>
            </a:lnSpc>
            <a:spcBef>
              <a:spcPct val="0"/>
            </a:spcBef>
            <a:spcAft>
              <a:spcPct val="15000"/>
            </a:spcAft>
            <a:buChar char="•"/>
          </a:pPr>
          <a:r>
            <a:rPr lang="en-US" sz="700" kern="1200">
              <a:latin typeface="Arial" panose="020B0604020202020204" pitchFamily="34" charset="0"/>
              <a:cs typeface="Arial" panose="020B0604020202020204" pitchFamily="34" charset="0"/>
            </a:rPr>
            <a:t>The assignment showed how external factors, internal capabilities and strategic choices are interconnected rather than separate analytical tasks. It also improved my ability to evaluate source quality, resolve conflicting data and distinguish threshold resources from genuine competitive advantages.</a:t>
          </a:r>
        </a:p>
      </dsp:txBody>
      <dsp:txXfrm>
        <a:off x="1991394" y="4734553"/>
        <a:ext cx="1951286" cy="925572"/>
      </dsp:txXfrm>
    </dsp:sp>
    <dsp:sp modelId="{D54BDEA9-AA69-4E4D-AA98-6C64AF040E18}">
      <dsp:nvSpPr>
        <dsp:cNvPr id="0" name=""/>
        <dsp:cNvSpPr/>
      </dsp:nvSpPr>
      <dsp:spPr>
        <a:xfrm>
          <a:off x="1576" y="3564568"/>
          <a:ext cx="2051428" cy="1025714"/>
        </a:xfrm>
        <a:prstGeom prst="round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t" anchorCtr="0">
          <a:noAutofit/>
        </a:bodyPr>
        <a:lstStyle/>
        <a:p>
          <a:pPr marL="0" lvl="0" indent="0" algn="l" defTabSz="400050">
            <a:lnSpc>
              <a:spcPct val="90000"/>
            </a:lnSpc>
            <a:spcBef>
              <a:spcPct val="0"/>
            </a:spcBef>
            <a:spcAft>
              <a:spcPct val="35000"/>
            </a:spcAft>
            <a:buNone/>
          </a:pPr>
          <a:r>
            <a:rPr lang="en-US" sz="900" kern="1200">
              <a:latin typeface="Arial" panose="020B0604020202020204" pitchFamily="34" charset="0"/>
              <a:cs typeface="Arial" panose="020B0604020202020204" pitchFamily="34" charset="0"/>
            </a:rPr>
            <a:t>Conclusion</a:t>
          </a:r>
        </a:p>
        <a:p>
          <a:pPr marL="57150" lvl="1" indent="-57150" algn="l" defTabSz="311150">
            <a:lnSpc>
              <a:spcPct val="90000"/>
            </a:lnSpc>
            <a:spcBef>
              <a:spcPct val="0"/>
            </a:spcBef>
            <a:spcAft>
              <a:spcPct val="15000"/>
            </a:spcAft>
            <a:buChar char="•"/>
          </a:pPr>
          <a:r>
            <a:rPr lang="en-US" sz="700" kern="1200">
              <a:latin typeface="Arial" panose="020B0604020202020204" pitchFamily="34" charset="0"/>
              <a:cs typeface="Arial" panose="020B0604020202020204" pitchFamily="34" charset="0"/>
            </a:rPr>
            <a:t>The assignment strengthened my ability to apply strategic frameworks coherently and develop evidence-based recommendations. It also improved my research, synthesis and Harvard-referencing skills while highlighting the need to verify changing financial and policy data.</a:t>
          </a:r>
        </a:p>
      </dsp:txBody>
      <dsp:txXfrm>
        <a:off x="51647" y="3614639"/>
        <a:ext cx="1951286" cy="925572"/>
      </dsp:txXfrm>
    </dsp:sp>
    <dsp:sp modelId="{46D1CAFD-7872-4690-9D53-407078720519}">
      <dsp:nvSpPr>
        <dsp:cNvPr id="0" name=""/>
        <dsp:cNvSpPr/>
      </dsp:nvSpPr>
      <dsp:spPr>
        <a:xfrm>
          <a:off x="1576" y="1324742"/>
          <a:ext cx="2051428" cy="1025714"/>
        </a:xfrm>
        <a:prstGeom prst="round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t" anchorCtr="0">
          <a:noAutofit/>
        </a:bodyPr>
        <a:lstStyle/>
        <a:p>
          <a:pPr marL="0" lvl="0" indent="0" algn="l" defTabSz="400050">
            <a:lnSpc>
              <a:spcPct val="90000"/>
            </a:lnSpc>
            <a:spcBef>
              <a:spcPct val="0"/>
            </a:spcBef>
            <a:spcAft>
              <a:spcPct val="35000"/>
            </a:spcAft>
            <a:buNone/>
          </a:pPr>
          <a:r>
            <a:rPr lang="en-US" sz="900" kern="1200">
              <a:latin typeface="Arial" panose="020B0604020202020204" pitchFamily="34" charset="0"/>
              <a:cs typeface="Arial" panose="020B0604020202020204" pitchFamily="34" charset="0"/>
            </a:rPr>
            <a:t>Action Plan</a:t>
          </a:r>
        </a:p>
        <a:p>
          <a:pPr marL="57150" lvl="1" indent="-57150" algn="l" defTabSz="311150">
            <a:lnSpc>
              <a:spcPct val="90000"/>
            </a:lnSpc>
            <a:spcBef>
              <a:spcPct val="0"/>
            </a:spcBef>
            <a:spcAft>
              <a:spcPct val="15000"/>
            </a:spcAft>
            <a:buChar char="•"/>
          </a:pPr>
          <a:r>
            <a:rPr lang="en-US" sz="700" kern="1200">
              <a:latin typeface="Arial" panose="020B0604020202020204" pitchFamily="34" charset="0"/>
              <a:cs typeface="Arial" panose="020B0604020202020204" pitchFamily="34" charset="0"/>
            </a:rPr>
            <a:t>In future, I will start research earlier, use more peer-reviewed databases and maintain a structured reference tracker from the beginning. I will also improve time management, framework comparison and financial-analysis skills to produce stronger strategic evaluations.</a:t>
          </a:r>
        </a:p>
      </dsp:txBody>
      <dsp:txXfrm>
        <a:off x="51647" y="1374813"/>
        <a:ext cx="1951286" cy="925572"/>
      </dsp:txXfrm>
    </dsp:sp>
  </dsp:spTree>
</dsp:drawing>
</file>

<file path=word/diagrams/layout1.xml><?xml version="1.0" encoding="utf-8"?>
<dgm:layoutDef xmlns:dgm="http://schemas.openxmlformats.org/drawingml/2006/diagram" xmlns:a="http://schemas.openxmlformats.org/drawingml/2006/main" uniqueId="urn:microsoft.com/office/officeart/2005/8/layout/hList2">
  <dgm:title val=""/>
  <dgm:desc val=""/>
  <dgm:catLst>
    <dgm:cat type="list" pri="6000"/>
    <dgm:cat type="relationship" pri="16000"/>
    <dgm:cat type="picture" pri="29000"/>
    <dgm:cat type="pictureconvert" pri="29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dgm:varLst>
    <dgm:choose name="Name0">
      <dgm:if name="Name1" func="var" arg="dir" op="equ" val="norm">
        <dgm:alg type="lin">
          <dgm:param type="linDir" val="fromL"/>
          <dgm:param type="nodeVertAlign" val="t"/>
        </dgm:alg>
      </dgm:if>
      <dgm:else name="Name2">
        <dgm:alg type="lin">
          <dgm:param type="linDir" val="fromR"/>
          <dgm:param type="nodeVertAlign" val="t"/>
        </dgm:alg>
      </dgm:else>
    </dgm:choose>
    <dgm:shape xmlns:r="http://schemas.openxmlformats.org/officeDocument/2006/relationships" r:blip="">
      <dgm:adjLst/>
    </dgm:shape>
    <dgm:presOf/>
    <dgm:constrLst>
      <dgm:constr type="w" for="ch" forName="compositeNode" refType="w"/>
      <dgm:constr type="h" for="ch" forName="compositeNode" refType="h"/>
      <dgm:constr type="w" for="ch" forName="sibTrans" refType="w" refFor="ch" refForName="compositeNode" op="equ" fact="0.2"/>
      <dgm:constr type="h" for="des" forName="childNode" op="equ"/>
      <dgm:constr type="w" for="des" forName="childNode" op="equ"/>
      <dgm:constr type="w" for="des" forName="parentNode" op="equ"/>
      <dgm:constr type="h" for="des" forName="image" op="equ"/>
      <dgm:constr type="w" for="des" forName="image" op="equ"/>
      <dgm:constr type="primFontSz" for="des" forName="parentNode" op="equ" val="65"/>
      <dgm:constr type="primFontSz" for="des" forName="childNode" op="equ" val="65"/>
    </dgm:constrLst>
    <dgm:ruleLst/>
    <dgm:forEach name="Name3" axis="ch" ptType="node">
      <dgm:layoutNode name="compositeNode">
        <dgm:varLst>
          <dgm:bulletEnabled val="1"/>
        </dgm:varLst>
        <dgm:alg type="composite"/>
        <dgm:presOf/>
        <dgm:choose name="Name4">
          <dgm:if name="Name5" func="var" arg="dir" op="equ" val="norm">
            <dgm:constrLst>
              <dgm:constr type="w" for="ch" forName="image" refType="w"/>
              <dgm:constr type="h" for="ch" forName="image" refType="h"/>
              <dgm:constr type="h" for="ch" forName="image" refType="w" refFor="ch" refForName="image" op="lte"/>
              <dgm:constr type="w" for="ch" forName="image" refType="h" refFor="ch" refForName="image" op="lte"/>
              <dgm:constr type="w" for="ch" forName="image" refType="w" op="lte" fact="0.33"/>
              <dgm:constr type="h" for="ch" forName="image" refType="h" op="lte" fact="0.33"/>
              <dgm:constr type="t" for="ch" forName="image"/>
              <dgm:constr type="l" for="ch" forName="image"/>
              <dgm:constr type="w" for="ch" forName="childNode" refType="w" fact="0.85"/>
              <dgm:constr type="h" for="ch" forName="childNode" refType="h" fact="0.78"/>
              <dgm:constr type="t" for="ch" forName="childNode" refType="h" refFor="ch" refForName="image" fact="0.66"/>
              <dgm:constr type="l" for="ch" forName="childNode" refType="w" refFor="ch" refForName="image" fact="0.5"/>
              <dgm:constr type="tMarg" for="ch" forName="childNode" refType="w" refFor="ch" refForName="image" fact="1.25"/>
              <dgm:constr type="t" for="ch" forName="parentNode" refType="h" refFor="ch" refForName="image" fact="0.66"/>
              <dgm:constr type="b" for="ch" forName="parentNode" refType="b" refFor="ch" refForName="childNode"/>
              <dgm:constr type="l" for="ch" forName="parentNode"/>
              <dgm:constr type="r" for="ch" forName="parentNode" refType="l" refFor="ch" refForName="childNode"/>
              <dgm:constr type="rMarg" for="ch" forName="parentNode" refType="w" refFor="ch" refForName="image" fact="1.25"/>
            </dgm:constrLst>
          </dgm:if>
          <dgm:else name="Name6">
            <dgm:constrLst>
              <dgm:constr type="w" for="ch" forName="image" refType="w"/>
              <dgm:constr type="h" for="ch" forName="image" refType="h"/>
              <dgm:constr type="h" for="ch" forName="image" refType="w" refFor="ch" refForName="image" op="lte"/>
              <dgm:constr type="w" for="ch" forName="image" refType="h" refFor="ch" refForName="image" op="lte"/>
              <dgm:constr type="w" for="ch" forName="image" refType="w" op="lte" fact="0.33"/>
              <dgm:constr type="h" for="ch" forName="image" refType="h" op="lte" fact="0.33"/>
              <dgm:constr type="t" for="ch" forName="image"/>
              <dgm:constr type="r" for="ch" forName="image" refType="w"/>
              <dgm:constr type="w" for="ch" forName="childNode" refType="w" fact="0.85"/>
              <dgm:constr type="h" for="ch" forName="childNode" refType="h" fact="0.78"/>
              <dgm:constr type="t" for="ch" forName="childNode" refType="h" refFor="ch" refForName="image" fact="0.66"/>
              <dgm:constr type="r" for="ch" forName="childNode" refType="w"/>
              <dgm:constr type="rOff" for="ch" forName="childNode" refType="w" refFor="ch" refForName="image" fact="-0.5"/>
              <dgm:constr type="tMarg" for="ch" forName="childNode" refType="w" refFor="ch" refForName="image" fact="1.25"/>
              <dgm:constr type="t" for="ch" forName="parentNode" refType="h" refFor="ch" refForName="image" fact="0.66"/>
              <dgm:constr type="b" for="ch" forName="parentNode" refType="b" refFor="ch" refForName="childNode"/>
              <dgm:constr type="r" for="ch" forName="parentNode" refType="w"/>
              <dgm:constr type="l" for="ch" forName="parentNode" refType="r" refFor="ch" refForName="childNode"/>
              <dgm:constr type="lOff" for="ch" forName="parentNode" refType="rOff" refFor="ch" refForName="childNode"/>
              <dgm:constr type="lMarg" for="ch" forName="parentNode" refType="w" refFor="ch" refForName="image" fact="1.25"/>
            </dgm:constrLst>
          </dgm:else>
        </dgm:choose>
        <dgm:ruleLst>
          <dgm:rule type="w" for="ch" forName="childNode" val="NaN" fact="0.4" max="NaN"/>
          <dgm:rule type="h" for="ch" forName="childNode" val="NaN" fact="0.5" max="NaN"/>
        </dgm:ruleLst>
        <dgm:layoutNode name="image" styleLbl="fgImgPlace1">
          <dgm:alg type="sp"/>
          <dgm:shape xmlns:r="http://schemas.openxmlformats.org/officeDocument/2006/relationships" type="rect" r:blip="" zOrderOff="4" blipPhldr="1">
            <dgm:adjLst/>
          </dgm:shape>
          <dgm:presOf/>
          <dgm:constrLst/>
          <dgm:ruleLst/>
        </dgm:layoutNode>
        <dgm:layoutNode name="childNode" styleLbl="node1">
          <dgm:varLst>
            <dgm:bulletEnabled val="1"/>
          </dgm:varLst>
          <dgm:alg type="tx">
            <dgm:param type="stBulletLvl" val="1"/>
          </dgm:alg>
          <dgm:shape xmlns:r="http://schemas.openxmlformats.org/officeDocument/2006/relationships" type="rect" r:blip="" zOrderOff="2">
            <dgm:adjLst/>
          </dgm:shape>
          <dgm:presOf axis="des" ptType="node"/>
          <dgm:constrLst/>
          <dgm:ruleLst>
            <dgm:rule type="primFontSz" val="5" fact="NaN" max="NaN"/>
          </dgm:ruleLst>
        </dgm:layoutNode>
        <dgm:layoutNode name="parentNode" styleLbl="revTx">
          <dgm:varLst>
            <dgm:chMax val="0"/>
            <dgm:bulletEnabled val="1"/>
          </dgm:varLst>
          <dgm:choose name="Name7">
            <dgm:if name="Name8" func="var" arg="dir" op="equ" val="norm">
              <dgm:alg type="tx">
                <dgm:param type="autoTxRot" val="grav"/>
                <dgm:param type="txAnchorVert" val="t"/>
                <dgm:param type="parTxLTRAlign" val="r"/>
                <dgm:param type="parTxRTLAlign" val="r"/>
              </dgm:alg>
              <dgm:shape xmlns:r="http://schemas.openxmlformats.org/officeDocument/2006/relationships" rot="270" type="rect" r:blip="">
                <dgm:adjLst/>
              </dgm:shape>
              <dgm:presOf axis="self"/>
              <dgm:constrLst>
                <dgm:constr type="lMarg"/>
                <dgm:constr type="bMarg"/>
                <dgm:constr type="tMarg"/>
              </dgm:constrLst>
            </dgm:if>
            <dgm:else name="Name9">
              <dgm:alg type="tx">
                <dgm:param type="autoTxRot" val="grav"/>
                <dgm:param type="parTxLTRAlign" val="l"/>
                <dgm:param type="parTxRTLAlign" val="l"/>
              </dgm:alg>
              <dgm:shape xmlns:r="http://schemas.openxmlformats.org/officeDocument/2006/relationships" rot="90" type="rect" r:blip="">
                <dgm:adjLst/>
              </dgm:shape>
              <dgm:presOf axis="self"/>
              <dgm:constrLst>
                <dgm:constr type="rMarg"/>
                <dgm:constr type="bMarg"/>
                <dgm:constr type="tMarg"/>
              </dgm:constrLst>
            </dgm:else>
          </dgm:choose>
          <dgm:ruleLst>
            <dgm:rule type="primFontSz" val="5" fact="NaN" max="NaN"/>
          </dgm:ruleLst>
        </dgm:layoutNode>
      </dgm:layoutNode>
      <dgm:forEach name="Name10" axis="followSib" ptType="sibTrans" cnt="1">
        <dgm:layoutNode name="sibTrans">
          <dgm:alg type="sp"/>
          <dgm:shape xmlns:r="http://schemas.openxmlformats.org/officeDocument/2006/relationships" r:blip="">
            <dgm:adjLst/>
          </dgm:shape>
          <dgm:presOf axis="sel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8/layout/LinedList">
  <dgm:title val=""/>
  <dgm:desc val=""/>
  <dgm:catLst>
    <dgm:cat type="hierarchy" pri="8000"/>
    <dgm:cat type="list" pri="25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clrData>
  <dgm:layoutNode name="vert0">
    <dgm:varLst>
      <dgm:dir/>
      <dgm:animOne val="branch"/>
      <dgm:animLvl val="lvl"/>
    </dgm:varLst>
    <dgm:choose name="Name0">
      <dgm:if name="Name1" func="var" arg="dir" op="equ" val="norm">
        <dgm:alg type="lin">
          <dgm:param type="linDir" val="fromT"/>
          <dgm:param type="nodeHorzAlign" val="l"/>
        </dgm:alg>
      </dgm:if>
      <dgm:else name="Name2">
        <dgm:alg type="lin">
          <dgm:param type="linDir" val="fromT"/>
          <dgm:param type="nodeHorzAlign" val="r"/>
        </dgm:alg>
      </dgm:else>
    </dgm:choose>
    <dgm:shape xmlns:r="http://schemas.openxmlformats.org/officeDocument/2006/relationships" r:blip="">
      <dgm:adjLst/>
    </dgm:shape>
    <dgm:presOf/>
    <dgm:constrLst>
      <dgm:constr type="w" for="ch" forName="horz1" refType="w"/>
      <dgm:constr type="h" for="ch" forName="horz1" refType="h"/>
      <dgm:constr type="h" for="des" forName="vert1" refType="h"/>
      <dgm:constr type="h" for="des" forName="tx1" refType="h"/>
      <dgm:constr type="h" for="des" forName="horz2" refType="h"/>
      <dgm:constr type="h" for="des" forName="vert2" refType="h"/>
      <dgm:constr type="h" for="des" forName="horz3" refType="h"/>
      <dgm:constr type="h" for="des" forName="vert3" refType="h"/>
      <dgm:constr type="h" for="des" forName="horz4" refType="h"/>
      <dgm:constr type="h" for="des" ptType="node" refType="h"/>
      <dgm:constr type="primFontSz" for="des" forName="tx1" op="equ" val="65"/>
      <dgm:constr type="primFontSz" for="des" forName="tx2" op="equ" val="65"/>
      <dgm:constr type="primFontSz" for="des" forName="tx3" op="equ" val="65"/>
      <dgm:constr type="primFontSz" for="des" forName="tx4" op="equ" val="65"/>
      <dgm:constr type="w" for="des" forName="thickLine" refType="w"/>
      <dgm:constr type="h" for="des" forName="thickLine"/>
      <dgm:constr type="h" for="des" forName="thinLine1"/>
      <dgm:constr type="h" for="des" forName="thinLine2b"/>
      <dgm:constr type="h" for="des" forName="thinLine3"/>
      <dgm:constr type="h" for="des" forName="vertSpace2a" refType="h" fact="0.05"/>
      <dgm:constr type="h" for="des" forName="vertSpace2b" refType="h" refFor="des" refForName="vertSpace2a"/>
    </dgm:constrLst>
    <dgm:forEach name="Name3" axis="ch" ptType="node">
      <dgm:layoutNode name="thickLine" styleLbl="alignNode1">
        <dgm:alg type="sp"/>
        <dgm:shape xmlns:r="http://schemas.openxmlformats.org/officeDocument/2006/relationships" type="line" r:blip="">
          <dgm:adjLst/>
        </dgm:shape>
        <dgm:presOf/>
      </dgm:layoutNode>
      <dgm:layoutNode name="horz1">
        <dgm:choose name="Name4">
          <dgm:if name="Name5" func="var" arg="dir" op="equ" val="norm">
            <dgm:alg type="lin">
              <dgm:param type="linDir" val="fromL"/>
              <dgm:param type="nodeVertAlign" val="t"/>
            </dgm:alg>
          </dgm:if>
          <dgm:else name="Name6">
            <dgm:alg type="lin">
              <dgm:param type="linDir" val="fromR"/>
              <dgm:param type="nodeVertAlign" val="t"/>
            </dgm:alg>
          </dgm:else>
        </dgm:choose>
        <dgm:shape xmlns:r="http://schemas.openxmlformats.org/officeDocument/2006/relationships" r:blip="">
          <dgm:adjLst/>
        </dgm:shape>
        <dgm:presOf/>
        <dgm:choose name="Name7">
          <dgm:if name="Name8" axis="root des" func="maxDepth" op="equ" val="1">
            <dgm:constrLst>
              <dgm:constr type="w" for="ch" forName="tx1" refType="w"/>
            </dgm:constrLst>
          </dgm:if>
          <dgm:if name="Name9" axis="root des" func="maxDepth" op="equ" val="2">
            <dgm:constrLst>
              <dgm:constr type="w" for="ch" forName="tx1" refType="w" fact="0.2"/>
              <dgm:constr type="w" for="des" forName="tx2" refType="w" fact="0.785"/>
              <dgm:constr type="w" for="des" forName="horzSpace2" refType="w" fact="0.015"/>
              <dgm:constr type="w" for="des" forName="thinLine2b" refType="w" fact="0.8"/>
            </dgm:constrLst>
          </dgm:if>
          <dgm:if name="Name10" axis="root des" func="maxDepth" op="equ" val="3">
            <dgm:constrLst>
              <dgm:constr type="w" for="ch" forName="tx1" refType="w" fact="0.2"/>
              <dgm:constr type="w" for="des" forName="tx2" refType="w" fact="0.385"/>
              <dgm:constr type="w" for="des" forName="tx3" refType="w" fact="0.385"/>
              <dgm:constr type="w" for="des" forName="horzSpace2" refType="w" fact="0.015"/>
              <dgm:constr type="w" for="des" forName="horzSpace3" refType="w" fact="0.015"/>
              <dgm:constr type="w" for="des" forName="thinLine2b" refType="w" fact="0.8"/>
              <dgm:constr type="w" for="des" forName="thinLine3" refType="w" fact="0.385"/>
            </dgm:constrLst>
          </dgm:if>
          <dgm:if name="Name11" axis="root des" func="maxDepth" op="gte" val="4">
            <dgm:constrLst>
              <dgm:constr type="w" for="ch" forName="tx1" refType="w" fact="0.2"/>
              <dgm:constr type="w" for="des" forName="tx2" refType="w" fact="0.2516"/>
              <dgm:constr type="w" for="des" forName="tx3" refType="w" fact="0.2516"/>
              <dgm:constr type="w" for="des" forName="tx4" refType="w" fact="0.2516"/>
              <dgm:constr type="w" for="des" forName="horzSpace2" refType="w" fact="0.015"/>
              <dgm:constr type="w" for="des" forName="horzSpace3" refType="w" fact="0.015"/>
              <dgm:constr type="w" for="des" forName="horzSpace4" refType="w" fact="0.015"/>
              <dgm:constr type="w" for="des" forName="thinLine2b" refType="w" fact="0.8"/>
              <dgm:constr type="w" for="des" forName="thinLine3" refType="w" fact="0.5332"/>
            </dgm:constrLst>
          </dgm:if>
          <dgm:else name="Name12"/>
        </dgm:choose>
        <dgm:layoutNode name="tx1"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1">
          <dgm:choose name="Name13">
            <dgm:if name="Name14" func="var" arg="dir" op="equ" val="norm">
              <dgm:alg type="lin">
                <dgm:param type="linDir" val="fromT"/>
                <dgm:param type="nodeHorzAlign" val="l"/>
              </dgm:alg>
            </dgm:if>
            <dgm:else name="Name15">
              <dgm:alg type="lin">
                <dgm:param type="linDir" val="fromT"/>
                <dgm:param type="nodeHorzAlign" val="r"/>
              </dgm:alg>
            </dgm:else>
          </dgm:choose>
          <dgm:shape xmlns:r="http://schemas.openxmlformats.org/officeDocument/2006/relationships" r:blip="">
            <dgm:adjLst/>
          </dgm:shape>
          <dgm:presOf/>
          <dgm:forEach name="Name16" axis="ch" ptType="node">
            <dgm:choose name="Name17">
              <dgm:if name="Name18" axis="self" ptType="node" func="pos" op="equ" val="1">
                <dgm:layoutNode name="vertSpace2a">
                  <dgm:alg type="sp"/>
                  <dgm:shape xmlns:r="http://schemas.openxmlformats.org/officeDocument/2006/relationships" r:blip="">
                    <dgm:adjLst/>
                  </dgm:shape>
                  <dgm:presOf/>
                </dgm:layoutNode>
              </dgm:if>
              <dgm:else name="Name19"/>
            </dgm:choose>
            <dgm:layoutNode name="horz2">
              <dgm:choose name="Name20">
                <dgm:if name="Name21" func="var" arg="dir" op="equ" val="norm">
                  <dgm:alg type="lin">
                    <dgm:param type="linDir" val="fromL"/>
                    <dgm:param type="nodeVertAlign" val="t"/>
                  </dgm:alg>
                </dgm:if>
                <dgm:else name="Name22">
                  <dgm:alg type="lin">
                    <dgm:param type="linDir" val="fromR"/>
                    <dgm:param type="nodeVertAlign" val="t"/>
                  </dgm:alg>
                </dgm:else>
              </dgm:choose>
              <dgm:shape xmlns:r="http://schemas.openxmlformats.org/officeDocument/2006/relationships" r:blip="">
                <dgm:adjLst/>
              </dgm:shape>
              <dgm:presOf/>
              <dgm:layoutNode name="horzSpace2">
                <dgm:alg type="sp"/>
                <dgm:shape xmlns:r="http://schemas.openxmlformats.org/officeDocument/2006/relationships" r:blip="">
                  <dgm:adjLst/>
                </dgm:shape>
                <dgm:presOf/>
              </dgm:layoutNode>
              <dgm:layoutNode name="tx2"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2">
                <dgm:choose name="Name23">
                  <dgm:if name="Name24" func="var" arg="dir" op="equ" val="norm">
                    <dgm:alg type="lin">
                      <dgm:param type="linDir" val="fromT"/>
                      <dgm:param type="nodeHorzAlign" val="l"/>
                    </dgm:alg>
                  </dgm:if>
                  <dgm:else name="Name25">
                    <dgm:alg type="lin">
                      <dgm:param type="linDir" val="fromT"/>
                      <dgm:param type="nodeHorzAlign" val="r"/>
                    </dgm:alg>
                  </dgm:else>
                </dgm:choose>
                <dgm:shape xmlns:r="http://schemas.openxmlformats.org/officeDocument/2006/relationships" r:blip="">
                  <dgm:adjLst/>
                </dgm:shape>
                <dgm:presOf/>
                <dgm:forEach name="Name26" axis="ch" ptType="node">
                  <dgm:layoutNode name="horz3">
                    <dgm:choose name="Name27">
                      <dgm:if name="Name28" func="var" arg="dir" op="equ" val="norm">
                        <dgm:alg type="lin">
                          <dgm:param type="linDir" val="fromL"/>
                          <dgm:param type="nodeVertAlign" val="t"/>
                        </dgm:alg>
                      </dgm:if>
                      <dgm:else name="Name29">
                        <dgm:alg type="lin">
                          <dgm:param type="linDir" val="fromR"/>
                          <dgm:param type="nodeVertAlign" val="t"/>
                        </dgm:alg>
                      </dgm:else>
                    </dgm:choose>
                    <dgm:shape xmlns:r="http://schemas.openxmlformats.org/officeDocument/2006/relationships" r:blip="">
                      <dgm:adjLst/>
                    </dgm:shape>
                    <dgm:presOf/>
                    <dgm:layoutNode name="horzSpace3">
                      <dgm:alg type="sp"/>
                      <dgm:shape xmlns:r="http://schemas.openxmlformats.org/officeDocument/2006/relationships" r:blip="">
                        <dgm:adjLst/>
                      </dgm:shape>
                      <dgm:presOf/>
                    </dgm:layoutNode>
                    <dgm:layoutNode name="tx3"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3">
                      <dgm:choose name="Name30">
                        <dgm:if name="Name31" func="var" arg="dir" op="equ" val="norm">
                          <dgm:alg type="lin">
                            <dgm:param type="linDir" val="fromT"/>
                            <dgm:param type="nodeHorzAlign" val="l"/>
                          </dgm:alg>
                        </dgm:if>
                        <dgm:else name="Name32">
                          <dgm:alg type="lin">
                            <dgm:param type="linDir" val="fromT"/>
                            <dgm:param type="nodeHorzAlign" val="r"/>
                          </dgm:alg>
                        </dgm:else>
                      </dgm:choose>
                      <dgm:shape xmlns:r="http://schemas.openxmlformats.org/officeDocument/2006/relationships" r:blip="">
                        <dgm:adjLst/>
                      </dgm:shape>
                      <dgm:presOf/>
                      <dgm:forEach name="Name33" axis="ch" ptType="node">
                        <dgm:layoutNode name="horz4">
                          <dgm:choose name="Name34">
                            <dgm:if name="Name35" func="var" arg="dir" op="equ" val="norm">
                              <dgm:alg type="lin">
                                <dgm:param type="linDir" val="fromL"/>
                                <dgm:param type="nodeVertAlign" val="t"/>
                              </dgm:alg>
                            </dgm:if>
                            <dgm:else name="Name36">
                              <dgm:alg type="lin">
                                <dgm:param type="linDir" val="fromR"/>
                                <dgm:param type="nodeVertAlign" val="t"/>
                              </dgm:alg>
                            </dgm:else>
                          </dgm:choose>
                          <dgm:shape xmlns:r="http://schemas.openxmlformats.org/officeDocument/2006/relationships" r:blip="">
                            <dgm:adjLst/>
                          </dgm:shape>
                          <dgm:presOf/>
                          <dgm:layoutNode name="horzSpace4">
                            <dgm:alg type="sp"/>
                            <dgm:shape xmlns:r="http://schemas.openxmlformats.org/officeDocument/2006/relationships" r:blip="">
                              <dgm:adjLst/>
                            </dgm:shape>
                            <dgm:presOf/>
                          </dgm:layoutNode>
                          <dgm:layoutNode name="tx4" styleLbl="revTx">
                            <dgm:varLst>
                              <dgm:bulletEnabled val="1"/>
                            </dgm:varLst>
                            <dgm:alg type="tx">
                              <dgm:param type="parTxLTRAlign" val="l"/>
                              <dgm:param type="parTxRTLAlign" val="r"/>
                              <dgm:param type="txAnchorVert" val="t"/>
                            </dgm:alg>
                            <dgm:shape xmlns:r="http://schemas.openxmlformats.org/officeDocument/2006/relationships" type="rect" r:blip="">
                              <dgm:adjLst/>
                            </dgm:shape>
                            <dgm:presOf axis="desOrSelf"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forEach>
                    </dgm:layoutNode>
                  </dgm:layoutNode>
                  <dgm:forEach name="Name37" axis="followSib" ptType="sibTrans" cnt="1">
                    <dgm:layoutNode name="thinLine3" styleLbl="callout">
                      <dgm:alg type="sp"/>
                      <dgm:shape xmlns:r="http://schemas.openxmlformats.org/officeDocument/2006/relationships" type="line" r:blip="">
                        <dgm:adjLst/>
                      </dgm:shape>
                      <dgm:presOf/>
                    </dgm:layoutNode>
                  </dgm:forEach>
                </dgm:forEach>
              </dgm:layoutNode>
            </dgm:layoutNode>
            <dgm:layoutNode name="thinLine2b" styleLbl="callout">
              <dgm:alg type="sp"/>
              <dgm:shape xmlns:r="http://schemas.openxmlformats.org/officeDocument/2006/relationships" type="line" r:blip="">
                <dgm:adjLst/>
              </dgm:shape>
              <dgm:presOf/>
            </dgm:layoutNode>
            <dgm:layoutNode name="vertSpace2b">
              <dgm:alg type="sp"/>
              <dgm:shape xmlns:r="http://schemas.openxmlformats.org/officeDocument/2006/relationships" r:blip="">
                <dgm:adjLst/>
              </dgm:shape>
              <dgm:presOf/>
            </dgm:layoutNode>
          </dgm:forEach>
        </dgm:layoutNode>
      </dgm:layoutNode>
    </dgm:forEach>
  </dgm:layoutNode>
</dgm:layoutDef>
</file>

<file path=word/diagrams/layout3.xml><?xml version="1.0" encoding="utf-8"?>
<dgm:layoutDef xmlns:dgm="http://schemas.openxmlformats.org/drawingml/2006/diagram" xmlns:a="http://schemas.openxmlformats.org/drawingml/2006/main" uniqueId="urn:microsoft.com/office/officeart/2005/8/layout/cycle3">
  <dgm:title val=""/>
  <dgm:desc val=""/>
  <dgm:catLst>
    <dgm:cat type="cycle" pri="5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axis="ch" ptType="node" func="cnt" op="equ" val="2">
        <dgm:alg type="composite">
          <dgm:param type="ar" val="0.9"/>
        </dgm:alg>
        <dgm:shape xmlns:r="http://schemas.openxmlformats.org/officeDocument/2006/relationships" r:blip="">
          <dgm:adjLst/>
        </dgm:shape>
        <dgm:presOf/>
        <dgm:constrLst>
          <dgm:constr type="primFontSz" for="ch" ptType="node" op="equ" val="65"/>
          <dgm:constr type="ctrX" for="ch" forName="node1" refType="w" fact="0.5"/>
          <dgm:constr type="t" for="ch" forName="node1"/>
          <dgm:constr type="w" for="ch" forName="node1" refType="w" fact="0.8"/>
          <dgm:constr type="h" for="ch" forName="node1" refType="w" refFor="ch" refForName="node1" fact="0.5"/>
          <dgm:constr type="ctrX" for="ch" forName="sibTrans" refType="w" fact="0.5"/>
          <dgm:constr type="t" for="ch" forName="sibTrans"/>
          <dgm:constr type="w" for="ch" forName="sibTrans" refType="w" fact="0.8"/>
          <dgm:constr type="h" for="ch" forName="sibTrans" refType="w" refFor="ch" refForName="node1" fact="0.5"/>
          <dgm:constr type="userA" for="ch" forName="sibTrans" refType="w" fact="1.07"/>
          <dgm:constr type="ctrX" for="ch" forName="node2" refType="w" fact="0.5"/>
          <dgm:constr type="b" for="ch" forName="node2" refType="h"/>
          <dgm:constr type="w" for="ch" forName="node2" refType="w" fact="0.8"/>
          <dgm:constr type="h" for="ch" forName="node2" refType="w" refFor="ch" refForName="node1" fact="0.5"/>
          <dgm:constr type="l" for="ch" forName="sp1"/>
          <dgm:constr type="t" for="ch" forName="sp1" refType="h" fact="0.5"/>
          <dgm:constr type="w" for="ch" forName="sp1" val="1"/>
          <dgm:constr type="h" for="ch" forName="sp1" val="1"/>
          <dgm:constr type="r" for="ch" forName="sp2" refType="w"/>
          <dgm:constr type="t" for="ch" forName="sp2" refType="h" fact="0.5"/>
          <dgm:constr type="w" for="ch" forName="sp2" val="1"/>
          <dgm:constr type="h" for="ch" forName="sp2" val="1"/>
        </dgm:constrLst>
        <dgm:ruleLst/>
      </dgm:if>
      <dgm:else name="Name3">
        <dgm:alg type="composite"/>
        <dgm:shape xmlns:r="http://schemas.openxmlformats.org/officeDocument/2006/relationships" r:blip="">
          <dgm:adjLst/>
        </dgm:shape>
        <dgm:presOf/>
        <dgm:constrLst>
          <dgm:constr type="primFontSz" for="ch" ptType="node" op="equ" val="65"/>
        </dgm:constrLst>
        <dgm:ruleLst/>
      </dgm:else>
    </dgm:choose>
    <dgm:choose name="Name4">
      <dgm:if name="Name5" axis="ch" ptType="node" func="cnt" op="equ" val="2">
        <dgm:layoutNode name="node1">
          <dgm:varLst>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ibTrans" styleLbl="bgShp">
          <dgm:choose name="Name6">
            <dgm:if name="Name7" func="var" arg="dir" op="equ" val="norm">
              <dgm:alg type="conn">
                <dgm:param type="connRout" val="longCurve"/>
                <dgm:param type="begPts" val="midR"/>
                <dgm:param type="endPts" val="midL"/>
                <dgm:param type="dstNode" val="node1"/>
              </dgm:alg>
              <dgm:shape xmlns:r="http://schemas.openxmlformats.org/officeDocument/2006/relationships" type="conn" r:blip="" zOrderOff="-2">
                <dgm:adjLst/>
              </dgm:shape>
              <dgm:presOf axis="ch" ptType="sibTrans"/>
              <dgm:constrLst>
                <dgm:constr type="userA"/>
                <dgm:constr type="diam" refType="userA" fact="-1"/>
                <dgm:constr type="wArH" refType="userA" fact="0.05"/>
                <dgm:constr type="hArH" refType="userA" fact="0.1"/>
                <dgm:constr type="stemThick" refType="userA" fact="0.06"/>
                <dgm:constr type="begPad" refType="connDist" fact="-0.2"/>
                <dgm:constr type="endPad" refType="connDist" fact="0.05"/>
              </dgm:constrLst>
            </dgm:if>
            <dgm:else name="Name8">
              <dgm:alg type="conn">
                <dgm:param type="connRout" val="longCurve"/>
                <dgm:param type="begPts" val="midL"/>
                <dgm:param type="endPts" val="midR"/>
                <dgm:param type="dstNode" val="node1"/>
              </dgm:alg>
              <dgm:shape xmlns:r="http://schemas.openxmlformats.org/officeDocument/2006/relationships" type="conn" r:blip="" zOrderOff="-2">
                <dgm:adjLst/>
              </dgm:shape>
              <dgm:presOf axis="ch" ptType="sibTrans"/>
              <dgm:constrLst>
                <dgm:constr type="userA"/>
                <dgm:constr type="diam" refType="userA"/>
                <dgm:constr type="wArH" refType="userA" fact="0.05"/>
                <dgm:constr type="hArH" refType="userA" fact="0.1"/>
                <dgm:constr type="stemThick" refType="userA" fact="0.06"/>
                <dgm:constr type="begPad" refType="connDist" fact="-0.2"/>
                <dgm:constr type="endPad" refType="connDist" fact="0.05"/>
              </dgm:constrLst>
            </dgm:else>
          </dgm:choose>
          <dgm:ruleLst/>
        </dgm:layoutNode>
        <dgm:layoutNode name="node2">
          <dgm:varLst>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p1">
          <dgm:alg type="sp"/>
          <dgm:shape xmlns:r="http://schemas.openxmlformats.org/officeDocument/2006/relationships" r:blip="">
            <dgm:adjLst/>
          </dgm:shape>
          <dgm:presOf/>
          <dgm:constrLst/>
          <dgm:ruleLst/>
        </dgm:layoutNode>
        <dgm:layoutNode name="sp2">
          <dgm:alg type="sp"/>
          <dgm:shape xmlns:r="http://schemas.openxmlformats.org/officeDocument/2006/relationships" r:blip="">
            <dgm:adjLst/>
          </dgm:shape>
          <dgm:presOf/>
          <dgm:constrLst/>
          <dgm:ruleLst/>
        </dgm:layoutNode>
      </dgm:if>
      <dgm:else name="Name9">
        <dgm:layoutNode name="cycle">
          <dgm:choose name="Name10">
            <dgm:if name="Name11" func="var" arg="dir" op="equ" val="norm">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fact="-1"/>
                <dgm:constr type="wArH" for="ch" ptType="sibTrans" refType="diam" op="equ" fact="0.05"/>
                <dgm:constr type="hArH" for="ch" ptType="sibTrans" refType="diam" op="equ" fact="0.1"/>
                <dgm:constr type="stemThick" for="ch" ptType="sibTrans" refType="diam" op="equ" fact="0.065"/>
                <dgm:constr type="primFontSz" for="ch" ptType="node" op="equ"/>
              </dgm:constrLst>
            </dgm:if>
            <dgm:else name="Name12">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dgm:constr type="wArH" for="ch" ptType="sibTrans" refType="diam" op="equ" fact="0.05"/>
                <dgm:constr type="hArH" for="ch" ptType="sibTrans" refType="diam" op="equ" fact="0.1"/>
                <dgm:constr type="stemThick" for="ch" ptType="sibTrans" refType="diam" op="equ" fact="0.065"/>
                <dgm:constr type="primFontSz" for="ch" ptType="node" op="equ"/>
              </dgm:constrLst>
            </dgm:else>
          </dgm:choose>
          <dgm:ruleLst/>
          <dgm:forEach name="nodesFirstNodeForEach" axis="ch" ptType="node" cnt="1">
            <dgm:layoutNode name="nodeFirstNode">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FirstNode" styleLbl="bgShp">
                <dgm:choose name="Name13">
                  <dgm:if name="Name14" func="var" arg="dir" op="equ" val="norm">
                    <dgm:alg type="conn">
                      <dgm:param type="connRout" val="longCurve"/>
                      <dgm:param type="begPts" val="midR"/>
                      <dgm:param type="endPts" val="midL"/>
                      <dgm:param type="dstNode" val="nodeFirstNode"/>
                    </dgm:alg>
                  </dgm:if>
                  <dgm:else name="Name15">
                    <dgm:alg type="conn">
                      <dgm:param type="connRout" val="longCurve"/>
                      <dgm:param type="begPts" val="midL"/>
                      <dgm:param type="endPts" val="midR"/>
                      <dgm:param type="dstNode" val="nodeFirstNode"/>
                    </dgm:alg>
                  </dgm:else>
                </dgm:choose>
                <dgm:shape xmlns:r="http://schemas.openxmlformats.org/officeDocument/2006/relationships" type="conn" r:blip="" zOrderOff="-2">
                  <dgm:adjLst/>
                </dgm:shape>
                <dgm:presOf axis="self"/>
                <dgm:choose name="Name16">
                  <dgm:if name="Name17" axis="par ch" ptType="doc node" func="cnt" op="equ" val="3">
                    <dgm:constrLst>
                      <dgm:constr type="userA"/>
                      <dgm:constr type="diam" refType="userA" fact="1.01"/>
                      <dgm:constr type="begPad" refType="connDist" fact="-0.2"/>
                      <dgm:constr type="endPad" refType="connDist" fact="0.05"/>
                    </dgm:constrLst>
                  </dgm:if>
                  <dgm:if name="Name18" axis="par ch" ptType="doc node" func="cnt" op="equ" val="4">
                    <dgm:constrLst>
                      <dgm:constr type="userA"/>
                      <dgm:constr type="diam" refType="userA" fact="1.26"/>
                      <dgm:constr type="begPad" refType="connDist" fact="-0.2"/>
                      <dgm:constr type="endPad" refType="connDist" fact="0.05"/>
                    </dgm:constrLst>
                  </dgm:if>
                  <dgm:if name="Name19" axis="par ch" ptType="doc node" func="cnt" op="equ" val="5">
                    <dgm:constrLst>
                      <dgm:constr type="userA"/>
                      <dgm:constr type="diam" refType="userA" fact="1.04"/>
                      <dgm:constr type="begPad" refType="connDist" fact="-0.2"/>
                      <dgm:constr type="endPad" refType="connDist" fact="0.05"/>
                    </dgm:constrLst>
                  </dgm:if>
                  <dgm:if name="Name20" axis="par ch" ptType="doc node" func="cnt" op="equ" val="6">
                    <dgm:constrLst>
                      <dgm:constr type="userA"/>
                      <dgm:constr type="diam" refType="userA" fact="1.1"/>
                      <dgm:constr type="begPad" refType="connDist" fact="-0.2"/>
                      <dgm:constr type="endPad" refType="connDist" fact="0.05"/>
                    </dgm:constrLst>
                  </dgm:if>
                  <dgm:else name="Name21">
                    <dgm:constrLst>
                      <dgm:constr type="userA"/>
                      <dgm:constr type="diam" refType="userA" fact="1.04"/>
                      <dgm:constr type="begPad" refType="connDist" fact="-0.2"/>
                      <dgm:constr type="endPad" refType="connDist" fact="0.05"/>
                    </dgm:constrLst>
                  </dgm:else>
                </dgm:choose>
                <dgm:ruleLst/>
              </dgm:layoutNode>
            </dgm:forEach>
          </dgm:forEach>
          <dgm:forEach name="followingNodesForEach" axis="ch" ptType="node" st="2">
            <dgm:layoutNode name="nodeFollowingNodes">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dgm:layoutNode>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FF393D-0951-4802-A440-ACC92FB6FC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175</TotalTime>
  <Pages>34</Pages>
  <Words>7631</Words>
  <Characters>43500</Characters>
  <Application>Microsoft Office Word</Application>
  <DocSecurity>0</DocSecurity>
  <Lines>362</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Nebir Mia</dc:creator>
  <cp:keywords/>
  <dc:description/>
  <cp:lastModifiedBy>Md Nebir Miah (2516200)</cp:lastModifiedBy>
  <cp:revision>13</cp:revision>
  <dcterms:created xsi:type="dcterms:W3CDTF">2026-08-03T13:48:00Z</dcterms:created>
  <dcterms:modified xsi:type="dcterms:W3CDTF">2026-08-10T23:01:00Z</dcterms:modified>
</cp:coreProperties>
</file>