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004E34" w14:textId="4169BE41" w:rsidR="00133CD9" w:rsidRPr="00DF3A4F" w:rsidRDefault="00133CD9" w:rsidP="00133CD9">
      <w:pPr>
        <w:spacing w:line="360" w:lineRule="auto"/>
        <w:jc w:val="both"/>
        <w:rPr>
          <w:rFonts w:ascii="Arial" w:hAnsi="Arial" w:cs="Arial"/>
          <w:b/>
          <w:bCs/>
          <w:sz w:val="24"/>
          <w:szCs w:val="24"/>
        </w:rPr>
      </w:pPr>
    </w:p>
    <w:p w14:paraId="62C5001F" w14:textId="160185B4" w:rsidR="00133CD9" w:rsidRPr="00DF3A4F" w:rsidRDefault="00133CD9" w:rsidP="00133CD9">
      <w:pPr>
        <w:spacing w:line="360" w:lineRule="auto"/>
        <w:jc w:val="both"/>
        <w:rPr>
          <w:rFonts w:ascii="Arial" w:hAnsi="Arial" w:cs="Arial"/>
          <w:b/>
          <w:bCs/>
          <w:sz w:val="24"/>
          <w:szCs w:val="24"/>
        </w:rPr>
      </w:pPr>
    </w:p>
    <w:p w14:paraId="3AA2A05F" w14:textId="393C5319" w:rsidR="00133CD9" w:rsidRPr="00DF3A4F" w:rsidRDefault="00133CD9" w:rsidP="00133CD9">
      <w:pPr>
        <w:spacing w:line="360" w:lineRule="auto"/>
        <w:jc w:val="both"/>
        <w:rPr>
          <w:rFonts w:ascii="Arial" w:hAnsi="Arial" w:cs="Arial"/>
          <w:b/>
          <w:bCs/>
          <w:sz w:val="24"/>
          <w:szCs w:val="24"/>
        </w:rPr>
      </w:pPr>
    </w:p>
    <w:p w14:paraId="4F74AFCC" w14:textId="12C9DEB1" w:rsidR="00895546" w:rsidRPr="00DF3A4F" w:rsidRDefault="00895546" w:rsidP="00133CD9">
      <w:pPr>
        <w:spacing w:line="360" w:lineRule="auto"/>
        <w:jc w:val="both"/>
        <w:rPr>
          <w:rFonts w:ascii="Arial" w:hAnsi="Arial" w:cs="Arial"/>
          <w:b/>
          <w:bCs/>
          <w:sz w:val="24"/>
          <w:szCs w:val="24"/>
        </w:rPr>
      </w:pPr>
    </w:p>
    <w:p w14:paraId="0336B2A3" w14:textId="0132512B" w:rsidR="00895546" w:rsidRPr="00DF3A4F" w:rsidRDefault="00895546" w:rsidP="00895546">
      <w:pPr>
        <w:rPr>
          <w:rFonts w:ascii="Arial" w:hAnsi="Arial" w:cs="Arial"/>
          <w:sz w:val="24"/>
          <w:szCs w:val="24"/>
        </w:rPr>
      </w:pPr>
    </w:p>
    <w:p w14:paraId="2EDCA431" w14:textId="314C0C94" w:rsidR="00895546" w:rsidRPr="00DF3A4F" w:rsidRDefault="00895546" w:rsidP="00133CD9">
      <w:pPr>
        <w:spacing w:line="360" w:lineRule="auto"/>
        <w:jc w:val="both"/>
        <w:rPr>
          <w:rFonts w:ascii="Arial" w:hAnsi="Arial" w:cs="Arial"/>
          <w:b/>
          <w:bCs/>
          <w:sz w:val="24"/>
          <w:szCs w:val="24"/>
        </w:rPr>
      </w:pPr>
    </w:p>
    <w:p w14:paraId="0BEF20B3" w14:textId="654A8EC2" w:rsidR="00133CD9" w:rsidRPr="00DF3A4F" w:rsidRDefault="00DF3A4F" w:rsidP="00133CD9">
      <w:pPr>
        <w:spacing w:line="360" w:lineRule="auto"/>
        <w:jc w:val="both"/>
        <w:rPr>
          <w:rFonts w:ascii="Arial" w:hAnsi="Arial" w:cs="Arial"/>
          <w:b/>
          <w:bCs/>
          <w:sz w:val="24"/>
          <w:szCs w:val="24"/>
        </w:rPr>
      </w:pPr>
      <w:r w:rsidRPr="00DF3A4F">
        <w:rPr>
          <w:rFonts w:ascii="Arial" w:hAnsi="Arial" w:cs="Arial"/>
          <w:noProof/>
        </w:rPr>
        <w:drawing>
          <wp:anchor distT="0" distB="0" distL="114300" distR="114300" simplePos="0" relativeHeight="251661312" behindDoc="1" locked="0" layoutInCell="1" allowOverlap="1" wp14:anchorId="2E97B01A" wp14:editId="2CBC7877">
            <wp:simplePos x="0" y="0"/>
            <wp:positionH relativeFrom="column">
              <wp:align>left</wp:align>
            </wp:positionH>
            <wp:positionV relativeFrom="paragraph">
              <wp:posOffset>2405380</wp:posOffset>
            </wp:positionV>
            <wp:extent cx="6156960" cy="3345180"/>
            <wp:effectExtent l="0" t="0" r="0" b="7620"/>
            <wp:wrapTight wrapText="bothSides">
              <wp:wrapPolygon edited="0">
                <wp:start x="0" y="0"/>
                <wp:lineTo x="0" y="21526"/>
                <wp:lineTo x="21520" y="21526"/>
                <wp:lineTo x="21520" y="0"/>
                <wp:lineTo x="0" y="0"/>
              </wp:wrapPolygon>
            </wp:wrapTight>
            <wp:docPr id="1029226469" name="Picture 1"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University of Wales Hub: description, news and contact info"/>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56960" cy="33451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95546" w:rsidRPr="00DF3A4F">
        <w:rPr>
          <w:rFonts w:ascii="Arial" w:hAnsi="Arial" w:cs="Arial"/>
          <w:b/>
          <w:bCs/>
          <w:sz w:val="24"/>
          <w:szCs w:val="24"/>
        </w:rPr>
        <w:br w:type="textWrapping" w:clear="all"/>
      </w:r>
    </w:p>
    <w:p w14:paraId="6FC631BD" w14:textId="77777777" w:rsidR="00133CD9" w:rsidRPr="00DF3A4F" w:rsidRDefault="00133CD9" w:rsidP="00133CD9">
      <w:pPr>
        <w:spacing w:line="360" w:lineRule="auto"/>
        <w:jc w:val="both"/>
        <w:rPr>
          <w:rFonts w:ascii="Arial" w:hAnsi="Arial" w:cs="Arial"/>
          <w:b/>
          <w:bCs/>
          <w:sz w:val="24"/>
          <w:szCs w:val="24"/>
        </w:rPr>
      </w:pPr>
    </w:p>
    <w:p w14:paraId="216F2123" w14:textId="77777777" w:rsidR="00133CD9" w:rsidRPr="00DF3A4F" w:rsidRDefault="00133CD9" w:rsidP="00133CD9">
      <w:pPr>
        <w:spacing w:line="360" w:lineRule="auto"/>
        <w:jc w:val="center"/>
        <w:rPr>
          <w:rFonts w:ascii="Arial" w:hAnsi="Arial" w:cs="Arial"/>
          <w:b/>
          <w:bCs/>
          <w:sz w:val="24"/>
          <w:szCs w:val="24"/>
        </w:rPr>
      </w:pPr>
    </w:p>
    <w:p w14:paraId="4D0F9C12" w14:textId="58836390" w:rsidR="00133CD9" w:rsidRPr="00DF3A4F" w:rsidRDefault="00895546" w:rsidP="00895546">
      <w:pPr>
        <w:spacing w:line="360" w:lineRule="auto"/>
        <w:rPr>
          <w:rFonts w:ascii="Arial" w:hAnsi="Arial" w:cs="Arial"/>
          <w:b/>
          <w:bCs/>
          <w:sz w:val="36"/>
          <w:szCs w:val="36"/>
        </w:rPr>
      </w:pPr>
      <w:r w:rsidRPr="00DF3A4F">
        <w:rPr>
          <w:rFonts w:ascii="Arial" w:hAnsi="Arial" w:cs="Arial"/>
          <w:b/>
          <w:bCs/>
          <w:sz w:val="36"/>
          <w:szCs w:val="36"/>
        </w:rPr>
        <w:t xml:space="preserve">                                                                                  </w:t>
      </w:r>
      <w:r w:rsidR="00133CD9" w:rsidRPr="00DF3A4F">
        <w:rPr>
          <w:rFonts w:ascii="Arial" w:hAnsi="Arial" w:cs="Arial"/>
          <w:b/>
          <w:bCs/>
          <w:sz w:val="36"/>
          <w:szCs w:val="36"/>
        </w:rPr>
        <w:t>Business Development Proposal</w:t>
      </w:r>
    </w:p>
    <w:p w14:paraId="7BA33084" w14:textId="1DF213F7" w:rsidR="00895546" w:rsidRPr="00DF3A4F" w:rsidRDefault="00895546" w:rsidP="00895546">
      <w:pPr>
        <w:spacing w:line="360" w:lineRule="auto"/>
        <w:rPr>
          <w:rFonts w:ascii="Arial" w:hAnsi="Arial" w:cs="Arial"/>
          <w:b/>
          <w:bCs/>
          <w:sz w:val="36"/>
          <w:szCs w:val="36"/>
        </w:rPr>
      </w:pPr>
      <w:r w:rsidRPr="00DF3A4F">
        <w:rPr>
          <w:rFonts w:ascii="Arial" w:hAnsi="Arial" w:cs="Arial"/>
          <w:b/>
          <w:bCs/>
          <w:sz w:val="36"/>
          <w:szCs w:val="36"/>
        </w:rPr>
        <w:t xml:space="preserve">                                                                                                    </w:t>
      </w:r>
      <w:r w:rsidR="00133CD9" w:rsidRPr="00DF3A4F">
        <w:rPr>
          <w:rFonts w:ascii="Arial" w:hAnsi="Arial" w:cs="Arial"/>
          <w:b/>
          <w:bCs/>
          <w:sz w:val="36"/>
          <w:szCs w:val="36"/>
        </w:rPr>
        <w:t>LCMB7037</w:t>
      </w:r>
    </w:p>
    <w:p w14:paraId="0AE2823D" w14:textId="26AFB843" w:rsidR="00895546" w:rsidRPr="00DF3A4F" w:rsidRDefault="00895546" w:rsidP="00895546">
      <w:pPr>
        <w:spacing w:line="360" w:lineRule="auto"/>
        <w:rPr>
          <w:rFonts w:ascii="Arial" w:hAnsi="Arial" w:cs="Arial"/>
          <w:b/>
          <w:bCs/>
          <w:sz w:val="24"/>
          <w:szCs w:val="24"/>
        </w:rPr>
      </w:pPr>
      <w:r w:rsidRPr="00DF3A4F">
        <w:rPr>
          <w:rFonts w:ascii="Arial" w:hAnsi="Arial" w:cs="Arial"/>
          <w:b/>
          <w:bCs/>
          <w:sz w:val="36"/>
          <w:szCs w:val="36"/>
        </w:rPr>
        <w:lastRenderedPageBreak/>
        <w:t xml:space="preserve">                                                                                                          </w:t>
      </w:r>
      <w:r w:rsidR="00133CD9" w:rsidRPr="00DF3A4F">
        <w:rPr>
          <w:rFonts w:ascii="Arial" w:hAnsi="Arial" w:cs="Arial"/>
          <w:b/>
          <w:bCs/>
          <w:sz w:val="24"/>
          <w:szCs w:val="24"/>
        </w:rPr>
        <w:t>Titl</w:t>
      </w:r>
      <w:r w:rsidRPr="00DF3A4F">
        <w:rPr>
          <w:rFonts w:ascii="Arial" w:hAnsi="Arial" w:cs="Arial"/>
          <w:b/>
          <w:bCs/>
          <w:sz w:val="24"/>
          <w:szCs w:val="24"/>
        </w:rPr>
        <w:t>e</w:t>
      </w:r>
    </w:p>
    <w:p w14:paraId="0A2AC28A" w14:textId="17E24E78" w:rsidR="00133CD9" w:rsidRPr="00DF3A4F" w:rsidRDefault="00895546" w:rsidP="00895546">
      <w:pPr>
        <w:spacing w:line="360" w:lineRule="auto"/>
        <w:rPr>
          <w:rFonts w:ascii="Arial" w:hAnsi="Arial" w:cs="Arial"/>
          <w:b/>
          <w:bCs/>
          <w:sz w:val="36"/>
          <w:szCs w:val="36"/>
        </w:rPr>
      </w:pPr>
      <w:r w:rsidRPr="00DF3A4F">
        <w:rPr>
          <w:rFonts w:ascii="Arial" w:hAnsi="Arial" w:cs="Arial"/>
          <w:b/>
          <w:bCs/>
          <w:sz w:val="24"/>
          <w:szCs w:val="24"/>
        </w:rPr>
        <w:t xml:space="preserve">                                                                             </w:t>
      </w:r>
      <w:r w:rsidR="00133CD9" w:rsidRPr="00DF3A4F">
        <w:rPr>
          <w:rFonts w:ascii="Arial" w:hAnsi="Arial" w:cs="Arial"/>
          <w:b/>
          <w:bCs/>
          <w:i/>
          <w:iCs/>
          <w:sz w:val="24"/>
          <w:szCs w:val="24"/>
        </w:rPr>
        <w:t>International Business Expansion Strategy for Paytm: Evaluating Entry into the Singapore Digital Payments Market</w:t>
      </w:r>
    </w:p>
    <w:p w14:paraId="2575D65E" w14:textId="77777777" w:rsidR="00133CD9" w:rsidRPr="00DF3A4F" w:rsidRDefault="00133CD9" w:rsidP="00133CD9">
      <w:pPr>
        <w:spacing w:line="360" w:lineRule="auto"/>
        <w:jc w:val="center"/>
        <w:rPr>
          <w:rFonts w:ascii="Arial" w:hAnsi="Arial" w:cs="Arial"/>
          <w:b/>
          <w:bCs/>
          <w:sz w:val="24"/>
          <w:szCs w:val="24"/>
        </w:rPr>
      </w:pPr>
      <w:r w:rsidRPr="00DF3A4F">
        <w:rPr>
          <w:rFonts w:ascii="Arial" w:hAnsi="Arial" w:cs="Arial"/>
          <w:b/>
          <w:bCs/>
          <w:sz w:val="24"/>
          <w:szCs w:val="24"/>
        </w:rPr>
        <w:t xml:space="preserve">Student </w:t>
      </w:r>
      <w:proofErr w:type="spellStart"/>
      <w:r w:rsidRPr="00DF3A4F">
        <w:rPr>
          <w:rFonts w:ascii="Arial" w:hAnsi="Arial" w:cs="Arial"/>
          <w:b/>
          <w:bCs/>
          <w:sz w:val="24"/>
          <w:szCs w:val="24"/>
        </w:rPr>
        <w:t>Name:Payal</w:t>
      </w:r>
      <w:proofErr w:type="spellEnd"/>
      <w:r w:rsidRPr="00DF3A4F">
        <w:rPr>
          <w:rFonts w:ascii="Arial" w:hAnsi="Arial" w:cs="Arial"/>
          <w:b/>
          <w:bCs/>
          <w:sz w:val="24"/>
          <w:szCs w:val="24"/>
        </w:rPr>
        <w:t xml:space="preserve"> </w:t>
      </w:r>
      <w:proofErr w:type="spellStart"/>
      <w:r w:rsidRPr="00DF3A4F">
        <w:rPr>
          <w:rFonts w:ascii="Arial" w:hAnsi="Arial" w:cs="Arial"/>
          <w:b/>
          <w:bCs/>
          <w:sz w:val="24"/>
          <w:szCs w:val="24"/>
        </w:rPr>
        <w:t>Balubhai</w:t>
      </w:r>
      <w:proofErr w:type="spellEnd"/>
      <w:r w:rsidRPr="00DF3A4F">
        <w:rPr>
          <w:rFonts w:ascii="Arial" w:hAnsi="Arial" w:cs="Arial"/>
          <w:b/>
          <w:bCs/>
          <w:sz w:val="24"/>
          <w:szCs w:val="24"/>
        </w:rPr>
        <w:t xml:space="preserve"> Odedra</w:t>
      </w:r>
    </w:p>
    <w:p w14:paraId="34AD8A66" w14:textId="77777777" w:rsidR="00133CD9" w:rsidRPr="00DF3A4F" w:rsidRDefault="00133CD9" w:rsidP="00133CD9">
      <w:pPr>
        <w:spacing w:line="360" w:lineRule="auto"/>
        <w:jc w:val="center"/>
        <w:rPr>
          <w:rFonts w:ascii="Arial" w:hAnsi="Arial" w:cs="Arial"/>
          <w:b/>
          <w:bCs/>
          <w:sz w:val="24"/>
          <w:szCs w:val="24"/>
        </w:rPr>
      </w:pPr>
      <w:r w:rsidRPr="00DF3A4F">
        <w:rPr>
          <w:rFonts w:ascii="Arial" w:hAnsi="Arial" w:cs="Arial"/>
          <w:b/>
          <w:bCs/>
          <w:sz w:val="24"/>
          <w:szCs w:val="24"/>
        </w:rPr>
        <w:t>Student ID:2439521</w:t>
      </w:r>
    </w:p>
    <w:p w14:paraId="00A33204" w14:textId="77777777" w:rsidR="00133CD9" w:rsidRPr="00DF3A4F" w:rsidRDefault="00133CD9" w:rsidP="00133CD9">
      <w:pPr>
        <w:spacing w:line="360" w:lineRule="auto"/>
        <w:jc w:val="center"/>
        <w:rPr>
          <w:rFonts w:ascii="Arial" w:hAnsi="Arial" w:cs="Arial"/>
          <w:b/>
          <w:bCs/>
          <w:sz w:val="24"/>
          <w:szCs w:val="24"/>
        </w:rPr>
      </w:pPr>
      <w:r w:rsidRPr="00DF3A4F">
        <w:rPr>
          <w:rFonts w:ascii="Arial" w:hAnsi="Arial" w:cs="Arial"/>
          <w:b/>
          <w:bCs/>
          <w:sz w:val="24"/>
          <w:szCs w:val="24"/>
        </w:rPr>
        <w:t xml:space="preserve">Supervisor </w:t>
      </w:r>
      <w:proofErr w:type="spellStart"/>
      <w:r w:rsidRPr="00DF3A4F">
        <w:rPr>
          <w:rFonts w:ascii="Arial" w:hAnsi="Arial" w:cs="Arial"/>
          <w:b/>
          <w:bCs/>
          <w:sz w:val="24"/>
          <w:szCs w:val="24"/>
        </w:rPr>
        <w:t>Name:Ejike</w:t>
      </w:r>
      <w:proofErr w:type="spellEnd"/>
      <w:r w:rsidRPr="00DF3A4F">
        <w:rPr>
          <w:rFonts w:ascii="Arial" w:hAnsi="Arial" w:cs="Arial"/>
          <w:b/>
          <w:bCs/>
          <w:sz w:val="24"/>
          <w:szCs w:val="24"/>
        </w:rPr>
        <w:t xml:space="preserve"> </w:t>
      </w:r>
      <w:proofErr w:type="spellStart"/>
      <w:r w:rsidRPr="00DF3A4F">
        <w:rPr>
          <w:rFonts w:ascii="Arial" w:hAnsi="Arial" w:cs="Arial"/>
          <w:b/>
          <w:bCs/>
          <w:sz w:val="24"/>
          <w:szCs w:val="24"/>
        </w:rPr>
        <w:t>Udeogu</w:t>
      </w:r>
      <w:proofErr w:type="spellEnd"/>
    </w:p>
    <w:p w14:paraId="0FC27775" w14:textId="77777777" w:rsidR="00133CD9" w:rsidRPr="00DF3A4F" w:rsidRDefault="00133CD9" w:rsidP="00133CD9">
      <w:pPr>
        <w:rPr>
          <w:rFonts w:ascii="Arial" w:hAnsi="Arial" w:cs="Arial"/>
          <w:b/>
          <w:bCs/>
          <w:sz w:val="24"/>
          <w:szCs w:val="24"/>
        </w:rPr>
      </w:pPr>
      <w:r w:rsidRPr="00DF3A4F">
        <w:rPr>
          <w:rFonts w:ascii="Arial" w:hAnsi="Arial" w:cs="Arial"/>
          <w:b/>
          <w:bCs/>
          <w:sz w:val="24"/>
          <w:szCs w:val="24"/>
        </w:rPr>
        <w:br w:type="page"/>
      </w:r>
    </w:p>
    <w:p w14:paraId="326D793B" w14:textId="77777777" w:rsidR="00133CD9" w:rsidRPr="00DF3A4F" w:rsidRDefault="00133CD9" w:rsidP="00133CD9">
      <w:pPr>
        <w:spacing w:line="360" w:lineRule="auto"/>
        <w:jc w:val="center"/>
        <w:rPr>
          <w:rFonts w:ascii="Arial" w:hAnsi="Arial" w:cs="Arial"/>
          <w:b/>
          <w:bCs/>
          <w:sz w:val="24"/>
          <w:szCs w:val="24"/>
        </w:rPr>
      </w:pPr>
      <w:r w:rsidRPr="00DF3A4F">
        <w:rPr>
          <w:rFonts w:ascii="Arial" w:hAnsi="Arial" w:cs="Arial"/>
          <w:b/>
          <w:bCs/>
          <w:sz w:val="24"/>
          <w:szCs w:val="24"/>
        </w:rPr>
        <w:t>Declaration</w:t>
      </w:r>
    </w:p>
    <w:p w14:paraId="2CD0947B"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I declare that this dissertation entitled “International Business Expansion Strategy for Paytm: Evaluating the Feasibility of Entering the Singapore Digital Payments Market” is my own work and has been prepared in partial fulfilment of the requirements for the award of the degree.</w:t>
      </w:r>
    </w:p>
    <w:p w14:paraId="58DCEBD1"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I confirm that all sources of information, data, ideas, quotations and materials used in this dissertation have been appropriately acknowledged and referenced in accordance with the University's academic referencing guidelines. Any assistance received during the preparation of this dissertation has been fully disclosed, and no part of this work has been submitted previously for any other academic award or qualification at this or any other institution.</w:t>
      </w:r>
    </w:p>
    <w:p w14:paraId="2E4F8ACE"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I further declare that this dissertation complies with the University's regulations regarding academic integrity, plagiarism and ethical research practices. The analysis, findings, conclusions and recommendations presented in this dissertation are based on independent research conducted by the author.</w:t>
      </w:r>
    </w:p>
    <w:p w14:paraId="3C8CC2C6"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I understand that any breach of academic integrity regulations may result in disciplinary action in accordance with university policies.</w:t>
      </w:r>
    </w:p>
    <w:p w14:paraId="7F18F9C5"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Signature: ___Payal________________________</w:t>
      </w:r>
    </w:p>
    <w:p w14:paraId="7C330495"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Date: _______28</w:t>
      </w:r>
      <w:r w:rsidRPr="00DF3A4F">
        <w:rPr>
          <w:rFonts w:ascii="Arial" w:hAnsi="Arial" w:cs="Arial"/>
          <w:sz w:val="24"/>
          <w:szCs w:val="24"/>
          <w:vertAlign w:val="superscript"/>
        </w:rPr>
        <w:t>th</w:t>
      </w:r>
      <w:r w:rsidRPr="00DF3A4F">
        <w:rPr>
          <w:rFonts w:ascii="Arial" w:hAnsi="Arial" w:cs="Arial"/>
          <w:sz w:val="24"/>
          <w:szCs w:val="24"/>
        </w:rPr>
        <w:t xml:space="preserve"> august 2026__________________</w:t>
      </w:r>
    </w:p>
    <w:p w14:paraId="4C43B872" w14:textId="77777777" w:rsidR="00133CD9" w:rsidRPr="00DF3A4F" w:rsidRDefault="00133CD9" w:rsidP="00133CD9">
      <w:pPr>
        <w:spacing w:line="360" w:lineRule="auto"/>
        <w:jc w:val="center"/>
        <w:rPr>
          <w:rFonts w:ascii="Arial" w:hAnsi="Arial" w:cs="Arial"/>
          <w:b/>
          <w:bCs/>
          <w:sz w:val="24"/>
          <w:szCs w:val="24"/>
        </w:rPr>
      </w:pPr>
    </w:p>
    <w:p w14:paraId="5D07D20B" w14:textId="77777777" w:rsidR="00133CD9" w:rsidRPr="00DF3A4F" w:rsidRDefault="00133CD9" w:rsidP="00133CD9">
      <w:pPr>
        <w:rPr>
          <w:rFonts w:ascii="Arial" w:hAnsi="Arial" w:cs="Arial"/>
          <w:b/>
          <w:bCs/>
          <w:sz w:val="24"/>
          <w:szCs w:val="24"/>
        </w:rPr>
      </w:pPr>
      <w:r w:rsidRPr="00DF3A4F">
        <w:rPr>
          <w:rFonts w:ascii="Arial" w:hAnsi="Arial" w:cs="Arial"/>
          <w:b/>
          <w:bCs/>
          <w:sz w:val="24"/>
          <w:szCs w:val="24"/>
        </w:rPr>
        <w:br w:type="page"/>
      </w:r>
    </w:p>
    <w:p w14:paraId="1011C7AA" w14:textId="77777777" w:rsidR="00133CD9" w:rsidRPr="00DF3A4F" w:rsidRDefault="00133CD9" w:rsidP="00133CD9">
      <w:pPr>
        <w:spacing w:line="360" w:lineRule="auto"/>
        <w:jc w:val="center"/>
        <w:rPr>
          <w:rFonts w:ascii="Arial" w:hAnsi="Arial" w:cs="Arial"/>
          <w:b/>
          <w:bCs/>
          <w:sz w:val="24"/>
          <w:szCs w:val="24"/>
        </w:rPr>
      </w:pPr>
      <w:r w:rsidRPr="00DF3A4F">
        <w:rPr>
          <w:rFonts w:ascii="Arial" w:hAnsi="Arial" w:cs="Arial"/>
          <w:b/>
          <w:bCs/>
          <w:sz w:val="24"/>
          <w:szCs w:val="24"/>
        </w:rPr>
        <w:t>Abstract</w:t>
      </w:r>
    </w:p>
    <w:p w14:paraId="15258C2B" w14:textId="77777777" w:rsidR="00133CD9" w:rsidRPr="00DF3A4F" w:rsidRDefault="00133CD9" w:rsidP="00133CD9">
      <w:pPr>
        <w:spacing w:line="360" w:lineRule="auto"/>
        <w:ind w:firstLine="720"/>
        <w:jc w:val="both"/>
        <w:rPr>
          <w:rFonts w:ascii="Arial" w:hAnsi="Arial" w:cs="Arial"/>
          <w:sz w:val="24"/>
          <w:szCs w:val="24"/>
        </w:rPr>
      </w:pPr>
      <w:r w:rsidRPr="00DF3A4F">
        <w:rPr>
          <w:rFonts w:ascii="Arial" w:hAnsi="Arial" w:cs="Arial"/>
          <w:sz w:val="24"/>
          <w:szCs w:val="24"/>
        </w:rPr>
        <w:t xml:space="preserve">Digital payment technologies have revolutionized financial transactions, bringing new opportunities for international business growth. This Business Development Proposal (BDP) discusses the role of digital payment adoption in enabling the growth of international business using the case of Paytm, one of the top fintech companies in India. The study objectives are to assess the potential of Paytm's digital payment services to enter the Singapore market and to determine the most suitable market entry strategy for Paytm to grow in the international market. The research methodology used in this study is qualitative in nature, where the data obtained from secondary sources from academic journals, industry reports, government publications, company reports and financial databases. </w:t>
      </w:r>
    </w:p>
    <w:p w14:paraId="5C7F0511" w14:textId="77777777" w:rsidR="00133CD9" w:rsidRPr="00DF3A4F" w:rsidRDefault="00133CD9" w:rsidP="00133CD9">
      <w:pPr>
        <w:spacing w:line="360" w:lineRule="auto"/>
        <w:ind w:firstLine="720"/>
        <w:jc w:val="both"/>
        <w:rPr>
          <w:rFonts w:ascii="Arial" w:hAnsi="Arial" w:cs="Arial"/>
          <w:sz w:val="24"/>
          <w:szCs w:val="24"/>
        </w:rPr>
      </w:pPr>
      <w:r w:rsidRPr="00DF3A4F">
        <w:rPr>
          <w:rFonts w:ascii="Arial" w:hAnsi="Arial" w:cs="Arial"/>
          <w:sz w:val="24"/>
          <w:szCs w:val="24"/>
        </w:rPr>
        <w:t xml:space="preserve">It involves evaluating the internal capabilities of the organisation and external market using various strategies such as VRIO, SWOT, PESTLE, CAGE Distance Framework, Porter's Five Forces and Business Model Canvas. These results show that Paytm has robust technology capabilities, a high number of customers, a large merchant network, and an edge with the incorporation of Unified Payment Interface (UPI) in India. An external analysis reveals that Singapore has the most developed digital payment system in the world, has a supportive regulatory framework, and has established strong economic connections with India, which also connects with Singapore's UPI. </w:t>
      </w:r>
    </w:p>
    <w:p w14:paraId="0FF246E7" w14:textId="77A6F157" w:rsidR="00133CD9" w:rsidRPr="00DF3A4F" w:rsidRDefault="00133CD9" w:rsidP="00133CD9">
      <w:pPr>
        <w:spacing w:line="360" w:lineRule="auto"/>
        <w:ind w:firstLine="720"/>
        <w:jc w:val="both"/>
        <w:rPr>
          <w:rFonts w:ascii="Arial" w:hAnsi="Arial" w:cs="Arial"/>
          <w:sz w:val="24"/>
          <w:szCs w:val="24"/>
        </w:rPr>
      </w:pPr>
      <w:r w:rsidRPr="00DF3A4F">
        <w:rPr>
          <w:rFonts w:ascii="Arial" w:hAnsi="Arial" w:cs="Arial"/>
          <w:sz w:val="24"/>
          <w:szCs w:val="24"/>
        </w:rPr>
        <w:t xml:space="preserve">The study suggests a strategic alliance strategy as an appropriate mode of entry in the market where Paytm can lower investment risk, gain local knowledge and gain entry to the market quickly. A financial feasibility analysis shows positive profitability potential, with </w:t>
      </w:r>
      <w:r w:rsidR="00450056" w:rsidRPr="00DF3A4F">
        <w:rPr>
          <w:rFonts w:ascii="Arial" w:hAnsi="Arial" w:cs="Arial"/>
          <w:sz w:val="24"/>
          <w:szCs w:val="24"/>
        </w:rPr>
        <w:t>favourable</w:t>
      </w:r>
      <w:r w:rsidRPr="00DF3A4F">
        <w:rPr>
          <w:rFonts w:ascii="Arial" w:hAnsi="Arial" w:cs="Arial"/>
          <w:sz w:val="24"/>
          <w:szCs w:val="24"/>
        </w:rPr>
        <w:t xml:space="preserve"> return on investment, break-even results and positive net present value projections. There are risks associated with regulation, cyber security and competition issues; however, the use of proper mitigation measures can minimise the impact. Based on the study, Paytm's international expansion to Singapore is both financially and strategically sound, setting the groundwork for future expansion in the Southeast Asian region and bolstering its presence in the global digital payments’ domain.</w:t>
      </w:r>
    </w:p>
    <w:p w14:paraId="5C96CAB5"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br w:type="page"/>
      </w:r>
    </w:p>
    <w:p w14:paraId="1FEB63D6" w14:textId="77777777" w:rsidR="00133CD9" w:rsidRPr="00DF3A4F" w:rsidRDefault="00133CD9" w:rsidP="00133CD9">
      <w:pPr>
        <w:spacing w:line="360" w:lineRule="auto"/>
        <w:jc w:val="both"/>
        <w:rPr>
          <w:rFonts w:ascii="Arial" w:hAnsi="Arial" w:cs="Arial"/>
          <w:b/>
          <w:bCs/>
          <w:sz w:val="24"/>
          <w:szCs w:val="24"/>
        </w:rPr>
      </w:pPr>
    </w:p>
    <w:sdt>
      <w:sdtPr>
        <w:rPr>
          <w:rFonts w:ascii="Arial" w:eastAsiaTheme="minorHAnsi" w:hAnsi="Arial" w:cs="Arial"/>
          <w:color w:val="auto"/>
          <w:sz w:val="24"/>
          <w:szCs w:val="24"/>
          <w:lang w:val="en-AU"/>
          <w14:ligatures w14:val="standardContextual"/>
        </w:rPr>
        <w:id w:val="1579709302"/>
        <w:docPartObj>
          <w:docPartGallery w:val="Table of Contents"/>
          <w:docPartUnique/>
        </w:docPartObj>
      </w:sdtPr>
      <w:sdtEndPr>
        <w:rPr>
          <w:b/>
          <w:bCs/>
          <w:noProof/>
        </w:rPr>
      </w:sdtEndPr>
      <w:sdtContent>
        <w:p w14:paraId="2461D9AB" w14:textId="77777777" w:rsidR="00133CD9" w:rsidRPr="00DF3A4F" w:rsidRDefault="00133CD9" w:rsidP="00133CD9">
          <w:pPr>
            <w:pStyle w:val="TOCHeading"/>
            <w:jc w:val="center"/>
            <w:rPr>
              <w:rFonts w:ascii="Arial" w:hAnsi="Arial" w:cs="Arial"/>
              <w:b/>
              <w:bCs/>
              <w:color w:val="auto"/>
              <w:sz w:val="24"/>
              <w:szCs w:val="24"/>
            </w:rPr>
          </w:pPr>
          <w:r w:rsidRPr="00DF3A4F">
            <w:rPr>
              <w:rFonts w:ascii="Arial" w:hAnsi="Arial" w:cs="Arial"/>
              <w:b/>
              <w:bCs/>
              <w:color w:val="auto"/>
              <w:sz w:val="24"/>
              <w:szCs w:val="24"/>
            </w:rPr>
            <w:t>Table of Contents</w:t>
          </w:r>
        </w:p>
        <w:p w14:paraId="58E82F30" w14:textId="77777777" w:rsidR="00133CD9" w:rsidRPr="00DF3A4F" w:rsidRDefault="00133CD9" w:rsidP="00133CD9">
          <w:pPr>
            <w:pStyle w:val="TOC1"/>
            <w:tabs>
              <w:tab w:val="right" w:leader="dot" w:pos="9016"/>
            </w:tabs>
            <w:rPr>
              <w:rFonts w:ascii="Arial" w:eastAsiaTheme="minorEastAsia" w:hAnsi="Arial" w:cs="Arial"/>
              <w:noProof/>
              <w:color w:val="000000" w:themeColor="text1"/>
              <w:kern w:val="2"/>
              <w:sz w:val="24"/>
              <w:szCs w:val="24"/>
              <w:lang w:eastAsia="en-AU"/>
            </w:rPr>
          </w:pPr>
          <w:r w:rsidRPr="00DF3A4F">
            <w:rPr>
              <w:rFonts w:ascii="Arial" w:hAnsi="Arial" w:cs="Arial"/>
              <w:color w:val="000000" w:themeColor="text1"/>
              <w:sz w:val="24"/>
              <w:szCs w:val="24"/>
            </w:rPr>
            <w:fldChar w:fldCharType="begin"/>
          </w:r>
          <w:r w:rsidRPr="00DF3A4F">
            <w:rPr>
              <w:rFonts w:ascii="Arial" w:hAnsi="Arial" w:cs="Arial"/>
              <w:color w:val="000000" w:themeColor="text1"/>
              <w:sz w:val="24"/>
              <w:szCs w:val="24"/>
            </w:rPr>
            <w:instrText xml:space="preserve"> TOC \o "1-3" \h \z \u </w:instrText>
          </w:r>
          <w:r w:rsidRPr="00DF3A4F">
            <w:rPr>
              <w:rFonts w:ascii="Arial" w:hAnsi="Arial" w:cs="Arial"/>
              <w:color w:val="000000" w:themeColor="text1"/>
              <w:sz w:val="24"/>
              <w:szCs w:val="24"/>
            </w:rPr>
            <w:fldChar w:fldCharType="separate"/>
          </w:r>
          <w:hyperlink w:anchor="_Toc238739753" w:history="1">
            <w:r w:rsidRPr="00DF3A4F">
              <w:rPr>
                <w:rStyle w:val="Hyperlink"/>
                <w:rFonts w:ascii="Arial" w:hAnsi="Arial" w:cs="Arial"/>
                <w:noProof/>
                <w:color w:val="000000" w:themeColor="text1"/>
              </w:rPr>
              <w:t>Chapter 1: Introduction</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_Toc238739753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7</w:t>
            </w:r>
            <w:r w:rsidRPr="00DF3A4F">
              <w:rPr>
                <w:rFonts w:ascii="Arial" w:hAnsi="Arial" w:cs="Arial"/>
                <w:noProof/>
                <w:webHidden/>
                <w:color w:val="000000" w:themeColor="text1"/>
              </w:rPr>
              <w:fldChar w:fldCharType="end"/>
            </w:r>
          </w:hyperlink>
        </w:p>
        <w:p w14:paraId="5E673BDF"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754" w:history="1">
            <w:r w:rsidRPr="00DF3A4F">
              <w:rPr>
                <w:rStyle w:val="Hyperlink"/>
                <w:rFonts w:ascii="Arial" w:hAnsi="Arial" w:cs="Arial"/>
                <w:noProof/>
                <w:color w:val="000000" w:themeColor="text1"/>
              </w:rPr>
              <w:t>1.1 Background of the Study</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_Toc238739754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7</w:t>
            </w:r>
            <w:r w:rsidRPr="00DF3A4F">
              <w:rPr>
                <w:rFonts w:ascii="Arial" w:hAnsi="Arial" w:cs="Arial"/>
                <w:noProof/>
                <w:webHidden/>
                <w:color w:val="000000" w:themeColor="text1"/>
              </w:rPr>
              <w:fldChar w:fldCharType="end"/>
            </w:r>
          </w:hyperlink>
        </w:p>
        <w:p w14:paraId="3970C862"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755" w:history="1">
            <w:r w:rsidRPr="00DF3A4F">
              <w:rPr>
                <w:rStyle w:val="Hyperlink"/>
                <w:rFonts w:ascii="Arial" w:hAnsi="Arial" w:cs="Arial"/>
                <w:noProof/>
                <w:color w:val="000000" w:themeColor="text1"/>
              </w:rPr>
              <w:t>1.2 Company Background</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_Toc238739755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8</w:t>
            </w:r>
            <w:r w:rsidRPr="00DF3A4F">
              <w:rPr>
                <w:rFonts w:ascii="Arial" w:hAnsi="Arial" w:cs="Arial"/>
                <w:noProof/>
                <w:webHidden/>
                <w:color w:val="000000" w:themeColor="text1"/>
              </w:rPr>
              <w:fldChar w:fldCharType="end"/>
            </w:r>
          </w:hyperlink>
        </w:p>
        <w:p w14:paraId="36C4206F"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756" w:history="1">
            <w:r w:rsidRPr="00DF3A4F">
              <w:rPr>
                <w:rStyle w:val="Hyperlink"/>
                <w:rFonts w:ascii="Arial" w:hAnsi="Arial" w:cs="Arial"/>
                <w:bCs/>
                <w:noProof/>
                <w:color w:val="000000" w:themeColor="text1"/>
              </w:rPr>
              <w:t>1.3 Problem Statement</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_Toc238739756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9</w:t>
            </w:r>
            <w:r w:rsidRPr="00DF3A4F">
              <w:rPr>
                <w:rFonts w:ascii="Arial" w:hAnsi="Arial" w:cs="Arial"/>
                <w:noProof/>
                <w:webHidden/>
                <w:color w:val="000000" w:themeColor="text1"/>
              </w:rPr>
              <w:fldChar w:fldCharType="end"/>
            </w:r>
          </w:hyperlink>
        </w:p>
        <w:p w14:paraId="1D1D0B15"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757" w:history="1">
            <w:r w:rsidRPr="00DF3A4F">
              <w:rPr>
                <w:rStyle w:val="Hyperlink"/>
                <w:rFonts w:ascii="Arial" w:hAnsi="Arial" w:cs="Arial"/>
                <w:noProof/>
                <w:color w:val="000000" w:themeColor="text1"/>
              </w:rPr>
              <w:t>1.4 Aim and Objectives</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_Toc238739757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10</w:t>
            </w:r>
            <w:r w:rsidRPr="00DF3A4F">
              <w:rPr>
                <w:rFonts w:ascii="Arial" w:hAnsi="Arial" w:cs="Arial"/>
                <w:noProof/>
                <w:webHidden/>
                <w:color w:val="000000" w:themeColor="text1"/>
              </w:rPr>
              <w:fldChar w:fldCharType="end"/>
            </w:r>
          </w:hyperlink>
        </w:p>
        <w:p w14:paraId="7E3EE66A"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758" w:history="1">
            <w:r w:rsidRPr="00DF3A4F">
              <w:rPr>
                <w:rStyle w:val="Hyperlink"/>
                <w:rFonts w:ascii="Arial" w:hAnsi="Arial" w:cs="Arial"/>
                <w:noProof/>
                <w:color w:val="000000" w:themeColor="text1"/>
              </w:rPr>
              <w:t>1.5 Research Questions</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_Toc238739758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10</w:t>
            </w:r>
            <w:r w:rsidRPr="00DF3A4F">
              <w:rPr>
                <w:rFonts w:ascii="Arial" w:hAnsi="Arial" w:cs="Arial"/>
                <w:noProof/>
                <w:webHidden/>
                <w:color w:val="000000" w:themeColor="text1"/>
              </w:rPr>
              <w:fldChar w:fldCharType="end"/>
            </w:r>
          </w:hyperlink>
        </w:p>
        <w:p w14:paraId="4E1A5CC7"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759" w:history="1">
            <w:r w:rsidRPr="00DF3A4F">
              <w:rPr>
                <w:rStyle w:val="Hyperlink"/>
                <w:rFonts w:ascii="Arial" w:hAnsi="Arial" w:cs="Arial"/>
                <w:noProof/>
                <w:color w:val="000000" w:themeColor="text1"/>
              </w:rPr>
              <w:t>1.6 Significance of the Study</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_Toc238739759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11</w:t>
            </w:r>
            <w:r w:rsidRPr="00DF3A4F">
              <w:rPr>
                <w:rFonts w:ascii="Arial" w:hAnsi="Arial" w:cs="Arial"/>
                <w:noProof/>
                <w:webHidden/>
                <w:color w:val="000000" w:themeColor="text1"/>
              </w:rPr>
              <w:fldChar w:fldCharType="end"/>
            </w:r>
          </w:hyperlink>
        </w:p>
        <w:p w14:paraId="64662A43" w14:textId="77777777" w:rsidR="00133CD9" w:rsidRPr="00DF3A4F" w:rsidRDefault="00133CD9" w:rsidP="00133CD9">
          <w:pPr>
            <w:pStyle w:val="TOC1"/>
            <w:tabs>
              <w:tab w:val="right" w:leader="dot" w:pos="9016"/>
            </w:tabs>
            <w:rPr>
              <w:rFonts w:ascii="Arial" w:eastAsiaTheme="minorEastAsia" w:hAnsi="Arial" w:cs="Arial"/>
              <w:noProof/>
              <w:color w:val="000000" w:themeColor="text1"/>
              <w:kern w:val="2"/>
              <w:sz w:val="24"/>
              <w:szCs w:val="24"/>
              <w:lang w:eastAsia="en-AU"/>
            </w:rPr>
          </w:pPr>
          <w:hyperlink w:anchor="_Toc238739760" w:history="1">
            <w:r w:rsidRPr="00DF3A4F">
              <w:rPr>
                <w:rStyle w:val="Hyperlink"/>
                <w:rFonts w:ascii="Arial" w:hAnsi="Arial" w:cs="Arial"/>
                <w:noProof/>
                <w:color w:val="000000" w:themeColor="text1"/>
              </w:rPr>
              <w:t>Chapter 2: Literature Review</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_Toc238739760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12</w:t>
            </w:r>
            <w:r w:rsidRPr="00DF3A4F">
              <w:rPr>
                <w:rFonts w:ascii="Arial" w:hAnsi="Arial" w:cs="Arial"/>
                <w:noProof/>
                <w:webHidden/>
                <w:color w:val="000000" w:themeColor="text1"/>
              </w:rPr>
              <w:fldChar w:fldCharType="end"/>
            </w:r>
          </w:hyperlink>
        </w:p>
        <w:p w14:paraId="3E7042BA"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761" w:history="1">
            <w:r w:rsidRPr="00DF3A4F">
              <w:rPr>
                <w:rStyle w:val="Hyperlink"/>
                <w:rFonts w:ascii="Arial" w:hAnsi="Arial" w:cs="Arial"/>
                <w:noProof/>
                <w:color w:val="000000" w:themeColor="text1"/>
              </w:rPr>
              <w:t>2.1 Introduction</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_Toc238739761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12</w:t>
            </w:r>
            <w:r w:rsidRPr="00DF3A4F">
              <w:rPr>
                <w:rFonts w:ascii="Arial" w:hAnsi="Arial" w:cs="Arial"/>
                <w:noProof/>
                <w:webHidden/>
                <w:color w:val="000000" w:themeColor="text1"/>
              </w:rPr>
              <w:fldChar w:fldCharType="end"/>
            </w:r>
          </w:hyperlink>
        </w:p>
        <w:p w14:paraId="73BCB31B"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762" w:history="1">
            <w:r w:rsidRPr="00DF3A4F">
              <w:rPr>
                <w:rStyle w:val="Hyperlink"/>
                <w:rFonts w:ascii="Arial" w:hAnsi="Arial" w:cs="Arial"/>
                <w:noProof/>
                <w:color w:val="000000" w:themeColor="text1"/>
              </w:rPr>
              <w:t>2.2 Digital Payment Adoption</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_Toc238739762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12</w:t>
            </w:r>
            <w:r w:rsidRPr="00DF3A4F">
              <w:rPr>
                <w:rFonts w:ascii="Arial" w:hAnsi="Arial" w:cs="Arial"/>
                <w:noProof/>
                <w:webHidden/>
                <w:color w:val="000000" w:themeColor="text1"/>
              </w:rPr>
              <w:fldChar w:fldCharType="end"/>
            </w:r>
          </w:hyperlink>
        </w:p>
        <w:p w14:paraId="29301556"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763" w:history="1">
            <w:r w:rsidRPr="00DF3A4F">
              <w:rPr>
                <w:rStyle w:val="Hyperlink"/>
                <w:rFonts w:ascii="Arial" w:hAnsi="Arial" w:cs="Arial"/>
                <w:noProof/>
                <w:color w:val="000000" w:themeColor="text1"/>
              </w:rPr>
              <w:t>2.3 International Business Expansion Theories</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_Toc238739763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13</w:t>
            </w:r>
            <w:r w:rsidRPr="00DF3A4F">
              <w:rPr>
                <w:rFonts w:ascii="Arial" w:hAnsi="Arial" w:cs="Arial"/>
                <w:noProof/>
                <w:webHidden/>
                <w:color w:val="000000" w:themeColor="text1"/>
              </w:rPr>
              <w:fldChar w:fldCharType="end"/>
            </w:r>
          </w:hyperlink>
        </w:p>
        <w:p w14:paraId="34AF47E7"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764" w:history="1">
            <w:r w:rsidRPr="00DF3A4F">
              <w:rPr>
                <w:rStyle w:val="Hyperlink"/>
                <w:rFonts w:ascii="Arial" w:hAnsi="Arial" w:cs="Arial"/>
                <w:noProof/>
                <w:color w:val="000000" w:themeColor="text1"/>
              </w:rPr>
              <w:t>2.4 FinTech and Cross-Border Digital Payments</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_Toc238739764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15</w:t>
            </w:r>
            <w:r w:rsidRPr="00DF3A4F">
              <w:rPr>
                <w:rFonts w:ascii="Arial" w:hAnsi="Arial" w:cs="Arial"/>
                <w:noProof/>
                <w:webHidden/>
                <w:color w:val="000000" w:themeColor="text1"/>
              </w:rPr>
              <w:fldChar w:fldCharType="end"/>
            </w:r>
          </w:hyperlink>
        </w:p>
        <w:p w14:paraId="43664395"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765" w:history="1">
            <w:r w:rsidRPr="00DF3A4F">
              <w:rPr>
                <w:rStyle w:val="Hyperlink"/>
                <w:rFonts w:ascii="Arial" w:hAnsi="Arial" w:cs="Arial"/>
                <w:noProof/>
                <w:color w:val="000000" w:themeColor="text1"/>
              </w:rPr>
              <w:t>2.5 Strategic Management Frameworks</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_Toc238739765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16</w:t>
            </w:r>
            <w:r w:rsidRPr="00DF3A4F">
              <w:rPr>
                <w:rFonts w:ascii="Arial" w:hAnsi="Arial" w:cs="Arial"/>
                <w:noProof/>
                <w:webHidden/>
                <w:color w:val="000000" w:themeColor="text1"/>
              </w:rPr>
              <w:fldChar w:fldCharType="end"/>
            </w:r>
          </w:hyperlink>
        </w:p>
        <w:p w14:paraId="453B7CBA"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766" w:history="1">
            <w:r w:rsidRPr="00DF3A4F">
              <w:rPr>
                <w:rStyle w:val="Hyperlink"/>
                <w:rFonts w:ascii="Arial" w:hAnsi="Arial" w:cs="Arial"/>
                <w:noProof/>
                <w:color w:val="000000" w:themeColor="text1"/>
              </w:rPr>
              <w:t>2.6 Market Entry Strategies</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_Toc238739766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18</w:t>
            </w:r>
            <w:r w:rsidRPr="00DF3A4F">
              <w:rPr>
                <w:rFonts w:ascii="Arial" w:hAnsi="Arial" w:cs="Arial"/>
                <w:noProof/>
                <w:webHidden/>
                <w:color w:val="000000" w:themeColor="text1"/>
              </w:rPr>
              <w:fldChar w:fldCharType="end"/>
            </w:r>
          </w:hyperlink>
        </w:p>
        <w:p w14:paraId="162CBDFF"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767" w:history="1">
            <w:r w:rsidRPr="00DF3A4F">
              <w:rPr>
                <w:rStyle w:val="Hyperlink"/>
                <w:rFonts w:ascii="Arial" w:hAnsi="Arial" w:cs="Arial"/>
                <w:noProof/>
                <w:color w:val="000000" w:themeColor="text1"/>
              </w:rPr>
              <w:t>2.7 Research Gap</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_Toc238739767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19</w:t>
            </w:r>
            <w:r w:rsidRPr="00DF3A4F">
              <w:rPr>
                <w:rFonts w:ascii="Arial" w:hAnsi="Arial" w:cs="Arial"/>
                <w:noProof/>
                <w:webHidden/>
                <w:color w:val="000000" w:themeColor="text1"/>
              </w:rPr>
              <w:fldChar w:fldCharType="end"/>
            </w:r>
          </w:hyperlink>
        </w:p>
        <w:p w14:paraId="4D818B9E"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768" w:history="1">
            <w:r w:rsidRPr="00DF3A4F">
              <w:rPr>
                <w:rStyle w:val="Hyperlink"/>
                <w:rFonts w:ascii="Arial" w:hAnsi="Arial" w:cs="Arial"/>
                <w:noProof/>
                <w:color w:val="000000" w:themeColor="text1"/>
              </w:rPr>
              <w:t>2.8 Conceptual Framework</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_Toc238739768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20</w:t>
            </w:r>
            <w:r w:rsidRPr="00DF3A4F">
              <w:rPr>
                <w:rFonts w:ascii="Arial" w:hAnsi="Arial" w:cs="Arial"/>
                <w:noProof/>
                <w:webHidden/>
                <w:color w:val="000000" w:themeColor="text1"/>
              </w:rPr>
              <w:fldChar w:fldCharType="end"/>
            </w:r>
          </w:hyperlink>
        </w:p>
        <w:p w14:paraId="7DD61E23"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769" w:history="1">
            <w:r w:rsidRPr="00DF3A4F">
              <w:rPr>
                <w:rStyle w:val="Hyperlink"/>
                <w:rFonts w:ascii="Arial" w:hAnsi="Arial" w:cs="Arial"/>
                <w:noProof/>
                <w:color w:val="000000" w:themeColor="text1"/>
              </w:rPr>
              <w:t>2.9 Chapter Summary</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_Toc238739769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21</w:t>
            </w:r>
            <w:r w:rsidRPr="00DF3A4F">
              <w:rPr>
                <w:rFonts w:ascii="Arial" w:hAnsi="Arial" w:cs="Arial"/>
                <w:noProof/>
                <w:webHidden/>
                <w:color w:val="000000" w:themeColor="text1"/>
              </w:rPr>
              <w:fldChar w:fldCharType="end"/>
            </w:r>
          </w:hyperlink>
        </w:p>
        <w:p w14:paraId="1A4F1A94" w14:textId="77777777" w:rsidR="00133CD9" w:rsidRPr="00DF3A4F" w:rsidRDefault="00133CD9" w:rsidP="00133CD9">
          <w:pPr>
            <w:pStyle w:val="TOC1"/>
            <w:tabs>
              <w:tab w:val="right" w:leader="dot" w:pos="9016"/>
            </w:tabs>
            <w:rPr>
              <w:rFonts w:ascii="Arial" w:eastAsiaTheme="minorEastAsia" w:hAnsi="Arial" w:cs="Arial"/>
              <w:noProof/>
              <w:color w:val="000000" w:themeColor="text1"/>
              <w:kern w:val="2"/>
              <w:sz w:val="24"/>
              <w:szCs w:val="24"/>
              <w:lang w:eastAsia="en-AU"/>
            </w:rPr>
          </w:pPr>
          <w:hyperlink w:anchor="_Toc238739770" w:history="1">
            <w:r w:rsidRPr="00DF3A4F">
              <w:rPr>
                <w:rStyle w:val="Hyperlink"/>
                <w:rFonts w:ascii="Arial" w:hAnsi="Arial" w:cs="Arial"/>
                <w:noProof/>
                <w:color w:val="000000" w:themeColor="text1"/>
              </w:rPr>
              <w:t>Chapter 3: Research Methodology</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_Toc238739770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22</w:t>
            </w:r>
            <w:r w:rsidRPr="00DF3A4F">
              <w:rPr>
                <w:rFonts w:ascii="Arial" w:hAnsi="Arial" w:cs="Arial"/>
                <w:noProof/>
                <w:webHidden/>
                <w:color w:val="000000" w:themeColor="text1"/>
              </w:rPr>
              <w:fldChar w:fldCharType="end"/>
            </w:r>
          </w:hyperlink>
        </w:p>
        <w:p w14:paraId="67BB6EF6"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771" w:history="1">
            <w:r w:rsidRPr="00DF3A4F">
              <w:rPr>
                <w:rStyle w:val="Hyperlink"/>
                <w:rFonts w:ascii="Arial" w:hAnsi="Arial" w:cs="Arial"/>
                <w:noProof/>
                <w:color w:val="000000" w:themeColor="text1"/>
              </w:rPr>
              <w:t>3.1 Introduction</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_Toc238739771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22</w:t>
            </w:r>
            <w:r w:rsidRPr="00DF3A4F">
              <w:rPr>
                <w:rFonts w:ascii="Arial" w:hAnsi="Arial" w:cs="Arial"/>
                <w:noProof/>
                <w:webHidden/>
                <w:color w:val="000000" w:themeColor="text1"/>
              </w:rPr>
              <w:fldChar w:fldCharType="end"/>
            </w:r>
          </w:hyperlink>
        </w:p>
        <w:p w14:paraId="1C9CD359"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772" w:history="1">
            <w:r w:rsidRPr="00DF3A4F">
              <w:rPr>
                <w:rStyle w:val="Hyperlink"/>
                <w:rFonts w:ascii="Arial" w:hAnsi="Arial" w:cs="Arial"/>
                <w:noProof/>
                <w:color w:val="000000" w:themeColor="text1"/>
              </w:rPr>
              <w:t>3.2 Research Philosophy</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_Toc238739772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22</w:t>
            </w:r>
            <w:r w:rsidRPr="00DF3A4F">
              <w:rPr>
                <w:rFonts w:ascii="Arial" w:hAnsi="Arial" w:cs="Arial"/>
                <w:noProof/>
                <w:webHidden/>
                <w:color w:val="000000" w:themeColor="text1"/>
              </w:rPr>
              <w:fldChar w:fldCharType="end"/>
            </w:r>
          </w:hyperlink>
        </w:p>
        <w:p w14:paraId="4764BA19"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773" w:history="1">
            <w:r w:rsidRPr="00DF3A4F">
              <w:rPr>
                <w:rStyle w:val="Hyperlink"/>
                <w:rFonts w:ascii="Arial" w:hAnsi="Arial" w:cs="Arial"/>
                <w:noProof/>
                <w:color w:val="000000" w:themeColor="text1"/>
              </w:rPr>
              <w:t>3.3 Research Approach</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_Toc238739773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23</w:t>
            </w:r>
            <w:r w:rsidRPr="00DF3A4F">
              <w:rPr>
                <w:rFonts w:ascii="Arial" w:hAnsi="Arial" w:cs="Arial"/>
                <w:noProof/>
                <w:webHidden/>
                <w:color w:val="000000" w:themeColor="text1"/>
              </w:rPr>
              <w:fldChar w:fldCharType="end"/>
            </w:r>
          </w:hyperlink>
        </w:p>
        <w:p w14:paraId="7E4436D5"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774" w:history="1">
            <w:r w:rsidRPr="00DF3A4F">
              <w:rPr>
                <w:rStyle w:val="Hyperlink"/>
                <w:rFonts w:ascii="Arial" w:hAnsi="Arial" w:cs="Arial"/>
                <w:noProof/>
                <w:color w:val="000000" w:themeColor="text1"/>
              </w:rPr>
              <w:t>3.4 Research Design</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_Toc238739774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23</w:t>
            </w:r>
            <w:r w:rsidRPr="00DF3A4F">
              <w:rPr>
                <w:rFonts w:ascii="Arial" w:hAnsi="Arial" w:cs="Arial"/>
                <w:noProof/>
                <w:webHidden/>
                <w:color w:val="000000" w:themeColor="text1"/>
              </w:rPr>
              <w:fldChar w:fldCharType="end"/>
            </w:r>
          </w:hyperlink>
        </w:p>
        <w:p w14:paraId="19F87CD9"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775" w:history="1">
            <w:r w:rsidRPr="00DF3A4F">
              <w:rPr>
                <w:rStyle w:val="Hyperlink"/>
                <w:rFonts w:ascii="Arial" w:hAnsi="Arial" w:cs="Arial"/>
                <w:noProof/>
                <w:color w:val="000000" w:themeColor="text1"/>
              </w:rPr>
              <w:t>3.5 Data Collection Method</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_Toc238739775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23</w:t>
            </w:r>
            <w:r w:rsidRPr="00DF3A4F">
              <w:rPr>
                <w:rFonts w:ascii="Arial" w:hAnsi="Arial" w:cs="Arial"/>
                <w:noProof/>
                <w:webHidden/>
                <w:color w:val="000000" w:themeColor="text1"/>
              </w:rPr>
              <w:fldChar w:fldCharType="end"/>
            </w:r>
          </w:hyperlink>
        </w:p>
        <w:p w14:paraId="6CDA40DC"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776" w:history="1">
            <w:r w:rsidRPr="00DF3A4F">
              <w:rPr>
                <w:rStyle w:val="Hyperlink"/>
                <w:rFonts w:ascii="Arial" w:hAnsi="Arial" w:cs="Arial"/>
                <w:noProof/>
                <w:color w:val="000000" w:themeColor="text1"/>
              </w:rPr>
              <w:t>3.6. Justifications for Secondary Qualitative Research</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_Toc238739776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24</w:t>
            </w:r>
            <w:r w:rsidRPr="00DF3A4F">
              <w:rPr>
                <w:rFonts w:ascii="Arial" w:hAnsi="Arial" w:cs="Arial"/>
                <w:noProof/>
                <w:webHidden/>
                <w:color w:val="000000" w:themeColor="text1"/>
              </w:rPr>
              <w:fldChar w:fldCharType="end"/>
            </w:r>
          </w:hyperlink>
        </w:p>
        <w:p w14:paraId="0BF72253"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777" w:history="1">
            <w:r w:rsidRPr="00DF3A4F">
              <w:rPr>
                <w:rStyle w:val="Hyperlink"/>
                <w:rFonts w:ascii="Arial" w:hAnsi="Arial" w:cs="Arial"/>
                <w:noProof/>
                <w:color w:val="000000" w:themeColor="text1"/>
              </w:rPr>
              <w:t>3.7 Data Analysis Method</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_Toc238739777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24</w:t>
            </w:r>
            <w:r w:rsidRPr="00DF3A4F">
              <w:rPr>
                <w:rFonts w:ascii="Arial" w:hAnsi="Arial" w:cs="Arial"/>
                <w:noProof/>
                <w:webHidden/>
                <w:color w:val="000000" w:themeColor="text1"/>
              </w:rPr>
              <w:fldChar w:fldCharType="end"/>
            </w:r>
          </w:hyperlink>
        </w:p>
        <w:p w14:paraId="22EC7AEF"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778" w:history="1">
            <w:r w:rsidRPr="00DF3A4F">
              <w:rPr>
                <w:rStyle w:val="Hyperlink"/>
                <w:rFonts w:ascii="Arial" w:hAnsi="Arial" w:cs="Arial"/>
                <w:noProof/>
                <w:color w:val="000000" w:themeColor="text1"/>
              </w:rPr>
              <w:t>3.8 Reliability and Validity</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_Toc238739778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25</w:t>
            </w:r>
            <w:r w:rsidRPr="00DF3A4F">
              <w:rPr>
                <w:rFonts w:ascii="Arial" w:hAnsi="Arial" w:cs="Arial"/>
                <w:noProof/>
                <w:webHidden/>
                <w:color w:val="000000" w:themeColor="text1"/>
              </w:rPr>
              <w:fldChar w:fldCharType="end"/>
            </w:r>
          </w:hyperlink>
        </w:p>
        <w:p w14:paraId="6534DFD0"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779" w:history="1">
            <w:r w:rsidRPr="00DF3A4F">
              <w:rPr>
                <w:rStyle w:val="Hyperlink"/>
                <w:rFonts w:ascii="Arial" w:hAnsi="Arial" w:cs="Arial"/>
                <w:noProof/>
                <w:color w:val="000000" w:themeColor="text1"/>
              </w:rPr>
              <w:t>3.9 Ethical Considerations</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_Toc238739779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26</w:t>
            </w:r>
            <w:r w:rsidRPr="00DF3A4F">
              <w:rPr>
                <w:rFonts w:ascii="Arial" w:hAnsi="Arial" w:cs="Arial"/>
                <w:noProof/>
                <w:webHidden/>
                <w:color w:val="000000" w:themeColor="text1"/>
              </w:rPr>
              <w:fldChar w:fldCharType="end"/>
            </w:r>
          </w:hyperlink>
        </w:p>
        <w:p w14:paraId="387B2939"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780" w:history="1">
            <w:r w:rsidRPr="00DF3A4F">
              <w:rPr>
                <w:rStyle w:val="Hyperlink"/>
                <w:rFonts w:ascii="Arial" w:hAnsi="Arial" w:cs="Arial"/>
                <w:noProof/>
                <w:color w:val="000000" w:themeColor="text1"/>
              </w:rPr>
              <w:t>3.10 Limitations</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_Toc238739780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26</w:t>
            </w:r>
            <w:r w:rsidRPr="00DF3A4F">
              <w:rPr>
                <w:rFonts w:ascii="Arial" w:hAnsi="Arial" w:cs="Arial"/>
                <w:noProof/>
                <w:webHidden/>
                <w:color w:val="000000" w:themeColor="text1"/>
              </w:rPr>
              <w:fldChar w:fldCharType="end"/>
            </w:r>
          </w:hyperlink>
        </w:p>
        <w:p w14:paraId="67E93071"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781" w:history="1">
            <w:r w:rsidRPr="00DF3A4F">
              <w:rPr>
                <w:rStyle w:val="Hyperlink"/>
                <w:rFonts w:ascii="Arial" w:hAnsi="Arial" w:cs="Arial"/>
                <w:noProof/>
                <w:color w:val="000000" w:themeColor="text1"/>
              </w:rPr>
              <w:t>3.11 Chapter Summary</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_Toc238739781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26</w:t>
            </w:r>
            <w:r w:rsidRPr="00DF3A4F">
              <w:rPr>
                <w:rFonts w:ascii="Arial" w:hAnsi="Arial" w:cs="Arial"/>
                <w:noProof/>
                <w:webHidden/>
                <w:color w:val="000000" w:themeColor="text1"/>
              </w:rPr>
              <w:fldChar w:fldCharType="end"/>
            </w:r>
          </w:hyperlink>
        </w:p>
        <w:p w14:paraId="77F45CDA" w14:textId="77777777" w:rsidR="00133CD9" w:rsidRPr="00DF3A4F" w:rsidRDefault="00133CD9" w:rsidP="00133CD9">
          <w:pPr>
            <w:pStyle w:val="TOC1"/>
            <w:tabs>
              <w:tab w:val="right" w:leader="dot" w:pos="9016"/>
            </w:tabs>
            <w:rPr>
              <w:rFonts w:ascii="Arial" w:eastAsiaTheme="minorEastAsia" w:hAnsi="Arial" w:cs="Arial"/>
              <w:noProof/>
              <w:color w:val="000000" w:themeColor="text1"/>
              <w:kern w:val="2"/>
              <w:sz w:val="24"/>
              <w:szCs w:val="24"/>
              <w:lang w:eastAsia="en-AU"/>
            </w:rPr>
          </w:pPr>
          <w:hyperlink w:anchor="_Toc238739782" w:history="1">
            <w:r w:rsidRPr="00DF3A4F">
              <w:rPr>
                <w:rStyle w:val="Hyperlink"/>
                <w:rFonts w:ascii="Arial" w:hAnsi="Arial" w:cs="Arial"/>
                <w:noProof/>
                <w:color w:val="000000" w:themeColor="text1"/>
              </w:rPr>
              <w:t>Chapter 4: Company (Internal) Analysis</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_Toc238739782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27</w:t>
            </w:r>
            <w:r w:rsidRPr="00DF3A4F">
              <w:rPr>
                <w:rFonts w:ascii="Arial" w:hAnsi="Arial" w:cs="Arial"/>
                <w:noProof/>
                <w:webHidden/>
                <w:color w:val="000000" w:themeColor="text1"/>
              </w:rPr>
              <w:fldChar w:fldCharType="end"/>
            </w:r>
          </w:hyperlink>
        </w:p>
        <w:p w14:paraId="749B166C"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783" w:history="1">
            <w:r w:rsidRPr="00DF3A4F">
              <w:rPr>
                <w:rStyle w:val="Hyperlink"/>
                <w:rFonts w:ascii="Arial" w:hAnsi="Arial" w:cs="Arial"/>
                <w:noProof/>
                <w:color w:val="000000" w:themeColor="text1"/>
              </w:rPr>
              <w:t>4.1 Introduction</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_Toc238739783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27</w:t>
            </w:r>
            <w:r w:rsidRPr="00DF3A4F">
              <w:rPr>
                <w:rFonts w:ascii="Arial" w:hAnsi="Arial" w:cs="Arial"/>
                <w:noProof/>
                <w:webHidden/>
                <w:color w:val="000000" w:themeColor="text1"/>
              </w:rPr>
              <w:fldChar w:fldCharType="end"/>
            </w:r>
          </w:hyperlink>
        </w:p>
        <w:p w14:paraId="7CB8178E"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784" w:history="1">
            <w:r w:rsidRPr="00DF3A4F">
              <w:rPr>
                <w:rStyle w:val="Hyperlink"/>
                <w:rFonts w:ascii="Arial" w:hAnsi="Arial" w:cs="Arial"/>
                <w:noProof/>
                <w:color w:val="000000" w:themeColor="text1"/>
              </w:rPr>
              <w:t>4.2 Company Profile</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_Toc238739784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27</w:t>
            </w:r>
            <w:r w:rsidRPr="00DF3A4F">
              <w:rPr>
                <w:rFonts w:ascii="Arial" w:hAnsi="Arial" w:cs="Arial"/>
                <w:noProof/>
                <w:webHidden/>
                <w:color w:val="000000" w:themeColor="text1"/>
              </w:rPr>
              <w:fldChar w:fldCharType="end"/>
            </w:r>
          </w:hyperlink>
        </w:p>
        <w:p w14:paraId="3D6C9933"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785" w:history="1">
            <w:r w:rsidRPr="00DF3A4F">
              <w:rPr>
                <w:rStyle w:val="Hyperlink"/>
                <w:rFonts w:ascii="Arial" w:hAnsi="Arial" w:cs="Arial"/>
                <w:noProof/>
                <w:color w:val="000000" w:themeColor="text1"/>
              </w:rPr>
              <w:t>4.3 Business Model Analysis</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_Toc238739785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28</w:t>
            </w:r>
            <w:r w:rsidRPr="00DF3A4F">
              <w:rPr>
                <w:rFonts w:ascii="Arial" w:hAnsi="Arial" w:cs="Arial"/>
                <w:noProof/>
                <w:webHidden/>
                <w:color w:val="000000" w:themeColor="text1"/>
              </w:rPr>
              <w:fldChar w:fldCharType="end"/>
            </w:r>
          </w:hyperlink>
        </w:p>
        <w:p w14:paraId="0A3E01B0"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786" w:history="1">
            <w:r w:rsidRPr="00DF3A4F">
              <w:rPr>
                <w:rStyle w:val="Hyperlink"/>
                <w:rFonts w:ascii="Arial" w:hAnsi="Arial" w:cs="Arial"/>
                <w:noProof/>
                <w:color w:val="000000" w:themeColor="text1"/>
              </w:rPr>
              <w:t>4.4 Resource-Based View (RBV) Analysis</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_Toc238739786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29</w:t>
            </w:r>
            <w:r w:rsidRPr="00DF3A4F">
              <w:rPr>
                <w:rFonts w:ascii="Arial" w:hAnsi="Arial" w:cs="Arial"/>
                <w:noProof/>
                <w:webHidden/>
                <w:color w:val="000000" w:themeColor="text1"/>
              </w:rPr>
              <w:fldChar w:fldCharType="end"/>
            </w:r>
          </w:hyperlink>
        </w:p>
        <w:p w14:paraId="07D36D58"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787" w:history="1">
            <w:r w:rsidRPr="00DF3A4F">
              <w:rPr>
                <w:rStyle w:val="Hyperlink"/>
                <w:rFonts w:ascii="Arial" w:hAnsi="Arial" w:cs="Arial"/>
                <w:noProof/>
                <w:color w:val="000000" w:themeColor="text1"/>
              </w:rPr>
              <w:t>4.5 VRIO Analysis</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_Toc238739787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30</w:t>
            </w:r>
            <w:r w:rsidRPr="00DF3A4F">
              <w:rPr>
                <w:rFonts w:ascii="Arial" w:hAnsi="Arial" w:cs="Arial"/>
                <w:noProof/>
                <w:webHidden/>
                <w:color w:val="000000" w:themeColor="text1"/>
              </w:rPr>
              <w:fldChar w:fldCharType="end"/>
            </w:r>
          </w:hyperlink>
        </w:p>
        <w:p w14:paraId="5516897B"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788" w:history="1">
            <w:r w:rsidRPr="00DF3A4F">
              <w:rPr>
                <w:rStyle w:val="Hyperlink"/>
                <w:rFonts w:ascii="Arial" w:hAnsi="Arial" w:cs="Arial"/>
                <w:noProof/>
                <w:color w:val="000000" w:themeColor="text1"/>
              </w:rPr>
              <w:t>4.6 SWOT Analysis</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_Toc238739788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31</w:t>
            </w:r>
            <w:r w:rsidRPr="00DF3A4F">
              <w:rPr>
                <w:rFonts w:ascii="Arial" w:hAnsi="Arial" w:cs="Arial"/>
                <w:noProof/>
                <w:webHidden/>
                <w:color w:val="000000" w:themeColor="text1"/>
              </w:rPr>
              <w:fldChar w:fldCharType="end"/>
            </w:r>
          </w:hyperlink>
        </w:p>
        <w:p w14:paraId="5CA51C95"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789" w:history="1">
            <w:r w:rsidRPr="00DF3A4F">
              <w:rPr>
                <w:rStyle w:val="Hyperlink"/>
                <w:rFonts w:ascii="Arial" w:hAnsi="Arial" w:cs="Arial"/>
                <w:noProof/>
                <w:color w:val="000000" w:themeColor="text1"/>
              </w:rPr>
              <w:t>4.7 Internal Capability Assessment</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_Toc238739789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32</w:t>
            </w:r>
            <w:r w:rsidRPr="00DF3A4F">
              <w:rPr>
                <w:rFonts w:ascii="Arial" w:hAnsi="Arial" w:cs="Arial"/>
                <w:noProof/>
                <w:webHidden/>
                <w:color w:val="000000" w:themeColor="text1"/>
              </w:rPr>
              <w:fldChar w:fldCharType="end"/>
            </w:r>
          </w:hyperlink>
        </w:p>
        <w:p w14:paraId="4546655B"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790" w:history="1">
            <w:r w:rsidRPr="00DF3A4F">
              <w:rPr>
                <w:rStyle w:val="Hyperlink"/>
                <w:rFonts w:ascii="Arial" w:hAnsi="Arial" w:cs="Arial"/>
                <w:noProof/>
                <w:color w:val="000000" w:themeColor="text1"/>
              </w:rPr>
              <w:t>4.8 Chapter Summary</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_Toc238739790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32</w:t>
            </w:r>
            <w:r w:rsidRPr="00DF3A4F">
              <w:rPr>
                <w:rFonts w:ascii="Arial" w:hAnsi="Arial" w:cs="Arial"/>
                <w:noProof/>
                <w:webHidden/>
                <w:color w:val="000000" w:themeColor="text1"/>
              </w:rPr>
              <w:fldChar w:fldCharType="end"/>
            </w:r>
          </w:hyperlink>
        </w:p>
        <w:p w14:paraId="38AB3D1C" w14:textId="77777777" w:rsidR="00133CD9" w:rsidRPr="00DF3A4F" w:rsidRDefault="00133CD9" w:rsidP="00133CD9">
          <w:pPr>
            <w:pStyle w:val="TOC1"/>
            <w:tabs>
              <w:tab w:val="right" w:leader="dot" w:pos="9016"/>
            </w:tabs>
            <w:rPr>
              <w:rFonts w:ascii="Arial" w:eastAsiaTheme="minorEastAsia" w:hAnsi="Arial" w:cs="Arial"/>
              <w:noProof/>
              <w:color w:val="000000" w:themeColor="text1"/>
              <w:kern w:val="2"/>
              <w:sz w:val="24"/>
              <w:szCs w:val="24"/>
              <w:lang w:eastAsia="en-AU"/>
            </w:rPr>
          </w:pPr>
          <w:hyperlink w:anchor="_Toc238739791" w:history="1">
            <w:r w:rsidRPr="00DF3A4F">
              <w:rPr>
                <w:rStyle w:val="Hyperlink"/>
                <w:rFonts w:ascii="Arial" w:hAnsi="Arial" w:cs="Arial"/>
                <w:noProof/>
                <w:color w:val="000000" w:themeColor="text1"/>
              </w:rPr>
              <w:t>Chapter 5: External and Market Environment Analysis</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_Toc238739791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34</w:t>
            </w:r>
            <w:r w:rsidRPr="00DF3A4F">
              <w:rPr>
                <w:rFonts w:ascii="Arial" w:hAnsi="Arial" w:cs="Arial"/>
                <w:noProof/>
                <w:webHidden/>
                <w:color w:val="000000" w:themeColor="text1"/>
              </w:rPr>
              <w:fldChar w:fldCharType="end"/>
            </w:r>
          </w:hyperlink>
        </w:p>
        <w:p w14:paraId="1C5427FA"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792" w:history="1">
            <w:r w:rsidRPr="00DF3A4F">
              <w:rPr>
                <w:rStyle w:val="Hyperlink"/>
                <w:rFonts w:ascii="Arial" w:hAnsi="Arial" w:cs="Arial"/>
                <w:noProof/>
                <w:color w:val="000000" w:themeColor="text1"/>
              </w:rPr>
              <w:t>5.1 Introduction</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_Toc238739792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34</w:t>
            </w:r>
            <w:r w:rsidRPr="00DF3A4F">
              <w:rPr>
                <w:rFonts w:ascii="Arial" w:hAnsi="Arial" w:cs="Arial"/>
                <w:noProof/>
                <w:webHidden/>
                <w:color w:val="000000" w:themeColor="text1"/>
              </w:rPr>
              <w:fldChar w:fldCharType="end"/>
            </w:r>
          </w:hyperlink>
        </w:p>
        <w:p w14:paraId="638E5C43"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793" w:history="1">
            <w:r w:rsidRPr="00DF3A4F">
              <w:rPr>
                <w:rStyle w:val="Hyperlink"/>
                <w:rFonts w:ascii="Arial" w:hAnsi="Arial" w:cs="Arial"/>
                <w:noProof/>
                <w:color w:val="000000" w:themeColor="text1"/>
              </w:rPr>
              <w:t>5.2 PESTLE Analysis of Singapore</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_Toc238739793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34</w:t>
            </w:r>
            <w:r w:rsidRPr="00DF3A4F">
              <w:rPr>
                <w:rFonts w:ascii="Arial" w:hAnsi="Arial" w:cs="Arial"/>
                <w:noProof/>
                <w:webHidden/>
                <w:color w:val="000000" w:themeColor="text1"/>
              </w:rPr>
              <w:fldChar w:fldCharType="end"/>
            </w:r>
          </w:hyperlink>
        </w:p>
        <w:p w14:paraId="67766A40"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794" w:history="1">
            <w:r w:rsidRPr="00DF3A4F">
              <w:rPr>
                <w:rStyle w:val="Hyperlink"/>
                <w:rFonts w:ascii="Arial" w:hAnsi="Arial" w:cs="Arial"/>
                <w:noProof/>
                <w:color w:val="000000" w:themeColor="text1"/>
              </w:rPr>
              <w:t>5.3 CAGE Distance Framework Analysis</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_Toc238739794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35</w:t>
            </w:r>
            <w:r w:rsidRPr="00DF3A4F">
              <w:rPr>
                <w:rFonts w:ascii="Arial" w:hAnsi="Arial" w:cs="Arial"/>
                <w:noProof/>
                <w:webHidden/>
                <w:color w:val="000000" w:themeColor="text1"/>
              </w:rPr>
              <w:fldChar w:fldCharType="end"/>
            </w:r>
          </w:hyperlink>
        </w:p>
        <w:p w14:paraId="44D71961"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795" w:history="1">
            <w:r w:rsidRPr="00DF3A4F">
              <w:rPr>
                <w:rStyle w:val="Hyperlink"/>
                <w:rFonts w:ascii="Arial" w:hAnsi="Arial" w:cs="Arial"/>
                <w:noProof/>
                <w:color w:val="000000" w:themeColor="text1"/>
              </w:rPr>
              <w:t>5.4 Porter's Five Forces Analysis</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_Toc238739795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36</w:t>
            </w:r>
            <w:r w:rsidRPr="00DF3A4F">
              <w:rPr>
                <w:rFonts w:ascii="Arial" w:hAnsi="Arial" w:cs="Arial"/>
                <w:noProof/>
                <w:webHidden/>
                <w:color w:val="000000" w:themeColor="text1"/>
              </w:rPr>
              <w:fldChar w:fldCharType="end"/>
            </w:r>
          </w:hyperlink>
        </w:p>
        <w:p w14:paraId="0AF568F2"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796" w:history="1">
            <w:r w:rsidRPr="00DF3A4F">
              <w:rPr>
                <w:rStyle w:val="Hyperlink"/>
                <w:rFonts w:ascii="Arial" w:hAnsi="Arial" w:cs="Arial"/>
                <w:noProof/>
                <w:color w:val="000000" w:themeColor="text1"/>
              </w:rPr>
              <w:t>5.5 Competitor Analysis</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_Toc238739796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37</w:t>
            </w:r>
            <w:r w:rsidRPr="00DF3A4F">
              <w:rPr>
                <w:rFonts w:ascii="Arial" w:hAnsi="Arial" w:cs="Arial"/>
                <w:noProof/>
                <w:webHidden/>
                <w:color w:val="000000" w:themeColor="text1"/>
              </w:rPr>
              <w:fldChar w:fldCharType="end"/>
            </w:r>
          </w:hyperlink>
        </w:p>
        <w:p w14:paraId="03C7C311"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797" w:history="1">
            <w:r w:rsidRPr="00DF3A4F">
              <w:rPr>
                <w:rStyle w:val="Hyperlink"/>
                <w:rFonts w:ascii="Arial" w:hAnsi="Arial" w:cs="Arial"/>
                <w:noProof/>
                <w:color w:val="000000" w:themeColor="text1"/>
              </w:rPr>
              <w:t>5.6 Comparative Market Analysis</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_Toc238739797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38</w:t>
            </w:r>
            <w:r w:rsidRPr="00DF3A4F">
              <w:rPr>
                <w:rFonts w:ascii="Arial" w:hAnsi="Arial" w:cs="Arial"/>
                <w:noProof/>
                <w:webHidden/>
                <w:color w:val="000000" w:themeColor="text1"/>
              </w:rPr>
              <w:fldChar w:fldCharType="end"/>
            </w:r>
          </w:hyperlink>
        </w:p>
        <w:p w14:paraId="21930AAA"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798" w:history="1">
            <w:r w:rsidRPr="00DF3A4F">
              <w:rPr>
                <w:rStyle w:val="Hyperlink"/>
                <w:rFonts w:ascii="Arial" w:hAnsi="Arial" w:cs="Arial"/>
                <w:noProof/>
                <w:color w:val="000000" w:themeColor="text1"/>
              </w:rPr>
              <w:t>5.7 Strategic Fit Assessment</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_Toc238739798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39</w:t>
            </w:r>
            <w:r w:rsidRPr="00DF3A4F">
              <w:rPr>
                <w:rFonts w:ascii="Arial" w:hAnsi="Arial" w:cs="Arial"/>
                <w:noProof/>
                <w:webHidden/>
                <w:color w:val="000000" w:themeColor="text1"/>
              </w:rPr>
              <w:fldChar w:fldCharType="end"/>
            </w:r>
          </w:hyperlink>
        </w:p>
        <w:p w14:paraId="210CEB09"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799" w:history="1">
            <w:r w:rsidRPr="00DF3A4F">
              <w:rPr>
                <w:rStyle w:val="Hyperlink"/>
                <w:rFonts w:ascii="Arial" w:hAnsi="Arial" w:cs="Arial"/>
                <w:noProof/>
                <w:color w:val="000000" w:themeColor="text1"/>
              </w:rPr>
              <w:t>5.8 Chapter Summary</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_Toc238739799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39</w:t>
            </w:r>
            <w:r w:rsidRPr="00DF3A4F">
              <w:rPr>
                <w:rFonts w:ascii="Arial" w:hAnsi="Arial" w:cs="Arial"/>
                <w:noProof/>
                <w:webHidden/>
                <w:color w:val="000000" w:themeColor="text1"/>
              </w:rPr>
              <w:fldChar w:fldCharType="end"/>
            </w:r>
          </w:hyperlink>
        </w:p>
        <w:p w14:paraId="07A1727E" w14:textId="77777777" w:rsidR="00133CD9" w:rsidRPr="00DF3A4F" w:rsidRDefault="00133CD9" w:rsidP="00133CD9">
          <w:pPr>
            <w:pStyle w:val="TOC1"/>
            <w:tabs>
              <w:tab w:val="right" w:leader="dot" w:pos="9016"/>
            </w:tabs>
            <w:rPr>
              <w:rFonts w:ascii="Arial" w:eastAsiaTheme="minorEastAsia" w:hAnsi="Arial" w:cs="Arial"/>
              <w:noProof/>
              <w:color w:val="000000" w:themeColor="text1"/>
              <w:kern w:val="2"/>
              <w:sz w:val="24"/>
              <w:szCs w:val="24"/>
              <w:lang w:eastAsia="en-AU"/>
            </w:rPr>
          </w:pPr>
          <w:hyperlink w:anchor="_Toc238739800" w:history="1">
            <w:r w:rsidRPr="00DF3A4F">
              <w:rPr>
                <w:rStyle w:val="Hyperlink"/>
                <w:rFonts w:ascii="Arial" w:hAnsi="Arial" w:cs="Arial"/>
                <w:noProof/>
                <w:color w:val="000000" w:themeColor="text1"/>
              </w:rPr>
              <w:t>Chapter 6: Business Development Idea and Strategic Options</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_Toc238739800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41</w:t>
            </w:r>
            <w:r w:rsidRPr="00DF3A4F">
              <w:rPr>
                <w:rFonts w:ascii="Arial" w:hAnsi="Arial" w:cs="Arial"/>
                <w:noProof/>
                <w:webHidden/>
                <w:color w:val="000000" w:themeColor="text1"/>
              </w:rPr>
              <w:fldChar w:fldCharType="end"/>
            </w:r>
          </w:hyperlink>
        </w:p>
        <w:p w14:paraId="57B2046B"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801" w:history="1">
            <w:r w:rsidRPr="00DF3A4F">
              <w:rPr>
                <w:rStyle w:val="Hyperlink"/>
                <w:rFonts w:ascii="Arial" w:hAnsi="Arial" w:cs="Arial"/>
                <w:noProof/>
                <w:color w:val="000000" w:themeColor="text1"/>
              </w:rPr>
              <w:t>6.1 Introduction</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_Toc238739801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41</w:t>
            </w:r>
            <w:r w:rsidRPr="00DF3A4F">
              <w:rPr>
                <w:rFonts w:ascii="Arial" w:hAnsi="Arial" w:cs="Arial"/>
                <w:noProof/>
                <w:webHidden/>
                <w:color w:val="000000" w:themeColor="text1"/>
              </w:rPr>
              <w:fldChar w:fldCharType="end"/>
            </w:r>
          </w:hyperlink>
        </w:p>
        <w:p w14:paraId="636062FF"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802" w:history="1">
            <w:r w:rsidRPr="00DF3A4F">
              <w:rPr>
                <w:rStyle w:val="Hyperlink"/>
                <w:rFonts w:ascii="Arial" w:hAnsi="Arial" w:cs="Arial"/>
                <w:noProof/>
                <w:color w:val="000000" w:themeColor="text1"/>
              </w:rPr>
              <w:t>6.2 Business Development Idea</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_Toc238739802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41</w:t>
            </w:r>
            <w:r w:rsidRPr="00DF3A4F">
              <w:rPr>
                <w:rFonts w:ascii="Arial" w:hAnsi="Arial" w:cs="Arial"/>
                <w:noProof/>
                <w:webHidden/>
                <w:color w:val="000000" w:themeColor="text1"/>
              </w:rPr>
              <w:fldChar w:fldCharType="end"/>
            </w:r>
          </w:hyperlink>
        </w:p>
        <w:p w14:paraId="03C2C095"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803" w:history="1">
            <w:r w:rsidRPr="00DF3A4F">
              <w:rPr>
                <w:rStyle w:val="Hyperlink"/>
                <w:rFonts w:ascii="Arial" w:hAnsi="Arial" w:cs="Arial"/>
                <w:noProof/>
                <w:color w:val="000000" w:themeColor="text1"/>
              </w:rPr>
              <w:t>6.3 Strategic Objectives of the Expansion</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_Toc238739803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42</w:t>
            </w:r>
            <w:r w:rsidRPr="00DF3A4F">
              <w:rPr>
                <w:rFonts w:ascii="Arial" w:hAnsi="Arial" w:cs="Arial"/>
                <w:noProof/>
                <w:webHidden/>
                <w:color w:val="000000" w:themeColor="text1"/>
              </w:rPr>
              <w:fldChar w:fldCharType="end"/>
            </w:r>
          </w:hyperlink>
        </w:p>
        <w:p w14:paraId="6162D5D7"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804" w:history="1">
            <w:r w:rsidRPr="00DF3A4F">
              <w:rPr>
                <w:rStyle w:val="Hyperlink"/>
                <w:rFonts w:ascii="Arial" w:hAnsi="Arial" w:cs="Arial"/>
                <w:noProof/>
                <w:color w:val="000000" w:themeColor="text1"/>
              </w:rPr>
              <w:t>6.4 Business Model Canvas</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_Toc238739804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42</w:t>
            </w:r>
            <w:r w:rsidRPr="00DF3A4F">
              <w:rPr>
                <w:rFonts w:ascii="Arial" w:hAnsi="Arial" w:cs="Arial"/>
                <w:noProof/>
                <w:webHidden/>
                <w:color w:val="000000" w:themeColor="text1"/>
              </w:rPr>
              <w:fldChar w:fldCharType="end"/>
            </w:r>
          </w:hyperlink>
        </w:p>
        <w:p w14:paraId="27B27E69"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805" w:history="1">
            <w:r w:rsidRPr="00DF3A4F">
              <w:rPr>
                <w:rStyle w:val="Hyperlink"/>
                <w:rFonts w:ascii="Arial" w:hAnsi="Arial" w:cs="Arial"/>
                <w:noProof/>
                <w:color w:val="000000" w:themeColor="text1"/>
              </w:rPr>
              <w:t>6.5 Evaluation of Strategic Options</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_Toc238739805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43</w:t>
            </w:r>
            <w:r w:rsidRPr="00DF3A4F">
              <w:rPr>
                <w:rFonts w:ascii="Arial" w:hAnsi="Arial" w:cs="Arial"/>
                <w:noProof/>
                <w:webHidden/>
                <w:color w:val="000000" w:themeColor="text1"/>
              </w:rPr>
              <w:fldChar w:fldCharType="end"/>
            </w:r>
          </w:hyperlink>
        </w:p>
        <w:p w14:paraId="05A84BCE"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806" w:history="1">
            <w:r w:rsidRPr="00DF3A4F">
              <w:rPr>
                <w:rStyle w:val="Hyperlink"/>
                <w:rFonts w:ascii="Arial" w:hAnsi="Arial" w:cs="Arial"/>
                <w:noProof/>
                <w:color w:val="000000" w:themeColor="text1"/>
              </w:rPr>
              <w:t>6.6 Entry Mode Evaluation</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_Toc238739806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46</w:t>
            </w:r>
            <w:r w:rsidRPr="00DF3A4F">
              <w:rPr>
                <w:rFonts w:ascii="Arial" w:hAnsi="Arial" w:cs="Arial"/>
                <w:noProof/>
                <w:webHidden/>
                <w:color w:val="000000" w:themeColor="text1"/>
              </w:rPr>
              <w:fldChar w:fldCharType="end"/>
            </w:r>
          </w:hyperlink>
        </w:p>
        <w:p w14:paraId="2470C028"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807" w:history="1">
            <w:r w:rsidRPr="00DF3A4F">
              <w:rPr>
                <w:rStyle w:val="Hyperlink"/>
                <w:rFonts w:ascii="Arial" w:hAnsi="Arial" w:cs="Arial"/>
                <w:noProof/>
                <w:color w:val="000000" w:themeColor="text1"/>
              </w:rPr>
              <w:t>6.7 Justification for Strategic Alliance</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_Toc238739807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46</w:t>
            </w:r>
            <w:r w:rsidRPr="00DF3A4F">
              <w:rPr>
                <w:rFonts w:ascii="Arial" w:hAnsi="Arial" w:cs="Arial"/>
                <w:noProof/>
                <w:webHidden/>
                <w:color w:val="000000" w:themeColor="text1"/>
              </w:rPr>
              <w:fldChar w:fldCharType="end"/>
            </w:r>
          </w:hyperlink>
        </w:p>
        <w:p w14:paraId="1488795A"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808" w:history="1">
            <w:r w:rsidRPr="00DF3A4F">
              <w:rPr>
                <w:rStyle w:val="Hyperlink"/>
                <w:rFonts w:ascii="Arial" w:hAnsi="Arial" w:cs="Arial"/>
                <w:noProof/>
                <w:color w:val="000000" w:themeColor="text1"/>
              </w:rPr>
              <w:t>6.8 Stakeholder Analysis</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_Toc238739808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47</w:t>
            </w:r>
            <w:r w:rsidRPr="00DF3A4F">
              <w:rPr>
                <w:rFonts w:ascii="Arial" w:hAnsi="Arial" w:cs="Arial"/>
                <w:noProof/>
                <w:webHidden/>
                <w:color w:val="000000" w:themeColor="text1"/>
              </w:rPr>
              <w:fldChar w:fldCharType="end"/>
            </w:r>
          </w:hyperlink>
        </w:p>
        <w:p w14:paraId="52A43BB9"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809" w:history="1">
            <w:r w:rsidRPr="00DF3A4F">
              <w:rPr>
                <w:rStyle w:val="Hyperlink"/>
                <w:rFonts w:ascii="Arial" w:hAnsi="Arial" w:cs="Arial"/>
                <w:noProof/>
                <w:color w:val="000000" w:themeColor="text1"/>
              </w:rPr>
              <w:t>6.9 Strategic Recommendation</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_Toc238739809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48</w:t>
            </w:r>
            <w:r w:rsidRPr="00DF3A4F">
              <w:rPr>
                <w:rFonts w:ascii="Arial" w:hAnsi="Arial" w:cs="Arial"/>
                <w:noProof/>
                <w:webHidden/>
                <w:color w:val="000000" w:themeColor="text1"/>
              </w:rPr>
              <w:fldChar w:fldCharType="end"/>
            </w:r>
          </w:hyperlink>
        </w:p>
        <w:p w14:paraId="019413BC"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810" w:history="1">
            <w:r w:rsidRPr="00DF3A4F">
              <w:rPr>
                <w:rStyle w:val="Hyperlink"/>
                <w:rFonts w:ascii="Arial" w:hAnsi="Arial" w:cs="Arial"/>
                <w:noProof/>
                <w:color w:val="000000" w:themeColor="text1"/>
              </w:rPr>
              <w:t>6.10 Chapter Summary</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_Toc238739810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48</w:t>
            </w:r>
            <w:r w:rsidRPr="00DF3A4F">
              <w:rPr>
                <w:rFonts w:ascii="Arial" w:hAnsi="Arial" w:cs="Arial"/>
                <w:noProof/>
                <w:webHidden/>
                <w:color w:val="000000" w:themeColor="text1"/>
              </w:rPr>
              <w:fldChar w:fldCharType="end"/>
            </w:r>
          </w:hyperlink>
        </w:p>
        <w:p w14:paraId="28C5B983" w14:textId="77777777" w:rsidR="00133CD9" w:rsidRPr="00DF3A4F" w:rsidRDefault="00133CD9" w:rsidP="00133CD9">
          <w:pPr>
            <w:pStyle w:val="TOC1"/>
            <w:tabs>
              <w:tab w:val="right" w:leader="dot" w:pos="9016"/>
            </w:tabs>
            <w:rPr>
              <w:rFonts w:ascii="Arial" w:eastAsiaTheme="minorEastAsia" w:hAnsi="Arial" w:cs="Arial"/>
              <w:noProof/>
              <w:color w:val="000000" w:themeColor="text1"/>
              <w:kern w:val="2"/>
              <w:sz w:val="24"/>
              <w:szCs w:val="24"/>
              <w:lang w:eastAsia="en-AU"/>
            </w:rPr>
          </w:pPr>
          <w:hyperlink w:anchor="_Toc238739811" w:history="1">
            <w:r w:rsidRPr="00DF3A4F">
              <w:rPr>
                <w:rStyle w:val="Hyperlink"/>
                <w:rFonts w:ascii="Arial" w:hAnsi="Arial" w:cs="Arial"/>
                <w:noProof/>
                <w:color w:val="000000" w:themeColor="text1"/>
              </w:rPr>
              <w:t>Chapter 7: Financial Feasibility Analysis</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_Toc238739811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49</w:t>
            </w:r>
            <w:r w:rsidRPr="00DF3A4F">
              <w:rPr>
                <w:rFonts w:ascii="Arial" w:hAnsi="Arial" w:cs="Arial"/>
                <w:noProof/>
                <w:webHidden/>
                <w:color w:val="000000" w:themeColor="text1"/>
              </w:rPr>
              <w:fldChar w:fldCharType="end"/>
            </w:r>
          </w:hyperlink>
        </w:p>
        <w:p w14:paraId="446AA27E" w14:textId="77777777" w:rsidR="00133CD9" w:rsidRPr="00DF3A4F" w:rsidRDefault="00133CD9" w:rsidP="00133CD9">
          <w:pPr>
            <w:pStyle w:val="TOC1"/>
            <w:tabs>
              <w:tab w:val="right" w:leader="dot" w:pos="9016"/>
            </w:tabs>
            <w:rPr>
              <w:rFonts w:ascii="Arial" w:eastAsiaTheme="minorEastAsia" w:hAnsi="Arial" w:cs="Arial"/>
              <w:noProof/>
              <w:color w:val="000000" w:themeColor="text1"/>
              <w:kern w:val="2"/>
              <w:sz w:val="24"/>
              <w:szCs w:val="24"/>
              <w:lang w:eastAsia="en-AU"/>
            </w:rPr>
          </w:pPr>
          <w:hyperlink w:anchor="_Toc238739812" w:history="1">
            <w:r w:rsidRPr="00DF3A4F">
              <w:rPr>
                <w:rStyle w:val="Hyperlink"/>
                <w:rFonts w:ascii="Arial" w:hAnsi="Arial" w:cs="Arial"/>
                <w:noProof/>
                <w:color w:val="000000" w:themeColor="text1"/>
              </w:rPr>
              <w:t>Chapter 8: Risk Assessment</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_Toc238739812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57</w:t>
            </w:r>
            <w:r w:rsidRPr="00DF3A4F">
              <w:rPr>
                <w:rFonts w:ascii="Arial" w:hAnsi="Arial" w:cs="Arial"/>
                <w:noProof/>
                <w:webHidden/>
                <w:color w:val="000000" w:themeColor="text1"/>
              </w:rPr>
              <w:fldChar w:fldCharType="end"/>
            </w:r>
          </w:hyperlink>
        </w:p>
        <w:p w14:paraId="49E8A130" w14:textId="77777777" w:rsidR="00133CD9" w:rsidRPr="00DF3A4F" w:rsidRDefault="00133CD9" w:rsidP="00133CD9">
          <w:pPr>
            <w:pStyle w:val="TOC1"/>
            <w:tabs>
              <w:tab w:val="right" w:leader="dot" w:pos="9016"/>
            </w:tabs>
            <w:rPr>
              <w:rFonts w:ascii="Arial" w:eastAsiaTheme="minorEastAsia" w:hAnsi="Arial" w:cs="Arial"/>
              <w:noProof/>
              <w:color w:val="000000" w:themeColor="text1"/>
              <w:kern w:val="2"/>
              <w:sz w:val="24"/>
              <w:szCs w:val="24"/>
              <w:lang w:eastAsia="en-AU"/>
            </w:rPr>
          </w:pPr>
          <w:hyperlink w:anchor="_Toc238739813" w:history="1">
            <w:r w:rsidRPr="00DF3A4F">
              <w:rPr>
                <w:rStyle w:val="Hyperlink"/>
                <w:rFonts w:ascii="Arial" w:hAnsi="Arial" w:cs="Arial"/>
                <w:noProof/>
                <w:color w:val="000000" w:themeColor="text1"/>
              </w:rPr>
              <w:t>Chapter 9: Implementation Plan</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_Toc238739813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63</w:t>
            </w:r>
            <w:r w:rsidRPr="00DF3A4F">
              <w:rPr>
                <w:rFonts w:ascii="Arial" w:hAnsi="Arial" w:cs="Arial"/>
                <w:noProof/>
                <w:webHidden/>
                <w:color w:val="000000" w:themeColor="text1"/>
              </w:rPr>
              <w:fldChar w:fldCharType="end"/>
            </w:r>
          </w:hyperlink>
        </w:p>
        <w:p w14:paraId="7C7C95AF"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814" w:history="1">
            <w:r w:rsidRPr="00DF3A4F">
              <w:rPr>
                <w:rStyle w:val="Hyperlink"/>
                <w:rFonts w:ascii="Arial" w:hAnsi="Arial" w:cs="Arial"/>
                <w:noProof/>
                <w:color w:val="000000" w:themeColor="text1"/>
              </w:rPr>
              <w:t>9.1 Introduction</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_Toc238739814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63</w:t>
            </w:r>
            <w:r w:rsidRPr="00DF3A4F">
              <w:rPr>
                <w:rFonts w:ascii="Arial" w:hAnsi="Arial" w:cs="Arial"/>
                <w:noProof/>
                <w:webHidden/>
                <w:color w:val="000000" w:themeColor="text1"/>
              </w:rPr>
              <w:fldChar w:fldCharType="end"/>
            </w:r>
          </w:hyperlink>
        </w:p>
        <w:p w14:paraId="52876651"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815" w:history="1">
            <w:r w:rsidRPr="00DF3A4F">
              <w:rPr>
                <w:rStyle w:val="Hyperlink"/>
                <w:rFonts w:ascii="Arial" w:hAnsi="Arial" w:cs="Arial"/>
                <w:noProof/>
                <w:color w:val="000000" w:themeColor="text1"/>
              </w:rPr>
              <w:t>9.2 Phase One: Regulatory Approval and Partner Selection</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_Toc238739815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63</w:t>
            </w:r>
            <w:r w:rsidRPr="00DF3A4F">
              <w:rPr>
                <w:rFonts w:ascii="Arial" w:hAnsi="Arial" w:cs="Arial"/>
                <w:noProof/>
                <w:webHidden/>
                <w:color w:val="000000" w:themeColor="text1"/>
              </w:rPr>
              <w:fldChar w:fldCharType="end"/>
            </w:r>
          </w:hyperlink>
        </w:p>
        <w:p w14:paraId="2F6D0220"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816" w:history="1">
            <w:r w:rsidRPr="00DF3A4F">
              <w:rPr>
                <w:rStyle w:val="Hyperlink"/>
                <w:rFonts w:ascii="Arial" w:hAnsi="Arial" w:cs="Arial"/>
                <w:noProof/>
                <w:color w:val="000000" w:themeColor="text1"/>
              </w:rPr>
              <w:t>9.3 Phase Two: Technology Integration and Testing</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_Toc238739816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63</w:t>
            </w:r>
            <w:r w:rsidRPr="00DF3A4F">
              <w:rPr>
                <w:rFonts w:ascii="Arial" w:hAnsi="Arial" w:cs="Arial"/>
                <w:noProof/>
                <w:webHidden/>
                <w:color w:val="000000" w:themeColor="text1"/>
              </w:rPr>
              <w:fldChar w:fldCharType="end"/>
            </w:r>
          </w:hyperlink>
        </w:p>
        <w:p w14:paraId="03F75128"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817" w:history="1">
            <w:r w:rsidRPr="00DF3A4F">
              <w:rPr>
                <w:rStyle w:val="Hyperlink"/>
                <w:rFonts w:ascii="Arial" w:hAnsi="Arial" w:cs="Arial"/>
                <w:noProof/>
                <w:color w:val="000000" w:themeColor="text1"/>
              </w:rPr>
              <w:t>9.4 Phase Three: Pilot Launch and Market Entry</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_Toc238739817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63</w:t>
            </w:r>
            <w:r w:rsidRPr="00DF3A4F">
              <w:rPr>
                <w:rFonts w:ascii="Arial" w:hAnsi="Arial" w:cs="Arial"/>
                <w:noProof/>
                <w:webHidden/>
                <w:color w:val="000000" w:themeColor="text1"/>
              </w:rPr>
              <w:fldChar w:fldCharType="end"/>
            </w:r>
          </w:hyperlink>
        </w:p>
        <w:p w14:paraId="41F1229B"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818" w:history="1">
            <w:r w:rsidRPr="00DF3A4F">
              <w:rPr>
                <w:rStyle w:val="Hyperlink"/>
                <w:rFonts w:ascii="Arial" w:hAnsi="Arial" w:cs="Arial"/>
                <w:noProof/>
                <w:color w:val="000000" w:themeColor="text1"/>
              </w:rPr>
              <w:t>9.5 Phase Four: Full Commercial Expansion</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_Toc238739818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64</w:t>
            </w:r>
            <w:r w:rsidRPr="00DF3A4F">
              <w:rPr>
                <w:rFonts w:ascii="Arial" w:hAnsi="Arial" w:cs="Arial"/>
                <w:noProof/>
                <w:webHidden/>
                <w:color w:val="000000" w:themeColor="text1"/>
              </w:rPr>
              <w:fldChar w:fldCharType="end"/>
            </w:r>
          </w:hyperlink>
        </w:p>
        <w:p w14:paraId="5AC95B30"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819" w:history="1">
            <w:r w:rsidRPr="00DF3A4F">
              <w:rPr>
                <w:rStyle w:val="Hyperlink"/>
                <w:rFonts w:ascii="Arial" w:hAnsi="Arial" w:cs="Arial"/>
                <w:noProof/>
                <w:color w:val="000000" w:themeColor="text1"/>
              </w:rPr>
              <w:t>9.6 Resource Requirements</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_Toc238739819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64</w:t>
            </w:r>
            <w:r w:rsidRPr="00DF3A4F">
              <w:rPr>
                <w:rFonts w:ascii="Arial" w:hAnsi="Arial" w:cs="Arial"/>
                <w:noProof/>
                <w:webHidden/>
                <w:color w:val="000000" w:themeColor="text1"/>
              </w:rPr>
              <w:fldChar w:fldCharType="end"/>
            </w:r>
          </w:hyperlink>
        </w:p>
        <w:p w14:paraId="79BC3A31"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820" w:history="1">
            <w:r w:rsidRPr="00DF3A4F">
              <w:rPr>
                <w:rStyle w:val="Hyperlink"/>
                <w:rFonts w:ascii="Arial" w:hAnsi="Arial" w:cs="Arial"/>
                <w:noProof/>
                <w:color w:val="000000" w:themeColor="text1"/>
              </w:rPr>
              <w:t>9.7 Key Performance Indicators</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_Toc238739820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64</w:t>
            </w:r>
            <w:r w:rsidRPr="00DF3A4F">
              <w:rPr>
                <w:rFonts w:ascii="Arial" w:hAnsi="Arial" w:cs="Arial"/>
                <w:noProof/>
                <w:webHidden/>
                <w:color w:val="000000" w:themeColor="text1"/>
              </w:rPr>
              <w:fldChar w:fldCharType="end"/>
            </w:r>
          </w:hyperlink>
        </w:p>
        <w:p w14:paraId="4511705F"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821" w:history="1">
            <w:r w:rsidRPr="00DF3A4F">
              <w:rPr>
                <w:rStyle w:val="Hyperlink"/>
                <w:rFonts w:ascii="Arial" w:hAnsi="Arial" w:cs="Arial"/>
                <w:noProof/>
                <w:color w:val="000000" w:themeColor="text1"/>
              </w:rPr>
              <w:t>9.8 Responsibility Matrix</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_Toc238739821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64</w:t>
            </w:r>
            <w:r w:rsidRPr="00DF3A4F">
              <w:rPr>
                <w:rFonts w:ascii="Arial" w:hAnsi="Arial" w:cs="Arial"/>
                <w:noProof/>
                <w:webHidden/>
                <w:color w:val="000000" w:themeColor="text1"/>
              </w:rPr>
              <w:fldChar w:fldCharType="end"/>
            </w:r>
          </w:hyperlink>
        </w:p>
        <w:p w14:paraId="4910CF0B"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822" w:history="1">
            <w:r w:rsidRPr="00DF3A4F">
              <w:rPr>
                <w:rStyle w:val="Hyperlink"/>
                <w:rFonts w:ascii="Arial" w:hAnsi="Arial" w:cs="Arial"/>
                <w:noProof/>
                <w:color w:val="000000" w:themeColor="text1"/>
              </w:rPr>
              <w:t>9.9 Implementation Timeline</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_Toc238739822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66</w:t>
            </w:r>
            <w:r w:rsidRPr="00DF3A4F">
              <w:rPr>
                <w:rFonts w:ascii="Arial" w:hAnsi="Arial" w:cs="Arial"/>
                <w:noProof/>
                <w:webHidden/>
                <w:color w:val="000000" w:themeColor="text1"/>
              </w:rPr>
              <w:fldChar w:fldCharType="end"/>
            </w:r>
          </w:hyperlink>
        </w:p>
        <w:p w14:paraId="24E3AD5E"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823" w:history="1">
            <w:r w:rsidRPr="00DF3A4F">
              <w:rPr>
                <w:rStyle w:val="Hyperlink"/>
                <w:rFonts w:ascii="Arial" w:hAnsi="Arial" w:cs="Arial"/>
                <w:noProof/>
                <w:color w:val="000000" w:themeColor="text1"/>
              </w:rPr>
              <w:t>9.10 Chapter Summary</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_Toc238739823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66</w:t>
            </w:r>
            <w:r w:rsidRPr="00DF3A4F">
              <w:rPr>
                <w:rFonts w:ascii="Arial" w:hAnsi="Arial" w:cs="Arial"/>
                <w:noProof/>
                <w:webHidden/>
                <w:color w:val="000000" w:themeColor="text1"/>
              </w:rPr>
              <w:fldChar w:fldCharType="end"/>
            </w:r>
          </w:hyperlink>
        </w:p>
        <w:p w14:paraId="4D7EB6DB" w14:textId="77777777" w:rsidR="00133CD9" w:rsidRPr="00DF3A4F" w:rsidRDefault="00133CD9" w:rsidP="00133CD9">
          <w:pPr>
            <w:pStyle w:val="TOC1"/>
            <w:tabs>
              <w:tab w:val="right" w:leader="dot" w:pos="9016"/>
            </w:tabs>
            <w:rPr>
              <w:rFonts w:ascii="Arial" w:eastAsiaTheme="minorEastAsia" w:hAnsi="Arial" w:cs="Arial"/>
              <w:noProof/>
              <w:color w:val="000000" w:themeColor="text1"/>
              <w:kern w:val="2"/>
              <w:sz w:val="24"/>
              <w:szCs w:val="24"/>
              <w:lang w:eastAsia="en-AU"/>
            </w:rPr>
          </w:pPr>
          <w:hyperlink w:anchor="_Toc238739824" w:history="1">
            <w:r w:rsidRPr="00DF3A4F">
              <w:rPr>
                <w:rStyle w:val="Hyperlink"/>
                <w:rFonts w:ascii="Arial" w:hAnsi="Arial" w:cs="Arial"/>
                <w:noProof/>
                <w:color w:val="000000" w:themeColor="text1"/>
              </w:rPr>
              <w:t>Chapter 10: Conclusion and Recommendation</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_Toc238739824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67</w:t>
            </w:r>
            <w:r w:rsidRPr="00DF3A4F">
              <w:rPr>
                <w:rFonts w:ascii="Arial" w:hAnsi="Arial" w:cs="Arial"/>
                <w:noProof/>
                <w:webHidden/>
                <w:color w:val="000000" w:themeColor="text1"/>
              </w:rPr>
              <w:fldChar w:fldCharType="end"/>
            </w:r>
          </w:hyperlink>
        </w:p>
        <w:p w14:paraId="1139C2E2"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825" w:history="1">
            <w:r w:rsidRPr="00DF3A4F">
              <w:rPr>
                <w:rStyle w:val="Hyperlink"/>
                <w:rFonts w:ascii="Arial" w:hAnsi="Arial" w:cs="Arial"/>
                <w:noProof/>
                <w:color w:val="000000" w:themeColor="text1"/>
              </w:rPr>
              <w:t>10.1 Conclusion</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_Toc238739825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67</w:t>
            </w:r>
            <w:r w:rsidRPr="00DF3A4F">
              <w:rPr>
                <w:rFonts w:ascii="Arial" w:hAnsi="Arial" w:cs="Arial"/>
                <w:noProof/>
                <w:webHidden/>
                <w:color w:val="000000" w:themeColor="text1"/>
              </w:rPr>
              <w:fldChar w:fldCharType="end"/>
            </w:r>
          </w:hyperlink>
        </w:p>
        <w:p w14:paraId="6FF60AFA"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826" w:history="1">
            <w:r w:rsidRPr="00DF3A4F">
              <w:rPr>
                <w:rStyle w:val="Hyperlink"/>
                <w:rFonts w:ascii="Arial" w:hAnsi="Arial" w:cs="Arial"/>
                <w:noProof/>
                <w:color w:val="000000" w:themeColor="text1"/>
              </w:rPr>
              <w:t>10.2 Recommendations</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_Toc238739826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68</w:t>
            </w:r>
            <w:r w:rsidRPr="00DF3A4F">
              <w:rPr>
                <w:rFonts w:ascii="Arial" w:hAnsi="Arial" w:cs="Arial"/>
                <w:noProof/>
                <w:webHidden/>
                <w:color w:val="000000" w:themeColor="text1"/>
              </w:rPr>
              <w:fldChar w:fldCharType="end"/>
            </w:r>
          </w:hyperlink>
        </w:p>
        <w:p w14:paraId="4D0FFF79" w14:textId="77777777" w:rsidR="00133CD9" w:rsidRPr="00DF3A4F" w:rsidRDefault="00133CD9" w:rsidP="00133CD9">
          <w:pPr>
            <w:pStyle w:val="TOC2"/>
            <w:tabs>
              <w:tab w:val="right" w:leader="dot" w:pos="9016"/>
            </w:tabs>
            <w:rPr>
              <w:rFonts w:ascii="Arial" w:eastAsiaTheme="minorEastAsia" w:hAnsi="Arial" w:cs="Arial"/>
              <w:noProof/>
              <w:color w:val="000000" w:themeColor="text1"/>
              <w:kern w:val="2"/>
              <w:sz w:val="24"/>
              <w:szCs w:val="24"/>
              <w:lang w:eastAsia="en-AU"/>
            </w:rPr>
          </w:pPr>
          <w:hyperlink w:anchor="_Toc238739827" w:history="1">
            <w:r w:rsidRPr="00DF3A4F">
              <w:rPr>
                <w:rStyle w:val="Hyperlink"/>
                <w:rFonts w:ascii="Arial" w:hAnsi="Arial" w:cs="Arial"/>
                <w:noProof/>
                <w:color w:val="000000" w:themeColor="text1"/>
              </w:rPr>
              <w:t>10.3 Final Recommendation</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_Toc238739827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69</w:t>
            </w:r>
            <w:r w:rsidRPr="00DF3A4F">
              <w:rPr>
                <w:rFonts w:ascii="Arial" w:hAnsi="Arial" w:cs="Arial"/>
                <w:noProof/>
                <w:webHidden/>
                <w:color w:val="000000" w:themeColor="text1"/>
              </w:rPr>
              <w:fldChar w:fldCharType="end"/>
            </w:r>
          </w:hyperlink>
        </w:p>
        <w:p w14:paraId="79C89919" w14:textId="77777777" w:rsidR="00133CD9" w:rsidRPr="00DF3A4F" w:rsidRDefault="00133CD9" w:rsidP="00133CD9">
          <w:pPr>
            <w:pStyle w:val="TOC1"/>
            <w:tabs>
              <w:tab w:val="right" w:leader="dot" w:pos="9016"/>
            </w:tabs>
            <w:rPr>
              <w:rFonts w:ascii="Arial" w:eastAsiaTheme="minorEastAsia" w:hAnsi="Arial" w:cs="Arial"/>
              <w:noProof/>
              <w:color w:val="000000" w:themeColor="text1"/>
              <w:kern w:val="2"/>
              <w:sz w:val="24"/>
              <w:szCs w:val="24"/>
              <w:lang w:eastAsia="en-AU"/>
            </w:rPr>
          </w:pPr>
          <w:hyperlink w:anchor="_Toc238739828" w:history="1">
            <w:r w:rsidRPr="00DF3A4F">
              <w:rPr>
                <w:rStyle w:val="Hyperlink"/>
                <w:rFonts w:ascii="Arial" w:hAnsi="Arial" w:cs="Arial"/>
                <w:noProof/>
                <w:color w:val="000000" w:themeColor="text1"/>
              </w:rPr>
              <w:t>11. References</w:t>
            </w:r>
            <w:r w:rsidRPr="00DF3A4F">
              <w:rPr>
                <w:rFonts w:ascii="Arial" w:hAnsi="Arial" w:cs="Arial"/>
                <w:noProof/>
                <w:webHidden/>
                <w:color w:val="000000" w:themeColor="text1"/>
              </w:rPr>
              <w:tab/>
            </w:r>
            <w:r w:rsidRPr="00DF3A4F">
              <w:rPr>
                <w:rFonts w:ascii="Arial" w:hAnsi="Arial" w:cs="Arial"/>
                <w:noProof/>
                <w:webHidden/>
                <w:color w:val="000000" w:themeColor="text1"/>
              </w:rPr>
              <w:fldChar w:fldCharType="begin"/>
            </w:r>
            <w:r w:rsidRPr="00DF3A4F">
              <w:rPr>
                <w:rFonts w:ascii="Arial" w:hAnsi="Arial" w:cs="Arial"/>
                <w:noProof/>
                <w:webHidden/>
                <w:color w:val="000000" w:themeColor="text1"/>
              </w:rPr>
              <w:instrText xml:space="preserve"> PAGEREF _Toc238739828 \h </w:instrText>
            </w:r>
            <w:r w:rsidRPr="00DF3A4F">
              <w:rPr>
                <w:rFonts w:ascii="Arial" w:hAnsi="Arial" w:cs="Arial"/>
                <w:noProof/>
                <w:webHidden/>
                <w:color w:val="000000" w:themeColor="text1"/>
              </w:rPr>
            </w:r>
            <w:r w:rsidRPr="00DF3A4F">
              <w:rPr>
                <w:rFonts w:ascii="Arial" w:hAnsi="Arial" w:cs="Arial"/>
                <w:noProof/>
                <w:webHidden/>
                <w:color w:val="000000" w:themeColor="text1"/>
              </w:rPr>
              <w:fldChar w:fldCharType="separate"/>
            </w:r>
            <w:r w:rsidRPr="00DF3A4F">
              <w:rPr>
                <w:rFonts w:ascii="Arial" w:hAnsi="Arial" w:cs="Arial"/>
                <w:noProof/>
                <w:webHidden/>
                <w:color w:val="000000" w:themeColor="text1"/>
              </w:rPr>
              <w:t>70</w:t>
            </w:r>
            <w:r w:rsidRPr="00DF3A4F">
              <w:rPr>
                <w:rFonts w:ascii="Arial" w:hAnsi="Arial" w:cs="Arial"/>
                <w:noProof/>
                <w:webHidden/>
                <w:color w:val="000000" w:themeColor="text1"/>
              </w:rPr>
              <w:fldChar w:fldCharType="end"/>
            </w:r>
          </w:hyperlink>
        </w:p>
        <w:p w14:paraId="1FA6539D" w14:textId="77777777" w:rsidR="00133CD9" w:rsidRPr="00DF3A4F" w:rsidRDefault="00133CD9" w:rsidP="00133CD9">
          <w:pPr>
            <w:rPr>
              <w:rFonts w:ascii="Arial" w:hAnsi="Arial" w:cs="Arial"/>
              <w:color w:val="000000" w:themeColor="text1"/>
              <w:sz w:val="24"/>
              <w:szCs w:val="24"/>
            </w:rPr>
          </w:pPr>
          <w:r w:rsidRPr="00DF3A4F">
            <w:rPr>
              <w:rFonts w:ascii="Arial" w:hAnsi="Arial" w:cs="Arial"/>
              <w:b/>
              <w:bCs/>
              <w:noProof/>
              <w:color w:val="000000" w:themeColor="text1"/>
              <w:sz w:val="24"/>
              <w:szCs w:val="24"/>
            </w:rPr>
            <w:fldChar w:fldCharType="end"/>
          </w:r>
        </w:p>
      </w:sdtContent>
    </w:sdt>
    <w:p w14:paraId="4AE26781" w14:textId="77777777" w:rsidR="00133CD9" w:rsidRPr="00DF3A4F" w:rsidRDefault="00133CD9" w:rsidP="00133CD9">
      <w:pPr>
        <w:rPr>
          <w:rFonts w:ascii="Arial" w:eastAsiaTheme="majorEastAsia" w:hAnsi="Arial" w:cs="Arial"/>
          <w:b/>
          <w:sz w:val="24"/>
          <w:szCs w:val="24"/>
        </w:rPr>
      </w:pPr>
      <w:r w:rsidRPr="00DF3A4F">
        <w:rPr>
          <w:rFonts w:ascii="Arial" w:hAnsi="Arial" w:cs="Arial"/>
          <w:sz w:val="24"/>
          <w:szCs w:val="24"/>
        </w:rPr>
        <w:br w:type="page"/>
      </w:r>
    </w:p>
    <w:p w14:paraId="6AA9A5EA" w14:textId="77777777" w:rsidR="00133CD9" w:rsidRPr="00DF3A4F" w:rsidRDefault="00133CD9" w:rsidP="00133CD9">
      <w:pPr>
        <w:pStyle w:val="Heading1"/>
        <w:rPr>
          <w:rFonts w:ascii="Arial" w:hAnsi="Arial" w:cs="Arial"/>
          <w:szCs w:val="24"/>
        </w:rPr>
      </w:pPr>
      <w:bookmarkStart w:id="0" w:name="_Toc238739753"/>
      <w:r w:rsidRPr="00DF3A4F">
        <w:rPr>
          <w:rFonts w:ascii="Arial" w:hAnsi="Arial" w:cs="Arial"/>
          <w:szCs w:val="24"/>
        </w:rPr>
        <w:t>Chapter 1: Introduction</w:t>
      </w:r>
      <w:bookmarkEnd w:id="0"/>
    </w:p>
    <w:p w14:paraId="094EEAFC" w14:textId="77777777" w:rsidR="00133CD9" w:rsidRPr="00DF3A4F" w:rsidRDefault="00133CD9" w:rsidP="00133CD9">
      <w:pPr>
        <w:pStyle w:val="Heading2"/>
        <w:spacing w:line="360" w:lineRule="auto"/>
        <w:jc w:val="both"/>
        <w:rPr>
          <w:rFonts w:ascii="Arial" w:hAnsi="Arial" w:cs="Arial"/>
          <w:sz w:val="24"/>
          <w:szCs w:val="24"/>
        </w:rPr>
      </w:pPr>
      <w:bookmarkStart w:id="1" w:name="_Toc238739754"/>
      <w:r w:rsidRPr="00DF3A4F">
        <w:rPr>
          <w:rFonts w:ascii="Arial" w:hAnsi="Arial" w:cs="Arial"/>
          <w:sz w:val="24"/>
          <w:szCs w:val="24"/>
        </w:rPr>
        <w:t>1.1 Background of the Study</w:t>
      </w:r>
      <w:bookmarkEnd w:id="1"/>
    </w:p>
    <w:p w14:paraId="33998B62"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Over the last 10 years, there has been a huge shift and transformation in the financial services industry, spurred by the fast-paced growth of financial technology (FinTech). Digital Payment systems are one of the most crucial innovations in modern finance, where consumers and businesses can make financial transactions in a secure, swift and convenient manner (</w:t>
      </w:r>
      <w:proofErr w:type="spellStart"/>
      <w:r w:rsidRPr="00DF3A4F">
        <w:rPr>
          <w:rFonts w:ascii="Arial" w:hAnsi="Arial" w:cs="Arial"/>
          <w:sz w:val="24"/>
          <w:szCs w:val="24"/>
        </w:rPr>
        <w:t>Katuri</w:t>
      </w:r>
      <w:proofErr w:type="spellEnd"/>
      <w:r w:rsidRPr="00DF3A4F">
        <w:rPr>
          <w:rFonts w:ascii="Arial" w:hAnsi="Arial" w:cs="Arial"/>
          <w:sz w:val="24"/>
          <w:szCs w:val="24"/>
        </w:rPr>
        <w:t>, 2025). This rapid digitalisation of cash-based payments to digital payment platforms has taken place in both developed and developing economies, as a result of the widespread use of smartphones, internet and cloud-based technologies (Sethupathy, 2025). Digital payment solutions help to increase the efficiency of transactions, build financial inclusion and lower the transaction costs and promote economic development (World Bank, 2023).</w:t>
      </w:r>
    </w:p>
    <w:p w14:paraId="2484ED2B"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With the launch of the Digital India initiative and Unified Payments Interface (UPI) by the National Payments Corporation of India (NPCI), India has emerged as one of the biggest markets for digital payments in the world. With the introduction of UPI in India, users can seamlessly send and receive money directly from their bank accounts via mobile apps, revolutionizing the country's payments landscape (Kumar, 2025). It's interoperability, security, and ease of use, have greatly enhanced the rate of digital payment adoption in the lives of individuals, merchants and businesses alike. As per NPCI (2025), UPI transactions have reached a billion per month, showcasing India's increasing embrace of digital financial services.</w:t>
      </w:r>
    </w:p>
    <w:p w14:paraId="1A8B57CD" w14:textId="7A79AA12"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 xml:space="preserve">India's Digital Payment Sector has opened up significant opportunities for FinTech firms with its growth. India's Digital Payment Sector has witnessed rapid growth, presenting significant opportunities for FinTech firms. Opting among these organisations, Paytm has become one of the top Digital Payment Companies in the country (Pandey et al., 2021). Paytm is not just a mobile wallet, but a platform that has grown to become a </w:t>
      </w:r>
      <w:r w:rsidR="00690344" w:rsidRPr="00DF3A4F">
        <w:rPr>
          <w:rFonts w:ascii="Arial" w:hAnsi="Arial" w:cs="Arial"/>
          <w:sz w:val="24"/>
          <w:szCs w:val="24"/>
        </w:rPr>
        <w:t>UPI payment</w:t>
      </w:r>
      <w:r w:rsidRPr="00DF3A4F">
        <w:rPr>
          <w:rFonts w:ascii="Arial" w:hAnsi="Arial" w:cs="Arial"/>
          <w:sz w:val="24"/>
          <w:szCs w:val="24"/>
        </w:rPr>
        <w:t>, merchant payment solutions, digital banking, insurance and lending as well as a wealth management and ticket booking service since its inception in 2010. The company has built a robust digital platform with all the stakeholders in the tech-centric space such as consumers, merchants and financial institutions (Paytm, 2024).</w:t>
      </w:r>
    </w:p>
    <w:p w14:paraId="6EB40A64" w14:textId="130FD44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 xml:space="preserve">Paytm has a strong presence in the </w:t>
      </w:r>
      <w:r w:rsidR="00690344" w:rsidRPr="00DF3A4F">
        <w:rPr>
          <w:rFonts w:ascii="Arial" w:hAnsi="Arial" w:cs="Arial"/>
          <w:sz w:val="24"/>
          <w:szCs w:val="24"/>
        </w:rPr>
        <w:t>country but</w:t>
      </w:r>
      <w:r w:rsidRPr="00DF3A4F">
        <w:rPr>
          <w:rFonts w:ascii="Arial" w:hAnsi="Arial" w:cs="Arial"/>
          <w:sz w:val="24"/>
          <w:szCs w:val="24"/>
        </w:rPr>
        <w:t xml:space="preserve"> is being increasingly challenged by other firms like Google Pay, PhonePe and other banking institutions. The Indian digital payment sector is fast maturing and the cost of expanding internationally is an essential strategy to ensure long-term sustainable business growth (Bhatia-Kalluri &amp; Caraway, 2023). Entering new markets helps businesses spread their risk, lessen reliance on domestic markets and gain a competitive edge. Hence, many Indian FinTech are focusing on developing their international business.</w:t>
      </w:r>
    </w:p>
    <w:p w14:paraId="0BFFA401"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 xml:space="preserve">Singapore is one of the most promising overseas markets to expand digital payments. The country also has world class financial infrastructure, highly developed digital economy, supportive government policies and amongst the highest level of digital payment adoption rate in Asia (Agarwal et al., 2019). Besides, Singapore is also one of the significant hubs that allows businesses to link up with those in the ASEAN region. Integrating India's UPI with Singapore's </w:t>
      </w:r>
      <w:proofErr w:type="spellStart"/>
      <w:r w:rsidRPr="00DF3A4F">
        <w:rPr>
          <w:rFonts w:ascii="Arial" w:hAnsi="Arial" w:cs="Arial"/>
          <w:sz w:val="24"/>
          <w:szCs w:val="24"/>
        </w:rPr>
        <w:t>PayNow</w:t>
      </w:r>
      <w:proofErr w:type="spellEnd"/>
      <w:r w:rsidRPr="00DF3A4F">
        <w:rPr>
          <w:rFonts w:ascii="Arial" w:hAnsi="Arial" w:cs="Arial"/>
          <w:sz w:val="24"/>
          <w:szCs w:val="24"/>
        </w:rPr>
        <w:t xml:space="preserve"> payment system has further enhanced the possibilities for cross-border digital payments, enabling both countries to quicken and secure money transfers (Monetary Authority of Singapore, 2023). The developments provide Paytm an opportunity to offer more cross-border payment facilities that cater to international students and migrant workers, tourists, and businesses, who involve in cross-border trading.</w:t>
      </w:r>
    </w:p>
    <w:p w14:paraId="69436FA3"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For strategic management, it is important that organisations appraise their own resources as well as the market, in order to plan a successful international expansion. Organisational resources, competitive advantage, attractiveness of the market, regulatory requirements and financial feasibility are important factors that affect the success of international market entry (Johnson et al., 2020). A comprehensive business development strategy needs to be developed by systematically analysing strategic opportunities and risks prior to investments in foreign expansion.</w:t>
      </w:r>
    </w:p>
    <w:p w14:paraId="5B1E9FAC" w14:textId="3E478266"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 xml:space="preserve">The dissertation takes a business development approach to examine the business viability of launching Paytm's inter-border digital payments business in Singapore. The study merges theories of strategic management with market analysis and financial evaluation to create </w:t>
      </w:r>
      <w:r w:rsidR="00690344" w:rsidRPr="00DF3A4F">
        <w:rPr>
          <w:rFonts w:ascii="Arial" w:hAnsi="Arial" w:cs="Arial"/>
          <w:sz w:val="24"/>
          <w:szCs w:val="24"/>
        </w:rPr>
        <w:t>strongly informed</w:t>
      </w:r>
      <w:r w:rsidRPr="00DF3A4F">
        <w:rPr>
          <w:rFonts w:ascii="Arial" w:hAnsi="Arial" w:cs="Arial"/>
          <w:sz w:val="24"/>
          <w:szCs w:val="24"/>
        </w:rPr>
        <w:t xml:space="preserve"> recommendations that can be used by management for decision making. The study will be a mix of internal analysis and external analysis to find out the most suited option for market entry which can enable the sustainable growth of Paytm to expand its business beyond India.</w:t>
      </w:r>
    </w:p>
    <w:p w14:paraId="40E0730F" w14:textId="77777777" w:rsidR="00133CD9" w:rsidRPr="00DF3A4F" w:rsidRDefault="00133CD9" w:rsidP="00133CD9">
      <w:pPr>
        <w:pStyle w:val="Heading2"/>
        <w:spacing w:line="360" w:lineRule="auto"/>
        <w:jc w:val="both"/>
        <w:rPr>
          <w:rFonts w:ascii="Arial" w:hAnsi="Arial" w:cs="Arial"/>
          <w:sz w:val="24"/>
          <w:szCs w:val="24"/>
        </w:rPr>
      </w:pPr>
      <w:bookmarkStart w:id="2" w:name="_Toc238739755"/>
      <w:r w:rsidRPr="00DF3A4F">
        <w:rPr>
          <w:rFonts w:ascii="Arial" w:hAnsi="Arial" w:cs="Arial"/>
          <w:sz w:val="24"/>
          <w:szCs w:val="24"/>
        </w:rPr>
        <w:t>1.2 Company Background</w:t>
      </w:r>
      <w:bookmarkEnd w:id="2"/>
    </w:p>
    <w:p w14:paraId="7DAADDAA"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Paytm is one of India's biggest financial technology companies and is run by the company One97 Communications Limited. Established in 2010 by Vijay Shekhar Sharma, the company began with mobile recharge and bill payment services and later branched out to digital wallets and full-fledged financial products and services. Paytm today has UPI payments, merchant payment solutions, banking services via Paytm Payments Bank, insurance, lending, wealth management, ticket booking and e-commerce services.</w:t>
      </w:r>
    </w:p>
    <w:p w14:paraId="1F06AD15"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company's competitive advantage is derived from its digital ecosystem, broad merchant network and advanced technology skills. Paytm is one of the most renowned digital financial brands in India, with millions of consumers and merchants utilizing it every day (Sharma et al., 2024). Over the years, the company has invested in technological innovation and has been able to enhance the customer experience while broadening the range of their digital financial products.</w:t>
      </w:r>
    </w:p>
    <w:p w14:paraId="5E2ACEE0"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 xml:space="preserve">But a market that is becoming increasingly competitive in India is pushing Paytm to find additional avenues for sustainable growth. This has led to the growth of international expansion as an important strategic priority. Singapore's digital infrastructure, regulatory framework, and high penetration of smartphones and a strong economic tie with India makes it an attractive place for business (Valli, 2025). The seamless integration of UPI and </w:t>
      </w:r>
      <w:proofErr w:type="spellStart"/>
      <w:r w:rsidRPr="00DF3A4F">
        <w:rPr>
          <w:rFonts w:ascii="Arial" w:hAnsi="Arial" w:cs="Arial"/>
          <w:sz w:val="24"/>
          <w:szCs w:val="24"/>
        </w:rPr>
        <w:t>PayNow</w:t>
      </w:r>
      <w:proofErr w:type="spellEnd"/>
      <w:r w:rsidRPr="00DF3A4F">
        <w:rPr>
          <w:rFonts w:ascii="Arial" w:hAnsi="Arial" w:cs="Arial"/>
          <w:sz w:val="24"/>
          <w:szCs w:val="24"/>
        </w:rPr>
        <w:t xml:space="preserve"> also further expands Paytm's ability to offer hassle-free cross border payment solutions, which makes Singapore a lucrative market for its business development plans.</w:t>
      </w:r>
    </w:p>
    <w:p w14:paraId="2B4F55D2" w14:textId="77777777" w:rsidR="00133CD9" w:rsidRPr="00DF3A4F" w:rsidRDefault="00133CD9" w:rsidP="00133CD9">
      <w:pPr>
        <w:pStyle w:val="Heading2"/>
        <w:spacing w:line="360" w:lineRule="auto"/>
        <w:jc w:val="both"/>
        <w:rPr>
          <w:rFonts w:ascii="Arial" w:hAnsi="Arial" w:cs="Arial"/>
          <w:b/>
          <w:bCs/>
          <w:color w:val="000000"/>
          <w:sz w:val="24"/>
          <w:szCs w:val="24"/>
        </w:rPr>
      </w:pPr>
      <w:bookmarkStart w:id="3" w:name="_Toc238739756"/>
      <w:r w:rsidRPr="00DF3A4F">
        <w:rPr>
          <w:rFonts w:ascii="Arial" w:hAnsi="Arial" w:cs="Arial"/>
          <w:bCs/>
          <w:color w:val="000000"/>
          <w:sz w:val="24"/>
          <w:szCs w:val="24"/>
        </w:rPr>
        <w:t>1.3 Problem Statement</w:t>
      </w:r>
      <w:bookmarkEnd w:id="3"/>
    </w:p>
    <w:p w14:paraId="1D9C2917"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Though Paytm has done well in India, its growth is hampered in the future as it is finding it hard to sustain its growth through domestic operations only. The digital payment industry is highly competitive with well-established players like Google Pay, PhonePe and traditional banking institutions (Kazan et al., 2018). Meanwhile, customers' expectations are constantly changing, demanding constant investment in innovation, cybersecurity and digital infrastructure.</w:t>
      </w:r>
    </w:p>
    <w:p w14:paraId="0AE11BFE"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Expansion into the international market can provide diversification of income sources and enhance long-term competitiveness. Moving into new foreign markets can, however, prove to come with a lot of difficulties such as regulatory compliance, competition, customer acquisition, financial risks, etc. (Stallkamp, 2021). Although cross border digital payments are rapidly gaining significance, there is less academic research on the strategic viability of Paytm's expansion to Singapore. Hence, a thorough business development proposal, which considers market attractiveness, organisation's capability, competitive positioning and financial viability, is needed before suggesting a suitable market entry strategy is developed.</w:t>
      </w:r>
    </w:p>
    <w:p w14:paraId="78FBA16F" w14:textId="77777777" w:rsidR="00133CD9" w:rsidRPr="00DF3A4F" w:rsidRDefault="00133CD9" w:rsidP="00133CD9">
      <w:pPr>
        <w:spacing w:line="360" w:lineRule="auto"/>
        <w:jc w:val="both"/>
        <w:rPr>
          <w:rFonts w:ascii="Arial" w:hAnsi="Arial" w:cs="Arial"/>
          <w:b/>
          <w:color w:val="000000" w:themeColor="text1"/>
          <w:sz w:val="24"/>
          <w:szCs w:val="24"/>
        </w:rPr>
      </w:pPr>
      <w:r w:rsidRPr="00DF3A4F">
        <w:rPr>
          <w:rFonts w:ascii="Arial" w:hAnsi="Arial" w:cs="Arial"/>
          <w:color w:val="000000" w:themeColor="text1"/>
          <w:sz w:val="24"/>
          <w:szCs w:val="24"/>
        </w:rPr>
        <w:t>The requirement of international expansion has grown more critical since Paytm Payments Bank was hit with regulatory bans in 2024. The Reserve Bank of India banned Paytm Payments Bank from operations, putting Paytm's future revenue growth plans into doubt and raising concerns about its reliance on the domestic market. Meanwhile, as PhonePe and Google Pay ramp up competition for market share, pressure has been mounting in the digital payments space in India. Hence, expansion overseas is an opportunity for Paytm to diversify its revenue streams, cut its reliance on the domestic market and open up new growth areas.</w:t>
      </w:r>
    </w:p>
    <w:p w14:paraId="686D0812" w14:textId="77777777" w:rsidR="00133CD9" w:rsidRPr="00DF3A4F" w:rsidRDefault="00133CD9" w:rsidP="00133CD9">
      <w:pPr>
        <w:pStyle w:val="Heading2"/>
        <w:spacing w:line="360" w:lineRule="auto"/>
        <w:jc w:val="both"/>
        <w:rPr>
          <w:rFonts w:ascii="Arial" w:hAnsi="Arial" w:cs="Arial"/>
          <w:sz w:val="24"/>
          <w:szCs w:val="24"/>
        </w:rPr>
      </w:pPr>
      <w:bookmarkStart w:id="4" w:name="_Toc238739757"/>
      <w:r w:rsidRPr="00DF3A4F">
        <w:rPr>
          <w:rFonts w:ascii="Arial" w:hAnsi="Arial" w:cs="Arial"/>
          <w:sz w:val="24"/>
          <w:szCs w:val="24"/>
        </w:rPr>
        <w:t>1.4 Aim and Objectives</w:t>
      </w:r>
      <w:bookmarkEnd w:id="4"/>
    </w:p>
    <w:p w14:paraId="39DB9858"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b/>
          <w:bCs/>
          <w:color w:val="000000"/>
          <w:sz w:val="24"/>
          <w:szCs w:val="24"/>
        </w:rPr>
        <w:t>Aim</w:t>
      </w:r>
    </w:p>
    <w:p w14:paraId="387040D6"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color w:val="000000"/>
          <w:sz w:val="24"/>
          <w:szCs w:val="24"/>
        </w:rPr>
        <w:t>To develop a commercially viable business development strategy for Paytm by evaluating the feasibility of expanding cross-border digital payment services into Singapore.</w:t>
      </w:r>
    </w:p>
    <w:p w14:paraId="4574158D"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b/>
          <w:bCs/>
          <w:color w:val="000000"/>
          <w:sz w:val="24"/>
          <w:szCs w:val="24"/>
        </w:rPr>
        <w:t>Objectives</w:t>
      </w:r>
    </w:p>
    <w:p w14:paraId="116BAAD3" w14:textId="77777777" w:rsidR="00133CD9" w:rsidRPr="00DF3A4F" w:rsidRDefault="00133CD9" w:rsidP="00133CD9">
      <w:pPr>
        <w:pStyle w:val="ListParagraph"/>
        <w:numPr>
          <w:ilvl w:val="0"/>
          <w:numId w:val="22"/>
        </w:numPr>
        <w:spacing w:before="144" w:after="72" w:line="360" w:lineRule="auto"/>
        <w:contextualSpacing w:val="0"/>
        <w:jc w:val="both"/>
        <w:rPr>
          <w:rFonts w:ascii="Arial" w:hAnsi="Arial" w:cs="Arial"/>
          <w:sz w:val="24"/>
          <w:szCs w:val="24"/>
        </w:rPr>
      </w:pPr>
      <w:r w:rsidRPr="00DF3A4F">
        <w:rPr>
          <w:rFonts w:ascii="Arial" w:hAnsi="Arial" w:cs="Arial"/>
          <w:color w:val="000000"/>
          <w:sz w:val="24"/>
          <w:szCs w:val="24"/>
        </w:rPr>
        <w:t xml:space="preserve">To assess Paytm's strategic readiness for international expansion. </w:t>
      </w:r>
    </w:p>
    <w:p w14:paraId="6A852A01" w14:textId="77777777" w:rsidR="00133CD9" w:rsidRPr="00DF3A4F" w:rsidRDefault="00133CD9" w:rsidP="00133CD9">
      <w:pPr>
        <w:pStyle w:val="ListParagraph"/>
        <w:numPr>
          <w:ilvl w:val="0"/>
          <w:numId w:val="22"/>
        </w:numPr>
        <w:spacing w:before="144" w:after="72" w:line="360" w:lineRule="auto"/>
        <w:contextualSpacing w:val="0"/>
        <w:jc w:val="both"/>
        <w:rPr>
          <w:rFonts w:ascii="Arial" w:hAnsi="Arial" w:cs="Arial"/>
          <w:sz w:val="24"/>
          <w:szCs w:val="24"/>
        </w:rPr>
      </w:pPr>
      <w:r w:rsidRPr="00DF3A4F">
        <w:rPr>
          <w:rFonts w:ascii="Arial" w:hAnsi="Arial" w:cs="Arial"/>
          <w:color w:val="000000"/>
          <w:sz w:val="24"/>
          <w:szCs w:val="24"/>
        </w:rPr>
        <w:t xml:space="preserve">To evaluate Singapore's attractiveness as a target market for cross-border digital payment services. </w:t>
      </w:r>
    </w:p>
    <w:p w14:paraId="11A961E6" w14:textId="77777777" w:rsidR="00133CD9" w:rsidRPr="00DF3A4F" w:rsidRDefault="00133CD9" w:rsidP="00133CD9">
      <w:pPr>
        <w:pStyle w:val="ListParagraph"/>
        <w:numPr>
          <w:ilvl w:val="0"/>
          <w:numId w:val="22"/>
        </w:numPr>
        <w:spacing w:before="144" w:after="72" w:line="360" w:lineRule="auto"/>
        <w:contextualSpacing w:val="0"/>
        <w:jc w:val="both"/>
        <w:rPr>
          <w:rFonts w:ascii="Arial" w:hAnsi="Arial" w:cs="Arial"/>
          <w:sz w:val="24"/>
          <w:szCs w:val="24"/>
        </w:rPr>
      </w:pPr>
      <w:r w:rsidRPr="00DF3A4F">
        <w:rPr>
          <w:rFonts w:ascii="Arial" w:hAnsi="Arial" w:cs="Arial"/>
          <w:color w:val="000000"/>
          <w:sz w:val="24"/>
          <w:szCs w:val="24"/>
        </w:rPr>
        <w:t xml:space="preserve">To analyse the competitive environment influencing Paytm's market entry. </w:t>
      </w:r>
    </w:p>
    <w:p w14:paraId="2A1D7FDC" w14:textId="77777777" w:rsidR="00133CD9" w:rsidRPr="00DF3A4F" w:rsidRDefault="00133CD9" w:rsidP="00133CD9">
      <w:pPr>
        <w:pStyle w:val="ListParagraph"/>
        <w:numPr>
          <w:ilvl w:val="0"/>
          <w:numId w:val="22"/>
        </w:numPr>
        <w:spacing w:before="144" w:after="72" w:line="360" w:lineRule="auto"/>
        <w:contextualSpacing w:val="0"/>
        <w:jc w:val="both"/>
        <w:rPr>
          <w:rFonts w:ascii="Arial" w:hAnsi="Arial" w:cs="Arial"/>
          <w:sz w:val="24"/>
          <w:szCs w:val="24"/>
        </w:rPr>
      </w:pPr>
      <w:r w:rsidRPr="00DF3A4F">
        <w:rPr>
          <w:rFonts w:ascii="Arial" w:hAnsi="Arial" w:cs="Arial"/>
          <w:color w:val="000000"/>
          <w:sz w:val="24"/>
          <w:szCs w:val="24"/>
        </w:rPr>
        <w:t xml:space="preserve">To evaluate suitable market entry strategies for sustainable business growth. </w:t>
      </w:r>
    </w:p>
    <w:p w14:paraId="48BEE374" w14:textId="77777777" w:rsidR="00133CD9" w:rsidRPr="00DF3A4F" w:rsidRDefault="00133CD9" w:rsidP="00133CD9">
      <w:pPr>
        <w:pStyle w:val="ListParagraph"/>
        <w:numPr>
          <w:ilvl w:val="0"/>
          <w:numId w:val="22"/>
        </w:numPr>
        <w:spacing w:before="144" w:after="72" w:line="360" w:lineRule="auto"/>
        <w:contextualSpacing w:val="0"/>
        <w:jc w:val="both"/>
        <w:rPr>
          <w:rFonts w:ascii="Arial" w:hAnsi="Arial" w:cs="Arial"/>
          <w:sz w:val="24"/>
          <w:szCs w:val="24"/>
        </w:rPr>
      </w:pPr>
      <w:r w:rsidRPr="00DF3A4F">
        <w:rPr>
          <w:rFonts w:ascii="Arial" w:hAnsi="Arial" w:cs="Arial"/>
          <w:color w:val="000000"/>
          <w:sz w:val="24"/>
          <w:szCs w:val="24"/>
        </w:rPr>
        <w:t xml:space="preserve">To assess the financial feasibility of the proposed expansion. </w:t>
      </w:r>
    </w:p>
    <w:p w14:paraId="5E28AC62" w14:textId="77777777" w:rsidR="00133CD9" w:rsidRPr="00DF3A4F" w:rsidRDefault="00133CD9" w:rsidP="00133CD9">
      <w:pPr>
        <w:pStyle w:val="ListParagraph"/>
        <w:numPr>
          <w:ilvl w:val="0"/>
          <w:numId w:val="22"/>
        </w:numPr>
        <w:spacing w:before="144" w:after="72" w:line="360" w:lineRule="auto"/>
        <w:contextualSpacing w:val="0"/>
        <w:jc w:val="both"/>
        <w:rPr>
          <w:rFonts w:ascii="Arial" w:hAnsi="Arial" w:cs="Arial"/>
          <w:sz w:val="24"/>
          <w:szCs w:val="24"/>
        </w:rPr>
      </w:pPr>
      <w:r w:rsidRPr="00DF3A4F">
        <w:rPr>
          <w:rFonts w:ascii="Arial" w:hAnsi="Arial" w:cs="Arial"/>
          <w:color w:val="000000"/>
          <w:sz w:val="24"/>
          <w:szCs w:val="24"/>
        </w:rPr>
        <w:t xml:space="preserve">To provide strategic recommendations for successful implementation. </w:t>
      </w:r>
    </w:p>
    <w:p w14:paraId="596A243C" w14:textId="77777777" w:rsidR="00133CD9" w:rsidRPr="00DF3A4F" w:rsidRDefault="00133CD9" w:rsidP="00133CD9">
      <w:pPr>
        <w:pStyle w:val="Heading2"/>
        <w:spacing w:line="360" w:lineRule="auto"/>
        <w:jc w:val="both"/>
        <w:rPr>
          <w:rFonts w:ascii="Arial" w:hAnsi="Arial" w:cs="Arial"/>
          <w:sz w:val="24"/>
          <w:szCs w:val="24"/>
        </w:rPr>
      </w:pPr>
      <w:bookmarkStart w:id="5" w:name="_Toc238739758"/>
      <w:r w:rsidRPr="00DF3A4F">
        <w:rPr>
          <w:rFonts w:ascii="Arial" w:hAnsi="Arial" w:cs="Arial"/>
          <w:sz w:val="24"/>
          <w:szCs w:val="24"/>
        </w:rPr>
        <w:t>1.5 Research Questions</w:t>
      </w:r>
      <w:bookmarkEnd w:id="5"/>
    </w:p>
    <w:p w14:paraId="57FCFC92"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color w:val="000000"/>
          <w:sz w:val="24"/>
          <w:szCs w:val="24"/>
        </w:rPr>
        <w:t>The study seeks to answer the following research questions:</w:t>
      </w:r>
    </w:p>
    <w:p w14:paraId="1F7240A9" w14:textId="77777777" w:rsidR="00133CD9" w:rsidRPr="00DF3A4F" w:rsidRDefault="00133CD9" w:rsidP="00133CD9">
      <w:pPr>
        <w:pStyle w:val="ListParagraph"/>
        <w:numPr>
          <w:ilvl w:val="0"/>
          <w:numId w:val="23"/>
        </w:numPr>
        <w:spacing w:before="144" w:after="72" w:line="360" w:lineRule="auto"/>
        <w:contextualSpacing w:val="0"/>
        <w:jc w:val="both"/>
        <w:rPr>
          <w:rFonts w:ascii="Arial" w:hAnsi="Arial" w:cs="Arial"/>
          <w:sz w:val="24"/>
          <w:szCs w:val="24"/>
        </w:rPr>
      </w:pPr>
      <w:r w:rsidRPr="00DF3A4F">
        <w:rPr>
          <w:rFonts w:ascii="Arial" w:hAnsi="Arial" w:cs="Arial"/>
          <w:color w:val="000000"/>
          <w:sz w:val="24"/>
          <w:szCs w:val="24"/>
        </w:rPr>
        <w:t xml:space="preserve">Is Singapore an attractive international market for Paytm's expansion? </w:t>
      </w:r>
    </w:p>
    <w:p w14:paraId="7D276224" w14:textId="77777777" w:rsidR="00133CD9" w:rsidRPr="00DF3A4F" w:rsidRDefault="00133CD9" w:rsidP="00133CD9">
      <w:pPr>
        <w:pStyle w:val="ListParagraph"/>
        <w:numPr>
          <w:ilvl w:val="0"/>
          <w:numId w:val="23"/>
        </w:numPr>
        <w:spacing w:before="144" w:after="72" w:line="360" w:lineRule="auto"/>
        <w:contextualSpacing w:val="0"/>
        <w:jc w:val="both"/>
        <w:rPr>
          <w:rFonts w:ascii="Arial" w:hAnsi="Arial" w:cs="Arial"/>
          <w:sz w:val="24"/>
          <w:szCs w:val="24"/>
        </w:rPr>
      </w:pPr>
      <w:r w:rsidRPr="00DF3A4F">
        <w:rPr>
          <w:rFonts w:ascii="Arial" w:hAnsi="Arial" w:cs="Arial"/>
          <w:color w:val="000000"/>
          <w:sz w:val="24"/>
          <w:szCs w:val="24"/>
        </w:rPr>
        <w:t xml:space="preserve">What internal resources and capabilities support Paytm's international growth strategy? </w:t>
      </w:r>
    </w:p>
    <w:p w14:paraId="6AECFB9B" w14:textId="77777777" w:rsidR="00133CD9" w:rsidRPr="00DF3A4F" w:rsidRDefault="00133CD9" w:rsidP="00133CD9">
      <w:pPr>
        <w:pStyle w:val="ListParagraph"/>
        <w:numPr>
          <w:ilvl w:val="0"/>
          <w:numId w:val="23"/>
        </w:numPr>
        <w:spacing w:before="144" w:after="72" w:line="360" w:lineRule="auto"/>
        <w:contextualSpacing w:val="0"/>
        <w:jc w:val="both"/>
        <w:rPr>
          <w:rFonts w:ascii="Arial" w:hAnsi="Arial" w:cs="Arial"/>
          <w:sz w:val="24"/>
          <w:szCs w:val="24"/>
        </w:rPr>
      </w:pPr>
      <w:r w:rsidRPr="00DF3A4F">
        <w:rPr>
          <w:rFonts w:ascii="Arial" w:hAnsi="Arial" w:cs="Arial"/>
          <w:color w:val="000000"/>
          <w:sz w:val="24"/>
          <w:szCs w:val="24"/>
        </w:rPr>
        <w:t xml:space="preserve">Which market entry strategy offers the greatest potential for success? </w:t>
      </w:r>
    </w:p>
    <w:p w14:paraId="207D6551" w14:textId="77777777" w:rsidR="00133CD9" w:rsidRPr="00DF3A4F" w:rsidRDefault="00133CD9" w:rsidP="00133CD9">
      <w:pPr>
        <w:pStyle w:val="ListParagraph"/>
        <w:numPr>
          <w:ilvl w:val="0"/>
          <w:numId w:val="23"/>
        </w:numPr>
        <w:spacing w:before="144" w:after="72" w:line="360" w:lineRule="auto"/>
        <w:contextualSpacing w:val="0"/>
        <w:jc w:val="both"/>
        <w:rPr>
          <w:rFonts w:ascii="Arial" w:hAnsi="Arial" w:cs="Arial"/>
          <w:sz w:val="24"/>
          <w:szCs w:val="24"/>
        </w:rPr>
      </w:pPr>
      <w:r w:rsidRPr="00DF3A4F">
        <w:rPr>
          <w:rFonts w:ascii="Arial" w:hAnsi="Arial" w:cs="Arial"/>
          <w:color w:val="000000"/>
          <w:sz w:val="24"/>
          <w:szCs w:val="24"/>
        </w:rPr>
        <w:t xml:space="preserve">Is the proposed expansion financially viable? </w:t>
      </w:r>
    </w:p>
    <w:p w14:paraId="05A49F95" w14:textId="77777777" w:rsidR="00133CD9" w:rsidRPr="00DF3A4F" w:rsidRDefault="00133CD9" w:rsidP="00133CD9">
      <w:pPr>
        <w:pStyle w:val="ListParagraph"/>
        <w:numPr>
          <w:ilvl w:val="0"/>
          <w:numId w:val="23"/>
        </w:numPr>
        <w:spacing w:before="144" w:after="72" w:line="360" w:lineRule="auto"/>
        <w:contextualSpacing w:val="0"/>
        <w:jc w:val="both"/>
        <w:rPr>
          <w:rFonts w:ascii="Arial" w:hAnsi="Arial" w:cs="Arial"/>
          <w:sz w:val="24"/>
          <w:szCs w:val="24"/>
        </w:rPr>
      </w:pPr>
      <w:r w:rsidRPr="00DF3A4F">
        <w:rPr>
          <w:rFonts w:ascii="Arial" w:hAnsi="Arial" w:cs="Arial"/>
          <w:color w:val="000000"/>
          <w:sz w:val="24"/>
          <w:szCs w:val="24"/>
        </w:rPr>
        <w:t xml:space="preserve">What strategic risks should Paytm consider during implementation? </w:t>
      </w:r>
    </w:p>
    <w:p w14:paraId="178AD1BA" w14:textId="77777777" w:rsidR="00133CD9" w:rsidRPr="00DF3A4F" w:rsidRDefault="00133CD9" w:rsidP="00133CD9">
      <w:pPr>
        <w:pStyle w:val="Heading2"/>
        <w:spacing w:line="360" w:lineRule="auto"/>
        <w:jc w:val="both"/>
        <w:rPr>
          <w:rFonts w:ascii="Arial" w:hAnsi="Arial" w:cs="Arial"/>
          <w:sz w:val="24"/>
          <w:szCs w:val="24"/>
        </w:rPr>
      </w:pPr>
      <w:bookmarkStart w:id="6" w:name="_Toc238739759"/>
      <w:r w:rsidRPr="00DF3A4F">
        <w:rPr>
          <w:rFonts w:ascii="Arial" w:hAnsi="Arial" w:cs="Arial"/>
          <w:sz w:val="24"/>
          <w:szCs w:val="24"/>
        </w:rPr>
        <w:t>1.6 Significance of the Study</w:t>
      </w:r>
      <w:bookmarkEnd w:id="6"/>
    </w:p>
    <w:p w14:paraId="439C81B2"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research helped in enriching the academic knowledge and business practice. Academically, it builds on the existing research on FinTech internationalization and adds theories of strategic management and business development planning to it. In this research, rather than the study of digital payment adoption, the attention is directed towards the organisational capability, market attractiveness and financial feasibility in one strategic context (Johanson &amp; Vahlne, 1977).</w:t>
      </w:r>
    </w:p>
    <w:p w14:paraId="66285B2F"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analysis from the managerial perspective provides some recommendations for Paytm's senior management for the expansion of its business in the foreign markets. The study also provides useful information for policy makers, investors and other FinTech entities, who are thinking of engaging in cross-border business development. Moreover, the study can provide valuable inputs for future research in internationalization of companies in the fast-developing digital payment sector.</w:t>
      </w:r>
    </w:p>
    <w:p w14:paraId="353F0BE4" w14:textId="77777777" w:rsidR="00133CD9" w:rsidRPr="00DF3A4F" w:rsidRDefault="00133CD9" w:rsidP="00133CD9">
      <w:pPr>
        <w:spacing w:line="360" w:lineRule="auto"/>
        <w:jc w:val="both"/>
        <w:rPr>
          <w:rFonts w:ascii="Arial" w:hAnsi="Arial" w:cs="Arial"/>
          <w:color w:val="2E74B5"/>
          <w:sz w:val="24"/>
          <w:szCs w:val="24"/>
        </w:rPr>
      </w:pPr>
      <w:r w:rsidRPr="00DF3A4F">
        <w:rPr>
          <w:rFonts w:ascii="Arial" w:hAnsi="Arial" w:cs="Arial"/>
          <w:sz w:val="24"/>
          <w:szCs w:val="24"/>
        </w:rPr>
        <w:br w:type="page"/>
      </w:r>
    </w:p>
    <w:p w14:paraId="4EB8004B" w14:textId="77777777" w:rsidR="00133CD9" w:rsidRPr="00DF3A4F" w:rsidRDefault="00133CD9" w:rsidP="00133CD9">
      <w:pPr>
        <w:pStyle w:val="Heading1"/>
        <w:rPr>
          <w:rFonts w:ascii="Arial" w:hAnsi="Arial" w:cs="Arial"/>
          <w:szCs w:val="24"/>
        </w:rPr>
      </w:pPr>
      <w:bookmarkStart w:id="7" w:name="_Toc238739760"/>
      <w:r w:rsidRPr="00DF3A4F">
        <w:rPr>
          <w:rFonts w:ascii="Arial" w:hAnsi="Arial" w:cs="Arial"/>
          <w:szCs w:val="24"/>
        </w:rPr>
        <w:t>Chapter 2: Literature Review</w:t>
      </w:r>
      <w:bookmarkEnd w:id="7"/>
    </w:p>
    <w:p w14:paraId="03F02E9E" w14:textId="77777777" w:rsidR="00133CD9" w:rsidRPr="00DF3A4F" w:rsidRDefault="00133CD9" w:rsidP="00133CD9">
      <w:pPr>
        <w:pStyle w:val="Heading2"/>
        <w:spacing w:line="360" w:lineRule="auto"/>
        <w:jc w:val="both"/>
        <w:rPr>
          <w:rFonts w:ascii="Arial" w:hAnsi="Arial" w:cs="Arial"/>
          <w:sz w:val="24"/>
          <w:szCs w:val="24"/>
        </w:rPr>
      </w:pPr>
      <w:bookmarkStart w:id="8" w:name="_Toc238739761"/>
      <w:r w:rsidRPr="00DF3A4F">
        <w:rPr>
          <w:rFonts w:ascii="Arial" w:hAnsi="Arial" w:cs="Arial"/>
          <w:sz w:val="24"/>
          <w:szCs w:val="24"/>
        </w:rPr>
        <w:t>2.1 Introduction</w:t>
      </w:r>
      <w:bookmarkEnd w:id="8"/>
      <w:r w:rsidRPr="00DF3A4F">
        <w:rPr>
          <w:rFonts w:ascii="Arial" w:hAnsi="Arial" w:cs="Arial"/>
          <w:sz w:val="24"/>
          <w:szCs w:val="24"/>
        </w:rPr>
        <w:t xml:space="preserve"> </w:t>
      </w:r>
    </w:p>
    <w:p w14:paraId="3039100F" w14:textId="52169D6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 xml:space="preserve">This chapter examines the current research on digital payment technologies and theories of </w:t>
      </w:r>
      <w:r w:rsidR="00690344" w:rsidRPr="00DF3A4F">
        <w:rPr>
          <w:rFonts w:ascii="Arial" w:hAnsi="Arial" w:cs="Arial"/>
          <w:sz w:val="24"/>
          <w:szCs w:val="24"/>
        </w:rPr>
        <w:t>internationalisation and</w:t>
      </w:r>
      <w:r w:rsidRPr="00DF3A4F">
        <w:rPr>
          <w:rFonts w:ascii="Arial" w:hAnsi="Arial" w:cs="Arial"/>
          <w:sz w:val="24"/>
          <w:szCs w:val="24"/>
        </w:rPr>
        <w:t xml:space="preserve"> also integrates strategic management theories pertinent to business expansion. Theories about the adoption of digital payments are </w:t>
      </w:r>
      <w:proofErr w:type="spellStart"/>
      <w:r w:rsidRPr="00DF3A4F">
        <w:rPr>
          <w:rFonts w:ascii="Arial" w:hAnsi="Arial" w:cs="Arial"/>
          <w:sz w:val="24"/>
          <w:szCs w:val="24"/>
        </w:rPr>
        <w:t>analyzed</w:t>
      </w:r>
      <w:proofErr w:type="spellEnd"/>
      <w:r w:rsidRPr="00DF3A4F">
        <w:rPr>
          <w:rFonts w:ascii="Arial" w:hAnsi="Arial" w:cs="Arial"/>
          <w:sz w:val="24"/>
          <w:szCs w:val="24"/>
        </w:rPr>
        <w:t xml:space="preserve"> first, followed by an analysis of models of international business which inform organizational growth strategies and expansion into foreign markets. This chapter critically reviews the existing literature to provide theoretical background for studying Paytm's strategic expansion strategy in Singapore and fills the identified gap in the literature that this dissertation aims to address.</w:t>
      </w:r>
    </w:p>
    <w:p w14:paraId="1829CCD1" w14:textId="77777777" w:rsidR="00133CD9" w:rsidRPr="00DF3A4F" w:rsidRDefault="00133CD9" w:rsidP="00133CD9">
      <w:pPr>
        <w:pStyle w:val="Heading2"/>
        <w:spacing w:line="360" w:lineRule="auto"/>
        <w:jc w:val="both"/>
        <w:rPr>
          <w:rFonts w:ascii="Arial" w:hAnsi="Arial" w:cs="Arial"/>
          <w:sz w:val="24"/>
          <w:szCs w:val="24"/>
        </w:rPr>
      </w:pPr>
      <w:bookmarkStart w:id="9" w:name="_Toc238739762"/>
      <w:r w:rsidRPr="00DF3A4F">
        <w:rPr>
          <w:rFonts w:ascii="Arial" w:hAnsi="Arial" w:cs="Arial"/>
          <w:sz w:val="24"/>
          <w:szCs w:val="24"/>
        </w:rPr>
        <w:t>2.2 Digital Payment Adoption</w:t>
      </w:r>
      <w:bookmarkEnd w:id="9"/>
      <w:r w:rsidRPr="00DF3A4F">
        <w:rPr>
          <w:rFonts w:ascii="Arial" w:hAnsi="Arial" w:cs="Arial"/>
          <w:sz w:val="24"/>
          <w:szCs w:val="24"/>
        </w:rPr>
        <w:t xml:space="preserve"> </w:t>
      </w:r>
    </w:p>
    <w:p w14:paraId="16A33EB4"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Considering its impact on consumer behaviour, financial inclusion and economic development, digital payment adoption has come to be one of the most researched topics in financial technology. The reasons for consumers and businesses to use digital financial services have been theorized in several ways, most notably the Technology Acceptance Model (TAM) and the Unified Theory of Acceptance and Use of Technology (UTAUT).</w:t>
      </w:r>
    </w:p>
    <w:p w14:paraId="0FA92B87"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Technology Acceptance Model suggests that there are two key factors which influence a person's desire to use new technology: perceived usefulness and perceived ease of use (Davis, 1989). Perceived usefulness is the extent to which users think that technology enhances their job performance and perceived ease of use is the effort needed to use technology to perform a job well (Davis, 1989). For Paytm, the insights from these studies indicate that a seamless and efficient payment process, along with high perceived ease of use and reliability, will continue to be crucial in the dynamic digital payment landscape of Singapore.</w:t>
      </w:r>
    </w:p>
    <w:p w14:paraId="67F78CFE"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TAM has been criticized, however, for its narrow emphasis on individual factors rather than on large-scale organizational, cultural and environmental contexts in which technologies are being adopted. To solve these drawbacks, Venkatesh and others (2003) introduced a new model called Unified Theory of Acceptance and Use of Technology (UTAUT) which added other factors such as performance expectancy, effort expectancy, social influence and facilitating conditions. In addition to the perceived usefulness of technology, UTAUT also acknowledges that organisational support, infrastructure, and external social factors are all necessary for technology adoption (Davis, 1989).</w:t>
      </w:r>
    </w:p>
    <w:p w14:paraId="1EE8D9E5"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Overall, however, recent research on FinTech suggests that UTAUT is more holistic than TAM since the adoption of digital payment now requires regulatory support, digital infrastructure and customer trust (see Sharma et al., 2023; Sivathanu, 2018). Singapore offers enabling regulatory frameworks, sophisticated digital infrastructure, and high smartphone penetration and government backing of cashless payment. Therefore, UTAUT seems to be more appropriate to explain the consumer acceptance of the Paytm's proposed cross-border payment services in Singapore market.</w:t>
      </w:r>
    </w:p>
    <w:p w14:paraId="65FBF610"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Another pertinent theory is the trust theory, which proposes that consumer trust plays a crucial role in digital payment adoption. Personal information is involved in financial transactions, users face cybersecurity threats and financial risks in financial transactions, so users need to trust the payment providers before they use the digital financial services (Gefen et al., 2003). However, recent studies have found that trust has a positive effect on consumers' willingness to adopt digital wallets, especially in the wake of the adoption of stringent cybersecurity protocols and clear privacy policies by digital wallet providers (Sharma et al., 2023; Slade et al., 2021).</w:t>
      </w:r>
    </w:p>
    <w:p w14:paraId="0E1BB5C8"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While there have been many studies that have examined consumer behaviour regarding the adoption of digital payment, the majority of them have been limited to domestic markets instead of expanding business overseas. Moreover, research has not been applied to how technology adoption relates to strategic market entry decisions. Therefore, although TAM and UTAUT models are good predictors of consumer acceptance, they offer limited support for guiding organisational strategies in international expansion. The restriction emphasizes the importance of incorporating theories on technology adoption with strategic management concepts while assessing the expansion of Paytm into Singapore.</w:t>
      </w:r>
    </w:p>
    <w:p w14:paraId="581977B2" w14:textId="77777777" w:rsidR="00133CD9" w:rsidRPr="00DF3A4F" w:rsidRDefault="00133CD9" w:rsidP="00133CD9">
      <w:pPr>
        <w:pStyle w:val="Heading2"/>
        <w:spacing w:line="360" w:lineRule="auto"/>
        <w:jc w:val="both"/>
        <w:rPr>
          <w:rFonts w:ascii="Arial" w:hAnsi="Arial" w:cs="Arial"/>
          <w:sz w:val="24"/>
          <w:szCs w:val="24"/>
        </w:rPr>
      </w:pPr>
      <w:bookmarkStart w:id="10" w:name="_Toc238739763"/>
      <w:r w:rsidRPr="00DF3A4F">
        <w:rPr>
          <w:rFonts w:ascii="Arial" w:hAnsi="Arial" w:cs="Arial"/>
          <w:sz w:val="24"/>
          <w:szCs w:val="24"/>
        </w:rPr>
        <w:t>2.3 International Business Expansion Theories</w:t>
      </w:r>
      <w:bookmarkEnd w:id="10"/>
      <w:r w:rsidRPr="00DF3A4F">
        <w:rPr>
          <w:rFonts w:ascii="Arial" w:hAnsi="Arial" w:cs="Arial"/>
          <w:sz w:val="24"/>
          <w:szCs w:val="24"/>
        </w:rPr>
        <w:t xml:space="preserve"> </w:t>
      </w:r>
    </w:p>
    <w:p w14:paraId="6411D0C9"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Organisations increasingly understand that expanding globally is a key element in their strategy for sustainable growth beyond their home borders. There are different theoretical models that help to understand the process of foreign market selection and how firms make a decision on an appropriate foreign expansion strategy. Some of the more significant models include the Uppsala Internationalisation Model, Dunning's Eclectic Paradigm and Ansoff's Growth Matrix.</w:t>
      </w:r>
    </w:p>
    <w:p w14:paraId="1A83A928" w14:textId="72A93F72"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 xml:space="preserve">According to the Uppsala Internationalisation Model, companies grow internationally by a gradual learning process and a step-by-step commitment to the international market (Tartaglione et al. 2019). Initially organisations go in to geographically and culturally similar markets with low risk and only then do they make huge amounts of investment. Prior international operations provide knowledge that reduces </w:t>
      </w:r>
      <w:r w:rsidR="00690344" w:rsidRPr="00DF3A4F">
        <w:rPr>
          <w:rFonts w:ascii="Arial" w:hAnsi="Arial" w:cs="Arial"/>
          <w:sz w:val="24"/>
          <w:szCs w:val="24"/>
        </w:rPr>
        <w:t>uncertainty and</w:t>
      </w:r>
      <w:r w:rsidRPr="00DF3A4F">
        <w:rPr>
          <w:rFonts w:ascii="Arial" w:hAnsi="Arial" w:cs="Arial"/>
          <w:sz w:val="24"/>
          <w:szCs w:val="24"/>
        </w:rPr>
        <w:t xml:space="preserve"> can help in the entry into more complicated markets (Reuber et al., 2021). The model proposes that firms develop experiential knowledge with passage of time, which in turn facilitates their decision making.</w:t>
      </w:r>
    </w:p>
    <w:p w14:paraId="47FD19DB"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While the Uppsala model is still relevant, some researchers contend that it is not representative of the digital businesses but rather of traditional manufacturing industries. Digital platforms can grow in geographical scale significantly faster than others, as they are not limited by the number of geographical locations, but rather by technological capabilities which limit many of the geographical barriers that previously constrained international expansion (Autio, 2017). This means Paytm is not necessarily required to pursue an incremental internationalisation journey; especially in view of the fact that there is existing digital payment connectivity between India and Singapore.</w:t>
      </w:r>
    </w:p>
    <w:p w14:paraId="53D5B47C"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Dunning's Eclectic Paradigm (the OLI Framework) is another influential framework that claims that international expansion will be successful when three conditions exist: Ownership advantages, Location advantages and Internalisation advantages (Dunning, 1988). Ownership advantages consist of technological skills, brand name and resources which are unique to the company. Location advantages are the beneficial features of the market segment to be targeted, such as infrastructure, regulation and customer demand. The benefits of internalisation are that the organisations keep control of the operations instead of using an external intermediary.</w:t>
      </w:r>
    </w:p>
    <w:p w14:paraId="4879CF4A"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OLI framework is very relevant to this study as Paytm has got ownership advantages in terms of technology, merchant network and a known brand. A stable regulatory landscape, sophisticated financial infrastructure and close ties with the Indian financial system are also key location factors. Thus, Dunning's framework provides a robust theory to assess Paytm's international expansion.</w:t>
      </w:r>
    </w:p>
    <w:p w14:paraId="04122659"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Ansoff's Growth Matrix is another strategic view that states that there are four organisational growth strategies: market penetration, product development and market development and diversification (Ansoff, 1957). In the case of Paytm, the proposed expansion is a kind of market development as the company is planning to bring its digital payment services to a new international market (Blackburn et al., 2017). Generally, market development is less strategic than diversification in terms of risk, since existing competencies are used and geographical expansion is done.</w:t>
      </w:r>
    </w:p>
    <w:p w14:paraId="4755DD5A"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Together, these theories of international business show that organisations must consider the opportunities in the external market as well as their capabilities within the organisation for successful international expansion (Teece, 2014). But these theoretical frameworks have rarely been combined with digital payment models in the research field of the expansion of FinTech in international markets. The theoretical basis for the current study is the existence of this gap.</w:t>
      </w:r>
    </w:p>
    <w:p w14:paraId="4419A84D" w14:textId="77777777" w:rsidR="00133CD9" w:rsidRPr="00DF3A4F" w:rsidRDefault="00133CD9" w:rsidP="00133CD9">
      <w:pPr>
        <w:pStyle w:val="Heading2"/>
        <w:spacing w:line="360" w:lineRule="auto"/>
        <w:jc w:val="both"/>
        <w:rPr>
          <w:rFonts w:ascii="Arial" w:hAnsi="Arial" w:cs="Arial"/>
          <w:sz w:val="24"/>
          <w:szCs w:val="24"/>
        </w:rPr>
      </w:pPr>
      <w:bookmarkStart w:id="11" w:name="_Toc238739764"/>
      <w:r w:rsidRPr="00DF3A4F">
        <w:rPr>
          <w:rFonts w:ascii="Arial" w:hAnsi="Arial" w:cs="Arial"/>
          <w:sz w:val="24"/>
          <w:szCs w:val="24"/>
        </w:rPr>
        <w:t>2.4 FinTech and Cross-Border Digital Payments</w:t>
      </w:r>
      <w:bookmarkEnd w:id="11"/>
      <w:r w:rsidRPr="00DF3A4F">
        <w:rPr>
          <w:rFonts w:ascii="Arial" w:hAnsi="Arial" w:cs="Arial"/>
          <w:sz w:val="24"/>
          <w:szCs w:val="24"/>
        </w:rPr>
        <w:t xml:space="preserve"> </w:t>
      </w:r>
    </w:p>
    <w:p w14:paraId="275A6D50"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Financial Technology (FinTech) sector has revolutionized the financial services sector by bringing more innovative and digital solutions to the system that has contributed to an increase in efficiency of payments, decrease in transaction costs and increase in financial inclusion (Chen, 2024). FinTech companies integrate advanced technologies such as artificial intelligence (AI), blockchain, cloud computing and big data analytics to deliver secure, efficient and customer-centric (</w:t>
      </w:r>
      <w:proofErr w:type="spellStart"/>
      <w:r w:rsidRPr="00DF3A4F">
        <w:rPr>
          <w:rFonts w:ascii="Arial" w:hAnsi="Arial" w:cs="Arial"/>
          <w:sz w:val="24"/>
          <w:szCs w:val="24"/>
        </w:rPr>
        <w:t>Obiki-Osafiele</w:t>
      </w:r>
      <w:proofErr w:type="spellEnd"/>
      <w:r w:rsidRPr="00DF3A4F">
        <w:rPr>
          <w:rFonts w:ascii="Arial" w:hAnsi="Arial" w:cs="Arial"/>
          <w:sz w:val="24"/>
          <w:szCs w:val="24"/>
        </w:rPr>
        <w:t xml:space="preserve"> et al., 2024) financial services (Lee &amp; Shin, 2017). Digital payment platforms are one of the fastest-growing areas of FinTech innovations given the rise of smartphone usage, internet penetration and consumer preference for cashless payment.</w:t>
      </w:r>
    </w:p>
    <w:p w14:paraId="532059A6"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With the ongoing process of globalisation, international trade, migration and tourism, cross-border digital payments have become a hot topic. In the past, overseas remittances were known for their high remittance fees, slow processing speeds, and opacity. Digital payment platforms, however, have greatly simplified cross-border payment transactions by allowing faster settlements, reduced fees and enhanced access (Bank for International Settlements, 2023). As a result, governments and financial institutions around the world have taken steps to improve their interoperability to make international transactions more convenient and secure, while still complying with financial regulations.</w:t>
      </w:r>
    </w:p>
    <w:p w14:paraId="1B1C0901"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 xml:space="preserve">A major stride in this regard is the linkage of India's Unified Payments Interface (UPI) with Singapore's </w:t>
      </w:r>
      <w:proofErr w:type="spellStart"/>
      <w:r w:rsidRPr="00DF3A4F">
        <w:rPr>
          <w:rFonts w:ascii="Arial" w:hAnsi="Arial" w:cs="Arial"/>
          <w:sz w:val="24"/>
          <w:szCs w:val="24"/>
        </w:rPr>
        <w:t>PayNow</w:t>
      </w:r>
      <w:proofErr w:type="spellEnd"/>
      <w:r w:rsidRPr="00DF3A4F">
        <w:rPr>
          <w:rFonts w:ascii="Arial" w:hAnsi="Arial" w:cs="Arial"/>
          <w:sz w:val="24"/>
          <w:szCs w:val="24"/>
        </w:rPr>
        <w:t xml:space="preserve"> payment system. The partnership between NPCI and the Monetary Authority of Singapore (MAS) enables users in both countries to transfer money instantly via mobile numbers, cutting down costs and enhancing convenience (Monetary Authority of Singapore, 2023). This payment linkage is a significant step towards building digital payment infrastructure for the international market and will provide a massive opportunity for Indian FinTech companies like Paytm to expand into Singapore.</w:t>
      </w:r>
    </w:p>
    <w:p w14:paraId="1D921AB8"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However, some scholars have suggested that technological innovation is not enough for successful international expansion. Regulatory compliance, cybersecurity, customer trust and strategic partnerships are still key factors for success in international FinTech markets, as argued by Frost et al. (2019). In the same way, Arner et al. (2020) propose that international FinTech companies should tailor their business models to the regulatory landscape of each country in which they do business, yet provide efficient, satisfactory service to their customers.</w:t>
      </w:r>
    </w:p>
    <w:p w14:paraId="0917D6E5"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Another issue that has become a hot topic in cross-border payment systems is cybersecurity. A rise in digital transactions places financial institutions at risk of cyber threats, fraud and data privacy issues, according to Deloitte (2023). In response, FinTech companies need to invest in cutting-edge encryption systems, AI-powered fraud detection capabilities, and ongoing cybersecurity surveillance to ensure customer trust (</w:t>
      </w:r>
      <w:proofErr w:type="spellStart"/>
      <w:r w:rsidRPr="00DF3A4F">
        <w:rPr>
          <w:rFonts w:ascii="Arial" w:hAnsi="Arial" w:cs="Arial"/>
          <w:sz w:val="24"/>
          <w:szCs w:val="24"/>
        </w:rPr>
        <w:t>Karangara</w:t>
      </w:r>
      <w:proofErr w:type="spellEnd"/>
      <w:r w:rsidRPr="00DF3A4F">
        <w:rPr>
          <w:rFonts w:ascii="Arial" w:hAnsi="Arial" w:cs="Arial"/>
          <w:sz w:val="24"/>
          <w:szCs w:val="24"/>
        </w:rPr>
        <w:t xml:space="preserve"> &amp; Manta, 2024). The financial investments are especially crucial for the Paytm as the trust in the finances would directly impact on customers' acceptance in foreign countries.</w:t>
      </w:r>
    </w:p>
    <w:p w14:paraId="729BBEB1"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While the adoption of new technology has been explored in the digital payments’ literature, there is limited research looking at the link between technological capabilities and international business strategies for FinTech companies (</w:t>
      </w:r>
      <w:proofErr w:type="spellStart"/>
      <w:r w:rsidRPr="00DF3A4F">
        <w:rPr>
          <w:rFonts w:ascii="Arial" w:hAnsi="Arial" w:cs="Arial"/>
          <w:sz w:val="24"/>
          <w:szCs w:val="24"/>
        </w:rPr>
        <w:t>Sitanggang</w:t>
      </w:r>
      <w:proofErr w:type="spellEnd"/>
      <w:r w:rsidRPr="00DF3A4F">
        <w:rPr>
          <w:rFonts w:ascii="Arial" w:hAnsi="Arial" w:cs="Arial"/>
          <w:sz w:val="24"/>
          <w:szCs w:val="24"/>
        </w:rPr>
        <w:t xml:space="preserve"> et al., 2024). Most of the research has concentrated on either consumer technology adoption or financial innovation, not expansion into foreign markets. Given this, this study aims to fill this gap by integrating and applying the concepts of FinTech and strategic management theories to analyse Paytm's expansion into Singapore.</w:t>
      </w:r>
    </w:p>
    <w:p w14:paraId="5BEF92A5" w14:textId="77777777" w:rsidR="00133CD9" w:rsidRPr="00DF3A4F" w:rsidRDefault="00133CD9" w:rsidP="00133CD9">
      <w:pPr>
        <w:pStyle w:val="Heading2"/>
        <w:spacing w:line="360" w:lineRule="auto"/>
        <w:jc w:val="both"/>
        <w:rPr>
          <w:rFonts w:ascii="Arial" w:hAnsi="Arial" w:cs="Arial"/>
          <w:sz w:val="24"/>
          <w:szCs w:val="24"/>
        </w:rPr>
      </w:pPr>
      <w:bookmarkStart w:id="12" w:name="_Toc238739765"/>
      <w:r w:rsidRPr="00DF3A4F">
        <w:rPr>
          <w:rFonts w:ascii="Arial" w:hAnsi="Arial" w:cs="Arial"/>
          <w:sz w:val="24"/>
          <w:szCs w:val="24"/>
        </w:rPr>
        <w:t>2.5 Strategic Management Frameworks</w:t>
      </w:r>
      <w:bookmarkEnd w:id="12"/>
      <w:r w:rsidRPr="00DF3A4F">
        <w:rPr>
          <w:rFonts w:ascii="Arial" w:hAnsi="Arial" w:cs="Arial"/>
          <w:sz w:val="24"/>
          <w:szCs w:val="24"/>
        </w:rPr>
        <w:t xml:space="preserve"> </w:t>
      </w:r>
    </w:p>
    <w:p w14:paraId="10D9B802"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Organisations can use strategic management frameworks to assess their internal resources, competitive landscape and growth prospects before entering new markets (Nweke &amp; Nweke, 2024). The Resource Based View (RBV) of the firm, VRIO Framework, Porter's Competitive Strategy, and Ansoff's Growth Matrix are some important strategic theories that will be used as analytical foundations in this study, as it aims to produce a business development proposal for the expansion of Paytm into other countries.</w:t>
      </w:r>
    </w:p>
    <w:p w14:paraId="0B74E611"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Barney (1991) developed a concept called the Resource-Based View (RBV) which states that sustainable competitive advantage comes from valuable, rare, hard-to-imitate, and effectively-organised organisational resources. Compared to external market-based theories, RBV focuses on internal factors like technology, knowledge of the organisation, innovation and reputation of the brand (Uyanık, 2023). Many research studies have shown that a firm with sufficient technological capability has better long-term performance as it is difficult to replicate its strategic capabilities by its competitors (Barney &amp; Hesterly, 2005).</w:t>
      </w:r>
    </w:p>
    <w:p w14:paraId="1EAADCA4"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For Paytm, RBV implies that technology platform, a vast merchant network, recognised brand and integrated financial ecosystem are strategic resources that facilitate expansion beyond the borders (Gregory et al., 2017). However, critics state that RBV is largely an internal organizational strength-based approach and is somewhat less sensitive to the rapidly evolving external marketplace (Priem and Butler, 2001). Therefore, RBV must be supported by measures that assess the competitive environment and market attractiveness.</w:t>
      </w:r>
    </w:p>
    <w:p w14:paraId="1BDF377A" w14:textId="2C73FE6D"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 xml:space="preserve">Barney (1997) developed a VRIO Framework that extends the RBV and examines whether organizational resources can give an organization a sustainable competitive advantage by looking at whether they are Valuable, Rare, Inimitable and Organised. Resources that meet all four criteria create a </w:t>
      </w:r>
      <w:r w:rsidR="00450056" w:rsidRPr="00DF3A4F">
        <w:rPr>
          <w:rFonts w:ascii="Arial" w:hAnsi="Arial" w:cs="Arial"/>
          <w:sz w:val="24"/>
          <w:szCs w:val="24"/>
        </w:rPr>
        <w:t>long-term</w:t>
      </w:r>
      <w:r w:rsidRPr="00DF3A4F">
        <w:rPr>
          <w:rFonts w:ascii="Arial" w:hAnsi="Arial" w:cs="Arial"/>
          <w:sz w:val="24"/>
          <w:szCs w:val="24"/>
        </w:rPr>
        <w:t xml:space="preserve"> competitive advantage that is hard to imitate. In the context of successful internationalisation, proprietary payment technology, UPI integration, wide merchant network, and brand awareness can be analysed using the VRIO framework (Jerome et al., 2023). However, VRIO focuses on the evaluation of the current resources and it is no less significant that the external environment is also </w:t>
      </w:r>
      <w:r w:rsidR="00450056" w:rsidRPr="00DF3A4F">
        <w:rPr>
          <w:rFonts w:ascii="Arial" w:hAnsi="Arial" w:cs="Arial"/>
          <w:sz w:val="24"/>
          <w:szCs w:val="24"/>
        </w:rPr>
        <w:t>analysed</w:t>
      </w:r>
      <w:r w:rsidRPr="00DF3A4F">
        <w:rPr>
          <w:rFonts w:ascii="Arial" w:hAnsi="Arial" w:cs="Arial"/>
          <w:sz w:val="24"/>
          <w:szCs w:val="24"/>
        </w:rPr>
        <w:t>.</w:t>
      </w:r>
    </w:p>
    <w:p w14:paraId="5D600A20" w14:textId="5FD83F33"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 xml:space="preserve">Porter's Competitive Strategy offers an external </w:t>
      </w:r>
      <w:r w:rsidR="00690344" w:rsidRPr="00DF3A4F">
        <w:rPr>
          <w:rFonts w:ascii="Arial" w:hAnsi="Arial" w:cs="Arial"/>
          <w:sz w:val="24"/>
          <w:szCs w:val="24"/>
        </w:rPr>
        <w:t>perspective,</w:t>
      </w:r>
      <w:r w:rsidRPr="00DF3A4F">
        <w:rPr>
          <w:rFonts w:ascii="Arial" w:hAnsi="Arial" w:cs="Arial"/>
          <w:sz w:val="24"/>
          <w:szCs w:val="24"/>
        </w:rPr>
        <w:t xml:space="preserve"> and it examines the competition in the industry and the positioning of the organisation. Porter (1985) states that there are three ways of gaining competitive advantage – cost leadership, differentiation and focus. Digital payment providers typically compete on service quality and technological innovation, as well as pricing and customer experience, but not just on transaction costs (Kazan et al., 2018). Paytm's proposed expansion to Singapore will mostly be based on differentiation, through providing easy-to-use UPI-enabled cross-border payment services, extensive merchant integration and competitive transaction fees (Williams et al., 2025). Porter, however, has been criticised for his assumption of relatively stable market conditions, whereas the FinTech industries are subject to rapid change in terms of technological disruption and regulatory changes (Grant, 2005).</w:t>
      </w:r>
    </w:p>
    <w:p w14:paraId="4871606A"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Another popular growth matrix is Ansoff's Growth Matrix, which outlines the four growth strategies of Ansoff's growth matrix: market penetration, product development, market development and diversification (Ansoff, 1957). Paytm's move to Singapore is an example of market development, as they are taking an existing digital payment service to a new geographic market. Market development is usually less risky than diversification as the companies leverage on their existing competencies and new customers are sought out (Ginevičius, 2023). But the success of market development relies on the success of market research, compliance with regulations, and the adaptation to local customer preferences.</w:t>
      </w:r>
    </w:p>
    <w:p w14:paraId="408CA6D6"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Together, these strategic management tools illustrate that international expansion will be successful when internal organisational skills match external market opportunities. The RBV and VRIO concept help understand how Paytm leverages its technological assets to gain a competitive advantage, while Porter's strategy and Ansoff's framework offer guidance on competitive positioning and potential international expansion (Antony &amp; P.S, 2026). Hence, a blend of these theories provides a broad analytical base to build Paytm's business development strategy for Singapore.</w:t>
      </w:r>
    </w:p>
    <w:p w14:paraId="6EE941E5" w14:textId="77777777" w:rsidR="00133CD9" w:rsidRPr="00DF3A4F" w:rsidRDefault="00133CD9" w:rsidP="00133CD9">
      <w:pPr>
        <w:pStyle w:val="Heading2"/>
        <w:spacing w:line="360" w:lineRule="auto"/>
        <w:jc w:val="both"/>
        <w:rPr>
          <w:rFonts w:ascii="Arial" w:hAnsi="Arial" w:cs="Arial"/>
          <w:color w:val="000000"/>
          <w:sz w:val="24"/>
          <w:szCs w:val="24"/>
        </w:rPr>
      </w:pPr>
      <w:bookmarkStart w:id="13" w:name="_Toc238739766"/>
      <w:r w:rsidRPr="00DF3A4F">
        <w:rPr>
          <w:rFonts w:ascii="Arial" w:hAnsi="Arial" w:cs="Arial"/>
          <w:sz w:val="24"/>
          <w:szCs w:val="24"/>
        </w:rPr>
        <w:t>2.6 Market Entry Strategies</w:t>
      </w:r>
      <w:bookmarkEnd w:id="13"/>
      <w:r w:rsidRPr="00DF3A4F">
        <w:rPr>
          <w:rFonts w:ascii="Arial" w:hAnsi="Arial" w:cs="Arial"/>
          <w:sz w:val="24"/>
          <w:szCs w:val="24"/>
        </w:rPr>
        <w:t xml:space="preserve"> </w:t>
      </w:r>
    </w:p>
    <w:p w14:paraId="0591EC73"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choice of a market entry strategy is one of the most important decisions organisations can make when expanding their business internationally as it will determine how much investment, control, financial risk and competitive performance can be expected in the future (Hill, 2022). The literature outlines a number of entry strategies that are commonly followed, such as exporting, licensing, franchising, joint ventures, strategic alliances, acquisitions and wholly owned subsidiaries. Which of these is appropriate depends on the resources, requirements, characteristics and goals of the organization.</w:t>
      </w:r>
    </w:p>
    <w:p w14:paraId="4A28ADCD"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Licensing allows the firms to gain access to foreign markets with a comparatively small amount of capital since the local firms can provide the business with technology or intellectual property rights. (Arora et al., 2000). Although licensing decreases risk of money, it also decreases managerial control and increases the risk of knowledge leakage (Root, 1994). For a technology-driven company like Paytm, licensing could also compromise competitive edge since proprietary payment technologies and customer data need tight control in the organisation.</w:t>
      </w:r>
    </w:p>
    <w:p w14:paraId="15A069E4"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A Joint Venture is the formation of a new organisation that is owned by a foreign and domestic organisation. Beamish and Lupton (2009) suggest that the benefits of a joint venture are that it allows access to local market knowledge, can be used for sharing resources and lowers the risk of market entry in foreign markets. But conflicts between organisations often occur due to conflicting organisational cultures, management approaches and business goals, which can limit the efficiency of operating the business. To be successful, joint ventures must be well governed and well-co-ordinated, over time.</w:t>
      </w:r>
    </w:p>
    <w:p w14:paraId="460B1031"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For FinTech firms, strategic alliances are gaining in popularity as a strategy to work together without forming a new legal entity. Kale and Singh (2009) noted that strategic alliances foster the sharing of knowledge, technology, collaboration and integration of resources but leave the organisations independent. Partnerships with banks, payment networks and regulatory bodies help companies enter the food value chain, as they boost customer trust and enable them to meet local regulatory requirements (</w:t>
      </w:r>
      <w:proofErr w:type="spellStart"/>
      <w:r w:rsidRPr="00DF3A4F">
        <w:rPr>
          <w:rFonts w:ascii="Arial" w:hAnsi="Arial" w:cs="Arial"/>
          <w:sz w:val="24"/>
          <w:szCs w:val="24"/>
        </w:rPr>
        <w:t>Klus</w:t>
      </w:r>
      <w:proofErr w:type="spellEnd"/>
      <w:r w:rsidRPr="00DF3A4F">
        <w:rPr>
          <w:rFonts w:ascii="Arial" w:hAnsi="Arial" w:cs="Arial"/>
          <w:sz w:val="24"/>
          <w:szCs w:val="24"/>
        </w:rPr>
        <w:t xml:space="preserve"> et al., 2019). The existing partnership between the UPI system in India and the </w:t>
      </w:r>
      <w:proofErr w:type="spellStart"/>
      <w:r w:rsidRPr="00DF3A4F">
        <w:rPr>
          <w:rFonts w:ascii="Arial" w:hAnsi="Arial" w:cs="Arial"/>
          <w:sz w:val="24"/>
          <w:szCs w:val="24"/>
        </w:rPr>
        <w:t>PayNow</w:t>
      </w:r>
      <w:proofErr w:type="spellEnd"/>
      <w:r w:rsidRPr="00DF3A4F">
        <w:rPr>
          <w:rFonts w:ascii="Arial" w:hAnsi="Arial" w:cs="Arial"/>
          <w:sz w:val="24"/>
          <w:szCs w:val="24"/>
        </w:rPr>
        <w:t xml:space="preserve"> system in Singapore is a good example of how strategic partnerships can enable cross-border digital payments in a way that does not involve massive amounts of investment.</w:t>
      </w:r>
    </w:p>
    <w:p w14:paraId="317902C4"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highest level of operational control is achieved through wholly owned subsidiaries, as organisations control all activities carried out within the foreign market in a separate fashion. While this allows companies to safeguard their exclusive technologies and ensure that services remain of high quality, it also demands significant financial investment and leaves companies vulnerable to higher political, economic and operational risk (Hill, 2022). The uncertainty of entering a new market may not be the right way to choose to go with a wholly owned subsidiary in the beginning for Paytm.</w:t>
      </w:r>
    </w:p>
    <w:p w14:paraId="0A6BE050"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According to the literature reviewed, strategic alliances seem to be the most suitable market entry strategy for Paytm's proposed market entry into Singapore. This approach not only helps to avoid financial risk, but also fosters collaboration with local financial institutions and payment service providers and boosts market penetration. Thus, strategic alliances offer a good balance of operational flexibility, resource utilization and sustainable competitive advantage.</w:t>
      </w:r>
    </w:p>
    <w:p w14:paraId="67891EFF" w14:textId="77777777" w:rsidR="00133CD9" w:rsidRPr="00DF3A4F" w:rsidRDefault="00133CD9" w:rsidP="00133CD9">
      <w:pPr>
        <w:pStyle w:val="Heading2"/>
        <w:spacing w:line="360" w:lineRule="auto"/>
        <w:jc w:val="both"/>
        <w:rPr>
          <w:rFonts w:ascii="Arial" w:hAnsi="Arial" w:cs="Arial"/>
          <w:sz w:val="24"/>
          <w:szCs w:val="24"/>
        </w:rPr>
      </w:pPr>
      <w:bookmarkStart w:id="14" w:name="_Toc238739767"/>
      <w:r w:rsidRPr="00DF3A4F">
        <w:rPr>
          <w:rFonts w:ascii="Arial" w:hAnsi="Arial" w:cs="Arial"/>
          <w:sz w:val="24"/>
          <w:szCs w:val="24"/>
        </w:rPr>
        <w:t>2.7 Research Gap</w:t>
      </w:r>
      <w:bookmarkEnd w:id="14"/>
      <w:r w:rsidRPr="00DF3A4F">
        <w:rPr>
          <w:rFonts w:ascii="Arial" w:hAnsi="Arial" w:cs="Arial"/>
          <w:sz w:val="24"/>
          <w:szCs w:val="24"/>
        </w:rPr>
        <w:t xml:space="preserve"> </w:t>
      </w:r>
    </w:p>
    <w:p w14:paraId="127716D9" w14:textId="77777777" w:rsidR="00133CD9" w:rsidRPr="00DF3A4F" w:rsidRDefault="00133CD9" w:rsidP="00133CD9">
      <w:pPr>
        <w:spacing w:line="360" w:lineRule="auto"/>
        <w:jc w:val="both"/>
        <w:rPr>
          <w:rFonts w:ascii="Arial" w:hAnsi="Arial" w:cs="Arial"/>
          <w:color w:val="000000"/>
          <w:sz w:val="24"/>
          <w:szCs w:val="24"/>
        </w:rPr>
      </w:pPr>
      <w:r w:rsidRPr="00DF3A4F">
        <w:rPr>
          <w:rFonts w:ascii="Arial" w:hAnsi="Arial" w:cs="Arial"/>
          <w:color w:val="000000"/>
          <w:sz w:val="24"/>
          <w:szCs w:val="24"/>
        </w:rPr>
        <w:t>The literature shows that a large number of studies have been carried out on the adoption of digital payments and the innovation of FinTech and international business. Both the Technology Acceptance Model (TAM) and the Unified Theory of Acceptance and Use of Technology (UTAUT) are mainly used in studies concerning consumer behaviour and the acceptance of technology in the domestic market. Likewise, studies on international business expansion have focussed mostly on multinational manufacturing companies with only a few studies focusing on digital financial service providers.</w:t>
      </w:r>
    </w:p>
    <w:p w14:paraId="7DB4401F" w14:textId="77777777" w:rsidR="00133CD9" w:rsidRPr="00DF3A4F" w:rsidRDefault="00133CD9" w:rsidP="00133CD9">
      <w:pPr>
        <w:spacing w:line="360" w:lineRule="auto"/>
        <w:jc w:val="both"/>
        <w:rPr>
          <w:rFonts w:ascii="Arial" w:hAnsi="Arial" w:cs="Arial"/>
          <w:color w:val="000000"/>
          <w:sz w:val="24"/>
          <w:szCs w:val="24"/>
        </w:rPr>
      </w:pPr>
      <w:r w:rsidRPr="00DF3A4F">
        <w:rPr>
          <w:rFonts w:ascii="Arial" w:hAnsi="Arial" w:cs="Arial"/>
          <w:color w:val="000000"/>
          <w:sz w:val="24"/>
          <w:szCs w:val="24"/>
        </w:rPr>
        <w:t>Moreover, the literature on adoption of digital payment, competitive strategy and internationalisation are examined as individual pieces of research, not as part of an integrated business development framework. There is also limited research on Paytm's foray into the international markets in Singapore, despite the introduction of the UPI–</w:t>
      </w:r>
      <w:proofErr w:type="spellStart"/>
      <w:r w:rsidRPr="00DF3A4F">
        <w:rPr>
          <w:rFonts w:ascii="Arial" w:hAnsi="Arial" w:cs="Arial"/>
          <w:color w:val="000000"/>
          <w:sz w:val="24"/>
          <w:szCs w:val="24"/>
        </w:rPr>
        <w:t>PayNow</w:t>
      </w:r>
      <w:proofErr w:type="spellEnd"/>
      <w:r w:rsidRPr="00DF3A4F">
        <w:rPr>
          <w:rFonts w:ascii="Arial" w:hAnsi="Arial" w:cs="Arial"/>
          <w:color w:val="000000"/>
          <w:sz w:val="24"/>
          <w:szCs w:val="24"/>
        </w:rPr>
        <w:t xml:space="preserve"> linkage, which has opened new avenues for cross-border digital payment services.</w:t>
      </w:r>
    </w:p>
    <w:p w14:paraId="070CD56F" w14:textId="77777777" w:rsidR="00133CD9" w:rsidRPr="00DF3A4F" w:rsidRDefault="00133CD9" w:rsidP="00133CD9">
      <w:pPr>
        <w:spacing w:line="360" w:lineRule="auto"/>
        <w:jc w:val="both"/>
        <w:rPr>
          <w:rFonts w:ascii="Arial" w:hAnsi="Arial" w:cs="Arial"/>
          <w:color w:val="000000"/>
          <w:sz w:val="24"/>
          <w:szCs w:val="24"/>
        </w:rPr>
      </w:pPr>
      <w:r w:rsidRPr="00DF3A4F">
        <w:rPr>
          <w:rFonts w:ascii="Arial" w:hAnsi="Arial" w:cs="Arial"/>
          <w:color w:val="000000"/>
          <w:sz w:val="24"/>
          <w:szCs w:val="24"/>
        </w:rPr>
        <w:t>This dissertation aims to tackle these gaps by combining the theories of digital payment adoption with the models of international business expansion and the strategic management approaches to come up with an evidence-based business development plan for Paytm's expansion to Singapore.</w:t>
      </w:r>
    </w:p>
    <w:p w14:paraId="1264B3A8" w14:textId="77777777" w:rsidR="00133CD9" w:rsidRPr="00DF3A4F" w:rsidRDefault="00133CD9" w:rsidP="00133CD9">
      <w:pPr>
        <w:pStyle w:val="Heading2"/>
        <w:spacing w:line="360" w:lineRule="auto"/>
        <w:jc w:val="both"/>
        <w:rPr>
          <w:rFonts w:ascii="Arial" w:hAnsi="Arial" w:cs="Arial"/>
          <w:sz w:val="24"/>
          <w:szCs w:val="24"/>
        </w:rPr>
      </w:pPr>
      <w:bookmarkStart w:id="15" w:name="_Toc238739768"/>
      <w:r w:rsidRPr="00DF3A4F">
        <w:rPr>
          <w:rFonts w:ascii="Arial" w:hAnsi="Arial" w:cs="Arial"/>
          <w:sz w:val="24"/>
          <w:szCs w:val="24"/>
        </w:rPr>
        <w:t>2.8 Conceptual Framework</w:t>
      </w:r>
      <w:bookmarkEnd w:id="15"/>
      <w:r w:rsidRPr="00DF3A4F">
        <w:rPr>
          <w:rFonts w:ascii="Arial" w:hAnsi="Arial" w:cs="Arial"/>
          <w:sz w:val="24"/>
          <w:szCs w:val="24"/>
        </w:rPr>
        <w:t xml:space="preserve"> </w:t>
      </w:r>
    </w:p>
    <w:p w14:paraId="3C4CED94" w14:textId="77777777" w:rsidR="00133CD9" w:rsidRPr="00DF3A4F" w:rsidRDefault="00133CD9" w:rsidP="00133CD9">
      <w:pPr>
        <w:rPr>
          <w:rFonts w:ascii="Arial" w:hAnsi="Arial" w:cs="Arial"/>
          <w:b/>
          <w:bCs/>
          <w:color w:val="000000"/>
          <w:sz w:val="24"/>
          <w:szCs w:val="24"/>
        </w:rPr>
      </w:pPr>
      <w:r w:rsidRPr="00DF3A4F">
        <w:rPr>
          <w:rFonts w:ascii="Arial" w:hAnsi="Arial" w:cs="Arial"/>
          <w:b/>
          <w:bCs/>
          <w:color w:val="000000"/>
          <w:sz w:val="24"/>
          <w:szCs w:val="24"/>
        </w:rPr>
        <w:t>Figure 2.1 Conceptual Framework</w:t>
      </w:r>
    </w:p>
    <w:p w14:paraId="6E430D6C" w14:textId="77777777" w:rsidR="00133CD9" w:rsidRPr="00DF3A4F" w:rsidRDefault="00133CD9" w:rsidP="00133CD9">
      <w:pPr>
        <w:rPr>
          <w:rFonts w:ascii="Arial" w:hAnsi="Arial" w:cs="Arial"/>
        </w:rPr>
      </w:pPr>
      <w:r w:rsidRPr="00DF3A4F">
        <w:rPr>
          <w:rFonts w:ascii="Arial" w:hAnsi="Arial" w:cs="Arial"/>
          <w:noProof/>
        </w:rPr>
        <w:drawing>
          <wp:inline distT="0" distB="0" distL="0" distR="0" wp14:anchorId="4CDC7923" wp14:editId="41201665">
            <wp:extent cx="5731510" cy="2546985"/>
            <wp:effectExtent l="0" t="0" r="2540" b="5715"/>
            <wp:docPr id="16534224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422402" name=""/>
                    <pic:cNvPicPr/>
                  </pic:nvPicPr>
                  <pic:blipFill>
                    <a:blip r:embed="rId8"/>
                    <a:stretch>
                      <a:fillRect/>
                    </a:stretch>
                  </pic:blipFill>
                  <pic:spPr>
                    <a:xfrm>
                      <a:off x="0" y="0"/>
                      <a:ext cx="5731510" cy="2546985"/>
                    </a:xfrm>
                    <a:prstGeom prst="rect">
                      <a:avLst/>
                    </a:prstGeom>
                  </pic:spPr>
                </pic:pic>
              </a:graphicData>
            </a:graphic>
          </wp:inline>
        </w:drawing>
      </w:r>
    </w:p>
    <w:p w14:paraId="1D66CD17" w14:textId="77777777" w:rsidR="00133CD9" w:rsidRPr="00DF3A4F" w:rsidRDefault="00133CD9" w:rsidP="00133CD9">
      <w:pPr>
        <w:rPr>
          <w:rFonts w:ascii="Arial" w:hAnsi="Arial" w:cs="Arial"/>
          <w:color w:val="000000"/>
          <w:sz w:val="24"/>
          <w:szCs w:val="24"/>
        </w:rPr>
      </w:pPr>
      <w:r w:rsidRPr="00DF3A4F">
        <w:rPr>
          <w:rFonts w:ascii="Arial" w:hAnsi="Arial" w:cs="Arial"/>
          <w:color w:val="000000"/>
          <w:sz w:val="24"/>
          <w:szCs w:val="24"/>
        </w:rPr>
        <w:t>Source: Authors’ creation</w:t>
      </w:r>
    </w:p>
    <w:p w14:paraId="0BD6B1B7" w14:textId="77777777" w:rsidR="00133CD9" w:rsidRPr="00DF3A4F" w:rsidRDefault="00133CD9" w:rsidP="00133CD9">
      <w:pPr>
        <w:spacing w:line="360" w:lineRule="auto"/>
        <w:jc w:val="both"/>
        <w:rPr>
          <w:rFonts w:ascii="Arial" w:hAnsi="Arial" w:cs="Arial"/>
          <w:color w:val="000000"/>
          <w:sz w:val="24"/>
          <w:szCs w:val="24"/>
        </w:rPr>
      </w:pPr>
      <w:r w:rsidRPr="00DF3A4F">
        <w:rPr>
          <w:rFonts w:ascii="Arial" w:hAnsi="Arial" w:cs="Arial"/>
          <w:color w:val="000000"/>
          <w:sz w:val="24"/>
          <w:szCs w:val="24"/>
        </w:rPr>
        <w:t>The conceptual framework shows the relationship between the main constructs studied in this research and is used as the theoretical base for the business development strategy proposed in this research. The framework merges theories of technology adoption, strategic management and literature on international business expansion to provide the context for understanding the impact of Paytm's internal capability on successful market entry in Singapore.</w:t>
      </w:r>
    </w:p>
    <w:p w14:paraId="466C8276" w14:textId="77777777" w:rsidR="00133CD9" w:rsidRPr="00DF3A4F" w:rsidRDefault="00133CD9" w:rsidP="00133CD9">
      <w:pPr>
        <w:spacing w:line="360" w:lineRule="auto"/>
        <w:jc w:val="both"/>
        <w:rPr>
          <w:rFonts w:ascii="Arial" w:hAnsi="Arial" w:cs="Arial"/>
          <w:color w:val="000000"/>
          <w:sz w:val="24"/>
          <w:szCs w:val="24"/>
        </w:rPr>
      </w:pPr>
      <w:r w:rsidRPr="00DF3A4F">
        <w:rPr>
          <w:rFonts w:ascii="Arial" w:hAnsi="Arial" w:cs="Arial"/>
          <w:color w:val="000000"/>
          <w:sz w:val="24"/>
          <w:szCs w:val="24"/>
        </w:rPr>
        <w:t>The framework brings the key idea that the strategic resources of Paytm would enable to build its competitive capability and aid in making a successful assessment of Singapore's attractiveness. The market entry choices then have a bearing on the financial viability and the success of Paytas' international expansion plan. This comprehensive structure supports the analysis in the following chapters.</w:t>
      </w:r>
    </w:p>
    <w:p w14:paraId="4BD5BF8F" w14:textId="77777777" w:rsidR="00133CD9" w:rsidRPr="00DF3A4F" w:rsidRDefault="00133CD9" w:rsidP="00133CD9">
      <w:pPr>
        <w:pStyle w:val="Heading2"/>
        <w:spacing w:line="360" w:lineRule="auto"/>
        <w:jc w:val="both"/>
        <w:rPr>
          <w:rFonts w:ascii="Arial" w:hAnsi="Arial" w:cs="Arial"/>
          <w:sz w:val="24"/>
          <w:szCs w:val="24"/>
        </w:rPr>
      </w:pPr>
      <w:bookmarkStart w:id="16" w:name="_Toc238739769"/>
      <w:r w:rsidRPr="00DF3A4F">
        <w:rPr>
          <w:rFonts w:ascii="Arial" w:hAnsi="Arial" w:cs="Arial"/>
          <w:sz w:val="24"/>
          <w:szCs w:val="24"/>
        </w:rPr>
        <w:t>2.9 Chapter Summary</w:t>
      </w:r>
      <w:bookmarkEnd w:id="16"/>
      <w:r w:rsidRPr="00DF3A4F">
        <w:rPr>
          <w:rFonts w:ascii="Arial" w:hAnsi="Arial" w:cs="Arial"/>
          <w:sz w:val="24"/>
          <w:szCs w:val="24"/>
        </w:rPr>
        <w:t xml:space="preserve"> </w:t>
      </w:r>
    </w:p>
    <w:p w14:paraId="6222B0DB" w14:textId="77777777" w:rsidR="00133CD9" w:rsidRPr="00DF3A4F" w:rsidRDefault="00133CD9" w:rsidP="00133CD9">
      <w:pPr>
        <w:spacing w:line="360" w:lineRule="auto"/>
        <w:jc w:val="both"/>
        <w:rPr>
          <w:rFonts w:ascii="Arial" w:hAnsi="Arial" w:cs="Arial"/>
          <w:color w:val="000000"/>
          <w:sz w:val="24"/>
          <w:szCs w:val="24"/>
        </w:rPr>
      </w:pPr>
      <w:r w:rsidRPr="00DF3A4F">
        <w:rPr>
          <w:rFonts w:ascii="Arial" w:hAnsi="Arial" w:cs="Arial"/>
          <w:color w:val="000000"/>
          <w:sz w:val="24"/>
          <w:szCs w:val="24"/>
        </w:rPr>
        <w:t>This chapter critically reviewed the literature relating to digital payment adoption, international business expansion, FinTech innovation, strategic management and market entry strategies. The review showed that although theories like TAM, UTAUT, the Resource Based View, VRIO, Porter's Competitive Strategy and Ansoff's Growth Matrix are useful for understanding the adoption of technology and organisational growth, they have not been applied together in previous studies to understand international expansion in the FinTech sector. Moreover, Paytm's growth in Singapore after implementing the UPI–</w:t>
      </w:r>
      <w:proofErr w:type="spellStart"/>
      <w:r w:rsidRPr="00DF3A4F">
        <w:rPr>
          <w:rFonts w:ascii="Arial" w:hAnsi="Arial" w:cs="Arial"/>
          <w:color w:val="000000"/>
          <w:sz w:val="24"/>
          <w:szCs w:val="24"/>
        </w:rPr>
        <w:t>PayNow</w:t>
      </w:r>
      <w:proofErr w:type="spellEnd"/>
      <w:r w:rsidRPr="00DF3A4F">
        <w:rPr>
          <w:rFonts w:ascii="Arial" w:hAnsi="Arial" w:cs="Arial"/>
          <w:color w:val="000000"/>
          <w:sz w:val="24"/>
          <w:szCs w:val="24"/>
        </w:rPr>
        <w:t xml:space="preserve"> payment linkage has not been specifically studied. Therefore, this study contributes to the body of knowledge to fill the gap between strategic management theory and international business analysis for the creation of a detailed business development plan. The methodology for the research conducted to understand the commercial viability of Paytm's proposed play to expand into the new market is discussed in the next chapter.</w:t>
      </w:r>
    </w:p>
    <w:p w14:paraId="67E7AE94" w14:textId="77777777" w:rsidR="00133CD9" w:rsidRPr="00DF3A4F" w:rsidRDefault="00133CD9" w:rsidP="00133CD9">
      <w:pPr>
        <w:spacing w:line="360" w:lineRule="auto"/>
        <w:jc w:val="both"/>
        <w:rPr>
          <w:rFonts w:ascii="Arial" w:hAnsi="Arial" w:cs="Arial"/>
          <w:color w:val="000000"/>
          <w:sz w:val="24"/>
          <w:szCs w:val="24"/>
        </w:rPr>
      </w:pPr>
      <w:r w:rsidRPr="00DF3A4F">
        <w:rPr>
          <w:rFonts w:ascii="Arial" w:hAnsi="Arial" w:cs="Arial"/>
          <w:b/>
          <w:bCs/>
          <w:sz w:val="24"/>
          <w:szCs w:val="24"/>
        </w:rPr>
        <w:br w:type="page"/>
      </w:r>
    </w:p>
    <w:p w14:paraId="3E21489F" w14:textId="77777777" w:rsidR="00133CD9" w:rsidRPr="00DF3A4F" w:rsidRDefault="00133CD9" w:rsidP="00133CD9">
      <w:pPr>
        <w:pStyle w:val="Heading1"/>
        <w:rPr>
          <w:rFonts w:ascii="Arial" w:hAnsi="Arial" w:cs="Arial"/>
          <w:szCs w:val="24"/>
        </w:rPr>
      </w:pPr>
      <w:bookmarkStart w:id="17" w:name="_Toc238739770"/>
      <w:r w:rsidRPr="00DF3A4F">
        <w:rPr>
          <w:rFonts w:ascii="Arial" w:hAnsi="Arial" w:cs="Arial"/>
          <w:szCs w:val="24"/>
        </w:rPr>
        <w:t>Chapter 3: Research Methodology</w:t>
      </w:r>
      <w:bookmarkEnd w:id="17"/>
    </w:p>
    <w:p w14:paraId="1DEBC1F9" w14:textId="77777777" w:rsidR="00133CD9" w:rsidRPr="00DF3A4F" w:rsidRDefault="00133CD9" w:rsidP="00133CD9">
      <w:pPr>
        <w:pStyle w:val="Heading2"/>
        <w:rPr>
          <w:rFonts w:ascii="Arial" w:hAnsi="Arial" w:cs="Arial"/>
          <w:sz w:val="24"/>
          <w:szCs w:val="24"/>
        </w:rPr>
      </w:pPr>
      <w:bookmarkStart w:id="18" w:name="_Toc238739771"/>
      <w:r w:rsidRPr="00DF3A4F">
        <w:rPr>
          <w:rFonts w:ascii="Arial" w:hAnsi="Arial" w:cs="Arial"/>
          <w:sz w:val="24"/>
          <w:szCs w:val="24"/>
        </w:rPr>
        <w:t>3.1 Introduction</w:t>
      </w:r>
      <w:bookmarkEnd w:id="18"/>
    </w:p>
    <w:p w14:paraId="787D287F"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research methodology used for the preparation of a business development proposal to enter the Singapore market for Paytm's international operation in the form of cross-border digital payments is discussed in this chapter. The need for a well-designed research methodology is critical as it will ensure that the research results obtained are systematic, reliable and can be used to make informed decisions regarding strategy (Saunders et al., 2023). The methodology provides information about the philosophical underpinnings, research design, data collection, data analysis, reliability and validity of the study, ethical issues and limitations of the study.</w:t>
      </w:r>
    </w:p>
    <w:p w14:paraId="7487956E"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This dissertation attempts to create a viable business development strategy rather than test the hypotheses with statistical analysis, which is the norm of academia. Hence, the overall study adopts the secondary, qualitative method of research, which allows the researchers to thoroughly examine the internal capacity of Paytm and the external environment of business in Singapore and the opportunities for its internationalisation based on academic and industry research.</w:t>
      </w:r>
    </w:p>
    <w:p w14:paraId="107CA290" w14:textId="77777777" w:rsidR="00133CD9" w:rsidRPr="00DF3A4F" w:rsidRDefault="00133CD9" w:rsidP="00133CD9">
      <w:pPr>
        <w:pStyle w:val="Heading2"/>
        <w:rPr>
          <w:rFonts w:ascii="Arial" w:hAnsi="Arial" w:cs="Arial"/>
          <w:sz w:val="24"/>
          <w:szCs w:val="24"/>
        </w:rPr>
      </w:pPr>
      <w:bookmarkStart w:id="19" w:name="_Toc238739772"/>
      <w:r w:rsidRPr="00DF3A4F">
        <w:rPr>
          <w:rFonts w:ascii="Arial" w:hAnsi="Arial" w:cs="Arial"/>
          <w:sz w:val="24"/>
          <w:szCs w:val="24"/>
        </w:rPr>
        <w:t>3.2 Research Philosophy</w:t>
      </w:r>
      <w:bookmarkEnd w:id="19"/>
    </w:p>
    <w:p w14:paraId="18751CB2"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Research philosophy is the set of assumptions which underpins the process of research and the interpretation of the results (Saunders et al., 2023). This study has an interpretive philosophy that assumes that there are several contextual factors that affect business decisions, such as organisational strategies, market conditions, regulatory environments and stakeholders' perspectives. Instead of applying a trial-and-error approach to finding any laws by applying numbers to test them, interpretivism emphasises trying to grasp complex business phenomena by interpreting what already exists.</w:t>
      </w:r>
    </w:p>
    <w:p w14:paraId="5FDA9CD9"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interpretivist approach is suited well to the research as it explores strategic business development and not causal relationships between variables. In order to assess Paytm's international expansion, it is crucial to interpret the organisational resources, competitive environment and the strategic alternatives, which can be done through the use of information from academic literature, company reports and policy documents. Thus, interpretivism can help to gain a deeper insight into the business opportunities and problems encountered by the introduction of digital payments services to Singapore.</w:t>
      </w:r>
    </w:p>
    <w:p w14:paraId="60C015E9" w14:textId="77777777" w:rsidR="00133CD9" w:rsidRPr="00DF3A4F" w:rsidRDefault="00133CD9" w:rsidP="00133CD9">
      <w:pPr>
        <w:pStyle w:val="Heading2"/>
        <w:rPr>
          <w:rFonts w:ascii="Arial" w:hAnsi="Arial" w:cs="Arial"/>
          <w:sz w:val="24"/>
          <w:szCs w:val="24"/>
        </w:rPr>
      </w:pPr>
      <w:bookmarkStart w:id="20" w:name="_Toc238739773"/>
      <w:r w:rsidRPr="00DF3A4F">
        <w:rPr>
          <w:rFonts w:ascii="Arial" w:hAnsi="Arial" w:cs="Arial"/>
          <w:sz w:val="24"/>
          <w:szCs w:val="24"/>
        </w:rPr>
        <w:t>3.3 Research Approach</w:t>
      </w:r>
      <w:bookmarkEnd w:id="20"/>
    </w:p>
    <w:p w14:paraId="441566C2"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study uses deductive approach of research. Deductive research is when a theory or theories are used and are applied to a particular organisational context (Saunders et al., 2023). The existing theories for Digital payment, international business expansion and Strategic management, such as Resource-Based View (RBV), VRIO Framework, Porter's Five Forces, CAGE Framework and Ansoff's Growth Matrix, are used to assess Paytm's proposed international expansion strategy.</w:t>
      </w:r>
    </w:p>
    <w:p w14:paraId="0413F586"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deductive approach is appropriate as there is no need to develop new theory but to consider the applicability of existing strategic frameworks to the situation at hand: Paytm's entry into Singapore. The results obtained from the above-mentioned frameworks will be the basis for evidence-based proposals for managerial decision-making.</w:t>
      </w:r>
    </w:p>
    <w:p w14:paraId="0CBECF61" w14:textId="77777777" w:rsidR="00133CD9" w:rsidRPr="00DF3A4F" w:rsidRDefault="00133CD9" w:rsidP="00133CD9">
      <w:pPr>
        <w:pStyle w:val="Heading2"/>
        <w:rPr>
          <w:rFonts w:ascii="Arial" w:hAnsi="Arial" w:cs="Arial"/>
          <w:sz w:val="24"/>
          <w:szCs w:val="24"/>
        </w:rPr>
      </w:pPr>
      <w:bookmarkStart w:id="21" w:name="_Toc238739774"/>
      <w:r w:rsidRPr="00DF3A4F">
        <w:rPr>
          <w:rFonts w:ascii="Arial" w:hAnsi="Arial" w:cs="Arial"/>
          <w:sz w:val="24"/>
          <w:szCs w:val="24"/>
        </w:rPr>
        <w:t>3.4 Research Design</w:t>
      </w:r>
      <w:bookmarkEnd w:id="21"/>
    </w:p>
    <w:p w14:paraId="0F266A79"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study is qualitative in nature with the case study approach, with the case organisation being Paytm. A case study is useful for an in-depth study of a single organisation in the context of its business world, which is beneficial for business development research (Yin, 2018). The case study approach will enable the intensive study of the capabilities of the organisation, strategic resources and opportunities for internationalisation of Paytm.</w:t>
      </w:r>
    </w:p>
    <w:p w14:paraId="4FCF5A34"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appropriate type of research is qualitative, as this type of research is suitable for exploring issues related to strategy which are not easily quantified, such as competitive positioning, regulatory environments, organisational capabilities and market attractiveness. Thus, the research concentrates on what factors they could consider while planning the expansion of Paytm, instead of testing statistically the relations between the variables.</w:t>
      </w:r>
    </w:p>
    <w:p w14:paraId="60C46A36" w14:textId="77777777" w:rsidR="00133CD9" w:rsidRPr="00DF3A4F" w:rsidRDefault="00133CD9" w:rsidP="00133CD9">
      <w:pPr>
        <w:pStyle w:val="Heading2"/>
        <w:rPr>
          <w:rFonts w:ascii="Arial" w:hAnsi="Arial" w:cs="Arial"/>
          <w:sz w:val="24"/>
          <w:szCs w:val="24"/>
        </w:rPr>
      </w:pPr>
      <w:bookmarkStart w:id="22" w:name="_Toc238739775"/>
      <w:r w:rsidRPr="00DF3A4F">
        <w:rPr>
          <w:rFonts w:ascii="Arial" w:hAnsi="Arial" w:cs="Arial"/>
          <w:sz w:val="24"/>
          <w:szCs w:val="24"/>
        </w:rPr>
        <w:t>3.5 Data Collection Method</w:t>
      </w:r>
      <w:bookmarkEnd w:id="22"/>
    </w:p>
    <w:p w14:paraId="6A2B73FA"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In this dissertation, only secondary qualitative data have been used. Secondary Data are data that have been previously gathered by governments, organisations, researchers and international organisations (Cheong et al., 2023). The appropriateness of using secondary data is justified as the study is about the evaluation of an existing organisation, where the information used is available in the public domain.</w:t>
      </w:r>
    </w:p>
    <w:p w14:paraId="200D4046"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following are the major sources of data:</w:t>
      </w:r>
    </w:p>
    <w:p w14:paraId="376779F9" w14:textId="77777777" w:rsidR="00133CD9" w:rsidRPr="00DF3A4F" w:rsidRDefault="00133CD9" w:rsidP="00133CD9">
      <w:pPr>
        <w:pStyle w:val="ListParagraph"/>
        <w:numPr>
          <w:ilvl w:val="0"/>
          <w:numId w:val="21"/>
        </w:numPr>
        <w:spacing w:line="360" w:lineRule="auto"/>
        <w:jc w:val="both"/>
        <w:rPr>
          <w:rFonts w:ascii="Arial" w:hAnsi="Arial" w:cs="Arial"/>
          <w:sz w:val="24"/>
          <w:szCs w:val="24"/>
        </w:rPr>
      </w:pPr>
      <w:r w:rsidRPr="00DF3A4F">
        <w:rPr>
          <w:rFonts w:ascii="Arial" w:hAnsi="Arial" w:cs="Arial"/>
          <w:sz w:val="24"/>
          <w:szCs w:val="24"/>
        </w:rPr>
        <w:t xml:space="preserve">Paytm Annual Reports </w:t>
      </w:r>
    </w:p>
    <w:p w14:paraId="17BF164F" w14:textId="77777777" w:rsidR="00133CD9" w:rsidRPr="00DF3A4F" w:rsidRDefault="00133CD9" w:rsidP="00133CD9">
      <w:pPr>
        <w:pStyle w:val="ListParagraph"/>
        <w:numPr>
          <w:ilvl w:val="0"/>
          <w:numId w:val="21"/>
        </w:numPr>
        <w:spacing w:line="360" w:lineRule="auto"/>
        <w:jc w:val="both"/>
        <w:rPr>
          <w:rFonts w:ascii="Arial" w:hAnsi="Arial" w:cs="Arial"/>
          <w:sz w:val="24"/>
          <w:szCs w:val="24"/>
        </w:rPr>
      </w:pPr>
      <w:r w:rsidRPr="00DF3A4F">
        <w:rPr>
          <w:rFonts w:ascii="Arial" w:hAnsi="Arial" w:cs="Arial"/>
          <w:sz w:val="24"/>
          <w:szCs w:val="24"/>
        </w:rPr>
        <w:t xml:space="preserve">National Payments Corporation of India (NPCI) reports </w:t>
      </w:r>
    </w:p>
    <w:p w14:paraId="18C787CE" w14:textId="77777777" w:rsidR="00133CD9" w:rsidRPr="00DF3A4F" w:rsidRDefault="00133CD9" w:rsidP="00133CD9">
      <w:pPr>
        <w:pStyle w:val="ListParagraph"/>
        <w:numPr>
          <w:ilvl w:val="0"/>
          <w:numId w:val="21"/>
        </w:numPr>
        <w:spacing w:line="360" w:lineRule="auto"/>
        <w:jc w:val="both"/>
        <w:rPr>
          <w:rFonts w:ascii="Arial" w:hAnsi="Arial" w:cs="Arial"/>
          <w:sz w:val="24"/>
          <w:szCs w:val="24"/>
        </w:rPr>
      </w:pPr>
      <w:r w:rsidRPr="00DF3A4F">
        <w:rPr>
          <w:rFonts w:ascii="Arial" w:hAnsi="Arial" w:cs="Arial"/>
          <w:sz w:val="24"/>
          <w:szCs w:val="24"/>
        </w:rPr>
        <w:t xml:space="preserve">Reserve Bank of India publications </w:t>
      </w:r>
    </w:p>
    <w:p w14:paraId="39B198AB" w14:textId="77777777" w:rsidR="00133CD9" w:rsidRPr="00DF3A4F" w:rsidRDefault="00133CD9" w:rsidP="00133CD9">
      <w:pPr>
        <w:pStyle w:val="ListParagraph"/>
        <w:numPr>
          <w:ilvl w:val="0"/>
          <w:numId w:val="21"/>
        </w:numPr>
        <w:spacing w:line="360" w:lineRule="auto"/>
        <w:jc w:val="both"/>
        <w:rPr>
          <w:rFonts w:ascii="Arial" w:hAnsi="Arial" w:cs="Arial"/>
          <w:sz w:val="24"/>
          <w:szCs w:val="24"/>
        </w:rPr>
      </w:pPr>
      <w:r w:rsidRPr="00DF3A4F">
        <w:rPr>
          <w:rFonts w:ascii="Arial" w:hAnsi="Arial" w:cs="Arial"/>
          <w:sz w:val="24"/>
          <w:szCs w:val="24"/>
        </w:rPr>
        <w:t xml:space="preserve">Monetary Authority of Singapore reports </w:t>
      </w:r>
    </w:p>
    <w:p w14:paraId="6D3A9FC0" w14:textId="77777777" w:rsidR="00133CD9" w:rsidRPr="00DF3A4F" w:rsidRDefault="00133CD9" w:rsidP="00133CD9">
      <w:pPr>
        <w:pStyle w:val="ListParagraph"/>
        <w:numPr>
          <w:ilvl w:val="0"/>
          <w:numId w:val="21"/>
        </w:numPr>
        <w:spacing w:line="360" w:lineRule="auto"/>
        <w:jc w:val="both"/>
        <w:rPr>
          <w:rFonts w:ascii="Arial" w:hAnsi="Arial" w:cs="Arial"/>
          <w:sz w:val="24"/>
          <w:szCs w:val="24"/>
        </w:rPr>
      </w:pPr>
      <w:r w:rsidRPr="00DF3A4F">
        <w:rPr>
          <w:rFonts w:ascii="Arial" w:hAnsi="Arial" w:cs="Arial"/>
          <w:sz w:val="24"/>
          <w:szCs w:val="24"/>
        </w:rPr>
        <w:t xml:space="preserve">World Bank publications </w:t>
      </w:r>
    </w:p>
    <w:p w14:paraId="7D0F7B76" w14:textId="77777777" w:rsidR="00133CD9" w:rsidRPr="00DF3A4F" w:rsidRDefault="00133CD9" w:rsidP="00133CD9">
      <w:pPr>
        <w:pStyle w:val="ListParagraph"/>
        <w:numPr>
          <w:ilvl w:val="0"/>
          <w:numId w:val="21"/>
        </w:numPr>
        <w:spacing w:line="360" w:lineRule="auto"/>
        <w:jc w:val="both"/>
        <w:rPr>
          <w:rFonts w:ascii="Arial" w:hAnsi="Arial" w:cs="Arial"/>
          <w:sz w:val="24"/>
          <w:szCs w:val="24"/>
        </w:rPr>
      </w:pPr>
      <w:r w:rsidRPr="00DF3A4F">
        <w:rPr>
          <w:rFonts w:ascii="Arial" w:hAnsi="Arial" w:cs="Arial"/>
          <w:sz w:val="24"/>
          <w:szCs w:val="24"/>
        </w:rPr>
        <w:t xml:space="preserve">OECD reports </w:t>
      </w:r>
    </w:p>
    <w:p w14:paraId="560061AA" w14:textId="77777777" w:rsidR="00133CD9" w:rsidRPr="00DF3A4F" w:rsidRDefault="00133CD9" w:rsidP="00133CD9">
      <w:pPr>
        <w:pStyle w:val="ListParagraph"/>
        <w:numPr>
          <w:ilvl w:val="0"/>
          <w:numId w:val="21"/>
        </w:numPr>
        <w:spacing w:line="360" w:lineRule="auto"/>
        <w:jc w:val="both"/>
        <w:rPr>
          <w:rFonts w:ascii="Arial" w:hAnsi="Arial" w:cs="Arial"/>
          <w:sz w:val="24"/>
          <w:szCs w:val="24"/>
        </w:rPr>
      </w:pPr>
      <w:r w:rsidRPr="00DF3A4F">
        <w:rPr>
          <w:rFonts w:ascii="Arial" w:hAnsi="Arial" w:cs="Arial"/>
          <w:sz w:val="24"/>
          <w:szCs w:val="24"/>
        </w:rPr>
        <w:t xml:space="preserve">Academic journal articles </w:t>
      </w:r>
    </w:p>
    <w:p w14:paraId="67AFA413" w14:textId="77777777" w:rsidR="00133CD9" w:rsidRPr="00DF3A4F" w:rsidRDefault="00133CD9" w:rsidP="00133CD9">
      <w:pPr>
        <w:pStyle w:val="ListParagraph"/>
        <w:numPr>
          <w:ilvl w:val="0"/>
          <w:numId w:val="21"/>
        </w:numPr>
        <w:spacing w:line="360" w:lineRule="auto"/>
        <w:jc w:val="both"/>
        <w:rPr>
          <w:rFonts w:ascii="Arial" w:hAnsi="Arial" w:cs="Arial"/>
          <w:sz w:val="24"/>
          <w:szCs w:val="24"/>
        </w:rPr>
      </w:pPr>
      <w:r w:rsidRPr="00DF3A4F">
        <w:rPr>
          <w:rFonts w:ascii="Arial" w:hAnsi="Arial" w:cs="Arial"/>
          <w:sz w:val="24"/>
          <w:szCs w:val="24"/>
        </w:rPr>
        <w:t xml:space="preserve">Industry reports published by Deloitte, EY, KPMG and PwC </w:t>
      </w:r>
    </w:p>
    <w:p w14:paraId="58366DA1" w14:textId="77777777" w:rsidR="00133CD9" w:rsidRPr="00DF3A4F" w:rsidRDefault="00133CD9" w:rsidP="00133CD9">
      <w:pPr>
        <w:pStyle w:val="ListParagraph"/>
        <w:numPr>
          <w:ilvl w:val="0"/>
          <w:numId w:val="21"/>
        </w:numPr>
        <w:spacing w:line="360" w:lineRule="auto"/>
        <w:jc w:val="both"/>
        <w:rPr>
          <w:rFonts w:ascii="Arial" w:hAnsi="Arial" w:cs="Arial"/>
          <w:sz w:val="24"/>
          <w:szCs w:val="24"/>
        </w:rPr>
      </w:pPr>
      <w:r w:rsidRPr="00DF3A4F">
        <w:rPr>
          <w:rFonts w:ascii="Arial" w:hAnsi="Arial" w:cs="Arial"/>
          <w:sz w:val="24"/>
          <w:szCs w:val="24"/>
        </w:rPr>
        <w:t>Government policy documents relating to Digital India and Singapore's Smart Nation initiatives.</w:t>
      </w:r>
    </w:p>
    <w:p w14:paraId="3B189593"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They offer trustworthy insights into the use of digital payments, financial results, regulatory change, global and regional business climate and strategic market opportunities.</w:t>
      </w:r>
    </w:p>
    <w:p w14:paraId="392F0B4F" w14:textId="77777777" w:rsidR="00133CD9" w:rsidRPr="00DF3A4F" w:rsidRDefault="00133CD9" w:rsidP="00133CD9">
      <w:pPr>
        <w:pStyle w:val="Heading2"/>
        <w:rPr>
          <w:rFonts w:ascii="Arial" w:hAnsi="Arial" w:cs="Arial"/>
          <w:sz w:val="24"/>
          <w:szCs w:val="24"/>
        </w:rPr>
      </w:pPr>
      <w:bookmarkStart w:id="23" w:name="_Toc238739776"/>
      <w:r w:rsidRPr="00DF3A4F">
        <w:rPr>
          <w:rFonts w:ascii="Arial" w:hAnsi="Arial" w:cs="Arial"/>
          <w:sz w:val="24"/>
          <w:szCs w:val="24"/>
        </w:rPr>
        <w:t>3.6. Justifications for Secondary Qualitative Research</w:t>
      </w:r>
      <w:bookmarkEnd w:id="23"/>
    </w:p>
    <w:p w14:paraId="5CD1A68C"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use of secondary qualitative research is suitable because, in order to create a strategic business development proposal, a study of consumer behaviour and/or statistical relationships is not necessary. The business development decisions involve in-depth knowledge of the organisation's capacity, market conditions, competitive environments and regulatory structure, which are well documented in the existing literature and publicly available reports.</w:t>
      </w:r>
    </w:p>
    <w:p w14:paraId="71EF2252" w14:textId="687B378E"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 xml:space="preserve">While conducting secondary research, one can enjoy many benefits over primary data collection. It allows for a massive amount of good-quality information from trusted </w:t>
      </w:r>
      <w:r w:rsidR="00690344" w:rsidRPr="00DF3A4F">
        <w:rPr>
          <w:rFonts w:ascii="Arial" w:hAnsi="Arial" w:cs="Arial"/>
          <w:sz w:val="24"/>
          <w:szCs w:val="24"/>
        </w:rPr>
        <w:t>institutions and</w:t>
      </w:r>
      <w:r w:rsidRPr="00DF3A4F">
        <w:rPr>
          <w:rFonts w:ascii="Arial" w:hAnsi="Arial" w:cs="Arial"/>
          <w:sz w:val="24"/>
          <w:szCs w:val="24"/>
        </w:rPr>
        <w:t xml:space="preserve"> also helps to save on the expense and time of research (Cheong et al., 2023). Moreover, strategic content that cannot be captured on questionnaires and interviews can be captured from company annual reports, government publications and industry analyses.</w:t>
      </w:r>
    </w:p>
    <w:p w14:paraId="7E049F58"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A mixed-methods approach was considered but ruled out since it would take a long time to conduct primary data collection methods within quantitative or qualitative methods with the executives at Paytm, Singaporean regulators or international business partners, which would be too much time, money and organisation to undertake for this dissertation. Hence, secondary qualitative research is the most feasible and suitable research method for assessing Paytm's strategy of going global.</w:t>
      </w:r>
    </w:p>
    <w:p w14:paraId="1261E10B" w14:textId="77777777" w:rsidR="00133CD9" w:rsidRPr="00DF3A4F" w:rsidRDefault="00133CD9" w:rsidP="00133CD9">
      <w:pPr>
        <w:pStyle w:val="Heading2"/>
        <w:rPr>
          <w:rFonts w:ascii="Arial" w:hAnsi="Arial" w:cs="Arial"/>
          <w:sz w:val="24"/>
          <w:szCs w:val="24"/>
        </w:rPr>
      </w:pPr>
      <w:bookmarkStart w:id="24" w:name="_Toc238739777"/>
      <w:r w:rsidRPr="00DF3A4F">
        <w:rPr>
          <w:rFonts w:ascii="Arial" w:hAnsi="Arial" w:cs="Arial"/>
          <w:sz w:val="24"/>
          <w:szCs w:val="24"/>
        </w:rPr>
        <w:t>3.7 Data Analysis Method</w:t>
      </w:r>
      <w:bookmarkEnd w:id="24"/>
    </w:p>
    <w:p w14:paraId="50031007"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Thematic analysis will be used to analyse the data gathered. Thematic analysis is a systematic approach used in qualitative analysis that extracts, sorts and explains the themes found in a set of data from various sources (Braun &amp; Clarke, 2006). This method will allow for the incorporation of information from academic papers, company reports and policy documents in logical strategic conclusions.</w:t>
      </w:r>
    </w:p>
    <w:p w14:paraId="208ABCC1"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Several strategic management frameworks will be used in the analytical process:</w:t>
      </w:r>
    </w:p>
    <w:p w14:paraId="0577F449" w14:textId="77777777" w:rsidR="00133CD9" w:rsidRPr="00DF3A4F" w:rsidRDefault="00133CD9" w:rsidP="00133CD9">
      <w:pPr>
        <w:pStyle w:val="ListParagraph"/>
        <w:numPr>
          <w:ilvl w:val="0"/>
          <w:numId w:val="20"/>
        </w:numPr>
        <w:spacing w:line="360" w:lineRule="auto"/>
        <w:jc w:val="both"/>
        <w:rPr>
          <w:rFonts w:ascii="Arial" w:hAnsi="Arial" w:cs="Arial"/>
          <w:sz w:val="24"/>
          <w:szCs w:val="24"/>
        </w:rPr>
      </w:pPr>
      <w:r w:rsidRPr="00DF3A4F">
        <w:rPr>
          <w:rFonts w:ascii="Arial" w:hAnsi="Arial" w:cs="Arial"/>
          <w:sz w:val="24"/>
          <w:szCs w:val="24"/>
        </w:rPr>
        <w:t xml:space="preserve">SWOT Analysis </w:t>
      </w:r>
    </w:p>
    <w:p w14:paraId="65E34286" w14:textId="77777777" w:rsidR="00133CD9" w:rsidRPr="00DF3A4F" w:rsidRDefault="00133CD9" w:rsidP="00133CD9">
      <w:pPr>
        <w:pStyle w:val="ListParagraph"/>
        <w:numPr>
          <w:ilvl w:val="0"/>
          <w:numId w:val="20"/>
        </w:numPr>
        <w:spacing w:line="360" w:lineRule="auto"/>
        <w:jc w:val="both"/>
        <w:rPr>
          <w:rFonts w:ascii="Arial" w:hAnsi="Arial" w:cs="Arial"/>
          <w:sz w:val="24"/>
          <w:szCs w:val="24"/>
        </w:rPr>
      </w:pPr>
      <w:r w:rsidRPr="00DF3A4F">
        <w:rPr>
          <w:rFonts w:ascii="Arial" w:hAnsi="Arial" w:cs="Arial"/>
          <w:sz w:val="24"/>
          <w:szCs w:val="24"/>
        </w:rPr>
        <w:t xml:space="preserve">VRIO Framework </w:t>
      </w:r>
    </w:p>
    <w:p w14:paraId="5A7BFCC0" w14:textId="77777777" w:rsidR="00133CD9" w:rsidRPr="00DF3A4F" w:rsidRDefault="00133CD9" w:rsidP="00133CD9">
      <w:pPr>
        <w:pStyle w:val="ListParagraph"/>
        <w:numPr>
          <w:ilvl w:val="0"/>
          <w:numId w:val="20"/>
        </w:numPr>
        <w:spacing w:line="360" w:lineRule="auto"/>
        <w:jc w:val="both"/>
        <w:rPr>
          <w:rFonts w:ascii="Arial" w:hAnsi="Arial" w:cs="Arial"/>
          <w:sz w:val="24"/>
          <w:szCs w:val="24"/>
        </w:rPr>
      </w:pPr>
      <w:r w:rsidRPr="00DF3A4F">
        <w:rPr>
          <w:rFonts w:ascii="Arial" w:hAnsi="Arial" w:cs="Arial"/>
          <w:sz w:val="24"/>
          <w:szCs w:val="24"/>
        </w:rPr>
        <w:t xml:space="preserve">PESTLE Analysis </w:t>
      </w:r>
    </w:p>
    <w:p w14:paraId="619C2512" w14:textId="77777777" w:rsidR="00133CD9" w:rsidRPr="00DF3A4F" w:rsidRDefault="00133CD9" w:rsidP="00133CD9">
      <w:pPr>
        <w:pStyle w:val="ListParagraph"/>
        <w:numPr>
          <w:ilvl w:val="0"/>
          <w:numId w:val="20"/>
        </w:numPr>
        <w:spacing w:line="360" w:lineRule="auto"/>
        <w:jc w:val="both"/>
        <w:rPr>
          <w:rFonts w:ascii="Arial" w:hAnsi="Arial" w:cs="Arial"/>
          <w:sz w:val="24"/>
          <w:szCs w:val="24"/>
        </w:rPr>
      </w:pPr>
      <w:r w:rsidRPr="00DF3A4F">
        <w:rPr>
          <w:rFonts w:ascii="Arial" w:hAnsi="Arial" w:cs="Arial"/>
          <w:sz w:val="24"/>
          <w:szCs w:val="24"/>
        </w:rPr>
        <w:t xml:space="preserve">Porter's Five Forces </w:t>
      </w:r>
    </w:p>
    <w:p w14:paraId="3E46FCC7" w14:textId="77777777" w:rsidR="00133CD9" w:rsidRPr="00DF3A4F" w:rsidRDefault="00133CD9" w:rsidP="00133CD9">
      <w:pPr>
        <w:pStyle w:val="ListParagraph"/>
        <w:numPr>
          <w:ilvl w:val="0"/>
          <w:numId w:val="20"/>
        </w:numPr>
        <w:spacing w:line="360" w:lineRule="auto"/>
        <w:jc w:val="both"/>
        <w:rPr>
          <w:rFonts w:ascii="Arial" w:hAnsi="Arial" w:cs="Arial"/>
          <w:sz w:val="24"/>
          <w:szCs w:val="24"/>
        </w:rPr>
      </w:pPr>
      <w:r w:rsidRPr="00DF3A4F">
        <w:rPr>
          <w:rFonts w:ascii="Arial" w:hAnsi="Arial" w:cs="Arial"/>
          <w:sz w:val="24"/>
          <w:szCs w:val="24"/>
        </w:rPr>
        <w:t xml:space="preserve">CAGE Distance Framework </w:t>
      </w:r>
    </w:p>
    <w:p w14:paraId="445C44F2" w14:textId="77777777" w:rsidR="00133CD9" w:rsidRPr="00DF3A4F" w:rsidRDefault="00133CD9" w:rsidP="00133CD9">
      <w:pPr>
        <w:pStyle w:val="ListParagraph"/>
        <w:numPr>
          <w:ilvl w:val="0"/>
          <w:numId w:val="20"/>
        </w:numPr>
        <w:spacing w:line="360" w:lineRule="auto"/>
        <w:jc w:val="both"/>
        <w:rPr>
          <w:rFonts w:ascii="Arial" w:hAnsi="Arial" w:cs="Arial"/>
          <w:sz w:val="24"/>
          <w:szCs w:val="24"/>
        </w:rPr>
      </w:pPr>
      <w:r w:rsidRPr="00DF3A4F">
        <w:rPr>
          <w:rFonts w:ascii="Arial" w:hAnsi="Arial" w:cs="Arial"/>
          <w:sz w:val="24"/>
          <w:szCs w:val="24"/>
        </w:rPr>
        <w:t xml:space="preserve">Business Model Canvas </w:t>
      </w:r>
    </w:p>
    <w:p w14:paraId="22CDCBE9" w14:textId="77777777" w:rsidR="00133CD9" w:rsidRPr="00DF3A4F" w:rsidRDefault="00133CD9" w:rsidP="00133CD9">
      <w:pPr>
        <w:pStyle w:val="ListParagraph"/>
        <w:numPr>
          <w:ilvl w:val="0"/>
          <w:numId w:val="20"/>
        </w:numPr>
        <w:spacing w:line="360" w:lineRule="auto"/>
        <w:jc w:val="both"/>
        <w:rPr>
          <w:rFonts w:ascii="Arial" w:hAnsi="Arial" w:cs="Arial"/>
          <w:sz w:val="24"/>
          <w:szCs w:val="24"/>
        </w:rPr>
      </w:pPr>
      <w:r w:rsidRPr="00DF3A4F">
        <w:rPr>
          <w:rFonts w:ascii="Arial" w:hAnsi="Arial" w:cs="Arial"/>
          <w:sz w:val="24"/>
          <w:szCs w:val="24"/>
        </w:rPr>
        <w:t xml:space="preserve">Ansoff Growth Matrix </w:t>
      </w:r>
    </w:p>
    <w:p w14:paraId="4C1474DF" w14:textId="77777777" w:rsidR="00133CD9" w:rsidRPr="00DF3A4F" w:rsidRDefault="00133CD9" w:rsidP="00133CD9">
      <w:pPr>
        <w:pStyle w:val="ListParagraph"/>
        <w:numPr>
          <w:ilvl w:val="0"/>
          <w:numId w:val="20"/>
        </w:numPr>
        <w:spacing w:line="360" w:lineRule="auto"/>
        <w:jc w:val="both"/>
        <w:rPr>
          <w:rFonts w:ascii="Arial" w:hAnsi="Arial" w:cs="Arial"/>
          <w:sz w:val="24"/>
          <w:szCs w:val="24"/>
        </w:rPr>
      </w:pPr>
      <w:r w:rsidRPr="00DF3A4F">
        <w:rPr>
          <w:rFonts w:ascii="Arial" w:hAnsi="Arial" w:cs="Arial"/>
          <w:sz w:val="24"/>
          <w:szCs w:val="24"/>
        </w:rPr>
        <w:t xml:space="preserve">Financial Feasibility Analysis </w:t>
      </w:r>
    </w:p>
    <w:p w14:paraId="47D476F0"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Paytm has proposed expanding its operations in various ways, which are covered in each of the frameworks. All of the above analytical tools allow for a comprehensive assessment of organisational strengths, external market conditions and environment, positioning in the market, market entry strategies and financial viability.</w:t>
      </w:r>
    </w:p>
    <w:p w14:paraId="3CE3AC8E" w14:textId="77777777" w:rsidR="00133CD9" w:rsidRPr="00DF3A4F" w:rsidRDefault="00133CD9" w:rsidP="00133CD9">
      <w:pPr>
        <w:pStyle w:val="Heading2"/>
        <w:rPr>
          <w:rFonts w:ascii="Arial" w:hAnsi="Arial" w:cs="Arial"/>
          <w:sz w:val="24"/>
          <w:szCs w:val="24"/>
        </w:rPr>
      </w:pPr>
      <w:bookmarkStart w:id="25" w:name="_Toc238739778"/>
      <w:r w:rsidRPr="00DF3A4F">
        <w:rPr>
          <w:rFonts w:ascii="Arial" w:hAnsi="Arial" w:cs="Arial"/>
          <w:sz w:val="24"/>
          <w:szCs w:val="24"/>
        </w:rPr>
        <w:t>3.8 Reliability and Validity</w:t>
      </w:r>
      <w:bookmarkEnd w:id="25"/>
    </w:p>
    <w:p w14:paraId="055F957D"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Reliability is the consistency of results of research, and validity is the accuracy of the research in measuring the phenomenon being researched (Saunders et al., 2023). Various steps have been taken to enhance reliability and validity.</w:t>
      </w:r>
    </w:p>
    <w:p w14:paraId="3EF67DFA"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Firstly, the research uses information that is gathered from a reliable source such as peer-reviewed academic journals, government publications and official company reports. Second, triangulation was done with the data from multiple independent sources to diminish the sources of bias and enhance the credibility of the data (Meydan &amp; Akkaş, 2024). Thirdly, there are systematic analytical procedures within recognised strategic management frameworks which lead to greater consistency as the evaluation process proceeds.</w:t>
      </w:r>
    </w:p>
    <w:p w14:paraId="114BC80C"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Qualitative research is a type of research that requires the researcher to interpret the data, but using a structured analytical framework and being transparent with documentation increases the trustworthiness of findings.</w:t>
      </w:r>
    </w:p>
    <w:p w14:paraId="2346413D" w14:textId="77777777" w:rsidR="00133CD9" w:rsidRPr="00DF3A4F" w:rsidRDefault="00133CD9" w:rsidP="00133CD9">
      <w:pPr>
        <w:pStyle w:val="Heading2"/>
        <w:rPr>
          <w:rFonts w:ascii="Arial" w:hAnsi="Arial" w:cs="Arial"/>
          <w:sz w:val="24"/>
          <w:szCs w:val="24"/>
        </w:rPr>
      </w:pPr>
      <w:bookmarkStart w:id="26" w:name="_Toc238739779"/>
      <w:r w:rsidRPr="00DF3A4F">
        <w:rPr>
          <w:rFonts w:ascii="Arial" w:hAnsi="Arial" w:cs="Arial"/>
          <w:sz w:val="24"/>
          <w:szCs w:val="24"/>
        </w:rPr>
        <w:t>3.9 Ethical Considerations</w:t>
      </w:r>
      <w:bookmarkEnd w:id="26"/>
    </w:p>
    <w:p w14:paraId="59418292"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study poses few ethical concerns as all the information used is secondary, public and readily available. There are no interviews, surveys or human participants, and as such there is no concern about informed consent, confidentiality, and participant anonymity.</w:t>
      </w:r>
    </w:p>
    <w:p w14:paraId="413B0AD5"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However, there are ethical research principles that are significant. All information is referenced appropriately in APA 7th edition referencing style and taking care of intellectual property rights. Proper attribution of all published sources is ensured, as is accurate representation of information obtained from research - without fabrication or manipulation.</w:t>
      </w:r>
    </w:p>
    <w:p w14:paraId="111B6785" w14:textId="77777777" w:rsidR="00133CD9" w:rsidRPr="00DF3A4F" w:rsidRDefault="00133CD9" w:rsidP="00133CD9">
      <w:pPr>
        <w:pStyle w:val="Heading2"/>
        <w:rPr>
          <w:rFonts w:ascii="Arial" w:hAnsi="Arial" w:cs="Arial"/>
          <w:sz w:val="24"/>
          <w:szCs w:val="24"/>
        </w:rPr>
      </w:pPr>
      <w:bookmarkStart w:id="27" w:name="_Toc238739780"/>
      <w:r w:rsidRPr="00DF3A4F">
        <w:rPr>
          <w:rFonts w:ascii="Arial" w:hAnsi="Arial" w:cs="Arial"/>
          <w:sz w:val="24"/>
          <w:szCs w:val="24"/>
        </w:rPr>
        <w:t>3.10 Limitations</w:t>
      </w:r>
      <w:bookmarkEnd w:id="27"/>
    </w:p>
    <w:p w14:paraId="635F207F"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Although the method adopted has benefits, there are some drawbacks. The first limitation is that it will only give the researcher data that has already been published by organisations and/or researchers. Hence, no access to confidential strategic information or of future business plans is available.</w:t>
      </w:r>
    </w:p>
    <w:p w14:paraId="536E9768"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Secondly, quality interpretation can be affected by researcher subjectivity even though structured analytical frameworks are used. Thirdly, technology and regulatory changes can impact the usefulness of some information that may be published in the future. Lastly, as it does not have any primary data, the study is unable to directly gather the views of the Paytm executives, Singaporean regulators and customers on the proposed expansion strategy.</w:t>
      </w:r>
    </w:p>
    <w:p w14:paraId="54B34081"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restrictions are lessened, though, because the study uses recent and high-quality academic literature and reports from official organisations, with evidence triangulated from several independent sources.</w:t>
      </w:r>
    </w:p>
    <w:p w14:paraId="7BBE78E4" w14:textId="77777777" w:rsidR="00133CD9" w:rsidRPr="00DF3A4F" w:rsidRDefault="00133CD9" w:rsidP="00133CD9">
      <w:pPr>
        <w:pStyle w:val="Heading2"/>
        <w:rPr>
          <w:rFonts w:ascii="Arial" w:hAnsi="Arial" w:cs="Arial"/>
          <w:sz w:val="24"/>
          <w:szCs w:val="24"/>
        </w:rPr>
      </w:pPr>
      <w:bookmarkStart w:id="28" w:name="_Toc238739781"/>
      <w:r w:rsidRPr="00DF3A4F">
        <w:rPr>
          <w:rFonts w:ascii="Arial" w:hAnsi="Arial" w:cs="Arial"/>
          <w:sz w:val="24"/>
          <w:szCs w:val="24"/>
        </w:rPr>
        <w:t>3.11 Chapter Summary</w:t>
      </w:r>
      <w:bookmarkEnd w:id="28"/>
    </w:p>
    <w:p w14:paraId="5530AF79"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chapter explained the research method that was used to assess the expansion that Paytm has planned in Singapore. This study has an interpretivist philosophy, a deductive approach and a qualitative case study design, as supported by secondary data sources which consist of academic literature, company reports and government publications. In order to analyse the internal capability of Paytm and the external market environment, currently the very popular and accepted strategic management frameworks like SWOT, VRIO, PESTLE and Porter's five forces will be applied to Paytm. Ensuring reliability, validity, and ethical aspects have also been discussed. The next chapter provides internal company analysis through the analysis of the company's organisational resources, strategic capabilities and competitive strengths to gauge its readiness for expansion into the international market.</w:t>
      </w:r>
      <w:r w:rsidRPr="00DF3A4F">
        <w:rPr>
          <w:rFonts w:ascii="Arial" w:hAnsi="Arial" w:cs="Arial"/>
          <w:b/>
          <w:bCs/>
          <w:sz w:val="24"/>
          <w:szCs w:val="24"/>
        </w:rPr>
        <w:br w:type="page"/>
      </w:r>
    </w:p>
    <w:p w14:paraId="47C89D7B" w14:textId="77777777" w:rsidR="00133CD9" w:rsidRPr="00DF3A4F" w:rsidRDefault="00133CD9" w:rsidP="00133CD9">
      <w:pPr>
        <w:pStyle w:val="Heading1"/>
        <w:rPr>
          <w:rFonts w:ascii="Arial" w:hAnsi="Arial" w:cs="Arial"/>
          <w:szCs w:val="24"/>
        </w:rPr>
      </w:pPr>
      <w:bookmarkStart w:id="29" w:name="_Toc238739782"/>
      <w:r w:rsidRPr="00DF3A4F">
        <w:rPr>
          <w:rFonts w:ascii="Arial" w:hAnsi="Arial" w:cs="Arial"/>
          <w:szCs w:val="24"/>
        </w:rPr>
        <w:t>Chapter 4: Company (Internal) Analysis</w:t>
      </w:r>
      <w:bookmarkEnd w:id="29"/>
    </w:p>
    <w:p w14:paraId="764E606E" w14:textId="77777777" w:rsidR="00133CD9" w:rsidRPr="00DF3A4F" w:rsidRDefault="00133CD9" w:rsidP="00133CD9">
      <w:pPr>
        <w:pStyle w:val="Heading2"/>
        <w:rPr>
          <w:rFonts w:ascii="Arial" w:hAnsi="Arial" w:cs="Arial"/>
          <w:sz w:val="24"/>
          <w:szCs w:val="24"/>
        </w:rPr>
      </w:pPr>
      <w:bookmarkStart w:id="30" w:name="_Toc238739783"/>
      <w:r w:rsidRPr="00DF3A4F">
        <w:rPr>
          <w:rFonts w:ascii="Arial" w:hAnsi="Arial" w:cs="Arial"/>
          <w:sz w:val="24"/>
          <w:szCs w:val="24"/>
        </w:rPr>
        <w:t>4.1 Introduction</w:t>
      </w:r>
      <w:bookmarkEnd w:id="30"/>
    </w:p>
    <w:p w14:paraId="37D6599E"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chapter assesses the internal environment of Paytm to see whether it can support the company's expansion outside the country to Singapore via cross-border digital payment services. There are a number of reasons why internal analysis is an integral part of the business development planning process as successful internationalisation is not only based on the opportunities in the target market, but also the resources, competencies and strategic capabilities of an organization (Barney &amp; Hesterly, 2021). The chapter discusses the corporate details, business model, organisational resources, strategic capabilities and competitive strengths of the company Paytm. The analytical frameworks such as VRIO and SWOT are used to find out if Paytm has sustainable competitive advantages, which can help it to enter the international market successfully.</w:t>
      </w:r>
    </w:p>
    <w:p w14:paraId="3538CD67" w14:textId="77777777" w:rsidR="00133CD9" w:rsidRPr="00DF3A4F" w:rsidRDefault="00133CD9" w:rsidP="00133CD9">
      <w:pPr>
        <w:pStyle w:val="Heading2"/>
        <w:rPr>
          <w:rFonts w:ascii="Arial" w:hAnsi="Arial" w:cs="Arial"/>
          <w:sz w:val="24"/>
          <w:szCs w:val="24"/>
        </w:rPr>
      </w:pPr>
      <w:bookmarkStart w:id="31" w:name="_Toc238739784"/>
      <w:r w:rsidRPr="00DF3A4F">
        <w:rPr>
          <w:rFonts w:ascii="Arial" w:hAnsi="Arial" w:cs="Arial"/>
          <w:sz w:val="24"/>
          <w:szCs w:val="24"/>
        </w:rPr>
        <w:t>4.2 Company Profile</w:t>
      </w:r>
      <w:bookmarkEnd w:id="31"/>
    </w:p>
    <w:p w14:paraId="5F2CBB70"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 xml:space="preserve">Paytm is one of India's largest digital financial services companies and operates through its parent organisation, One97 Communications Limited. Founded in 2010 by Vijay Shekhar Sharma, the company initially focused on mobile recharge and bill payment services before expanding into a comprehensive digital payments and financial services ecosystem (One97 Communications Ltd., 2025). These days, Paytm is offering a broad range of products and services as follows. </w:t>
      </w:r>
    </w:p>
    <w:p w14:paraId="521F9B6B" w14:textId="77777777" w:rsidR="00133CD9" w:rsidRPr="00DF3A4F" w:rsidRDefault="00133CD9" w:rsidP="00133CD9">
      <w:pPr>
        <w:numPr>
          <w:ilvl w:val="0"/>
          <w:numId w:val="1"/>
        </w:numPr>
        <w:spacing w:line="360" w:lineRule="auto"/>
        <w:jc w:val="both"/>
        <w:rPr>
          <w:rFonts w:ascii="Arial" w:hAnsi="Arial" w:cs="Arial"/>
          <w:sz w:val="24"/>
          <w:szCs w:val="24"/>
        </w:rPr>
      </w:pPr>
      <w:r w:rsidRPr="00DF3A4F">
        <w:rPr>
          <w:rFonts w:ascii="Arial" w:hAnsi="Arial" w:cs="Arial"/>
          <w:sz w:val="24"/>
          <w:szCs w:val="24"/>
        </w:rPr>
        <w:t xml:space="preserve">Digital wallet services </w:t>
      </w:r>
    </w:p>
    <w:p w14:paraId="219A28A5" w14:textId="77777777" w:rsidR="00133CD9" w:rsidRPr="00DF3A4F" w:rsidRDefault="00133CD9" w:rsidP="00133CD9">
      <w:pPr>
        <w:numPr>
          <w:ilvl w:val="0"/>
          <w:numId w:val="1"/>
        </w:numPr>
        <w:spacing w:line="360" w:lineRule="auto"/>
        <w:jc w:val="both"/>
        <w:rPr>
          <w:rFonts w:ascii="Arial" w:hAnsi="Arial" w:cs="Arial"/>
          <w:sz w:val="24"/>
          <w:szCs w:val="24"/>
        </w:rPr>
      </w:pPr>
      <w:r w:rsidRPr="00DF3A4F">
        <w:rPr>
          <w:rFonts w:ascii="Arial" w:hAnsi="Arial" w:cs="Arial"/>
          <w:sz w:val="24"/>
          <w:szCs w:val="24"/>
        </w:rPr>
        <w:t xml:space="preserve">Unified Payments Interface (UPI) transactions </w:t>
      </w:r>
    </w:p>
    <w:p w14:paraId="32161470" w14:textId="77777777" w:rsidR="00133CD9" w:rsidRPr="00DF3A4F" w:rsidRDefault="00133CD9" w:rsidP="00133CD9">
      <w:pPr>
        <w:numPr>
          <w:ilvl w:val="0"/>
          <w:numId w:val="1"/>
        </w:numPr>
        <w:spacing w:line="360" w:lineRule="auto"/>
        <w:jc w:val="both"/>
        <w:rPr>
          <w:rFonts w:ascii="Arial" w:hAnsi="Arial" w:cs="Arial"/>
          <w:sz w:val="24"/>
          <w:szCs w:val="24"/>
        </w:rPr>
      </w:pPr>
      <w:r w:rsidRPr="00DF3A4F">
        <w:rPr>
          <w:rFonts w:ascii="Arial" w:hAnsi="Arial" w:cs="Arial"/>
          <w:sz w:val="24"/>
          <w:szCs w:val="24"/>
        </w:rPr>
        <w:t xml:space="preserve">Merchant payment solutions </w:t>
      </w:r>
    </w:p>
    <w:p w14:paraId="141AE601" w14:textId="77777777" w:rsidR="00133CD9" w:rsidRPr="00DF3A4F" w:rsidRDefault="00133CD9" w:rsidP="00133CD9">
      <w:pPr>
        <w:numPr>
          <w:ilvl w:val="0"/>
          <w:numId w:val="1"/>
        </w:numPr>
        <w:spacing w:line="360" w:lineRule="auto"/>
        <w:jc w:val="both"/>
        <w:rPr>
          <w:rFonts w:ascii="Arial" w:hAnsi="Arial" w:cs="Arial"/>
          <w:sz w:val="24"/>
          <w:szCs w:val="24"/>
        </w:rPr>
      </w:pPr>
      <w:r w:rsidRPr="00DF3A4F">
        <w:rPr>
          <w:rFonts w:ascii="Arial" w:hAnsi="Arial" w:cs="Arial"/>
          <w:sz w:val="24"/>
          <w:szCs w:val="24"/>
        </w:rPr>
        <w:t xml:space="preserve">QR code-based payments </w:t>
      </w:r>
    </w:p>
    <w:p w14:paraId="66F67B9E" w14:textId="77777777" w:rsidR="00133CD9" w:rsidRPr="00DF3A4F" w:rsidRDefault="00133CD9" w:rsidP="00133CD9">
      <w:pPr>
        <w:numPr>
          <w:ilvl w:val="0"/>
          <w:numId w:val="1"/>
        </w:numPr>
        <w:spacing w:line="360" w:lineRule="auto"/>
        <w:jc w:val="both"/>
        <w:rPr>
          <w:rFonts w:ascii="Arial" w:hAnsi="Arial" w:cs="Arial"/>
          <w:sz w:val="24"/>
          <w:szCs w:val="24"/>
        </w:rPr>
      </w:pPr>
      <w:r w:rsidRPr="00DF3A4F">
        <w:rPr>
          <w:rFonts w:ascii="Arial" w:hAnsi="Arial" w:cs="Arial"/>
          <w:sz w:val="24"/>
          <w:szCs w:val="24"/>
        </w:rPr>
        <w:t xml:space="preserve">Banking services through Paytm Payments Bank </w:t>
      </w:r>
    </w:p>
    <w:p w14:paraId="18F152A3" w14:textId="77777777" w:rsidR="00133CD9" w:rsidRPr="00DF3A4F" w:rsidRDefault="00133CD9" w:rsidP="00133CD9">
      <w:pPr>
        <w:numPr>
          <w:ilvl w:val="0"/>
          <w:numId w:val="1"/>
        </w:numPr>
        <w:spacing w:line="360" w:lineRule="auto"/>
        <w:jc w:val="both"/>
        <w:rPr>
          <w:rFonts w:ascii="Arial" w:hAnsi="Arial" w:cs="Arial"/>
          <w:sz w:val="24"/>
          <w:szCs w:val="24"/>
        </w:rPr>
      </w:pPr>
      <w:r w:rsidRPr="00DF3A4F">
        <w:rPr>
          <w:rFonts w:ascii="Arial" w:hAnsi="Arial" w:cs="Arial"/>
          <w:sz w:val="24"/>
          <w:szCs w:val="24"/>
        </w:rPr>
        <w:t xml:space="preserve">Personal and merchant lending </w:t>
      </w:r>
    </w:p>
    <w:p w14:paraId="7CFC02D0" w14:textId="77777777" w:rsidR="00133CD9" w:rsidRPr="00DF3A4F" w:rsidRDefault="00133CD9" w:rsidP="00133CD9">
      <w:pPr>
        <w:numPr>
          <w:ilvl w:val="0"/>
          <w:numId w:val="1"/>
        </w:numPr>
        <w:spacing w:line="360" w:lineRule="auto"/>
        <w:jc w:val="both"/>
        <w:rPr>
          <w:rFonts w:ascii="Arial" w:hAnsi="Arial" w:cs="Arial"/>
          <w:sz w:val="24"/>
          <w:szCs w:val="24"/>
        </w:rPr>
      </w:pPr>
      <w:r w:rsidRPr="00DF3A4F">
        <w:rPr>
          <w:rFonts w:ascii="Arial" w:hAnsi="Arial" w:cs="Arial"/>
          <w:sz w:val="24"/>
          <w:szCs w:val="24"/>
        </w:rPr>
        <w:t xml:space="preserve">Insurance products </w:t>
      </w:r>
    </w:p>
    <w:p w14:paraId="6B04F054" w14:textId="77777777" w:rsidR="00133CD9" w:rsidRPr="00DF3A4F" w:rsidRDefault="00133CD9" w:rsidP="00133CD9">
      <w:pPr>
        <w:numPr>
          <w:ilvl w:val="0"/>
          <w:numId w:val="1"/>
        </w:numPr>
        <w:spacing w:line="360" w:lineRule="auto"/>
        <w:jc w:val="both"/>
        <w:rPr>
          <w:rFonts w:ascii="Arial" w:hAnsi="Arial" w:cs="Arial"/>
          <w:sz w:val="24"/>
          <w:szCs w:val="24"/>
        </w:rPr>
      </w:pPr>
      <w:r w:rsidRPr="00DF3A4F">
        <w:rPr>
          <w:rFonts w:ascii="Arial" w:hAnsi="Arial" w:cs="Arial"/>
          <w:sz w:val="24"/>
          <w:szCs w:val="24"/>
        </w:rPr>
        <w:t xml:space="preserve">Wealth management services </w:t>
      </w:r>
    </w:p>
    <w:p w14:paraId="3784AFA4" w14:textId="77777777" w:rsidR="00133CD9" w:rsidRPr="00DF3A4F" w:rsidRDefault="00133CD9" w:rsidP="00133CD9">
      <w:pPr>
        <w:numPr>
          <w:ilvl w:val="0"/>
          <w:numId w:val="1"/>
        </w:numPr>
        <w:spacing w:line="360" w:lineRule="auto"/>
        <w:jc w:val="both"/>
        <w:rPr>
          <w:rFonts w:ascii="Arial" w:hAnsi="Arial" w:cs="Arial"/>
          <w:sz w:val="24"/>
          <w:szCs w:val="24"/>
        </w:rPr>
      </w:pPr>
      <w:r w:rsidRPr="00DF3A4F">
        <w:rPr>
          <w:rFonts w:ascii="Arial" w:hAnsi="Arial" w:cs="Arial"/>
          <w:sz w:val="24"/>
          <w:szCs w:val="24"/>
        </w:rPr>
        <w:t xml:space="preserve">Ticketing and travel booking services </w:t>
      </w:r>
    </w:p>
    <w:p w14:paraId="7852FA6B"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Paytm has over hundreds of millions of registered users and millions of merchant partners in India as per its Annual Report 2025 (One97 Communications Ltd., 2025). Its business model is based on a platform, aiming to unite consumers, merchants, financial institutions and services providers in a single digital world.</w:t>
      </w:r>
    </w:p>
    <w:p w14:paraId="225DE4E4"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From being a leader in the digital payment industry, Paytm's vision now extends to becoming a comprehensive financial technology platform that can provide a wide range of financial services. The firm's technological advancements, AI, cloud-enabled systems and payment security measures have bolstered its presence in India's fast-expanding digital economy.</w:t>
      </w:r>
    </w:p>
    <w:p w14:paraId="0722C8C9"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Paytm's ability to expand the UPI system to the global market opens the door to new opportunities for the company to expand on its overseas operations (Pandey et al., 2021). This makes Singapore an attractive market strategically, with its well-developed digital infrastructure, robust economic relations with India and impending demand for cross-border payments.</w:t>
      </w:r>
    </w:p>
    <w:p w14:paraId="5C7D8535" w14:textId="77777777" w:rsidR="00133CD9" w:rsidRPr="00DF3A4F" w:rsidRDefault="00133CD9" w:rsidP="00133CD9">
      <w:pPr>
        <w:pStyle w:val="Heading2"/>
        <w:rPr>
          <w:rFonts w:ascii="Arial" w:hAnsi="Arial" w:cs="Arial"/>
          <w:sz w:val="24"/>
          <w:szCs w:val="24"/>
        </w:rPr>
      </w:pPr>
      <w:bookmarkStart w:id="32" w:name="_Toc238739785"/>
      <w:r w:rsidRPr="00DF3A4F">
        <w:rPr>
          <w:rFonts w:ascii="Arial" w:hAnsi="Arial" w:cs="Arial"/>
          <w:sz w:val="24"/>
          <w:szCs w:val="24"/>
        </w:rPr>
        <w:t>4.3 Business Model Analysis</w:t>
      </w:r>
      <w:bookmarkEnd w:id="32"/>
    </w:p>
    <w:p w14:paraId="566C3950" w14:textId="3CA0BC75"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 xml:space="preserve">Paytm has a platform-based business </w:t>
      </w:r>
      <w:r w:rsidR="00450056" w:rsidRPr="00DF3A4F">
        <w:rPr>
          <w:rFonts w:ascii="Arial" w:hAnsi="Arial" w:cs="Arial"/>
          <w:sz w:val="24"/>
          <w:szCs w:val="24"/>
        </w:rPr>
        <w:t>model,</w:t>
      </w:r>
      <w:r w:rsidRPr="00DF3A4F">
        <w:rPr>
          <w:rFonts w:ascii="Arial" w:hAnsi="Arial" w:cs="Arial"/>
          <w:sz w:val="24"/>
          <w:szCs w:val="24"/>
        </w:rPr>
        <w:t xml:space="preserve"> and it is creating value by enabling a digital payments platform that will bring the consumers, merchant and financial institutions together (Pandey et al., 2021). The revenues from the different sources of the firm are:</w:t>
      </w:r>
    </w:p>
    <w:p w14:paraId="10DFA3F5"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Payment Services</w:t>
      </w:r>
    </w:p>
    <w:p w14:paraId="6EA1A513"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Transaction fees generated through merchant payment processing and financial service partnerships (One97 Communications Ltd., 2025).</w:t>
      </w:r>
    </w:p>
    <w:p w14:paraId="4A46B726"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Merchant Solutions</w:t>
      </w:r>
    </w:p>
    <w:p w14:paraId="15ED005A"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Revenue generated through:</w:t>
      </w:r>
    </w:p>
    <w:p w14:paraId="4033447A" w14:textId="77777777" w:rsidR="00133CD9" w:rsidRPr="00DF3A4F" w:rsidRDefault="00133CD9" w:rsidP="00133CD9">
      <w:pPr>
        <w:numPr>
          <w:ilvl w:val="0"/>
          <w:numId w:val="2"/>
        </w:numPr>
        <w:spacing w:line="360" w:lineRule="auto"/>
        <w:jc w:val="both"/>
        <w:rPr>
          <w:rFonts w:ascii="Arial" w:hAnsi="Arial" w:cs="Arial"/>
          <w:sz w:val="24"/>
          <w:szCs w:val="24"/>
        </w:rPr>
      </w:pPr>
      <w:r w:rsidRPr="00DF3A4F">
        <w:rPr>
          <w:rFonts w:ascii="Arial" w:hAnsi="Arial" w:cs="Arial"/>
          <w:sz w:val="24"/>
          <w:szCs w:val="24"/>
        </w:rPr>
        <w:t xml:space="preserve">QR code deployment </w:t>
      </w:r>
    </w:p>
    <w:p w14:paraId="09D6D69D" w14:textId="77777777" w:rsidR="00133CD9" w:rsidRPr="00DF3A4F" w:rsidRDefault="00133CD9" w:rsidP="00133CD9">
      <w:pPr>
        <w:numPr>
          <w:ilvl w:val="0"/>
          <w:numId w:val="2"/>
        </w:numPr>
        <w:spacing w:line="360" w:lineRule="auto"/>
        <w:jc w:val="both"/>
        <w:rPr>
          <w:rFonts w:ascii="Arial" w:hAnsi="Arial" w:cs="Arial"/>
          <w:sz w:val="24"/>
          <w:szCs w:val="24"/>
        </w:rPr>
      </w:pPr>
      <w:r w:rsidRPr="00DF3A4F">
        <w:rPr>
          <w:rFonts w:ascii="Arial" w:hAnsi="Arial" w:cs="Arial"/>
          <w:sz w:val="24"/>
          <w:szCs w:val="24"/>
        </w:rPr>
        <w:t xml:space="preserve">Payment devices </w:t>
      </w:r>
    </w:p>
    <w:p w14:paraId="11F3F3CB" w14:textId="77777777" w:rsidR="00133CD9" w:rsidRPr="00DF3A4F" w:rsidRDefault="00133CD9" w:rsidP="00133CD9">
      <w:pPr>
        <w:numPr>
          <w:ilvl w:val="0"/>
          <w:numId w:val="2"/>
        </w:numPr>
        <w:spacing w:line="360" w:lineRule="auto"/>
        <w:jc w:val="both"/>
        <w:rPr>
          <w:rFonts w:ascii="Arial" w:hAnsi="Arial" w:cs="Arial"/>
          <w:sz w:val="24"/>
          <w:szCs w:val="24"/>
        </w:rPr>
      </w:pPr>
      <w:r w:rsidRPr="00DF3A4F">
        <w:rPr>
          <w:rFonts w:ascii="Arial" w:hAnsi="Arial" w:cs="Arial"/>
          <w:sz w:val="24"/>
          <w:szCs w:val="24"/>
        </w:rPr>
        <w:t xml:space="preserve">Merchant subscriptions </w:t>
      </w:r>
    </w:p>
    <w:p w14:paraId="56DC7368" w14:textId="77777777" w:rsidR="00133CD9" w:rsidRPr="00DF3A4F" w:rsidRDefault="00133CD9" w:rsidP="00133CD9">
      <w:pPr>
        <w:numPr>
          <w:ilvl w:val="0"/>
          <w:numId w:val="2"/>
        </w:numPr>
        <w:spacing w:line="360" w:lineRule="auto"/>
        <w:jc w:val="both"/>
        <w:rPr>
          <w:rFonts w:ascii="Arial" w:hAnsi="Arial" w:cs="Arial"/>
          <w:sz w:val="24"/>
          <w:szCs w:val="24"/>
        </w:rPr>
      </w:pPr>
      <w:r w:rsidRPr="00DF3A4F">
        <w:rPr>
          <w:rFonts w:ascii="Arial" w:hAnsi="Arial" w:cs="Arial"/>
          <w:sz w:val="24"/>
          <w:szCs w:val="24"/>
        </w:rPr>
        <w:t xml:space="preserve">Business payment solutions </w:t>
      </w:r>
    </w:p>
    <w:p w14:paraId="6244539E"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Financial Services</w:t>
      </w:r>
    </w:p>
    <w:p w14:paraId="7248B162"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Income from:</w:t>
      </w:r>
    </w:p>
    <w:p w14:paraId="69C9E666" w14:textId="77777777" w:rsidR="00133CD9" w:rsidRPr="00DF3A4F" w:rsidRDefault="00133CD9" w:rsidP="00133CD9">
      <w:pPr>
        <w:pStyle w:val="ListParagraph"/>
        <w:numPr>
          <w:ilvl w:val="0"/>
          <w:numId w:val="24"/>
        </w:numPr>
        <w:spacing w:line="360" w:lineRule="auto"/>
        <w:jc w:val="both"/>
        <w:rPr>
          <w:rFonts w:ascii="Arial" w:hAnsi="Arial" w:cs="Arial"/>
          <w:sz w:val="24"/>
          <w:szCs w:val="24"/>
        </w:rPr>
      </w:pPr>
      <w:r w:rsidRPr="00DF3A4F">
        <w:rPr>
          <w:rFonts w:ascii="Arial" w:hAnsi="Arial" w:cs="Arial"/>
          <w:sz w:val="24"/>
          <w:szCs w:val="24"/>
        </w:rPr>
        <w:t xml:space="preserve">Loan distribution partnerships </w:t>
      </w:r>
    </w:p>
    <w:p w14:paraId="0198C32E" w14:textId="77777777" w:rsidR="00133CD9" w:rsidRPr="00DF3A4F" w:rsidRDefault="00133CD9" w:rsidP="00133CD9">
      <w:pPr>
        <w:pStyle w:val="ListParagraph"/>
        <w:numPr>
          <w:ilvl w:val="0"/>
          <w:numId w:val="24"/>
        </w:numPr>
        <w:spacing w:line="360" w:lineRule="auto"/>
        <w:jc w:val="both"/>
        <w:rPr>
          <w:rFonts w:ascii="Arial" w:hAnsi="Arial" w:cs="Arial"/>
          <w:sz w:val="24"/>
          <w:szCs w:val="24"/>
        </w:rPr>
      </w:pPr>
      <w:r w:rsidRPr="00DF3A4F">
        <w:rPr>
          <w:rFonts w:ascii="Arial" w:hAnsi="Arial" w:cs="Arial"/>
          <w:sz w:val="24"/>
          <w:szCs w:val="24"/>
        </w:rPr>
        <w:t xml:space="preserve">Insurance distribution </w:t>
      </w:r>
    </w:p>
    <w:p w14:paraId="5C84734E" w14:textId="77777777" w:rsidR="00133CD9" w:rsidRPr="00DF3A4F" w:rsidRDefault="00133CD9" w:rsidP="00133CD9">
      <w:pPr>
        <w:pStyle w:val="ListParagraph"/>
        <w:numPr>
          <w:ilvl w:val="0"/>
          <w:numId w:val="24"/>
        </w:numPr>
        <w:spacing w:line="360" w:lineRule="auto"/>
        <w:jc w:val="both"/>
        <w:rPr>
          <w:rFonts w:ascii="Arial" w:hAnsi="Arial" w:cs="Arial"/>
          <w:sz w:val="24"/>
          <w:szCs w:val="24"/>
        </w:rPr>
      </w:pPr>
      <w:r w:rsidRPr="00DF3A4F">
        <w:rPr>
          <w:rFonts w:ascii="Arial" w:hAnsi="Arial" w:cs="Arial"/>
          <w:sz w:val="24"/>
          <w:szCs w:val="24"/>
        </w:rPr>
        <w:t xml:space="preserve">Wealth management products </w:t>
      </w:r>
    </w:p>
    <w:p w14:paraId="60486EFF" w14:textId="77777777" w:rsidR="00133CD9" w:rsidRPr="00DF3A4F" w:rsidRDefault="00133CD9" w:rsidP="00133CD9">
      <w:pPr>
        <w:pStyle w:val="ListParagraph"/>
        <w:numPr>
          <w:ilvl w:val="0"/>
          <w:numId w:val="24"/>
        </w:numPr>
        <w:spacing w:line="360" w:lineRule="auto"/>
        <w:jc w:val="both"/>
        <w:rPr>
          <w:rFonts w:ascii="Arial" w:hAnsi="Arial" w:cs="Arial"/>
          <w:sz w:val="24"/>
          <w:szCs w:val="24"/>
        </w:rPr>
      </w:pPr>
      <w:r w:rsidRPr="00DF3A4F">
        <w:rPr>
          <w:rFonts w:ascii="Arial" w:hAnsi="Arial" w:cs="Arial"/>
          <w:sz w:val="24"/>
          <w:szCs w:val="24"/>
        </w:rPr>
        <w:t xml:space="preserve">Banking-related services </w:t>
      </w:r>
    </w:p>
    <w:p w14:paraId="55D71503" w14:textId="77777777" w:rsidR="00133CD9" w:rsidRPr="00DF3A4F" w:rsidRDefault="00133CD9" w:rsidP="00133CD9">
      <w:pPr>
        <w:pStyle w:val="ListParagraph"/>
        <w:numPr>
          <w:ilvl w:val="0"/>
          <w:numId w:val="24"/>
        </w:numPr>
        <w:spacing w:line="360" w:lineRule="auto"/>
        <w:jc w:val="both"/>
        <w:rPr>
          <w:rFonts w:ascii="Arial" w:hAnsi="Arial" w:cs="Arial"/>
          <w:sz w:val="24"/>
          <w:szCs w:val="24"/>
        </w:rPr>
      </w:pPr>
      <w:r w:rsidRPr="00DF3A4F">
        <w:rPr>
          <w:rFonts w:ascii="Arial" w:hAnsi="Arial" w:cs="Arial"/>
          <w:sz w:val="24"/>
          <w:szCs w:val="24"/>
        </w:rPr>
        <w:t>Commerce Services</w:t>
      </w:r>
    </w:p>
    <w:p w14:paraId="374DEEE7"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Revenue generated from:</w:t>
      </w:r>
    </w:p>
    <w:p w14:paraId="43D2F374" w14:textId="77777777" w:rsidR="00133CD9" w:rsidRPr="00DF3A4F" w:rsidRDefault="00133CD9" w:rsidP="00133CD9">
      <w:pPr>
        <w:pStyle w:val="ListParagraph"/>
        <w:numPr>
          <w:ilvl w:val="0"/>
          <w:numId w:val="25"/>
        </w:numPr>
        <w:spacing w:line="360" w:lineRule="auto"/>
        <w:jc w:val="both"/>
        <w:rPr>
          <w:rFonts w:ascii="Arial" w:hAnsi="Arial" w:cs="Arial"/>
          <w:sz w:val="24"/>
          <w:szCs w:val="24"/>
        </w:rPr>
      </w:pPr>
      <w:r w:rsidRPr="00DF3A4F">
        <w:rPr>
          <w:rFonts w:ascii="Arial" w:hAnsi="Arial" w:cs="Arial"/>
          <w:sz w:val="24"/>
          <w:szCs w:val="24"/>
        </w:rPr>
        <w:t>Ticketing</w:t>
      </w:r>
    </w:p>
    <w:p w14:paraId="0ED27353" w14:textId="77777777" w:rsidR="00133CD9" w:rsidRPr="00DF3A4F" w:rsidRDefault="00133CD9" w:rsidP="00133CD9">
      <w:pPr>
        <w:pStyle w:val="ListParagraph"/>
        <w:numPr>
          <w:ilvl w:val="0"/>
          <w:numId w:val="25"/>
        </w:numPr>
        <w:spacing w:line="360" w:lineRule="auto"/>
        <w:jc w:val="both"/>
        <w:rPr>
          <w:rFonts w:ascii="Arial" w:hAnsi="Arial" w:cs="Arial"/>
          <w:sz w:val="24"/>
          <w:szCs w:val="24"/>
        </w:rPr>
      </w:pPr>
      <w:r w:rsidRPr="00DF3A4F">
        <w:rPr>
          <w:rFonts w:ascii="Arial" w:hAnsi="Arial" w:cs="Arial"/>
          <w:sz w:val="24"/>
          <w:szCs w:val="24"/>
        </w:rPr>
        <w:t xml:space="preserve">Travel bookings </w:t>
      </w:r>
    </w:p>
    <w:p w14:paraId="3A9EE3E3" w14:textId="77777777" w:rsidR="00133CD9" w:rsidRPr="00DF3A4F" w:rsidRDefault="00133CD9" w:rsidP="00133CD9">
      <w:pPr>
        <w:pStyle w:val="ListParagraph"/>
        <w:numPr>
          <w:ilvl w:val="0"/>
          <w:numId w:val="25"/>
        </w:numPr>
        <w:spacing w:line="360" w:lineRule="auto"/>
        <w:jc w:val="both"/>
        <w:rPr>
          <w:rFonts w:ascii="Arial" w:hAnsi="Arial" w:cs="Arial"/>
          <w:sz w:val="24"/>
          <w:szCs w:val="24"/>
        </w:rPr>
      </w:pPr>
      <w:r w:rsidRPr="00DF3A4F">
        <w:rPr>
          <w:rFonts w:ascii="Arial" w:hAnsi="Arial" w:cs="Arial"/>
          <w:sz w:val="24"/>
          <w:szCs w:val="24"/>
        </w:rPr>
        <w:t xml:space="preserve">Event services </w:t>
      </w:r>
    </w:p>
    <w:p w14:paraId="7C993FCC"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A mix of revenue sources means that the organization will not rely too heavily on one single business or sector, thus bolstering its resiliency. It is a diversified model which comes with an advantage when Paytm wants to expand to other countries as once it gets the payment box ticked, it can cross-sell other services (One97 Communications Ltd., 2025).</w:t>
      </w:r>
    </w:p>
    <w:p w14:paraId="1E316820"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Moreover, the presence of network effects is a big boost to Paytm's business model. More merchants join the platform and the more users there are, the more merchants they attract. These network effects can give a significant competitive edge as penetration into new international markets.</w:t>
      </w:r>
    </w:p>
    <w:p w14:paraId="68746692" w14:textId="77777777" w:rsidR="00133CD9" w:rsidRPr="00DF3A4F" w:rsidRDefault="00133CD9" w:rsidP="00133CD9">
      <w:pPr>
        <w:pStyle w:val="Heading2"/>
        <w:rPr>
          <w:rFonts w:ascii="Arial" w:hAnsi="Arial" w:cs="Arial"/>
          <w:sz w:val="24"/>
          <w:szCs w:val="24"/>
        </w:rPr>
      </w:pPr>
      <w:bookmarkStart w:id="33" w:name="_Toc238739786"/>
      <w:r w:rsidRPr="00DF3A4F">
        <w:rPr>
          <w:rFonts w:ascii="Arial" w:hAnsi="Arial" w:cs="Arial"/>
          <w:sz w:val="24"/>
          <w:szCs w:val="24"/>
        </w:rPr>
        <w:t>4.4 Resource-Based View (RBV) Analysis</w:t>
      </w:r>
      <w:bookmarkEnd w:id="33"/>
    </w:p>
    <w:p w14:paraId="548FCBCD"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According to the Resource Based View (RBV), organisations are able to develop long-term competitive advantages by using valuable, rare and hard to imitate resources (Barney, 1991).</w:t>
      </w:r>
    </w:p>
    <w:p w14:paraId="2B8A4C5E"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Paytm has a few strategic assets to help in its expansion activities.</w:t>
      </w:r>
    </w:p>
    <w:p w14:paraId="73A08444"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Technological Infrastructure</w:t>
      </w:r>
    </w:p>
    <w:p w14:paraId="6FFF27E6"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Paytm has built a very scalable digital payment system, that can handle millions of transactions in one day (One97 Communications Ltd., 2025). Good technological abilities with integration of UPI, advanced payment gateway and digital wallet technologies.</w:t>
      </w:r>
    </w:p>
    <w:p w14:paraId="2AAAA4DB"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Brand Recognition</w:t>
      </w:r>
    </w:p>
    <w:p w14:paraId="6F833A9A" w14:textId="01644F7F"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 xml:space="preserve">Paytm has been one of the most recognized brands for digital payments in India for over 10 years. The increased brand awareness and boosts customer </w:t>
      </w:r>
      <w:r w:rsidR="00450056" w:rsidRPr="00DF3A4F">
        <w:rPr>
          <w:rFonts w:ascii="Arial" w:hAnsi="Arial" w:cs="Arial"/>
          <w:sz w:val="24"/>
          <w:szCs w:val="24"/>
        </w:rPr>
        <w:t>confidence and</w:t>
      </w:r>
      <w:r w:rsidRPr="00DF3A4F">
        <w:rPr>
          <w:rFonts w:ascii="Arial" w:hAnsi="Arial" w:cs="Arial"/>
          <w:sz w:val="24"/>
          <w:szCs w:val="24"/>
        </w:rPr>
        <w:t xml:space="preserve"> helps in penetrating foreign markets with large Indian communities.</w:t>
      </w:r>
    </w:p>
    <w:p w14:paraId="186C0602"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Merchant Network</w:t>
      </w:r>
    </w:p>
    <w:p w14:paraId="032F291C"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company has the one of largest merchant network in India. This wide landscape presents operational experience offering the opportunity to back international merchant acquisition methods.</w:t>
      </w:r>
    </w:p>
    <w:p w14:paraId="4348DB5B"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Customer Base</w:t>
      </w:r>
    </w:p>
    <w:p w14:paraId="5D141723"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Large and active customer base results in transaction data, behavioural data and network advantage that can't be easily duplicated by a competitor.</w:t>
      </w:r>
    </w:p>
    <w:p w14:paraId="66C88BD4"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Strategic Partnerships</w:t>
      </w:r>
    </w:p>
    <w:p w14:paraId="36A9365B" w14:textId="13013968"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 xml:space="preserve">Paytm works with financial institutions, payment partners and tech partners (One97 Communications Ltd., 2025). Such relations foster organisational </w:t>
      </w:r>
      <w:r w:rsidR="00690344" w:rsidRPr="00DF3A4F">
        <w:rPr>
          <w:rFonts w:ascii="Arial" w:hAnsi="Arial" w:cs="Arial"/>
          <w:sz w:val="24"/>
          <w:szCs w:val="24"/>
        </w:rPr>
        <w:t>capabilities and</w:t>
      </w:r>
      <w:r w:rsidRPr="00DF3A4F">
        <w:rPr>
          <w:rFonts w:ascii="Arial" w:hAnsi="Arial" w:cs="Arial"/>
          <w:sz w:val="24"/>
          <w:szCs w:val="24"/>
        </w:rPr>
        <w:t xml:space="preserve"> amplify the possibility of future international cooperation.</w:t>
      </w:r>
    </w:p>
    <w:p w14:paraId="149721F2"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All these resources contribute to improving Paytm's capabilities in foreign markets and its internationalisation goals.</w:t>
      </w:r>
    </w:p>
    <w:p w14:paraId="04FDEF13" w14:textId="77777777" w:rsidR="00133CD9" w:rsidRPr="00DF3A4F" w:rsidRDefault="00133CD9" w:rsidP="00133CD9">
      <w:pPr>
        <w:pStyle w:val="Heading2"/>
        <w:rPr>
          <w:rFonts w:ascii="Arial" w:hAnsi="Arial" w:cs="Arial"/>
          <w:sz w:val="24"/>
          <w:szCs w:val="24"/>
        </w:rPr>
      </w:pPr>
      <w:bookmarkStart w:id="34" w:name="_Toc238739787"/>
      <w:r w:rsidRPr="00DF3A4F">
        <w:rPr>
          <w:rFonts w:ascii="Arial" w:hAnsi="Arial" w:cs="Arial"/>
          <w:sz w:val="24"/>
          <w:szCs w:val="24"/>
        </w:rPr>
        <w:t>4.5 VRIO Analysis</w:t>
      </w:r>
      <w:bookmarkEnd w:id="34"/>
    </w:p>
    <w:p w14:paraId="1CC95B2F" w14:textId="64E2A07C"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 xml:space="preserve">The VRIO framework </w:t>
      </w:r>
      <w:r w:rsidR="00690344" w:rsidRPr="00DF3A4F">
        <w:rPr>
          <w:rFonts w:ascii="Arial" w:hAnsi="Arial" w:cs="Arial"/>
          <w:sz w:val="24"/>
          <w:szCs w:val="24"/>
        </w:rPr>
        <w:t>assesses</w:t>
      </w:r>
      <w:r w:rsidRPr="00DF3A4F">
        <w:rPr>
          <w:rFonts w:ascii="Arial" w:hAnsi="Arial" w:cs="Arial"/>
          <w:sz w:val="24"/>
          <w:szCs w:val="24"/>
        </w:rPr>
        <w:t xml:space="preserve"> the value, rarity, inimitability and organisation of the resources of the organisation (Barney &amp; Hesterly, 2021).</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25"/>
        <w:gridCol w:w="1068"/>
        <w:gridCol w:w="1094"/>
        <w:gridCol w:w="1201"/>
        <w:gridCol w:w="1267"/>
        <w:gridCol w:w="2161"/>
      </w:tblGrid>
      <w:tr w:rsidR="00133CD9" w:rsidRPr="00DF3A4F" w14:paraId="2F96F330" w14:textId="77777777" w:rsidTr="00CD61E4">
        <w:trPr>
          <w:tblHeader/>
          <w:tblCellSpacing w:w="15" w:type="dxa"/>
        </w:trPr>
        <w:tc>
          <w:tcPr>
            <w:tcW w:w="0" w:type="auto"/>
            <w:vAlign w:val="center"/>
            <w:hideMark/>
          </w:tcPr>
          <w:p w14:paraId="73BBE526" w14:textId="77777777" w:rsidR="00133CD9" w:rsidRPr="00DF3A4F" w:rsidRDefault="00133CD9" w:rsidP="00CD61E4">
            <w:pPr>
              <w:spacing w:line="360" w:lineRule="auto"/>
              <w:jc w:val="both"/>
              <w:rPr>
                <w:rFonts w:ascii="Arial" w:hAnsi="Arial" w:cs="Arial"/>
                <w:b/>
                <w:bCs/>
                <w:sz w:val="24"/>
                <w:szCs w:val="24"/>
              </w:rPr>
            </w:pPr>
            <w:r w:rsidRPr="00DF3A4F">
              <w:rPr>
                <w:rFonts w:ascii="Arial" w:hAnsi="Arial" w:cs="Arial"/>
                <w:b/>
                <w:bCs/>
                <w:sz w:val="24"/>
                <w:szCs w:val="24"/>
              </w:rPr>
              <w:t>Resource</w:t>
            </w:r>
          </w:p>
        </w:tc>
        <w:tc>
          <w:tcPr>
            <w:tcW w:w="0" w:type="auto"/>
            <w:vAlign w:val="center"/>
            <w:hideMark/>
          </w:tcPr>
          <w:p w14:paraId="0A52E329" w14:textId="77777777" w:rsidR="00133CD9" w:rsidRPr="00DF3A4F" w:rsidRDefault="00133CD9" w:rsidP="00CD61E4">
            <w:pPr>
              <w:spacing w:line="360" w:lineRule="auto"/>
              <w:jc w:val="both"/>
              <w:rPr>
                <w:rFonts w:ascii="Arial" w:hAnsi="Arial" w:cs="Arial"/>
                <w:b/>
                <w:bCs/>
                <w:sz w:val="24"/>
                <w:szCs w:val="24"/>
              </w:rPr>
            </w:pPr>
            <w:r w:rsidRPr="00DF3A4F">
              <w:rPr>
                <w:rFonts w:ascii="Arial" w:hAnsi="Arial" w:cs="Arial"/>
                <w:b/>
                <w:bCs/>
                <w:sz w:val="24"/>
                <w:szCs w:val="24"/>
              </w:rPr>
              <w:t>Valuable</w:t>
            </w:r>
          </w:p>
        </w:tc>
        <w:tc>
          <w:tcPr>
            <w:tcW w:w="0" w:type="auto"/>
            <w:vAlign w:val="center"/>
            <w:hideMark/>
          </w:tcPr>
          <w:p w14:paraId="28E15537" w14:textId="77777777" w:rsidR="00133CD9" w:rsidRPr="00DF3A4F" w:rsidRDefault="00133CD9" w:rsidP="00CD61E4">
            <w:pPr>
              <w:spacing w:line="360" w:lineRule="auto"/>
              <w:jc w:val="both"/>
              <w:rPr>
                <w:rFonts w:ascii="Arial" w:hAnsi="Arial" w:cs="Arial"/>
                <w:b/>
                <w:bCs/>
                <w:sz w:val="24"/>
                <w:szCs w:val="24"/>
              </w:rPr>
            </w:pPr>
            <w:r w:rsidRPr="00DF3A4F">
              <w:rPr>
                <w:rFonts w:ascii="Arial" w:hAnsi="Arial" w:cs="Arial"/>
                <w:b/>
                <w:bCs/>
                <w:sz w:val="24"/>
                <w:szCs w:val="24"/>
              </w:rPr>
              <w:t>Rare</w:t>
            </w:r>
          </w:p>
        </w:tc>
        <w:tc>
          <w:tcPr>
            <w:tcW w:w="0" w:type="auto"/>
            <w:vAlign w:val="center"/>
            <w:hideMark/>
          </w:tcPr>
          <w:p w14:paraId="678EF718" w14:textId="77777777" w:rsidR="00133CD9" w:rsidRPr="00DF3A4F" w:rsidRDefault="00133CD9" w:rsidP="00CD61E4">
            <w:pPr>
              <w:spacing w:line="360" w:lineRule="auto"/>
              <w:jc w:val="both"/>
              <w:rPr>
                <w:rFonts w:ascii="Arial" w:hAnsi="Arial" w:cs="Arial"/>
                <w:b/>
                <w:bCs/>
                <w:sz w:val="24"/>
                <w:szCs w:val="24"/>
              </w:rPr>
            </w:pPr>
            <w:r w:rsidRPr="00DF3A4F">
              <w:rPr>
                <w:rFonts w:ascii="Arial" w:hAnsi="Arial" w:cs="Arial"/>
                <w:b/>
                <w:bCs/>
                <w:sz w:val="24"/>
                <w:szCs w:val="24"/>
              </w:rPr>
              <w:t>Inimitable</w:t>
            </w:r>
          </w:p>
        </w:tc>
        <w:tc>
          <w:tcPr>
            <w:tcW w:w="0" w:type="auto"/>
            <w:vAlign w:val="center"/>
            <w:hideMark/>
          </w:tcPr>
          <w:p w14:paraId="72AA44EF" w14:textId="77777777" w:rsidR="00133CD9" w:rsidRPr="00DF3A4F" w:rsidRDefault="00133CD9" w:rsidP="00CD61E4">
            <w:pPr>
              <w:spacing w:line="360" w:lineRule="auto"/>
              <w:jc w:val="both"/>
              <w:rPr>
                <w:rFonts w:ascii="Arial" w:hAnsi="Arial" w:cs="Arial"/>
                <w:b/>
                <w:bCs/>
                <w:sz w:val="24"/>
                <w:szCs w:val="24"/>
              </w:rPr>
            </w:pPr>
            <w:r w:rsidRPr="00DF3A4F">
              <w:rPr>
                <w:rFonts w:ascii="Arial" w:hAnsi="Arial" w:cs="Arial"/>
                <w:b/>
                <w:bCs/>
                <w:sz w:val="24"/>
                <w:szCs w:val="24"/>
              </w:rPr>
              <w:t>Organised</w:t>
            </w:r>
          </w:p>
        </w:tc>
        <w:tc>
          <w:tcPr>
            <w:tcW w:w="0" w:type="auto"/>
            <w:vAlign w:val="center"/>
            <w:hideMark/>
          </w:tcPr>
          <w:p w14:paraId="09237046" w14:textId="77777777" w:rsidR="00133CD9" w:rsidRPr="00DF3A4F" w:rsidRDefault="00133CD9" w:rsidP="00CD61E4">
            <w:pPr>
              <w:spacing w:line="360" w:lineRule="auto"/>
              <w:jc w:val="both"/>
              <w:rPr>
                <w:rFonts w:ascii="Arial" w:hAnsi="Arial" w:cs="Arial"/>
                <w:b/>
                <w:bCs/>
                <w:sz w:val="24"/>
                <w:szCs w:val="24"/>
              </w:rPr>
            </w:pPr>
            <w:r w:rsidRPr="00DF3A4F">
              <w:rPr>
                <w:rFonts w:ascii="Arial" w:hAnsi="Arial" w:cs="Arial"/>
                <w:b/>
                <w:bCs/>
                <w:sz w:val="24"/>
                <w:szCs w:val="24"/>
              </w:rPr>
              <w:t>Competitive Implication</w:t>
            </w:r>
          </w:p>
        </w:tc>
      </w:tr>
      <w:tr w:rsidR="00133CD9" w:rsidRPr="00DF3A4F" w14:paraId="77A909AC" w14:textId="77777777" w:rsidTr="00CD61E4">
        <w:trPr>
          <w:tblCellSpacing w:w="15" w:type="dxa"/>
        </w:trPr>
        <w:tc>
          <w:tcPr>
            <w:tcW w:w="0" w:type="auto"/>
            <w:vAlign w:val="center"/>
            <w:hideMark/>
          </w:tcPr>
          <w:p w14:paraId="4CFC5666"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UPI Integration Expertise</w:t>
            </w:r>
          </w:p>
        </w:tc>
        <w:tc>
          <w:tcPr>
            <w:tcW w:w="0" w:type="auto"/>
            <w:vAlign w:val="center"/>
            <w:hideMark/>
          </w:tcPr>
          <w:p w14:paraId="078B585B"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Yes</w:t>
            </w:r>
          </w:p>
        </w:tc>
        <w:tc>
          <w:tcPr>
            <w:tcW w:w="0" w:type="auto"/>
            <w:vAlign w:val="center"/>
            <w:hideMark/>
          </w:tcPr>
          <w:p w14:paraId="07C9519C"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Yes</w:t>
            </w:r>
          </w:p>
        </w:tc>
        <w:tc>
          <w:tcPr>
            <w:tcW w:w="0" w:type="auto"/>
            <w:vAlign w:val="center"/>
            <w:hideMark/>
          </w:tcPr>
          <w:p w14:paraId="514C8A23"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Yes</w:t>
            </w:r>
          </w:p>
        </w:tc>
        <w:tc>
          <w:tcPr>
            <w:tcW w:w="0" w:type="auto"/>
            <w:vAlign w:val="center"/>
            <w:hideMark/>
          </w:tcPr>
          <w:p w14:paraId="005C50F6"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Yes</w:t>
            </w:r>
          </w:p>
        </w:tc>
        <w:tc>
          <w:tcPr>
            <w:tcW w:w="0" w:type="auto"/>
            <w:vAlign w:val="center"/>
            <w:hideMark/>
          </w:tcPr>
          <w:p w14:paraId="709AA496"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Sustainable Advantage</w:t>
            </w:r>
          </w:p>
        </w:tc>
      </w:tr>
      <w:tr w:rsidR="00133CD9" w:rsidRPr="00DF3A4F" w14:paraId="24336EB9" w14:textId="77777777" w:rsidTr="00CD61E4">
        <w:trPr>
          <w:tblCellSpacing w:w="15" w:type="dxa"/>
        </w:trPr>
        <w:tc>
          <w:tcPr>
            <w:tcW w:w="0" w:type="auto"/>
            <w:vAlign w:val="center"/>
            <w:hideMark/>
          </w:tcPr>
          <w:p w14:paraId="2AE50B63"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Paytm Brand</w:t>
            </w:r>
          </w:p>
        </w:tc>
        <w:tc>
          <w:tcPr>
            <w:tcW w:w="0" w:type="auto"/>
            <w:vAlign w:val="center"/>
            <w:hideMark/>
          </w:tcPr>
          <w:p w14:paraId="2FF2B134"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Yes</w:t>
            </w:r>
          </w:p>
        </w:tc>
        <w:tc>
          <w:tcPr>
            <w:tcW w:w="0" w:type="auto"/>
            <w:vAlign w:val="center"/>
            <w:hideMark/>
          </w:tcPr>
          <w:p w14:paraId="0C84E25F"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Moderate</w:t>
            </w:r>
          </w:p>
        </w:tc>
        <w:tc>
          <w:tcPr>
            <w:tcW w:w="0" w:type="auto"/>
            <w:vAlign w:val="center"/>
            <w:hideMark/>
          </w:tcPr>
          <w:p w14:paraId="60ED1F1E"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Moderate</w:t>
            </w:r>
          </w:p>
        </w:tc>
        <w:tc>
          <w:tcPr>
            <w:tcW w:w="0" w:type="auto"/>
            <w:vAlign w:val="center"/>
            <w:hideMark/>
          </w:tcPr>
          <w:p w14:paraId="03CF9C1E"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Yes</w:t>
            </w:r>
          </w:p>
        </w:tc>
        <w:tc>
          <w:tcPr>
            <w:tcW w:w="0" w:type="auto"/>
            <w:vAlign w:val="center"/>
            <w:hideMark/>
          </w:tcPr>
          <w:p w14:paraId="4EA4D2AF"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Temporary Advantage</w:t>
            </w:r>
          </w:p>
        </w:tc>
      </w:tr>
      <w:tr w:rsidR="00133CD9" w:rsidRPr="00DF3A4F" w14:paraId="196BE68B" w14:textId="77777777" w:rsidTr="00CD61E4">
        <w:trPr>
          <w:tblCellSpacing w:w="15" w:type="dxa"/>
        </w:trPr>
        <w:tc>
          <w:tcPr>
            <w:tcW w:w="0" w:type="auto"/>
            <w:vAlign w:val="center"/>
            <w:hideMark/>
          </w:tcPr>
          <w:p w14:paraId="642B7F4E"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Merchant Network</w:t>
            </w:r>
          </w:p>
        </w:tc>
        <w:tc>
          <w:tcPr>
            <w:tcW w:w="0" w:type="auto"/>
            <w:vAlign w:val="center"/>
            <w:hideMark/>
          </w:tcPr>
          <w:p w14:paraId="73BFB3D7"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Yes</w:t>
            </w:r>
          </w:p>
        </w:tc>
        <w:tc>
          <w:tcPr>
            <w:tcW w:w="0" w:type="auto"/>
            <w:vAlign w:val="center"/>
            <w:hideMark/>
          </w:tcPr>
          <w:p w14:paraId="1C633D83"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Yes</w:t>
            </w:r>
          </w:p>
        </w:tc>
        <w:tc>
          <w:tcPr>
            <w:tcW w:w="0" w:type="auto"/>
            <w:vAlign w:val="center"/>
            <w:hideMark/>
          </w:tcPr>
          <w:p w14:paraId="263B8E8D"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Yes</w:t>
            </w:r>
          </w:p>
        </w:tc>
        <w:tc>
          <w:tcPr>
            <w:tcW w:w="0" w:type="auto"/>
            <w:vAlign w:val="center"/>
            <w:hideMark/>
          </w:tcPr>
          <w:p w14:paraId="55D88765"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Yes</w:t>
            </w:r>
          </w:p>
        </w:tc>
        <w:tc>
          <w:tcPr>
            <w:tcW w:w="0" w:type="auto"/>
            <w:vAlign w:val="center"/>
            <w:hideMark/>
          </w:tcPr>
          <w:p w14:paraId="6ECF152A"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Sustainable Advantage</w:t>
            </w:r>
          </w:p>
        </w:tc>
      </w:tr>
      <w:tr w:rsidR="00133CD9" w:rsidRPr="00DF3A4F" w14:paraId="34ECA050" w14:textId="77777777" w:rsidTr="00CD61E4">
        <w:trPr>
          <w:tblCellSpacing w:w="15" w:type="dxa"/>
        </w:trPr>
        <w:tc>
          <w:tcPr>
            <w:tcW w:w="0" w:type="auto"/>
            <w:vAlign w:val="center"/>
            <w:hideMark/>
          </w:tcPr>
          <w:p w14:paraId="5B7826C1"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Technology Platform</w:t>
            </w:r>
          </w:p>
        </w:tc>
        <w:tc>
          <w:tcPr>
            <w:tcW w:w="0" w:type="auto"/>
            <w:vAlign w:val="center"/>
            <w:hideMark/>
          </w:tcPr>
          <w:p w14:paraId="2B73A629"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Yes</w:t>
            </w:r>
          </w:p>
        </w:tc>
        <w:tc>
          <w:tcPr>
            <w:tcW w:w="0" w:type="auto"/>
            <w:vAlign w:val="center"/>
            <w:hideMark/>
          </w:tcPr>
          <w:p w14:paraId="0EBA49E4"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Moderate</w:t>
            </w:r>
          </w:p>
        </w:tc>
        <w:tc>
          <w:tcPr>
            <w:tcW w:w="0" w:type="auto"/>
            <w:vAlign w:val="center"/>
            <w:hideMark/>
          </w:tcPr>
          <w:p w14:paraId="1BB15EE3"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Moderate</w:t>
            </w:r>
          </w:p>
        </w:tc>
        <w:tc>
          <w:tcPr>
            <w:tcW w:w="0" w:type="auto"/>
            <w:vAlign w:val="center"/>
            <w:hideMark/>
          </w:tcPr>
          <w:p w14:paraId="7E91E0A2"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Yes</w:t>
            </w:r>
          </w:p>
        </w:tc>
        <w:tc>
          <w:tcPr>
            <w:tcW w:w="0" w:type="auto"/>
            <w:vAlign w:val="center"/>
            <w:hideMark/>
          </w:tcPr>
          <w:p w14:paraId="3D63B391"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Competitive Parity</w:t>
            </w:r>
          </w:p>
        </w:tc>
      </w:tr>
      <w:tr w:rsidR="00133CD9" w:rsidRPr="00DF3A4F" w14:paraId="65E2BDAE" w14:textId="77777777" w:rsidTr="00CD61E4">
        <w:trPr>
          <w:tblCellSpacing w:w="15" w:type="dxa"/>
        </w:trPr>
        <w:tc>
          <w:tcPr>
            <w:tcW w:w="0" w:type="auto"/>
            <w:vAlign w:val="center"/>
            <w:hideMark/>
          </w:tcPr>
          <w:p w14:paraId="74CEE058"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Customer Data Ecosystem</w:t>
            </w:r>
          </w:p>
        </w:tc>
        <w:tc>
          <w:tcPr>
            <w:tcW w:w="0" w:type="auto"/>
            <w:vAlign w:val="center"/>
            <w:hideMark/>
          </w:tcPr>
          <w:p w14:paraId="3F819484"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Yes</w:t>
            </w:r>
          </w:p>
        </w:tc>
        <w:tc>
          <w:tcPr>
            <w:tcW w:w="0" w:type="auto"/>
            <w:vAlign w:val="center"/>
            <w:hideMark/>
          </w:tcPr>
          <w:p w14:paraId="692B723A"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Yes</w:t>
            </w:r>
          </w:p>
        </w:tc>
        <w:tc>
          <w:tcPr>
            <w:tcW w:w="0" w:type="auto"/>
            <w:vAlign w:val="center"/>
            <w:hideMark/>
          </w:tcPr>
          <w:p w14:paraId="42CA18F3"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Yes</w:t>
            </w:r>
          </w:p>
        </w:tc>
        <w:tc>
          <w:tcPr>
            <w:tcW w:w="0" w:type="auto"/>
            <w:vAlign w:val="center"/>
            <w:hideMark/>
          </w:tcPr>
          <w:p w14:paraId="5E2C021C"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Yes</w:t>
            </w:r>
          </w:p>
        </w:tc>
        <w:tc>
          <w:tcPr>
            <w:tcW w:w="0" w:type="auto"/>
            <w:vAlign w:val="center"/>
            <w:hideMark/>
          </w:tcPr>
          <w:p w14:paraId="5959D239"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Sustainable Advantage</w:t>
            </w:r>
          </w:p>
        </w:tc>
      </w:tr>
      <w:tr w:rsidR="00133CD9" w:rsidRPr="00DF3A4F" w14:paraId="040D6F33" w14:textId="77777777" w:rsidTr="00CD61E4">
        <w:trPr>
          <w:tblCellSpacing w:w="15" w:type="dxa"/>
        </w:trPr>
        <w:tc>
          <w:tcPr>
            <w:tcW w:w="0" w:type="auto"/>
            <w:vAlign w:val="center"/>
            <w:hideMark/>
          </w:tcPr>
          <w:p w14:paraId="4693A868"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Strategic Partnerships</w:t>
            </w:r>
          </w:p>
        </w:tc>
        <w:tc>
          <w:tcPr>
            <w:tcW w:w="0" w:type="auto"/>
            <w:vAlign w:val="center"/>
            <w:hideMark/>
          </w:tcPr>
          <w:p w14:paraId="29B082B6"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Yes</w:t>
            </w:r>
          </w:p>
        </w:tc>
        <w:tc>
          <w:tcPr>
            <w:tcW w:w="0" w:type="auto"/>
            <w:vAlign w:val="center"/>
            <w:hideMark/>
          </w:tcPr>
          <w:p w14:paraId="73934D4A"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Moderate</w:t>
            </w:r>
          </w:p>
        </w:tc>
        <w:tc>
          <w:tcPr>
            <w:tcW w:w="0" w:type="auto"/>
            <w:vAlign w:val="center"/>
            <w:hideMark/>
          </w:tcPr>
          <w:p w14:paraId="75091387"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Moderate</w:t>
            </w:r>
          </w:p>
        </w:tc>
        <w:tc>
          <w:tcPr>
            <w:tcW w:w="0" w:type="auto"/>
            <w:vAlign w:val="center"/>
            <w:hideMark/>
          </w:tcPr>
          <w:p w14:paraId="783F27C9"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Yes</w:t>
            </w:r>
          </w:p>
        </w:tc>
        <w:tc>
          <w:tcPr>
            <w:tcW w:w="0" w:type="auto"/>
            <w:vAlign w:val="center"/>
            <w:hideMark/>
          </w:tcPr>
          <w:p w14:paraId="29E65311"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Temporary Advantage</w:t>
            </w:r>
          </w:p>
        </w:tc>
      </w:tr>
    </w:tbl>
    <w:p w14:paraId="126F979A"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analysis suggests that Paytm has greatest competitive edge because of its expertise in UPI &amp; its merchant network and its resources in terms of customer data. Paytm's experience in India's UPI is of special importance (Sharma et al., 2023; Slade et al., 2021). Even as competitors are likely to come up with similar payment technologies, it will take time and money to reproduce the Paytm operational know-how and ecosystem relationships, as well as the experience of transactions. Thus, UPI integration facilities can be deemed to be somewhat hard to duplicate.</w:t>
      </w:r>
    </w:p>
    <w:p w14:paraId="5E179887" w14:textId="77777777" w:rsidR="00133CD9" w:rsidRPr="00DF3A4F" w:rsidRDefault="00133CD9" w:rsidP="00133CD9">
      <w:pPr>
        <w:pStyle w:val="Heading2"/>
        <w:rPr>
          <w:rFonts w:ascii="Arial" w:hAnsi="Arial" w:cs="Arial"/>
          <w:sz w:val="24"/>
          <w:szCs w:val="24"/>
        </w:rPr>
      </w:pPr>
      <w:bookmarkStart w:id="35" w:name="_Toc238739788"/>
      <w:r w:rsidRPr="00DF3A4F">
        <w:rPr>
          <w:rFonts w:ascii="Arial" w:hAnsi="Arial" w:cs="Arial"/>
          <w:sz w:val="24"/>
          <w:szCs w:val="24"/>
        </w:rPr>
        <w:t>4.6 SWOT Analysis</w:t>
      </w:r>
      <w:bookmarkEnd w:id="35"/>
    </w:p>
    <w:p w14:paraId="4A436BFA"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Strengths</w:t>
      </w:r>
    </w:p>
    <w:p w14:paraId="1792361B" w14:textId="77777777" w:rsidR="00133CD9" w:rsidRPr="00DF3A4F" w:rsidRDefault="00133CD9" w:rsidP="00133CD9">
      <w:pPr>
        <w:numPr>
          <w:ilvl w:val="0"/>
          <w:numId w:val="5"/>
        </w:numPr>
        <w:spacing w:line="360" w:lineRule="auto"/>
        <w:jc w:val="both"/>
        <w:rPr>
          <w:rFonts w:ascii="Arial" w:hAnsi="Arial" w:cs="Arial"/>
          <w:sz w:val="24"/>
          <w:szCs w:val="24"/>
        </w:rPr>
      </w:pPr>
      <w:r w:rsidRPr="00DF3A4F">
        <w:rPr>
          <w:rFonts w:ascii="Arial" w:hAnsi="Arial" w:cs="Arial"/>
          <w:sz w:val="24"/>
          <w:szCs w:val="24"/>
        </w:rPr>
        <w:t xml:space="preserve">Strong brand recognition in India. </w:t>
      </w:r>
    </w:p>
    <w:p w14:paraId="5F326CF1" w14:textId="77777777" w:rsidR="00133CD9" w:rsidRPr="00DF3A4F" w:rsidRDefault="00133CD9" w:rsidP="00133CD9">
      <w:pPr>
        <w:numPr>
          <w:ilvl w:val="0"/>
          <w:numId w:val="5"/>
        </w:numPr>
        <w:spacing w:line="360" w:lineRule="auto"/>
        <w:jc w:val="both"/>
        <w:rPr>
          <w:rFonts w:ascii="Arial" w:hAnsi="Arial" w:cs="Arial"/>
          <w:sz w:val="24"/>
          <w:szCs w:val="24"/>
        </w:rPr>
      </w:pPr>
      <w:r w:rsidRPr="00DF3A4F">
        <w:rPr>
          <w:rFonts w:ascii="Arial" w:hAnsi="Arial" w:cs="Arial"/>
          <w:sz w:val="24"/>
          <w:szCs w:val="24"/>
        </w:rPr>
        <w:t xml:space="preserve">Large customer base. </w:t>
      </w:r>
    </w:p>
    <w:p w14:paraId="2C8A502A" w14:textId="77777777" w:rsidR="00133CD9" w:rsidRPr="00DF3A4F" w:rsidRDefault="00133CD9" w:rsidP="00133CD9">
      <w:pPr>
        <w:numPr>
          <w:ilvl w:val="0"/>
          <w:numId w:val="5"/>
        </w:numPr>
        <w:spacing w:line="360" w:lineRule="auto"/>
        <w:jc w:val="both"/>
        <w:rPr>
          <w:rFonts w:ascii="Arial" w:hAnsi="Arial" w:cs="Arial"/>
          <w:sz w:val="24"/>
          <w:szCs w:val="24"/>
        </w:rPr>
      </w:pPr>
      <w:r w:rsidRPr="00DF3A4F">
        <w:rPr>
          <w:rFonts w:ascii="Arial" w:hAnsi="Arial" w:cs="Arial"/>
          <w:sz w:val="24"/>
          <w:szCs w:val="24"/>
        </w:rPr>
        <w:t xml:space="preserve">Extensive merchant ecosystem. </w:t>
      </w:r>
    </w:p>
    <w:p w14:paraId="51322357" w14:textId="77777777" w:rsidR="00133CD9" w:rsidRPr="00DF3A4F" w:rsidRDefault="00133CD9" w:rsidP="00133CD9">
      <w:pPr>
        <w:numPr>
          <w:ilvl w:val="0"/>
          <w:numId w:val="5"/>
        </w:numPr>
        <w:spacing w:line="360" w:lineRule="auto"/>
        <w:jc w:val="both"/>
        <w:rPr>
          <w:rFonts w:ascii="Arial" w:hAnsi="Arial" w:cs="Arial"/>
          <w:sz w:val="24"/>
          <w:szCs w:val="24"/>
        </w:rPr>
      </w:pPr>
      <w:r w:rsidRPr="00DF3A4F">
        <w:rPr>
          <w:rFonts w:ascii="Arial" w:hAnsi="Arial" w:cs="Arial"/>
          <w:sz w:val="24"/>
          <w:szCs w:val="24"/>
        </w:rPr>
        <w:t xml:space="preserve">Advanced digital payment technology. </w:t>
      </w:r>
    </w:p>
    <w:p w14:paraId="0B829068" w14:textId="77777777" w:rsidR="00133CD9" w:rsidRPr="00DF3A4F" w:rsidRDefault="00133CD9" w:rsidP="00133CD9">
      <w:pPr>
        <w:numPr>
          <w:ilvl w:val="0"/>
          <w:numId w:val="5"/>
        </w:numPr>
        <w:spacing w:line="360" w:lineRule="auto"/>
        <w:jc w:val="both"/>
        <w:rPr>
          <w:rFonts w:ascii="Arial" w:hAnsi="Arial" w:cs="Arial"/>
          <w:sz w:val="24"/>
          <w:szCs w:val="24"/>
        </w:rPr>
      </w:pPr>
      <w:r w:rsidRPr="00DF3A4F">
        <w:rPr>
          <w:rFonts w:ascii="Arial" w:hAnsi="Arial" w:cs="Arial"/>
          <w:sz w:val="24"/>
          <w:szCs w:val="24"/>
        </w:rPr>
        <w:t xml:space="preserve">Diversified revenue streams. </w:t>
      </w:r>
    </w:p>
    <w:p w14:paraId="2AEAAA6B" w14:textId="77777777" w:rsidR="00133CD9" w:rsidRPr="00DF3A4F" w:rsidRDefault="00133CD9" w:rsidP="00133CD9">
      <w:pPr>
        <w:numPr>
          <w:ilvl w:val="0"/>
          <w:numId w:val="5"/>
        </w:numPr>
        <w:spacing w:line="360" w:lineRule="auto"/>
        <w:jc w:val="both"/>
        <w:rPr>
          <w:rFonts w:ascii="Arial" w:hAnsi="Arial" w:cs="Arial"/>
          <w:sz w:val="24"/>
          <w:szCs w:val="24"/>
        </w:rPr>
      </w:pPr>
      <w:r w:rsidRPr="00DF3A4F">
        <w:rPr>
          <w:rFonts w:ascii="Arial" w:hAnsi="Arial" w:cs="Arial"/>
          <w:sz w:val="24"/>
          <w:szCs w:val="24"/>
        </w:rPr>
        <w:t xml:space="preserve">Strong UPI integration capabilities. </w:t>
      </w:r>
    </w:p>
    <w:p w14:paraId="07988D09" w14:textId="77777777" w:rsidR="00133CD9" w:rsidRPr="00DF3A4F" w:rsidRDefault="00133CD9" w:rsidP="00133CD9">
      <w:pPr>
        <w:numPr>
          <w:ilvl w:val="0"/>
          <w:numId w:val="5"/>
        </w:numPr>
        <w:spacing w:line="360" w:lineRule="auto"/>
        <w:jc w:val="both"/>
        <w:rPr>
          <w:rFonts w:ascii="Arial" w:hAnsi="Arial" w:cs="Arial"/>
          <w:sz w:val="24"/>
          <w:szCs w:val="24"/>
        </w:rPr>
      </w:pPr>
      <w:r w:rsidRPr="00DF3A4F">
        <w:rPr>
          <w:rFonts w:ascii="Arial" w:hAnsi="Arial" w:cs="Arial"/>
          <w:sz w:val="24"/>
          <w:szCs w:val="24"/>
        </w:rPr>
        <w:t xml:space="preserve">Significant experience in digital financial services. </w:t>
      </w:r>
    </w:p>
    <w:p w14:paraId="026754A9"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Weaknesses</w:t>
      </w:r>
    </w:p>
    <w:p w14:paraId="51278852" w14:textId="77777777" w:rsidR="00133CD9" w:rsidRPr="00DF3A4F" w:rsidRDefault="00133CD9" w:rsidP="00133CD9">
      <w:pPr>
        <w:numPr>
          <w:ilvl w:val="0"/>
          <w:numId w:val="6"/>
        </w:numPr>
        <w:spacing w:line="360" w:lineRule="auto"/>
        <w:jc w:val="both"/>
        <w:rPr>
          <w:rFonts w:ascii="Arial" w:hAnsi="Arial" w:cs="Arial"/>
          <w:sz w:val="24"/>
          <w:szCs w:val="24"/>
        </w:rPr>
      </w:pPr>
      <w:r w:rsidRPr="00DF3A4F">
        <w:rPr>
          <w:rFonts w:ascii="Arial" w:hAnsi="Arial" w:cs="Arial"/>
          <w:sz w:val="24"/>
          <w:szCs w:val="24"/>
        </w:rPr>
        <w:t xml:space="preserve">Limited international operating experience. </w:t>
      </w:r>
    </w:p>
    <w:p w14:paraId="74A5A315" w14:textId="77777777" w:rsidR="00133CD9" w:rsidRPr="00DF3A4F" w:rsidRDefault="00133CD9" w:rsidP="00133CD9">
      <w:pPr>
        <w:numPr>
          <w:ilvl w:val="0"/>
          <w:numId w:val="6"/>
        </w:numPr>
        <w:spacing w:line="360" w:lineRule="auto"/>
        <w:jc w:val="both"/>
        <w:rPr>
          <w:rFonts w:ascii="Arial" w:hAnsi="Arial" w:cs="Arial"/>
          <w:sz w:val="24"/>
          <w:szCs w:val="24"/>
        </w:rPr>
      </w:pPr>
      <w:r w:rsidRPr="00DF3A4F">
        <w:rPr>
          <w:rFonts w:ascii="Arial" w:hAnsi="Arial" w:cs="Arial"/>
          <w:sz w:val="24"/>
          <w:szCs w:val="24"/>
        </w:rPr>
        <w:t xml:space="preserve">Dependence on Indian market performance. </w:t>
      </w:r>
    </w:p>
    <w:p w14:paraId="116E3FB0" w14:textId="77777777" w:rsidR="00133CD9" w:rsidRPr="00DF3A4F" w:rsidRDefault="00133CD9" w:rsidP="00133CD9">
      <w:pPr>
        <w:numPr>
          <w:ilvl w:val="0"/>
          <w:numId w:val="6"/>
        </w:numPr>
        <w:spacing w:line="360" w:lineRule="auto"/>
        <w:jc w:val="both"/>
        <w:rPr>
          <w:rFonts w:ascii="Arial" w:hAnsi="Arial" w:cs="Arial"/>
          <w:sz w:val="24"/>
          <w:szCs w:val="24"/>
        </w:rPr>
      </w:pPr>
      <w:r w:rsidRPr="00DF3A4F">
        <w:rPr>
          <w:rFonts w:ascii="Arial" w:hAnsi="Arial" w:cs="Arial"/>
          <w:sz w:val="24"/>
          <w:szCs w:val="24"/>
        </w:rPr>
        <w:t xml:space="preserve">Intense competition within digital payments. </w:t>
      </w:r>
    </w:p>
    <w:p w14:paraId="4D8DFB82" w14:textId="77777777" w:rsidR="00133CD9" w:rsidRPr="00DF3A4F" w:rsidRDefault="00133CD9" w:rsidP="00133CD9">
      <w:pPr>
        <w:numPr>
          <w:ilvl w:val="0"/>
          <w:numId w:val="6"/>
        </w:numPr>
        <w:spacing w:line="360" w:lineRule="auto"/>
        <w:jc w:val="both"/>
        <w:rPr>
          <w:rFonts w:ascii="Arial" w:hAnsi="Arial" w:cs="Arial"/>
          <w:sz w:val="24"/>
          <w:szCs w:val="24"/>
        </w:rPr>
      </w:pPr>
      <w:r w:rsidRPr="00DF3A4F">
        <w:rPr>
          <w:rFonts w:ascii="Arial" w:hAnsi="Arial" w:cs="Arial"/>
          <w:sz w:val="24"/>
          <w:szCs w:val="24"/>
        </w:rPr>
        <w:t xml:space="preserve">Regulatory challenges affecting financial services. </w:t>
      </w:r>
    </w:p>
    <w:p w14:paraId="5AF68962" w14:textId="77777777" w:rsidR="00133CD9" w:rsidRPr="00DF3A4F" w:rsidRDefault="00133CD9" w:rsidP="00133CD9">
      <w:pPr>
        <w:numPr>
          <w:ilvl w:val="0"/>
          <w:numId w:val="6"/>
        </w:numPr>
        <w:spacing w:line="360" w:lineRule="auto"/>
        <w:jc w:val="both"/>
        <w:rPr>
          <w:rFonts w:ascii="Arial" w:hAnsi="Arial" w:cs="Arial"/>
          <w:sz w:val="24"/>
          <w:szCs w:val="24"/>
        </w:rPr>
      </w:pPr>
      <w:r w:rsidRPr="00DF3A4F">
        <w:rPr>
          <w:rFonts w:ascii="Arial" w:hAnsi="Arial" w:cs="Arial"/>
          <w:sz w:val="24"/>
          <w:szCs w:val="24"/>
        </w:rPr>
        <w:t xml:space="preserve">Profitability pressures from expansion investments. </w:t>
      </w:r>
    </w:p>
    <w:p w14:paraId="3F0168AA"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Opportunities</w:t>
      </w:r>
    </w:p>
    <w:p w14:paraId="34192976" w14:textId="77777777" w:rsidR="00133CD9" w:rsidRPr="00DF3A4F" w:rsidRDefault="00133CD9" w:rsidP="00133CD9">
      <w:pPr>
        <w:numPr>
          <w:ilvl w:val="0"/>
          <w:numId w:val="7"/>
        </w:numPr>
        <w:spacing w:line="360" w:lineRule="auto"/>
        <w:jc w:val="both"/>
        <w:rPr>
          <w:rFonts w:ascii="Arial" w:hAnsi="Arial" w:cs="Arial"/>
          <w:sz w:val="24"/>
          <w:szCs w:val="24"/>
        </w:rPr>
      </w:pPr>
      <w:r w:rsidRPr="00DF3A4F">
        <w:rPr>
          <w:rFonts w:ascii="Arial" w:hAnsi="Arial" w:cs="Arial"/>
          <w:sz w:val="24"/>
          <w:szCs w:val="24"/>
        </w:rPr>
        <w:t xml:space="preserve">Expansion of cross-border payment services. </w:t>
      </w:r>
    </w:p>
    <w:p w14:paraId="44585654" w14:textId="77777777" w:rsidR="00133CD9" w:rsidRPr="00DF3A4F" w:rsidRDefault="00133CD9" w:rsidP="00133CD9">
      <w:pPr>
        <w:numPr>
          <w:ilvl w:val="0"/>
          <w:numId w:val="7"/>
        </w:numPr>
        <w:spacing w:line="360" w:lineRule="auto"/>
        <w:jc w:val="both"/>
        <w:rPr>
          <w:rFonts w:ascii="Arial" w:hAnsi="Arial" w:cs="Arial"/>
          <w:sz w:val="24"/>
          <w:szCs w:val="24"/>
        </w:rPr>
      </w:pPr>
      <w:r w:rsidRPr="00DF3A4F">
        <w:rPr>
          <w:rFonts w:ascii="Arial" w:hAnsi="Arial" w:cs="Arial"/>
          <w:sz w:val="24"/>
          <w:szCs w:val="24"/>
        </w:rPr>
        <w:t xml:space="preserve">Increasing international recognition of UPI. </w:t>
      </w:r>
    </w:p>
    <w:p w14:paraId="0BF4B2C7" w14:textId="77777777" w:rsidR="00133CD9" w:rsidRPr="00DF3A4F" w:rsidRDefault="00133CD9" w:rsidP="00133CD9">
      <w:pPr>
        <w:numPr>
          <w:ilvl w:val="0"/>
          <w:numId w:val="7"/>
        </w:numPr>
        <w:spacing w:line="360" w:lineRule="auto"/>
        <w:jc w:val="both"/>
        <w:rPr>
          <w:rFonts w:ascii="Arial" w:hAnsi="Arial" w:cs="Arial"/>
          <w:sz w:val="24"/>
          <w:szCs w:val="24"/>
        </w:rPr>
      </w:pPr>
      <w:r w:rsidRPr="00DF3A4F">
        <w:rPr>
          <w:rFonts w:ascii="Arial" w:hAnsi="Arial" w:cs="Arial"/>
          <w:sz w:val="24"/>
          <w:szCs w:val="24"/>
        </w:rPr>
        <w:t xml:space="preserve">Growth in India–Singapore business transactions. </w:t>
      </w:r>
    </w:p>
    <w:p w14:paraId="457B431A" w14:textId="77777777" w:rsidR="00133CD9" w:rsidRPr="00DF3A4F" w:rsidRDefault="00133CD9" w:rsidP="00133CD9">
      <w:pPr>
        <w:numPr>
          <w:ilvl w:val="0"/>
          <w:numId w:val="7"/>
        </w:numPr>
        <w:spacing w:line="360" w:lineRule="auto"/>
        <w:jc w:val="both"/>
        <w:rPr>
          <w:rFonts w:ascii="Arial" w:hAnsi="Arial" w:cs="Arial"/>
          <w:sz w:val="24"/>
          <w:szCs w:val="24"/>
        </w:rPr>
      </w:pPr>
      <w:r w:rsidRPr="00DF3A4F">
        <w:rPr>
          <w:rFonts w:ascii="Arial" w:hAnsi="Arial" w:cs="Arial"/>
          <w:sz w:val="24"/>
          <w:szCs w:val="24"/>
        </w:rPr>
        <w:t xml:space="preserve">Rising demand for digital payment solutions. </w:t>
      </w:r>
    </w:p>
    <w:p w14:paraId="24CA08E0" w14:textId="77777777" w:rsidR="00133CD9" w:rsidRPr="00DF3A4F" w:rsidRDefault="00133CD9" w:rsidP="00133CD9">
      <w:pPr>
        <w:numPr>
          <w:ilvl w:val="0"/>
          <w:numId w:val="7"/>
        </w:numPr>
        <w:spacing w:line="360" w:lineRule="auto"/>
        <w:jc w:val="both"/>
        <w:rPr>
          <w:rFonts w:ascii="Arial" w:hAnsi="Arial" w:cs="Arial"/>
          <w:sz w:val="24"/>
          <w:szCs w:val="24"/>
        </w:rPr>
      </w:pPr>
      <w:r w:rsidRPr="00DF3A4F">
        <w:rPr>
          <w:rFonts w:ascii="Arial" w:hAnsi="Arial" w:cs="Arial"/>
          <w:sz w:val="24"/>
          <w:szCs w:val="24"/>
        </w:rPr>
        <w:t xml:space="preserve">Strategic alliances with Singaporean financial institutions. </w:t>
      </w:r>
    </w:p>
    <w:p w14:paraId="75C33756"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Threats</w:t>
      </w:r>
    </w:p>
    <w:p w14:paraId="5D2EE6C3" w14:textId="77777777" w:rsidR="00133CD9" w:rsidRPr="00DF3A4F" w:rsidRDefault="00133CD9" w:rsidP="00133CD9">
      <w:pPr>
        <w:numPr>
          <w:ilvl w:val="0"/>
          <w:numId w:val="8"/>
        </w:numPr>
        <w:spacing w:line="360" w:lineRule="auto"/>
        <w:jc w:val="both"/>
        <w:rPr>
          <w:rFonts w:ascii="Arial" w:hAnsi="Arial" w:cs="Arial"/>
          <w:sz w:val="24"/>
          <w:szCs w:val="24"/>
        </w:rPr>
      </w:pPr>
      <w:r w:rsidRPr="00DF3A4F">
        <w:rPr>
          <w:rFonts w:ascii="Arial" w:hAnsi="Arial" w:cs="Arial"/>
          <w:sz w:val="24"/>
          <w:szCs w:val="24"/>
        </w:rPr>
        <w:t xml:space="preserve">Strong competition from Google Pay and PhonePe. </w:t>
      </w:r>
    </w:p>
    <w:p w14:paraId="6B579EE1" w14:textId="77777777" w:rsidR="00133CD9" w:rsidRPr="00DF3A4F" w:rsidRDefault="00133CD9" w:rsidP="00133CD9">
      <w:pPr>
        <w:numPr>
          <w:ilvl w:val="0"/>
          <w:numId w:val="8"/>
        </w:numPr>
        <w:spacing w:line="360" w:lineRule="auto"/>
        <w:jc w:val="both"/>
        <w:rPr>
          <w:rFonts w:ascii="Arial" w:hAnsi="Arial" w:cs="Arial"/>
          <w:sz w:val="24"/>
          <w:szCs w:val="24"/>
        </w:rPr>
      </w:pPr>
      <w:r w:rsidRPr="00DF3A4F">
        <w:rPr>
          <w:rFonts w:ascii="Arial" w:hAnsi="Arial" w:cs="Arial"/>
          <w:sz w:val="24"/>
          <w:szCs w:val="24"/>
        </w:rPr>
        <w:t xml:space="preserve">Regulatory uncertainty in international markets. </w:t>
      </w:r>
    </w:p>
    <w:p w14:paraId="1B7707FD" w14:textId="77777777" w:rsidR="00133CD9" w:rsidRPr="00DF3A4F" w:rsidRDefault="00133CD9" w:rsidP="00133CD9">
      <w:pPr>
        <w:numPr>
          <w:ilvl w:val="0"/>
          <w:numId w:val="8"/>
        </w:numPr>
        <w:spacing w:line="360" w:lineRule="auto"/>
        <w:jc w:val="both"/>
        <w:rPr>
          <w:rFonts w:ascii="Arial" w:hAnsi="Arial" w:cs="Arial"/>
          <w:sz w:val="24"/>
          <w:szCs w:val="24"/>
        </w:rPr>
      </w:pPr>
      <w:r w:rsidRPr="00DF3A4F">
        <w:rPr>
          <w:rFonts w:ascii="Arial" w:hAnsi="Arial" w:cs="Arial"/>
          <w:sz w:val="24"/>
          <w:szCs w:val="24"/>
        </w:rPr>
        <w:t xml:space="preserve">Cybersecurity risks. </w:t>
      </w:r>
    </w:p>
    <w:p w14:paraId="407A3E44" w14:textId="77777777" w:rsidR="00133CD9" w:rsidRPr="00DF3A4F" w:rsidRDefault="00133CD9" w:rsidP="00133CD9">
      <w:pPr>
        <w:numPr>
          <w:ilvl w:val="0"/>
          <w:numId w:val="8"/>
        </w:numPr>
        <w:spacing w:line="360" w:lineRule="auto"/>
        <w:jc w:val="both"/>
        <w:rPr>
          <w:rFonts w:ascii="Arial" w:hAnsi="Arial" w:cs="Arial"/>
          <w:sz w:val="24"/>
          <w:szCs w:val="24"/>
        </w:rPr>
      </w:pPr>
      <w:r w:rsidRPr="00DF3A4F">
        <w:rPr>
          <w:rFonts w:ascii="Arial" w:hAnsi="Arial" w:cs="Arial"/>
          <w:sz w:val="24"/>
          <w:szCs w:val="24"/>
        </w:rPr>
        <w:t xml:space="preserve">Rapid technological disruption. </w:t>
      </w:r>
    </w:p>
    <w:p w14:paraId="2CB389E0" w14:textId="77777777" w:rsidR="00133CD9" w:rsidRPr="00DF3A4F" w:rsidRDefault="00133CD9" w:rsidP="00133CD9">
      <w:pPr>
        <w:numPr>
          <w:ilvl w:val="0"/>
          <w:numId w:val="8"/>
        </w:numPr>
        <w:spacing w:line="360" w:lineRule="auto"/>
        <w:jc w:val="both"/>
        <w:rPr>
          <w:rFonts w:ascii="Arial" w:hAnsi="Arial" w:cs="Arial"/>
          <w:sz w:val="24"/>
          <w:szCs w:val="24"/>
        </w:rPr>
      </w:pPr>
      <w:r w:rsidRPr="00DF3A4F">
        <w:rPr>
          <w:rFonts w:ascii="Arial" w:hAnsi="Arial" w:cs="Arial"/>
          <w:sz w:val="24"/>
          <w:szCs w:val="24"/>
        </w:rPr>
        <w:t xml:space="preserve">Changing consumer payment preferences. </w:t>
      </w:r>
    </w:p>
    <w:p w14:paraId="7EBD21AD"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SWOT analysis shows that Paytm's strength and opportunity is greater than its weakness and threats, which indicates that it has a good chance for going global.</w:t>
      </w:r>
    </w:p>
    <w:p w14:paraId="38C1D8BE" w14:textId="77777777" w:rsidR="00133CD9" w:rsidRPr="00DF3A4F" w:rsidRDefault="00133CD9" w:rsidP="00133CD9">
      <w:pPr>
        <w:pStyle w:val="Heading2"/>
        <w:rPr>
          <w:rFonts w:ascii="Arial" w:hAnsi="Arial" w:cs="Arial"/>
          <w:sz w:val="24"/>
          <w:szCs w:val="24"/>
        </w:rPr>
      </w:pPr>
      <w:bookmarkStart w:id="36" w:name="_Toc238739789"/>
      <w:r w:rsidRPr="00DF3A4F">
        <w:rPr>
          <w:rFonts w:ascii="Arial" w:hAnsi="Arial" w:cs="Arial"/>
          <w:sz w:val="24"/>
          <w:szCs w:val="24"/>
        </w:rPr>
        <w:t>4.7 Internal Capability Assessment</w:t>
      </w:r>
      <w:bookmarkEnd w:id="36"/>
    </w:p>
    <w:p w14:paraId="7FA4C444"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Based on internal analysis, it is believed that Paytm has the organizational prowess to expand its business globally. On this basis, the internal analysis indicates that Paytm has the organizational strength to expand its business to other countries. The company has a robust technological capability, a huge merchant base and a powerful customer base which will give the company a sustainable competitive edge.</w:t>
      </w:r>
    </w:p>
    <w:p w14:paraId="6F0A5D56"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VRIO analysis helps to illustrate that the VRIO framework has some resources that would satisfy the criteria for long-term competitiveness. (Barney &amp; Hesterly, 2021). Specifically, the expertise and ecosystem in UPI are considered as value-adding assets which competitors find challenging to replicate.</w:t>
      </w:r>
    </w:p>
    <w:p w14:paraId="7BAB9729"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But overcoming shortcomings in the areas of international experience and adaptation to regulations will be necessary for successful expansion. By partnering with Singaporean financial institutions, these challenges can be addressed, with the local market knowledge and regulatory assistance.</w:t>
      </w:r>
    </w:p>
    <w:p w14:paraId="00D307E5"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In conclusion, Paytm seems poised to venture into the international markets with well-planned market entry strategies.</w:t>
      </w:r>
    </w:p>
    <w:p w14:paraId="3AE28361" w14:textId="77777777" w:rsidR="00133CD9" w:rsidRPr="00DF3A4F" w:rsidRDefault="00133CD9" w:rsidP="00133CD9">
      <w:pPr>
        <w:pStyle w:val="Heading2"/>
        <w:rPr>
          <w:rFonts w:ascii="Arial" w:hAnsi="Arial" w:cs="Arial"/>
          <w:sz w:val="24"/>
          <w:szCs w:val="24"/>
        </w:rPr>
      </w:pPr>
      <w:bookmarkStart w:id="37" w:name="_Toc238739790"/>
      <w:r w:rsidRPr="00DF3A4F">
        <w:rPr>
          <w:rFonts w:ascii="Arial" w:hAnsi="Arial" w:cs="Arial"/>
          <w:sz w:val="24"/>
          <w:szCs w:val="24"/>
        </w:rPr>
        <w:t>4.8 Chapter Summary</w:t>
      </w:r>
      <w:bookmarkEnd w:id="37"/>
    </w:p>
    <w:p w14:paraId="1ED6FA02" w14:textId="78111D85"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 xml:space="preserve">In this chapter, Paytm has been </w:t>
      </w:r>
      <w:r w:rsidR="00DF3A4F" w:rsidRPr="00DF3A4F">
        <w:rPr>
          <w:rFonts w:ascii="Arial" w:hAnsi="Arial" w:cs="Arial"/>
          <w:sz w:val="24"/>
          <w:szCs w:val="24"/>
        </w:rPr>
        <w:t>analysed</w:t>
      </w:r>
      <w:r w:rsidRPr="00DF3A4F">
        <w:rPr>
          <w:rFonts w:ascii="Arial" w:hAnsi="Arial" w:cs="Arial"/>
          <w:sz w:val="24"/>
          <w:szCs w:val="24"/>
        </w:rPr>
        <w:t xml:space="preserve"> from an internal environment perspective through the company profiling, business model analysis, RBV, VRIO &amp; SWOT frameworks. The analysis highlights that Paytm has ample resources in terms of technology, organisation and strategy which can aid its global expansion. The company's comprehensive payment solution, merchant network and expertise with UPI give it sustainable competitive edges which can help it to make the first steps to the Singapore market. While some challenges lie ahead, with regard to international experience and regulatory requirements, Paytm's internal capabilities seem poised to enable the organisation to explore cross-border digital payment avenues. The external business environment is explored and Singapore's appeal as a market to expand into is compared to other countries.</w:t>
      </w:r>
    </w:p>
    <w:p w14:paraId="3841CE88"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br w:type="page"/>
      </w:r>
    </w:p>
    <w:p w14:paraId="4F9D0CE6" w14:textId="77777777" w:rsidR="00133CD9" w:rsidRPr="00DF3A4F" w:rsidRDefault="00133CD9" w:rsidP="00133CD9">
      <w:pPr>
        <w:pStyle w:val="Heading1"/>
        <w:rPr>
          <w:rFonts w:ascii="Arial" w:hAnsi="Arial" w:cs="Arial"/>
          <w:szCs w:val="24"/>
        </w:rPr>
      </w:pPr>
      <w:bookmarkStart w:id="38" w:name="_Toc238739791"/>
      <w:r w:rsidRPr="00DF3A4F">
        <w:rPr>
          <w:rFonts w:ascii="Arial" w:hAnsi="Arial" w:cs="Arial"/>
          <w:szCs w:val="24"/>
        </w:rPr>
        <w:t>Chapter 5: External and Market Environment Analysis</w:t>
      </w:r>
      <w:bookmarkEnd w:id="38"/>
    </w:p>
    <w:p w14:paraId="5704B70F" w14:textId="77777777" w:rsidR="00133CD9" w:rsidRPr="00DF3A4F" w:rsidRDefault="00133CD9" w:rsidP="00133CD9">
      <w:pPr>
        <w:pStyle w:val="Heading2"/>
        <w:rPr>
          <w:rFonts w:ascii="Arial" w:hAnsi="Arial" w:cs="Arial"/>
          <w:sz w:val="24"/>
          <w:szCs w:val="24"/>
        </w:rPr>
      </w:pPr>
      <w:bookmarkStart w:id="39" w:name="_Toc238739792"/>
      <w:r w:rsidRPr="00DF3A4F">
        <w:rPr>
          <w:rFonts w:ascii="Arial" w:hAnsi="Arial" w:cs="Arial"/>
          <w:sz w:val="24"/>
          <w:szCs w:val="24"/>
        </w:rPr>
        <w:t>5.1 Introduction</w:t>
      </w:r>
      <w:bookmarkEnd w:id="39"/>
    </w:p>
    <w:p w14:paraId="6AEF9CAE"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After analysing the internal business environment as discussed in Chapter 4, this chapter will analyse the external business environment to understand the attractiveness and feasibility of Paytm's proposed expansion to Singapore. External environmental analysis is crucial because the success of an international expansion relies on the ability of the organisation and the political, economic, social, technological, legal and competitive aspects of the target market (Hill, 2022). This chapter utilises PESTLE analysis, the CAGE Distance Framework, Porter's Five Forces and competitor analysis to evaluate on the possibility of Singapore as an international expansion option. In addition, Singapore is benchmarked against the other alternative markets such as Malaysia and the United Arab Emirates (UAE) to support the rationale of the choice of market.</w:t>
      </w:r>
    </w:p>
    <w:p w14:paraId="055A9E13" w14:textId="77777777" w:rsidR="00133CD9" w:rsidRPr="00DF3A4F" w:rsidRDefault="00133CD9" w:rsidP="00133CD9">
      <w:pPr>
        <w:pStyle w:val="Heading2"/>
        <w:rPr>
          <w:rFonts w:ascii="Arial" w:hAnsi="Arial" w:cs="Arial"/>
          <w:sz w:val="24"/>
          <w:szCs w:val="24"/>
        </w:rPr>
      </w:pPr>
      <w:bookmarkStart w:id="40" w:name="_Toc238739793"/>
      <w:r w:rsidRPr="00DF3A4F">
        <w:rPr>
          <w:rFonts w:ascii="Arial" w:hAnsi="Arial" w:cs="Arial"/>
          <w:sz w:val="24"/>
          <w:szCs w:val="24"/>
        </w:rPr>
        <w:t>5.2 PESTLE Analysis of Singapore</w:t>
      </w:r>
      <w:bookmarkEnd w:id="40"/>
    </w:p>
    <w:p w14:paraId="006EF0E2"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Political Factors</w:t>
      </w:r>
    </w:p>
    <w:p w14:paraId="3B1BC77F"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Singapore is known throughout the world for its political stability, integrity of government and business-friendly regulatory framework. Singapore is always one of the top 10 countries for doing business, as per World Bank (2024). The government encourages and promotes innovation, financial technology development and digital transformation via a number of initiatives spearheaded by the Monetary Authority of Singapore (MAS).</w:t>
      </w:r>
    </w:p>
    <w:p w14:paraId="33C13239"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Political stability on the other hand, helps Paytm to lower their investment risk and offers a stable environment for long term business operations. Furthermore, India-Singapore cross-border financial services are well facilitated due to India-Singapore strong diplomatic and economic ties.</w:t>
      </w:r>
    </w:p>
    <w:p w14:paraId="15B086E8"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Economic Factors</w:t>
      </w:r>
    </w:p>
    <w:p w14:paraId="30342FB9"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Singaporean economy is one of the world's most robust with high GDP per capita, a robust purchasing power and advanced financial infrastructure (World Bank, 2025). It is a leading global financial hub connecting the financial markets in Asia-Pacific.</w:t>
      </w:r>
    </w:p>
    <w:p w14:paraId="5D17A3F2"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This robust volume of trade, investment and tourism between India and Singapore fuels a great need for effective cross-border payments. More importantly, the digital economy is a growing part of Singapore's economy, and this facilitates the use of new payment technology and financial services.</w:t>
      </w:r>
    </w:p>
    <w:p w14:paraId="6EF96FA6"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Social Factors</w:t>
      </w:r>
    </w:p>
    <w:p w14:paraId="723D335B"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residents in Singapore are well educated, technologically savvy and digitally literate. Consumers' mobile payment, digital banking and e-commerce acceptance is high (Al-</w:t>
      </w:r>
      <w:proofErr w:type="spellStart"/>
      <w:r w:rsidRPr="00DF3A4F">
        <w:rPr>
          <w:rFonts w:ascii="Arial" w:hAnsi="Arial" w:cs="Arial"/>
          <w:sz w:val="24"/>
          <w:szCs w:val="24"/>
        </w:rPr>
        <w:t>Okaily</w:t>
      </w:r>
      <w:proofErr w:type="spellEnd"/>
      <w:r w:rsidRPr="00DF3A4F">
        <w:rPr>
          <w:rFonts w:ascii="Arial" w:hAnsi="Arial" w:cs="Arial"/>
          <w:sz w:val="24"/>
          <w:szCs w:val="24"/>
        </w:rPr>
        <w:t xml:space="preserve"> et al., 2022; Oliveira et al., 2021). The country is also home to a significant Indian community that necessitates a significant need for remittance, payment, and other international services.</w:t>
      </w:r>
    </w:p>
    <w:p w14:paraId="30E8143C"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Paytm's strategy of market penetration might be helped by cultural familiarity of Indian consumers to the Indian community in Singapore.</w:t>
      </w:r>
    </w:p>
    <w:p w14:paraId="525D041C"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Technological Factors</w:t>
      </w:r>
    </w:p>
    <w:p w14:paraId="5573767E"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Singapore has world-class digital infrastructure and high connectivity and penetration levels with a majority of people having smartphones. Government efforts for the Smart Nation Programme also foster the innovation and technological development of digital.</w:t>
      </w:r>
    </w:p>
    <w:p w14:paraId="4995B530" w14:textId="073C7DC9"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 xml:space="preserve">The country's high technological maturity is also in a close alignment with Paytm's digital payments business </w:t>
      </w:r>
      <w:r w:rsidR="00690344" w:rsidRPr="00DF3A4F">
        <w:rPr>
          <w:rFonts w:ascii="Arial" w:hAnsi="Arial" w:cs="Arial"/>
          <w:sz w:val="24"/>
          <w:szCs w:val="24"/>
        </w:rPr>
        <w:t>model and</w:t>
      </w:r>
      <w:r w:rsidRPr="00DF3A4F">
        <w:rPr>
          <w:rFonts w:ascii="Arial" w:hAnsi="Arial" w:cs="Arial"/>
          <w:sz w:val="24"/>
          <w:szCs w:val="24"/>
        </w:rPr>
        <w:t xml:space="preserve"> helps overcome the infrastructure constraint-based implementation hurdles.</w:t>
      </w:r>
    </w:p>
    <w:p w14:paraId="0F54BE1E"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Legal Factors</w:t>
      </w:r>
    </w:p>
    <w:p w14:paraId="410E49E8"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regulatory landscape of digital payments and financial technology and data protection are strong in Singapore. The Payment Services Act 2008 under the regulatory control of MAS (the Payment Services Regulator) governs the payment service providers.</w:t>
      </w:r>
    </w:p>
    <w:p w14:paraId="5C362E48"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Adherence to compliance is demanding, but regulatory openness gives businesses more confidence and decreases future operational risks.</w:t>
      </w:r>
    </w:p>
    <w:p w14:paraId="259A7AAA"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Environmental Factors</w:t>
      </w:r>
    </w:p>
    <w:p w14:paraId="3260A4EC"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issue of environmental sustainability has grown in significance in the Singapore's economic development policy. Digital payments have a positive impact, by limiting the use of paper and favouring sustainable business.</w:t>
      </w:r>
    </w:p>
    <w:p w14:paraId="40A3D16B"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Paytm's environmental factors are less of a constraint for its operations and are also contributing towards its sustainability goals.</w:t>
      </w:r>
    </w:p>
    <w:p w14:paraId="67A5CDFC" w14:textId="77777777" w:rsidR="00133CD9" w:rsidRPr="00DF3A4F" w:rsidRDefault="00133CD9" w:rsidP="00133CD9">
      <w:pPr>
        <w:pStyle w:val="Heading2"/>
        <w:rPr>
          <w:rFonts w:ascii="Arial" w:hAnsi="Arial" w:cs="Arial"/>
          <w:sz w:val="24"/>
          <w:szCs w:val="24"/>
        </w:rPr>
      </w:pPr>
      <w:bookmarkStart w:id="41" w:name="_Toc238739794"/>
      <w:r w:rsidRPr="00DF3A4F">
        <w:rPr>
          <w:rFonts w:ascii="Arial" w:hAnsi="Arial" w:cs="Arial"/>
          <w:sz w:val="24"/>
          <w:szCs w:val="24"/>
        </w:rPr>
        <w:t>5.3 CAGE Distance Framework Analysis</w:t>
      </w:r>
      <w:bookmarkEnd w:id="41"/>
    </w:p>
    <w:p w14:paraId="5EDC2DC3"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CAGE Framework is an index of international market attractiveness that is based on Cultural, Administrative, Geographic and Economic distance (Ghemawat, 2001).</w:t>
      </w:r>
    </w:p>
    <w:p w14:paraId="3FD47D4A"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Cultural Distance</w:t>
      </w:r>
    </w:p>
    <w:p w14:paraId="55D7457D"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Despite being two distinct nations, India and Singapore have a number of cultural similarities as a result of historical interactions and the presence of a large Indian community in Singapore. English is used as a language in the business world, which lessens communication obstacles.</w:t>
      </w:r>
    </w:p>
    <w:p w14:paraId="3E91C2CC"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This means that there is a relative low level of cultural difference between the two countries.</w:t>
      </w:r>
    </w:p>
    <w:p w14:paraId="78EAE5A5"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Administrative Distance</w:t>
      </w:r>
    </w:p>
    <w:p w14:paraId="6678ED77"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India has good diplomatic ties and bilateral trade pact with Singapore. Digital economic cooperation and financial integration is a priority of both countries.</w:t>
      </w:r>
    </w:p>
    <w:p w14:paraId="483AD841"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 xml:space="preserve">The successful rollout of the linkage between UPI and </w:t>
      </w:r>
      <w:proofErr w:type="spellStart"/>
      <w:r w:rsidRPr="00DF3A4F">
        <w:rPr>
          <w:rFonts w:ascii="Arial" w:hAnsi="Arial" w:cs="Arial"/>
          <w:sz w:val="24"/>
          <w:szCs w:val="24"/>
        </w:rPr>
        <w:t>PayNow</w:t>
      </w:r>
      <w:proofErr w:type="spellEnd"/>
      <w:r w:rsidRPr="00DF3A4F">
        <w:rPr>
          <w:rFonts w:ascii="Arial" w:hAnsi="Arial" w:cs="Arial"/>
          <w:sz w:val="24"/>
          <w:szCs w:val="24"/>
        </w:rPr>
        <w:t xml:space="preserve"> is a further step towards lowering down payment barriers for payment providers.</w:t>
      </w:r>
    </w:p>
    <w:p w14:paraId="14871048"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Geographic Distance</w:t>
      </w:r>
    </w:p>
    <w:p w14:paraId="1C884564"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geographical proximity to India translates to reduced coordination and operational costs in running the business with international operations as compared to other regions, such as Europe and North America.</w:t>
      </w:r>
    </w:p>
    <w:p w14:paraId="32DADFC0"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Economic Distance</w:t>
      </w:r>
    </w:p>
    <w:p w14:paraId="11C69B19"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Both the Singaporean and Indian digital payment systems are well developed, while Singapore has been far more successful in terms of GDP per capita as its numbers are much higher compared to India. The high-income setting could offer prospects for top quality monetary services and abroad deal answers.</w:t>
      </w:r>
    </w:p>
    <w:p w14:paraId="0B38D977"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In general, Singapore has relatively low internationalisation barriers as compared to many other alternative markets as seen in the CAGE analysis.</w:t>
      </w:r>
    </w:p>
    <w:p w14:paraId="1EFB535E" w14:textId="77777777" w:rsidR="00133CD9" w:rsidRPr="00DF3A4F" w:rsidRDefault="00133CD9" w:rsidP="00133CD9">
      <w:pPr>
        <w:pStyle w:val="Heading2"/>
        <w:rPr>
          <w:rFonts w:ascii="Arial" w:hAnsi="Arial" w:cs="Arial"/>
          <w:sz w:val="24"/>
          <w:szCs w:val="24"/>
        </w:rPr>
      </w:pPr>
      <w:bookmarkStart w:id="42" w:name="_Toc238739795"/>
      <w:r w:rsidRPr="00DF3A4F">
        <w:rPr>
          <w:rFonts w:ascii="Arial" w:hAnsi="Arial" w:cs="Arial"/>
          <w:sz w:val="24"/>
          <w:szCs w:val="24"/>
        </w:rPr>
        <w:t>5.4 Porter's Five Forces Analysis</w:t>
      </w:r>
      <w:bookmarkEnd w:id="42"/>
    </w:p>
    <w:p w14:paraId="2ABA0C46"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Threat of New Entrants – MODERATE</w:t>
      </w:r>
    </w:p>
    <w:p w14:paraId="3E75AC13"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Digital payment technologies are becoming more and more available, but there are significant barriers to entry with regulations, investments being made in cyber security, and customers trust. New players will need to secure regulatory clearance, and build strong financial relationships, before being able to compete with the big boys.</w:t>
      </w:r>
    </w:p>
    <w:p w14:paraId="43573C27"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Bargaining Power of Buyers – High.</w:t>
      </w:r>
    </w:p>
    <w:p w14:paraId="04AB898D"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 xml:space="preserve">Google pay, Apple pays, </w:t>
      </w:r>
      <w:proofErr w:type="spellStart"/>
      <w:r w:rsidRPr="00DF3A4F">
        <w:rPr>
          <w:rFonts w:ascii="Arial" w:hAnsi="Arial" w:cs="Arial"/>
          <w:sz w:val="24"/>
          <w:szCs w:val="24"/>
        </w:rPr>
        <w:t>GrabPay</w:t>
      </w:r>
      <w:proofErr w:type="spellEnd"/>
      <w:r w:rsidRPr="00DF3A4F">
        <w:rPr>
          <w:rFonts w:ascii="Arial" w:hAnsi="Arial" w:cs="Arial"/>
          <w:sz w:val="24"/>
          <w:szCs w:val="24"/>
        </w:rPr>
        <w:t xml:space="preserve"> and traditional banking apps are the various options consumers have for payment. Switching costs are not too high, thus strengthening the power of the buyers.</w:t>
      </w:r>
    </w:p>
    <w:p w14:paraId="43C8907B"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Thus, Paytm needs to stand out with its better cross-border payment capabilities and pricing.</w:t>
      </w:r>
    </w:p>
    <w:p w14:paraId="005BA99C"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Bargaining power of suppliers-Moderate.</w:t>
      </w:r>
    </w:p>
    <w:p w14:paraId="578680DD"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Banking institutions, financial institutions, tech vendors and regulators are the bases of payment providers. However, there is a need to limit the supplier power by having multiple partnership opportunities.</w:t>
      </w:r>
    </w:p>
    <w:p w14:paraId="5E0A8B28"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Threat of Substitutes: High or very high.</w:t>
      </w:r>
    </w:p>
    <w:p w14:paraId="558962D5"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Consumers can use other payment options like credit card, bank transfer, digital wallet or solutions based on cryptocurrencies. As a result, there continue to be threats that need to be addressed.</w:t>
      </w:r>
    </w:p>
    <w:p w14:paraId="12A17566"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Competitive Rivalry – High</w:t>
      </w:r>
    </w:p>
    <w:p w14:paraId="572192BC"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competition in the digital payment market is high in Singapore. Established businesses have a known customer base, and reputation. There is therefore a need to adopt an innovation strategy and build partnerships continuously, to ensure the company's competitiveness.</w:t>
      </w:r>
    </w:p>
    <w:p w14:paraId="3E07177B"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Even though there is lots of competition, there are a number of opportunities to differentiate in the growing demand for cross-border payment solutions.</w:t>
      </w:r>
    </w:p>
    <w:p w14:paraId="311C93B7" w14:textId="77777777" w:rsidR="00133CD9" w:rsidRPr="00DF3A4F" w:rsidRDefault="00133CD9" w:rsidP="00133CD9">
      <w:pPr>
        <w:pStyle w:val="Heading2"/>
        <w:rPr>
          <w:rFonts w:ascii="Arial" w:hAnsi="Arial" w:cs="Arial"/>
          <w:sz w:val="24"/>
          <w:szCs w:val="24"/>
        </w:rPr>
      </w:pPr>
      <w:bookmarkStart w:id="43" w:name="_Toc238739796"/>
      <w:r w:rsidRPr="00DF3A4F">
        <w:rPr>
          <w:rFonts w:ascii="Arial" w:hAnsi="Arial" w:cs="Arial"/>
          <w:sz w:val="24"/>
          <w:szCs w:val="24"/>
        </w:rPr>
        <w:t>5.5 Competitor Analysis</w:t>
      </w:r>
      <w:bookmarkEnd w:id="43"/>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65"/>
        <w:gridCol w:w="2473"/>
        <w:gridCol w:w="2433"/>
        <w:gridCol w:w="2645"/>
      </w:tblGrid>
      <w:tr w:rsidR="00133CD9" w:rsidRPr="00DF3A4F" w14:paraId="5BC09ACD" w14:textId="77777777" w:rsidTr="00CD61E4">
        <w:trPr>
          <w:tblHeader/>
          <w:tblCellSpacing w:w="15" w:type="dxa"/>
        </w:trPr>
        <w:tc>
          <w:tcPr>
            <w:tcW w:w="0" w:type="auto"/>
            <w:vAlign w:val="center"/>
            <w:hideMark/>
          </w:tcPr>
          <w:p w14:paraId="305B98A4" w14:textId="77777777" w:rsidR="00133CD9" w:rsidRPr="00DF3A4F" w:rsidRDefault="00133CD9" w:rsidP="00CD61E4">
            <w:pPr>
              <w:spacing w:line="360" w:lineRule="auto"/>
              <w:jc w:val="both"/>
              <w:rPr>
                <w:rFonts w:ascii="Arial" w:hAnsi="Arial" w:cs="Arial"/>
                <w:b/>
                <w:bCs/>
                <w:sz w:val="24"/>
                <w:szCs w:val="24"/>
              </w:rPr>
            </w:pPr>
            <w:r w:rsidRPr="00DF3A4F">
              <w:rPr>
                <w:rFonts w:ascii="Arial" w:hAnsi="Arial" w:cs="Arial"/>
                <w:b/>
                <w:bCs/>
                <w:sz w:val="24"/>
                <w:szCs w:val="24"/>
              </w:rPr>
              <w:t>Competitor</w:t>
            </w:r>
          </w:p>
        </w:tc>
        <w:tc>
          <w:tcPr>
            <w:tcW w:w="0" w:type="auto"/>
            <w:vAlign w:val="center"/>
            <w:hideMark/>
          </w:tcPr>
          <w:p w14:paraId="44FB9828" w14:textId="77777777" w:rsidR="00133CD9" w:rsidRPr="00DF3A4F" w:rsidRDefault="00133CD9" w:rsidP="00CD61E4">
            <w:pPr>
              <w:spacing w:line="360" w:lineRule="auto"/>
              <w:jc w:val="both"/>
              <w:rPr>
                <w:rFonts w:ascii="Arial" w:hAnsi="Arial" w:cs="Arial"/>
                <w:b/>
                <w:bCs/>
                <w:sz w:val="24"/>
                <w:szCs w:val="24"/>
              </w:rPr>
            </w:pPr>
            <w:r w:rsidRPr="00DF3A4F">
              <w:rPr>
                <w:rFonts w:ascii="Arial" w:hAnsi="Arial" w:cs="Arial"/>
                <w:b/>
                <w:bCs/>
                <w:sz w:val="24"/>
                <w:szCs w:val="24"/>
              </w:rPr>
              <w:t>Strengths</w:t>
            </w:r>
          </w:p>
        </w:tc>
        <w:tc>
          <w:tcPr>
            <w:tcW w:w="0" w:type="auto"/>
            <w:vAlign w:val="center"/>
            <w:hideMark/>
          </w:tcPr>
          <w:p w14:paraId="03090270" w14:textId="77777777" w:rsidR="00133CD9" w:rsidRPr="00DF3A4F" w:rsidRDefault="00133CD9" w:rsidP="00CD61E4">
            <w:pPr>
              <w:spacing w:line="360" w:lineRule="auto"/>
              <w:jc w:val="both"/>
              <w:rPr>
                <w:rFonts w:ascii="Arial" w:hAnsi="Arial" w:cs="Arial"/>
                <w:b/>
                <w:bCs/>
                <w:sz w:val="24"/>
                <w:szCs w:val="24"/>
              </w:rPr>
            </w:pPr>
            <w:r w:rsidRPr="00DF3A4F">
              <w:rPr>
                <w:rFonts w:ascii="Arial" w:hAnsi="Arial" w:cs="Arial"/>
                <w:b/>
                <w:bCs/>
                <w:sz w:val="24"/>
                <w:szCs w:val="24"/>
              </w:rPr>
              <w:t>Weaknesses</w:t>
            </w:r>
          </w:p>
        </w:tc>
        <w:tc>
          <w:tcPr>
            <w:tcW w:w="0" w:type="auto"/>
            <w:vAlign w:val="center"/>
            <w:hideMark/>
          </w:tcPr>
          <w:p w14:paraId="0BAF363E" w14:textId="77777777" w:rsidR="00133CD9" w:rsidRPr="00DF3A4F" w:rsidRDefault="00133CD9" w:rsidP="00CD61E4">
            <w:pPr>
              <w:spacing w:line="360" w:lineRule="auto"/>
              <w:jc w:val="both"/>
              <w:rPr>
                <w:rFonts w:ascii="Arial" w:hAnsi="Arial" w:cs="Arial"/>
                <w:b/>
                <w:bCs/>
                <w:sz w:val="24"/>
                <w:szCs w:val="24"/>
              </w:rPr>
            </w:pPr>
            <w:r w:rsidRPr="00DF3A4F">
              <w:rPr>
                <w:rFonts w:ascii="Arial" w:hAnsi="Arial" w:cs="Arial"/>
                <w:b/>
                <w:bCs/>
                <w:sz w:val="24"/>
                <w:szCs w:val="24"/>
              </w:rPr>
              <w:t>Implications for Paytm</w:t>
            </w:r>
          </w:p>
        </w:tc>
      </w:tr>
      <w:tr w:rsidR="00133CD9" w:rsidRPr="00DF3A4F" w14:paraId="63A9BFC9" w14:textId="77777777" w:rsidTr="00CD61E4">
        <w:trPr>
          <w:tblCellSpacing w:w="15" w:type="dxa"/>
        </w:trPr>
        <w:tc>
          <w:tcPr>
            <w:tcW w:w="0" w:type="auto"/>
            <w:vAlign w:val="center"/>
            <w:hideMark/>
          </w:tcPr>
          <w:p w14:paraId="06FF96BD" w14:textId="77777777" w:rsidR="00133CD9" w:rsidRPr="00DF3A4F" w:rsidRDefault="00133CD9" w:rsidP="00CD61E4">
            <w:pPr>
              <w:spacing w:line="360" w:lineRule="auto"/>
              <w:jc w:val="both"/>
              <w:rPr>
                <w:rFonts w:ascii="Arial" w:hAnsi="Arial" w:cs="Arial"/>
                <w:sz w:val="24"/>
                <w:szCs w:val="24"/>
              </w:rPr>
            </w:pPr>
            <w:proofErr w:type="spellStart"/>
            <w:r w:rsidRPr="00DF3A4F">
              <w:rPr>
                <w:rFonts w:ascii="Arial" w:hAnsi="Arial" w:cs="Arial"/>
                <w:sz w:val="24"/>
                <w:szCs w:val="24"/>
              </w:rPr>
              <w:t>GrabPay</w:t>
            </w:r>
            <w:proofErr w:type="spellEnd"/>
          </w:p>
        </w:tc>
        <w:tc>
          <w:tcPr>
            <w:tcW w:w="0" w:type="auto"/>
            <w:vAlign w:val="center"/>
            <w:hideMark/>
          </w:tcPr>
          <w:p w14:paraId="164686E9"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Strong local presence</w:t>
            </w:r>
          </w:p>
        </w:tc>
        <w:tc>
          <w:tcPr>
            <w:tcW w:w="0" w:type="auto"/>
            <w:vAlign w:val="center"/>
            <w:hideMark/>
          </w:tcPr>
          <w:p w14:paraId="2AB25F9A"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Limited India integration</w:t>
            </w:r>
          </w:p>
        </w:tc>
        <w:tc>
          <w:tcPr>
            <w:tcW w:w="0" w:type="auto"/>
            <w:vAlign w:val="center"/>
            <w:hideMark/>
          </w:tcPr>
          <w:p w14:paraId="180A7150"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Opportunity for differentiation</w:t>
            </w:r>
          </w:p>
        </w:tc>
      </w:tr>
      <w:tr w:rsidR="00133CD9" w:rsidRPr="00DF3A4F" w14:paraId="25EEF533" w14:textId="77777777" w:rsidTr="00CD61E4">
        <w:trPr>
          <w:tblCellSpacing w:w="15" w:type="dxa"/>
        </w:trPr>
        <w:tc>
          <w:tcPr>
            <w:tcW w:w="0" w:type="auto"/>
            <w:vAlign w:val="center"/>
            <w:hideMark/>
          </w:tcPr>
          <w:p w14:paraId="022F64EE"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 xml:space="preserve">DBS </w:t>
            </w:r>
            <w:proofErr w:type="spellStart"/>
            <w:r w:rsidRPr="00DF3A4F">
              <w:rPr>
                <w:rFonts w:ascii="Arial" w:hAnsi="Arial" w:cs="Arial"/>
                <w:sz w:val="24"/>
                <w:szCs w:val="24"/>
              </w:rPr>
              <w:t>PayLah</w:t>
            </w:r>
            <w:proofErr w:type="spellEnd"/>
            <w:r w:rsidRPr="00DF3A4F">
              <w:rPr>
                <w:rFonts w:ascii="Arial" w:hAnsi="Arial" w:cs="Arial"/>
                <w:sz w:val="24"/>
                <w:szCs w:val="24"/>
              </w:rPr>
              <w:t>!</w:t>
            </w:r>
          </w:p>
        </w:tc>
        <w:tc>
          <w:tcPr>
            <w:tcW w:w="0" w:type="auto"/>
            <w:vAlign w:val="center"/>
            <w:hideMark/>
          </w:tcPr>
          <w:p w14:paraId="6F3FA8F1"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Trusted banking brand</w:t>
            </w:r>
          </w:p>
        </w:tc>
        <w:tc>
          <w:tcPr>
            <w:tcW w:w="0" w:type="auto"/>
            <w:vAlign w:val="center"/>
            <w:hideMark/>
          </w:tcPr>
          <w:p w14:paraId="78412561"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Banking-focused model</w:t>
            </w:r>
          </w:p>
        </w:tc>
        <w:tc>
          <w:tcPr>
            <w:tcW w:w="0" w:type="auto"/>
            <w:vAlign w:val="center"/>
            <w:hideMark/>
          </w:tcPr>
          <w:p w14:paraId="7643E682"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Competition in financial services</w:t>
            </w:r>
          </w:p>
        </w:tc>
      </w:tr>
      <w:tr w:rsidR="00133CD9" w:rsidRPr="00DF3A4F" w14:paraId="08219E58" w14:textId="77777777" w:rsidTr="00CD61E4">
        <w:trPr>
          <w:tblCellSpacing w:w="15" w:type="dxa"/>
        </w:trPr>
        <w:tc>
          <w:tcPr>
            <w:tcW w:w="0" w:type="auto"/>
            <w:vAlign w:val="center"/>
            <w:hideMark/>
          </w:tcPr>
          <w:p w14:paraId="5B4175A0"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Google Pay</w:t>
            </w:r>
          </w:p>
        </w:tc>
        <w:tc>
          <w:tcPr>
            <w:tcW w:w="0" w:type="auto"/>
            <w:vAlign w:val="center"/>
            <w:hideMark/>
          </w:tcPr>
          <w:p w14:paraId="794A5BA1"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Global technology expertise</w:t>
            </w:r>
          </w:p>
        </w:tc>
        <w:tc>
          <w:tcPr>
            <w:tcW w:w="0" w:type="auto"/>
            <w:vAlign w:val="center"/>
            <w:hideMark/>
          </w:tcPr>
          <w:p w14:paraId="34AA2DE5"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Limited local customisation</w:t>
            </w:r>
          </w:p>
        </w:tc>
        <w:tc>
          <w:tcPr>
            <w:tcW w:w="0" w:type="auto"/>
            <w:vAlign w:val="center"/>
            <w:hideMark/>
          </w:tcPr>
          <w:p w14:paraId="7FAF6E26"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Strong competitive threat</w:t>
            </w:r>
          </w:p>
        </w:tc>
      </w:tr>
      <w:tr w:rsidR="00133CD9" w:rsidRPr="00DF3A4F" w14:paraId="60FBEEA9" w14:textId="77777777" w:rsidTr="00CD61E4">
        <w:trPr>
          <w:tblCellSpacing w:w="15" w:type="dxa"/>
        </w:trPr>
        <w:tc>
          <w:tcPr>
            <w:tcW w:w="0" w:type="auto"/>
            <w:vAlign w:val="center"/>
            <w:hideMark/>
          </w:tcPr>
          <w:p w14:paraId="0CC4573C"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Apple Pay</w:t>
            </w:r>
          </w:p>
        </w:tc>
        <w:tc>
          <w:tcPr>
            <w:tcW w:w="0" w:type="auto"/>
            <w:vAlign w:val="center"/>
            <w:hideMark/>
          </w:tcPr>
          <w:p w14:paraId="6353544A"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Premium user segment</w:t>
            </w:r>
          </w:p>
        </w:tc>
        <w:tc>
          <w:tcPr>
            <w:tcW w:w="0" w:type="auto"/>
            <w:vAlign w:val="center"/>
            <w:hideMark/>
          </w:tcPr>
          <w:p w14:paraId="0ED57D44"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Restricted ecosystem</w:t>
            </w:r>
          </w:p>
        </w:tc>
        <w:tc>
          <w:tcPr>
            <w:tcW w:w="0" w:type="auto"/>
            <w:vAlign w:val="center"/>
            <w:hideMark/>
          </w:tcPr>
          <w:p w14:paraId="2F336023"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Niche competitor</w:t>
            </w:r>
          </w:p>
        </w:tc>
      </w:tr>
      <w:tr w:rsidR="00133CD9" w:rsidRPr="00DF3A4F" w14:paraId="5AF2D8D0" w14:textId="77777777" w:rsidTr="00CD61E4">
        <w:trPr>
          <w:tblCellSpacing w:w="15" w:type="dxa"/>
        </w:trPr>
        <w:tc>
          <w:tcPr>
            <w:tcW w:w="0" w:type="auto"/>
            <w:vAlign w:val="center"/>
            <w:hideMark/>
          </w:tcPr>
          <w:p w14:paraId="3BFFC254"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Wise</w:t>
            </w:r>
          </w:p>
        </w:tc>
        <w:tc>
          <w:tcPr>
            <w:tcW w:w="0" w:type="auto"/>
            <w:vAlign w:val="center"/>
            <w:hideMark/>
          </w:tcPr>
          <w:p w14:paraId="5DCEF0CC"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International transfer expertise</w:t>
            </w:r>
          </w:p>
        </w:tc>
        <w:tc>
          <w:tcPr>
            <w:tcW w:w="0" w:type="auto"/>
            <w:vAlign w:val="center"/>
            <w:hideMark/>
          </w:tcPr>
          <w:p w14:paraId="66F8AB9B"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Limited merchant ecosystem</w:t>
            </w:r>
          </w:p>
        </w:tc>
        <w:tc>
          <w:tcPr>
            <w:tcW w:w="0" w:type="auto"/>
            <w:vAlign w:val="center"/>
            <w:hideMark/>
          </w:tcPr>
          <w:p w14:paraId="6CDC4FEB"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Cross-border competitor</w:t>
            </w:r>
          </w:p>
        </w:tc>
      </w:tr>
    </w:tbl>
    <w:p w14:paraId="317499E0"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competition analysis reveals that the payment space is a fierce one in Singapore, but none of the major contenders in the market have the UPI expertise, Indian market integration and capabilities in the merchant ecosystem that Paytm has. This will provide an opportunity to engage cross-border Indian tourists, expats, students and businesses.</w:t>
      </w:r>
    </w:p>
    <w:p w14:paraId="613FF8F2" w14:textId="77777777" w:rsidR="00133CD9" w:rsidRPr="00DF3A4F" w:rsidRDefault="00133CD9" w:rsidP="00133CD9">
      <w:pPr>
        <w:pStyle w:val="Heading2"/>
        <w:rPr>
          <w:rFonts w:ascii="Arial" w:hAnsi="Arial" w:cs="Arial"/>
          <w:sz w:val="24"/>
          <w:szCs w:val="24"/>
        </w:rPr>
      </w:pPr>
      <w:bookmarkStart w:id="44" w:name="_Toc238739797"/>
      <w:r w:rsidRPr="00DF3A4F">
        <w:rPr>
          <w:rFonts w:ascii="Arial" w:hAnsi="Arial" w:cs="Arial"/>
          <w:sz w:val="24"/>
          <w:szCs w:val="24"/>
        </w:rPr>
        <w:t>5.6 Comparative Market Analysis</w:t>
      </w:r>
      <w:bookmarkEnd w:id="44"/>
    </w:p>
    <w:p w14:paraId="6E3E3C32"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To support Singapore as an expansion market, an evaluation of alternative markets was made.</w:t>
      </w:r>
    </w:p>
    <w:p w14:paraId="649833A9"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Singapore vs Malaysia</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90"/>
        <w:gridCol w:w="1321"/>
        <w:gridCol w:w="1123"/>
      </w:tblGrid>
      <w:tr w:rsidR="00133CD9" w:rsidRPr="00DF3A4F" w14:paraId="78F5EEA2" w14:textId="77777777" w:rsidTr="00CD61E4">
        <w:trPr>
          <w:tblHeader/>
          <w:tblCellSpacing w:w="15" w:type="dxa"/>
        </w:trPr>
        <w:tc>
          <w:tcPr>
            <w:tcW w:w="0" w:type="auto"/>
            <w:vAlign w:val="center"/>
            <w:hideMark/>
          </w:tcPr>
          <w:p w14:paraId="3E02D102" w14:textId="77777777" w:rsidR="00133CD9" w:rsidRPr="00DF3A4F" w:rsidRDefault="00133CD9" w:rsidP="00CD61E4">
            <w:pPr>
              <w:spacing w:line="360" w:lineRule="auto"/>
              <w:jc w:val="both"/>
              <w:rPr>
                <w:rFonts w:ascii="Arial" w:hAnsi="Arial" w:cs="Arial"/>
                <w:b/>
                <w:bCs/>
                <w:sz w:val="24"/>
                <w:szCs w:val="24"/>
              </w:rPr>
            </w:pPr>
            <w:r w:rsidRPr="00DF3A4F">
              <w:rPr>
                <w:rFonts w:ascii="Arial" w:hAnsi="Arial" w:cs="Arial"/>
                <w:b/>
                <w:bCs/>
                <w:sz w:val="24"/>
                <w:szCs w:val="24"/>
              </w:rPr>
              <w:t>Factor</w:t>
            </w:r>
          </w:p>
        </w:tc>
        <w:tc>
          <w:tcPr>
            <w:tcW w:w="0" w:type="auto"/>
            <w:vAlign w:val="center"/>
            <w:hideMark/>
          </w:tcPr>
          <w:p w14:paraId="0D1901D0" w14:textId="77777777" w:rsidR="00133CD9" w:rsidRPr="00DF3A4F" w:rsidRDefault="00133CD9" w:rsidP="00CD61E4">
            <w:pPr>
              <w:spacing w:line="360" w:lineRule="auto"/>
              <w:jc w:val="both"/>
              <w:rPr>
                <w:rFonts w:ascii="Arial" w:hAnsi="Arial" w:cs="Arial"/>
                <w:b/>
                <w:bCs/>
                <w:sz w:val="24"/>
                <w:szCs w:val="24"/>
              </w:rPr>
            </w:pPr>
            <w:r w:rsidRPr="00DF3A4F">
              <w:rPr>
                <w:rFonts w:ascii="Arial" w:hAnsi="Arial" w:cs="Arial"/>
                <w:b/>
                <w:bCs/>
                <w:sz w:val="24"/>
                <w:szCs w:val="24"/>
              </w:rPr>
              <w:t>Singapore</w:t>
            </w:r>
          </w:p>
        </w:tc>
        <w:tc>
          <w:tcPr>
            <w:tcW w:w="0" w:type="auto"/>
            <w:vAlign w:val="center"/>
            <w:hideMark/>
          </w:tcPr>
          <w:p w14:paraId="13673200" w14:textId="77777777" w:rsidR="00133CD9" w:rsidRPr="00DF3A4F" w:rsidRDefault="00133CD9" w:rsidP="00CD61E4">
            <w:pPr>
              <w:spacing w:line="360" w:lineRule="auto"/>
              <w:jc w:val="both"/>
              <w:rPr>
                <w:rFonts w:ascii="Arial" w:hAnsi="Arial" w:cs="Arial"/>
                <w:b/>
                <w:bCs/>
                <w:sz w:val="24"/>
                <w:szCs w:val="24"/>
              </w:rPr>
            </w:pPr>
            <w:r w:rsidRPr="00DF3A4F">
              <w:rPr>
                <w:rFonts w:ascii="Arial" w:hAnsi="Arial" w:cs="Arial"/>
                <w:b/>
                <w:bCs/>
                <w:sz w:val="24"/>
                <w:szCs w:val="24"/>
              </w:rPr>
              <w:t>Malaysia</w:t>
            </w:r>
          </w:p>
        </w:tc>
      </w:tr>
      <w:tr w:rsidR="00133CD9" w:rsidRPr="00DF3A4F" w14:paraId="059146B2" w14:textId="77777777" w:rsidTr="00CD61E4">
        <w:trPr>
          <w:tblCellSpacing w:w="15" w:type="dxa"/>
        </w:trPr>
        <w:tc>
          <w:tcPr>
            <w:tcW w:w="0" w:type="auto"/>
            <w:vAlign w:val="center"/>
            <w:hideMark/>
          </w:tcPr>
          <w:p w14:paraId="0DD0A561"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Digital Payment Adoption</w:t>
            </w:r>
          </w:p>
        </w:tc>
        <w:tc>
          <w:tcPr>
            <w:tcW w:w="0" w:type="auto"/>
            <w:vAlign w:val="center"/>
            <w:hideMark/>
          </w:tcPr>
          <w:p w14:paraId="18653CB4"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Very High</w:t>
            </w:r>
          </w:p>
        </w:tc>
        <w:tc>
          <w:tcPr>
            <w:tcW w:w="0" w:type="auto"/>
            <w:vAlign w:val="center"/>
            <w:hideMark/>
          </w:tcPr>
          <w:p w14:paraId="7ED67D49"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High</w:t>
            </w:r>
          </w:p>
        </w:tc>
      </w:tr>
      <w:tr w:rsidR="00133CD9" w:rsidRPr="00DF3A4F" w14:paraId="026E9E37" w14:textId="77777777" w:rsidTr="00CD61E4">
        <w:trPr>
          <w:tblCellSpacing w:w="15" w:type="dxa"/>
        </w:trPr>
        <w:tc>
          <w:tcPr>
            <w:tcW w:w="0" w:type="auto"/>
            <w:vAlign w:val="center"/>
            <w:hideMark/>
          </w:tcPr>
          <w:p w14:paraId="3151C0CE"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Regulatory Transparency</w:t>
            </w:r>
          </w:p>
        </w:tc>
        <w:tc>
          <w:tcPr>
            <w:tcW w:w="0" w:type="auto"/>
            <w:vAlign w:val="center"/>
            <w:hideMark/>
          </w:tcPr>
          <w:p w14:paraId="285E63C6"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Very High</w:t>
            </w:r>
          </w:p>
        </w:tc>
        <w:tc>
          <w:tcPr>
            <w:tcW w:w="0" w:type="auto"/>
            <w:vAlign w:val="center"/>
            <w:hideMark/>
          </w:tcPr>
          <w:p w14:paraId="48265A9A"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Moderate</w:t>
            </w:r>
          </w:p>
        </w:tc>
      </w:tr>
      <w:tr w:rsidR="00133CD9" w:rsidRPr="00DF3A4F" w14:paraId="4CCF6E58" w14:textId="77777777" w:rsidTr="00CD61E4">
        <w:trPr>
          <w:tblCellSpacing w:w="15" w:type="dxa"/>
        </w:trPr>
        <w:tc>
          <w:tcPr>
            <w:tcW w:w="0" w:type="auto"/>
            <w:vAlign w:val="center"/>
            <w:hideMark/>
          </w:tcPr>
          <w:p w14:paraId="68B85668"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GDP per Capita</w:t>
            </w:r>
          </w:p>
        </w:tc>
        <w:tc>
          <w:tcPr>
            <w:tcW w:w="0" w:type="auto"/>
            <w:vAlign w:val="center"/>
            <w:hideMark/>
          </w:tcPr>
          <w:p w14:paraId="02D7B6FE"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Very High</w:t>
            </w:r>
          </w:p>
        </w:tc>
        <w:tc>
          <w:tcPr>
            <w:tcW w:w="0" w:type="auto"/>
            <w:vAlign w:val="center"/>
            <w:hideMark/>
          </w:tcPr>
          <w:p w14:paraId="2893E546"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Moderate</w:t>
            </w:r>
          </w:p>
        </w:tc>
      </w:tr>
      <w:tr w:rsidR="00133CD9" w:rsidRPr="00DF3A4F" w14:paraId="77D76A9B" w14:textId="77777777" w:rsidTr="00CD61E4">
        <w:trPr>
          <w:tblCellSpacing w:w="15" w:type="dxa"/>
        </w:trPr>
        <w:tc>
          <w:tcPr>
            <w:tcW w:w="0" w:type="auto"/>
            <w:vAlign w:val="center"/>
            <w:hideMark/>
          </w:tcPr>
          <w:p w14:paraId="4CC9147D"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UPI Integration</w:t>
            </w:r>
          </w:p>
        </w:tc>
        <w:tc>
          <w:tcPr>
            <w:tcW w:w="0" w:type="auto"/>
            <w:vAlign w:val="center"/>
            <w:hideMark/>
          </w:tcPr>
          <w:p w14:paraId="5923D62D"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Established</w:t>
            </w:r>
          </w:p>
        </w:tc>
        <w:tc>
          <w:tcPr>
            <w:tcW w:w="0" w:type="auto"/>
            <w:vAlign w:val="center"/>
            <w:hideMark/>
          </w:tcPr>
          <w:p w14:paraId="4EDC6339"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Emerging</w:t>
            </w:r>
          </w:p>
        </w:tc>
      </w:tr>
      <w:tr w:rsidR="00133CD9" w:rsidRPr="00DF3A4F" w14:paraId="170AE30E" w14:textId="77777777" w:rsidTr="00CD61E4">
        <w:trPr>
          <w:tblCellSpacing w:w="15" w:type="dxa"/>
        </w:trPr>
        <w:tc>
          <w:tcPr>
            <w:tcW w:w="0" w:type="auto"/>
            <w:vAlign w:val="center"/>
            <w:hideMark/>
          </w:tcPr>
          <w:p w14:paraId="1E21A18A"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Market Entry Complexity</w:t>
            </w:r>
          </w:p>
        </w:tc>
        <w:tc>
          <w:tcPr>
            <w:tcW w:w="0" w:type="auto"/>
            <w:vAlign w:val="center"/>
            <w:hideMark/>
          </w:tcPr>
          <w:p w14:paraId="0B3EEDE6"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Moderate</w:t>
            </w:r>
          </w:p>
        </w:tc>
        <w:tc>
          <w:tcPr>
            <w:tcW w:w="0" w:type="auto"/>
            <w:vAlign w:val="center"/>
            <w:hideMark/>
          </w:tcPr>
          <w:p w14:paraId="08393DF7"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Moderate</w:t>
            </w:r>
          </w:p>
        </w:tc>
      </w:tr>
      <w:tr w:rsidR="00133CD9" w:rsidRPr="00DF3A4F" w14:paraId="656AA4FD" w14:textId="77777777" w:rsidTr="00CD61E4">
        <w:trPr>
          <w:tblCellSpacing w:w="15" w:type="dxa"/>
        </w:trPr>
        <w:tc>
          <w:tcPr>
            <w:tcW w:w="0" w:type="auto"/>
            <w:vAlign w:val="center"/>
            <w:hideMark/>
          </w:tcPr>
          <w:p w14:paraId="17B55E04"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Strategic Fit</w:t>
            </w:r>
          </w:p>
        </w:tc>
        <w:tc>
          <w:tcPr>
            <w:tcW w:w="0" w:type="auto"/>
            <w:vAlign w:val="center"/>
            <w:hideMark/>
          </w:tcPr>
          <w:p w14:paraId="23E46F56"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High</w:t>
            </w:r>
          </w:p>
        </w:tc>
        <w:tc>
          <w:tcPr>
            <w:tcW w:w="0" w:type="auto"/>
            <w:vAlign w:val="center"/>
            <w:hideMark/>
          </w:tcPr>
          <w:p w14:paraId="0D8FEC58"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Moderate</w:t>
            </w:r>
          </w:p>
        </w:tc>
      </w:tr>
    </w:tbl>
    <w:p w14:paraId="47486084"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Malaysia offers growth opportunities but is not currently a financial hub as is Singapore and does not have the UPI connectivity as Singapore does.</w:t>
      </w:r>
    </w:p>
    <w:p w14:paraId="3EAB834B"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Singapore vs UAE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70"/>
        <w:gridCol w:w="2108"/>
        <w:gridCol w:w="1296"/>
      </w:tblGrid>
      <w:tr w:rsidR="00133CD9" w:rsidRPr="00DF3A4F" w14:paraId="7702C5CE" w14:textId="77777777" w:rsidTr="00CD61E4">
        <w:trPr>
          <w:tblHeader/>
          <w:tblCellSpacing w:w="15" w:type="dxa"/>
        </w:trPr>
        <w:tc>
          <w:tcPr>
            <w:tcW w:w="0" w:type="auto"/>
            <w:vAlign w:val="center"/>
            <w:hideMark/>
          </w:tcPr>
          <w:p w14:paraId="54D897D5" w14:textId="77777777" w:rsidR="00133CD9" w:rsidRPr="00DF3A4F" w:rsidRDefault="00133CD9" w:rsidP="00CD61E4">
            <w:pPr>
              <w:spacing w:line="360" w:lineRule="auto"/>
              <w:jc w:val="both"/>
              <w:rPr>
                <w:rFonts w:ascii="Arial" w:hAnsi="Arial" w:cs="Arial"/>
                <w:b/>
                <w:bCs/>
                <w:sz w:val="24"/>
                <w:szCs w:val="24"/>
              </w:rPr>
            </w:pPr>
            <w:r w:rsidRPr="00DF3A4F">
              <w:rPr>
                <w:rFonts w:ascii="Arial" w:hAnsi="Arial" w:cs="Arial"/>
                <w:b/>
                <w:bCs/>
                <w:sz w:val="24"/>
                <w:szCs w:val="24"/>
              </w:rPr>
              <w:t>Factor</w:t>
            </w:r>
          </w:p>
        </w:tc>
        <w:tc>
          <w:tcPr>
            <w:tcW w:w="0" w:type="auto"/>
            <w:vAlign w:val="center"/>
            <w:hideMark/>
          </w:tcPr>
          <w:p w14:paraId="14459A14" w14:textId="77777777" w:rsidR="00133CD9" w:rsidRPr="00DF3A4F" w:rsidRDefault="00133CD9" w:rsidP="00CD61E4">
            <w:pPr>
              <w:spacing w:line="360" w:lineRule="auto"/>
              <w:jc w:val="both"/>
              <w:rPr>
                <w:rFonts w:ascii="Arial" w:hAnsi="Arial" w:cs="Arial"/>
                <w:b/>
                <w:bCs/>
                <w:sz w:val="24"/>
                <w:szCs w:val="24"/>
              </w:rPr>
            </w:pPr>
            <w:r w:rsidRPr="00DF3A4F">
              <w:rPr>
                <w:rFonts w:ascii="Arial" w:hAnsi="Arial" w:cs="Arial"/>
                <w:b/>
                <w:bCs/>
                <w:sz w:val="24"/>
                <w:szCs w:val="24"/>
              </w:rPr>
              <w:t>Singapore</w:t>
            </w:r>
          </w:p>
        </w:tc>
        <w:tc>
          <w:tcPr>
            <w:tcW w:w="0" w:type="auto"/>
            <w:vAlign w:val="center"/>
            <w:hideMark/>
          </w:tcPr>
          <w:p w14:paraId="4D34A09F" w14:textId="77777777" w:rsidR="00133CD9" w:rsidRPr="00DF3A4F" w:rsidRDefault="00133CD9" w:rsidP="00CD61E4">
            <w:pPr>
              <w:spacing w:line="360" w:lineRule="auto"/>
              <w:jc w:val="both"/>
              <w:rPr>
                <w:rFonts w:ascii="Arial" w:hAnsi="Arial" w:cs="Arial"/>
                <w:b/>
                <w:bCs/>
                <w:sz w:val="24"/>
                <w:szCs w:val="24"/>
              </w:rPr>
            </w:pPr>
            <w:r w:rsidRPr="00DF3A4F">
              <w:rPr>
                <w:rFonts w:ascii="Arial" w:hAnsi="Arial" w:cs="Arial"/>
                <w:b/>
                <w:bCs/>
                <w:sz w:val="24"/>
                <w:szCs w:val="24"/>
              </w:rPr>
              <w:t>UAE</w:t>
            </w:r>
          </w:p>
        </w:tc>
      </w:tr>
      <w:tr w:rsidR="00133CD9" w:rsidRPr="00DF3A4F" w14:paraId="05CC74FC" w14:textId="77777777" w:rsidTr="00CD61E4">
        <w:trPr>
          <w:tblCellSpacing w:w="15" w:type="dxa"/>
        </w:trPr>
        <w:tc>
          <w:tcPr>
            <w:tcW w:w="0" w:type="auto"/>
            <w:vAlign w:val="center"/>
            <w:hideMark/>
          </w:tcPr>
          <w:p w14:paraId="406B6C11"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Indian Diaspora</w:t>
            </w:r>
          </w:p>
        </w:tc>
        <w:tc>
          <w:tcPr>
            <w:tcW w:w="0" w:type="auto"/>
            <w:vAlign w:val="center"/>
            <w:hideMark/>
          </w:tcPr>
          <w:p w14:paraId="741DA84E"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Large</w:t>
            </w:r>
          </w:p>
        </w:tc>
        <w:tc>
          <w:tcPr>
            <w:tcW w:w="0" w:type="auto"/>
            <w:vAlign w:val="center"/>
            <w:hideMark/>
          </w:tcPr>
          <w:p w14:paraId="30CEBA43"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Very Large</w:t>
            </w:r>
          </w:p>
        </w:tc>
      </w:tr>
      <w:tr w:rsidR="00133CD9" w:rsidRPr="00DF3A4F" w14:paraId="627FD659" w14:textId="77777777" w:rsidTr="00CD61E4">
        <w:trPr>
          <w:tblCellSpacing w:w="15" w:type="dxa"/>
        </w:trPr>
        <w:tc>
          <w:tcPr>
            <w:tcW w:w="0" w:type="auto"/>
            <w:vAlign w:val="center"/>
            <w:hideMark/>
          </w:tcPr>
          <w:p w14:paraId="0FB09675"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Regulatory Environment</w:t>
            </w:r>
          </w:p>
        </w:tc>
        <w:tc>
          <w:tcPr>
            <w:tcW w:w="0" w:type="auto"/>
            <w:vAlign w:val="center"/>
            <w:hideMark/>
          </w:tcPr>
          <w:p w14:paraId="0488AEBF"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Highly Transparent</w:t>
            </w:r>
          </w:p>
        </w:tc>
        <w:tc>
          <w:tcPr>
            <w:tcW w:w="0" w:type="auto"/>
            <w:vAlign w:val="center"/>
            <w:hideMark/>
          </w:tcPr>
          <w:p w14:paraId="0AA47742"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Moderate</w:t>
            </w:r>
          </w:p>
        </w:tc>
      </w:tr>
      <w:tr w:rsidR="00133CD9" w:rsidRPr="00DF3A4F" w14:paraId="39878A97" w14:textId="77777777" w:rsidTr="00CD61E4">
        <w:trPr>
          <w:tblCellSpacing w:w="15" w:type="dxa"/>
        </w:trPr>
        <w:tc>
          <w:tcPr>
            <w:tcW w:w="0" w:type="auto"/>
            <w:vAlign w:val="center"/>
            <w:hideMark/>
          </w:tcPr>
          <w:p w14:paraId="5D4EF716"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Financial Hub Status</w:t>
            </w:r>
          </w:p>
        </w:tc>
        <w:tc>
          <w:tcPr>
            <w:tcW w:w="0" w:type="auto"/>
            <w:vAlign w:val="center"/>
            <w:hideMark/>
          </w:tcPr>
          <w:p w14:paraId="3969F044"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Global</w:t>
            </w:r>
          </w:p>
        </w:tc>
        <w:tc>
          <w:tcPr>
            <w:tcW w:w="0" w:type="auto"/>
            <w:vAlign w:val="center"/>
            <w:hideMark/>
          </w:tcPr>
          <w:p w14:paraId="30334269"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Regional</w:t>
            </w:r>
          </w:p>
        </w:tc>
      </w:tr>
      <w:tr w:rsidR="00133CD9" w:rsidRPr="00DF3A4F" w14:paraId="6332ACDD" w14:textId="77777777" w:rsidTr="00CD61E4">
        <w:trPr>
          <w:tblCellSpacing w:w="15" w:type="dxa"/>
        </w:trPr>
        <w:tc>
          <w:tcPr>
            <w:tcW w:w="0" w:type="auto"/>
            <w:vAlign w:val="center"/>
            <w:hideMark/>
          </w:tcPr>
          <w:p w14:paraId="1FDC9188"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UPI Connectivity</w:t>
            </w:r>
          </w:p>
        </w:tc>
        <w:tc>
          <w:tcPr>
            <w:tcW w:w="0" w:type="auto"/>
            <w:vAlign w:val="center"/>
            <w:hideMark/>
          </w:tcPr>
          <w:p w14:paraId="6BC7DD9A"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Established</w:t>
            </w:r>
          </w:p>
        </w:tc>
        <w:tc>
          <w:tcPr>
            <w:tcW w:w="0" w:type="auto"/>
            <w:vAlign w:val="center"/>
            <w:hideMark/>
          </w:tcPr>
          <w:p w14:paraId="6D8D5CEC"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Developing</w:t>
            </w:r>
          </w:p>
        </w:tc>
      </w:tr>
      <w:tr w:rsidR="00133CD9" w:rsidRPr="00DF3A4F" w14:paraId="3990A0BE" w14:textId="77777777" w:rsidTr="00CD61E4">
        <w:trPr>
          <w:tblCellSpacing w:w="15" w:type="dxa"/>
        </w:trPr>
        <w:tc>
          <w:tcPr>
            <w:tcW w:w="0" w:type="auto"/>
            <w:vAlign w:val="center"/>
            <w:hideMark/>
          </w:tcPr>
          <w:p w14:paraId="2A1E801D"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Strategic Risk</w:t>
            </w:r>
          </w:p>
        </w:tc>
        <w:tc>
          <w:tcPr>
            <w:tcW w:w="0" w:type="auto"/>
            <w:vAlign w:val="center"/>
            <w:hideMark/>
          </w:tcPr>
          <w:p w14:paraId="6F25AC9A"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Low</w:t>
            </w:r>
          </w:p>
        </w:tc>
        <w:tc>
          <w:tcPr>
            <w:tcW w:w="0" w:type="auto"/>
            <w:vAlign w:val="center"/>
            <w:hideMark/>
          </w:tcPr>
          <w:p w14:paraId="135B8882"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Moderate</w:t>
            </w:r>
          </w:p>
        </w:tc>
      </w:tr>
      <w:tr w:rsidR="00133CD9" w:rsidRPr="00DF3A4F" w14:paraId="54B55F0B" w14:textId="77777777" w:rsidTr="00CD61E4">
        <w:trPr>
          <w:tblCellSpacing w:w="15" w:type="dxa"/>
        </w:trPr>
        <w:tc>
          <w:tcPr>
            <w:tcW w:w="0" w:type="auto"/>
            <w:vAlign w:val="center"/>
            <w:hideMark/>
          </w:tcPr>
          <w:p w14:paraId="7C7377BB"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Strategic Fit</w:t>
            </w:r>
          </w:p>
        </w:tc>
        <w:tc>
          <w:tcPr>
            <w:tcW w:w="0" w:type="auto"/>
            <w:vAlign w:val="center"/>
            <w:hideMark/>
          </w:tcPr>
          <w:p w14:paraId="74C5318C"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High</w:t>
            </w:r>
          </w:p>
        </w:tc>
        <w:tc>
          <w:tcPr>
            <w:tcW w:w="0" w:type="auto"/>
            <w:vAlign w:val="center"/>
            <w:hideMark/>
          </w:tcPr>
          <w:p w14:paraId="4C0AC85C"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High</w:t>
            </w:r>
          </w:p>
        </w:tc>
      </w:tr>
    </w:tbl>
    <w:p w14:paraId="4D0BF8DF"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While the UAE has more Indians, Singapore provides better regulatory certainty, more developed payment system and a better alignment of Paytm's business goals.</w:t>
      </w:r>
    </w:p>
    <w:p w14:paraId="5F574E9D" w14:textId="77777777" w:rsidR="00133CD9" w:rsidRPr="00DF3A4F" w:rsidRDefault="00133CD9" w:rsidP="00133CD9">
      <w:pPr>
        <w:pStyle w:val="Heading2"/>
        <w:rPr>
          <w:rFonts w:ascii="Arial" w:hAnsi="Arial" w:cs="Arial"/>
          <w:sz w:val="24"/>
          <w:szCs w:val="24"/>
        </w:rPr>
      </w:pPr>
      <w:bookmarkStart w:id="45" w:name="_Toc238739798"/>
      <w:r w:rsidRPr="00DF3A4F">
        <w:rPr>
          <w:rFonts w:ascii="Arial" w:hAnsi="Arial" w:cs="Arial"/>
          <w:sz w:val="24"/>
          <w:szCs w:val="24"/>
        </w:rPr>
        <w:t>5.7 Strategic Fit Assessment</w:t>
      </w:r>
      <w:bookmarkEnd w:id="45"/>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90"/>
        <w:gridCol w:w="1269"/>
      </w:tblGrid>
      <w:tr w:rsidR="00133CD9" w:rsidRPr="00DF3A4F" w14:paraId="4076D555" w14:textId="77777777" w:rsidTr="00CD61E4">
        <w:trPr>
          <w:tblHeader/>
          <w:tblCellSpacing w:w="15" w:type="dxa"/>
        </w:trPr>
        <w:tc>
          <w:tcPr>
            <w:tcW w:w="0" w:type="auto"/>
            <w:vAlign w:val="center"/>
            <w:hideMark/>
          </w:tcPr>
          <w:p w14:paraId="336FC171" w14:textId="77777777" w:rsidR="00133CD9" w:rsidRPr="00DF3A4F" w:rsidRDefault="00133CD9" w:rsidP="00CD61E4">
            <w:pPr>
              <w:spacing w:line="360" w:lineRule="auto"/>
              <w:jc w:val="both"/>
              <w:rPr>
                <w:rFonts w:ascii="Arial" w:hAnsi="Arial" w:cs="Arial"/>
                <w:b/>
                <w:bCs/>
                <w:sz w:val="24"/>
                <w:szCs w:val="24"/>
              </w:rPr>
            </w:pPr>
            <w:r w:rsidRPr="00DF3A4F">
              <w:rPr>
                <w:rFonts w:ascii="Arial" w:hAnsi="Arial" w:cs="Arial"/>
                <w:b/>
                <w:bCs/>
                <w:sz w:val="24"/>
                <w:szCs w:val="24"/>
              </w:rPr>
              <w:t>Factor</w:t>
            </w:r>
          </w:p>
        </w:tc>
        <w:tc>
          <w:tcPr>
            <w:tcW w:w="0" w:type="auto"/>
            <w:vAlign w:val="center"/>
            <w:hideMark/>
          </w:tcPr>
          <w:p w14:paraId="615CCECF" w14:textId="77777777" w:rsidR="00133CD9" w:rsidRPr="00DF3A4F" w:rsidRDefault="00133CD9" w:rsidP="00CD61E4">
            <w:pPr>
              <w:spacing w:line="360" w:lineRule="auto"/>
              <w:jc w:val="both"/>
              <w:rPr>
                <w:rFonts w:ascii="Arial" w:hAnsi="Arial" w:cs="Arial"/>
                <w:b/>
                <w:bCs/>
                <w:sz w:val="24"/>
                <w:szCs w:val="24"/>
              </w:rPr>
            </w:pPr>
            <w:r w:rsidRPr="00DF3A4F">
              <w:rPr>
                <w:rFonts w:ascii="Arial" w:hAnsi="Arial" w:cs="Arial"/>
                <w:b/>
                <w:bCs/>
                <w:sz w:val="24"/>
                <w:szCs w:val="24"/>
              </w:rPr>
              <w:t>Singapore</w:t>
            </w:r>
          </w:p>
        </w:tc>
      </w:tr>
      <w:tr w:rsidR="00133CD9" w:rsidRPr="00DF3A4F" w14:paraId="12A79C31" w14:textId="77777777" w:rsidTr="00CD61E4">
        <w:trPr>
          <w:tblCellSpacing w:w="15" w:type="dxa"/>
        </w:trPr>
        <w:tc>
          <w:tcPr>
            <w:tcW w:w="0" w:type="auto"/>
            <w:vAlign w:val="center"/>
            <w:hideMark/>
          </w:tcPr>
          <w:p w14:paraId="29E2FA91"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Digital Payment Adoption</w:t>
            </w:r>
          </w:p>
        </w:tc>
        <w:tc>
          <w:tcPr>
            <w:tcW w:w="0" w:type="auto"/>
            <w:vAlign w:val="center"/>
            <w:hideMark/>
          </w:tcPr>
          <w:p w14:paraId="03B35A9B"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High</w:t>
            </w:r>
          </w:p>
        </w:tc>
      </w:tr>
      <w:tr w:rsidR="00133CD9" w:rsidRPr="00DF3A4F" w14:paraId="28A458CB" w14:textId="77777777" w:rsidTr="00CD61E4">
        <w:trPr>
          <w:tblCellSpacing w:w="15" w:type="dxa"/>
        </w:trPr>
        <w:tc>
          <w:tcPr>
            <w:tcW w:w="0" w:type="auto"/>
            <w:vAlign w:val="center"/>
            <w:hideMark/>
          </w:tcPr>
          <w:p w14:paraId="431FB9E6"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Regulatory Environment</w:t>
            </w:r>
          </w:p>
        </w:tc>
        <w:tc>
          <w:tcPr>
            <w:tcW w:w="0" w:type="auto"/>
            <w:vAlign w:val="center"/>
            <w:hideMark/>
          </w:tcPr>
          <w:p w14:paraId="332B8BF1"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Supportive</w:t>
            </w:r>
          </w:p>
        </w:tc>
      </w:tr>
      <w:tr w:rsidR="00133CD9" w:rsidRPr="00DF3A4F" w14:paraId="4B8DEB76" w14:textId="77777777" w:rsidTr="00CD61E4">
        <w:trPr>
          <w:tblCellSpacing w:w="15" w:type="dxa"/>
        </w:trPr>
        <w:tc>
          <w:tcPr>
            <w:tcW w:w="0" w:type="auto"/>
            <w:vAlign w:val="center"/>
            <w:hideMark/>
          </w:tcPr>
          <w:p w14:paraId="43EF3F15"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Indian Diaspora</w:t>
            </w:r>
          </w:p>
        </w:tc>
        <w:tc>
          <w:tcPr>
            <w:tcW w:w="0" w:type="auto"/>
            <w:vAlign w:val="center"/>
            <w:hideMark/>
          </w:tcPr>
          <w:p w14:paraId="4C53F294"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Large</w:t>
            </w:r>
          </w:p>
        </w:tc>
      </w:tr>
      <w:tr w:rsidR="00133CD9" w:rsidRPr="00DF3A4F" w14:paraId="0D035B01" w14:textId="77777777" w:rsidTr="00CD61E4">
        <w:trPr>
          <w:tblCellSpacing w:w="15" w:type="dxa"/>
        </w:trPr>
        <w:tc>
          <w:tcPr>
            <w:tcW w:w="0" w:type="auto"/>
            <w:vAlign w:val="center"/>
            <w:hideMark/>
          </w:tcPr>
          <w:p w14:paraId="1E8EE396"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Existing UPI Connectivity</w:t>
            </w:r>
          </w:p>
        </w:tc>
        <w:tc>
          <w:tcPr>
            <w:tcW w:w="0" w:type="auto"/>
            <w:vAlign w:val="center"/>
            <w:hideMark/>
          </w:tcPr>
          <w:p w14:paraId="6ABDC389"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Yes</w:t>
            </w:r>
          </w:p>
        </w:tc>
      </w:tr>
      <w:tr w:rsidR="00133CD9" w:rsidRPr="00DF3A4F" w14:paraId="7DDF03B7" w14:textId="77777777" w:rsidTr="00CD61E4">
        <w:trPr>
          <w:tblCellSpacing w:w="15" w:type="dxa"/>
        </w:trPr>
        <w:tc>
          <w:tcPr>
            <w:tcW w:w="0" w:type="auto"/>
            <w:vAlign w:val="center"/>
            <w:hideMark/>
          </w:tcPr>
          <w:p w14:paraId="54C6EEFB"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Market Entry Risk</w:t>
            </w:r>
          </w:p>
        </w:tc>
        <w:tc>
          <w:tcPr>
            <w:tcW w:w="0" w:type="auto"/>
            <w:vAlign w:val="center"/>
            <w:hideMark/>
          </w:tcPr>
          <w:p w14:paraId="6ECB072C"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Moderate</w:t>
            </w:r>
          </w:p>
        </w:tc>
      </w:tr>
      <w:tr w:rsidR="00133CD9" w:rsidRPr="00DF3A4F" w14:paraId="64AC2036" w14:textId="77777777" w:rsidTr="00CD61E4">
        <w:trPr>
          <w:tblCellSpacing w:w="15" w:type="dxa"/>
        </w:trPr>
        <w:tc>
          <w:tcPr>
            <w:tcW w:w="0" w:type="auto"/>
            <w:vAlign w:val="center"/>
            <w:hideMark/>
          </w:tcPr>
          <w:p w14:paraId="6F9E7080"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Strategic Fit with Paytm</w:t>
            </w:r>
          </w:p>
        </w:tc>
        <w:tc>
          <w:tcPr>
            <w:tcW w:w="0" w:type="auto"/>
            <w:vAlign w:val="center"/>
            <w:hideMark/>
          </w:tcPr>
          <w:p w14:paraId="2C4EC36E"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High</w:t>
            </w:r>
          </w:p>
        </w:tc>
      </w:tr>
    </w:tbl>
    <w:p w14:paraId="3A5C9BDF" w14:textId="6FE87D5F"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Singapore is found to be the best first market for expansion due to its advanced information technology infrastructure, regulatory environment, economic links with India and integration with the UPI. The successful UPI–</w:t>
      </w:r>
      <w:proofErr w:type="spellStart"/>
      <w:r w:rsidRPr="00DF3A4F">
        <w:rPr>
          <w:rFonts w:ascii="Arial" w:hAnsi="Arial" w:cs="Arial"/>
          <w:sz w:val="24"/>
          <w:szCs w:val="24"/>
        </w:rPr>
        <w:t>PayNow</w:t>
      </w:r>
      <w:proofErr w:type="spellEnd"/>
      <w:r w:rsidRPr="00DF3A4F">
        <w:rPr>
          <w:rFonts w:ascii="Arial" w:hAnsi="Arial" w:cs="Arial"/>
          <w:sz w:val="24"/>
          <w:szCs w:val="24"/>
        </w:rPr>
        <w:t xml:space="preserve"> linkage will markedly lower the complexity of </w:t>
      </w:r>
      <w:r w:rsidR="00690344" w:rsidRPr="00DF3A4F">
        <w:rPr>
          <w:rFonts w:ascii="Arial" w:hAnsi="Arial" w:cs="Arial"/>
          <w:sz w:val="24"/>
          <w:szCs w:val="24"/>
        </w:rPr>
        <w:t>implementation and</w:t>
      </w:r>
      <w:r w:rsidRPr="00DF3A4F">
        <w:rPr>
          <w:rFonts w:ascii="Arial" w:hAnsi="Arial" w:cs="Arial"/>
          <w:sz w:val="24"/>
          <w:szCs w:val="24"/>
        </w:rPr>
        <w:t xml:space="preserve"> provide immediate opportunities for cross-border payment services. Besides, its position as a financial centre in Asia offers potential for further growth in the region. While the market attractiveness, regulatory support and strategic fit with Paytm's business model are quite balanced in Singapore as compared to Malaysia and UAE. </w:t>
      </w:r>
      <w:r w:rsidR="00690344" w:rsidRPr="00DF3A4F">
        <w:rPr>
          <w:rFonts w:ascii="Arial" w:hAnsi="Arial" w:cs="Arial"/>
          <w:sz w:val="24"/>
          <w:szCs w:val="24"/>
        </w:rPr>
        <w:t>So,</w:t>
      </w:r>
      <w:r w:rsidRPr="00DF3A4F">
        <w:rPr>
          <w:rFonts w:ascii="Arial" w:hAnsi="Arial" w:cs="Arial"/>
          <w:sz w:val="24"/>
          <w:szCs w:val="24"/>
        </w:rPr>
        <w:t xml:space="preserve"> Singapore is the best initial market to expand overseas.</w:t>
      </w:r>
    </w:p>
    <w:p w14:paraId="0DD49534" w14:textId="77777777" w:rsidR="00133CD9" w:rsidRPr="00DF3A4F" w:rsidRDefault="00133CD9" w:rsidP="00133CD9">
      <w:pPr>
        <w:pStyle w:val="Heading2"/>
        <w:rPr>
          <w:rFonts w:ascii="Arial" w:hAnsi="Arial" w:cs="Arial"/>
          <w:sz w:val="24"/>
          <w:szCs w:val="24"/>
        </w:rPr>
      </w:pPr>
      <w:bookmarkStart w:id="46" w:name="_Toc238739799"/>
      <w:r w:rsidRPr="00DF3A4F">
        <w:rPr>
          <w:rFonts w:ascii="Arial" w:hAnsi="Arial" w:cs="Arial"/>
          <w:sz w:val="24"/>
          <w:szCs w:val="24"/>
        </w:rPr>
        <w:t>5.8 Chapter Summary</w:t>
      </w:r>
      <w:bookmarkEnd w:id="46"/>
    </w:p>
    <w:p w14:paraId="2F6CA18A"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external business environment of Singapore was analysed by applying the PESTLE framework, CAGE framework and the Porter's Five Forces framework in this chapter. The results show that Singapore's political, economic, technological and regulatory landscape are generally conducive for digital payment companies. Competitor analysis revealed that there is a scope to differentiate Paytm by its UPI integration and good payment capabilities for the India segment. The qualitative assessment also showed that Singapore is the most attractive market, with its regulatory transparency, digital payment maturity and already developed UPI connectivity, which were also compared with Malaysia and UAE. The external analysis thus confirms the feasibility of Paytm's proposed expansion into Singapore and will serve as a basis for developing strategic options in the following chapter.</w:t>
      </w:r>
      <w:r w:rsidRPr="00DF3A4F">
        <w:rPr>
          <w:rFonts w:ascii="Arial" w:hAnsi="Arial" w:cs="Arial"/>
          <w:i/>
          <w:iCs/>
          <w:sz w:val="24"/>
          <w:szCs w:val="24"/>
        </w:rPr>
        <w:br w:type="page"/>
      </w:r>
    </w:p>
    <w:p w14:paraId="757E0711" w14:textId="77777777" w:rsidR="00133CD9" w:rsidRPr="00DF3A4F" w:rsidRDefault="00133CD9" w:rsidP="00133CD9">
      <w:pPr>
        <w:pStyle w:val="Heading1"/>
        <w:rPr>
          <w:rFonts w:ascii="Arial" w:hAnsi="Arial" w:cs="Arial"/>
          <w:szCs w:val="24"/>
        </w:rPr>
      </w:pPr>
      <w:bookmarkStart w:id="47" w:name="_Toc238739800"/>
      <w:r w:rsidRPr="00DF3A4F">
        <w:rPr>
          <w:rFonts w:ascii="Arial" w:hAnsi="Arial" w:cs="Arial"/>
          <w:szCs w:val="24"/>
        </w:rPr>
        <w:t>Chapter 6: Business Development Idea and Strategic Options</w:t>
      </w:r>
      <w:bookmarkEnd w:id="47"/>
    </w:p>
    <w:p w14:paraId="7EE21281" w14:textId="77777777" w:rsidR="00133CD9" w:rsidRPr="00DF3A4F" w:rsidRDefault="00133CD9" w:rsidP="00133CD9">
      <w:pPr>
        <w:pStyle w:val="Heading2"/>
        <w:rPr>
          <w:rFonts w:ascii="Arial" w:hAnsi="Arial" w:cs="Arial"/>
          <w:sz w:val="24"/>
          <w:szCs w:val="24"/>
        </w:rPr>
      </w:pPr>
      <w:bookmarkStart w:id="48" w:name="_Toc238739801"/>
      <w:r w:rsidRPr="00DF3A4F">
        <w:rPr>
          <w:rFonts w:ascii="Arial" w:hAnsi="Arial" w:cs="Arial"/>
          <w:sz w:val="24"/>
          <w:szCs w:val="24"/>
        </w:rPr>
        <w:t>6.1 Introduction</w:t>
      </w:r>
      <w:bookmarkEnd w:id="48"/>
    </w:p>
    <w:p w14:paraId="41ECDE77" w14:textId="4318D731"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 xml:space="preserve">After conducting internal and external analysis of the business which is carried out in Chapter 4 and Chapter 5, this chapter will formulate a business development strategy for Paytm entering the market in Singapore. The chapter assesses strategic growth opportunities, looks at other modes of market entry, creates a Business Model Canvas, identifies key stakeholders and provides a rationale for the recommended growth strategy. The aim is to identify the best possible solution to harness </w:t>
      </w:r>
      <w:proofErr w:type="spellStart"/>
      <w:r w:rsidRPr="00DF3A4F">
        <w:rPr>
          <w:rFonts w:ascii="Arial" w:hAnsi="Arial" w:cs="Arial"/>
          <w:sz w:val="24"/>
          <w:szCs w:val="24"/>
        </w:rPr>
        <w:t>Paytms</w:t>
      </w:r>
      <w:proofErr w:type="spellEnd"/>
      <w:r w:rsidRPr="00DF3A4F">
        <w:rPr>
          <w:rFonts w:ascii="Arial" w:hAnsi="Arial" w:cs="Arial"/>
          <w:sz w:val="24"/>
          <w:szCs w:val="24"/>
        </w:rPr>
        <w:t xml:space="preserve"> digital payment system for its international payments platform with India and </w:t>
      </w:r>
      <w:r w:rsidR="00690344" w:rsidRPr="00DF3A4F">
        <w:rPr>
          <w:rFonts w:ascii="Arial" w:hAnsi="Arial" w:cs="Arial"/>
          <w:sz w:val="24"/>
          <w:szCs w:val="24"/>
        </w:rPr>
        <w:t>Singapore and</w:t>
      </w:r>
      <w:r w:rsidRPr="00DF3A4F">
        <w:rPr>
          <w:rFonts w:ascii="Arial" w:hAnsi="Arial" w:cs="Arial"/>
          <w:sz w:val="24"/>
          <w:szCs w:val="24"/>
        </w:rPr>
        <w:t xml:space="preserve"> create a sustainable growth for the business. The analysis combines the results from the VRIO, SWOT, PESTLE and CAGE framework and competitor assessment to make sure the strategy is aligned with the factors of </w:t>
      </w:r>
      <w:proofErr w:type="spellStart"/>
      <w:r w:rsidRPr="00DF3A4F">
        <w:rPr>
          <w:rFonts w:ascii="Arial" w:hAnsi="Arial" w:cs="Arial"/>
          <w:sz w:val="24"/>
          <w:szCs w:val="24"/>
        </w:rPr>
        <w:t>Paytms</w:t>
      </w:r>
      <w:proofErr w:type="spellEnd"/>
      <w:r w:rsidRPr="00DF3A4F">
        <w:rPr>
          <w:rFonts w:ascii="Arial" w:hAnsi="Arial" w:cs="Arial"/>
          <w:sz w:val="24"/>
          <w:szCs w:val="24"/>
        </w:rPr>
        <w:t xml:space="preserve"> organization and the Singaporean market. The chapter also suggests a strategic alliance-driven growth model, which takes into account opportunities for growth, investment needs and operation risks.</w:t>
      </w:r>
    </w:p>
    <w:p w14:paraId="371F61F5" w14:textId="77777777" w:rsidR="00133CD9" w:rsidRPr="00DF3A4F" w:rsidRDefault="00133CD9" w:rsidP="00133CD9">
      <w:pPr>
        <w:pStyle w:val="Heading2"/>
        <w:rPr>
          <w:rFonts w:ascii="Arial" w:hAnsi="Arial" w:cs="Arial"/>
          <w:sz w:val="24"/>
          <w:szCs w:val="24"/>
        </w:rPr>
      </w:pPr>
      <w:bookmarkStart w:id="49" w:name="_Toc238739802"/>
      <w:r w:rsidRPr="00DF3A4F">
        <w:rPr>
          <w:rFonts w:ascii="Arial" w:hAnsi="Arial" w:cs="Arial"/>
          <w:sz w:val="24"/>
          <w:szCs w:val="24"/>
        </w:rPr>
        <w:t>6.2 Business Development Idea</w:t>
      </w:r>
      <w:bookmarkEnd w:id="49"/>
    </w:p>
    <w:p w14:paraId="49FDCEF7"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business development plan is to introduce Paytm's digital payment system in Singapore by offering cross-border payments to enable easy financial transactions between the Indian and Singaporean consumers, businesses and merchants.</w:t>
      </w:r>
    </w:p>
    <w:p w14:paraId="28F9C734"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 xml:space="preserve">The initiative is expected to leverage on the rising economic integration between India and Singapore, penetration of digital payment in the country and linking of the UPI with </w:t>
      </w:r>
      <w:proofErr w:type="spellStart"/>
      <w:r w:rsidRPr="00DF3A4F">
        <w:rPr>
          <w:rFonts w:ascii="Arial" w:hAnsi="Arial" w:cs="Arial"/>
          <w:sz w:val="24"/>
          <w:szCs w:val="24"/>
        </w:rPr>
        <w:t>PayNow</w:t>
      </w:r>
      <w:proofErr w:type="spellEnd"/>
      <w:r w:rsidRPr="00DF3A4F">
        <w:rPr>
          <w:rFonts w:ascii="Arial" w:hAnsi="Arial" w:cs="Arial"/>
          <w:sz w:val="24"/>
          <w:szCs w:val="24"/>
        </w:rPr>
        <w:t xml:space="preserve"> by the National Payments Corporation of India (NPCI) and Monetary Authority of Singapore (MAS). By making this expansion, Paytm will allow users to make cross-border payments in real-time with their mobile phones, along with adding to the financial services they will be able to offer like merchant payments, remittances and travel payments, as well as digital commerce solutions.</w:t>
      </w:r>
    </w:p>
    <w:p w14:paraId="115BD7D5"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Service is proposed to serve four main groups of customers:</w:t>
      </w:r>
    </w:p>
    <w:p w14:paraId="0B73B3DD"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Indian Tourists</w:t>
      </w:r>
    </w:p>
    <w:p w14:paraId="70C7E293"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Singapore continues to be one of the top business travel destinations for Indians. These customers need payment options to be easy and economical to pay when at the facility.</w:t>
      </w:r>
    </w:p>
    <w:p w14:paraId="3F4C1192"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Indian Students</w:t>
      </w:r>
    </w:p>
    <w:p w14:paraId="644AE4BB"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A substantial number of Indian students are at Singapore too, and they often move money between India and Singapore for various reasons, including the cost of tuition fees, renting accommodation and living costs.</w:t>
      </w:r>
    </w:p>
    <w:p w14:paraId="2835B9D8"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Indian Expatriates</w:t>
      </w:r>
    </w:p>
    <w:p w14:paraId="30275A21"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Singapore is home to a large number of Indians, who continue to make payments and make remittances through remittance companies.</w:t>
      </w:r>
    </w:p>
    <w:p w14:paraId="70B9627A"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Businesses and Merchants</w:t>
      </w:r>
    </w:p>
    <w:p w14:paraId="1303CEE5"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For Indian and Singaporean businesses involved in global trade, having an effective payment system with more efficient transactions and settlement times is crucial.</w:t>
      </w:r>
    </w:p>
    <w:p w14:paraId="1424E250"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This will enable Paytm to develop a unique value proposition to address these customer requirements and amplify its global footprint further along with revenue generation.</w:t>
      </w:r>
    </w:p>
    <w:p w14:paraId="660AD69A" w14:textId="77777777" w:rsidR="00133CD9" w:rsidRPr="00DF3A4F" w:rsidRDefault="00133CD9" w:rsidP="00133CD9">
      <w:pPr>
        <w:pStyle w:val="Heading2"/>
        <w:rPr>
          <w:rFonts w:ascii="Arial" w:hAnsi="Arial" w:cs="Arial"/>
          <w:sz w:val="24"/>
          <w:szCs w:val="24"/>
        </w:rPr>
      </w:pPr>
      <w:bookmarkStart w:id="50" w:name="_Toc238739803"/>
      <w:r w:rsidRPr="00DF3A4F">
        <w:rPr>
          <w:rFonts w:ascii="Arial" w:hAnsi="Arial" w:cs="Arial"/>
          <w:sz w:val="24"/>
          <w:szCs w:val="24"/>
        </w:rPr>
        <w:t>6.3 Strategic Objectives of the Expansion</w:t>
      </w:r>
      <w:bookmarkEnd w:id="50"/>
    </w:p>
    <w:p w14:paraId="48D7ACFC"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proposed expansion strategy seeks to achieve the following strategic objectives:</w:t>
      </w:r>
    </w:p>
    <w:p w14:paraId="15140DA0" w14:textId="77777777" w:rsidR="00133CD9" w:rsidRPr="00DF3A4F" w:rsidRDefault="00133CD9" w:rsidP="00133CD9">
      <w:pPr>
        <w:numPr>
          <w:ilvl w:val="0"/>
          <w:numId w:val="9"/>
        </w:numPr>
        <w:spacing w:line="360" w:lineRule="auto"/>
        <w:jc w:val="both"/>
        <w:rPr>
          <w:rFonts w:ascii="Arial" w:hAnsi="Arial" w:cs="Arial"/>
          <w:sz w:val="24"/>
          <w:szCs w:val="24"/>
        </w:rPr>
      </w:pPr>
      <w:r w:rsidRPr="00DF3A4F">
        <w:rPr>
          <w:rFonts w:ascii="Arial" w:hAnsi="Arial" w:cs="Arial"/>
          <w:sz w:val="24"/>
          <w:szCs w:val="24"/>
        </w:rPr>
        <w:t xml:space="preserve">Establish Paytm's presence in Singapore within three years. </w:t>
      </w:r>
    </w:p>
    <w:p w14:paraId="3D5B70F1" w14:textId="77777777" w:rsidR="00133CD9" w:rsidRPr="00DF3A4F" w:rsidRDefault="00133CD9" w:rsidP="00133CD9">
      <w:pPr>
        <w:numPr>
          <w:ilvl w:val="0"/>
          <w:numId w:val="9"/>
        </w:numPr>
        <w:spacing w:line="360" w:lineRule="auto"/>
        <w:jc w:val="both"/>
        <w:rPr>
          <w:rFonts w:ascii="Arial" w:hAnsi="Arial" w:cs="Arial"/>
          <w:sz w:val="24"/>
          <w:szCs w:val="24"/>
        </w:rPr>
      </w:pPr>
      <w:r w:rsidRPr="00DF3A4F">
        <w:rPr>
          <w:rFonts w:ascii="Arial" w:hAnsi="Arial" w:cs="Arial"/>
          <w:sz w:val="24"/>
          <w:szCs w:val="24"/>
        </w:rPr>
        <w:t>Leverage the UPI-</w:t>
      </w:r>
      <w:proofErr w:type="spellStart"/>
      <w:r w:rsidRPr="00DF3A4F">
        <w:rPr>
          <w:rFonts w:ascii="Arial" w:hAnsi="Arial" w:cs="Arial"/>
          <w:sz w:val="24"/>
          <w:szCs w:val="24"/>
        </w:rPr>
        <w:t>PayNow</w:t>
      </w:r>
      <w:proofErr w:type="spellEnd"/>
      <w:r w:rsidRPr="00DF3A4F">
        <w:rPr>
          <w:rFonts w:ascii="Arial" w:hAnsi="Arial" w:cs="Arial"/>
          <w:sz w:val="24"/>
          <w:szCs w:val="24"/>
        </w:rPr>
        <w:t xml:space="preserve"> infrastructure to facilitate seamless cross-border payments. </w:t>
      </w:r>
    </w:p>
    <w:p w14:paraId="7808A1C4" w14:textId="77777777" w:rsidR="00133CD9" w:rsidRPr="00DF3A4F" w:rsidRDefault="00133CD9" w:rsidP="00133CD9">
      <w:pPr>
        <w:numPr>
          <w:ilvl w:val="0"/>
          <w:numId w:val="9"/>
        </w:numPr>
        <w:spacing w:line="360" w:lineRule="auto"/>
        <w:jc w:val="both"/>
        <w:rPr>
          <w:rFonts w:ascii="Arial" w:hAnsi="Arial" w:cs="Arial"/>
          <w:sz w:val="24"/>
          <w:szCs w:val="24"/>
        </w:rPr>
      </w:pPr>
      <w:r w:rsidRPr="00DF3A4F">
        <w:rPr>
          <w:rFonts w:ascii="Arial" w:hAnsi="Arial" w:cs="Arial"/>
          <w:sz w:val="24"/>
          <w:szCs w:val="24"/>
        </w:rPr>
        <w:t xml:space="preserve">Develop strategic partnerships with Singaporean financial institutions and merchants. </w:t>
      </w:r>
    </w:p>
    <w:p w14:paraId="7E32E2B2" w14:textId="77777777" w:rsidR="00133CD9" w:rsidRPr="00DF3A4F" w:rsidRDefault="00133CD9" w:rsidP="00133CD9">
      <w:pPr>
        <w:numPr>
          <w:ilvl w:val="0"/>
          <w:numId w:val="9"/>
        </w:numPr>
        <w:spacing w:line="360" w:lineRule="auto"/>
        <w:jc w:val="both"/>
        <w:rPr>
          <w:rFonts w:ascii="Arial" w:hAnsi="Arial" w:cs="Arial"/>
          <w:sz w:val="24"/>
          <w:szCs w:val="24"/>
        </w:rPr>
      </w:pPr>
      <w:r w:rsidRPr="00DF3A4F">
        <w:rPr>
          <w:rFonts w:ascii="Arial" w:hAnsi="Arial" w:cs="Arial"/>
          <w:sz w:val="24"/>
          <w:szCs w:val="24"/>
        </w:rPr>
        <w:t xml:space="preserve">Generate new revenue streams through transaction fees and value-added financial services. </w:t>
      </w:r>
    </w:p>
    <w:p w14:paraId="012FC8AB" w14:textId="77777777" w:rsidR="00133CD9" w:rsidRPr="00DF3A4F" w:rsidRDefault="00133CD9" w:rsidP="00133CD9">
      <w:pPr>
        <w:numPr>
          <w:ilvl w:val="0"/>
          <w:numId w:val="9"/>
        </w:numPr>
        <w:spacing w:line="360" w:lineRule="auto"/>
        <w:jc w:val="both"/>
        <w:rPr>
          <w:rFonts w:ascii="Arial" w:hAnsi="Arial" w:cs="Arial"/>
          <w:sz w:val="24"/>
          <w:szCs w:val="24"/>
        </w:rPr>
      </w:pPr>
      <w:r w:rsidRPr="00DF3A4F">
        <w:rPr>
          <w:rFonts w:ascii="Arial" w:hAnsi="Arial" w:cs="Arial"/>
          <w:sz w:val="24"/>
          <w:szCs w:val="24"/>
        </w:rPr>
        <w:t xml:space="preserve">Strengthen Paytm's international brand recognition and support future regional expansion across Southeast Asia. </w:t>
      </w:r>
    </w:p>
    <w:p w14:paraId="2132014B" w14:textId="77777777" w:rsidR="00133CD9" w:rsidRPr="00DF3A4F" w:rsidRDefault="00133CD9" w:rsidP="00133CD9">
      <w:pPr>
        <w:numPr>
          <w:ilvl w:val="0"/>
          <w:numId w:val="9"/>
        </w:numPr>
        <w:spacing w:line="360" w:lineRule="auto"/>
        <w:jc w:val="both"/>
        <w:rPr>
          <w:rFonts w:ascii="Arial" w:hAnsi="Arial" w:cs="Arial"/>
          <w:sz w:val="24"/>
          <w:szCs w:val="24"/>
        </w:rPr>
      </w:pPr>
      <w:r w:rsidRPr="00DF3A4F">
        <w:rPr>
          <w:rFonts w:ascii="Arial" w:hAnsi="Arial" w:cs="Arial"/>
          <w:sz w:val="24"/>
          <w:szCs w:val="24"/>
        </w:rPr>
        <w:t xml:space="preserve">Enhance customer convenience by providing low-cost, secure and efficient international payment solutions. </w:t>
      </w:r>
    </w:p>
    <w:p w14:paraId="1668646E"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These goals fit perfectly with Paytm's overall vision to become a global recognised digital financial services platform.</w:t>
      </w:r>
    </w:p>
    <w:p w14:paraId="3DE18832" w14:textId="77777777" w:rsidR="00133CD9" w:rsidRPr="00DF3A4F" w:rsidRDefault="00133CD9" w:rsidP="00133CD9">
      <w:pPr>
        <w:pStyle w:val="Heading2"/>
        <w:rPr>
          <w:rFonts w:ascii="Arial" w:hAnsi="Arial" w:cs="Arial"/>
          <w:sz w:val="24"/>
          <w:szCs w:val="24"/>
        </w:rPr>
      </w:pPr>
      <w:bookmarkStart w:id="51" w:name="_Toc238739804"/>
      <w:r w:rsidRPr="00DF3A4F">
        <w:rPr>
          <w:rFonts w:ascii="Arial" w:hAnsi="Arial" w:cs="Arial"/>
          <w:sz w:val="24"/>
          <w:szCs w:val="24"/>
        </w:rPr>
        <w:t>6.4 Business Model Canvas</w:t>
      </w:r>
      <w:bookmarkEnd w:id="51"/>
    </w:p>
    <w:p w14:paraId="1032B926"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Business Model Canvas gives a framework to consider how Paytm will generate value, deliver value and capture value in Singapore.</w:t>
      </w:r>
    </w:p>
    <w:p w14:paraId="04F5B3D6"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Figure 6.1 Business Canvas Model</w:t>
      </w:r>
    </w:p>
    <w:p w14:paraId="6100C1BA"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noProof/>
          <w:sz w:val="24"/>
          <w:szCs w:val="24"/>
        </w:rPr>
        <w:drawing>
          <wp:inline distT="0" distB="0" distL="0" distR="0" wp14:anchorId="07080300" wp14:editId="5967D677">
            <wp:extent cx="5731510" cy="3253740"/>
            <wp:effectExtent l="0" t="0" r="2540" b="3810"/>
            <wp:docPr id="18216368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636806" name=""/>
                    <pic:cNvPicPr/>
                  </pic:nvPicPr>
                  <pic:blipFill>
                    <a:blip r:embed="rId9"/>
                    <a:stretch>
                      <a:fillRect/>
                    </a:stretch>
                  </pic:blipFill>
                  <pic:spPr>
                    <a:xfrm>
                      <a:off x="0" y="0"/>
                      <a:ext cx="5731510" cy="3253740"/>
                    </a:xfrm>
                    <a:prstGeom prst="rect">
                      <a:avLst/>
                    </a:prstGeom>
                  </pic:spPr>
                </pic:pic>
              </a:graphicData>
            </a:graphic>
          </wp:inline>
        </w:drawing>
      </w:r>
    </w:p>
    <w:p w14:paraId="7514E41E"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Source: Authors’ creation</w:t>
      </w:r>
    </w:p>
    <w:p w14:paraId="3D805426"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Business Model Canvas demonstrates that Paytm's expansion strategy leverages existing organisational strengths while adapting to the requirements of the Singaporean market.</w:t>
      </w:r>
    </w:p>
    <w:p w14:paraId="7F291C61" w14:textId="77777777" w:rsidR="00133CD9" w:rsidRPr="00DF3A4F" w:rsidRDefault="00133CD9" w:rsidP="00133CD9">
      <w:pPr>
        <w:pStyle w:val="Heading2"/>
        <w:rPr>
          <w:rFonts w:ascii="Arial" w:hAnsi="Arial" w:cs="Arial"/>
          <w:sz w:val="24"/>
          <w:szCs w:val="24"/>
        </w:rPr>
      </w:pPr>
      <w:bookmarkStart w:id="52" w:name="_Toc238739805"/>
      <w:r w:rsidRPr="00DF3A4F">
        <w:rPr>
          <w:rFonts w:ascii="Arial" w:hAnsi="Arial" w:cs="Arial"/>
          <w:sz w:val="24"/>
          <w:szCs w:val="24"/>
        </w:rPr>
        <w:t>6.5 Evaluation of Strategic Options</w:t>
      </w:r>
      <w:bookmarkEnd w:id="52"/>
    </w:p>
    <w:p w14:paraId="6732A8A0"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Various strategic options were considered prior to choosing an entry strategy.</w:t>
      </w:r>
    </w:p>
    <w:p w14:paraId="1D7BF7D7"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Option 1: Licensing</w:t>
      </w:r>
    </w:p>
    <w:p w14:paraId="37DFB44B"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Under licensing, the payment platform and technology of Paytm would be licensed to a local organisation that would have to pay the licensing fees.</w:t>
      </w:r>
    </w:p>
    <w:p w14:paraId="1C147C23"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Advantages</w:t>
      </w:r>
    </w:p>
    <w:p w14:paraId="58EB0ADA" w14:textId="77777777" w:rsidR="00133CD9" w:rsidRPr="00DF3A4F" w:rsidRDefault="00133CD9" w:rsidP="00133CD9">
      <w:pPr>
        <w:pStyle w:val="ListParagraph"/>
        <w:numPr>
          <w:ilvl w:val="0"/>
          <w:numId w:val="27"/>
        </w:numPr>
        <w:spacing w:line="360" w:lineRule="auto"/>
        <w:jc w:val="both"/>
        <w:rPr>
          <w:rFonts w:ascii="Arial" w:hAnsi="Arial" w:cs="Arial"/>
          <w:sz w:val="24"/>
          <w:szCs w:val="24"/>
        </w:rPr>
      </w:pPr>
      <w:r w:rsidRPr="00DF3A4F">
        <w:rPr>
          <w:rFonts w:ascii="Arial" w:hAnsi="Arial" w:cs="Arial"/>
          <w:sz w:val="24"/>
          <w:szCs w:val="24"/>
        </w:rPr>
        <w:t xml:space="preserve">Low investment requirement. </w:t>
      </w:r>
    </w:p>
    <w:p w14:paraId="4C0C399E" w14:textId="77777777" w:rsidR="00133CD9" w:rsidRPr="00DF3A4F" w:rsidRDefault="00133CD9" w:rsidP="00133CD9">
      <w:pPr>
        <w:pStyle w:val="ListParagraph"/>
        <w:numPr>
          <w:ilvl w:val="0"/>
          <w:numId w:val="27"/>
        </w:numPr>
        <w:spacing w:line="360" w:lineRule="auto"/>
        <w:jc w:val="both"/>
        <w:rPr>
          <w:rFonts w:ascii="Arial" w:hAnsi="Arial" w:cs="Arial"/>
          <w:sz w:val="24"/>
          <w:szCs w:val="24"/>
        </w:rPr>
      </w:pPr>
      <w:r w:rsidRPr="00DF3A4F">
        <w:rPr>
          <w:rFonts w:ascii="Arial" w:hAnsi="Arial" w:cs="Arial"/>
          <w:sz w:val="24"/>
          <w:szCs w:val="24"/>
        </w:rPr>
        <w:t xml:space="preserve">Rapid market entry. </w:t>
      </w:r>
    </w:p>
    <w:p w14:paraId="0C0B35DF" w14:textId="77777777" w:rsidR="00133CD9" w:rsidRPr="00DF3A4F" w:rsidRDefault="00133CD9" w:rsidP="00133CD9">
      <w:pPr>
        <w:pStyle w:val="ListParagraph"/>
        <w:numPr>
          <w:ilvl w:val="0"/>
          <w:numId w:val="27"/>
        </w:numPr>
        <w:spacing w:line="360" w:lineRule="auto"/>
        <w:jc w:val="both"/>
        <w:rPr>
          <w:rFonts w:ascii="Arial" w:hAnsi="Arial" w:cs="Arial"/>
          <w:sz w:val="24"/>
          <w:szCs w:val="24"/>
        </w:rPr>
      </w:pPr>
      <w:r w:rsidRPr="00DF3A4F">
        <w:rPr>
          <w:rFonts w:ascii="Arial" w:hAnsi="Arial" w:cs="Arial"/>
          <w:sz w:val="24"/>
          <w:szCs w:val="24"/>
        </w:rPr>
        <w:t xml:space="preserve">Reduced operational responsibility. </w:t>
      </w:r>
    </w:p>
    <w:p w14:paraId="251E6CD4"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Disadvantages</w:t>
      </w:r>
    </w:p>
    <w:p w14:paraId="1B41B911" w14:textId="77777777" w:rsidR="00133CD9" w:rsidRPr="00DF3A4F" w:rsidRDefault="00133CD9" w:rsidP="00133CD9">
      <w:pPr>
        <w:pStyle w:val="ListParagraph"/>
        <w:numPr>
          <w:ilvl w:val="0"/>
          <w:numId w:val="26"/>
        </w:numPr>
        <w:spacing w:line="360" w:lineRule="auto"/>
        <w:jc w:val="both"/>
        <w:rPr>
          <w:rFonts w:ascii="Arial" w:hAnsi="Arial" w:cs="Arial"/>
          <w:sz w:val="24"/>
          <w:szCs w:val="24"/>
        </w:rPr>
      </w:pPr>
      <w:r w:rsidRPr="00DF3A4F">
        <w:rPr>
          <w:rFonts w:ascii="Arial" w:hAnsi="Arial" w:cs="Arial"/>
          <w:sz w:val="24"/>
          <w:szCs w:val="24"/>
        </w:rPr>
        <w:t xml:space="preserve">Limited managerial control. </w:t>
      </w:r>
    </w:p>
    <w:p w14:paraId="43656F8E" w14:textId="77777777" w:rsidR="00133CD9" w:rsidRPr="00DF3A4F" w:rsidRDefault="00133CD9" w:rsidP="00133CD9">
      <w:pPr>
        <w:pStyle w:val="ListParagraph"/>
        <w:numPr>
          <w:ilvl w:val="0"/>
          <w:numId w:val="26"/>
        </w:numPr>
        <w:spacing w:line="360" w:lineRule="auto"/>
        <w:jc w:val="both"/>
        <w:rPr>
          <w:rFonts w:ascii="Arial" w:hAnsi="Arial" w:cs="Arial"/>
          <w:sz w:val="24"/>
          <w:szCs w:val="24"/>
        </w:rPr>
      </w:pPr>
      <w:r w:rsidRPr="00DF3A4F">
        <w:rPr>
          <w:rFonts w:ascii="Arial" w:hAnsi="Arial" w:cs="Arial"/>
          <w:sz w:val="24"/>
          <w:szCs w:val="24"/>
        </w:rPr>
        <w:t xml:space="preserve">Risk of loss of intellectual property. </w:t>
      </w:r>
    </w:p>
    <w:p w14:paraId="25758523" w14:textId="77777777" w:rsidR="00133CD9" w:rsidRPr="00DF3A4F" w:rsidRDefault="00133CD9" w:rsidP="00133CD9">
      <w:pPr>
        <w:pStyle w:val="ListParagraph"/>
        <w:numPr>
          <w:ilvl w:val="0"/>
          <w:numId w:val="26"/>
        </w:numPr>
        <w:spacing w:line="360" w:lineRule="auto"/>
        <w:jc w:val="both"/>
        <w:rPr>
          <w:rFonts w:ascii="Arial" w:hAnsi="Arial" w:cs="Arial"/>
          <w:sz w:val="24"/>
          <w:szCs w:val="24"/>
        </w:rPr>
      </w:pPr>
      <w:r w:rsidRPr="00DF3A4F">
        <w:rPr>
          <w:rFonts w:ascii="Arial" w:hAnsi="Arial" w:cs="Arial"/>
          <w:sz w:val="24"/>
          <w:szCs w:val="24"/>
        </w:rPr>
        <w:t xml:space="preserve">Poor capacity to service quality. </w:t>
      </w:r>
    </w:p>
    <w:p w14:paraId="28814E6E"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Considering the strategic value of technology and customer information, Licensing is not an appropriate way for Paytm to expand into other countries.</w:t>
      </w:r>
    </w:p>
    <w:p w14:paraId="03AAAD14"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Option 2: Joint Venture</w:t>
      </w:r>
    </w:p>
    <w:p w14:paraId="45BE86F2"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In the case of a joint venture, a jointly owned company with a financial institution or payment provider in Singapore would be set up.</w:t>
      </w:r>
    </w:p>
    <w:p w14:paraId="394BD1F9"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Advantages</w:t>
      </w:r>
    </w:p>
    <w:p w14:paraId="2CC3120D" w14:textId="77777777" w:rsidR="00133CD9" w:rsidRPr="00DF3A4F" w:rsidRDefault="00133CD9" w:rsidP="00133CD9">
      <w:pPr>
        <w:pStyle w:val="ListParagraph"/>
        <w:numPr>
          <w:ilvl w:val="0"/>
          <w:numId w:val="29"/>
        </w:numPr>
        <w:spacing w:line="360" w:lineRule="auto"/>
        <w:jc w:val="both"/>
        <w:rPr>
          <w:rFonts w:ascii="Arial" w:hAnsi="Arial" w:cs="Arial"/>
          <w:sz w:val="24"/>
          <w:szCs w:val="24"/>
        </w:rPr>
      </w:pPr>
      <w:r w:rsidRPr="00DF3A4F">
        <w:rPr>
          <w:rFonts w:ascii="Arial" w:hAnsi="Arial" w:cs="Arial"/>
          <w:sz w:val="24"/>
          <w:szCs w:val="24"/>
        </w:rPr>
        <w:t xml:space="preserve">Shared investment costs. </w:t>
      </w:r>
    </w:p>
    <w:p w14:paraId="52985955" w14:textId="77777777" w:rsidR="00133CD9" w:rsidRPr="00DF3A4F" w:rsidRDefault="00133CD9" w:rsidP="00133CD9">
      <w:pPr>
        <w:pStyle w:val="ListParagraph"/>
        <w:numPr>
          <w:ilvl w:val="0"/>
          <w:numId w:val="29"/>
        </w:numPr>
        <w:spacing w:line="360" w:lineRule="auto"/>
        <w:jc w:val="both"/>
        <w:rPr>
          <w:rFonts w:ascii="Arial" w:hAnsi="Arial" w:cs="Arial"/>
          <w:sz w:val="24"/>
          <w:szCs w:val="24"/>
        </w:rPr>
      </w:pPr>
      <w:r w:rsidRPr="00DF3A4F">
        <w:rPr>
          <w:rFonts w:ascii="Arial" w:hAnsi="Arial" w:cs="Arial"/>
          <w:sz w:val="24"/>
          <w:szCs w:val="24"/>
        </w:rPr>
        <w:t xml:space="preserve">The ability to access local market knowledge. </w:t>
      </w:r>
    </w:p>
    <w:p w14:paraId="39A7FF33" w14:textId="77777777" w:rsidR="00133CD9" w:rsidRPr="00DF3A4F" w:rsidRDefault="00133CD9" w:rsidP="00133CD9">
      <w:pPr>
        <w:pStyle w:val="ListParagraph"/>
        <w:numPr>
          <w:ilvl w:val="0"/>
          <w:numId w:val="29"/>
        </w:numPr>
        <w:spacing w:line="360" w:lineRule="auto"/>
        <w:jc w:val="both"/>
        <w:rPr>
          <w:rFonts w:ascii="Arial" w:hAnsi="Arial" w:cs="Arial"/>
          <w:sz w:val="24"/>
          <w:szCs w:val="24"/>
        </w:rPr>
      </w:pPr>
      <w:r w:rsidRPr="00DF3A4F">
        <w:rPr>
          <w:rFonts w:ascii="Arial" w:hAnsi="Arial" w:cs="Arial"/>
          <w:sz w:val="24"/>
          <w:szCs w:val="24"/>
        </w:rPr>
        <w:t xml:space="preserve">Improved regulatory navigation. </w:t>
      </w:r>
    </w:p>
    <w:p w14:paraId="7CF621E3"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Disadvantages</w:t>
      </w:r>
    </w:p>
    <w:p w14:paraId="097F03EB" w14:textId="77777777" w:rsidR="00133CD9" w:rsidRPr="00DF3A4F" w:rsidRDefault="00133CD9" w:rsidP="00133CD9">
      <w:pPr>
        <w:pStyle w:val="ListParagraph"/>
        <w:numPr>
          <w:ilvl w:val="0"/>
          <w:numId w:val="28"/>
        </w:numPr>
        <w:spacing w:line="360" w:lineRule="auto"/>
        <w:jc w:val="both"/>
        <w:rPr>
          <w:rFonts w:ascii="Arial" w:hAnsi="Arial" w:cs="Arial"/>
          <w:sz w:val="24"/>
          <w:szCs w:val="24"/>
        </w:rPr>
      </w:pPr>
      <w:r w:rsidRPr="00DF3A4F">
        <w:rPr>
          <w:rFonts w:ascii="Arial" w:hAnsi="Arial" w:cs="Arial"/>
          <w:sz w:val="24"/>
          <w:szCs w:val="24"/>
        </w:rPr>
        <w:t xml:space="preserve">Potential management conflicts. </w:t>
      </w:r>
    </w:p>
    <w:p w14:paraId="68C60AFC" w14:textId="77777777" w:rsidR="00133CD9" w:rsidRPr="00DF3A4F" w:rsidRDefault="00133CD9" w:rsidP="00133CD9">
      <w:pPr>
        <w:pStyle w:val="ListParagraph"/>
        <w:numPr>
          <w:ilvl w:val="0"/>
          <w:numId w:val="28"/>
        </w:numPr>
        <w:spacing w:line="360" w:lineRule="auto"/>
        <w:jc w:val="both"/>
        <w:rPr>
          <w:rFonts w:ascii="Arial" w:hAnsi="Arial" w:cs="Arial"/>
          <w:sz w:val="24"/>
          <w:szCs w:val="24"/>
        </w:rPr>
      </w:pPr>
      <w:r w:rsidRPr="00DF3A4F">
        <w:rPr>
          <w:rFonts w:ascii="Arial" w:hAnsi="Arial" w:cs="Arial"/>
          <w:sz w:val="24"/>
          <w:szCs w:val="24"/>
        </w:rPr>
        <w:t xml:space="preserve">Shared decision-making. </w:t>
      </w:r>
    </w:p>
    <w:p w14:paraId="10A063BB" w14:textId="77777777" w:rsidR="00133CD9" w:rsidRPr="00DF3A4F" w:rsidRDefault="00133CD9" w:rsidP="00133CD9">
      <w:pPr>
        <w:pStyle w:val="ListParagraph"/>
        <w:numPr>
          <w:ilvl w:val="0"/>
          <w:numId w:val="28"/>
        </w:numPr>
        <w:spacing w:line="360" w:lineRule="auto"/>
        <w:jc w:val="both"/>
        <w:rPr>
          <w:rFonts w:ascii="Arial" w:hAnsi="Arial" w:cs="Arial"/>
          <w:sz w:val="24"/>
          <w:szCs w:val="24"/>
        </w:rPr>
      </w:pPr>
      <w:r w:rsidRPr="00DF3A4F">
        <w:rPr>
          <w:rFonts w:ascii="Arial" w:hAnsi="Arial" w:cs="Arial"/>
          <w:sz w:val="24"/>
          <w:szCs w:val="24"/>
        </w:rPr>
        <w:t xml:space="preserve">Reduced organisational flexibility. </w:t>
      </w:r>
    </w:p>
    <w:p w14:paraId="741EABE9"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While a joint venture offers local knowledge, it can be difficult to effectively operate them due to variations in strategic goals.</w:t>
      </w:r>
    </w:p>
    <w:p w14:paraId="57B60593"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Option 3: Acquisition</w:t>
      </w:r>
    </w:p>
    <w:p w14:paraId="7D00C306"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Paytm might also look into acquiring a ready-made Singaporean payment service provider to get immediate access to the market.</w:t>
      </w:r>
    </w:p>
    <w:p w14:paraId="2146A93A"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Advantages</w:t>
      </w:r>
    </w:p>
    <w:p w14:paraId="2ED6ED37" w14:textId="77777777" w:rsidR="00133CD9" w:rsidRPr="00DF3A4F" w:rsidRDefault="00133CD9" w:rsidP="00133CD9">
      <w:pPr>
        <w:pStyle w:val="ListParagraph"/>
        <w:numPr>
          <w:ilvl w:val="0"/>
          <w:numId w:val="31"/>
        </w:numPr>
        <w:spacing w:line="360" w:lineRule="auto"/>
        <w:jc w:val="both"/>
        <w:rPr>
          <w:rFonts w:ascii="Arial" w:hAnsi="Arial" w:cs="Arial"/>
          <w:sz w:val="24"/>
          <w:szCs w:val="24"/>
        </w:rPr>
      </w:pPr>
      <w:r w:rsidRPr="00DF3A4F">
        <w:rPr>
          <w:rFonts w:ascii="Arial" w:hAnsi="Arial" w:cs="Arial"/>
          <w:sz w:val="24"/>
          <w:szCs w:val="24"/>
        </w:rPr>
        <w:t xml:space="preserve">Rapid customer acquisition. </w:t>
      </w:r>
    </w:p>
    <w:p w14:paraId="065713FA" w14:textId="77777777" w:rsidR="00133CD9" w:rsidRPr="00DF3A4F" w:rsidRDefault="00133CD9" w:rsidP="00133CD9">
      <w:pPr>
        <w:pStyle w:val="ListParagraph"/>
        <w:numPr>
          <w:ilvl w:val="0"/>
          <w:numId w:val="31"/>
        </w:numPr>
        <w:spacing w:line="360" w:lineRule="auto"/>
        <w:jc w:val="both"/>
        <w:rPr>
          <w:rFonts w:ascii="Arial" w:hAnsi="Arial" w:cs="Arial"/>
          <w:sz w:val="24"/>
          <w:szCs w:val="24"/>
        </w:rPr>
      </w:pPr>
      <w:r w:rsidRPr="00DF3A4F">
        <w:rPr>
          <w:rFonts w:ascii="Arial" w:hAnsi="Arial" w:cs="Arial"/>
          <w:sz w:val="24"/>
          <w:szCs w:val="24"/>
        </w:rPr>
        <w:t xml:space="preserve">Established market presence. </w:t>
      </w:r>
    </w:p>
    <w:p w14:paraId="55A60BC0" w14:textId="77777777" w:rsidR="00133CD9" w:rsidRPr="00DF3A4F" w:rsidRDefault="00133CD9" w:rsidP="00133CD9">
      <w:pPr>
        <w:pStyle w:val="ListParagraph"/>
        <w:numPr>
          <w:ilvl w:val="0"/>
          <w:numId w:val="31"/>
        </w:numPr>
        <w:spacing w:line="360" w:lineRule="auto"/>
        <w:jc w:val="both"/>
        <w:rPr>
          <w:rFonts w:ascii="Arial" w:hAnsi="Arial" w:cs="Arial"/>
          <w:sz w:val="24"/>
          <w:szCs w:val="24"/>
        </w:rPr>
      </w:pPr>
      <w:r w:rsidRPr="00DF3A4F">
        <w:rPr>
          <w:rFonts w:ascii="Arial" w:hAnsi="Arial" w:cs="Arial"/>
          <w:sz w:val="24"/>
          <w:szCs w:val="24"/>
        </w:rPr>
        <w:t xml:space="preserve">Existing regulatory approvals. </w:t>
      </w:r>
    </w:p>
    <w:p w14:paraId="5E1DABDA"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Disadvantages</w:t>
      </w:r>
    </w:p>
    <w:p w14:paraId="3356A1A3" w14:textId="77777777" w:rsidR="00133CD9" w:rsidRPr="00DF3A4F" w:rsidRDefault="00133CD9" w:rsidP="00133CD9">
      <w:pPr>
        <w:pStyle w:val="ListParagraph"/>
        <w:numPr>
          <w:ilvl w:val="0"/>
          <w:numId w:val="30"/>
        </w:numPr>
        <w:spacing w:line="360" w:lineRule="auto"/>
        <w:jc w:val="both"/>
        <w:rPr>
          <w:rFonts w:ascii="Arial" w:hAnsi="Arial" w:cs="Arial"/>
          <w:sz w:val="24"/>
          <w:szCs w:val="24"/>
        </w:rPr>
      </w:pPr>
      <w:r w:rsidRPr="00DF3A4F">
        <w:rPr>
          <w:rFonts w:ascii="Arial" w:hAnsi="Arial" w:cs="Arial"/>
          <w:sz w:val="24"/>
          <w:szCs w:val="24"/>
        </w:rPr>
        <w:t xml:space="preserve">High acquisition costs. </w:t>
      </w:r>
    </w:p>
    <w:p w14:paraId="1D83C315" w14:textId="77777777" w:rsidR="00133CD9" w:rsidRPr="00DF3A4F" w:rsidRDefault="00133CD9" w:rsidP="00133CD9">
      <w:pPr>
        <w:pStyle w:val="ListParagraph"/>
        <w:numPr>
          <w:ilvl w:val="0"/>
          <w:numId w:val="30"/>
        </w:numPr>
        <w:spacing w:line="360" w:lineRule="auto"/>
        <w:jc w:val="both"/>
        <w:rPr>
          <w:rFonts w:ascii="Arial" w:hAnsi="Arial" w:cs="Arial"/>
          <w:sz w:val="24"/>
          <w:szCs w:val="24"/>
        </w:rPr>
      </w:pPr>
      <w:r w:rsidRPr="00DF3A4F">
        <w:rPr>
          <w:rFonts w:ascii="Arial" w:hAnsi="Arial" w:cs="Arial"/>
          <w:sz w:val="24"/>
          <w:szCs w:val="24"/>
        </w:rPr>
        <w:t xml:space="preserve">Integration challenges. </w:t>
      </w:r>
    </w:p>
    <w:p w14:paraId="62DFC070" w14:textId="77777777" w:rsidR="00133CD9" w:rsidRPr="00DF3A4F" w:rsidRDefault="00133CD9" w:rsidP="00133CD9">
      <w:pPr>
        <w:pStyle w:val="ListParagraph"/>
        <w:numPr>
          <w:ilvl w:val="0"/>
          <w:numId w:val="30"/>
        </w:numPr>
        <w:spacing w:line="360" w:lineRule="auto"/>
        <w:jc w:val="both"/>
        <w:rPr>
          <w:rFonts w:ascii="Arial" w:hAnsi="Arial" w:cs="Arial"/>
          <w:sz w:val="24"/>
          <w:szCs w:val="24"/>
        </w:rPr>
      </w:pPr>
      <w:r w:rsidRPr="00DF3A4F">
        <w:rPr>
          <w:rFonts w:ascii="Arial" w:hAnsi="Arial" w:cs="Arial"/>
          <w:sz w:val="24"/>
          <w:szCs w:val="24"/>
        </w:rPr>
        <w:t xml:space="preserve">Increased financial risk. </w:t>
      </w:r>
    </w:p>
    <w:p w14:paraId="3CE6714A"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Acquisition is a costly and risky method in an initial international expansion effort.</w:t>
      </w:r>
    </w:p>
    <w:p w14:paraId="6F94ED3C"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Option 4: Wholly Owned Subsidiary</w:t>
      </w:r>
    </w:p>
    <w:p w14:paraId="3F5E1055"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other option would be to set up an independent Paytm business in Singapore.</w:t>
      </w:r>
    </w:p>
    <w:p w14:paraId="16A55856"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Advantages</w:t>
      </w:r>
    </w:p>
    <w:p w14:paraId="603A8B58" w14:textId="77777777" w:rsidR="00133CD9" w:rsidRPr="00DF3A4F" w:rsidRDefault="00133CD9" w:rsidP="00133CD9">
      <w:pPr>
        <w:pStyle w:val="ListParagraph"/>
        <w:numPr>
          <w:ilvl w:val="0"/>
          <w:numId w:val="33"/>
        </w:numPr>
        <w:spacing w:line="360" w:lineRule="auto"/>
        <w:jc w:val="both"/>
        <w:rPr>
          <w:rFonts w:ascii="Arial" w:hAnsi="Arial" w:cs="Arial"/>
          <w:sz w:val="24"/>
          <w:szCs w:val="24"/>
        </w:rPr>
      </w:pPr>
      <w:r w:rsidRPr="00DF3A4F">
        <w:rPr>
          <w:rFonts w:ascii="Arial" w:hAnsi="Arial" w:cs="Arial"/>
          <w:sz w:val="24"/>
          <w:szCs w:val="24"/>
        </w:rPr>
        <w:t xml:space="preserve">Full managerial control. </w:t>
      </w:r>
    </w:p>
    <w:p w14:paraId="4100A056" w14:textId="77777777" w:rsidR="00133CD9" w:rsidRPr="00DF3A4F" w:rsidRDefault="00133CD9" w:rsidP="00133CD9">
      <w:pPr>
        <w:pStyle w:val="ListParagraph"/>
        <w:numPr>
          <w:ilvl w:val="0"/>
          <w:numId w:val="33"/>
        </w:numPr>
        <w:spacing w:line="360" w:lineRule="auto"/>
        <w:jc w:val="both"/>
        <w:rPr>
          <w:rFonts w:ascii="Arial" w:hAnsi="Arial" w:cs="Arial"/>
          <w:sz w:val="24"/>
          <w:szCs w:val="24"/>
        </w:rPr>
      </w:pPr>
      <w:r w:rsidRPr="00DF3A4F">
        <w:rPr>
          <w:rFonts w:ascii="Arial" w:hAnsi="Arial" w:cs="Arial"/>
          <w:sz w:val="24"/>
          <w:szCs w:val="24"/>
        </w:rPr>
        <w:t xml:space="preserve">Protecting proprietary technology. </w:t>
      </w:r>
    </w:p>
    <w:p w14:paraId="5013D643" w14:textId="77777777" w:rsidR="00133CD9" w:rsidRPr="00DF3A4F" w:rsidRDefault="00133CD9" w:rsidP="00133CD9">
      <w:pPr>
        <w:pStyle w:val="ListParagraph"/>
        <w:numPr>
          <w:ilvl w:val="0"/>
          <w:numId w:val="33"/>
        </w:numPr>
        <w:spacing w:line="360" w:lineRule="auto"/>
        <w:jc w:val="both"/>
        <w:rPr>
          <w:rFonts w:ascii="Arial" w:hAnsi="Arial" w:cs="Arial"/>
          <w:sz w:val="24"/>
          <w:szCs w:val="24"/>
        </w:rPr>
      </w:pPr>
      <w:r w:rsidRPr="00DF3A4F">
        <w:rPr>
          <w:rFonts w:ascii="Arial" w:hAnsi="Arial" w:cs="Arial"/>
          <w:sz w:val="24"/>
          <w:szCs w:val="24"/>
        </w:rPr>
        <w:t xml:space="preserve">Direct strategic alignment. </w:t>
      </w:r>
    </w:p>
    <w:p w14:paraId="240FAC12"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Disadvantages</w:t>
      </w:r>
    </w:p>
    <w:p w14:paraId="0848FF51" w14:textId="77777777" w:rsidR="00133CD9" w:rsidRPr="00DF3A4F" w:rsidRDefault="00133CD9" w:rsidP="00133CD9">
      <w:pPr>
        <w:pStyle w:val="ListParagraph"/>
        <w:numPr>
          <w:ilvl w:val="0"/>
          <w:numId w:val="32"/>
        </w:numPr>
        <w:spacing w:line="360" w:lineRule="auto"/>
        <w:jc w:val="both"/>
        <w:rPr>
          <w:rFonts w:ascii="Arial" w:hAnsi="Arial" w:cs="Arial"/>
          <w:sz w:val="24"/>
          <w:szCs w:val="24"/>
        </w:rPr>
      </w:pPr>
      <w:r w:rsidRPr="00DF3A4F">
        <w:rPr>
          <w:rFonts w:ascii="Arial" w:hAnsi="Arial" w:cs="Arial"/>
          <w:sz w:val="24"/>
          <w:szCs w:val="24"/>
        </w:rPr>
        <w:t xml:space="preserve">Significant investment requirement. </w:t>
      </w:r>
    </w:p>
    <w:p w14:paraId="7377728E" w14:textId="77777777" w:rsidR="00133CD9" w:rsidRPr="00DF3A4F" w:rsidRDefault="00133CD9" w:rsidP="00133CD9">
      <w:pPr>
        <w:pStyle w:val="ListParagraph"/>
        <w:numPr>
          <w:ilvl w:val="0"/>
          <w:numId w:val="32"/>
        </w:numPr>
        <w:spacing w:line="360" w:lineRule="auto"/>
        <w:jc w:val="both"/>
        <w:rPr>
          <w:rFonts w:ascii="Arial" w:hAnsi="Arial" w:cs="Arial"/>
          <w:sz w:val="24"/>
          <w:szCs w:val="24"/>
        </w:rPr>
      </w:pPr>
      <w:r w:rsidRPr="00DF3A4F">
        <w:rPr>
          <w:rFonts w:ascii="Arial" w:hAnsi="Arial" w:cs="Arial"/>
          <w:sz w:val="24"/>
          <w:szCs w:val="24"/>
        </w:rPr>
        <w:t xml:space="preserve">High regulatory burden. </w:t>
      </w:r>
    </w:p>
    <w:p w14:paraId="4872B143" w14:textId="77777777" w:rsidR="00133CD9" w:rsidRPr="00DF3A4F" w:rsidRDefault="00133CD9" w:rsidP="00133CD9">
      <w:pPr>
        <w:pStyle w:val="ListParagraph"/>
        <w:numPr>
          <w:ilvl w:val="0"/>
          <w:numId w:val="32"/>
        </w:numPr>
        <w:spacing w:line="360" w:lineRule="auto"/>
        <w:jc w:val="both"/>
        <w:rPr>
          <w:rFonts w:ascii="Arial" w:hAnsi="Arial" w:cs="Arial"/>
          <w:sz w:val="24"/>
          <w:szCs w:val="24"/>
        </w:rPr>
      </w:pPr>
      <w:r w:rsidRPr="00DF3A4F">
        <w:rPr>
          <w:rFonts w:ascii="Arial" w:hAnsi="Arial" w:cs="Arial"/>
          <w:sz w:val="24"/>
          <w:szCs w:val="24"/>
        </w:rPr>
        <w:t xml:space="preserve">Increased operational risk. </w:t>
      </w:r>
    </w:p>
    <w:p w14:paraId="730744F5" w14:textId="5E702796"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 xml:space="preserve">A wholly owned subsidiary offers the highest level of control but requires a significant </w:t>
      </w:r>
      <w:r w:rsidR="00690344" w:rsidRPr="00DF3A4F">
        <w:rPr>
          <w:rFonts w:ascii="Arial" w:hAnsi="Arial" w:cs="Arial"/>
          <w:sz w:val="24"/>
          <w:szCs w:val="24"/>
        </w:rPr>
        <w:t>number</w:t>
      </w:r>
      <w:r w:rsidRPr="00DF3A4F">
        <w:rPr>
          <w:rFonts w:ascii="Arial" w:hAnsi="Arial" w:cs="Arial"/>
          <w:sz w:val="24"/>
          <w:szCs w:val="24"/>
        </w:rPr>
        <w:t xml:space="preserve"> of resources and local expertise.</w:t>
      </w:r>
    </w:p>
    <w:p w14:paraId="78ED613D"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Option 5: Strategic Alliance</w:t>
      </w:r>
    </w:p>
    <w:p w14:paraId="45B85347"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A strategic alliance is a process of cooperation with local banks, payment providers and financial institutions in an independent organisation.</w:t>
      </w:r>
    </w:p>
    <w:p w14:paraId="4B5F96D8"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Advantages</w:t>
      </w:r>
    </w:p>
    <w:p w14:paraId="2D2AC452" w14:textId="77777777" w:rsidR="00133CD9" w:rsidRPr="00DF3A4F" w:rsidRDefault="00133CD9" w:rsidP="00133CD9">
      <w:pPr>
        <w:pStyle w:val="ListParagraph"/>
        <w:numPr>
          <w:ilvl w:val="0"/>
          <w:numId w:val="35"/>
        </w:numPr>
        <w:spacing w:line="360" w:lineRule="auto"/>
        <w:jc w:val="both"/>
        <w:rPr>
          <w:rFonts w:ascii="Arial" w:hAnsi="Arial" w:cs="Arial"/>
          <w:sz w:val="24"/>
          <w:szCs w:val="24"/>
        </w:rPr>
      </w:pPr>
      <w:r w:rsidRPr="00DF3A4F">
        <w:rPr>
          <w:rFonts w:ascii="Arial" w:hAnsi="Arial" w:cs="Arial"/>
          <w:sz w:val="24"/>
          <w:szCs w:val="24"/>
        </w:rPr>
        <w:t xml:space="preserve">Lower investment requirements. </w:t>
      </w:r>
    </w:p>
    <w:p w14:paraId="5CBA4E30" w14:textId="77777777" w:rsidR="00133CD9" w:rsidRPr="00DF3A4F" w:rsidRDefault="00133CD9" w:rsidP="00133CD9">
      <w:pPr>
        <w:pStyle w:val="ListParagraph"/>
        <w:numPr>
          <w:ilvl w:val="0"/>
          <w:numId w:val="35"/>
        </w:numPr>
        <w:spacing w:line="360" w:lineRule="auto"/>
        <w:jc w:val="both"/>
        <w:rPr>
          <w:rFonts w:ascii="Arial" w:hAnsi="Arial" w:cs="Arial"/>
          <w:sz w:val="24"/>
          <w:szCs w:val="24"/>
        </w:rPr>
      </w:pPr>
      <w:r w:rsidRPr="00DF3A4F">
        <w:rPr>
          <w:rFonts w:ascii="Arial" w:hAnsi="Arial" w:cs="Arial"/>
          <w:sz w:val="24"/>
          <w:szCs w:val="24"/>
        </w:rPr>
        <w:t xml:space="preserve">Faster market access. </w:t>
      </w:r>
    </w:p>
    <w:p w14:paraId="72565D74" w14:textId="77777777" w:rsidR="00133CD9" w:rsidRPr="00DF3A4F" w:rsidRDefault="00133CD9" w:rsidP="00133CD9">
      <w:pPr>
        <w:pStyle w:val="ListParagraph"/>
        <w:numPr>
          <w:ilvl w:val="0"/>
          <w:numId w:val="35"/>
        </w:numPr>
        <w:spacing w:line="360" w:lineRule="auto"/>
        <w:jc w:val="both"/>
        <w:rPr>
          <w:rFonts w:ascii="Arial" w:hAnsi="Arial" w:cs="Arial"/>
          <w:sz w:val="24"/>
          <w:szCs w:val="24"/>
        </w:rPr>
      </w:pPr>
      <w:r w:rsidRPr="00DF3A4F">
        <w:rPr>
          <w:rFonts w:ascii="Arial" w:hAnsi="Arial" w:cs="Arial"/>
          <w:sz w:val="24"/>
          <w:szCs w:val="24"/>
        </w:rPr>
        <w:t xml:space="preserve">Shared expertise. </w:t>
      </w:r>
    </w:p>
    <w:p w14:paraId="764C190F" w14:textId="77777777" w:rsidR="00133CD9" w:rsidRPr="00DF3A4F" w:rsidRDefault="00133CD9" w:rsidP="00133CD9">
      <w:pPr>
        <w:pStyle w:val="ListParagraph"/>
        <w:numPr>
          <w:ilvl w:val="0"/>
          <w:numId w:val="35"/>
        </w:numPr>
        <w:spacing w:line="360" w:lineRule="auto"/>
        <w:jc w:val="both"/>
        <w:rPr>
          <w:rFonts w:ascii="Arial" w:hAnsi="Arial" w:cs="Arial"/>
          <w:sz w:val="24"/>
          <w:szCs w:val="24"/>
        </w:rPr>
      </w:pPr>
      <w:r w:rsidRPr="00DF3A4F">
        <w:rPr>
          <w:rFonts w:ascii="Arial" w:hAnsi="Arial" w:cs="Arial"/>
          <w:sz w:val="24"/>
          <w:szCs w:val="24"/>
        </w:rPr>
        <w:t xml:space="preserve">Improved regulatory compliance. </w:t>
      </w:r>
    </w:p>
    <w:p w14:paraId="606A4045" w14:textId="77777777" w:rsidR="00133CD9" w:rsidRPr="00DF3A4F" w:rsidRDefault="00133CD9" w:rsidP="00133CD9">
      <w:pPr>
        <w:pStyle w:val="ListParagraph"/>
        <w:numPr>
          <w:ilvl w:val="0"/>
          <w:numId w:val="35"/>
        </w:numPr>
        <w:spacing w:line="360" w:lineRule="auto"/>
        <w:jc w:val="both"/>
        <w:rPr>
          <w:rFonts w:ascii="Arial" w:hAnsi="Arial" w:cs="Arial"/>
          <w:sz w:val="24"/>
          <w:szCs w:val="24"/>
        </w:rPr>
      </w:pPr>
      <w:r w:rsidRPr="00DF3A4F">
        <w:rPr>
          <w:rFonts w:ascii="Arial" w:hAnsi="Arial" w:cs="Arial"/>
          <w:sz w:val="24"/>
          <w:szCs w:val="24"/>
        </w:rPr>
        <w:t xml:space="preserve">Greater flexibility. </w:t>
      </w:r>
    </w:p>
    <w:p w14:paraId="67307F97"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Disadvantages</w:t>
      </w:r>
    </w:p>
    <w:p w14:paraId="4A9BAC9B" w14:textId="77777777" w:rsidR="00133CD9" w:rsidRPr="00DF3A4F" w:rsidRDefault="00133CD9" w:rsidP="00133CD9">
      <w:pPr>
        <w:pStyle w:val="ListParagraph"/>
        <w:numPr>
          <w:ilvl w:val="0"/>
          <w:numId w:val="34"/>
        </w:numPr>
        <w:spacing w:line="360" w:lineRule="auto"/>
        <w:jc w:val="both"/>
        <w:rPr>
          <w:rFonts w:ascii="Arial" w:hAnsi="Arial" w:cs="Arial"/>
          <w:sz w:val="24"/>
          <w:szCs w:val="24"/>
        </w:rPr>
      </w:pPr>
      <w:r w:rsidRPr="00DF3A4F">
        <w:rPr>
          <w:rFonts w:ascii="Arial" w:hAnsi="Arial" w:cs="Arial"/>
          <w:sz w:val="24"/>
          <w:szCs w:val="24"/>
        </w:rPr>
        <w:t xml:space="preserve">Dependence on partners. </w:t>
      </w:r>
    </w:p>
    <w:p w14:paraId="51398D99" w14:textId="77777777" w:rsidR="00133CD9" w:rsidRPr="00DF3A4F" w:rsidRDefault="00133CD9" w:rsidP="00133CD9">
      <w:pPr>
        <w:pStyle w:val="ListParagraph"/>
        <w:numPr>
          <w:ilvl w:val="0"/>
          <w:numId w:val="34"/>
        </w:numPr>
        <w:spacing w:line="360" w:lineRule="auto"/>
        <w:jc w:val="both"/>
        <w:rPr>
          <w:rFonts w:ascii="Arial" w:hAnsi="Arial" w:cs="Arial"/>
          <w:sz w:val="24"/>
          <w:szCs w:val="24"/>
        </w:rPr>
      </w:pPr>
      <w:r w:rsidRPr="00DF3A4F">
        <w:rPr>
          <w:rFonts w:ascii="Arial" w:hAnsi="Arial" w:cs="Arial"/>
          <w:sz w:val="24"/>
          <w:szCs w:val="24"/>
        </w:rPr>
        <w:t xml:space="preserve">Coordination challenges. </w:t>
      </w:r>
    </w:p>
    <w:p w14:paraId="27FA17E0" w14:textId="77777777" w:rsidR="00133CD9" w:rsidRPr="00DF3A4F" w:rsidRDefault="00133CD9" w:rsidP="00133CD9">
      <w:pPr>
        <w:pStyle w:val="ListParagraph"/>
        <w:numPr>
          <w:ilvl w:val="0"/>
          <w:numId w:val="34"/>
        </w:numPr>
        <w:spacing w:line="360" w:lineRule="auto"/>
        <w:jc w:val="both"/>
        <w:rPr>
          <w:rFonts w:ascii="Arial" w:hAnsi="Arial" w:cs="Arial"/>
          <w:sz w:val="24"/>
          <w:szCs w:val="24"/>
        </w:rPr>
      </w:pPr>
      <w:r w:rsidRPr="00DF3A4F">
        <w:rPr>
          <w:rFonts w:ascii="Arial" w:hAnsi="Arial" w:cs="Arial"/>
          <w:sz w:val="24"/>
          <w:szCs w:val="24"/>
        </w:rPr>
        <w:t xml:space="preserve">Potential strategic misalignment. </w:t>
      </w:r>
    </w:p>
    <w:p w14:paraId="4072B86D"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While all these restrictions apply, strategic alliances seem to offer the most balanced mix of flexibility, cost and risk management.</w:t>
      </w:r>
    </w:p>
    <w:p w14:paraId="0C1A1574" w14:textId="77777777" w:rsidR="00133CD9" w:rsidRPr="00DF3A4F" w:rsidRDefault="00133CD9" w:rsidP="00133CD9">
      <w:pPr>
        <w:pStyle w:val="Heading2"/>
        <w:rPr>
          <w:rFonts w:ascii="Arial" w:hAnsi="Arial" w:cs="Arial"/>
          <w:sz w:val="24"/>
          <w:szCs w:val="24"/>
        </w:rPr>
      </w:pPr>
      <w:bookmarkStart w:id="53" w:name="_Toc238739806"/>
      <w:r w:rsidRPr="00DF3A4F">
        <w:rPr>
          <w:rFonts w:ascii="Arial" w:hAnsi="Arial" w:cs="Arial"/>
          <w:sz w:val="24"/>
          <w:szCs w:val="24"/>
        </w:rPr>
        <w:t>6.6 Entry Mode Evaluation</w:t>
      </w:r>
      <w:bookmarkEnd w:id="53"/>
    </w:p>
    <w:p w14:paraId="5FB5AD2C"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alternative entry modes were assessed using five criteria:</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01"/>
        <w:gridCol w:w="1235"/>
        <w:gridCol w:w="1359"/>
        <w:gridCol w:w="1387"/>
        <w:gridCol w:w="1308"/>
        <w:gridCol w:w="1626"/>
      </w:tblGrid>
      <w:tr w:rsidR="00133CD9" w:rsidRPr="00DF3A4F" w14:paraId="60C237F2" w14:textId="77777777" w:rsidTr="00CD61E4">
        <w:trPr>
          <w:tblHeader/>
          <w:tblCellSpacing w:w="15" w:type="dxa"/>
        </w:trPr>
        <w:tc>
          <w:tcPr>
            <w:tcW w:w="0" w:type="auto"/>
            <w:vAlign w:val="center"/>
            <w:hideMark/>
          </w:tcPr>
          <w:p w14:paraId="57C16D5D" w14:textId="77777777" w:rsidR="00133CD9" w:rsidRPr="00DF3A4F" w:rsidRDefault="00133CD9" w:rsidP="00CD61E4">
            <w:pPr>
              <w:spacing w:line="360" w:lineRule="auto"/>
              <w:jc w:val="both"/>
              <w:rPr>
                <w:rFonts w:ascii="Arial" w:hAnsi="Arial" w:cs="Arial"/>
                <w:b/>
                <w:bCs/>
                <w:sz w:val="24"/>
                <w:szCs w:val="24"/>
              </w:rPr>
            </w:pPr>
            <w:r w:rsidRPr="00DF3A4F">
              <w:rPr>
                <w:rFonts w:ascii="Arial" w:hAnsi="Arial" w:cs="Arial"/>
                <w:b/>
                <w:bCs/>
                <w:sz w:val="24"/>
                <w:szCs w:val="24"/>
              </w:rPr>
              <w:t>Criteria</w:t>
            </w:r>
          </w:p>
        </w:tc>
        <w:tc>
          <w:tcPr>
            <w:tcW w:w="0" w:type="auto"/>
            <w:vAlign w:val="center"/>
            <w:hideMark/>
          </w:tcPr>
          <w:p w14:paraId="328D76B5" w14:textId="77777777" w:rsidR="00133CD9" w:rsidRPr="00DF3A4F" w:rsidRDefault="00133CD9" w:rsidP="00CD61E4">
            <w:pPr>
              <w:spacing w:line="360" w:lineRule="auto"/>
              <w:jc w:val="both"/>
              <w:rPr>
                <w:rFonts w:ascii="Arial" w:hAnsi="Arial" w:cs="Arial"/>
                <w:b/>
                <w:bCs/>
                <w:sz w:val="24"/>
                <w:szCs w:val="24"/>
              </w:rPr>
            </w:pPr>
            <w:r w:rsidRPr="00DF3A4F">
              <w:rPr>
                <w:rFonts w:ascii="Arial" w:hAnsi="Arial" w:cs="Arial"/>
                <w:b/>
                <w:bCs/>
                <w:sz w:val="24"/>
                <w:szCs w:val="24"/>
              </w:rPr>
              <w:t>Licensing</w:t>
            </w:r>
          </w:p>
        </w:tc>
        <w:tc>
          <w:tcPr>
            <w:tcW w:w="0" w:type="auto"/>
            <w:vAlign w:val="center"/>
            <w:hideMark/>
          </w:tcPr>
          <w:p w14:paraId="780FC322" w14:textId="77777777" w:rsidR="00133CD9" w:rsidRPr="00DF3A4F" w:rsidRDefault="00133CD9" w:rsidP="00CD61E4">
            <w:pPr>
              <w:spacing w:line="360" w:lineRule="auto"/>
              <w:jc w:val="both"/>
              <w:rPr>
                <w:rFonts w:ascii="Arial" w:hAnsi="Arial" w:cs="Arial"/>
                <w:b/>
                <w:bCs/>
                <w:sz w:val="24"/>
                <w:szCs w:val="24"/>
              </w:rPr>
            </w:pPr>
            <w:r w:rsidRPr="00DF3A4F">
              <w:rPr>
                <w:rFonts w:ascii="Arial" w:hAnsi="Arial" w:cs="Arial"/>
                <w:b/>
                <w:bCs/>
                <w:sz w:val="24"/>
                <w:szCs w:val="24"/>
              </w:rPr>
              <w:t>Joint Venture</w:t>
            </w:r>
          </w:p>
        </w:tc>
        <w:tc>
          <w:tcPr>
            <w:tcW w:w="0" w:type="auto"/>
            <w:vAlign w:val="center"/>
            <w:hideMark/>
          </w:tcPr>
          <w:p w14:paraId="0FBDF733" w14:textId="77777777" w:rsidR="00133CD9" w:rsidRPr="00DF3A4F" w:rsidRDefault="00133CD9" w:rsidP="00CD61E4">
            <w:pPr>
              <w:spacing w:line="360" w:lineRule="auto"/>
              <w:jc w:val="both"/>
              <w:rPr>
                <w:rFonts w:ascii="Arial" w:hAnsi="Arial" w:cs="Arial"/>
                <w:b/>
                <w:bCs/>
                <w:sz w:val="24"/>
                <w:szCs w:val="24"/>
              </w:rPr>
            </w:pPr>
            <w:r w:rsidRPr="00DF3A4F">
              <w:rPr>
                <w:rFonts w:ascii="Arial" w:hAnsi="Arial" w:cs="Arial"/>
                <w:b/>
                <w:bCs/>
                <w:sz w:val="24"/>
                <w:szCs w:val="24"/>
              </w:rPr>
              <w:t>Acquisition</w:t>
            </w:r>
          </w:p>
        </w:tc>
        <w:tc>
          <w:tcPr>
            <w:tcW w:w="0" w:type="auto"/>
            <w:vAlign w:val="center"/>
            <w:hideMark/>
          </w:tcPr>
          <w:p w14:paraId="05C11F25" w14:textId="77777777" w:rsidR="00133CD9" w:rsidRPr="00DF3A4F" w:rsidRDefault="00133CD9" w:rsidP="00CD61E4">
            <w:pPr>
              <w:spacing w:line="360" w:lineRule="auto"/>
              <w:jc w:val="both"/>
              <w:rPr>
                <w:rFonts w:ascii="Arial" w:hAnsi="Arial" w:cs="Arial"/>
                <w:b/>
                <w:bCs/>
                <w:sz w:val="24"/>
                <w:szCs w:val="24"/>
              </w:rPr>
            </w:pPr>
            <w:r w:rsidRPr="00DF3A4F">
              <w:rPr>
                <w:rFonts w:ascii="Arial" w:hAnsi="Arial" w:cs="Arial"/>
                <w:b/>
                <w:bCs/>
                <w:sz w:val="24"/>
                <w:szCs w:val="24"/>
              </w:rPr>
              <w:t>Subsidiary</w:t>
            </w:r>
          </w:p>
        </w:tc>
        <w:tc>
          <w:tcPr>
            <w:tcW w:w="0" w:type="auto"/>
            <w:vAlign w:val="center"/>
            <w:hideMark/>
          </w:tcPr>
          <w:p w14:paraId="5CD48A15" w14:textId="77777777" w:rsidR="00133CD9" w:rsidRPr="00DF3A4F" w:rsidRDefault="00133CD9" w:rsidP="00CD61E4">
            <w:pPr>
              <w:spacing w:line="360" w:lineRule="auto"/>
              <w:jc w:val="both"/>
              <w:rPr>
                <w:rFonts w:ascii="Arial" w:hAnsi="Arial" w:cs="Arial"/>
                <w:b/>
                <w:bCs/>
                <w:sz w:val="24"/>
                <w:szCs w:val="24"/>
              </w:rPr>
            </w:pPr>
            <w:r w:rsidRPr="00DF3A4F">
              <w:rPr>
                <w:rFonts w:ascii="Arial" w:hAnsi="Arial" w:cs="Arial"/>
                <w:b/>
                <w:bCs/>
                <w:sz w:val="24"/>
                <w:szCs w:val="24"/>
              </w:rPr>
              <w:t>Strategic Alliance</w:t>
            </w:r>
          </w:p>
        </w:tc>
      </w:tr>
      <w:tr w:rsidR="00133CD9" w:rsidRPr="00DF3A4F" w14:paraId="0AD60313" w14:textId="77777777" w:rsidTr="00CD61E4">
        <w:trPr>
          <w:tblCellSpacing w:w="15" w:type="dxa"/>
        </w:trPr>
        <w:tc>
          <w:tcPr>
            <w:tcW w:w="0" w:type="auto"/>
            <w:vAlign w:val="center"/>
            <w:hideMark/>
          </w:tcPr>
          <w:p w14:paraId="15E92379"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Investment Requirement</w:t>
            </w:r>
          </w:p>
        </w:tc>
        <w:tc>
          <w:tcPr>
            <w:tcW w:w="0" w:type="auto"/>
            <w:vAlign w:val="center"/>
            <w:hideMark/>
          </w:tcPr>
          <w:p w14:paraId="2C02834B"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High Score</w:t>
            </w:r>
          </w:p>
        </w:tc>
        <w:tc>
          <w:tcPr>
            <w:tcW w:w="0" w:type="auto"/>
            <w:vAlign w:val="center"/>
            <w:hideMark/>
          </w:tcPr>
          <w:p w14:paraId="77739FC5"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Moderate</w:t>
            </w:r>
          </w:p>
        </w:tc>
        <w:tc>
          <w:tcPr>
            <w:tcW w:w="0" w:type="auto"/>
            <w:vAlign w:val="center"/>
            <w:hideMark/>
          </w:tcPr>
          <w:p w14:paraId="29C54C5E"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Low</w:t>
            </w:r>
          </w:p>
        </w:tc>
        <w:tc>
          <w:tcPr>
            <w:tcW w:w="0" w:type="auto"/>
            <w:vAlign w:val="center"/>
            <w:hideMark/>
          </w:tcPr>
          <w:p w14:paraId="110F791C"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Low</w:t>
            </w:r>
          </w:p>
        </w:tc>
        <w:tc>
          <w:tcPr>
            <w:tcW w:w="0" w:type="auto"/>
            <w:vAlign w:val="center"/>
            <w:hideMark/>
          </w:tcPr>
          <w:p w14:paraId="19A5DB2D"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High</w:t>
            </w:r>
          </w:p>
        </w:tc>
      </w:tr>
      <w:tr w:rsidR="00133CD9" w:rsidRPr="00DF3A4F" w14:paraId="4EAE3FD0" w14:textId="77777777" w:rsidTr="00CD61E4">
        <w:trPr>
          <w:tblCellSpacing w:w="15" w:type="dxa"/>
        </w:trPr>
        <w:tc>
          <w:tcPr>
            <w:tcW w:w="0" w:type="auto"/>
            <w:vAlign w:val="center"/>
            <w:hideMark/>
          </w:tcPr>
          <w:p w14:paraId="4F40AC72"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Speed of Entry</w:t>
            </w:r>
          </w:p>
        </w:tc>
        <w:tc>
          <w:tcPr>
            <w:tcW w:w="0" w:type="auto"/>
            <w:vAlign w:val="center"/>
            <w:hideMark/>
          </w:tcPr>
          <w:p w14:paraId="7F246242"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High</w:t>
            </w:r>
          </w:p>
        </w:tc>
        <w:tc>
          <w:tcPr>
            <w:tcW w:w="0" w:type="auto"/>
            <w:vAlign w:val="center"/>
            <w:hideMark/>
          </w:tcPr>
          <w:p w14:paraId="31DA7DCE"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Moderate</w:t>
            </w:r>
          </w:p>
        </w:tc>
        <w:tc>
          <w:tcPr>
            <w:tcW w:w="0" w:type="auto"/>
            <w:vAlign w:val="center"/>
            <w:hideMark/>
          </w:tcPr>
          <w:p w14:paraId="26191D2E"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High</w:t>
            </w:r>
          </w:p>
        </w:tc>
        <w:tc>
          <w:tcPr>
            <w:tcW w:w="0" w:type="auto"/>
            <w:vAlign w:val="center"/>
            <w:hideMark/>
          </w:tcPr>
          <w:p w14:paraId="2C814348"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Low</w:t>
            </w:r>
          </w:p>
        </w:tc>
        <w:tc>
          <w:tcPr>
            <w:tcW w:w="0" w:type="auto"/>
            <w:vAlign w:val="center"/>
            <w:hideMark/>
          </w:tcPr>
          <w:p w14:paraId="75FEE543"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High</w:t>
            </w:r>
          </w:p>
        </w:tc>
      </w:tr>
      <w:tr w:rsidR="00133CD9" w:rsidRPr="00DF3A4F" w14:paraId="54E4C5A0" w14:textId="77777777" w:rsidTr="00CD61E4">
        <w:trPr>
          <w:tblCellSpacing w:w="15" w:type="dxa"/>
        </w:trPr>
        <w:tc>
          <w:tcPr>
            <w:tcW w:w="0" w:type="auto"/>
            <w:vAlign w:val="center"/>
            <w:hideMark/>
          </w:tcPr>
          <w:p w14:paraId="0DD2EDCD"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Control</w:t>
            </w:r>
          </w:p>
        </w:tc>
        <w:tc>
          <w:tcPr>
            <w:tcW w:w="0" w:type="auto"/>
            <w:vAlign w:val="center"/>
            <w:hideMark/>
          </w:tcPr>
          <w:p w14:paraId="6FF97FC7"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Low</w:t>
            </w:r>
          </w:p>
        </w:tc>
        <w:tc>
          <w:tcPr>
            <w:tcW w:w="0" w:type="auto"/>
            <w:vAlign w:val="center"/>
            <w:hideMark/>
          </w:tcPr>
          <w:p w14:paraId="51A7D8DF"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Moderate</w:t>
            </w:r>
          </w:p>
        </w:tc>
        <w:tc>
          <w:tcPr>
            <w:tcW w:w="0" w:type="auto"/>
            <w:vAlign w:val="center"/>
            <w:hideMark/>
          </w:tcPr>
          <w:p w14:paraId="2F37CC4A"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High</w:t>
            </w:r>
          </w:p>
        </w:tc>
        <w:tc>
          <w:tcPr>
            <w:tcW w:w="0" w:type="auto"/>
            <w:vAlign w:val="center"/>
            <w:hideMark/>
          </w:tcPr>
          <w:p w14:paraId="0AA4EE3B"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High</w:t>
            </w:r>
          </w:p>
        </w:tc>
        <w:tc>
          <w:tcPr>
            <w:tcW w:w="0" w:type="auto"/>
            <w:vAlign w:val="center"/>
            <w:hideMark/>
          </w:tcPr>
          <w:p w14:paraId="7453FB83"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Moderate</w:t>
            </w:r>
          </w:p>
        </w:tc>
      </w:tr>
      <w:tr w:rsidR="00133CD9" w:rsidRPr="00DF3A4F" w14:paraId="1EFA1E08" w14:textId="77777777" w:rsidTr="00CD61E4">
        <w:trPr>
          <w:tblCellSpacing w:w="15" w:type="dxa"/>
        </w:trPr>
        <w:tc>
          <w:tcPr>
            <w:tcW w:w="0" w:type="auto"/>
            <w:vAlign w:val="center"/>
            <w:hideMark/>
          </w:tcPr>
          <w:p w14:paraId="677E80D6"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Risk Level</w:t>
            </w:r>
          </w:p>
        </w:tc>
        <w:tc>
          <w:tcPr>
            <w:tcW w:w="0" w:type="auto"/>
            <w:vAlign w:val="center"/>
            <w:hideMark/>
          </w:tcPr>
          <w:p w14:paraId="7B21794A"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Low</w:t>
            </w:r>
          </w:p>
        </w:tc>
        <w:tc>
          <w:tcPr>
            <w:tcW w:w="0" w:type="auto"/>
            <w:vAlign w:val="center"/>
            <w:hideMark/>
          </w:tcPr>
          <w:p w14:paraId="4E370D22"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Moderate</w:t>
            </w:r>
          </w:p>
        </w:tc>
        <w:tc>
          <w:tcPr>
            <w:tcW w:w="0" w:type="auto"/>
            <w:vAlign w:val="center"/>
            <w:hideMark/>
          </w:tcPr>
          <w:p w14:paraId="30FFB7EE"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High</w:t>
            </w:r>
          </w:p>
        </w:tc>
        <w:tc>
          <w:tcPr>
            <w:tcW w:w="0" w:type="auto"/>
            <w:vAlign w:val="center"/>
            <w:hideMark/>
          </w:tcPr>
          <w:p w14:paraId="5D3FF27C"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High</w:t>
            </w:r>
          </w:p>
        </w:tc>
        <w:tc>
          <w:tcPr>
            <w:tcW w:w="0" w:type="auto"/>
            <w:vAlign w:val="center"/>
            <w:hideMark/>
          </w:tcPr>
          <w:p w14:paraId="794674C2"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Moderate</w:t>
            </w:r>
          </w:p>
        </w:tc>
      </w:tr>
      <w:tr w:rsidR="00133CD9" w:rsidRPr="00DF3A4F" w14:paraId="5C9C4F07" w14:textId="77777777" w:rsidTr="00CD61E4">
        <w:trPr>
          <w:tblCellSpacing w:w="15" w:type="dxa"/>
        </w:trPr>
        <w:tc>
          <w:tcPr>
            <w:tcW w:w="0" w:type="auto"/>
            <w:vAlign w:val="center"/>
            <w:hideMark/>
          </w:tcPr>
          <w:p w14:paraId="7C5ECD94"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Strategic Fit</w:t>
            </w:r>
          </w:p>
        </w:tc>
        <w:tc>
          <w:tcPr>
            <w:tcW w:w="0" w:type="auto"/>
            <w:vAlign w:val="center"/>
            <w:hideMark/>
          </w:tcPr>
          <w:p w14:paraId="5C019B34"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Moderate</w:t>
            </w:r>
          </w:p>
        </w:tc>
        <w:tc>
          <w:tcPr>
            <w:tcW w:w="0" w:type="auto"/>
            <w:vAlign w:val="center"/>
            <w:hideMark/>
          </w:tcPr>
          <w:p w14:paraId="44ABFE38"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High</w:t>
            </w:r>
          </w:p>
        </w:tc>
        <w:tc>
          <w:tcPr>
            <w:tcW w:w="0" w:type="auto"/>
            <w:vAlign w:val="center"/>
            <w:hideMark/>
          </w:tcPr>
          <w:p w14:paraId="15448C81"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Moderate</w:t>
            </w:r>
          </w:p>
        </w:tc>
        <w:tc>
          <w:tcPr>
            <w:tcW w:w="0" w:type="auto"/>
            <w:vAlign w:val="center"/>
            <w:hideMark/>
          </w:tcPr>
          <w:p w14:paraId="01CEE265"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High</w:t>
            </w:r>
          </w:p>
        </w:tc>
        <w:tc>
          <w:tcPr>
            <w:tcW w:w="0" w:type="auto"/>
            <w:vAlign w:val="center"/>
            <w:hideMark/>
          </w:tcPr>
          <w:p w14:paraId="78CFF2A3"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Very High</w:t>
            </w:r>
          </w:p>
        </w:tc>
      </w:tr>
    </w:tbl>
    <w:p w14:paraId="73909B07"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evaluation suggests that strategic alliances have the best overall rating as they offer a good balance between operational control, level of investment and risk management. Hence strategic alliance as a market entry option is recommended for Paytm to enter Singapore market.</w:t>
      </w:r>
    </w:p>
    <w:p w14:paraId="0D98536E" w14:textId="77777777" w:rsidR="00133CD9" w:rsidRPr="00DF3A4F" w:rsidRDefault="00133CD9" w:rsidP="00133CD9">
      <w:pPr>
        <w:pStyle w:val="Heading2"/>
        <w:rPr>
          <w:rFonts w:ascii="Arial" w:hAnsi="Arial" w:cs="Arial"/>
          <w:sz w:val="24"/>
          <w:szCs w:val="24"/>
        </w:rPr>
      </w:pPr>
      <w:bookmarkStart w:id="54" w:name="_Toc238739807"/>
      <w:r w:rsidRPr="00DF3A4F">
        <w:rPr>
          <w:rFonts w:ascii="Arial" w:hAnsi="Arial" w:cs="Arial"/>
          <w:sz w:val="24"/>
          <w:szCs w:val="24"/>
        </w:rPr>
        <w:t>6.7 Justification for Strategic Alliance</w:t>
      </w:r>
      <w:bookmarkEnd w:id="54"/>
    </w:p>
    <w:p w14:paraId="27C56E6A"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strategic alliance approach is suitable for Paytm, as it solves some critical problems faced by an international expansion.</w:t>
      </w:r>
    </w:p>
    <w:p w14:paraId="5C29AEF9"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First, a lot of regulation is done in Singapore's financial services. Working with established financial institutions can aid in compliance with regulations and in lowering entry barriers for the market.</w:t>
      </w:r>
    </w:p>
    <w:p w14:paraId="462A77D3"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Second, strategic alliances enable access to local customer networks and merchant relationships that may have to be built out over a long period of time and a significant investment.</w:t>
      </w:r>
    </w:p>
    <w:p w14:paraId="6643ACAC"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Third, the UPI-</w:t>
      </w:r>
      <w:proofErr w:type="spellStart"/>
      <w:r w:rsidRPr="00DF3A4F">
        <w:rPr>
          <w:rFonts w:ascii="Arial" w:hAnsi="Arial" w:cs="Arial"/>
          <w:sz w:val="24"/>
          <w:szCs w:val="24"/>
        </w:rPr>
        <w:t>PayNow</w:t>
      </w:r>
      <w:proofErr w:type="spellEnd"/>
      <w:r w:rsidRPr="00DF3A4F">
        <w:rPr>
          <w:rFonts w:ascii="Arial" w:hAnsi="Arial" w:cs="Arial"/>
          <w:sz w:val="24"/>
          <w:szCs w:val="24"/>
        </w:rPr>
        <w:t xml:space="preserve"> linkage is already proof of successful cooperation between the payment infrastructure of India and Singapore. In this way, Paytm can leverage on these existing payment networks through strategic partnerships, instead of building new payment networks.</w:t>
      </w:r>
    </w:p>
    <w:p w14:paraId="4D442637" w14:textId="42B380DE"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 xml:space="preserve">Lastly, strategic alliances mitigate financial </w:t>
      </w:r>
      <w:r w:rsidR="00690344" w:rsidRPr="00DF3A4F">
        <w:rPr>
          <w:rFonts w:ascii="Arial" w:hAnsi="Arial" w:cs="Arial"/>
          <w:sz w:val="24"/>
          <w:szCs w:val="24"/>
        </w:rPr>
        <w:t>risk and</w:t>
      </w:r>
      <w:r w:rsidRPr="00DF3A4F">
        <w:rPr>
          <w:rFonts w:ascii="Arial" w:hAnsi="Arial" w:cs="Arial"/>
          <w:sz w:val="24"/>
          <w:szCs w:val="24"/>
        </w:rPr>
        <w:t xml:space="preserve"> maintain organisational flexibility. Paytm will have a better chance of adapting its strategy in case of a change in the market conditions, as compared to acquisition or subsidiary-based strategies.</w:t>
      </w:r>
    </w:p>
    <w:p w14:paraId="4A7ADCC1"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Thus, strategic alliances are the most feasible and appropriate strategy to enter a market.</w:t>
      </w:r>
    </w:p>
    <w:p w14:paraId="6673AA9B" w14:textId="77777777" w:rsidR="00133CD9" w:rsidRPr="00DF3A4F" w:rsidRDefault="00133CD9" w:rsidP="00133CD9">
      <w:pPr>
        <w:pStyle w:val="Heading2"/>
        <w:rPr>
          <w:rFonts w:ascii="Arial" w:hAnsi="Arial" w:cs="Arial"/>
          <w:sz w:val="24"/>
          <w:szCs w:val="24"/>
        </w:rPr>
      </w:pPr>
      <w:bookmarkStart w:id="55" w:name="_Toc238739808"/>
      <w:r w:rsidRPr="00DF3A4F">
        <w:rPr>
          <w:rFonts w:ascii="Arial" w:hAnsi="Arial" w:cs="Arial"/>
          <w:sz w:val="24"/>
          <w:szCs w:val="24"/>
        </w:rPr>
        <w:t>6.8 Stakeholder Analysis</w:t>
      </w:r>
      <w:bookmarkEnd w:id="55"/>
    </w:p>
    <w:p w14:paraId="7E64FBFC"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An effective stakeholder management is key to the success of the proposed expansion strategy.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70"/>
        <w:gridCol w:w="947"/>
        <w:gridCol w:w="1149"/>
      </w:tblGrid>
      <w:tr w:rsidR="00133CD9" w:rsidRPr="00DF3A4F" w14:paraId="4C1FC7F5" w14:textId="77777777" w:rsidTr="00CD61E4">
        <w:trPr>
          <w:tblHeader/>
          <w:tblCellSpacing w:w="15" w:type="dxa"/>
        </w:trPr>
        <w:tc>
          <w:tcPr>
            <w:tcW w:w="0" w:type="auto"/>
            <w:vAlign w:val="center"/>
            <w:hideMark/>
          </w:tcPr>
          <w:p w14:paraId="0323E02C" w14:textId="77777777" w:rsidR="00133CD9" w:rsidRPr="00DF3A4F" w:rsidRDefault="00133CD9" w:rsidP="00CD61E4">
            <w:pPr>
              <w:spacing w:line="360" w:lineRule="auto"/>
              <w:jc w:val="both"/>
              <w:rPr>
                <w:rFonts w:ascii="Arial" w:hAnsi="Arial" w:cs="Arial"/>
                <w:b/>
                <w:bCs/>
                <w:sz w:val="24"/>
                <w:szCs w:val="24"/>
              </w:rPr>
            </w:pPr>
            <w:r w:rsidRPr="00DF3A4F">
              <w:rPr>
                <w:rFonts w:ascii="Arial" w:hAnsi="Arial" w:cs="Arial"/>
                <w:b/>
                <w:bCs/>
                <w:sz w:val="24"/>
                <w:szCs w:val="24"/>
              </w:rPr>
              <w:t>Stakeholder</w:t>
            </w:r>
          </w:p>
        </w:tc>
        <w:tc>
          <w:tcPr>
            <w:tcW w:w="0" w:type="auto"/>
            <w:vAlign w:val="center"/>
            <w:hideMark/>
          </w:tcPr>
          <w:p w14:paraId="125BA193" w14:textId="77777777" w:rsidR="00133CD9" w:rsidRPr="00DF3A4F" w:rsidRDefault="00133CD9" w:rsidP="00CD61E4">
            <w:pPr>
              <w:spacing w:line="360" w:lineRule="auto"/>
              <w:jc w:val="both"/>
              <w:rPr>
                <w:rFonts w:ascii="Arial" w:hAnsi="Arial" w:cs="Arial"/>
                <w:b/>
                <w:bCs/>
                <w:sz w:val="24"/>
                <w:szCs w:val="24"/>
              </w:rPr>
            </w:pPr>
            <w:r w:rsidRPr="00DF3A4F">
              <w:rPr>
                <w:rFonts w:ascii="Arial" w:hAnsi="Arial" w:cs="Arial"/>
                <w:b/>
                <w:bCs/>
                <w:sz w:val="24"/>
                <w:szCs w:val="24"/>
              </w:rPr>
              <w:t>Interest</w:t>
            </w:r>
          </w:p>
        </w:tc>
        <w:tc>
          <w:tcPr>
            <w:tcW w:w="0" w:type="auto"/>
            <w:vAlign w:val="center"/>
            <w:hideMark/>
          </w:tcPr>
          <w:p w14:paraId="6052309C" w14:textId="77777777" w:rsidR="00133CD9" w:rsidRPr="00DF3A4F" w:rsidRDefault="00133CD9" w:rsidP="00CD61E4">
            <w:pPr>
              <w:spacing w:line="360" w:lineRule="auto"/>
              <w:jc w:val="both"/>
              <w:rPr>
                <w:rFonts w:ascii="Arial" w:hAnsi="Arial" w:cs="Arial"/>
                <w:b/>
                <w:bCs/>
                <w:sz w:val="24"/>
                <w:szCs w:val="24"/>
              </w:rPr>
            </w:pPr>
            <w:r w:rsidRPr="00DF3A4F">
              <w:rPr>
                <w:rFonts w:ascii="Arial" w:hAnsi="Arial" w:cs="Arial"/>
                <w:b/>
                <w:bCs/>
                <w:sz w:val="24"/>
                <w:szCs w:val="24"/>
              </w:rPr>
              <w:t>Influence</w:t>
            </w:r>
          </w:p>
        </w:tc>
      </w:tr>
      <w:tr w:rsidR="00133CD9" w:rsidRPr="00DF3A4F" w14:paraId="0A999868" w14:textId="77777777" w:rsidTr="00CD61E4">
        <w:trPr>
          <w:tblCellSpacing w:w="15" w:type="dxa"/>
        </w:trPr>
        <w:tc>
          <w:tcPr>
            <w:tcW w:w="0" w:type="auto"/>
            <w:vAlign w:val="center"/>
            <w:hideMark/>
          </w:tcPr>
          <w:p w14:paraId="7A46E26F"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Paytm Management</w:t>
            </w:r>
          </w:p>
        </w:tc>
        <w:tc>
          <w:tcPr>
            <w:tcW w:w="0" w:type="auto"/>
            <w:vAlign w:val="center"/>
            <w:hideMark/>
          </w:tcPr>
          <w:p w14:paraId="0C69B3C3"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High</w:t>
            </w:r>
          </w:p>
        </w:tc>
        <w:tc>
          <w:tcPr>
            <w:tcW w:w="0" w:type="auto"/>
            <w:vAlign w:val="center"/>
            <w:hideMark/>
          </w:tcPr>
          <w:p w14:paraId="4E2207FF"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High</w:t>
            </w:r>
          </w:p>
        </w:tc>
      </w:tr>
      <w:tr w:rsidR="00133CD9" w:rsidRPr="00DF3A4F" w14:paraId="21C7D52C" w14:textId="77777777" w:rsidTr="00CD61E4">
        <w:trPr>
          <w:tblCellSpacing w:w="15" w:type="dxa"/>
        </w:trPr>
        <w:tc>
          <w:tcPr>
            <w:tcW w:w="0" w:type="auto"/>
            <w:vAlign w:val="center"/>
            <w:hideMark/>
          </w:tcPr>
          <w:p w14:paraId="41788E4B"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Shareholders</w:t>
            </w:r>
          </w:p>
        </w:tc>
        <w:tc>
          <w:tcPr>
            <w:tcW w:w="0" w:type="auto"/>
            <w:vAlign w:val="center"/>
            <w:hideMark/>
          </w:tcPr>
          <w:p w14:paraId="48F7BC25"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High</w:t>
            </w:r>
          </w:p>
        </w:tc>
        <w:tc>
          <w:tcPr>
            <w:tcW w:w="0" w:type="auto"/>
            <w:vAlign w:val="center"/>
            <w:hideMark/>
          </w:tcPr>
          <w:p w14:paraId="62F9BCAB"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High</w:t>
            </w:r>
          </w:p>
        </w:tc>
      </w:tr>
      <w:tr w:rsidR="00133CD9" w:rsidRPr="00DF3A4F" w14:paraId="205DAE71" w14:textId="77777777" w:rsidTr="00CD61E4">
        <w:trPr>
          <w:tblCellSpacing w:w="15" w:type="dxa"/>
        </w:trPr>
        <w:tc>
          <w:tcPr>
            <w:tcW w:w="0" w:type="auto"/>
            <w:vAlign w:val="center"/>
            <w:hideMark/>
          </w:tcPr>
          <w:p w14:paraId="0A49C5CA"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MAS</w:t>
            </w:r>
          </w:p>
        </w:tc>
        <w:tc>
          <w:tcPr>
            <w:tcW w:w="0" w:type="auto"/>
            <w:vAlign w:val="center"/>
            <w:hideMark/>
          </w:tcPr>
          <w:p w14:paraId="4B3590D4"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High</w:t>
            </w:r>
          </w:p>
        </w:tc>
        <w:tc>
          <w:tcPr>
            <w:tcW w:w="0" w:type="auto"/>
            <w:vAlign w:val="center"/>
            <w:hideMark/>
          </w:tcPr>
          <w:p w14:paraId="6101E291"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High</w:t>
            </w:r>
          </w:p>
        </w:tc>
      </w:tr>
      <w:tr w:rsidR="00133CD9" w:rsidRPr="00DF3A4F" w14:paraId="29E60D19" w14:textId="77777777" w:rsidTr="00CD61E4">
        <w:trPr>
          <w:tblCellSpacing w:w="15" w:type="dxa"/>
        </w:trPr>
        <w:tc>
          <w:tcPr>
            <w:tcW w:w="0" w:type="auto"/>
            <w:vAlign w:val="center"/>
            <w:hideMark/>
          </w:tcPr>
          <w:p w14:paraId="44F9EFC1"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NPCI</w:t>
            </w:r>
          </w:p>
        </w:tc>
        <w:tc>
          <w:tcPr>
            <w:tcW w:w="0" w:type="auto"/>
            <w:vAlign w:val="center"/>
            <w:hideMark/>
          </w:tcPr>
          <w:p w14:paraId="436F9CA0"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High</w:t>
            </w:r>
          </w:p>
        </w:tc>
        <w:tc>
          <w:tcPr>
            <w:tcW w:w="0" w:type="auto"/>
            <w:vAlign w:val="center"/>
            <w:hideMark/>
          </w:tcPr>
          <w:p w14:paraId="2BD873FA"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High</w:t>
            </w:r>
          </w:p>
        </w:tc>
      </w:tr>
      <w:tr w:rsidR="00133CD9" w:rsidRPr="00DF3A4F" w14:paraId="63BBFFA4" w14:textId="77777777" w:rsidTr="00CD61E4">
        <w:trPr>
          <w:tblCellSpacing w:w="15" w:type="dxa"/>
        </w:trPr>
        <w:tc>
          <w:tcPr>
            <w:tcW w:w="0" w:type="auto"/>
            <w:vAlign w:val="center"/>
            <w:hideMark/>
          </w:tcPr>
          <w:p w14:paraId="7991324C"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Singaporean Banks</w:t>
            </w:r>
          </w:p>
        </w:tc>
        <w:tc>
          <w:tcPr>
            <w:tcW w:w="0" w:type="auto"/>
            <w:vAlign w:val="center"/>
            <w:hideMark/>
          </w:tcPr>
          <w:p w14:paraId="524392FB"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High</w:t>
            </w:r>
          </w:p>
        </w:tc>
        <w:tc>
          <w:tcPr>
            <w:tcW w:w="0" w:type="auto"/>
            <w:vAlign w:val="center"/>
            <w:hideMark/>
          </w:tcPr>
          <w:p w14:paraId="056A8D51"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High</w:t>
            </w:r>
          </w:p>
        </w:tc>
      </w:tr>
      <w:tr w:rsidR="00133CD9" w:rsidRPr="00DF3A4F" w14:paraId="314CAC38" w14:textId="77777777" w:rsidTr="00CD61E4">
        <w:trPr>
          <w:tblCellSpacing w:w="15" w:type="dxa"/>
        </w:trPr>
        <w:tc>
          <w:tcPr>
            <w:tcW w:w="0" w:type="auto"/>
            <w:vAlign w:val="center"/>
            <w:hideMark/>
          </w:tcPr>
          <w:p w14:paraId="3E4B1EA7"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Merchants</w:t>
            </w:r>
          </w:p>
        </w:tc>
        <w:tc>
          <w:tcPr>
            <w:tcW w:w="0" w:type="auto"/>
            <w:vAlign w:val="center"/>
            <w:hideMark/>
          </w:tcPr>
          <w:p w14:paraId="62E3D1F8"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High</w:t>
            </w:r>
          </w:p>
        </w:tc>
        <w:tc>
          <w:tcPr>
            <w:tcW w:w="0" w:type="auto"/>
            <w:vAlign w:val="center"/>
            <w:hideMark/>
          </w:tcPr>
          <w:p w14:paraId="58FB071C"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Medium</w:t>
            </w:r>
          </w:p>
        </w:tc>
      </w:tr>
      <w:tr w:rsidR="00133CD9" w:rsidRPr="00DF3A4F" w14:paraId="2E4BE293" w14:textId="77777777" w:rsidTr="00CD61E4">
        <w:trPr>
          <w:tblCellSpacing w:w="15" w:type="dxa"/>
        </w:trPr>
        <w:tc>
          <w:tcPr>
            <w:tcW w:w="0" w:type="auto"/>
            <w:vAlign w:val="center"/>
            <w:hideMark/>
          </w:tcPr>
          <w:p w14:paraId="65779B29"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Customers</w:t>
            </w:r>
          </w:p>
        </w:tc>
        <w:tc>
          <w:tcPr>
            <w:tcW w:w="0" w:type="auto"/>
            <w:vAlign w:val="center"/>
            <w:hideMark/>
          </w:tcPr>
          <w:p w14:paraId="3888644A"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High</w:t>
            </w:r>
          </w:p>
        </w:tc>
        <w:tc>
          <w:tcPr>
            <w:tcW w:w="0" w:type="auto"/>
            <w:vAlign w:val="center"/>
            <w:hideMark/>
          </w:tcPr>
          <w:p w14:paraId="637C300A"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Medium</w:t>
            </w:r>
          </w:p>
        </w:tc>
      </w:tr>
      <w:tr w:rsidR="00133CD9" w:rsidRPr="00DF3A4F" w14:paraId="5A5D4E18" w14:textId="77777777" w:rsidTr="00CD61E4">
        <w:trPr>
          <w:tblCellSpacing w:w="15" w:type="dxa"/>
        </w:trPr>
        <w:tc>
          <w:tcPr>
            <w:tcW w:w="0" w:type="auto"/>
            <w:vAlign w:val="center"/>
            <w:hideMark/>
          </w:tcPr>
          <w:p w14:paraId="303FED4E"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Technology Partners</w:t>
            </w:r>
          </w:p>
        </w:tc>
        <w:tc>
          <w:tcPr>
            <w:tcW w:w="0" w:type="auto"/>
            <w:vAlign w:val="center"/>
            <w:hideMark/>
          </w:tcPr>
          <w:p w14:paraId="1F7FA341"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Medium</w:t>
            </w:r>
          </w:p>
        </w:tc>
        <w:tc>
          <w:tcPr>
            <w:tcW w:w="0" w:type="auto"/>
            <w:vAlign w:val="center"/>
            <w:hideMark/>
          </w:tcPr>
          <w:p w14:paraId="7EA6A6E3"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Medium</w:t>
            </w:r>
          </w:p>
        </w:tc>
      </w:tr>
      <w:tr w:rsidR="00133CD9" w:rsidRPr="00DF3A4F" w14:paraId="17ECE847" w14:textId="77777777" w:rsidTr="00CD61E4">
        <w:trPr>
          <w:tblCellSpacing w:w="15" w:type="dxa"/>
        </w:trPr>
        <w:tc>
          <w:tcPr>
            <w:tcW w:w="0" w:type="auto"/>
            <w:vAlign w:val="center"/>
            <w:hideMark/>
          </w:tcPr>
          <w:p w14:paraId="4889E3D5"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Government Agencies</w:t>
            </w:r>
          </w:p>
        </w:tc>
        <w:tc>
          <w:tcPr>
            <w:tcW w:w="0" w:type="auto"/>
            <w:vAlign w:val="center"/>
            <w:hideMark/>
          </w:tcPr>
          <w:p w14:paraId="6CF6388B"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Medium</w:t>
            </w:r>
          </w:p>
        </w:tc>
        <w:tc>
          <w:tcPr>
            <w:tcW w:w="0" w:type="auto"/>
            <w:vAlign w:val="center"/>
            <w:hideMark/>
          </w:tcPr>
          <w:p w14:paraId="3CE4285A"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High</w:t>
            </w:r>
          </w:p>
        </w:tc>
      </w:tr>
    </w:tbl>
    <w:p w14:paraId="7697AEA0"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Key Stakeholders</w:t>
      </w:r>
    </w:p>
    <w:p w14:paraId="3413313A"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Paytm Management</w:t>
      </w:r>
    </w:p>
    <w:p w14:paraId="5F5456B5" w14:textId="77777777" w:rsidR="00133CD9" w:rsidRPr="00DF3A4F" w:rsidRDefault="00133CD9" w:rsidP="00133CD9">
      <w:pPr>
        <w:pStyle w:val="ListParagraph"/>
        <w:numPr>
          <w:ilvl w:val="0"/>
          <w:numId w:val="39"/>
        </w:numPr>
        <w:spacing w:line="360" w:lineRule="auto"/>
        <w:jc w:val="both"/>
        <w:rPr>
          <w:rFonts w:ascii="Arial" w:hAnsi="Arial" w:cs="Arial"/>
          <w:sz w:val="24"/>
          <w:szCs w:val="24"/>
        </w:rPr>
      </w:pPr>
      <w:r w:rsidRPr="00DF3A4F">
        <w:rPr>
          <w:rFonts w:ascii="Arial" w:hAnsi="Arial" w:cs="Arial"/>
          <w:sz w:val="24"/>
          <w:szCs w:val="24"/>
        </w:rPr>
        <w:t>Charged with strategic decision making, allocation and extension monitoring.</w:t>
      </w:r>
    </w:p>
    <w:p w14:paraId="418F5963" w14:textId="77777777" w:rsidR="00133CD9" w:rsidRPr="00DF3A4F" w:rsidRDefault="00133CD9" w:rsidP="00133CD9">
      <w:pPr>
        <w:pStyle w:val="ListParagraph"/>
        <w:numPr>
          <w:ilvl w:val="0"/>
          <w:numId w:val="39"/>
        </w:numPr>
        <w:spacing w:line="360" w:lineRule="auto"/>
        <w:jc w:val="both"/>
        <w:rPr>
          <w:rFonts w:ascii="Arial" w:hAnsi="Arial" w:cs="Arial"/>
          <w:sz w:val="24"/>
          <w:szCs w:val="24"/>
        </w:rPr>
      </w:pPr>
      <w:r w:rsidRPr="00DF3A4F">
        <w:rPr>
          <w:rFonts w:ascii="Arial" w:hAnsi="Arial" w:cs="Arial"/>
          <w:sz w:val="24"/>
          <w:szCs w:val="24"/>
        </w:rPr>
        <w:t>Monetary Authority of Singapore (MAS)</w:t>
      </w:r>
    </w:p>
    <w:p w14:paraId="3364F991" w14:textId="77777777" w:rsidR="00133CD9" w:rsidRPr="00DF3A4F" w:rsidRDefault="00133CD9" w:rsidP="00133CD9">
      <w:pPr>
        <w:pStyle w:val="ListParagraph"/>
        <w:numPr>
          <w:ilvl w:val="0"/>
          <w:numId w:val="39"/>
        </w:numPr>
        <w:spacing w:line="360" w:lineRule="auto"/>
        <w:jc w:val="both"/>
        <w:rPr>
          <w:rFonts w:ascii="Arial" w:hAnsi="Arial" w:cs="Arial"/>
          <w:sz w:val="24"/>
          <w:szCs w:val="24"/>
        </w:rPr>
      </w:pPr>
      <w:r w:rsidRPr="00DF3A4F">
        <w:rPr>
          <w:rFonts w:ascii="Arial" w:hAnsi="Arial" w:cs="Arial"/>
          <w:sz w:val="24"/>
          <w:szCs w:val="24"/>
        </w:rPr>
        <w:t>Manages payment service and adherence to the financial laws.</w:t>
      </w:r>
    </w:p>
    <w:p w14:paraId="43C6F7E8"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NPCI</w:t>
      </w:r>
    </w:p>
    <w:p w14:paraId="43215D04" w14:textId="77777777" w:rsidR="00133CD9" w:rsidRPr="00DF3A4F" w:rsidRDefault="00133CD9" w:rsidP="00133CD9">
      <w:pPr>
        <w:pStyle w:val="ListParagraph"/>
        <w:numPr>
          <w:ilvl w:val="0"/>
          <w:numId w:val="38"/>
        </w:numPr>
        <w:spacing w:line="360" w:lineRule="auto"/>
        <w:jc w:val="both"/>
        <w:rPr>
          <w:rFonts w:ascii="Arial" w:hAnsi="Arial" w:cs="Arial"/>
          <w:sz w:val="24"/>
          <w:szCs w:val="24"/>
        </w:rPr>
      </w:pPr>
      <w:r w:rsidRPr="00DF3A4F">
        <w:rPr>
          <w:rFonts w:ascii="Arial" w:hAnsi="Arial" w:cs="Arial"/>
          <w:sz w:val="24"/>
          <w:szCs w:val="24"/>
        </w:rPr>
        <w:t>Enables payment infrastructure across borders with UPI integration.</w:t>
      </w:r>
    </w:p>
    <w:p w14:paraId="71FA4535"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Banking Partners</w:t>
      </w:r>
    </w:p>
    <w:p w14:paraId="293DEB88" w14:textId="77777777" w:rsidR="00133CD9" w:rsidRPr="00DF3A4F" w:rsidRDefault="00133CD9" w:rsidP="00133CD9">
      <w:pPr>
        <w:pStyle w:val="ListParagraph"/>
        <w:numPr>
          <w:ilvl w:val="0"/>
          <w:numId w:val="37"/>
        </w:numPr>
        <w:spacing w:line="360" w:lineRule="auto"/>
        <w:jc w:val="both"/>
        <w:rPr>
          <w:rFonts w:ascii="Arial" w:hAnsi="Arial" w:cs="Arial"/>
          <w:sz w:val="24"/>
          <w:szCs w:val="24"/>
        </w:rPr>
      </w:pPr>
      <w:r w:rsidRPr="00DF3A4F">
        <w:rPr>
          <w:rFonts w:ascii="Arial" w:hAnsi="Arial" w:cs="Arial"/>
          <w:sz w:val="24"/>
          <w:szCs w:val="24"/>
        </w:rPr>
        <w:t>Offer financial structures and support for the regulatory framework.</w:t>
      </w:r>
    </w:p>
    <w:p w14:paraId="47817BD3"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Customers and Merchants</w:t>
      </w:r>
    </w:p>
    <w:p w14:paraId="4D782910" w14:textId="77777777" w:rsidR="00133CD9" w:rsidRPr="00DF3A4F" w:rsidRDefault="00133CD9" w:rsidP="00133CD9">
      <w:pPr>
        <w:pStyle w:val="ListParagraph"/>
        <w:numPr>
          <w:ilvl w:val="0"/>
          <w:numId w:val="36"/>
        </w:numPr>
        <w:spacing w:line="360" w:lineRule="auto"/>
        <w:jc w:val="both"/>
        <w:rPr>
          <w:rFonts w:ascii="Arial" w:hAnsi="Arial" w:cs="Arial"/>
          <w:sz w:val="24"/>
          <w:szCs w:val="24"/>
        </w:rPr>
      </w:pPr>
      <w:r w:rsidRPr="00DF3A4F">
        <w:rPr>
          <w:rFonts w:ascii="Arial" w:hAnsi="Arial" w:cs="Arial"/>
          <w:sz w:val="24"/>
          <w:szCs w:val="24"/>
        </w:rPr>
        <w:t>Create business volumes and measure business success.</w:t>
      </w:r>
    </w:p>
    <w:p w14:paraId="15CC3BBB" w14:textId="77777777" w:rsidR="00133CD9" w:rsidRPr="00DF3A4F" w:rsidRDefault="00133CD9" w:rsidP="00133CD9">
      <w:pPr>
        <w:pStyle w:val="ListParagraph"/>
        <w:numPr>
          <w:ilvl w:val="0"/>
          <w:numId w:val="36"/>
        </w:numPr>
        <w:spacing w:line="360" w:lineRule="auto"/>
        <w:jc w:val="both"/>
        <w:rPr>
          <w:rFonts w:ascii="Arial" w:hAnsi="Arial" w:cs="Arial"/>
          <w:sz w:val="24"/>
          <w:szCs w:val="24"/>
        </w:rPr>
      </w:pPr>
      <w:r w:rsidRPr="00DF3A4F">
        <w:rPr>
          <w:rFonts w:ascii="Arial" w:hAnsi="Arial" w:cs="Arial"/>
          <w:sz w:val="24"/>
          <w:szCs w:val="24"/>
        </w:rPr>
        <w:t>Stakeholder engagement will be a key factor in implementation; therefore, it will be important throughout the implementation process.</w:t>
      </w:r>
    </w:p>
    <w:p w14:paraId="571C4482" w14:textId="77777777" w:rsidR="00133CD9" w:rsidRPr="00DF3A4F" w:rsidRDefault="00133CD9" w:rsidP="00133CD9">
      <w:pPr>
        <w:pStyle w:val="Heading2"/>
        <w:rPr>
          <w:rFonts w:ascii="Arial" w:hAnsi="Arial" w:cs="Arial"/>
          <w:sz w:val="24"/>
          <w:szCs w:val="24"/>
        </w:rPr>
      </w:pPr>
      <w:bookmarkStart w:id="56" w:name="_Toc238739809"/>
      <w:r w:rsidRPr="00DF3A4F">
        <w:rPr>
          <w:rFonts w:ascii="Arial" w:hAnsi="Arial" w:cs="Arial"/>
          <w:sz w:val="24"/>
          <w:szCs w:val="24"/>
        </w:rPr>
        <w:t>6.9 Strategic Recommendation</w:t>
      </w:r>
      <w:bookmarkEnd w:id="56"/>
    </w:p>
    <w:p w14:paraId="727D0551" w14:textId="38848A6B"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analysis done in this chapter suggests that Paytm's line of action for the market entry strategy should be through strategic alliances and the focus should be on cross-border digital payments. The suggested solution is to build on the existing UPI-</w:t>
      </w:r>
      <w:proofErr w:type="spellStart"/>
      <w:r w:rsidRPr="00DF3A4F">
        <w:rPr>
          <w:rFonts w:ascii="Arial" w:hAnsi="Arial" w:cs="Arial"/>
          <w:sz w:val="24"/>
          <w:szCs w:val="24"/>
        </w:rPr>
        <w:t>PayNow</w:t>
      </w:r>
      <w:proofErr w:type="spellEnd"/>
      <w:r w:rsidRPr="00DF3A4F">
        <w:rPr>
          <w:rFonts w:ascii="Arial" w:hAnsi="Arial" w:cs="Arial"/>
          <w:sz w:val="24"/>
          <w:szCs w:val="24"/>
        </w:rPr>
        <w:t xml:space="preserve"> connectivity, reduce investments and risks involved in operations. Initially the focus should be on the Indian tourists, expatriates and students followed by a wider acceptance of merchant payments and business transactions. Having partnerships with banks and financial institutions will help speed up market </w:t>
      </w:r>
      <w:r w:rsidR="00690344" w:rsidRPr="00DF3A4F">
        <w:rPr>
          <w:rFonts w:ascii="Arial" w:hAnsi="Arial" w:cs="Arial"/>
          <w:sz w:val="24"/>
          <w:szCs w:val="24"/>
        </w:rPr>
        <w:t>penetration and</w:t>
      </w:r>
      <w:r w:rsidRPr="00DF3A4F">
        <w:rPr>
          <w:rFonts w:ascii="Arial" w:hAnsi="Arial" w:cs="Arial"/>
          <w:sz w:val="24"/>
          <w:szCs w:val="24"/>
        </w:rPr>
        <w:t xml:space="preserve"> meet Singapore's regulatory requirements. Besides, there are possibilities for expanding to Southeast Asia from Singapore in the long-term through the market entry, which could capitalize on the market opportunities in the region.</w:t>
      </w:r>
    </w:p>
    <w:p w14:paraId="4141E950" w14:textId="77777777" w:rsidR="00133CD9" w:rsidRPr="00DF3A4F" w:rsidRDefault="00133CD9" w:rsidP="00133CD9">
      <w:pPr>
        <w:pStyle w:val="Heading2"/>
        <w:rPr>
          <w:rFonts w:ascii="Arial" w:hAnsi="Arial" w:cs="Arial"/>
          <w:sz w:val="24"/>
          <w:szCs w:val="24"/>
        </w:rPr>
      </w:pPr>
      <w:bookmarkStart w:id="57" w:name="_Toc238739810"/>
      <w:r w:rsidRPr="00DF3A4F">
        <w:rPr>
          <w:rFonts w:ascii="Arial" w:hAnsi="Arial" w:cs="Arial"/>
          <w:sz w:val="24"/>
          <w:szCs w:val="24"/>
        </w:rPr>
        <w:t>6.10 Chapter Summary</w:t>
      </w:r>
      <w:bookmarkEnd w:id="57"/>
    </w:p>
    <w:p w14:paraId="18A089B1" w14:textId="61EBC55C"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 xml:space="preserve">In this chapter, the business development approach that has been suggested for Paytm's growth in Singapore was developed. The analysis revealed that the rising economic integration, uptake of digital payment and UPI internationalisation were key growth factors in the cross-border digital payment services. A variety of market entry strategies were considered such as licensing, joint ventures, acquisitions, and/or wholly owned subsidiaries, and/or strategic alliances. The results showed that strategic alliances are the most optimal combination of control, flexibility, investment level and risk management. The Business Model Canvas and stakeholder analysis also proved the proposed strategy to be feasible. The next chapter will assess the </w:t>
      </w:r>
      <w:r w:rsidR="00690344" w:rsidRPr="00DF3A4F">
        <w:rPr>
          <w:rFonts w:ascii="Arial" w:hAnsi="Arial" w:cs="Arial"/>
          <w:sz w:val="24"/>
          <w:szCs w:val="24"/>
        </w:rPr>
        <w:t>finance ability</w:t>
      </w:r>
      <w:r w:rsidRPr="00DF3A4F">
        <w:rPr>
          <w:rFonts w:ascii="Arial" w:hAnsi="Arial" w:cs="Arial"/>
          <w:sz w:val="24"/>
          <w:szCs w:val="24"/>
        </w:rPr>
        <w:t xml:space="preserve"> of the expansion by conducting investment analysis, forecasting revenue, conducting break-even analysis and estimating ROI, and creating a discounted cash flow modelling.</w:t>
      </w:r>
      <w:r w:rsidRPr="00DF3A4F">
        <w:rPr>
          <w:rFonts w:ascii="Arial" w:hAnsi="Arial" w:cs="Arial"/>
          <w:sz w:val="24"/>
          <w:szCs w:val="24"/>
        </w:rPr>
        <w:br w:type="page"/>
      </w:r>
    </w:p>
    <w:p w14:paraId="61CF06CB" w14:textId="77777777" w:rsidR="00133CD9" w:rsidRPr="00DF3A4F" w:rsidRDefault="00133CD9" w:rsidP="00133CD9">
      <w:pPr>
        <w:pStyle w:val="Heading1"/>
        <w:rPr>
          <w:rFonts w:ascii="Arial" w:hAnsi="Arial" w:cs="Arial"/>
          <w:szCs w:val="24"/>
        </w:rPr>
      </w:pPr>
      <w:bookmarkStart w:id="58" w:name="_Toc238739811"/>
      <w:r w:rsidRPr="00DF3A4F">
        <w:rPr>
          <w:rFonts w:ascii="Arial" w:hAnsi="Arial" w:cs="Arial"/>
          <w:szCs w:val="24"/>
        </w:rPr>
        <w:t>Chapter 7: Financial Feasibility Analysis</w:t>
      </w:r>
      <w:bookmarkEnd w:id="58"/>
    </w:p>
    <w:p w14:paraId="5E447C20"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7.1 Introduction</w:t>
      </w:r>
    </w:p>
    <w:p w14:paraId="045AC46D"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Financial feasibility analysis is an important part of any Business Development Plan as it helps to determine if a strategic plan will be able to return enough financial value to be worthwhile of the investment. Singapore was found to be the most attractive market for Paytm to go international, but it is not enough to be strategic, one needs to be economically viable too. The management needs to assess whether the market entry option will be able to provide long-term revenues, return the initial capital investment in a reasonable time and develop long-term shareholder value. Expansion in Singapore will involve investments in technology integration, regulatory compliance, cyber security infrastructure, marketing efforts and partnerships. Therefore, a financial assessment should be completed to provide an indication of the expected benefits relative to the cost and risks. Financial feasibility of Paytm's proposed expansion is evaluated by performing investment analysis, forecasting revenue, estimating operating costs, break-even analysis, return on investment (ROI), net present value (NPV), sensitivity analysis and scenario analysis techniques. The findings contribute quantitative evidence to the recommendations of the strategy that were developed in the previous chapters and determine if the expansion can be profitable.</w:t>
      </w:r>
    </w:p>
    <w:p w14:paraId="292E332F"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7.2 Initial Investment Requirements</w:t>
      </w:r>
    </w:p>
    <w:p w14:paraId="6C6E64A5"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expansion plans into Singapore will need an initial capital of SGD 2.2 million. The approach of strategic alliances is one which involves a comparatively low level of capital involvement as compared to other entry strategies like acquisition or a wholly owned subsidiary, as chosen in Chapter 6. But significant capital expenditure remains to be done to set up operations, gain regulatory clearance and enable technological compatibility with Singapore's payments system.</w:t>
      </w:r>
    </w:p>
    <w:p w14:paraId="6217EE39"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Table 7.1 Initial Investment Requirements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38"/>
        <w:gridCol w:w="2589"/>
      </w:tblGrid>
      <w:tr w:rsidR="00133CD9" w:rsidRPr="00DF3A4F" w14:paraId="617A5DD5" w14:textId="77777777" w:rsidTr="00CD61E4">
        <w:trPr>
          <w:tblHeader/>
          <w:tblCellSpacing w:w="15" w:type="dxa"/>
        </w:trPr>
        <w:tc>
          <w:tcPr>
            <w:tcW w:w="0" w:type="auto"/>
            <w:vAlign w:val="center"/>
            <w:hideMark/>
          </w:tcPr>
          <w:p w14:paraId="4B1AEA48" w14:textId="77777777" w:rsidR="00133CD9" w:rsidRPr="00DF3A4F" w:rsidRDefault="00133CD9" w:rsidP="00CD61E4">
            <w:pPr>
              <w:spacing w:line="360" w:lineRule="auto"/>
              <w:jc w:val="both"/>
              <w:rPr>
                <w:rFonts w:ascii="Arial" w:hAnsi="Arial" w:cs="Arial"/>
                <w:b/>
                <w:bCs/>
                <w:sz w:val="24"/>
                <w:szCs w:val="24"/>
              </w:rPr>
            </w:pPr>
            <w:r w:rsidRPr="00DF3A4F">
              <w:rPr>
                <w:rFonts w:ascii="Arial" w:hAnsi="Arial" w:cs="Arial"/>
                <w:b/>
                <w:bCs/>
                <w:sz w:val="24"/>
                <w:szCs w:val="24"/>
              </w:rPr>
              <w:t>Investment Category</w:t>
            </w:r>
          </w:p>
        </w:tc>
        <w:tc>
          <w:tcPr>
            <w:tcW w:w="0" w:type="auto"/>
            <w:vAlign w:val="center"/>
            <w:hideMark/>
          </w:tcPr>
          <w:p w14:paraId="629AA35F" w14:textId="77777777" w:rsidR="00133CD9" w:rsidRPr="00DF3A4F" w:rsidRDefault="00133CD9" w:rsidP="00CD61E4">
            <w:pPr>
              <w:spacing w:line="360" w:lineRule="auto"/>
              <w:jc w:val="both"/>
              <w:rPr>
                <w:rFonts w:ascii="Arial" w:hAnsi="Arial" w:cs="Arial"/>
                <w:b/>
                <w:bCs/>
                <w:sz w:val="24"/>
                <w:szCs w:val="24"/>
              </w:rPr>
            </w:pPr>
            <w:r w:rsidRPr="00DF3A4F">
              <w:rPr>
                <w:rFonts w:ascii="Arial" w:hAnsi="Arial" w:cs="Arial"/>
                <w:b/>
                <w:bCs/>
                <w:sz w:val="24"/>
                <w:szCs w:val="24"/>
              </w:rPr>
              <w:t>Estimated Cost (SGD)</w:t>
            </w:r>
          </w:p>
        </w:tc>
      </w:tr>
      <w:tr w:rsidR="00133CD9" w:rsidRPr="00DF3A4F" w14:paraId="18C1FAF8" w14:textId="77777777" w:rsidTr="00CD61E4">
        <w:trPr>
          <w:tblCellSpacing w:w="15" w:type="dxa"/>
        </w:trPr>
        <w:tc>
          <w:tcPr>
            <w:tcW w:w="0" w:type="auto"/>
            <w:vAlign w:val="center"/>
            <w:hideMark/>
          </w:tcPr>
          <w:p w14:paraId="2E6EAAEB"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Regulatory Licensing and Compliance</w:t>
            </w:r>
          </w:p>
        </w:tc>
        <w:tc>
          <w:tcPr>
            <w:tcW w:w="0" w:type="auto"/>
            <w:vAlign w:val="center"/>
            <w:hideMark/>
          </w:tcPr>
          <w:p w14:paraId="669FBA7B"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300,000</w:t>
            </w:r>
          </w:p>
        </w:tc>
      </w:tr>
      <w:tr w:rsidR="00133CD9" w:rsidRPr="00DF3A4F" w14:paraId="3D34D804" w14:textId="77777777" w:rsidTr="00CD61E4">
        <w:trPr>
          <w:tblCellSpacing w:w="15" w:type="dxa"/>
        </w:trPr>
        <w:tc>
          <w:tcPr>
            <w:tcW w:w="0" w:type="auto"/>
            <w:vAlign w:val="center"/>
            <w:hideMark/>
          </w:tcPr>
          <w:p w14:paraId="64C5C05A"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Technology Integration</w:t>
            </w:r>
          </w:p>
        </w:tc>
        <w:tc>
          <w:tcPr>
            <w:tcW w:w="0" w:type="auto"/>
            <w:vAlign w:val="center"/>
            <w:hideMark/>
          </w:tcPr>
          <w:p w14:paraId="117128BF"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500,000</w:t>
            </w:r>
          </w:p>
        </w:tc>
      </w:tr>
      <w:tr w:rsidR="00133CD9" w:rsidRPr="00DF3A4F" w14:paraId="16054237" w14:textId="77777777" w:rsidTr="00CD61E4">
        <w:trPr>
          <w:tblCellSpacing w:w="15" w:type="dxa"/>
        </w:trPr>
        <w:tc>
          <w:tcPr>
            <w:tcW w:w="0" w:type="auto"/>
            <w:vAlign w:val="center"/>
            <w:hideMark/>
          </w:tcPr>
          <w:p w14:paraId="2F4FE6DF"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Cybersecurity Infrastructure</w:t>
            </w:r>
          </w:p>
        </w:tc>
        <w:tc>
          <w:tcPr>
            <w:tcW w:w="0" w:type="auto"/>
            <w:vAlign w:val="center"/>
            <w:hideMark/>
          </w:tcPr>
          <w:p w14:paraId="2758D58D"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250,000</w:t>
            </w:r>
          </w:p>
        </w:tc>
      </w:tr>
      <w:tr w:rsidR="00133CD9" w:rsidRPr="00DF3A4F" w14:paraId="238C71F6" w14:textId="77777777" w:rsidTr="00CD61E4">
        <w:trPr>
          <w:tblCellSpacing w:w="15" w:type="dxa"/>
        </w:trPr>
        <w:tc>
          <w:tcPr>
            <w:tcW w:w="0" w:type="auto"/>
            <w:vAlign w:val="center"/>
            <w:hideMark/>
          </w:tcPr>
          <w:p w14:paraId="62C9F01A"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Strategic Alliance Development</w:t>
            </w:r>
          </w:p>
        </w:tc>
        <w:tc>
          <w:tcPr>
            <w:tcW w:w="0" w:type="auto"/>
            <w:vAlign w:val="center"/>
            <w:hideMark/>
          </w:tcPr>
          <w:p w14:paraId="780CF128"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150,000</w:t>
            </w:r>
          </w:p>
        </w:tc>
      </w:tr>
      <w:tr w:rsidR="00133CD9" w:rsidRPr="00DF3A4F" w14:paraId="50C57A69" w14:textId="77777777" w:rsidTr="00CD61E4">
        <w:trPr>
          <w:tblCellSpacing w:w="15" w:type="dxa"/>
        </w:trPr>
        <w:tc>
          <w:tcPr>
            <w:tcW w:w="0" w:type="auto"/>
            <w:vAlign w:val="center"/>
            <w:hideMark/>
          </w:tcPr>
          <w:p w14:paraId="5DFCA988"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Marketing and Customer Acquisition</w:t>
            </w:r>
          </w:p>
        </w:tc>
        <w:tc>
          <w:tcPr>
            <w:tcW w:w="0" w:type="auto"/>
            <w:vAlign w:val="center"/>
            <w:hideMark/>
          </w:tcPr>
          <w:p w14:paraId="4100A4F7"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400,000</w:t>
            </w:r>
          </w:p>
        </w:tc>
      </w:tr>
      <w:tr w:rsidR="00133CD9" w:rsidRPr="00DF3A4F" w14:paraId="23457B61" w14:textId="77777777" w:rsidTr="00CD61E4">
        <w:trPr>
          <w:tblCellSpacing w:w="15" w:type="dxa"/>
        </w:trPr>
        <w:tc>
          <w:tcPr>
            <w:tcW w:w="0" w:type="auto"/>
            <w:vAlign w:val="center"/>
            <w:hideMark/>
          </w:tcPr>
          <w:p w14:paraId="42F5F073"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Staff Recruitment and Training</w:t>
            </w:r>
          </w:p>
        </w:tc>
        <w:tc>
          <w:tcPr>
            <w:tcW w:w="0" w:type="auto"/>
            <w:vAlign w:val="center"/>
            <w:hideMark/>
          </w:tcPr>
          <w:p w14:paraId="7016519A"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250,000</w:t>
            </w:r>
          </w:p>
        </w:tc>
      </w:tr>
      <w:tr w:rsidR="00133CD9" w:rsidRPr="00DF3A4F" w14:paraId="6C592582" w14:textId="77777777" w:rsidTr="00CD61E4">
        <w:trPr>
          <w:tblCellSpacing w:w="15" w:type="dxa"/>
        </w:trPr>
        <w:tc>
          <w:tcPr>
            <w:tcW w:w="0" w:type="auto"/>
            <w:vAlign w:val="center"/>
            <w:hideMark/>
          </w:tcPr>
          <w:p w14:paraId="3B9B0A96"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Office and Administrative Setup</w:t>
            </w:r>
          </w:p>
        </w:tc>
        <w:tc>
          <w:tcPr>
            <w:tcW w:w="0" w:type="auto"/>
            <w:vAlign w:val="center"/>
            <w:hideMark/>
          </w:tcPr>
          <w:p w14:paraId="45F1E7DF"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150,000</w:t>
            </w:r>
          </w:p>
        </w:tc>
      </w:tr>
      <w:tr w:rsidR="00133CD9" w:rsidRPr="00DF3A4F" w14:paraId="02D83EE1" w14:textId="77777777" w:rsidTr="00CD61E4">
        <w:trPr>
          <w:tblCellSpacing w:w="15" w:type="dxa"/>
        </w:trPr>
        <w:tc>
          <w:tcPr>
            <w:tcW w:w="0" w:type="auto"/>
            <w:vAlign w:val="center"/>
            <w:hideMark/>
          </w:tcPr>
          <w:p w14:paraId="3300E1B7"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Contingency Reserve</w:t>
            </w:r>
          </w:p>
        </w:tc>
        <w:tc>
          <w:tcPr>
            <w:tcW w:w="0" w:type="auto"/>
            <w:vAlign w:val="center"/>
            <w:hideMark/>
          </w:tcPr>
          <w:p w14:paraId="43DFFC20"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200,000</w:t>
            </w:r>
          </w:p>
        </w:tc>
      </w:tr>
      <w:tr w:rsidR="00133CD9" w:rsidRPr="00DF3A4F" w14:paraId="727C5638" w14:textId="77777777" w:rsidTr="00CD61E4">
        <w:trPr>
          <w:tblCellSpacing w:w="15" w:type="dxa"/>
        </w:trPr>
        <w:tc>
          <w:tcPr>
            <w:tcW w:w="0" w:type="auto"/>
            <w:vAlign w:val="center"/>
            <w:hideMark/>
          </w:tcPr>
          <w:p w14:paraId="3CF0FCC1"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b/>
                <w:bCs/>
                <w:sz w:val="24"/>
                <w:szCs w:val="24"/>
              </w:rPr>
              <w:t>Total Investment</w:t>
            </w:r>
          </w:p>
        </w:tc>
        <w:tc>
          <w:tcPr>
            <w:tcW w:w="0" w:type="auto"/>
            <w:vAlign w:val="center"/>
            <w:hideMark/>
          </w:tcPr>
          <w:p w14:paraId="041D48BE"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b/>
                <w:bCs/>
                <w:sz w:val="24"/>
                <w:szCs w:val="24"/>
              </w:rPr>
              <w:t>2,200,000</w:t>
            </w:r>
          </w:p>
        </w:tc>
      </w:tr>
    </w:tbl>
    <w:p w14:paraId="2704A133"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biggest budget item is technology integration, where Paytm will have to ensure all its technology is interoperable with Singapore's digital payment system and the linkage to UPI-</w:t>
      </w:r>
      <w:proofErr w:type="spellStart"/>
      <w:r w:rsidRPr="00DF3A4F">
        <w:rPr>
          <w:rFonts w:ascii="Arial" w:hAnsi="Arial" w:cs="Arial"/>
          <w:sz w:val="24"/>
          <w:szCs w:val="24"/>
        </w:rPr>
        <w:t>PayNow</w:t>
      </w:r>
      <w:proofErr w:type="spellEnd"/>
      <w:r w:rsidRPr="00DF3A4F">
        <w:rPr>
          <w:rFonts w:ascii="Arial" w:hAnsi="Arial" w:cs="Arial"/>
          <w:sz w:val="24"/>
          <w:szCs w:val="24"/>
        </w:rPr>
        <w:t>. As well, there are significant compliance costs because of licensing requirements and regulatory reporting requirements set by the Monetary Authority of Singapore (MAS).</w:t>
      </w:r>
    </w:p>
    <w:p w14:paraId="77A8E8EE"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In a crowded digital payment landscape, it is essential to invest in marketing and customer acquisition to build brand awareness and get initial customers. Investment in cybersecurity is also crucial because customer trust is vital in financial services. The contingency reserve enhances financial planning by giving flexibility in the event of unforeseen operational difficulties while implementing.</w:t>
      </w:r>
    </w:p>
    <w:p w14:paraId="25FCF6A3" w14:textId="5956140A"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 xml:space="preserve">The total investment estimate of SGD 2.2 million is moderate against the strategic benefits of international expansion and </w:t>
      </w:r>
      <w:r w:rsidR="00690344" w:rsidRPr="00DF3A4F">
        <w:rPr>
          <w:rFonts w:ascii="Arial" w:hAnsi="Arial" w:cs="Arial"/>
          <w:sz w:val="24"/>
          <w:szCs w:val="24"/>
        </w:rPr>
        <w:t>long-term</w:t>
      </w:r>
      <w:r w:rsidRPr="00DF3A4F">
        <w:rPr>
          <w:rFonts w:ascii="Arial" w:hAnsi="Arial" w:cs="Arial"/>
          <w:sz w:val="24"/>
          <w:szCs w:val="24"/>
        </w:rPr>
        <w:t xml:space="preserve"> market development opportunities.</w:t>
      </w:r>
    </w:p>
    <w:p w14:paraId="748E8E93"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7.3 Revenue Forecast</w:t>
      </w:r>
    </w:p>
    <w:p w14:paraId="1C00828F"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revenue estimates have been based on the anticipated customer acquisition, merchant onboarding, transaction volume growth and cross-border payment services between India and Singapore. The weather forecast is initially targeted at Indian tourists, students, expatriates and businesses that frequently transfer money across the border. Revenue will come from transaction fees, financial service charges from merchants, value-added financial services, and partnership commissions. With growth in customers, transactions are projected to grow significantly over 5 years, supporting strong growth.</w:t>
      </w:r>
    </w:p>
    <w:p w14:paraId="5A9D63D1"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Table 7.2 Revenue Forecast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03"/>
        <w:gridCol w:w="1843"/>
      </w:tblGrid>
      <w:tr w:rsidR="00133CD9" w:rsidRPr="00DF3A4F" w14:paraId="72E74370" w14:textId="77777777" w:rsidTr="00CD61E4">
        <w:trPr>
          <w:tblHeader/>
          <w:tblCellSpacing w:w="15" w:type="dxa"/>
        </w:trPr>
        <w:tc>
          <w:tcPr>
            <w:tcW w:w="0" w:type="auto"/>
            <w:vAlign w:val="center"/>
            <w:hideMark/>
          </w:tcPr>
          <w:p w14:paraId="630B27C8" w14:textId="77777777" w:rsidR="00133CD9" w:rsidRPr="00DF3A4F" w:rsidRDefault="00133CD9" w:rsidP="00CD61E4">
            <w:pPr>
              <w:spacing w:line="360" w:lineRule="auto"/>
              <w:jc w:val="both"/>
              <w:rPr>
                <w:rFonts w:ascii="Arial" w:hAnsi="Arial" w:cs="Arial"/>
                <w:b/>
                <w:bCs/>
                <w:sz w:val="24"/>
                <w:szCs w:val="24"/>
              </w:rPr>
            </w:pPr>
            <w:r w:rsidRPr="00DF3A4F">
              <w:rPr>
                <w:rFonts w:ascii="Arial" w:hAnsi="Arial" w:cs="Arial"/>
                <w:b/>
                <w:bCs/>
                <w:sz w:val="24"/>
                <w:szCs w:val="24"/>
              </w:rPr>
              <w:t>Year</w:t>
            </w:r>
          </w:p>
        </w:tc>
        <w:tc>
          <w:tcPr>
            <w:tcW w:w="0" w:type="auto"/>
            <w:vAlign w:val="center"/>
            <w:hideMark/>
          </w:tcPr>
          <w:p w14:paraId="3E022236" w14:textId="77777777" w:rsidR="00133CD9" w:rsidRPr="00DF3A4F" w:rsidRDefault="00133CD9" w:rsidP="00CD61E4">
            <w:pPr>
              <w:spacing w:line="360" w:lineRule="auto"/>
              <w:jc w:val="both"/>
              <w:rPr>
                <w:rFonts w:ascii="Arial" w:hAnsi="Arial" w:cs="Arial"/>
                <w:b/>
                <w:bCs/>
                <w:sz w:val="24"/>
                <w:szCs w:val="24"/>
              </w:rPr>
            </w:pPr>
            <w:r w:rsidRPr="00DF3A4F">
              <w:rPr>
                <w:rFonts w:ascii="Arial" w:hAnsi="Arial" w:cs="Arial"/>
                <w:b/>
                <w:bCs/>
                <w:sz w:val="24"/>
                <w:szCs w:val="24"/>
              </w:rPr>
              <w:t>Revenue (SGD)</w:t>
            </w:r>
          </w:p>
        </w:tc>
      </w:tr>
      <w:tr w:rsidR="00133CD9" w:rsidRPr="00DF3A4F" w14:paraId="14317710" w14:textId="77777777" w:rsidTr="00CD61E4">
        <w:trPr>
          <w:tblCellSpacing w:w="15" w:type="dxa"/>
        </w:trPr>
        <w:tc>
          <w:tcPr>
            <w:tcW w:w="0" w:type="auto"/>
            <w:vAlign w:val="center"/>
            <w:hideMark/>
          </w:tcPr>
          <w:p w14:paraId="2D130704"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Year 1</w:t>
            </w:r>
          </w:p>
        </w:tc>
        <w:tc>
          <w:tcPr>
            <w:tcW w:w="0" w:type="auto"/>
            <w:vAlign w:val="center"/>
            <w:hideMark/>
          </w:tcPr>
          <w:p w14:paraId="4E00EA83"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1,500,000</w:t>
            </w:r>
          </w:p>
        </w:tc>
      </w:tr>
      <w:tr w:rsidR="00133CD9" w:rsidRPr="00DF3A4F" w14:paraId="5675FD83" w14:textId="77777777" w:rsidTr="00CD61E4">
        <w:trPr>
          <w:tblCellSpacing w:w="15" w:type="dxa"/>
        </w:trPr>
        <w:tc>
          <w:tcPr>
            <w:tcW w:w="0" w:type="auto"/>
            <w:vAlign w:val="center"/>
            <w:hideMark/>
          </w:tcPr>
          <w:p w14:paraId="48B161A0"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Year 2</w:t>
            </w:r>
          </w:p>
        </w:tc>
        <w:tc>
          <w:tcPr>
            <w:tcW w:w="0" w:type="auto"/>
            <w:vAlign w:val="center"/>
            <w:hideMark/>
          </w:tcPr>
          <w:p w14:paraId="57FB1589"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2,500,000</w:t>
            </w:r>
          </w:p>
        </w:tc>
      </w:tr>
      <w:tr w:rsidR="00133CD9" w:rsidRPr="00DF3A4F" w14:paraId="4ED3DADC" w14:textId="77777777" w:rsidTr="00CD61E4">
        <w:trPr>
          <w:tblCellSpacing w:w="15" w:type="dxa"/>
        </w:trPr>
        <w:tc>
          <w:tcPr>
            <w:tcW w:w="0" w:type="auto"/>
            <w:vAlign w:val="center"/>
            <w:hideMark/>
          </w:tcPr>
          <w:p w14:paraId="078B7524"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Year 3</w:t>
            </w:r>
          </w:p>
        </w:tc>
        <w:tc>
          <w:tcPr>
            <w:tcW w:w="0" w:type="auto"/>
            <w:vAlign w:val="center"/>
            <w:hideMark/>
          </w:tcPr>
          <w:p w14:paraId="0C19A4CC"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4,000,000</w:t>
            </w:r>
          </w:p>
        </w:tc>
      </w:tr>
      <w:tr w:rsidR="00133CD9" w:rsidRPr="00DF3A4F" w14:paraId="7900FEF9" w14:textId="77777777" w:rsidTr="00CD61E4">
        <w:trPr>
          <w:tblCellSpacing w:w="15" w:type="dxa"/>
        </w:trPr>
        <w:tc>
          <w:tcPr>
            <w:tcW w:w="0" w:type="auto"/>
            <w:vAlign w:val="center"/>
            <w:hideMark/>
          </w:tcPr>
          <w:p w14:paraId="307FFEF7"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Year 4</w:t>
            </w:r>
          </w:p>
        </w:tc>
        <w:tc>
          <w:tcPr>
            <w:tcW w:w="0" w:type="auto"/>
            <w:vAlign w:val="center"/>
            <w:hideMark/>
          </w:tcPr>
          <w:p w14:paraId="396529CA"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5,500,000</w:t>
            </w:r>
          </w:p>
        </w:tc>
      </w:tr>
      <w:tr w:rsidR="00133CD9" w:rsidRPr="00DF3A4F" w14:paraId="3E9BEA85" w14:textId="77777777" w:rsidTr="00CD61E4">
        <w:trPr>
          <w:tblCellSpacing w:w="15" w:type="dxa"/>
        </w:trPr>
        <w:tc>
          <w:tcPr>
            <w:tcW w:w="0" w:type="auto"/>
            <w:vAlign w:val="center"/>
            <w:hideMark/>
          </w:tcPr>
          <w:p w14:paraId="3642996F"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Year 5</w:t>
            </w:r>
          </w:p>
        </w:tc>
        <w:tc>
          <w:tcPr>
            <w:tcW w:w="0" w:type="auto"/>
            <w:vAlign w:val="center"/>
            <w:hideMark/>
          </w:tcPr>
          <w:p w14:paraId="3404FE48"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7,000,000</w:t>
            </w:r>
          </w:p>
        </w:tc>
      </w:tr>
    </w:tbl>
    <w:p w14:paraId="7E80CC66"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Revenue Forecast Assumptions</w:t>
      </w:r>
    </w:p>
    <w:p w14:paraId="2E2E6E53"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Several assumptions were used to develop the revenue forecasts. The first one is that as the awareness of the services of Paytm grows in the Singapore market, its customer base will increase gradually. Second, the current UPI-</w:t>
      </w:r>
      <w:proofErr w:type="spellStart"/>
      <w:r w:rsidRPr="00DF3A4F">
        <w:rPr>
          <w:rFonts w:ascii="Arial" w:hAnsi="Arial" w:cs="Arial"/>
          <w:sz w:val="24"/>
          <w:szCs w:val="24"/>
        </w:rPr>
        <w:t>PayNow</w:t>
      </w:r>
      <w:proofErr w:type="spellEnd"/>
      <w:r w:rsidRPr="00DF3A4F">
        <w:rPr>
          <w:rFonts w:ascii="Arial" w:hAnsi="Arial" w:cs="Arial"/>
          <w:sz w:val="24"/>
          <w:szCs w:val="24"/>
        </w:rPr>
        <w:t xml:space="preserve"> tie-up is likely to make it easier for users to adopt it as they have a familiar and convenient payment option. Third is the expectation that merchant onboarding will ramp up after successful pilots and thereby lead to network effects which will drive further customer adoption. Lastly, a rise in business activity, tourism and migration connections between India and Singapore is likely to drive growth in transaction volumes across the two countries. The revenue growth is deliberately projected on a conservative basis for the first two years, since market entry programs often take time to gain a large number of customers. But after a certain tipping point, growth should ramp up dramatically as a critical mass of users and merchants grows.</w:t>
      </w:r>
    </w:p>
    <w:p w14:paraId="464B3700"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7.4 Operating Cost Forecast</w:t>
      </w:r>
    </w:p>
    <w:p w14:paraId="4E89D477"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Paytm will also have ongoing operating costs in Singapore in connection with its operation and expansion. These costs include technology maintenance, employee salaries, customer support services, regulatory compliance activities, cybersecurity management and ongoing marketing initiatives.</w:t>
      </w:r>
    </w:p>
    <w:p w14:paraId="18A8AE6D"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Table 7.3 Operating Cost Forecast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03"/>
        <w:gridCol w:w="2576"/>
      </w:tblGrid>
      <w:tr w:rsidR="00133CD9" w:rsidRPr="00DF3A4F" w14:paraId="40B95E61" w14:textId="77777777" w:rsidTr="00CD61E4">
        <w:trPr>
          <w:tblHeader/>
          <w:tblCellSpacing w:w="15" w:type="dxa"/>
        </w:trPr>
        <w:tc>
          <w:tcPr>
            <w:tcW w:w="0" w:type="auto"/>
            <w:vAlign w:val="center"/>
            <w:hideMark/>
          </w:tcPr>
          <w:p w14:paraId="1A38533B" w14:textId="77777777" w:rsidR="00133CD9" w:rsidRPr="00DF3A4F" w:rsidRDefault="00133CD9" w:rsidP="00CD61E4">
            <w:pPr>
              <w:spacing w:line="360" w:lineRule="auto"/>
              <w:jc w:val="both"/>
              <w:rPr>
                <w:rFonts w:ascii="Arial" w:hAnsi="Arial" w:cs="Arial"/>
                <w:b/>
                <w:bCs/>
                <w:sz w:val="24"/>
                <w:szCs w:val="24"/>
              </w:rPr>
            </w:pPr>
            <w:r w:rsidRPr="00DF3A4F">
              <w:rPr>
                <w:rFonts w:ascii="Arial" w:hAnsi="Arial" w:cs="Arial"/>
                <w:b/>
                <w:bCs/>
                <w:sz w:val="24"/>
                <w:szCs w:val="24"/>
              </w:rPr>
              <w:t>Year</w:t>
            </w:r>
          </w:p>
        </w:tc>
        <w:tc>
          <w:tcPr>
            <w:tcW w:w="0" w:type="auto"/>
            <w:vAlign w:val="center"/>
            <w:hideMark/>
          </w:tcPr>
          <w:p w14:paraId="7DDDCAC8" w14:textId="77777777" w:rsidR="00133CD9" w:rsidRPr="00DF3A4F" w:rsidRDefault="00133CD9" w:rsidP="00CD61E4">
            <w:pPr>
              <w:spacing w:line="360" w:lineRule="auto"/>
              <w:jc w:val="both"/>
              <w:rPr>
                <w:rFonts w:ascii="Arial" w:hAnsi="Arial" w:cs="Arial"/>
                <w:b/>
                <w:bCs/>
                <w:sz w:val="24"/>
                <w:szCs w:val="24"/>
              </w:rPr>
            </w:pPr>
            <w:r w:rsidRPr="00DF3A4F">
              <w:rPr>
                <w:rFonts w:ascii="Arial" w:hAnsi="Arial" w:cs="Arial"/>
                <w:b/>
                <w:bCs/>
                <w:sz w:val="24"/>
                <w:szCs w:val="24"/>
              </w:rPr>
              <w:t>Operating Cost (SGD)</w:t>
            </w:r>
          </w:p>
        </w:tc>
      </w:tr>
      <w:tr w:rsidR="00133CD9" w:rsidRPr="00DF3A4F" w14:paraId="13AB6F36" w14:textId="77777777" w:rsidTr="00CD61E4">
        <w:trPr>
          <w:tblCellSpacing w:w="15" w:type="dxa"/>
        </w:trPr>
        <w:tc>
          <w:tcPr>
            <w:tcW w:w="0" w:type="auto"/>
            <w:vAlign w:val="center"/>
            <w:hideMark/>
          </w:tcPr>
          <w:p w14:paraId="226695AB"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Year 1</w:t>
            </w:r>
          </w:p>
        </w:tc>
        <w:tc>
          <w:tcPr>
            <w:tcW w:w="0" w:type="auto"/>
            <w:vAlign w:val="center"/>
            <w:hideMark/>
          </w:tcPr>
          <w:p w14:paraId="54888036"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1,000,000</w:t>
            </w:r>
          </w:p>
        </w:tc>
      </w:tr>
      <w:tr w:rsidR="00133CD9" w:rsidRPr="00DF3A4F" w14:paraId="45A774CD" w14:textId="77777777" w:rsidTr="00CD61E4">
        <w:trPr>
          <w:tblCellSpacing w:w="15" w:type="dxa"/>
        </w:trPr>
        <w:tc>
          <w:tcPr>
            <w:tcW w:w="0" w:type="auto"/>
            <w:vAlign w:val="center"/>
            <w:hideMark/>
          </w:tcPr>
          <w:p w14:paraId="32D62B0F"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Year 2</w:t>
            </w:r>
          </w:p>
        </w:tc>
        <w:tc>
          <w:tcPr>
            <w:tcW w:w="0" w:type="auto"/>
            <w:vAlign w:val="center"/>
            <w:hideMark/>
          </w:tcPr>
          <w:p w14:paraId="5D3E9A04"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1,250,000</w:t>
            </w:r>
          </w:p>
        </w:tc>
      </w:tr>
      <w:tr w:rsidR="00133CD9" w:rsidRPr="00DF3A4F" w14:paraId="251AA80A" w14:textId="77777777" w:rsidTr="00CD61E4">
        <w:trPr>
          <w:tblCellSpacing w:w="15" w:type="dxa"/>
        </w:trPr>
        <w:tc>
          <w:tcPr>
            <w:tcW w:w="0" w:type="auto"/>
            <w:vAlign w:val="center"/>
            <w:hideMark/>
          </w:tcPr>
          <w:p w14:paraId="4438C526"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Year 3</w:t>
            </w:r>
          </w:p>
        </w:tc>
        <w:tc>
          <w:tcPr>
            <w:tcW w:w="0" w:type="auto"/>
            <w:vAlign w:val="center"/>
            <w:hideMark/>
          </w:tcPr>
          <w:p w14:paraId="50F01321"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1,500,000</w:t>
            </w:r>
          </w:p>
        </w:tc>
      </w:tr>
      <w:tr w:rsidR="00133CD9" w:rsidRPr="00DF3A4F" w14:paraId="65373C8A" w14:textId="77777777" w:rsidTr="00CD61E4">
        <w:trPr>
          <w:tblCellSpacing w:w="15" w:type="dxa"/>
        </w:trPr>
        <w:tc>
          <w:tcPr>
            <w:tcW w:w="0" w:type="auto"/>
            <w:vAlign w:val="center"/>
            <w:hideMark/>
          </w:tcPr>
          <w:p w14:paraId="0AAD5350"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Year 4</w:t>
            </w:r>
          </w:p>
        </w:tc>
        <w:tc>
          <w:tcPr>
            <w:tcW w:w="0" w:type="auto"/>
            <w:vAlign w:val="center"/>
            <w:hideMark/>
          </w:tcPr>
          <w:p w14:paraId="3661E913"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1,800,000</w:t>
            </w:r>
          </w:p>
        </w:tc>
      </w:tr>
      <w:tr w:rsidR="00133CD9" w:rsidRPr="00DF3A4F" w14:paraId="1932A8B6" w14:textId="77777777" w:rsidTr="00CD61E4">
        <w:trPr>
          <w:tblCellSpacing w:w="15" w:type="dxa"/>
        </w:trPr>
        <w:tc>
          <w:tcPr>
            <w:tcW w:w="0" w:type="auto"/>
            <w:vAlign w:val="center"/>
            <w:hideMark/>
          </w:tcPr>
          <w:p w14:paraId="131A74A5"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Year 5</w:t>
            </w:r>
          </w:p>
        </w:tc>
        <w:tc>
          <w:tcPr>
            <w:tcW w:w="0" w:type="auto"/>
            <w:vAlign w:val="center"/>
            <w:hideMark/>
          </w:tcPr>
          <w:p w14:paraId="78F990BD"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2,100,000</w:t>
            </w:r>
          </w:p>
        </w:tc>
      </w:tr>
    </w:tbl>
    <w:p w14:paraId="477EFFF2"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Operating Cost Assumptions</w:t>
      </w:r>
    </w:p>
    <w:p w14:paraId="6E2DB8BC"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costs of running the business will rise steadily as the business continues to grow. The forecast assumes moderate inflation and growth in the workforce and increased compliance requirements with an increasing number of transactions. Further spending is likely to be seen in cybersecurity infrastructure to meet new digital risks and build customer trust. While operating expenses rise with time, revenue growth is expected to be greater than operating expense growth. This is because digital payment systems are scalable, meaning that every transaction brings in a lot of income with little or no corresponding increase in operating costs. As a result, profitability will be expected to steadily increase over the forecast period.</w:t>
      </w:r>
    </w:p>
    <w:p w14:paraId="6B14EB9F"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7.5 Break-Even Analysis</w:t>
      </w:r>
    </w:p>
    <w:p w14:paraId="1CA01F2F"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break-even analysis is used to determine when the total revenue is equal to the total cost. This analysis is significant because it depicts when the business starts making profits.</w:t>
      </w:r>
    </w:p>
    <w:p w14:paraId="45D9219F"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Fixed costs are estimated at SGD 1.2 million per year and the contribution margin is assumed to be 40%.</w:t>
      </w:r>
    </w:p>
    <w:p w14:paraId="35EB988B"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Break-Even Calculation</w:t>
      </w:r>
    </w:p>
    <w:p w14:paraId="2A47E6C9"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Break-Even Revenue = Fixed Costs ÷ Contribution Margin</w:t>
      </w:r>
    </w:p>
    <w:p w14:paraId="236D8224"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Break-Even Revenue = 1,200,000 ÷ 0.40</w:t>
      </w:r>
    </w:p>
    <w:p w14:paraId="3B265FBE"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b/>
          <w:bCs/>
          <w:sz w:val="24"/>
          <w:szCs w:val="24"/>
        </w:rPr>
        <w:t>Break-Even Revenue = SGD 3,000,000</w:t>
      </w:r>
    </w:p>
    <w:p w14:paraId="4A33CC7F"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revenue projection shows that the annual revenue is more than SGD 3 million in Year 3 onwards. Thus, in the third year of business operation, the business is expected to break even.</w:t>
      </w:r>
    </w:p>
    <w:p w14:paraId="4039011F"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Within three years is considered a favourable time for a technology-based international expansion project to be break-even. A relatively short payback period minimizes investment risk and boosts confidence in the commercial viability of the proposed strategy.</w:t>
      </w:r>
    </w:p>
    <w:p w14:paraId="65ECEC0F"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7.6 Return on Investment Analysis</w:t>
      </w:r>
    </w:p>
    <w:p w14:paraId="4D28E792"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Return on Investment (ROI) is the measure of profitability of a financial investment based on the amount invested. It provides a simple measure of the financial attractiveness of a project. The cash flows that are expected to come in over the next five years of the project total to SGD 12.85 million in total.</w:t>
      </w:r>
    </w:p>
    <w:p w14:paraId="3548AA00"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Table 7.4 Projected Net Cash Flows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03"/>
        <w:gridCol w:w="2496"/>
      </w:tblGrid>
      <w:tr w:rsidR="00133CD9" w:rsidRPr="00DF3A4F" w14:paraId="1C087C26" w14:textId="77777777" w:rsidTr="00CD61E4">
        <w:trPr>
          <w:tblHeader/>
          <w:tblCellSpacing w:w="15" w:type="dxa"/>
        </w:trPr>
        <w:tc>
          <w:tcPr>
            <w:tcW w:w="0" w:type="auto"/>
            <w:vAlign w:val="center"/>
            <w:hideMark/>
          </w:tcPr>
          <w:p w14:paraId="3FAE934C" w14:textId="77777777" w:rsidR="00133CD9" w:rsidRPr="00DF3A4F" w:rsidRDefault="00133CD9" w:rsidP="00CD61E4">
            <w:pPr>
              <w:spacing w:line="360" w:lineRule="auto"/>
              <w:jc w:val="both"/>
              <w:rPr>
                <w:rFonts w:ascii="Arial" w:hAnsi="Arial" w:cs="Arial"/>
                <w:b/>
                <w:bCs/>
                <w:sz w:val="24"/>
                <w:szCs w:val="24"/>
              </w:rPr>
            </w:pPr>
            <w:r w:rsidRPr="00DF3A4F">
              <w:rPr>
                <w:rFonts w:ascii="Arial" w:hAnsi="Arial" w:cs="Arial"/>
                <w:b/>
                <w:bCs/>
                <w:sz w:val="24"/>
                <w:szCs w:val="24"/>
              </w:rPr>
              <w:t>Year</w:t>
            </w:r>
          </w:p>
        </w:tc>
        <w:tc>
          <w:tcPr>
            <w:tcW w:w="0" w:type="auto"/>
            <w:vAlign w:val="center"/>
            <w:hideMark/>
          </w:tcPr>
          <w:p w14:paraId="2755A786" w14:textId="77777777" w:rsidR="00133CD9" w:rsidRPr="00DF3A4F" w:rsidRDefault="00133CD9" w:rsidP="00CD61E4">
            <w:pPr>
              <w:spacing w:line="360" w:lineRule="auto"/>
              <w:jc w:val="both"/>
              <w:rPr>
                <w:rFonts w:ascii="Arial" w:hAnsi="Arial" w:cs="Arial"/>
                <w:b/>
                <w:bCs/>
                <w:sz w:val="24"/>
                <w:szCs w:val="24"/>
              </w:rPr>
            </w:pPr>
            <w:r w:rsidRPr="00DF3A4F">
              <w:rPr>
                <w:rFonts w:ascii="Arial" w:hAnsi="Arial" w:cs="Arial"/>
                <w:b/>
                <w:bCs/>
                <w:sz w:val="24"/>
                <w:szCs w:val="24"/>
              </w:rPr>
              <w:t>Net Cash Flow (SGD)</w:t>
            </w:r>
          </w:p>
        </w:tc>
      </w:tr>
      <w:tr w:rsidR="00133CD9" w:rsidRPr="00DF3A4F" w14:paraId="520C53B6" w14:textId="77777777" w:rsidTr="00CD61E4">
        <w:trPr>
          <w:tblCellSpacing w:w="15" w:type="dxa"/>
        </w:trPr>
        <w:tc>
          <w:tcPr>
            <w:tcW w:w="0" w:type="auto"/>
            <w:vAlign w:val="center"/>
            <w:hideMark/>
          </w:tcPr>
          <w:p w14:paraId="0C8F87B0"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Year 1</w:t>
            </w:r>
          </w:p>
        </w:tc>
        <w:tc>
          <w:tcPr>
            <w:tcW w:w="0" w:type="auto"/>
            <w:vAlign w:val="center"/>
            <w:hideMark/>
          </w:tcPr>
          <w:p w14:paraId="79552228"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500,000</w:t>
            </w:r>
          </w:p>
        </w:tc>
      </w:tr>
      <w:tr w:rsidR="00133CD9" w:rsidRPr="00DF3A4F" w14:paraId="2BB8D9B0" w14:textId="77777777" w:rsidTr="00CD61E4">
        <w:trPr>
          <w:tblCellSpacing w:w="15" w:type="dxa"/>
        </w:trPr>
        <w:tc>
          <w:tcPr>
            <w:tcW w:w="0" w:type="auto"/>
            <w:vAlign w:val="center"/>
            <w:hideMark/>
          </w:tcPr>
          <w:p w14:paraId="3DF45EA2"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Year 2</w:t>
            </w:r>
          </w:p>
        </w:tc>
        <w:tc>
          <w:tcPr>
            <w:tcW w:w="0" w:type="auto"/>
            <w:vAlign w:val="center"/>
            <w:hideMark/>
          </w:tcPr>
          <w:p w14:paraId="62DF4DCF"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1,250,000</w:t>
            </w:r>
          </w:p>
        </w:tc>
      </w:tr>
      <w:tr w:rsidR="00133CD9" w:rsidRPr="00DF3A4F" w14:paraId="6A5E2854" w14:textId="77777777" w:rsidTr="00CD61E4">
        <w:trPr>
          <w:tblCellSpacing w:w="15" w:type="dxa"/>
        </w:trPr>
        <w:tc>
          <w:tcPr>
            <w:tcW w:w="0" w:type="auto"/>
            <w:vAlign w:val="center"/>
            <w:hideMark/>
          </w:tcPr>
          <w:p w14:paraId="6D840675"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Year 3</w:t>
            </w:r>
          </w:p>
        </w:tc>
        <w:tc>
          <w:tcPr>
            <w:tcW w:w="0" w:type="auto"/>
            <w:vAlign w:val="center"/>
            <w:hideMark/>
          </w:tcPr>
          <w:p w14:paraId="7CF8A851"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2,500,000</w:t>
            </w:r>
          </w:p>
        </w:tc>
      </w:tr>
      <w:tr w:rsidR="00133CD9" w:rsidRPr="00DF3A4F" w14:paraId="5AF57EB6" w14:textId="77777777" w:rsidTr="00CD61E4">
        <w:trPr>
          <w:tblCellSpacing w:w="15" w:type="dxa"/>
        </w:trPr>
        <w:tc>
          <w:tcPr>
            <w:tcW w:w="0" w:type="auto"/>
            <w:vAlign w:val="center"/>
            <w:hideMark/>
          </w:tcPr>
          <w:p w14:paraId="393E16ED"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Year 4</w:t>
            </w:r>
          </w:p>
        </w:tc>
        <w:tc>
          <w:tcPr>
            <w:tcW w:w="0" w:type="auto"/>
            <w:vAlign w:val="center"/>
            <w:hideMark/>
          </w:tcPr>
          <w:p w14:paraId="1E0257F8"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3,700,000</w:t>
            </w:r>
          </w:p>
        </w:tc>
      </w:tr>
      <w:tr w:rsidR="00133CD9" w:rsidRPr="00DF3A4F" w14:paraId="29F25715" w14:textId="77777777" w:rsidTr="00CD61E4">
        <w:trPr>
          <w:tblCellSpacing w:w="15" w:type="dxa"/>
        </w:trPr>
        <w:tc>
          <w:tcPr>
            <w:tcW w:w="0" w:type="auto"/>
            <w:vAlign w:val="center"/>
            <w:hideMark/>
          </w:tcPr>
          <w:p w14:paraId="170B001C"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Year 5</w:t>
            </w:r>
          </w:p>
        </w:tc>
        <w:tc>
          <w:tcPr>
            <w:tcW w:w="0" w:type="auto"/>
            <w:vAlign w:val="center"/>
            <w:hideMark/>
          </w:tcPr>
          <w:p w14:paraId="1C0FEC8B"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4,900,000</w:t>
            </w:r>
          </w:p>
        </w:tc>
      </w:tr>
      <w:tr w:rsidR="00133CD9" w:rsidRPr="00DF3A4F" w14:paraId="6841FB2B" w14:textId="77777777" w:rsidTr="00CD61E4">
        <w:trPr>
          <w:tblCellSpacing w:w="15" w:type="dxa"/>
        </w:trPr>
        <w:tc>
          <w:tcPr>
            <w:tcW w:w="0" w:type="auto"/>
            <w:vAlign w:val="center"/>
            <w:hideMark/>
          </w:tcPr>
          <w:p w14:paraId="51037826"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b/>
                <w:bCs/>
                <w:sz w:val="24"/>
                <w:szCs w:val="24"/>
              </w:rPr>
              <w:t>Total</w:t>
            </w:r>
          </w:p>
        </w:tc>
        <w:tc>
          <w:tcPr>
            <w:tcW w:w="0" w:type="auto"/>
            <w:vAlign w:val="center"/>
            <w:hideMark/>
          </w:tcPr>
          <w:p w14:paraId="0D253A80"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b/>
                <w:bCs/>
                <w:sz w:val="24"/>
                <w:szCs w:val="24"/>
              </w:rPr>
              <w:t>12,850,000</w:t>
            </w:r>
          </w:p>
        </w:tc>
      </w:tr>
    </w:tbl>
    <w:p w14:paraId="464D8314"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Using the estimated initial investment of SGD 2.2 million:</w:t>
      </w:r>
    </w:p>
    <w:p w14:paraId="26AA63AB" w14:textId="77777777" w:rsidR="00133CD9" w:rsidRPr="00DF3A4F" w:rsidRDefault="00133CD9" w:rsidP="00133CD9">
      <w:pPr>
        <w:spacing w:line="360" w:lineRule="auto"/>
        <w:jc w:val="both"/>
        <w:rPr>
          <w:rFonts w:ascii="Arial" w:hAnsi="Arial" w:cs="Arial"/>
          <w:sz w:val="24"/>
          <w:szCs w:val="24"/>
        </w:rPr>
      </w:pPr>
    </w:p>
    <w:p w14:paraId="71BE62F2" w14:textId="77777777" w:rsidR="00133CD9" w:rsidRPr="00DF3A4F" w:rsidRDefault="00133CD9" w:rsidP="00133CD9">
      <w:pPr>
        <w:spacing w:line="360" w:lineRule="auto"/>
        <w:jc w:val="both"/>
        <w:rPr>
          <w:rFonts w:ascii="Arial" w:hAnsi="Arial" w:cs="Arial"/>
          <w:sz w:val="24"/>
          <w:szCs w:val="24"/>
        </w:rPr>
      </w:pPr>
      <m:oMathPara>
        <m:oMath>
          <m:r>
            <w:rPr>
              <w:rFonts w:ascii="Cambria Math" w:hAnsi="Cambria Math" w:cs="Arial"/>
              <w:sz w:val="24"/>
              <w:szCs w:val="24"/>
            </w:rPr>
            <m:t>ROI=</m:t>
          </m:r>
          <m:f>
            <m:fPr>
              <m:ctrlPr>
                <w:rPr>
                  <w:rFonts w:ascii="Cambria Math" w:hAnsi="Cambria Math" w:cs="Arial"/>
                  <w:sz w:val="24"/>
                  <w:szCs w:val="24"/>
                </w:rPr>
              </m:ctrlPr>
            </m:fPr>
            <m:num>
              <m:r>
                <w:rPr>
                  <w:rFonts w:ascii="Cambria Math" w:hAnsi="Cambria Math" w:cs="Arial"/>
                  <w:sz w:val="24"/>
                  <w:szCs w:val="24"/>
                </w:rPr>
                <m:t>12.85-2.2</m:t>
              </m:r>
            </m:num>
            <m:den>
              <m:r>
                <w:rPr>
                  <w:rFonts w:ascii="Cambria Math" w:hAnsi="Cambria Math" w:cs="Arial"/>
                  <w:sz w:val="24"/>
                  <w:szCs w:val="24"/>
                </w:rPr>
                <m:t>2.2</m:t>
              </m:r>
            </m:den>
          </m:f>
          <m:r>
            <w:rPr>
              <w:rFonts w:ascii="Cambria Math" w:hAnsi="Cambria Math" w:cs="Arial"/>
              <w:sz w:val="24"/>
              <w:szCs w:val="24"/>
            </w:rPr>
            <m:t>×100</m:t>
          </m:r>
          <m:r>
            <m:rPr>
              <m:sty m:val="p"/>
            </m:rPr>
            <w:rPr>
              <w:rFonts w:ascii="Cambria Math" w:hAnsi="Cambria Math" w:cs="Arial"/>
              <w:sz w:val="24"/>
              <w:szCs w:val="24"/>
            </w:rPr>
            <w:br/>
          </m:r>
        </m:oMath>
        <m:oMath>
          <m:r>
            <w:rPr>
              <w:rFonts w:ascii="Cambria Math" w:hAnsi="Cambria Math" w:cs="Arial"/>
              <w:sz w:val="24"/>
              <w:szCs w:val="24"/>
            </w:rPr>
            <m:t>ROI=484%</m:t>
          </m:r>
          <m:r>
            <m:rPr>
              <m:sty m:val="p"/>
            </m:rPr>
            <w:rPr>
              <w:rFonts w:ascii="Cambria Math" w:hAnsi="Cambria Math" w:cs="Arial"/>
              <w:sz w:val="24"/>
              <w:szCs w:val="24"/>
            </w:rPr>
            <w:br/>
          </m:r>
        </m:oMath>
      </m:oMathPara>
    </w:p>
    <w:p w14:paraId="2FE6D739"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ROI of 484% suggests that the project can yield more than a return on the initial investment. This is the effect of “scalability” of a digital payment system and the “low marginal cost” of additional transactions after the infrastructure has been built. Based on the results, the proposed enlargement is indeed financially attractive and has potential to create value for the shareholders during the evaluation horizon.</w:t>
      </w:r>
    </w:p>
    <w:p w14:paraId="45DB828B"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7.7 Net Present Value Analysis</w:t>
      </w:r>
    </w:p>
    <w:p w14:paraId="112BEA5D" w14:textId="4A32F7DB"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 xml:space="preserve">ROI is a good metric of </w:t>
      </w:r>
      <w:r w:rsidR="00690344" w:rsidRPr="00DF3A4F">
        <w:rPr>
          <w:rFonts w:ascii="Arial" w:hAnsi="Arial" w:cs="Arial"/>
          <w:sz w:val="24"/>
          <w:szCs w:val="24"/>
        </w:rPr>
        <w:t>profitability,</w:t>
      </w:r>
      <w:r w:rsidRPr="00DF3A4F">
        <w:rPr>
          <w:rFonts w:ascii="Arial" w:hAnsi="Arial" w:cs="Arial"/>
          <w:sz w:val="24"/>
          <w:szCs w:val="24"/>
        </w:rPr>
        <w:t xml:space="preserve"> but it fails to take into consideration the time value of money. Net Present Value (NPV) overcomes this shortcoming by calculating the value of future cash flows at their present value and a proper discount rate. A 10 percent discount rate for the project, to account for cost of capital and investment risk, has been used.</w:t>
      </w:r>
    </w:p>
    <w:p w14:paraId="5CCA996C"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Table 7.5 Discounted Cash Flow Analysis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6"/>
        <w:gridCol w:w="2027"/>
        <w:gridCol w:w="2614"/>
        <w:gridCol w:w="2430"/>
      </w:tblGrid>
      <w:tr w:rsidR="00133CD9" w:rsidRPr="00DF3A4F" w14:paraId="3DC0DCD1" w14:textId="77777777" w:rsidTr="00CD61E4">
        <w:trPr>
          <w:tblHeader/>
          <w:tblCellSpacing w:w="15" w:type="dxa"/>
        </w:trPr>
        <w:tc>
          <w:tcPr>
            <w:tcW w:w="0" w:type="auto"/>
            <w:vAlign w:val="center"/>
            <w:hideMark/>
          </w:tcPr>
          <w:p w14:paraId="636CA171" w14:textId="77777777" w:rsidR="00133CD9" w:rsidRPr="00DF3A4F" w:rsidRDefault="00133CD9" w:rsidP="00CD61E4">
            <w:pPr>
              <w:spacing w:line="360" w:lineRule="auto"/>
              <w:jc w:val="both"/>
              <w:rPr>
                <w:rFonts w:ascii="Arial" w:hAnsi="Arial" w:cs="Arial"/>
                <w:b/>
                <w:bCs/>
                <w:sz w:val="24"/>
                <w:szCs w:val="24"/>
              </w:rPr>
            </w:pPr>
            <w:r w:rsidRPr="00DF3A4F">
              <w:rPr>
                <w:rFonts w:ascii="Arial" w:hAnsi="Arial" w:cs="Arial"/>
                <w:b/>
                <w:bCs/>
                <w:sz w:val="24"/>
                <w:szCs w:val="24"/>
              </w:rPr>
              <w:t>Year</w:t>
            </w:r>
          </w:p>
        </w:tc>
        <w:tc>
          <w:tcPr>
            <w:tcW w:w="0" w:type="auto"/>
            <w:vAlign w:val="center"/>
            <w:hideMark/>
          </w:tcPr>
          <w:p w14:paraId="597A6AC1" w14:textId="77777777" w:rsidR="00133CD9" w:rsidRPr="00DF3A4F" w:rsidRDefault="00133CD9" w:rsidP="00CD61E4">
            <w:pPr>
              <w:spacing w:line="360" w:lineRule="auto"/>
              <w:jc w:val="both"/>
              <w:rPr>
                <w:rFonts w:ascii="Arial" w:hAnsi="Arial" w:cs="Arial"/>
                <w:b/>
                <w:bCs/>
                <w:sz w:val="24"/>
                <w:szCs w:val="24"/>
              </w:rPr>
            </w:pPr>
            <w:r w:rsidRPr="00DF3A4F">
              <w:rPr>
                <w:rFonts w:ascii="Arial" w:hAnsi="Arial" w:cs="Arial"/>
                <w:b/>
                <w:bCs/>
                <w:sz w:val="24"/>
                <w:szCs w:val="24"/>
              </w:rPr>
              <w:t>Cash Flow (SGD)</w:t>
            </w:r>
          </w:p>
        </w:tc>
        <w:tc>
          <w:tcPr>
            <w:tcW w:w="0" w:type="auto"/>
            <w:vAlign w:val="center"/>
            <w:hideMark/>
          </w:tcPr>
          <w:p w14:paraId="485E4DDF" w14:textId="77777777" w:rsidR="00133CD9" w:rsidRPr="00DF3A4F" w:rsidRDefault="00133CD9" w:rsidP="00CD61E4">
            <w:pPr>
              <w:spacing w:line="360" w:lineRule="auto"/>
              <w:jc w:val="both"/>
              <w:rPr>
                <w:rFonts w:ascii="Arial" w:hAnsi="Arial" w:cs="Arial"/>
                <w:b/>
                <w:bCs/>
                <w:sz w:val="24"/>
                <w:szCs w:val="24"/>
              </w:rPr>
            </w:pPr>
            <w:r w:rsidRPr="00DF3A4F">
              <w:rPr>
                <w:rFonts w:ascii="Arial" w:hAnsi="Arial" w:cs="Arial"/>
                <w:b/>
                <w:bCs/>
                <w:sz w:val="24"/>
                <w:szCs w:val="24"/>
              </w:rPr>
              <w:t>Discount Factor (10%)</w:t>
            </w:r>
          </w:p>
        </w:tc>
        <w:tc>
          <w:tcPr>
            <w:tcW w:w="0" w:type="auto"/>
            <w:vAlign w:val="center"/>
            <w:hideMark/>
          </w:tcPr>
          <w:p w14:paraId="64DE4318" w14:textId="77777777" w:rsidR="00133CD9" w:rsidRPr="00DF3A4F" w:rsidRDefault="00133CD9" w:rsidP="00CD61E4">
            <w:pPr>
              <w:spacing w:line="360" w:lineRule="auto"/>
              <w:jc w:val="both"/>
              <w:rPr>
                <w:rFonts w:ascii="Arial" w:hAnsi="Arial" w:cs="Arial"/>
                <w:b/>
                <w:bCs/>
                <w:sz w:val="24"/>
                <w:szCs w:val="24"/>
              </w:rPr>
            </w:pPr>
            <w:r w:rsidRPr="00DF3A4F">
              <w:rPr>
                <w:rFonts w:ascii="Arial" w:hAnsi="Arial" w:cs="Arial"/>
                <w:b/>
                <w:bCs/>
                <w:sz w:val="24"/>
                <w:szCs w:val="24"/>
              </w:rPr>
              <w:t>Present Value (SGD)</w:t>
            </w:r>
          </w:p>
        </w:tc>
      </w:tr>
      <w:tr w:rsidR="00133CD9" w:rsidRPr="00DF3A4F" w14:paraId="19B6BD59" w14:textId="77777777" w:rsidTr="00CD61E4">
        <w:trPr>
          <w:tblCellSpacing w:w="15" w:type="dxa"/>
        </w:trPr>
        <w:tc>
          <w:tcPr>
            <w:tcW w:w="0" w:type="auto"/>
            <w:vAlign w:val="center"/>
            <w:hideMark/>
          </w:tcPr>
          <w:p w14:paraId="2AE40363"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0</w:t>
            </w:r>
          </w:p>
        </w:tc>
        <w:tc>
          <w:tcPr>
            <w:tcW w:w="0" w:type="auto"/>
            <w:vAlign w:val="center"/>
            <w:hideMark/>
          </w:tcPr>
          <w:p w14:paraId="0862AF0E"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-2,200,000</w:t>
            </w:r>
          </w:p>
        </w:tc>
        <w:tc>
          <w:tcPr>
            <w:tcW w:w="0" w:type="auto"/>
            <w:vAlign w:val="center"/>
            <w:hideMark/>
          </w:tcPr>
          <w:p w14:paraId="4CE26781"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1.000</w:t>
            </w:r>
          </w:p>
        </w:tc>
        <w:tc>
          <w:tcPr>
            <w:tcW w:w="0" w:type="auto"/>
            <w:vAlign w:val="center"/>
            <w:hideMark/>
          </w:tcPr>
          <w:p w14:paraId="24A99B47"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-2,200,000</w:t>
            </w:r>
          </w:p>
        </w:tc>
      </w:tr>
      <w:tr w:rsidR="00133CD9" w:rsidRPr="00DF3A4F" w14:paraId="707D0E11" w14:textId="77777777" w:rsidTr="00CD61E4">
        <w:trPr>
          <w:tblCellSpacing w:w="15" w:type="dxa"/>
        </w:trPr>
        <w:tc>
          <w:tcPr>
            <w:tcW w:w="0" w:type="auto"/>
            <w:vAlign w:val="center"/>
            <w:hideMark/>
          </w:tcPr>
          <w:p w14:paraId="128ACEE9"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1</w:t>
            </w:r>
          </w:p>
        </w:tc>
        <w:tc>
          <w:tcPr>
            <w:tcW w:w="0" w:type="auto"/>
            <w:vAlign w:val="center"/>
            <w:hideMark/>
          </w:tcPr>
          <w:p w14:paraId="7230705F"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500,000</w:t>
            </w:r>
          </w:p>
        </w:tc>
        <w:tc>
          <w:tcPr>
            <w:tcW w:w="0" w:type="auto"/>
            <w:vAlign w:val="center"/>
            <w:hideMark/>
          </w:tcPr>
          <w:p w14:paraId="4753E166"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0.909</w:t>
            </w:r>
          </w:p>
        </w:tc>
        <w:tc>
          <w:tcPr>
            <w:tcW w:w="0" w:type="auto"/>
            <w:vAlign w:val="center"/>
            <w:hideMark/>
          </w:tcPr>
          <w:p w14:paraId="77FAEDAD"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454,545</w:t>
            </w:r>
          </w:p>
        </w:tc>
      </w:tr>
      <w:tr w:rsidR="00133CD9" w:rsidRPr="00DF3A4F" w14:paraId="0EAE10F9" w14:textId="77777777" w:rsidTr="00CD61E4">
        <w:trPr>
          <w:tblCellSpacing w:w="15" w:type="dxa"/>
        </w:trPr>
        <w:tc>
          <w:tcPr>
            <w:tcW w:w="0" w:type="auto"/>
            <w:vAlign w:val="center"/>
            <w:hideMark/>
          </w:tcPr>
          <w:p w14:paraId="089184B6"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2</w:t>
            </w:r>
          </w:p>
        </w:tc>
        <w:tc>
          <w:tcPr>
            <w:tcW w:w="0" w:type="auto"/>
            <w:vAlign w:val="center"/>
            <w:hideMark/>
          </w:tcPr>
          <w:p w14:paraId="519CE833"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1,250,000</w:t>
            </w:r>
          </w:p>
        </w:tc>
        <w:tc>
          <w:tcPr>
            <w:tcW w:w="0" w:type="auto"/>
            <w:vAlign w:val="center"/>
            <w:hideMark/>
          </w:tcPr>
          <w:p w14:paraId="0B84BB35"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0.826</w:t>
            </w:r>
          </w:p>
        </w:tc>
        <w:tc>
          <w:tcPr>
            <w:tcW w:w="0" w:type="auto"/>
            <w:vAlign w:val="center"/>
            <w:hideMark/>
          </w:tcPr>
          <w:p w14:paraId="7E0E8916"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1,033,058</w:t>
            </w:r>
          </w:p>
        </w:tc>
      </w:tr>
      <w:tr w:rsidR="00133CD9" w:rsidRPr="00DF3A4F" w14:paraId="51EBCF93" w14:textId="77777777" w:rsidTr="00CD61E4">
        <w:trPr>
          <w:tblCellSpacing w:w="15" w:type="dxa"/>
        </w:trPr>
        <w:tc>
          <w:tcPr>
            <w:tcW w:w="0" w:type="auto"/>
            <w:vAlign w:val="center"/>
            <w:hideMark/>
          </w:tcPr>
          <w:p w14:paraId="46CDDD39"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3</w:t>
            </w:r>
          </w:p>
        </w:tc>
        <w:tc>
          <w:tcPr>
            <w:tcW w:w="0" w:type="auto"/>
            <w:vAlign w:val="center"/>
            <w:hideMark/>
          </w:tcPr>
          <w:p w14:paraId="62ACB975"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2,500,000</w:t>
            </w:r>
          </w:p>
        </w:tc>
        <w:tc>
          <w:tcPr>
            <w:tcW w:w="0" w:type="auto"/>
            <w:vAlign w:val="center"/>
            <w:hideMark/>
          </w:tcPr>
          <w:p w14:paraId="1753B0F9"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0.751</w:t>
            </w:r>
          </w:p>
        </w:tc>
        <w:tc>
          <w:tcPr>
            <w:tcW w:w="0" w:type="auto"/>
            <w:vAlign w:val="center"/>
            <w:hideMark/>
          </w:tcPr>
          <w:p w14:paraId="00B8F06A"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1,878,287</w:t>
            </w:r>
          </w:p>
        </w:tc>
      </w:tr>
      <w:tr w:rsidR="00133CD9" w:rsidRPr="00DF3A4F" w14:paraId="130F9239" w14:textId="77777777" w:rsidTr="00CD61E4">
        <w:trPr>
          <w:tblCellSpacing w:w="15" w:type="dxa"/>
        </w:trPr>
        <w:tc>
          <w:tcPr>
            <w:tcW w:w="0" w:type="auto"/>
            <w:vAlign w:val="center"/>
            <w:hideMark/>
          </w:tcPr>
          <w:p w14:paraId="5E8715AA"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4</w:t>
            </w:r>
          </w:p>
        </w:tc>
        <w:tc>
          <w:tcPr>
            <w:tcW w:w="0" w:type="auto"/>
            <w:vAlign w:val="center"/>
            <w:hideMark/>
          </w:tcPr>
          <w:p w14:paraId="7F570933"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3,700,000</w:t>
            </w:r>
          </w:p>
        </w:tc>
        <w:tc>
          <w:tcPr>
            <w:tcW w:w="0" w:type="auto"/>
            <w:vAlign w:val="center"/>
            <w:hideMark/>
          </w:tcPr>
          <w:p w14:paraId="4908DFB0"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0.683</w:t>
            </w:r>
          </w:p>
        </w:tc>
        <w:tc>
          <w:tcPr>
            <w:tcW w:w="0" w:type="auto"/>
            <w:vAlign w:val="center"/>
            <w:hideMark/>
          </w:tcPr>
          <w:p w14:paraId="747A4E02"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2,527,414</w:t>
            </w:r>
          </w:p>
        </w:tc>
      </w:tr>
      <w:tr w:rsidR="00133CD9" w:rsidRPr="00DF3A4F" w14:paraId="192F2B27" w14:textId="77777777" w:rsidTr="00CD61E4">
        <w:trPr>
          <w:tblCellSpacing w:w="15" w:type="dxa"/>
        </w:trPr>
        <w:tc>
          <w:tcPr>
            <w:tcW w:w="0" w:type="auto"/>
            <w:vAlign w:val="center"/>
            <w:hideMark/>
          </w:tcPr>
          <w:p w14:paraId="576952F9"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5</w:t>
            </w:r>
          </w:p>
        </w:tc>
        <w:tc>
          <w:tcPr>
            <w:tcW w:w="0" w:type="auto"/>
            <w:vAlign w:val="center"/>
            <w:hideMark/>
          </w:tcPr>
          <w:p w14:paraId="7EA0F21F"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4,900,000</w:t>
            </w:r>
          </w:p>
        </w:tc>
        <w:tc>
          <w:tcPr>
            <w:tcW w:w="0" w:type="auto"/>
            <w:vAlign w:val="center"/>
            <w:hideMark/>
          </w:tcPr>
          <w:p w14:paraId="7F757D07"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0.621</w:t>
            </w:r>
          </w:p>
        </w:tc>
        <w:tc>
          <w:tcPr>
            <w:tcW w:w="0" w:type="auto"/>
            <w:vAlign w:val="center"/>
            <w:hideMark/>
          </w:tcPr>
          <w:p w14:paraId="594A79CA"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3,042,426</w:t>
            </w:r>
          </w:p>
        </w:tc>
      </w:tr>
    </w:tbl>
    <w:p w14:paraId="419738CE"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Total Present Value of Future Cash Flows:</w:t>
      </w:r>
    </w:p>
    <w:p w14:paraId="616B152B"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 SGD 8,935,730</w:t>
      </w:r>
    </w:p>
    <w:p w14:paraId="641806C2"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NPV Calculation:</w:t>
      </w:r>
    </w:p>
    <w:p w14:paraId="08C82F26"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 8,935,730 – 2,200,000</w:t>
      </w:r>
    </w:p>
    <w:p w14:paraId="02C58326"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 xml:space="preserve">= </w:t>
      </w:r>
      <w:r w:rsidRPr="00DF3A4F">
        <w:rPr>
          <w:rFonts w:ascii="Arial" w:hAnsi="Arial" w:cs="Arial"/>
          <w:b/>
          <w:bCs/>
          <w:sz w:val="24"/>
          <w:szCs w:val="24"/>
        </w:rPr>
        <w:t>SGD 6,735,730</w:t>
      </w:r>
    </w:p>
    <w:p w14:paraId="6E450113"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potential economic value of the project goes far beyond the investment as the NPV is positive at about SGD 6.74 million. This outcome is a very good indication of the financial viability of the proposed expansion plan.</w:t>
      </w:r>
    </w:p>
    <w:p w14:paraId="68471F8D"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7.8 Sensitivity Analysis</w:t>
      </w:r>
    </w:p>
    <w:p w14:paraId="0B92597D"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Financial estimates are derived from assumptions which could change with time. Sensitivity analysis assesses how project performance will be affected by changes in the critical assumptions.</w:t>
      </w:r>
    </w:p>
    <w:p w14:paraId="087FCE28"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Table 7.6 Sensitivity Analysis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97"/>
        <w:gridCol w:w="1336"/>
      </w:tblGrid>
      <w:tr w:rsidR="00133CD9" w:rsidRPr="00DF3A4F" w14:paraId="2DA552D0" w14:textId="77777777" w:rsidTr="00CD61E4">
        <w:trPr>
          <w:tblHeader/>
          <w:tblCellSpacing w:w="15" w:type="dxa"/>
        </w:trPr>
        <w:tc>
          <w:tcPr>
            <w:tcW w:w="0" w:type="auto"/>
            <w:vAlign w:val="center"/>
            <w:hideMark/>
          </w:tcPr>
          <w:p w14:paraId="2A147B6C" w14:textId="77777777" w:rsidR="00133CD9" w:rsidRPr="00DF3A4F" w:rsidRDefault="00133CD9" w:rsidP="00CD61E4">
            <w:pPr>
              <w:spacing w:line="360" w:lineRule="auto"/>
              <w:jc w:val="both"/>
              <w:rPr>
                <w:rFonts w:ascii="Arial" w:hAnsi="Arial" w:cs="Arial"/>
                <w:b/>
                <w:bCs/>
                <w:sz w:val="24"/>
                <w:szCs w:val="24"/>
              </w:rPr>
            </w:pPr>
            <w:r w:rsidRPr="00DF3A4F">
              <w:rPr>
                <w:rFonts w:ascii="Arial" w:hAnsi="Arial" w:cs="Arial"/>
                <w:b/>
                <w:bCs/>
                <w:sz w:val="24"/>
                <w:szCs w:val="24"/>
              </w:rPr>
              <w:t>Scenario</w:t>
            </w:r>
          </w:p>
        </w:tc>
        <w:tc>
          <w:tcPr>
            <w:tcW w:w="0" w:type="auto"/>
            <w:vAlign w:val="center"/>
            <w:hideMark/>
          </w:tcPr>
          <w:p w14:paraId="6ECF9C1F" w14:textId="77777777" w:rsidR="00133CD9" w:rsidRPr="00DF3A4F" w:rsidRDefault="00133CD9" w:rsidP="00CD61E4">
            <w:pPr>
              <w:spacing w:line="360" w:lineRule="auto"/>
              <w:jc w:val="both"/>
              <w:rPr>
                <w:rFonts w:ascii="Arial" w:hAnsi="Arial" w:cs="Arial"/>
                <w:b/>
                <w:bCs/>
                <w:sz w:val="24"/>
                <w:szCs w:val="24"/>
              </w:rPr>
            </w:pPr>
            <w:r w:rsidRPr="00DF3A4F">
              <w:rPr>
                <w:rFonts w:ascii="Arial" w:hAnsi="Arial" w:cs="Arial"/>
                <w:b/>
                <w:bCs/>
                <w:sz w:val="24"/>
                <w:szCs w:val="24"/>
              </w:rPr>
              <w:t>NPV (SGD)</w:t>
            </w:r>
          </w:p>
        </w:tc>
      </w:tr>
      <w:tr w:rsidR="00133CD9" w:rsidRPr="00DF3A4F" w14:paraId="44C5D877" w14:textId="77777777" w:rsidTr="00CD61E4">
        <w:trPr>
          <w:tblCellSpacing w:w="15" w:type="dxa"/>
        </w:trPr>
        <w:tc>
          <w:tcPr>
            <w:tcW w:w="0" w:type="auto"/>
            <w:vAlign w:val="center"/>
            <w:hideMark/>
          </w:tcPr>
          <w:p w14:paraId="3A66D1A6"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Base Case</w:t>
            </w:r>
          </w:p>
        </w:tc>
        <w:tc>
          <w:tcPr>
            <w:tcW w:w="0" w:type="auto"/>
            <w:vAlign w:val="center"/>
            <w:hideMark/>
          </w:tcPr>
          <w:p w14:paraId="1585B037" w14:textId="6D93C74D"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 xml:space="preserve">6.74 </w:t>
            </w:r>
            <w:r w:rsidR="00690344" w:rsidRPr="00DF3A4F">
              <w:rPr>
                <w:rFonts w:ascii="Arial" w:hAnsi="Arial" w:cs="Arial"/>
                <w:sz w:val="24"/>
                <w:szCs w:val="24"/>
              </w:rPr>
              <w:t>million</w:t>
            </w:r>
          </w:p>
        </w:tc>
      </w:tr>
      <w:tr w:rsidR="00133CD9" w:rsidRPr="00DF3A4F" w14:paraId="09D772A2" w14:textId="77777777" w:rsidTr="00CD61E4">
        <w:trPr>
          <w:tblCellSpacing w:w="15" w:type="dxa"/>
        </w:trPr>
        <w:tc>
          <w:tcPr>
            <w:tcW w:w="0" w:type="auto"/>
            <w:vAlign w:val="center"/>
            <w:hideMark/>
          </w:tcPr>
          <w:p w14:paraId="750E26B1"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Revenue Decrease 10%</w:t>
            </w:r>
          </w:p>
        </w:tc>
        <w:tc>
          <w:tcPr>
            <w:tcW w:w="0" w:type="auto"/>
            <w:vAlign w:val="center"/>
            <w:hideMark/>
          </w:tcPr>
          <w:p w14:paraId="3AEF4FDC" w14:textId="324F5DD3"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 xml:space="preserve">5.30 </w:t>
            </w:r>
            <w:r w:rsidR="00690344" w:rsidRPr="00DF3A4F">
              <w:rPr>
                <w:rFonts w:ascii="Arial" w:hAnsi="Arial" w:cs="Arial"/>
                <w:sz w:val="24"/>
                <w:szCs w:val="24"/>
              </w:rPr>
              <w:t>million</w:t>
            </w:r>
          </w:p>
        </w:tc>
      </w:tr>
      <w:tr w:rsidR="00133CD9" w:rsidRPr="00DF3A4F" w14:paraId="59B05A57" w14:textId="77777777" w:rsidTr="00CD61E4">
        <w:trPr>
          <w:tblCellSpacing w:w="15" w:type="dxa"/>
        </w:trPr>
        <w:tc>
          <w:tcPr>
            <w:tcW w:w="0" w:type="auto"/>
            <w:vAlign w:val="center"/>
            <w:hideMark/>
          </w:tcPr>
          <w:p w14:paraId="29555DCF"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Revenue Decrease 20%</w:t>
            </w:r>
          </w:p>
        </w:tc>
        <w:tc>
          <w:tcPr>
            <w:tcW w:w="0" w:type="auto"/>
            <w:vAlign w:val="center"/>
            <w:hideMark/>
          </w:tcPr>
          <w:p w14:paraId="4AFCA770" w14:textId="0CE58969"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 xml:space="preserve">3.90 </w:t>
            </w:r>
            <w:r w:rsidR="00690344" w:rsidRPr="00DF3A4F">
              <w:rPr>
                <w:rFonts w:ascii="Arial" w:hAnsi="Arial" w:cs="Arial"/>
                <w:sz w:val="24"/>
                <w:szCs w:val="24"/>
              </w:rPr>
              <w:t>million</w:t>
            </w:r>
          </w:p>
        </w:tc>
      </w:tr>
      <w:tr w:rsidR="00133CD9" w:rsidRPr="00DF3A4F" w14:paraId="416EC9E9" w14:textId="77777777" w:rsidTr="00CD61E4">
        <w:trPr>
          <w:tblCellSpacing w:w="15" w:type="dxa"/>
        </w:trPr>
        <w:tc>
          <w:tcPr>
            <w:tcW w:w="0" w:type="auto"/>
            <w:vAlign w:val="center"/>
            <w:hideMark/>
          </w:tcPr>
          <w:p w14:paraId="5D868F99"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Cost Increase 10%</w:t>
            </w:r>
          </w:p>
        </w:tc>
        <w:tc>
          <w:tcPr>
            <w:tcW w:w="0" w:type="auto"/>
            <w:vAlign w:val="center"/>
            <w:hideMark/>
          </w:tcPr>
          <w:p w14:paraId="0E3FD22D" w14:textId="78B57BED"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 xml:space="preserve">5.80 </w:t>
            </w:r>
            <w:r w:rsidR="00690344" w:rsidRPr="00DF3A4F">
              <w:rPr>
                <w:rFonts w:ascii="Arial" w:hAnsi="Arial" w:cs="Arial"/>
                <w:sz w:val="24"/>
                <w:szCs w:val="24"/>
              </w:rPr>
              <w:t>million</w:t>
            </w:r>
          </w:p>
        </w:tc>
      </w:tr>
      <w:tr w:rsidR="00133CD9" w:rsidRPr="00DF3A4F" w14:paraId="3F07A4D7" w14:textId="77777777" w:rsidTr="00CD61E4">
        <w:trPr>
          <w:tblCellSpacing w:w="15" w:type="dxa"/>
        </w:trPr>
        <w:tc>
          <w:tcPr>
            <w:tcW w:w="0" w:type="auto"/>
            <w:vAlign w:val="center"/>
            <w:hideMark/>
          </w:tcPr>
          <w:p w14:paraId="5244C703"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Cost Increase 20%</w:t>
            </w:r>
          </w:p>
        </w:tc>
        <w:tc>
          <w:tcPr>
            <w:tcW w:w="0" w:type="auto"/>
            <w:vAlign w:val="center"/>
            <w:hideMark/>
          </w:tcPr>
          <w:p w14:paraId="33938FFD" w14:textId="32DFADDC"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 xml:space="preserve">4.90 </w:t>
            </w:r>
            <w:r w:rsidR="00690344" w:rsidRPr="00DF3A4F">
              <w:rPr>
                <w:rFonts w:ascii="Arial" w:hAnsi="Arial" w:cs="Arial"/>
                <w:sz w:val="24"/>
                <w:szCs w:val="24"/>
              </w:rPr>
              <w:t>million</w:t>
            </w:r>
          </w:p>
        </w:tc>
      </w:tr>
    </w:tbl>
    <w:p w14:paraId="234BB455" w14:textId="6FE1E45D"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 xml:space="preserve">The outcomes show that the project is still financially feasible for all the scenarios studied. The NPV is still positive even in the </w:t>
      </w:r>
      <w:r w:rsidR="00690344" w:rsidRPr="00DF3A4F">
        <w:rPr>
          <w:rFonts w:ascii="Arial" w:hAnsi="Arial" w:cs="Arial"/>
          <w:sz w:val="24"/>
          <w:szCs w:val="24"/>
        </w:rPr>
        <w:t>worst-case</w:t>
      </w:r>
      <w:r w:rsidRPr="00DF3A4F">
        <w:rPr>
          <w:rFonts w:ascii="Arial" w:hAnsi="Arial" w:cs="Arial"/>
          <w:sz w:val="24"/>
          <w:szCs w:val="24"/>
        </w:rPr>
        <w:t xml:space="preserve"> scenario. This indicates that the expansion has a reasonable margin of safety, and that it is not reliant on optimistic assumptions.</w:t>
      </w:r>
    </w:p>
    <w:p w14:paraId="2A51EDC2"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7.9 Scenario Analysis</w:t>
      </w:r>
    </w:p>
    <w:p w14:paraId="241AECE4"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A focus of scenario analysis is to offer a wider picture of financial performance in varying market conditions.</w:t>
      </w:r>
    </w:p>
    <w:p w14:paraId="37FEB042"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Table 7.7 Scenario Analysis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96"/>
        <w:gridCol w:w="4296"/>
        <w:gridCol w:w="709"/>
      </w:tblGrid>
      <w:tr w:rsidR="00133CD9" w:rsidRPr="00DF3A4F" w14:paraId="1E1C297F" w14:textId="77777777" w:rsidTr="00CD61E4">
        <w:trPr>
          <w:tblHeader/>
          <w:tblCellSpacing w:w="15" w:type="dxa"/>
        </w:trPr>
        <w:tc>
          <w:tcPr>
            <w:tcW w:w="0" w:type="auto"/>
            <w:vAlign w:val="center"/>
            <w:hideMark/>
          </w:tcPr>
          <w:p w14:paraId="40BCAE1E" w14:textId="77777777" w:rsidR="00133CD9" w:rsidRPr="00DF3A4F" w:rsidRDefault="00133CD9" w:rsidP="00CD61E4">
            <w:pPr>
              <w:spacing w:line="360" w:lineRule="auto"/>
              <w:jc w:val="both"/>
              <w:rPr>
                <w:rFonts w:ascii="Arial" w:hAnsi="Arial" w:cs="Arial"/>
                <w:b/>
                <w:bCs/>
                <w:sz w:val="24"/>
                <w:szCs w:val="24"/>
              </w:rPr>
            </w:pPr>
            <w:r w:rsidRPr="00DF3A4F">
              <w:rPr>
                <w:rFonts w:ascii="Arial" w:hAnsi="Arial" w:cs="Arial"/>
                <w:b/>
                <w:bCs/>
                <w:sz w:val="24"/>
                <w:szCs w:val="24"/>
              </w:rPr>
              <w:t>Scenario</w:t>
            </w:r>
          </w:p>
        </w:tc>
        <w:tc>
          <w:tcPr>
            <w:tcW w:w="0" w:type="auto"/>
            <w:vAlign w:val="center"/>
            <w:hideMark/>
          </w:tcPr>
          <w:p w14:paraId="21707C15" w14:textId="77777777" w:rsidR="00133CD9" w:rsidRPr="00DF3A4F" w:rsidRDefault="00133CD9" w:rsidP="00CD61E4">
            <w:pPr>
              <w:spacing w:line="360" w:lineRule="auto"/>
              <w:jc w:val="both"/>
              <w:rPr>
                <w:rFonts w:ascii="Arial" w:hAnsi="Arial" w:cs="Arial"/>
                <w:b/>
                <w:bCs/>
                <w:sz w:val="24"/>
                <w:szCs w:val="24"/>
              </w:rPr>
            </w:pPr>
            <w:r w:rsidRPr="00DF3A4F">
              <w:rPr>
                <w:rFonts w:ascii="Arial" w:hAnsi="Arial" w:cs="Arial"/>
                <w:b/>
                <w:bCs/>
                <w:sz w:val="24"/>
                <w:szCs w:val="24"/>
              </w:rPr>
              <w:t>Key Assumption</w:t>
            </w:r>
          </w:p>
        </w:tc>
        <w:tc>
          <w:tcPr>
            <w:tcW w:w="0" w:type="auto"/>
            <w:vAlign w:val="center"/>
            <w:hideMark/>
          </w:tcPr>
          <w:p w14:paraId="7354FA88" w14:textId="77777777" w:rsidR="00133CD9" w:rsidRPr="00DF3A4F" w:rsidRDefault="00133CD9" w:rsidP="00CD61E4">
            <w:pPr>
              <w:spacing w:line="360" w:lineRule="auto"/>
              <w:jc w:val="both"/>
              <w:rPr>
                <w:rFonts w:ascii="Arial" w:hAnsi="Arial" w:cs="Arial"/>
                <w:b/>
                <w:bCs/>
                <w:sz w:val="24"/>
                <w:szCs w:val="24"/>
              </w:rPr>
            </w:pPr>
            <w:r w:rsidRPr="00DF3A4F">
              <w:rPr>
                <w:rFonts w:ascii="Arial" w:hAnsi="Arial" w:cs="Arial"/>
                <w:b/>
                <w:bCs/>
                <w:sz w:val="24"/>
                <w:szCs w:val="24"/>
              </w:rPr>
              <w:t>ROI</w:t>
            </w:r>
          </w:p>
        </w:tc>
      </w:tr>
      <w:tr w:rsidR="00133CD9" w:rsidRPr="00DF3A4F" w14:paraId="70CCA23D" w14:textId="77777777" w:rsidTr="00CD61E4">
        <w:trPr>
          <w:tblCellSpacing w:w="15" w:type="dxa"/>
        </w:trPr>
        <w:tc>
          <w:tcPr>
            <w:tcW w:w="0" w:type="auto"/>
            <w:vAlign w:val="center"/>
            <w:hideMark/>
          </w:tcPr>
          <w:p w14:paraId="3970AACE"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Optimistic</w:t>
            </w:r>
          </w:p>
        </w:tc>
        <w:tc>
          <w:tcPr>
            <w:tcW w:w="0" w:type="auto"/>
            <w:vAlign w:val="center"/>
            <w:hideMark/>
          </w:tcPr>
          <w:p w14:paraId="3255671F"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Customer adoption 20% above forecast</w:t>
            </w:r>
          </w:p>
        </w:tc>
        <w:tc>
          <w:tcPr>
            <w:tcW w:w="0" w:type="auto"/>
            <w:vAlign w:val="center"/>
            <w:hideMark/>
          </w:tcPr>
          <w:p w14:paraId="1161D247"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580%</w:t>
            </w:r>
          </w:p>
        </w:tc>
      </w:tr>
      <w:tr w:rsidR="00133CD9" w:rsidRPr="00DF3A4F" w14:paraId="13DAF497" w14:textId="77777777" w:rsidTr="00CD61E4">
        <w:trPr>
          <w:tblCellSpacing w:w="15" w:type="dxa"/>
        </w:trPr>
        <w:tc>
          <w:tcPr>
            <w:tcW w:w="0" w:type="auto"/>
            <w:vAlign w:val="center"/>
            <w:hideMark/>
          </w:tcPr>
          <w:p w14:paraId="7579040E"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Base Case</w:t>
            </w:r>
          </w:p>
        </w:tc>
        <w:tc>
          <w:tcPr>
            <w:tcW w:w="0" w:type="auto"/>
            <w:vAlign w:val="center"/>
            <w:hideMark/>
          </w:tcPr>
          <w:p w14:paraId="3E9D7DB4"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Forecast assumptions achieved</w:t>
            </w:r>
          </w:p>
        </w:tc>
        <w:tc>
          <w:tcPr>
            <w:tcW w:w="0" w:type="auto"/>
            <w:vAlign w:val="center"/>
            <w:hideMark/>
          </w:tcPr>
          <w:p w14:paraId="3AEC3C88"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484%</w:t>
            </w:r>
          </w:p>
        </w:tc>
      </w:tr>
      <w:tr w:rsidR="00133CD9" w:rsidRPr="00DF3A4F" w14:paraId="72FE1740" w14:textId="77777777" w:rsidTr="00CD61E4">
        <w:trPr>
          <w:tblCellSpacing w:w="15" w:type="dxa"/>
        </w:trPr>
        <w:tc>
          <w:tcPr>
            <w:tcW w:w="0" w:type="auto"/>
            <w:vAlign w:val="center"/>
            <w:hideMark/>
          </w:tcPr>
          <w:p w14:paraId="51E60DC3"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Pessimistic</w:t>
            </w:r>
          </w:p>
        </w:tc>
        <w:tc>
          <w:tcPr>
            <w:tcW w:w="0" w:type="auto"/>
            <w:vAlign w:val="center"/>
            <w:hideMark/>
          </w:tcPr>
          <w:p w14:paraId="01AAC191"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Customer adoption 20% below forecast</w:t>
            </w:r>
          </w:p>
        </w:tc>
        <w:tc>
          <w:tcPr>
            <w:tcW w:w="0" w:type="auto"/>
            <w:vAlign w:val="center"/>
            <w:hideMark/>
          </w:tcPr>
          <w:p w14:paraId="0ED09558"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280%</w:t>
            </w:r>
          </w:p>
        </w:tc>
      </w:tr>
    </w:tbl>
    <w:p w14:paraId="18CEF1A1"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positive case considers greater uptake from customers and quicker merchant sign-up and transaction growth than expected. The worst-case scenario is lower market penetration, more competition and higher operating expenses. However, even in the face of these difficulties, the project is profitable under all scenarios. The discovery shows that the expansion strategy has high levels of financial resilience and can cope with moderate changes in market conditions.</w:t>
      </w:r>
    </w:p>
    <w:p w14:paraId="56187F3C"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7.10 Chapter Summary</w:t>
      </w:r>
    </w:p>
    <w:p w14:paraId="04D60129"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In this chapter, the financial feasibility of Paytm's proposition for Singapore has been evaluated. The analysis found an initial investment requirement of SGD 2.2 million with strong revenue growth expected, thanks to growing adoption of cross-border digital payment service. A break-even analysis showed that profitability would occur in year 3 and a ROI analysis estimated a return of 484% over a 5-year evaluation period. The discounted cash flow analysis showed positive net present value (NPV) of around SGD 6.74 million, translating to a significant value addition to shareholders. The project was also tested for sensitivity and scenario analyses which further confirmed the robustness of the project as it was able to achieve profitability under a variety of alternative business conditions. In summary, the results offer robust financial backing for Paytm's proposed expansion plan, and support the strategic recommendations made in previous chapters.</w:t>
      </w:r>
      <w:r w:rsidRPr="00DF3A4F">
        <w:rPr>
          <w:rFonts w:ascii="Arial" w:hAnsi="Arial" w:cs="Arial"/>
          <w:sz w:val="24"/>
          <w:szCs w:val="24"/>
        </w:rPr>
        <w:br w:type="page"/>
      </w:r>
    </w:p>
    <w:p w14:paraId="20F725A3" w14:textId="77777777" w:rsidR="00133CD9" w:rsidRPr="00DF3A4F" w:rsidRDefault="00133CD9" w:rsidP="00133CD9">
      <w:pPr>
        <w:pStyle w:val="Heading1"/>
        <w:rPr>
          <w:rFonts w:ascii="Arial" w:hAnsi="Arial" w:cs="Arial"/>
          <w:szCs w:val="24"/>
        </w:rPr>
      </w:pPr>
      <w:bookmarkStart w:id="59" w:name="_Toc238739812"/>
      <w:r w:rsidRPr="00DF3A4F">
        <w:rPr>
          <w:rFonts w:ascii="Arial" w:hAnsi="Arial" w:cs="Arial"/>
          <w:szCs w:val="24"/>
        </w:rPr>
        <w:t>Chapter 8: Risk Assessment</w:t>
      </w:r>
      <w:bookmarkEnd w:id="59"/>
    </w:p>
    <w:p w14:paraId="446BAA58" w14:textId="77777777" w:rsidR="00133CD9" w:rsidRPr="00DF3A4F" w:rsidRDefault="00133CD9" w:rsidP="00133CD9">
      <w:pPr>
        <w:spacing w:line="360" w:lineRule="auto"/>
        <w:jc w:val="both"/>
        <w:rPr>
          <w:rFonts w:ascii="Arial" w:eastAsiaTheme="majorEastAsia" w:hAnsi="Arial" w:cs="Arial"/>
          <w:b/>
          <w:color w:val="000000" w:themeColor="text1"/>
          <w:sz w:val="24"/>
          <w:szCs w:val="24"/>
        </w:rPr>
      </w:pPr>
      <w:r w:rsidRPr="00DF3A4F">
        <w:rPr>
          <w:rFonts w:ascii="Arial" w:eastAsiaTheme="majorEastAsia" w:hAnsi="Arial" w:cs="Arial"/>
          <w:b/>
          <w:color w:val="000000" w:themeColor="text1"/>
          <w:sz w:val="24"/>
          <w:szCs w:val="24"/>
        </w:rPr>
        <w:t>8.1 Introduction</w:t>
      </w:r>
    </w:p>
    <w:p w14:paraId="7172BA6C" w14:textId="77777777" w:rsidR="00133CD9" w:rsidRPr="00DF3A4F" w:rsidRDefault="00133CD9" w:rsidP="00133CD9">
      <w:pPr>
        <w:spacing w:line="360" w:lineRule="auto"/>
        <w:jc w:val="both"/>
        <w:rPr>
          <w:rFonts w:ascii="Arial" w:eastAsiaTheme="majorEastAsia" w:hAnsi="Arial" w:cs="Arial"/>
          <w:bCs/>
          <w:color w:val="000000" w:themeColor="text1"/>
          <w:sz w:val="24"/>
          <w:szCs w:val="24"/>
        </w:rPr>
      </w:pPr>
      <w:r w:rsidRPr="00DF3A4F">
        <w:rPr>
          <w:rFonts w:ascii="Arial" w:eastAsiaTheme="majorEastAsia" w:hAnsi="Arial" w:cs="Arial"/>
          <w:bCs/>
          <w:color w:val="000000" w:themeColor="text1"/>
          <w:sz w:val="24"/>
          <w:szCs w:val="24"/>
        </w:rPr>
        <w:t xml:space="preserve">Expanding into international business offers great opportunities for organisations to grow, diversify and generate additional revenues. Yet, going global brings with it a host of uncertainties which can impact upon operational performance and strategic success. The Singapore expansion is a lucrative opportunity for Paytm, given the region's well-established digital payment system, </w:t>
      </w:r>
      <w:proofErr w:type="spellStart"/>
      <w:r w:rsidRPr="00DF3A4F">
        <w:rPr>
          <w:rFonts w:ascii="Arial" w:eastAsiaTheme="majorEastAsia" w:hAnsi="Arial" w:cs="Arial"/>
          <w:bCs/>
          <w:color w:val="000000" w:themeColor="text1"/>
          <w:sz w:val="24"/>
          <w:szCs w:val="24"/>
        </w:rPr>
        <w:t>favorable</w:t>
      </w:r>
      <w:proofErr w:type="spellEnd"/>
      <w:r w:rsidRPr="00DF3A4F">
        <w:rPr>
          <w:rFonts w:ascii="Arial" w:eastAsiaTheme="majorEastAsia" w:hAnsi="Arial" w:cs="Arial"/>
          <w:bCs/>
          <w:color w:val="000000" w:themeColor="text1"/>
          <w:sz w:val="24"/>
          <w:szCs w:val="24"/>
        </w:rPr>
        <w:t xml:space="preserve"> regulatory landscape, and robust economic ties with India. Yet, several risks need to be assessed and managed in a proper way in order to implement the proposed business development strategy successfully despite these favourable conditions.</w:t>
      </w:r>
    </w:p>
    <w:p w14:paraId="5966B3E0" w14:textId="77777777" w:rsidR="00133CD9" w:rsidRPr="00DF3A4F" w:rsidRDefault="00133CD9" w:rsidP="00133CD9">
      <w:pPr>
        <w:spacing w:line="360" w:lineRule="auto"/>
        <w:jc w:val="both"/>
        <w:rPr>
          <w:rFonts w:ascii="Arial" w:eastAsiaTheme="majorEastAsia" w:hAnsi="Arial" w:cs="Arial"/>
          <w:bCs/>
          <w:color w:val="000000" w:themeColor="text1"/>
          <w:sz w:val="24"/>
          <w:szCs w:val="24"/>
        </w:rPr>
      </w:pPr>
      <w:r w:rsidRPr="00DF3A4F">
        <w:rPr>
          <w:rFonts w:ascii="Arial" w:eastAsiaTheme="majorEastAsia" w:hAnsi="Arial" w:cs="Arial"/>
          <w:bCs/>
          <w:color w:val="000000" w:themeColor="text1"/>
          <w:sz w:val="24"/>
          <w:szCs w:val="24"/>
        </w:rPr>
        <w:t>Table 8.1 Risk Assessment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43"/>
        <w:gridCol w:w="1321"/>
        <w:gridCol w:w="869"/>
      </w:tblGrid>
      <w:tr w:rsidR="00133CD9" w:rsidRPr="00DF3A4F" w14:paraId="31ECA5D4" w14:textId="77777777" w:rsidTr="00CD61E4">
        <w:trPr>
          <w:tblHeader/>
          <w:tblCellSpacing w:w="15" w:type="dxa"/>
        </w:trPr>
        <w:tc>
          <w:tcPr>
            <w:tcW w:w="0" w:type="auto"/>
            <w:vAlign w:val="center"/>
            <w:hideMark/>
          </w:tcPr>
          <w:p w14:paraId="540F6EEB" w14:textId="77777777" w:rsidR="00133CD9" w:rsidRPr="00DF3A4F" w:rsidRDefault="00133CD9" w:rsidP="00CD61E4">
            <w:pPr>
              <w:spacing w:line="360" w:lineRule="auto"/>
              <w:jc w:val="both"/>
              <w:rPr>
                <w:rFonts w:ascii="Arial" w:eastAsiaTheme="majorEastAsia" w:hAnsi="Arial" w:cs="Arial"/>
                <w:b/>
                <w:bCs/>
                <w:color w:val="000000" w:themeColor="text1"/>
                <w:sz w:val="24"/>
                <w:szCs w:val="24"/>
              </w:rPr>
            </w:pPr>
            <w:r w:rsidRPr="00DF3A4F">
              <w:rPr>
                <w:rFonts w:ascii="Arial" w:eastAsiaTheme="majorEastAsia" w:hAnsi="Arial" w:cs="Arial"/>
                <w:b/>
                <w:bCs/>
                <w:color w:val="000000" w:themeColor="text1"/>
                <w:sz w:val="24"/>
                <w:szCs w:val="24"/>
              </w:rPr>
              <w:t>Risk</w:t>
            </w:r>
          </w:p>
        </w:tc>
        <w:tc>
          <w:tcPr>
            <w:tcW w:w="0" w:type="auto"/>
            <w:vAlign w:val="center"/>
            <w:hideMark/>
          </w:tcPr>
          <w:p w14:paraId="6F1EFF57" w14:textId="77777777" w:rsidR="00133CD9" w:rsidRPr="00DF3A4F" w:rsidRDefault="00133CD9" w:rsidP="00CD61E4">
            <w:pPr>
              <w:spacing w:line="360" w:lineRule="auto"/>
              <w:jc w:val="both"/>
              <w:rPr>
                <w:rFonts w:ascii="Arial" w:eastAsiaTheme="majorEastAsia" w:hAnsi="Arial" w:cs="Arial"/>
                <w:b/>
                <w:bCs/>
                <w:color w:val="000000" w:themeColor="text1"/>
                <w:sz w:val="24"/>
                <w:szCs w:val="24"/>
              </w:rPr>
            </w:pPr>
            <w:r w:rsidRPr="00DF3A4F">
              <w:rPr>
                <w:rFonts w:ascii="Arial" w:eastAsiaTheme="majorEastAsia" w:hAnsi="Arial" w:cs="Arial"/>
                <w:b/>
                <w:bCs/>
                <w:color w:val="000000" w:themeColor="text1"/>
                <w:sz w:val="24"/>
                <w:szCs w:val="24"/>
              </w:rPr>
              <w:t>Probability</w:t>
            </w:r>
          </w:p>
        </w:tc>
        <w:tc>
          <w:tcPr>
            <w:tcW w:w="0" w:type="auto"/>
            <w:vAlign w:val="center"/>
            <w:hideMark/>
          </w:tcPr>
          <w:p w14:paraId="1336A1DF" w14:textId="77777777" w:rsidR="00133CD9" w:rsidRPr="00DF3A4F" w:rsidRDefault="00133CD9" w:rsidP="00CD61E4">
            <w:pPr>
              <w:spacing w:line="360" w:lineRule="auto"/>
              <w:jc w:val="both"/>
              <w:rPr>
                <w:rFonts w:ascii="Arial" w:eastAsiaTheme="majorEastAsia" w:hAnsi="Arial" w:cs="Arial"/>
                <w:b/>
                <w:bCs/>
                <w:color w:val="000000" w:themeColor="text1"/>
                <w:sz w:val="24"/>
                <w:szCs w:val="24"/>
              </w:rPr>
            </w:pPr>
            <w:r w:rsidRPr="00DF3A4F">
              <w:rPr>
                <w:rFonts w:ascii="Arial" w:eastAsiaTheme="majorEastAsia" w:hAnsi="Arial" w:cs="Arial"/>
                <w:b/>
                <w:bCs/>
                <w:color w:val="000000" w:themeColor="text1"/>
                <w:sz w:val="24"/>
                <w:szCs w:val="24"/>
              </w:rPr>
              <w:t>Impact</w:t>
            </w:r>
          </w:p>
        </w:tc>
      </w:tr>
      <w:tr w:rsidR="00133CD9" w:rsidRPr="00DF3A4F" w14:paraId="0DE2A3AC" w14:textId="77777777" w:rsidTr="00CD61E4">
        <w:trPr>
          <w:tblCellSpacing w:w="15" w:type="dxa"/>
        </w:trPr>
        <w:tc>
          <w:tcPr>
            <w:tcW w:w="0" w:type="auto"/>
            <w:vAlign w:val="center"/>
            <w:hideMark/>
          </w:tcPr>
          <w:p w14:paraId="5EA28A3C" w14:textId="77777777" w:rsidR="00133CD9" w:rsidRPr="00DF3A4F" w:rsidRDefault="00133CD9" w:rsidP="00CD61E4">
            <w:pPr>
              <w:spacing w:line="360" w:lineRule="auto"/>
              <w:jc w:val="both"/>
              <w:rPr>
                <w:rFonts w:ascii="Arial" w:eastAsiaTheme="majorEastAsia" w:hAnsi="Arial" w:cs="Arial"/>
                <w:bCs/>
                <w:color w:val="000000" w:themeColor="text1"/>
                <w:sz w:val="24"/>
                <w:szCs w:val="24"/>
              </w:rPr>
            </w:pPr>
            <w:r w:rsidRPr="00DF3A4F">
              <w:rPr>
                <w:rFonts w:ascii="Arial" w:eastAsiaTheme="majorEastAsia" w:hAnsi="Arial" w:cs="Arial"/>
                <w:bCs/>
                <w:color w:val="000000" w:themeColor="text1"/>
                <w:sz w:val="24"/>
                <w:szCs w:val="24"/>
              </w:rPr>
              <w:t>Regulatory</w:t>
            </w:r>
          </w:p>
        </w:tc>
        <w:tc>
          <w:tcPr>
            <w:tcW w:w="0" w:type="auto"/>
            <w:vAlign w:val="center"/>
            <w:hideMark/>
          </w:tcPr>
          <w:p w14:paraId="1C9DFFEF" w14:textId="77777777" w:rsidR="00133CD9" w:rsidRPr="00DF3A4F" w:rsidRDefault="00133CD9" w:rsidP="00CD61E4">
            <w:pPr>
              <w:spacing w:line="360" w:lineRule="auto"/>
              <w:jc w:val="both"/>
              <w:rPr>
                <w:rFonts w:ascii="Arial" w:eastAsiaTheme="majorEastAsia" w:hAnsi="Arial" w:cs="Arial"/>
                <w:bCs/>
                <w:color w:val="000000" w:themeColor="text1"/>
                <w:sz w:val="24"/>
                <w:szCs w:val="24"/>
              </w:rPr>
            </w:pPr>
            <w:r w:rsidRPr="00DF3A4F">
              <w:rPr>
                <w:rFonts w:ascii="Arial" w:eastAsiaTheme="majorEastAsia" w:hAnsi="Arial" w:cs="Arial"/>
                <w:bCs/>
                <w:color w:val="000000" w:themeColor="text1"/>
                <w:sz w:val="24"/>
                <w:szCs w:val="24"/>
              </w:rPr>
              <w:t>High</w:t>
            </w:r>
          </w:p>
        </w:tc>
        <w:tc>
          <w:tcPr>
            <w:tcW w:w="0" w:type="auto"/>
            <w:vAlign w:val="center"/>
            <w:hideMark/>
          </w:tcPr>
          <w:p w14:paraId="74702905" w14:textId="77777777" w:rsidR="00133CD9" w:rsidRPr="00DF3A4F" w:rsidRDefault="00133CD9" w:rsidP="00CD61E4">
            <w:pPr>
              <w:spacing w:line="360" w:lineRule="auto"/>
              <w:jc w:val="both"/>
              <w:rPr>
                <w:rFonts w:ascii="Arial" w:eastAsiaTheme="majorEastAsia" w:hAnsi="Arial" w:cs="Arial"/>
                <w:bCs/>
                <w:color w:val="000000" w:themeColor="text1"/>
                <w:sz w:val="24"/>
                <w:szCs w:val="24"/>
              </w:rPr>
            </w:pPr>
            <w:r w:rsidRPr="00DF3A4F">
              <w:rPr>
                <w:rFonts w:ascii="Arial" w:eastAsiaTheme="majorEastAsia" w:hAnsi="Arial" w:cs="Arial"/>
                <w:bCs/>
                <w:color w:val="000000" w:themeColor="text1"/>
                <w:sz w:val="24"/>
                <w:szCs w:val="24"/>
              </w:rPr>
              <w:t>High</w:t>
            </w:r>
          </w:p>
        </w:tc>
      </w:tr>
      <w:tr w:rsidR="00133CD9" w:rsidRPr="00DF3A4F" w14:paraId="4DDF3657" w14:textId="77777777" w:rsidTr="00CD61E4">
        <w:trPr>
          <w:tblCellSpacing w:w="15" w:type="dxa"/>
        </w:trPr>
        <w:tc>
          <w:tcPr>
            <w:tcW w:w="0" w:type="auto"/>
            <w:vAlign w:val="center"/>
            <w:hideMark/>
          </w:tcPr>
          <w:p w14:paraId="4AADC4E4" w14:textId="77777777" w:rsidR="00133CD9" w:rsidRPr="00DF3A4F" w:rsidRDefault="00133CD9" w:rsidP="00CD61E4">
            <w:pPr>
              <w:spacing w:line="360" w:lineRule="auto"/>
              <w:jc w:val="both"/>
              <w:rPr>
                <w:rFonts w:ascii="Arial" w:eastAsiaTheme="majorEastAsia" w:hAnsi="Arial" w:cs="Arial"/>
                <w:bCs/>
                <w:color w:val="000000" w:themeColor="text1"/>
                <w:sz w:val="24"/>
                <w:szCs w:val="24"/>
              </w:rPr>
            </w:pPr>
            <w:r w:rsidRPr="00DF3A4F">
              <w:rPr>
                <w:rFonts w:ascii="Arial" w:eastAsiaTheme="majorEastAsia" w:hAnsi="Arial" w:cs="Arial"/>
                <w:bCs/>
                <w:color w:val="000000" w:themeColor="text1"/>
                <w:sz w:val="24"/>
                <w:szCs w:val="24"/>
              </w:rPr>
              <w:t>Cybersecurity</w:t>
            </w:r>
          </w:p>
        </w:tc>
        <w:tc>
          <w:tcPr>
            <w:tcW w:w="0" w:type="auto"/>
            <w:vAlign w:val="center"/>
            <w:hideMark/>
          </w:tcPr>
          <w:p w14:paraId="07673CA4" w14:textId="77777777" w:rsidR="00133CD9" w:rsidRPr="00DF3A4F" w:rsidRDefault="00133CD9" w:rsidP="00CD61E4">
            <w:pPr>
              <w:spacing w:line="360" w:lineRule="auto"/>
              <w:jc w:val="both"/>
              <w:rPr>
                <w:rFonts w:ascii="Arial" w:eastAsiaTheme="majorEastAsia" w:hAnsi="Arial" w:cs="Arial"/>
                <w:bCs/>
                <w:color w:val="000000" w:themeColor="text1"/>
                <w:sz w:val="24"/>
                <w:szCs w:val="24"/>
              </w:rPr>
            </w:pPr>
            <w:r w:rsidRPr="00DF3A4F">
              <w:rPr>
                <w:rFonts w:ascii="Arial" w:eastAsiaTheme="majorEastAsia" w:hAnsi="Arial" w:cs="Arial"/>
                <w:bCs/>
                <w:color w:val="000000" w:themeColor="text1"/>
                <w:sz w:val="24"/>
                <w:szCs w:val="24"/>
              </w:rPr>
              <w:t>High</w:t>
            </w:r>
          </w:p>
        </w:tc>
        <w:tc>
          <w:tcPr>
            <w:tcW w:w="0" w:type="auto"/>
            <w:vAlign w:val="center"/>
            <w:hideMark/>
          </w:tcPr>
          <w:p w14:paraId="1E8E22F1" w14:textId="77777777" w:rsidR="00133CD9" w:rsidRPr="00DF3A4F" w:rsidRDefault="00133CD9" w:rsidP="00CD61E4">
            <w:pPr>
              <w:spacing w:line="360" w:lineRule="auto"/>
              <w:jc w:val="both"/>
              <w:rPr>
                <w:rFonts w:ascii="Arial" w:eastAsiaTheme="majorEastAsia" w:hAnsi="Arial" w:cs="Arial"/>
                <w:bCs/>
                <w:color w:val="000000" w:themeColor="text1"/>
                <w:sz w:val="24"/>
                <w:szCs w:val="24"/>
              </w:rPr>
            </w:pPr>
            <w:r w:rsidRPr="00DF3A4F">
              <w:rPr>
                <w:rFonts w:ascii="Arial" w:eastAsiaTheme="majorEastAsia" w:hAnsi="Arial" w:cs="Arial"/>
                <w:bCs/>
                <w:color w:val="000000" w:themeColor="text1"/>
                <w:sz w:val="24"/>
                <w:szCs w:val="24"/>
              </w:rPr>
              <w:t>High</w:t>
            </w:r>
          </w:p>
        </w:tc>
      </w:tr>
      <w:tr w:rsidR="00133CD9" w:rsidRPr="00DF3A4F" w14:paraId="73154921" w14:textId="77777777" w:rsidTr="00CD61E4">
        <w:trPr>
          <w:tblCellSpacing w:w="15" w:type="dxa"/>
        </w:trPr>
        <w:tc>
          <w:tcPr>
            <w:tcW w:w="0" w:type="auto"/>
            <w:vAlign w:val="center"/>
            <w:hideMark/>
          </w:tcPr>
          <w:p w14:paraId="073489B1" w14:textId="77777777" w:rsidR="00133CD9" w:rsidRPr="00DF3A4F" w:rsidRDefault="00133CD9" w:rsidP="00CD61E4">
            <w:pPr>
              <w:spacing w:line="360" w:lineRule="auto"/>
              <w:jc w:val="both"/>
              <w:rPr>
                <w:rFonts w:ascii="Arial" w:eastAsiaTheme="majorEastAsia" w:hAnsi="Arial" w:cs="Arial"/>
                <w:bCs/>
                <w:color w:val="000000" w:themeColor="text1"/>
                <w:sz w:val="24"/>
                <w:szCs w:val="24"/>
              </w:rPr>
            </w:pPr>
            <w:r w:rsidRPr="00DF3A4F">
              <w:rPr>
                <w:rFonts w:ascii="Arial" w:eastAsiaTheme="majorEastAsia" w:hAnsi="Arial" w:cs="Arial"/>
                <w:bCs/>
                <w:color w:val="000000" w:themeColor="text1"/>
                <w:sz w:val="24"/>
                <w:szCs w:val="24"/>
              </w:rPr>
              <w:t>Competition</w:t>
            </w:r>
          </w:p>
        </w:tc>
        <w:tc>
          <w:tcPr>
            <w:tcW w:w="0" w:type="auto"/>
            <w:vAlign w:val="center"/>
            <w:hideMark/>
          </w:tcPr>
          <w:p w14:paraId="0592F5DD" w14:textId="77777777" w:rsidR="00133CD9" w:rsidRPr="00DF3A4F" w:rsidRDefault="00133CD9" w:rsidP="00CD61E4">
            <w:pPr>
              <w:spacing w:line="360" w:lineRule="auto"/>
              <w:jc w:val="both"/>
              <w:rPr>
                <w:rFonts w:ascii="Arial" w:eastAsiaTheme="majorEastAsia" w:hAnsi="Arial" w:cs="Arial"/>
                <w:bCs/>
                <w:color w:val="000000" w:themeColor="text1"/>
                <w:sz w:val="24"/>
                <w:szCs w:val="24"/>
              </w:rPr>
            </w:pPr>
            <w:r w:rsidRPr="00DF3A4F">
              <w:rPr>
                <w:rFonts w:ascii="Arial" w:eastAsiaTheme="majorEastAsia" w:hAnsi="Arial" w:cs="Arial"/>
                <w:bCs/>
                <w:color w:val="000000" w:themeColor="text1"/>
                <w:sz w:val="24"/>
                <w:szCs w:val="24"/>
              </w:rPr>
              <w:t>Medium</w:t>
            </w:r>
          </w:p>
        </w:tc>
        <w:tc>
          <w:tcPr>
            <w:tcW w:w="0" w:type="auto"/>
            <w:vAlign w:val="center"/>
            <w:hideMark/>
          </w:tcPr>
          <w:p w14:paraId="71EED95A" w14:textId="77777777" w:rsidR="00133CD9" w:rsidRPr="00DF3A4F" w:rsidRDefault="00133CD9" w:rsidP="00CD61E4">
            <w:pPr>
              <w:spacing w:line="360" w:lineRule="auto"/>
              <w:jc w:val="both"/>
              <w:rPr>
                <w:rFonts w:ascii="Arial" w:eastAsiaTheme="majorEastAsia" w:hAnsi="Arial" w:cs="Arial"/>
                <w:bCs/>
                <w:color w:val="000000" w:themeColor="text1"/>
                <w:sz w:val="24"/>
                <w:szCs w:val="24"/>
              </w:rPr>
            </w:pPr>
            <w:r w:rsidRPr="00DF3A4F">
              <w:rPr>
                <w:rFonts w:ascii="Arial" w:eastAsiaTheme="majorEastAsia" w:hAnsi="Arial" w:cs="Arial"/>
                <w:bCs/>
                <w:color w:val="000000" w:themeColor="text1"/>
                <w:sz w:val="24"/>
                <w:szCs w:val="24"/>
              </w:rPr>
              <w:t>High</w:t>
            </w:r>
          </w:p>
        </w:tc>
      </w:tr>
      <w:tr w:rsidR="00133CD9" w:rsidRPr="00DF3A4F" w14:paraId="55CC5198" w14:textId="77777777" w:rsidTr="00CD61E4">
        <w:trPr>
          <w:tblCellSpacing w:w="15" w:type="dxa"/>
        </w:trPr>
        <w:tc>
          <w:tcPr>
            <w:tcW w:w="0" w:type="auto"/>
            <w:vAlign w:val="center"/>
            <w:hideMark/>
          </w:tcPr>
          <w:p w14:paraId="12A36583" w14:textId="77777777" w:rsidR="00133CD9" w:rsidRPr="00DF3A4F" w:rsidRDefault="00133CD9" w:rsidP="00CD61E4">
            <w:pPr>
              <w:spacing w:line="360" w:lineRule="auto"/>
              <w:jc w:val="both"/>
              <w:rPr>
                <w:rFonts w:ascii="Arial" w:eastAsiaTheme="majorEastAsia" w:hAnsi="Arial" w:cs="Arial"/>
                <w:bCs/>
                <w:color w:val="000000" w:themeColor="text1"/>
                <w:sz w:val="24"/>
                <w:szCs w:val="24"/>
              </w:rPr>
            </w:pPr>
            <w:r w:rsidRPr="00DF3A4F">
              <w:rPr>
                <w:rFonts w:ascii="Arial" w:eastAsiaTheme="majorEastAsia" w:hAnsi="Arial" w:cs="Arial"/>
                <w:bCs/>
                <w:color w:val="000000" w:themeColor="text1"/>
                <w:sz w:val="24"/>
                <w:szCs w:val="24"/>
              </w:rPr>
              <w:t>Market Adoption</w:t>
            </w:r>
          </w:p>
        </w:tc>
        <w:tc>
          <w:tcPr>
            <w:tcW w:w="0" w:type="auto"/>
            <w:vAlign w:val="center"/>
            <w:hideMark/>
          </w:tcPr>
          <w:p w14:paraId="217A0312" w14:textId="77777777" w:rsidR="00133CD9" w:rsidRPr="00DF3A4F" w:rsidRDefault="00133CD9" w:rsidP="00CD61E4">
            <w:pPr>
              <w:spacing w:line="360" w:lineRule="auto"/>
              <w:jc w:val="both"/>
              <w:rPr>
                <w:rFonts w:ascii="Arial" w:eastAsiaTheme="majorEastAsia" w:hAnsi="Arial" w:cs="Arial"/>
                <w:bCs/>
                <w:color w:val="000000" w:themeColor="text1"/>
                <w:sz w:val="24"/>
                <w:szCs w:val="24"/>
              </w:rPr>
            </w:pPr>
            <w:r w:rsidRPr="00DF3A4F">
              <w:rPr>
                <w:rFonts w:ascii="Arial" w:eastAsiaTheme="majorEastAsia" w:hAnsi="Arial" w:cs="Arial"/>
                <w:bCs/>
                <w:color w:val="000000" w:themeColor="text1"/>
                <w:sz w:val="24"/>
                <w:szCs w:val="24"/>
              </w:rPr>
              <w:t>Medium</w:t>
            </w:r>
          </w:p>
        </w:tc>
        <w:tc>
          <w:tcPr>
            <w:tcW w:w="0" w:type="auto"/>
            <w:vAlign w:val="center"/>
            <w:hideMark/>
          </w:tcPr>
          <w:p w14:paraId="60D49105" w14:textId="77777777" w:rsidR="00133CD9" w:rsidRPr="00DF3A4F" w:rsidRDefault="00133CD9" w:rsidP="00CD61E4">
            <w:pPr>
              <w:spacing w:line="360" w:lineRule="auto"/>
              <w:jc w:val="both"/>
              <w:rPr>
                <w:rFonts w:ascii="Arial" w:eastAsiaTheme="majorEastAsia" w:hAnsi="Arial" w:cs="Arial"/>
                <w:bCs/>
                <w:color w:val="000000" w:themeColor="text1"/>
                <w:sz w:val="24"/>
                <w:szCs w:val="24"/>
              </w:rPr>
            </w:pPr>
            <w:r w:rsidRPr="00DF3A4F">
              <w:rPr>
                <w:rFonts w:ascii="Arial" w:eastAsiaTheme="majorEastAsia" w:hAnsi="Arial" w:cs="Arial"/>
                <w:bCs/>
                <w:color w:val="000000" w:themeColor="text1"/>
                <w:sz w:val="24"/>
                <w:szCs w:val="24"/>
              </w:rPr>
              <w:t>High</w:t>
            </w:r>
          </w:p>
        </w:tc>
      </w:tr>
    </w:tbl>
    <w:p w14:paraId="1A6319D3" w14:textId="77777777" w:rsidR="00133CD9" w:rsidRPr="00DF3A4F" w:rsidRDefault="00133CD9" w:rsidP="00133CD9">
      <w:pPr>
        <w:spacing w:line="360" w:lineRule="auto"/>
        <w:jc w:val="both"/>
        <w:rPr>
          <w:rFonts w:ascii="Arial" w:eastAsiaTheme="majorEastAsia" w:hAnsi="Arial" w:cs="Arial"/>
          <w:bCs/>
          <w:color w:val="000000" w:themeColor="text1"/>
          <w:sz w:val="24"/>
          <w:szCs w:val="24"/>
        </w:rPr>
      </w:pPr>
      <w:r w:rsidRPr="00DF3A4F">
        <w:rPr>
          <w:rFonts w:ascii="Arial" w:eastAsiaTheme="majorEastAsia" w:hAnsi="Arial" w:cs="Arial"/>
          <w:bCs/>
          <w:color w:val="000000" w:themeColor="text1"/>
          <w:sz w:val="24"/>
          <w:szCs w:val="24"/>
        </w:rPr>
        <w:t>Source: self-created</w:t>
      </w:r>
    </w:p>
    <w:p w14:paraId="66E272D1" w14:textId="77777777" w:rsidR="00133CD9" w:rsidRPr="00DF3A4F" w:rsidRDefault="00133CD9" w:rsidP="00133CD9">
      <w:pPr>
        <w:spacing w:line="360" w:lineRule="auto"/>
        <w:jc w:val="both"/>
        <w:rPr>
          <w:rFonts w:ascii="Arial" w:eastAsiaTheme="majorEastAsia" w:hAnsi="Arial" w:cs="Arial"/>
          <w:bCs/>
          <w:color w:val="000000" w:themeColor="text1"/>
          <w:sz w:val="24"/>
          <w:szCs w:val="24"/>
        </w:rPr>
      </w:pPr>
      <w:r w:rsidRPr="00DF3A4F">
        <w:rPr>
          <w:rFonts w:ascii="Arial" w:eastAsiaTheme="majorEastAsia" w:hAnsi="Arial" w:cs="Arial"/>
          <w:bCs/>
          <w:color w:val="000000" w:themeColor="text1"/>
          <w:sz w:val="24"/>
          <w:szCs w:val="24"/>
        </w:rPr>
        <w:t>Risk assessment is a vital aspect of a strategic plan as it helps organisations to pinpoint potential risks, assess their likelihood of occurrence and their potential effect, and put measures in place to mitigate those risks. Effective risk management helps safeguard organisational resources, and support decision-making and long-term sustainability. While there are several risks associated with a business entering into the international market, not all of these are of equal importance. Hence, the four most critical risks identified in the strategic and financial analyses of the previous chapters are the risks that will be discussed in this chapter.</w:t>
      </w:r>
    </w:p>
    <w:p w14:paraId="185B9A7D" w14:textId="77777777" w:rsidR="00133CD9" w:rsidRPr="00DF3A4F" w:rsidRDefault="00133CD9" w:rsidP="00133CD9">
      <w:pPr>
        <w:spacing w:line="360" w:lineRule="auto"/>
        <w:jc w:val="both"/>
        <w:rPr>
          <w:rFonts w:ascii="Arial" w:eastAsiaTheme="majorEastAsia" w:hAnsi="Arial" w:cs="Arial"/>
          <w:b/>
          <w:color w:val="000000" w:themeColor="text1"/>
          <w:sz w:val="24"/>
          <w:szCs w:val="24"/>
        </w:rPr>
      </w:pPr>
      <w:r w:rsidRPr="00DF3A4F">
        <w:rPr>
          <w:rFonts w:ascii="Arial" w:eastAsiaTheme="majorEastAsia" w:hAnsi="Arial" w:cs="Arial"/>
          <w:b/>
          <w:color w:val="000000" w:themeColor="text1"/>
          <w:sz w:val="24"/>
          <w:szCs w:val="24"/>
        </w:rPr>
        <w:t>8.2 Regulatory and Compliance Risk</w:t>
      </w:r>
    </w:p>
    <w:p w14:paraId="0D4269BB" w14:textId="35B62D25" w:rsidR="00133CD9" w:rsidRPr="00DF3A4F" w:rsidRDefault="00133CD9" w:rsidP="00133CD9">
      <w:pPr>
        <w:spacing w:line="360" w:lineRule="auto"/>
        <w:jc w:val="both"/>
        <w:rPr>
          <w:rFonts w:ascii="Arial" w:eastAsiaTheme="majorEastAsia" w:hAnsi="Arial" w:cs="Arial"/>
          <w:bCs/>
          <w:color w:val="000000" w:themeColor="text1"/>
          <w:sz w:val="24"/>
          <w:szCs w:val="24"/>
        </w:rPr>
      </w:pPr>
      <w:r w:rsidRPr="00DF3A4F">
        <w:rPr>
          <w:rFonts w:ascii="Arial" w:eastAsiaTheme="majorEastAsia" w:hAnsi="Arial" w:cs="Arial"/>
          <w:bCs/>
          <w:color w:val="000000" w:themeColor="text1"/>
          <w:sz w:val="24"/>
          <w:szCs w:val="24"/>
        </w:rPr>
        <w:t xml:space="preserve">One of the biggest hurdles Paytm is likely to face if it expands to Singapore is regulatory and compliance risk. The financial services landscape is highly </w:t>
      </w:r>
      <w:r w:rsidR="00690344" w:rsidRPr="00DF3A4F">
        <w:rPr>
          <w:rFonts w:ascii="Arial" w:eastAsiaTheme="majorEastAsia" w:hAnsi="Arial" w:cs="Arial"/>
          <w:bCs/>
          <w:color w:val="000000" w:themeColor="text1"/>
          <w:sz w:val="24"/>
          <w:szCs w:val="24"/>
        </w:rPr>
        <w:t>regulated,</w:t>
      </w:r>
      <w:r w:rsidRPr="00DF3A4F">
        <w:rPr>
          <w:rFonts w:ascii="Arial" w:eastAsiaTheme="majorEastAsia" w:hAnsi="Arial" w:cs="Arial"/>
          <w:bCs/>
          <w:color w:val="000000" w:themeColor="text1"/>
          <w:sz w:val="24"/>
          <w:szCs w:val="24"/>
        </w:rPr>
        <w:t xml:space="preserve"> and digital payment providers are subject to many legal, operating and reporting obligations. Financial institutions and payment service providers in Singapore are regulated by the Monetary Authority of Singapore (MAS) that has strict guidelines on payment services, anti-money laundering (AML), data protection and security of the consumers.</w:t>
      </w:r>
    </w:p>
    <w:p w14:paraId="47DEE6E0" w14:textId="77777777" w:rsidR="00133CD9" w:rsidRPr="00DF3A4F" w:rsidRDefault="00133CD9" w:rsidP="00133CD9">
      <w:pPr>
        <w:spacing w:line="360" w:lineRule="auto"/>
        <w:jc w:val="both"/>
        <w:rPr>
          <w:rFonts w:ascii="Arial" w:eastAsiaTheme="majorEastAsia" w:hAnsi="Arial" w:cs="Arial"/>
          <w:bCs/>
          <w:color w:val="000000" w:themeColor="text1"/>
          <w:sz w:val="24"/>
          <w:szCs w:val="24"/>
        </w:rPr>
      </w:pPr>
      <w:r w:rsidRPr="00DF3A4F">
        <w:rPr>
          <w:rFonts w:ascii="Arial" w:eastAsiaTheme="majorEastAsia" w:hAnsi="Arial" w:cs="Arial"/>
          <w:bCs/>
          <w:color w:val="000000" w:themeColor="text1"/>
          <w:sz w:val="24"/>
          <w:szCs w:val="24"/>
        </w:rPr>
        <w:t>While Singapore is known for its business-friendly regulatory system, the compliance requirements are extensive and continually changing. Changes to licensing requirements, transaction reporting or cyber security laws could raise up costs and slow down implementation-related activities. In addition, if compliance is not met, there may be financial penalties, operational restrictions or a damage to reputation.</w:t>
      </w:r>
    </w:p>
    <w:p w14:paraId="4D4C0534" w14:textId="77777777" w:rsidR="00133CD9" w:rsidRPr="00DF3A4F" w:rsidRDefault="00133CD9" w:rsidP="00133CD9">
      <w:pPr>
        <w:spacing w:line="360" w:lineRule="auto"/>
        <w:jc w:val="both"/>
        <w:rPr>
          <w:rFonts w:ascii="Arial" w:eastAsiaTheme="majorEastAsia" w:hAnsi="Arial" w:cs="Arial"/>
          <w:bCs/>
          <w:color w:val="000000" w:themeColor="text1"/>
          <w:sz w:val="24"/>
          <w:szCs w:val="24"/>
        </w:rPr>
      </w:pPr>
      <w:r w:rsidRPr="00DF3A4F">
        <w:rPr>
          <w:rFonts w:ascii="Arial" w:eastAsiaTheme="majorEastAsia" w:hAnsi="Arial" w:cs="Arial"/>
          <w:bCs/>
          <w:color w:val="000000" w:themeColor="text1"/>
          <w:sz w:val="24"/>
          <w:szCs w:val="24"/>
        </w:rPr>
        <w:t>This risk is of special concern as Paytm's growth plans are largely hinged on the integration of its payment ecosystem into Singapore's financial system. Regulatory approval is thus a key condition for market entry. The time required for obtaining licences or compliance requirements may result in unanticipated implementation delays, adding to project costs.</w:t>
      </w:r>
    </w:p>
    <w:p w14:paraId="78706FF5" w14:textId="68E16F04" w:rsidR="00133CD9" w:rsidRPr="00DF3A4F" w:rsidRDefault="00133CD9" w:rsidP="00133CD9">
      <w:pPr>
        <w:spacing w:line="360" w:lineRule="auto"/>
        <w:jc w:val="both"/>
        <w:rPr>
          <w:rFonts w:ascii="Arial" w:eastAsiaTheme="majorEastAsia" w:hAnsi="Arial" w:cs="Arial"/>
          <w:bCs/>
          <w:color w:val="000000" w:themeColor="text1"/>
          <w:sz w:val="24"/>
          <w:szCs w:val="24"/>
        </w:rPr>
      </w:pPr>
      <w:r w:rsidRPr="00DF3A4F">
        <w:rPr>
          <w:rFonts w:ascii="Arial" w:eastAsiaTheme="majorEastAsia" w:hAnsi="Arial" w:cs="Arial"/>
          <w:bCs/>
          <w:color w:val="000000" w:themeColor="text1"/>
          <w:sz w:val="24"/>
          <w:szCs w:val="24"/>
        </w:rPr>
        <w:t xml:space="preserve">But the regulatory risk in Singapore is less than in some other international markets where legal and regulatory frameworks are opaque and proclivity towards financial innovation is not as high. The proposed strategic alliance approach can further diminish the regulatory uncertainty by bringing in the local knowledge and existing relationship with the regulatory authorities. Therefore, regulatory compliance is identified as a high </w:t>
      </w:r>
      <w:r w:rsidR="00690344" w:rsidRPr="00DF3A4F">
        <w:rPr>
          <w:rFonts w:ascii="Arial" w:eastAsiaTheme="majorEastAsia" w:hAnsi="Arial" w:cs="Arial"/>
          <w:bCs/>
          <w:color w:val="000000" w:themeColor="text1"/>
          <w:sz w:val="24"/>
          <w:szCs w:val="24"/>
        </w:rPr>
        <w:t>risk but</w:t>
      </w:r>
      <w:r w:rsidRPr="00DF3A4F">
        <w:rPr>
          <w:rFonts w:ascii="Arial" w:eastAsiaTheme="majorEastAsia" w:hAnsi="Arial" w:cs="Arial"/>
          <w:bCs/>
          <w:color w:val="000000" w:themeColor="text1"/>
          <w:sz w:val="24"/>
          <w:szCs w:val="24"/>
        </w:rPr>
        <w:t xml:space="preserve"> can be managed by taking a proactive approach to planning, having regular checks on compliance and good stakeholder engagement.</w:t>
      </w:r>
    </w:p>
    <w:p w14:paraId="0C840291" w14:textId="77777777" w:rsidR="00133CD9" w:rsidRPr="00DF3A4F" w:rsidRDefault="00133CD9" w:rsidP="00133CD9">
      <w:pPr>
        <w:spacing w:line="360" w:lineRule="auto"/>
        <w:jc w:val="both"/>
        <w:rPr>
          <w:rFonts w:ascii="Arial" w:eastAsiaTheme="majorEastAsia" w:hAnsi="Arial" w:cs="Arial"/>
          <w:b/>
          <w:color w:val="000000" w:themeColor="text1"/>
          <w:sz w:val="24"/>
          <w:szCs w:val="24"/>
        </w:rPr>
      </w:pPr>
      <w:r w:rsidRPr="00DF3A4F">
        <w:rPr>
          <w:rFonts w:ascii="Arial" w:eastAsiaTheme="majorEastAsia" w:hAnsi="Arial" w:cs="Arial"/>
          <w:b/>
          <w:color w:val="000000" w:themeColor="text1"/>
          <w:sz w:val="24"/>
          <w:szCs w:val="24"/>
        </w:rPr>
        <w:t>8.3 Cybersecurity and Data Protection Risk</w:t>
      </w:r>
    </w:p>
    <w:p w14:paraId="3F633231" w14:textId="77777777" w:rsidR="00133CD9" w:rsidRPr="00DF3A4F" w:rsidRDefault="00133CD9" w:rsidP="00133CD9">
      <w:pPr>
        <w:spacing w:line="360" w:lineRule="auto"/>
        <w:jc w:val="both"/>
        <w:rPr>
          <w:rFonts w:ascii="Arial" w:eastAsiaTheme="majorEastAsia" w:hAnsi="Arial" w:cs="Arial"/>
          <w:bCs/>
          <w:color w:val="000000" w:themeColor="text1"/>
          <w:sz w:val="24"/>
          <w:szCs w:val="24"/>
        </w:rPr>
      </w:pPr>
      <w:r w:rsidRPr="00DF3A4F">
        <w:rPr>
          <w:rFonts w:ascii="Arial" w:eastAsiaTheme="majorEastAsia" w:hAnsi="Arial" w:cs="Arial"/>
          <w:bCs/>
          <w:color w:val="000000" w:themeColor="text1"/>
          <w:sz w:val="24"/>
          <w:szCs w:val="24"/>
        </w:rPr>
        <w:t>Another significant risk area for Paytm's global expansion is cyber security and data protection. Information technology systems and infrastructure play a crucial role in the digital payment platforms, handling transactions, customer data, and financial operations. This makes fintech companies a favourite target of cybercriminals looking for any vulnerability in the system to exploit for their gain.</w:t>
      </w:r>
    </w:p>
    <w:p w14:paraId="5B896082" w14:textId="77777777" w:rsidR="00133CD9" w:rsidRPr="00DF3A4F" w:rsidRDefault="00133CD9" w:rsidP="00133CD9">
      <w:pPr>
        <w:spacing w:line="360" w:lineRule="auto"/>
        <w:jc w:val="both"/>
        <w:rPr>
          <w:rFonts w:ascii="Arial" w:eastAsiaTheme="majorEastAsia" w:hAnsi="Arial" w:cs="Arial"/>
          <w:bCs/>
          <w:color w:val="000000" w:themeColor="text1"/>
          <w:sz w:val="24"/>
          <w:szCs w:val="24"/>
        </w:rPr>
      </w:pPr>
      <w:r w:rsidRPr="00DF3A4F">
        <w:rPr>
          <w:rFonts w:ascii="Arial" w:eastAsiaTheme="majorEastAsia" w:hAnsi="Arial" w:cs="Arial"/>
          <w:bCs/>
          <w:color w:val="000000" w:themeColor="text1"/>
          <w:sz w:val="24"/>
          <w:szCs w:val="24"/>
        </w:rPr>
        <w:t>The move to Singapore will result in more transactions on Paytm's platform and handling more substantial amounts of sensitive customer data. Data breaches, ransomware attacks, identity theft or fraudulent transactions and other cybersecurity incidents may lead to substantial financial damages and serious reputational harm. Especially within the digital payments sector, trust is paramount and a security mishap can deter usage and hinder future retention.</w:t>
      </w:r>
    </w:p>
    <w:p w14:paraId="40484BD8" w14:textId="0C6F3E54" w:rsidR="00133CD9" w:rsidRPr="00DF3A4F" w:rsidRDefault="00133CD9" w:rsidP="00133CD9">
      <w:pPr>
        <w:spacing w:line="360" w:lineRule="auto"/>
        <w:jc w:val="both"/>
        <w:rPr>
          <w:rFonts w:ascii="Arial" w:eastAsiaTheme="majorEastAsia" w:hAnsi="Arial" w:cs="Arial"/>
          <w:bCs/>
          <w:color w:val="000000" w:themeColor="text1"/>
          <w:sz w:val="24"/>
          <w:szCs w:val="24"/>
        </w:rPr>
      </w:pPr>
      <w:r w:rsidRPr="00DF3A4F">
        <w:rPr>
          <w:rFonts w:ascii="Arial" w:eastAsiaTheme="majorEastAsia" w:hAnsi="Arial" w:cs="Arial"/>
          <w:bCs/>
          <w:color w:val="000000" w:themeColor="text1"/>
          <w:sz w:val="24"/>
          <w:szCs w:val="24"/>
        </w:rPr>
        <w:t xml:space="preserve">In recent years, this risk has grown greater and greater because of the sophistication and technology of </w:t>
      </w:r>
      <w:r w:rsidR="00690344" w:rsidRPr="00DF3A4F">
        <w:rPr>
          <w:rFonts w:ascii="Arial" w:eastAsiaTheme="majorEastAsia" w:hAnsi="Arial" w:cs="Arial"/>
          <w:bCs/>
          <w:color w:val="000000" w:themeColor="text1"/>
          <w:sz w:val="24"/>
          <w:szCs w:val="24"/>
        </w:rPr>
        <w:t>cyber-attacks</w:t>
      </w:r>
      <w:r w:rsidRPr="00DF3A4F">
        <w:rPr>
          <w:rFonts w:ascii="Arial" w:eastAsiaTheme="majorEastAsia" w:hAnsi="Arial" w:cs="Arial"/>
          <w:bCs/>
          <w:color w:val="000000" w:themeColor="text1"/>
          <w:sz w:val="24"/>
          <w:szCs w:val="24"/>
        </w:rPr>
        <w:t>. Payment service providers have to face new challenges from artificial intelligence (AI)-based fraud methods, phishing and account takeover (ATO) attacks. In addition, Singapore has a robust data protection regime under the Personal Data Protection Act (PDPA), which could result in legal and regulatory liabilities if cybersecurity is not adhered to.</w:t>
      </w:r>
    </w:p>
    <w:p w14:paraId="30927789" w14:textId="77777777" w:rsidR="00133CD9" w:rsidRPr="00DF3A4F" w:rsidRDefault="00133CD9" w:rsidP="00133CD9">
      <w:pPr>
        <w:spacing w:line="360" w:lineRule="auto"/>
        <w:jc w:val="both"/>
        <w:rPr>
          <w:rFonts w:ascii="Arial" w:eastAsiaTheme="majorEastAsia" w:hAnsi="Arial" w:cs="Arial"/>
          <w:bCs/>
          <w:color w:val="000000" w:themeColor="text1"/>
          <w:sz w:val="24"/>
          <w:szCs w:val="24"/>
        </w:rPr>
      </w:pPr>
      <w:r w:rsidRPr="00DF3A4F">
        <w:rPr>
          <w:rFonts w:ascii="Arial" w:eastAsiaTheme="majorEastAsia" w:hAnsi="Arial" w:cs="Arial"/>
          <w:bCs/>
          <w:color w:val="000000" w:themeColor="text1"/>
          <w:sz w:val="24"/>
          <w:szCs w:val="24"/>
        </w:rPr>
        <w:t>However, Paytm has significant technical knowledge and experience in handling the large-scale digital payment systems, even with these concerns. The company already has state-of-the-art encryption technologies, fraud detection and multi-factor authentication systems protecting customer information and transactions. To safeguard customer trust and ensure adherence to regulations, ongoing investments in cybersecurity infrastructure, regular security audits, and employee awareness campaigns will be crucial. Thus, while the risk of cybersecurity threats continues to be high, mitigating technological measures can greatly lower the risk and impact of these threats.</w:t>
      </w:r>
    </w:p>
    <w:p w14:paraId="7E0082FB" w14:textId="77777777" w:rsidR="00133CD9" w:rsidRPr="00DF3A4F" w:rsidRDefault="00133CD9" w:rsidP="00133CD9">
      <w:pPr>
        <w:spacing w:line="360" w:lineRule="auto"/>
        <w:jc w:val="both"/>
        <w:rPr>
          <w:rFonts w:ascii="Arial" w:eastAsiaTheme="majorEastAsia" w:hAnsi="Arial" w:cs="Arial"/>
          <w:b/>
          <w:color w:val="000000" w:themeColor="text1"/>
          <w:sz w:val="24"/>
          <w:szCs w:val="24"/>
        </w:rPr>
      </w:pPr>
      <w:r w:rsidRPr="00DF3A4F">
        <w:rPr>
          <w:rFonts w:ascii="Arial" w:eastAsiaTheme="majorEastAsia" w:hAnsi="Arial" w:cs="Arial"/>
          <w:b/>
          <w:color w:val="000000" w:themeColor="text1"/>
          <w:sz w:val="24"/>
          <w:szCs w:val="24"/>
        </w:rPr>
        <w:t>8.4 Competitive Risk</w:t>
      </w:r>
    </w:p>
    <w:p w14:paraId="74ADCA92" w14:textId="77777777" w:rsidR="00133CD9" w:rsidRPr="00DF3A4F" w:rsidRDefault="00133CD9" w:rsidP="00133CD9">
      <w:pPr>
        <w:spacing w:line="360" w:lineRule="auto"/>
        <w:jc w:val="both"/>
        <w:rPr>
          <w:rFonts w:ascii="Arial" w:eastAsiaTheme="majorEastAsia" w:hAnsi="Arial" w:cs="Arial"/>
          <w:bCs/>
          <w:color w:val="000000" w:themeColor="text1"/>
          <w:sz w:val="24"/>
          <w:szCs w:val="24"/>
        </w:rPr>
      </w:pPr>
      <w:r w:rsidRPr="00DF3A4F">
        <w:rPr>
          <w:rFonts w:ascii="Arial" w:eastAsiaTheme="majorEastAsia" w:hAnsi="Arial" w:cs="Arial"/>
          <w:bCs/>
          <w:color w:val="000000" w:themeColor="text1"/>
          <w:sz w:val="24"/>
          <w:szCs w:val="24"/>
        </w:rPr>
        <w:t xml:space="preserve">The other serious hurdle that can impact Paytm's international expansion plans is competitive risk. Singapore offers a high degree of maturity and competitiveness in the fintech space, whereas emerging markets could have maturing digital payment ecosystems. There are a number of existing providers of digital payments, such as </w:t>
      </w:r>
      <w:proofErr w:type="spellStart"/>
      <w:r w:rsidRPr="00DF3A4F">
        <w:rPr>
          <w:rFonts w:ascii="Arial" w:eastAsiaTheme="majorEastAsia" w:hAnsi="Arial" w:cs="Arial"/>
          <w:bCs/>
          <w:color w:val="000000" w:themeColor="text1"/>
          <w:sz w:val="24"/>
          <w:szCs w:val="24"/>
        </w:rPr>
        <w:t>GrabPay</w:t>
      </w:r>
      <w:proofErr w:type="spellEnd"/>
      <w:r w:rsidRPr="00DF3A4F">
        <w:rPr>
          <w:rFonts w:ascii="Arial" w:eastAsiaTheme="majorEastAsia" w:hAnsi="Arial" w:cs="Arial"/>
          <w:bCs/>
          <w:color w:val="000000" w:themeColor="text1"/>
          <w:sz w:val="24"/>
          <w:szCs w:val="24"/>
        </w:rPr>
        <w:t xml:space="preserve">, Wise, DBS </w:t>
      </w:r>
      <w:proofErr w:type="spellStart"/>
      <w:r w:rsidRPr="00DF3A4F">
        <w:rPr>
          <w:rFonts w:ascii="Arial" w:eastAsiaTheme="majorEastAsia" w:hAnsi="Arial" w:cs="Arial"/>
          <w:bCs/>
          <w:color w:val="000000" w:themeColor="text1"/>
          <w:sz w:val="24"/>
          <w:szCs w:val="24"/>
        </w:rPr>
        <w:t>PayLah</w:t>
      </w:r>
      <w:proofErr w:type="spellEnd"/>
      <w:r w:rsidRPr="00DF3A4F">
        <w:rPr>
          <w:rFonts w:ascii="Arial" w:eastAsiaTheme="majorEastAsia" w:hAnsi="Arial" w:cs="Arial"/>
          <w:bCs/>
          <w:color w:val="000000" w:themeColor="text1"/>
          <w:sz w:val="24"/>
          <w:szCs w:val="24"/>
        </w:rPr>
        <w:t>!, international fintech companies and more.</w:t>
      </w:r>
    </w:p>
    <w:p w14:paraId="4A4138C0" w14:textId="77777777" w:rsidR="00133CD9" w:rsidRPr="00DF3A4F" w:rsidRDefault="00133CD9" w:rsidP="00133CD9">
      <w:pPr>
        <w:spacing w:line="360" w:lineRule="auto"/>
        <w:jc w:val="both"/>
        <w:rPr>
          <w:rFonts w:ascii="Arial" w:eastAsiaTheme="majorEastAsia" w:hAnsi="Arial" w:cs="Arial"/>
          <w:bCs/>
          <w:color w:val="000000" w:themeColor="text1"/>
          <w:sz w:val="24"/>
          <w:szCs w:val="24"/>
        </w:rPr>
      </w:pPr>
      <w:r w:rsidRPr="00DF3A4F">
        <w:rPr>
          <w:rFonts w:ascii="Arial" w:eastAsiaTheme="majorEastAsia" w:hAnsi="Arial" w:cs="Arial"/>
          <w:bCs/>
          <w:color w:val="000000" w:themeColor="text1"/>
          <w:sz w:val="24"/>
          <w:szCs w:val="24"/>
        </w:rPr>
        <w:t>These competitors have high brand awareness, customer relationships and merchant networks. As such, acquiring customers might be more challenging and costly than expected. Even the existing players can react aggressively to Paytm's entry into the market with promotional offers, pricing or service improvement plans to protect their market share.</w:t>
      </w:r>
    </w:p>
    <w:p w14:paraId="432B0560" w14:textId="77777777" w:rsidR="00133CD9" w:rsidRPr="00DF3A4F" w:rsidRDefault="00133CD9" w:rsidP="00133CD9">
      <w:pPr>
        <w:spacing w:line="360" w:lineRule="auto"/>
        <w:jc w:val="both"/>
        <w:rPr>
          <w:rFonts w:ascii="Arial" w:eastAsiaTheme="majorEastAsia" w:hAnsi="Arial" w:cs="Arial"/>
          <w:bCs/>
          <w:color w:val="000000" w:themeColor="text1"/>
          <w:sz w:val="24"/>
          <w:szCs w:val="24"/>
        </w:rPr>
      </w:pPr>
      <w:r w:rsidRPr="00DF3A4F">
        <w:rPr>
          <w:rFonts w:ascii="Arial" w:eastAsiaTheme="majorEastAsia" w:hAnsi="Arial" w:cs="Arial"/>
          <w:bCs/>
          <w:color w:val="000000" w:themeColor="text1"/>
          <w:sz w:val="24"/>
          <w:szCs w:val="24"/>
        </w:rPr>
        <w:t xml:space="preserve">One of the major hurdles of Paytm is to not directly compete on the payment only functionality. In Singapore, there are already secure and convenient payment solutions that are offered by most digital payment providers. Hence, it is essential for Paytm to have a clearly defined value proposition which should be different from the existing value proposition. The addition of UPI to Singapore's </w:t>
      </w:r>
      <w:proofErr w:type="spellStart"/>
      <w:r w:rsidRPr="00DF3A4F">
        <w:rPr>
          <w:rFonts w:ascii="Arial" w:eastAsiaTheme="majorEastAsia" w:hAnsi="Arial" w:cs="Arial"/>
          <w:bCs/>
          <w:color w:val="000000" w:themeColor="text1"/>
          <w:sz w:val="24"/>
          <w:szCs w:val="24"/>
        </w:rPr>
        <w:t>PayNow</w:t>
      </w:r>
      <w:proofErr w:type="spellEnd"/>
      <w:r w:rsidRPr="00DF3A4F">
        <w:rPr>
          <w:rFonts w:ascii="Arial" w:eastAsiaTheme="majorEastAsia" w:hAnsi="Arial" w:cs="Arial"/>
          <w:bCs/>
          <w:color w:val="000000" w:themeColor="text1"/>
          <w:sz w:val="24"/>
          <w:szCs w:val="24"/>
        </w:rPr>
        <w:t xml:space="preserve"> system gives it an edge over the competition as it allows seamless cross-border transactions between India and Singapore. This is very beneficial for Indian tourists, students, expatriates and businesses engaged in activities between both countries.</w:t>
      </w:r>
    </w:p>
    <w:p w14:paraId="647A15BB" w14:textId="5A505534" w:rsidR="00133CD9" w:rsidRPr="00DF3A4F" w:rsidRDefault="00133CD9" w:rsidP="00133CD9">
      <w:pPr>
        <w:spacing w:line="360" w:lineRule="auto"/>
        <w:jc w:val="both"/>
        <w:rPr>
          <w:rFonts w:ascii="Arial" w:eastAsiaTheme="majorEastAsia" w:hAnsi="Arial" w:cs="Arial"/>
          <w:bCs/>
          <w:color w:val="000000" w:themeColor="text1"/>
          <w:sz w:val="24"/>
          <w:szCs w:val="24"/>
        </w:rPr>
      </w:pPr>
      <w:r w:rsidRPr="00DF3A4F">
        <w:rPr>
          <w:rFonts w:ascii="Arial" w:eastAsiaTheme="majorEastAsia" w:hAnsi="Arial" w:cs="Arial"/>
          <w:bCs/>
          <w:color w:val="000000" w:themeColor="text1"/>
          <w:sz w:val="24"/>
          <w:szCs w:val="24"/>
        </w:rPr>
        <w:t xml:space="preserve">The competition poses a real </w:t>
      </w:r>
      <w:r w:rsidR="00690344" w:rsidRPr="00DF3A4F">
        <w:rPr>
          <w:rFonts w:ascii="Arial" w:eastAsiaTheme="majorEastAsia" w:hAnsi="Arial" w:cs="Arial"/>
          <w:bCs/>
          <w:color w:val="000000" w:themeColor="text1"/>
          <w:sz w:val="24"/>
          <w:szCs w:val="24"/>
        </w:rPr>
        <w:t>threat but</w:t>
      </w:r>
      <w:r w:rsidRPr="00DF3A4F">
        <w:rPr>
          <w:rFonts w:ascii="Arial" w:eastAsiaTheme="majorEastAsia" w:hAnsi="Arial" w:cs="Arial"/>
          <w:bCs/>
          <w:color w:val="000000" w:themeColor="text1"/>
          <w:sz w:val="24"/>
          <w:szCs w:val="24"/>
        </w:rPr>
        <w:t xml:space="preserve"> is also a reflection of the appeal of the Singapore market. The presence of strong competitors indicates the increasing demand for digital payment services. Paytm can target niche market segments and utilize the UPI connectivity while making strategic alliances with local institutions for a market position that differentiates itself with time and would expand its customer base. So, the competitive risk should be considered as a challenge to be overcome and not an obstacle to market entry.</w:t>
      </w:r>
    </w:p>
    <w:p w14:paraId="3AA08951" w14:textId="77777777" w:rsidR="00133CD9" w:rsidRPr="00DF3A4F" w:rsidRDefault="00133CD9" w:rsidP="00133CD9">
      <w:pPr>
        <w:spacing w:line="360" w:lineRule="auto"/>
        <w:jc w:val="both"/>
        <w:rPr>
          <w:rFonts w:ascii="Arial" w:eastAsiaTheme="majorEastAsia" w:hAnsi="Arial" w:cs="Arial"/>
          <w:b/>
          <w:color w:val="000000" w:themeColor="text1"/>
          <w:sz w:val="24"/>
          <w:szCs w:val="24"/>
        </w:rPr>
      </w:pPr>
      <w:r w:rsidRPr="00DF3A4F">
        <w:rPr>
          <w:rFonts w:ascii="Arial" w:eastAsiaTheme="majorEastAsia" w:hAnsi="Arial" w:cs="Arial"/>
          <w:b/>
          <w:color w:val="000000" w:themeColor="text1"/>
          <w:sz w:val="24"/>
          <w:szCs w:val="24"/>
        </w:rPr>
        <w:t>8.5 Market Adoption and Partnership Risk</w:t>
      </w:r>
    </w:p>
    <w:p w14:paraId="3BC0AEDC" w14:textId="77777777" w:rsidR="00133CD9" w:rsidRPr="00DF3A4F" w:rsidRDefault="00133CD9" w:rsidP="00133CD9">
      <w:pPr>
        <w:spacing w:line="360" w:lineRule="auto"/>
        <w:jc w:val="both"/>
        <w:rPr>
          <w:rFonts w:ascii="Arial" w:eastAsiaTheme="majorEastAsia" w:hAnsi="Arial" w:cs="Arial"/>
          <w:bCs/>
          <w:color w:val="000000" w:themeColor="text1"/>
          <w:sz w:val="24"/>
          <w:szCs w:val="24"/>
        </w:rPr>
      </w:pPr>
      <w:r w:rsidRPr="00DF3A4F">
        <w:rPr>
          <w:rFonts w:ascii="Arial" w:eastAsiaTheme="majorEastAsia" w:hAnsi="Arial" w:cs="Arial"/>
          <w:bCs/>
          <w:color w:val="000000" w:themeColor="text1"/>
          <w:sz w:val="24"/>
          <w:szCs w:val="24"/>
        </w:rPr>
        <w:t>Customer adoption and successful development of partnership is the key to Paytm's proposed expansion. Market adoption risk occurs when there are discrepancies between what customers do and what is projected. Financial forecasts mentioned in Chapter 7 state that enough customers and retailers will use Paytm's services during the implementation phase. Adoption if lower than expected could lead to less revenue growth and failure to meet profitability targets.</w:t>
      </w:r>
    </w:p>
    <w:p w14:paraId="6A00FDDE" w14:textId="77777777" w:rsidR="00133CD9" w:rsidRPr="00DF3A4F" w:rsidRDefault="00133CD9" w:rsidP="00133CD9">
      <w:pPr>
        <w:spacing w:line="360" w:lineRule="auto"/>
        <w:jc w:val="both"/>
        <w:rPr>
          <w:rFonts w:ascii="Arial" w:eastAsiaTheme="majorEastAsia" w:hAnsi="Arial" w:cs="Arial"/>
          <w:bCs/>
          <w:color w:val="000000" w:themeColor="text1"/>
          <w:sz w:val="24"/>
          <w:szCs w:val="24"/>
        </w:rPr>
      </w:pPr>
      <w:r w:rsidRPr="00DF3A4F">
        <w:rPr>
          <w:rFonts w:ascii="Arial" w:eastAsiaTheme="majorEastAsia" w:hAnsi="Arial" w:cs="Arial"/>
          <w:bCs/>
          <w:color w:val="000000" w:themeColor="text1"/>
          <w:sz w:val="24"/>
          <w:szCs w:val="24"/>
        </w:rPr>
        <w:t>There are several factors, which might affect the adoption by customers. Consumers may already be happy with their current payment providers and may feel that there is not much to gain in changing providers. Likewise, merchants might be hesitant to incorporate another payment system just in case the benefits are not obvious. These can also lead to higher cost of acquiring customers and longer time needed to reach break-even.</w:t>
      </w:r>
    </w:p>
    <w:p w14:paraId="43182695" w14:textId="77777777" w:rsidR="00133CD9" w:rsidRPr="00DF3A4F" w:rsidRDefault="00133CD9" w:rsidP="00133CD9">
      <w:pPr>
        <w:spacing w:line="360" w:lineRule="auto"/>
        <w:jc w:val="both"/>
        <w:rPr>
          <w:rFonts w:ascii="Arial" w:eastAsiaTheme="majorEastAsia" w:hAnsi="Arial" w:cs="Arial"/>
          <w:bCs/>
          <w:color w:val="000000" w:themeColor="text1"/>
          <w:sz w:val="24"/>
          <w:szCs w:val="24"/>
        </w:rPr>
      </w:pPr>
      <w:r w:rsidRPr="00DF3A4F">
        <w:rPr>
          <w:rFonts w:ascii="Arial" w:eastAsiaTheme="majorEastAsia" w:hAnsi="Arial" w:cs="Arial"/>
          <w:bCs/>
          <w:color w:val="000000" w:themeColor="text1"/>
          <w:sz w:val="24"/>
          <w:szCs w:val="24"/>
        </w:rPr>
        <w:t>The relationship risk is closely associated with market adoption because of Paytm's entry strategy is based on strategic associations with local payment service providers and financial institutions. The success of these partnerships will have a significant impact on operation, regulatory compliance and customer acquisition. The implementation activities could be postponed if strategic partners don't perform as expected or if cooperation problems arise.</w:t>
      </w:r>
    </w:p>
    <w:p w14:paraId="108D026A" w14:textId="77777777" w:rsidR="00133CD9" w:rsidRPr="00DF3A4F" w:rsidRDefault="00133CD9" w:rsidP="00133CD9">
      <w:pPr>
        <w:spacing w:line="360" w:lineRule="auto"/>
        <w:jc w:val="both"/>
        <w:rPr>
          <w:rFonts w:ascii="Arial" w:eastAsiaTheme="majorEastAsia" w:hAnsi="Arial" w:cs="Arial"/>
          <w:bCs/>
          <w:color w:val="000000" w:themeColor="text1"/>
          <w:sz w:val="24"/>
          <w:szCs w:val="24"/>
        </w:rPr>
      </w:pPr>
      <w:r w:rsidRPr="00DF3A4F">
        <w:rPr>
          <w:rFonts w:ascii="Arial" w:eastAsiaTheme="majorEastAsia" w:hAnsi="Arial" w:cs="Arial"/>
          <w:bCs/>
          <w:color w:val="000000" w:themeColor="text1"/>
          <w:sz w:val="24"/>
          <w:szCs w:val="24"/>
        </w:rPr>
        <w:t>However, there are significant benefits to the proposed alliance approach as well. Local partners bring market knowledge, customer relationships and regulatory understanding that can help ease the path to market entry and minimize uncertainty. The suggested phased implementation approach in chapter 9 also reduces the risk involved in market adoption as Paytm can get insights on the customers' response during the pilot phase before it invests further resources in expansion.</w:t>
      </w:r>
    </w:p>
    <w:p w14:paraId="0CA25FA6" w14:textId="77777777" w:rsidR="00133CD9" w:rsidRPr="00DF3A4F" w:rsidRDefault="00133CD9" w:rsidP="00133CD9">
      <w:pPr>
        <w:spacing w:line="360" w:lineRule="auto"/>
        <w:jc w:val="both"/>
        <w:rPr>
          <w:rFonts w:ascii="Arial" w:eastAsiaTheme="majorEastAsia" w:hAnsi="Arial" w:cs="Arial"/>
          <w:b/>
          <w:color w:val="000000" w:themeColor="text1"/>
          <w:sz w:val="24"/>
          <w:szCs w:val="24"/>
        </w:rPr>
      </w:pPr>
      <w:r w:rsidRPr="00DF3A4F">
        <w:rPr>
          <w:rFonts w:ascii="Arial" w:eastAsiaTheme="majorEastAsia" w:hAnsi="Arial" w:cs="Arial"/>
          <w:b/>
          <w:color w:val="000000" w:themeColor="text1"/>
          <w:sz w:val="24"/>
          <w:szCs w:val="24"/>
        </w:rPr>
        <w:t>8.6 Risk Matrix</w:t>
      </w:r>
    </w:p>
    <w:p w14:paraId="4C3C0D30" w14:textId="77777777" w:rsidR="00133CD9" w:rsidRPr="00DF3A4F" w:rsidRDefault="00133CD9" w:rsidP="00133CD9">
      <w:pPr>
        <w:spacing w:line="360" w:lineRule="auto"/>
        <w:jc w:val="both"/>
        <w:rPr>
          <w:rFonts w:ascii="Arial" w:eastAsiaTheme="majorEastAsia" w:hAnsi="Arial" w:cs="Arial"/>
          <w:b/>
          <w:color w:val="000000" w:themeColor="text1"/>
          <w:sz w:val="24"/>
          <w:szCs w:val="24"/>
        </w:rPr>
      </w:pPr>
      <w:r w:rsidRPr="00DF3A4F">
        <w:rPr>
          <w:rFonts w:ascii="Arial" w:eastAsiaTheme="majorEastAsia" w:hAnsi="Arial" w:cs="Arial"/>
          <w:b/>
          <w:color w:val="000000" w:themeColor="text1"/>
          <w:sz w:val="24"/>
          <w:szCs w:val="24"/>
        </w:rPr>
        <w:t>Table 8.1: Risk Assessment Matrix</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284"/>
        <w:gridCol w:w="1321"/>
        <w:gridCol w:w="854"/>
        <w:gridCol w:w="2163"/>
      </w:tblGrid>
      <w:tr w:rsidR="00133CD9" w:rsidRPr="00DF3A4F" w14:paraId="22867823" w14:textId="77777777" w:rsidTr="00CD61E4">
        <w:trPr>
          <w:tblHeader/>
          <w:tblCellSpacing w:w="15" w:type="dxa"/>
        </w:trPr>
        <w:tc>
          <w:tcPr>
            <w:tcW w:w="0" w:type="auto"/>
            <w:vAlign w:val="center"/>
            <w:hideMark/>
          </w:tcPr>
          <w:p w14:paraId="36D2D8E2" w14:textId="77777777" w:rsidR="00133CD9" w:rsidRPr="00DF3A4F" w:rsidRDefault="00133CD9" w:rsidP="00CD61E4">
            <w:pPr>
              <w:spacing w:line="360" w:lineRule="auto"/>
              <w:jc w:val="both"/>
              <w:rPr>
                <w:rFonts w:ascii="Arial" w:eastAsiaTheme="majorEastAsia" w:hAnsi="Arial" w:cs="Arial"/>
                <w:b/>
                <w:bCs/>
                <w:color w:val="000000" w:themeColor="text1"/>
                <w:sz w:val="24"/>
                <w:szCs w:val="24"/>
              </w:rPr>
            </w:pPr>
            <w:r w:rsidRPr="00DF3A4F">
              <w:rPr>
                <w:rFonts w:ascii="Arial" w:eastAsiaTheme="majorEastAsia" w:hAnsi="Arial" w:cs="Arial"/>
                <w:b/>
                <w:bCs/>
                <w:color w:val="000000" w:themeColor="text1"/>
                <w:sz w:val="24"/>
                <w:szCs w:val="24"/>
              </w:rPr>
              <w:t>Risk Category</w:t>
            </w:r>
          </w:p>
        </w:tc>
        <w:tc>
          <w:tcPr>
            <w:tcW w:w="0" w:type="auto"/>
            <w:vAlign w:val="center"/>
            <w:hideMark/>
          </w:tcPr>
          <w:p w14:paraId="51D725E6" w14:textId="77777777" w:rsidR="00133CD9" w:rsidRPr="00DF3A4F" w:rsidRDefault="00133CD9" w:rsidP="00CD61E4">
            <w:pPr>
              <w:spacing w:line="360" w:lineRule="auto"/>
              <w:jc w:val="both"/>
              <w:rPr>
                <w:rFonts w:ascii="Arial" w:eastAsiaTheme="majorEastAsia" w:hAnsi="Arial" w:cs="Arial"/>
                <w:b/>
                <w:bCs/>
                <w:color w:val="000000" w:themeColor="text1"/>
                <w:sz w:val="24"/>
                <w:szCs w:val="24"/>
              </w:rPr>
            </w:pPr>
            <w:r w:rsidRPr="00DF3A4F">
              <w:rPr>
                <w:rFonts w:ascii="Arial" w:eastAsiaTheme="majorEastAsia" w:hAnsi="Arial" w:cs="Arial"/>
                <w:b/>
                <w:bCs/>
                <w:color w:val="000000" w:themeColor="text1"/>
                <w:sz w:val="24"/>
                <w:szCs w:val="24"/>
              </w:rPr>
              <w:t>Probability</w:t>
            </w:r>
          </w:p>
        </w:tc>
        <w:tc>
          <w:tcPr>
            <w:tcW w:w="0" w:type="auto"/>
            <w:vAlign w:val="center"/>
            <w:hideMark/>
          </w:tcPr>
          <w:p w14:paraId="45D5D38D" w14:textId="77777777" w:rsidR="00133CD9" w:rsidRPr="00DF3A4F" w:rsidRDefault="00133CD9" w:rsidP="00CD61E4">
            <w:pPr>
              <w:spacing w:line="360" w:lineRule="auto"/>
              <w:jc w:val="both"/>
              <w:rPr>
                <w:rFonts w:ascii="Arial" w:eastAsiaTheme="majorEastAsia" w:hAnsi="Arial" w:cs="Arial"/>
                <w:b/>
                <w:bCs/>
                <w:color w:val="000000" w:themeColor="text1"/>
                <w:sz w:val="24"/>
                <w:szCs w:val="24"/>
              </w:rPr>
            </w:pPr>
            <w:r w:rsidRPr="00DF3A4F">
              <w:rPr>
                <w:rFonts w:ascii="Arial" w:eastAsiaTheme="majorEastAsia" w:hAnsi="Arial" w:cs="Arial"/>
                <w:b/>
                <w:bCs/>
                <w:color w:val="000000" w:themeColor="text1"/>
                <w:sz w:val="24"/>
                <w:szCs w:val="24"/>
              </w:rPr>
              <w:t>Impact</w:t>
            </w:r>
          </w:p>
        </w:tc>
        <w:tc>
          <w:tcPr>
            <w:tcW w:w="0" w:type="auto"/>
            <w:vAlign w:val="center"/>
            <w:hideMark/>
          </w:tcPr>
          <w:p w14:paraId="3721B0C0" w14:textId="77777777" w:rsidR="00133CD9" w:rsidRPr="00DF3A4F" w:rsidRDefault="00133CD9" w:rsidP="00CD61E4">
            <w:pPr>
              <w:spacing w:line="360" w:lineRule="auto"/>
              <w:jc w:val="both"/>
              <w:rPr>
                <w:rFonts w:ascii="Arial" w:eastAsiaTheme="majorEastAsia" w:hAnsi="Arial" w:cs="Arial"/>
                <w:b/>
                <w:bCs/>
                <w:color w:val="000000" w:themeColor="text1"/>
                <w:sz w:val="24"/>
                <w:szCs w:val="24"/>
              </w:rPr>
            </w:pPr>
            <w:r w:rsidRPr="00DF3A4F">
              <w:rPr>
                <w:rFonts w:ascii="Arial" w:eastAsiaTheme="majorEastAsia" w:hAnsi="Arial" w:cs="Arial"/>
                <w:b/>
                <w:bCs/>
                <w:color w:val="000000" w:themeColor="text1"/>
                <w:sz w:val="24"/>
                <w:szCs w:val="24"/>
              </w:rPr>
              <w:t>Overall Risk Level</w:t>
            </w:r>
          </w:p>
        </w:tc>
      </w:tr>
      <w:tr w:rsidR="00133CD9" w:rsidRPr="00DF3A4F" w14:paraId="0FFBFA16" w14:textId="77777777" w:rsidTr="00CD61E4">
        <w:trPr>
          <w:tblCellSpacing w:w="15" w:type="dxa"/>
        </w:trPr>
        <w:tc>
          <w:tcPr>
            <w:tcW w:w="0" w:type="auto"/>
            <w:vAlign w:val="center"/>
            <w:hideMark/>
          </w:tcPr>
          <w:p w14:paraId="1BBBAE02" w14:textId="77777777" w:rsidR="00133CD9" w:rsidRPr="00DF3A4F" w:rsidRDefault="00133CD9" w:rsidP="00CD61E4">
            <w:pPr>
              <w:spacing w:line="360" w:lineRule="auto"/>
              <w:jc w:val="both"/>
              <w:rPr>
                <w:rFonts w:ascii="Arial" w:eastAsiaTheme="majorEastAsia" w:hAnsi="Arial" w:cs="Arial"/>
                <w:bCs/>
                <w:color w:val="000000" w:themeColor="text1"/>
                <w:sz w:val="24"/>
                <w:szCs w:val="24"/>
              </w:rPr>
            </w:pPr>
            <w:r w:rsidRPr="00DF3A4F">
              <w:rPr>
                <w:rFonts w:ascii="Arial" w:eastAsiaTheme="majorEastAsia" w:hAnsi="Arial" w:cs="Arial"/>
                <w:bCs/>
                <w:color w:val="000000" w:themeColor="text1"/>
                <w:sz w:val="24"/>
                <w:szCs w:val="24"/>
              </w:rPr>
              <w:t>Regulatory and Compliance Risk</w:t>
            </w:r>
          </w:p>
        </w:tc>
        <w:tc>
          <w:tcPr>
            <w:tcW w:w="0" w:type="auto"/>
            <w:vAlign w:val="center"/>
            <w:hideMark/>
          </w:tcPr>
          <w:p w14:paraId="0A0F4DA9" w14:textId="77777777" w:rsidR="00133CD9" w:rsidRPr="00DF3A4F" w:rsidRDefault="00133CD9" w:rsidP="00CD61E4">
            <w:pPr>
              <w:spacing w:line="360" w:lineRule="auto"/>
              <w:jc w:val="both"/>
              <w:rPr>
                <w:rFonts w:ascii="Arial" w:eastAsiaTheme="majorEastAsia" w:hAnsi="Arial" w:cs="Arial"/>
                <w:bCs/>
                <w:color w:val="000000" w:themeColor="text1"/>
                <w:sz w:val="24"/>
                <w:szCs w:val="24"/>
              </w:rPr>
            </w:pPr>
            <w:r w:rsidRPr="00DF3A4F">
              <w:rPr>
                <w:rFonts w:ascii="Arial" w:eastAsiaTheme="majorEastAsia" w:hAnsi="Arial" w:cs="Arial"/>
                <w:bCs/>
                <w:color w:val="000000" w:themeColor="text1"/>
                <w:sz w:val="24"/>
                <w:szCs w:val="24"/>
              </w:rPr>
              <w:t>Medium</w:t>
            </w:r>
          </w:p>
        </w:tc>
        <w:tc>
          <w:tcPr>
            <w:tcW w:w="0" w:type="auto"/>
            <w:vAlign w:val="center"/>
            <w:hideMark/>
          </w:tcPr>
          <w:p w14:paraId="0822F216" w14:textId="77777777" w:rsidR="00133CD9" w:rsidRPr="00DF3A4F" w:rsidRDefault="00133CD9" w:rsidP="00CD61E4">
            <w:pPr>
              <w:spacing w:line="360" w:lineRule="auto"/>
              <w:jc w:val="both"/>
              <w:rPr>
                <w:rFonts w:ascii="Arial" w:eastAsiaTheme="majorEastAsia" w:hAnsi="Arial" w:cs="Arial"/>
                <w:bCs/>
                <w:color w:val="000000" w:themeColor="text1"/>
                <w:sz w:val="24"/>
                <w:szCs w:val="24"/>
              </w:rPr>
            </w:pPr>
            <w:r w:rsidRPr="00DF3A4F">
              <w:rPr>
                <w:rFonts w:ascii="Arial" w:eastAsiaTheme="majorEastAsia" w:hAnsi="Arial" w:cs="Arial"/>
                <w:bCs/>
                <w:color w:val="000000" w:themeColor="text1"/>
                <w:sz w:val="24"/>
                <w:szCs w:val="24"/>
              </w:rPr>
              <w:t>High</w:t>
            </w:r>
          </w:p>
        </w:tc>
        <w:tc>
          <w:tcPr>
            <w:tcW w:w="0" w:type="auto"/>
            <w:vAlign w:val="center"/>
            <w:hideMark/>
          </w:tcPr>
          <w:p w14:paraId="3FADF77B" w14:textId="77777777" w:rsidR="00133CD9" w:rsidRPr="00DF3A4F" w:rsidRDefault="00133CD9" w:rsidP="00CD61E4">
            <w:pPr>
              <w:spacing w:line="360" w:lineRule="auto"/>
              <w:jc w:val="both"/>
              <w:rPr>
                <w:rFonts w:ascii="Arial" w:eastAsiaTheme="majorEastAsia" w:hAnsi="Arial" w:cs="Arial"/>
                <w:bCs/>
                <w:color w:val="000000" w:themeColor="text1"/>
                <w:sz w:val="24"/>
                <w:szCs w:val="24"/>
              </w:rPr>
            </w:pPr>
            <w:r w:rsidRPr="00DF3A4F">
              <w:rPr>
                <w:rFonts w:ascii="Arial" w:eastAsiaTheme="majorEastAsia" w:hAnsi="Arial" w:cs="Arial"/>
                <w:bCs/>
                <w:color w:val="000000" w:themeColor="text1"/>
                <w:sz w:val="24"/>
                <w:szCs w:val="24"/>
              </w:rPr>
              <w:t>High</w:t>
            </w:r>
          </w:p>
        </w:tc>
      </w:tr>
      <w:tr w:rsidR="00133CD9" w:rsidRPr="00DF3A4F" w14:paraId="0500B1DA" w14:textId="77777777" w:rsidTr="00CD61E4">
        <w:trPr>
          <w:tblCellSpacing w:w="15" w:type="dxa"/>
        </w:trPr>
        <w:tc>
          <w:tcPr>
            <w:tcW w:w="0" w:type="auto"/>
            <w:vAlign w:val="center"/>
            <w:hideMark/>
          </w:tcPr>
          <w:p w14:paraId="50B5CDA5" w14:textId="77777777" w:rsidR="00133CD9" w:rsidRPr="00DF3A4F" w:rsidRDefault="00133CD9" w:rsidP="00CD61E4">
            <w:pPr>
              <w:spacing w:line="360" w:lineRule="auto"/>
              <w:jc w:val="both"/>
              <w:rPr>
                <w:rFonts w:ascii="Arial" w:eastAsiaTheme="majorEastAsia" w:hAnsi="Arial" w:cs="Arial"/>
                <w:bCs/>
                <w:color w:val="000000" w:themeColor="text1"/>
                <w:sz w:val="24"/>
                <w:szCs w:val="24"/>
              </w:rPr>
            </w:pPr>
            <w:r w:rsidRPr="00DF3A4F">
              <w:rPr>
                <w:rFonts w:ascii="Arial" w:eastAsiaTheme="majorEastAsia" w:hAnsi="Arial" w:cs="Arial"/>
                <w:bCs/>
                <w:color w:val="000000" w:themeColor="text1"/>
                <w:sz w:val="24"/>
                <w:szCs w:val="24"/>
              </w:rPr>
              <w:t>Cybersecurity and Data Protection Risk</w:t>
            </w:r>
          </w:p>
        </w:tc>
        <w:tc>
          <w:tcPr>
            <w:tcW w:w="0" w:type="auto"/>
            <w:vAlign w:val="center"/>
            <w:hideMark/>
          </w:tcPr>
          <w:p w14:paraId="699F20DC" w14:textId="77777777" w:rsidR="00133CD9" w:rsidRPr="00DF3A4F" w:rsidRDefault="00133CD9" w:rsidP="00CD61E4">
            <w:pPr>
              <w:spacing w:line="360" w:lineRule="auto"/>
              <w:jc w:val="both"/>
              <w:rPr>
                <w:rFonts w:ascii="Arial" w:eastAsiaTheme="majorEastAsia" w:hAnsi="Arial" w:cs="Arial"/>
                <w:bCs/>
                <w:color w:val="000000" w:themeColor="text1"/>
                <w:sz w:val="24"/>
                <w:szCs w:val="24"/>
              </w:rPr>
            </w:pPr>
            <w:r w:rsidRPr="00DF3A4F">
              <w:rPr>
                <w:rFonts w:ascii="Arial" w:eastAsiaTheme="majorEastAsia" w:hAnsi="Arial" w:cs="Arial"/>
                <w:bCs/>
                <w:color w:val="000000" w:themeColor="text1"/>
                <w:sz w:val="24"/>
                <w:szCs w:val="24"/>
              </w:rPr>
              <w:t>Medium</w:t>
            </w:r>
          </w:p>
        </w:tc>
        <w:tc>
          <w:tcPr>
            <w:tcW w:w="0" w:type="auto"/>
            <w:vAlign w:val="center"/>
            <w:hideMark/>
          </w:tcPr>
          <w:p w14:paraId="18BC83AC" w14:textId="77777777" w:rsidR="00133CD9" w:rsidRPr="00DF3A4F" w:rsidRDefault="00133CD9" w:rsidP="00CD61E4">
            <w:pPr>
              <w:spacing w:line="360" w:lineRule="auto"/>
              <w:jc w:val="both"/>
              <w:rPr>
                <w:rFonts w:ascii="Arial" w:eastAsiaTheme="majorEastAsia" w:hAnsi="Arial" w:cs="Arial"/>
                <w:bCs/>
                <w:color w:val="000000" w:themeColor="text1"/>
                <w:sz w:val="24"/>
                <w:szCs w:val="24"/>
              </w:rPr>
            </w:pPr>
            <w:r w:rsidRPr="00DF3A4F">
              <w:rPr>
                <w:rFonts w:ascii="Arial" w:eastAsiaTheme="majorEastAsia" w:hAnsi="Arial" w:cs="Arial"/>
                <w:bCs/>
                <w:color w:val="000000" w:themeColor="text1"/>
                <w:sz w:val="24"/>
                <w:szCs w:val="24"/>
              </w:rPr>
              <w:t>High</w:t>
            </w:r>
          </w:p>
        </w:tc>
        <w:tc>
          <w:tcPr>
            <w:tcW w:w="0" w:type="auto"/>
            <w:vAlign w:val="center"/>
            <w:hideMark/>
          </w:tcPr>
          <w:p w14:paraId="1314189B" w14:textId="77777777" w:rsidR="00133CD9" w:rsidRPr="00DF3A4F" w:rsidRDefault="00133CD9" w:rsidP="00CD61E4">
            <w:pPr>
              <w:spacing w:line="360" w:lineRule="auto"/>
              <w:jc w:val="both"/>
              <w:rPr>
                <w:rFonts w:ascii="Arial" w:eastAsiaTheme="majorEastAsia" w:hAnsi="Arial" w:cs="Arial"/>
                <w:bCs/>
                <w:color w:val="000000" w:themeColor="text1"/>
                <w:sz w:val="24"/>
                <w:szCs w:val="24"/>
              </w:rPr>
            </w:pPr>
            <w:r w:rsidRPr="00DF3A4F">
              <w:rPr>
                <w:rFonts w:ascii="Arial" w:eastAsiaTheme="majorEastAsia" w:hAnsi="Arial" w:cs="Arial"/>
                <w:bCs/>
                <w:color w:val="000000" w:themeColor="text1"/>
                <w:sz w:val="24"/>
                <w:szCs w:val="24"/>
              </w:rPr>
              <w:t>High</w:t>
            </w:r>
          </w:p>
        </w:tc>
      </w:tr>
      <w:tr w:rsidR="00133CD9" w:rsidRPr="00DF3A4F" w14:paraId="38A32006" w14:textId="77777777" w:rsidTr="00CD61E4">
        <w:trPr>
          <w:tblCellSpacing w:w="15" w:type="dxa"/>
        </w:trPr>
        <w:tc>
          <w:tcPr>
            <w:tcW w:w="0" w:type="auto"/>
            <w:vAlign w:val="center"/>
            <w:hideMark/>
          </w:tcPr>
          <w:p w14:paraId="06B3ACE0" w14:textId="77777777" w:rsidR="00133CD9" w:rsidRPr="00DF3A4F" w:rsidRDefault="00133CD9" w:rsidP="00CD61E4">
            <w:pPr>
              <w:spacing w:line="360" w:lineRule="auto"/>
              <w:jc w:val="both"/>
              <w:rPr>
                <w:rFonts w:ascii="Arial" w:eastAsiaTheme="majorEastAsia" w:hAnsi="Arial" w:cs="Arial"/>
                <w:bCs/>
                <w:color w:val="000000" w:themeColor="text1"/>
                <w:sz w:val="24"/>
                <w:szCs w:val="24"/>
              </w:rPr>
            </w:pPr>
            <w:r w:rsidRPr="00DF3A4F">
              <w:rPr>
                <w:rFonts w:ascii="Arial" w:eastAsiaTheme="majorEastAsia" w:hAnsi="Arial" w:cs="Arial"/>
                <w:bCs/>
                <w:color w:val="000000" w:themeColor="text1"/>
                <w:sz w:val="24"/>
                <w:szCs w:val="24"/>
              </w:rPr>
              <w:t>Competitive Risk</w:t>
            </w:r>
          </w:p>
        </w:tc>
        <w:tc>
          <w:tcPr>
            <w:tcW w:w="0" w:type="auto"/>
            <w:vAlign w:val="center"/>
            <w:hideMark/>
          </w:tcPr>
          <w:p w14:paraId="35FBB517" w14:textId="77777777" w:rsidR="00133CD9" w:rsidRPr="00DF3A4F" w:rsidRDefault="00133CD9" w:rsidP="00CD61E4">
            <w:pPr>
              <w:spacing w:line="360" w:lineRule="auto"/>
              <w:jc w:val="both"/>
              <w:rPr>
                <w:rFonts w:ascii="Arial" w:eastAsiaTheme="majorEastAsia" w:hAnsi="Arial" w:cs="Arial"/>
                <w:bCs/>
                <w:color w:val="000000" w:themeColor="text1"/>
                <w:sz w:val="24"/>
                <w:szCs w:val="24"/>
              </w:rPr>
            </w:pPr>
            <w:r w:rsidRPr="00DF3A4F">
              <w:rPr>
                <w:rFonts w:ascii="Arial" w:eastAsiaTheme="majorEastAsia" w:hAnsi="Arial" w:cs="Arial"/>
                <w:bCs/>
                <w:color w:val="000000" w:themeColor="text1"/>
                <w:sz w:val="24"/>
                <w:szCs w:val="24"/>
              </w:rPr>
              <w:t>High</w:t>
            </w:r>
          </w:p>
        </w:tc>
        <w:tc>
          <w:tcPr>
            <w:tcW w:w="0" w:type="auto"/>
            <w:vAlign w:val="center"/>
            <w:hideMark/>
          </w:tcPr>
          <w:p w14:paraId="145EF12D" w14:textId="77777777" w:rsidR="00133CD9" w:rsidRPr="00DF3A4F" w:rsidRDefault="00133CD9" w:rsidP="00CD61E4">
            <w:pPr>
              <w:spacing w:line="360" w:lineRule="auto"/>
              <w:jc w:val="both"/>
              <w:rPr>
                <w:rFonts w:ascii="Arial" w:eastAsiaTheme="majorEastAsia" w:hAnsi="Arial" w:cs="Arial"/>
                <w:bCs/>
                <w:color w:val="000000" w:themeColor="text1"/>
                <w:sz w:val="24"/>
                <w:szCs w:val="24"/>
              </w:rPr>
            </w:pPr>
            <w:r w:rsidRPr="00DF3A4F">
              <w:rPr>
                <w:rFonts w:ascii="Arial" w:eastAsiaTheme="majorEastAsia" w:hAnsi="Arial" w:cs="Arial"/>
                <w:bCs/>
                <w:color w:val="000000" w:themeColor="text1"/>
                <w:sz w:val="24"/>
                <w:szCs w:val="24"/>
              </w:rPr>
              <w:t>High</w:t>
            </w:r>
          </w:p>
        </w:tc>
        <w:tc>
          <w:tcPr>
            <w:tcW w:w="0" w:type="auto"/>
            <w:vAlign w:val="center"/>
            <w:hideMark/>
          </w:tcPr>
          <w:p w14:paraId="1956F935" w14:textId="77777777" w:rsidR="00133CD9" w:rsidRPr="00DF3A4F" w:rsidRDefault="00133CD9" w:rsidP="00CD61E4">
            <w:pPr>
              <w:spacing w:line="360" w:lineRule="auto"/>
              <w:jc w:val="both"/>
              <w:rPr>
                <w:rFonts w:ascii="Arial" w:eastAsiaTheme="majorEastAsia" w:hAnsi="Arial" w:cs="Arial"/>
                <w:bCs/>
                <w:color w:val="000000" w:themeColor="text1"/>
                <w:sz w:val="24"/>
                <w:szCs w:val="24"/>
              </w:rPr>
            </w:pPr>
            <w:r w:rsidRPr="00DF3A4F">
              <w:rPr>
                <w:rFonts w:ascii="Arial" w:eastAsiaTheme="majorEastAsia" w:hAnsi="Arial" w:cs="Arial"/>
                <w:bCs/>
                <w:color w:val="000000" w:themeColor="text1"/>
                <w:sz w:val="24"/>
                <w:szCs w:val="24"/>
              </w:rPr>
              <w:t>High</w:t>
            </w:r>
          </w:p>
        </w:tc>
      </w:tr>
      <w:tr w:rsidR="00133CD9" w:rsidRPr="00DF3A4F" w14:paraId="4CE80F57" w14:textId="77777777" w:rsidTr="00CD61E4">
        <w:trPr>
          <w:tblCellSpacing w:w="15" w:type="dxa"/>
        </w:trPr>
        <w:tc>
          <w:tcPr>
            <w:tcW w:w="0" w:type="auto"/>
            <w:vAlign w:val="center"/>
            <w:hideMark/>
          </w:tcPr>
          <w:p w14:paraId="651061BD" w14:textId="77777777" w:rsidR="00133CD9" w:rsidRPr="00DF3A4F" w:rsidRDefault="00133CD9" w:rsidP="00CD61E4">
            <w:pPr>
              <w:spacing w:line="360" w:lineRule="auto"/>
              <w:jc w:val="both"/>
              <w:rPr>
                <w:rFonts w:ascii="Arial" w:eastAsiaTheme="majorEastAsia" w:hAnsi="Arial" w:cs="Arial"/>
                <w:bCs/>
                <w:color w:val="000000" w:themeColor="text1"/>
                <w:sz w:val="24"/>
                <w:szCs w:val="24"/>
              </w:rPr>
            </w:pPr>
            <w:r w:rsidRPr="00DF3A4F">
              <w:rPr>
                <w:rFonts w:ascii="Arial" w:eastAsiaTheme="majorEastAsia" w:hAnsi="Arial" w:cs="Arial"/>
                <w:bCs/>
                <w:color w:val="000000" w:themeColor="text1"/>
                <w:sz w:val="24"/>
                <w:szCs w:val="24"/>
              </w:rPr>
              <w:t>Market Adoption and Partnership Risk</w:t>
            </w:r>
          </w:p>
        </w:tc>
        <w:tc>
          <w:tcPr>
            <w:tcW w:w="0" w:type="auto"/>
            <w:vAlign w:val="center"/>
            <w:hideMark/>
          </w:tcPr>
          <w:p w14:paraId="40828E84" w14:textId="77777777" w:rsidR="00133CD9" w:rsidRPr="00DF3A4F" w:rsidRDefault="00133CD9" w:rsidP="00CD61E4">
            <w:pPr>
              <w:spacing w:line="360" w:lineRule="auto"/>
              <w:jc w:val="both"/>
              <w:rPr>
                <w:rFonts w:ascii="Arial" w:eastAsiaTheme="majorEastAsia" w:hAnsi="Arial" w:cs="Arial"/>
                <w:bCs/>
                <w:color w:val="000000" w:themeColor="text1"/>
                <w:sz w:val="24"/>
                <w:szCs w:val="24"/>
              </w:rPr>
            </w:pPr>
            <w:r w:rsidRPr="00DF3A4F">
              <w:rPr>
                <w:rFonts w:ascii="Arial" w:eastAsiaTheme="majorEastAsia" w:hAnsi="Arial" w:cs="Arial"/>
                <w:bCs/>
                <w:color w:val="000000" w:themeColor="text1"/>
                <w:sz w:val="24"/>
                <w:szCs w:val="24"/>
              </w:rPr>
              <w:t>Medium</w:t>
            </w:r>
          </w:p>
        </w:tc>
        <w:tc>
          <w:tcPr>
            <w:tcW w:w="0" w:type="auto"/>
            <w:vAlign w:val="center"/>
            <w:hideMark/>
          </w:tcPr>
          <w:p w14:paraId="6BA22548" w14:textId="77777777" w:rsidR="00133CD9" w:rsidRPr="00DF3A4F" w:rsidRDefault="00133CD9" w:rsidP="00CD61E4">
            <w:pPr>
              <w:spacing w:line="360" w:lineRule="auto"/>
              <w:jc w:val="both"/>
              <w:rPr>
                <w:rFonts w:ascii="Arial" w:eastAsiaTheme="majorEastAsia" w:hAnsi="Arial" w:cs="Arial"/>
                <w:bCs/>
                <w:color w:val="000000" w:themeColor="text1"/>
                <w:sz w:val="24"/>
                <w:szCs w:val="24"/>
              </w:rPr>
            </w:pPr>
            <w:r w:rsidRPr="00DF3A4F">
              <w:rPr>
                <w:rFonts w:ascii="Arial" w:eastAsiaTheme="majorEastAsia" w:hAnsi="Arial" w:cs="Arial"/>
                <w:bCs/>
                <w:color w:val="000000" w:themeColor="text1"/>
                <w:sz w:val="24"/>
                <w:szCs w:val="24"/>
              </w:rPr>
              <w:t>High</w:t>
            </w:r>
          </w:p>
        </w:tc>
        <w:tc>
          <w:tcPr>
            <w:tcW w:w="0" w:type="auto"/>
            <w:vAlign w:val="center"/>
            <w:hideMark/>
          </w:tcPr>
          <w:p w14:paraId="467D385D" w14:textId="77777777" w:rsidR="00133CD9" w:rsidRPr="00DF3A4F" w:rsidRDefault="00133CD9" w:rsidP="00CD61E4">
            <w:pPr>
              <w:spacing w:line="360" w:lineRule="auto"/>
              <w:jc w:val="both"/>
              <w:rPr>
                <w:rFonts w:ascii="Arial" w:eastAsiaTheme="majorEastAsia" w:hAnsi="Arial" w:cs="Arial"/>
                <w:bCs/>
                <w:color w:val="000000" w:themeColor="text1"/>
                <w:sz w:val="24"/>
                <w:szCs w:val="24"/>
              </w:rPr>
            </w:pPr>
            <w:r w:rsidRPr="00DF3A4F">
              <w:rPr>
                <w:rFonts w:ascii="Arial" w:eastAsiaTheme="majorEastAsia" w:hAnsi="Arial" w:cs="Arial"/>
                <w:bCs/>
                <w:color w:val="000000" w:themeColor="text1"/>
                <w:sz w:val="24"/>
                <w:szCs w:val="24"/>
              </w:rPr>
              <w:t>High</w:t>
            </w:r>
          </w:p>
        </w:tc>
      </w:tr>
    </w:tbl>
    <w:p w14:paraId="7DA16859" w14:textId="77777777" w:rsidR="00133CD9" w:rsidRPr="00DF3A4F" w:rsidRDefault="00133CD9" w:rsidP="00133CD9">
      <w:pPr>
        <w:spacing w:line="360" w:lineRule="auto"/>
        <w:jc w:val="both"/>
        <w:rPr>
          <w:rFonts w:ascii="Arial" w:eastAsiaTheme="majorEastAsia" w:hAnsi="Arial" w:cs="Arial"/>
          <w:bCs/>
          <w:color w:val="000000" w:themeColor="text1"/>
          <w:sz w:val="24"/>
          <w:szCs w:val="24"/>
        </w:rPr>
      </w:pPr>
      <w:r w:rsidRPr="00DF3A4F">
        <w:rPr>
          <w:rFonts w:ascii="Arial" w:eastAsiaTheme="majorEastAsia" w:hAnsi="Arial" w:cs="Arial"/>
          <w:bCs/>
          <w:color w:val="000000" w:themeColor="text1"/>
          <w:sz w:val="24"/>
          <w:szCs w:val="24"/>
        </w:rPr>
        <w:t xml:space="preserve">The matrix shows that all four risks need to be considered strategically because they have the potential to affect success in implementation and long-term business performance. </w:t>
      </w:r>
    </w:p>
    <w:p w14:paraId="342D262E" w14:textId="77777777" w:rsidR="00133CD9" w:rsidRPr="00DF3A4F" w:rsidRDefault="00133CD9" w:rsidP="00133CD9">
      <w:pPr>
        <w:spacing w:line="360" w:lineRule="auto"/>
        <w:jc w:val="both"/>
        <w:rPr>
          <w:rFonts w:ascii="Arial" w:eastAsiaTheme="majorEastAsia" w:hAnsi="Arial" w:cs="Arial"/>
          <w:b/>
          <w:color w:val="000000" w:themeColor="text1"/>
          <w:sz w:val="24"/>
          <w:szCs w:val="24"/>
        </w:rPr>
      </w:pPr>
      <w:r w:rsidRPr="00DF3A4F">
        <w:rPr>
          <w:rFonts w:ascii="Arial" w:eastAsiaTheme="majorEastAsia" w:hAnsi="Arial" w:cs="Arial"/>
          <w:b/>
          <w:color w:val="000000" w:themeColor="text1"/>
          <w:sz w:val="24"/>
          <w:szCs w:val="24"/>
        </w:rPr>
        <w:t>8.7 Risk Mitigation Strategy</w:t>
      </w:r>
    </w:p>
    <w:p w14:paraId="431E7253" w14:textId="77777777" w:rsidR="00133CD9" w:rsidRPr="00DF3A4F" w:rsidRDefault="00133CD9" w:rsidP="00133CD9">
      <w:pPr>
        <w:spacing w:line="360" w:lineRule="auto"/>
        <w:jc w:val="both"/>
        <w:rPr>
          <w:rFonts w:ascii="Arial" w:eastAsiaTheme="majorEastAsia" w:hAnsi="Arial" w:cs="Arial"/>
          <w:b/>
          <w:color w:val="000000" w:themeColor="text1"/>
          <w:sz w:val="24"/>
          <w:szCs w:val="24"/>
        </w:rPr>
      </w:pPr>
    </w:p>
    <w:p w14:paraId="0214BC2A" w14:textId="25FF1B28" w:rsidR="00133CD9" w:rsidRPr="00DF3A4F" w:rsidRDefault="00133CD9" w:rsidP="00133CD9">
      <w:pPr>
        <w:spacing w:line="360" w:lineRule="auto"/>
        <w:jc w:val="both"/>
        <w:rPr>
          <w:rFonts w:ascii="Arial" w:eastAsiaTheme="majorEastAsia" w:hAnsi="Arial" w:cs="Arial"/>
          <w:bCs/>
          <w:color w:val="000000" w:themeColor="text1"/>
          <w:sz w:val="24"/>
          <w:szCs w:val="24"/>
        </w:rPr>
      </w:pPr>
      <w:r w:rsidRPr="00DF3A4F">
        <w:rPr>
          <w:rFonts w:ascii="Arial" w:eastAsiaTheme="majorEastAsia" w:hAnsi="Arial" w:cs="Arial"/>
          <w:bCs/>
          <w:color w:val="000000" w:themeColor="text1"/>
          <w:sz w:val="24"/>
          <w:szCs w:val="24"/>
        </w:rPr>
        <w:t xml:space="preserve">The risks identified are </w:t>
      </w:r>
      <w:r w:rsidR="00690344" w:rsidRPr="00DF3A4F">
        <w:rPr>
          <w:rFonts w:ascii="Arial" w:eastAsiaTheme="majorEastAsia" w:hAnsi="Arial" w:cs="Arial"/>
          <w:bCs/>
          <w:color w:val="000000" w:themeColor="text1"/>
          <w:sz w:val="24"/>
          <w:szCs w:val="24"/>
        </w:rPr>
        <w:t>great but</w:t>
      </w:r>
      <w:r w:rsidRPr="00DF3A4F">
        <w:rPr>
          <w:rFonts w:ascii="Arial" w:eastAsiaTheme="majorEastAsia" w:hAnsi="Arial" w:cs="Arial"/>
          <w:bCs/>
          <w:color w:val="000000" w:themeColor="text1"/>
          <w:sz w:val="24"/>
          <w:szCs w:val="24"/>
        </w:rPr>
        <w:t xml:space="preserve"> can be managed through proactive mitigation. Early engagement with the Monetary Authority of Singapore and engaging local financial institutions can help to mitigate regulatory risk. On-going investments in encryption technologies, fraud detection systems and security monitoring processes can help reduce cybersecurity risk. The competitive threat can be mitigated by concentrating on Paytm's distinctive competitive advantage, such as UPI-</w:t>
      </w:r>
      <w:proofErr w:type="spellStart"/>
      <w:r w:rsidRPr="00DF3A4F">
        <w:rPr>
          <w:rFonts w:ascii="Arial" w:eastAsiaTheme="majorEastAsia" w:hAnsi="Arial" w:cs="Arial"/>
          <w:bCs/>
          <w:color w:val="000000" w:themeColor="text1"/>
          <w:sz w:val="24"/>
          <w:szCs w:val="24"/>
        </w:rPr>
        <w:t>PayNow</w:t>
      </w:r>
      <w:proofErr w:type="spellEnd"/>
      <w:r w:rsidRPr="00DF3A4F">
        <w:rPr>
          <w:rFonts w:ascii="Arial" w:eastAsiaTheme="majorEastAsia" w:hAnsi="Arial" w:cs="Arial"/>
          <w:bCs/>
          <w:color w:val="000000" w:themeColor="text1"/>
          <w:sz w:val="24"/>
          <w:szCs w:val="24"/>
        </w:rPr>
        <w:t xml:space="preserve"> integration and cross-border payment options. The phased approach, establishing campaigns, and careful partner selection can help manage the risk of market adoption and partner risk.</w:t>
      </w:r>
    </w:p>
    <w:p w14:paraId="70833AD9" w14:textId="77777777" w:rsidR="00133CD9" w:rsidRPr="00DF3A4F" w:rsidRDefault="00133CD9" w:rsidP="00133CD9">
      <w:pPr>
        <w:spacing w:line="360" w:lineRule="auto"/>
        <w:jc w:val="both"/>
        <w:rPr>
          <w:rFonts w:ascii="Arial" w:eastAsiaTheme="majorEastAsia" w:hAnsi="Arial" w:cs="Arial"/>
          <w:bCs/>
          <w:color w:val="000000" w:themeColor="text1"/>
          <w:sz w:val="24"/>
          <w:szCs w:val="24"/>
        </w:rPr>
      </w:pPr>
      <w:r w:rsidRPr="00DF3A4F">
        <w:rPr>
          <w:rFonts w:ascii="Arial" w:eastAsiaTheme="majorEastAsia" w:hAnsi="Arial" w:cs="Arial"/>
          <w:bCs/>
          <w:color w:val="000000" w:themeColor="text1"/>
          <w:sz w:val="24"/>
          <w:szCs w:val="24"/>
        </w:rPr>
        <w:t>These mitigation strategies will enhance the organisational resilience and increase the likelihood of meeting strategic goals. In addition, the ongoing monitoring and periodic risk assessments will help management to anticipate emerging risks and react to them accordingly, as market conditions change.</w:t>
      </w:r>
    </w:p>
    <w:p w14:paraId="75757B63" w14:textId="77777777" w:rsidR="00133CD9" w:rsidRPr="00DF3A4F" w:rsidRDefault="00133CD9" w:rsidP="00133CD9">
      <w:pPr>
        <w:spacing w:line="360" w:lineRule="auto"/>
        <w:jc w:val="both"/>
        <w:rPr>
          <w:rFonts w:ascii="Arial" w:eastAsiaTheme="majorEastAsia" w:hAnsi="Arial" w:cs="Arial"/>
          <w:b/>
          <w:color w:val="000000" w:themeColor="text1"/>
          <w:sz w:val="24"/>
          <w:szCs w:val="24"/>
        </w:rPr>
      </w:pPr>
      <w:r w:rsidRPr="00DF3A4F">
        <w:rPr>
          <w:rFonts w:ascii="Arial" w:eastAsiaTheme="majorEastAsia" w:hAnsi="Arial" w:cs="Arial"/>
          <w:b/>
          <w:color w:val="000000" w:themeColor="text1"/>
          <w:sz w:val="24"/>
          <w:szCs w:val="24"/>
        </w:rPr>
        <w:t>8.8 Chapter Summary</w:t>
      </w:r>
    </w:p>
    <w:p w14:paraId="370B6CBE"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four most important risks identified for Paytm's proposed entry into Singapore were: regulatory and compliance risk, cybersecurity and data protection risk, competitive risk and market adoption and partnership risk. These risks also have the potential to impact operational performance and financial results, but can be managed through proper planning, strategic partnership arrangements and ongoing monitoring. The opportunities identified in Singapore's digital payment market appear to outweigh the risks, further supporting the feasibility of Paytm's strategy for international expansion.</w:t>
      </w:r>
    </w:p>
    <w:p w14:paraId="4C577E87" w14:textId="77777777" w:rsidR="00133CD9" w:rsidRPr="00DF3A4F" w:rsidRDefault="00133CD9" w:rsidP="00133CD9">
      <w:pPr>
        <w:rPr>
          <w:rFonts w:ascii="Arial" w:eastAsiaTheme="majorEastAsia" w:hAnsi="Arial" w:cs="Arial"/>
          <w:b/>
          <w:color w:val="000000" w:themeColor="text1"/>
          <w:sz w:val="24"/>
          <w:szCs w:val="24"/>
        </w:rPr>
      </w:pPr>
      <w:r w:rsidRPr="00DF3A4F">
        <w:rPr>
          <w:rFonts w:ascii="Arial" w:hAnsi="Arial" w:cs="Arial"/>
          <w:color w:val="000000" w:themeColor="text1"/>
          <w:szCs w:val="24"/>
        </w:rPr>
        <w:br w:type="page"/>
      </w:r>
    </w:p>
    <w:p w14:paraId="539DE226" w14:textId="77777777" w:rsidR="00133CD9" w:rsidRPr="00DF3A4F" w:rsidRDefault="00133CD9" w:rsidP="00133CD9">
      <w:pPr>
        <w:pStyle w:val="Heading1"/>
        <w:rPr>
          <w:rFonts w:ascii="Arial" w:hAnsi="Arial" w:cs="Arial"/>
          <w:szCs w:val="24"/>
        </w:rPr>
      </w:pPr>
      <w:bookmarkStart w:id="60" w:name="_Toc238739813"/>
      <w:r w:rsidRPr="00DF3A4F">
        <w:rPr>
          <w:rFonts w:ascii="Arial" w:hAnsi="Arial" w:cs="Arial"/>
          <w:szCs w:val="24"/>
        </w:rPr>
        <w:t>Chapter 9: Implementation Plan</w:t>
      </w:r>
      <w:bookmarkEnd w:id="60"/>
    </w:p>
    <w:p w14:paraId="6AF9B53A" w14:textId="77777777" w:rsidR="00133CD9" w:rsidRPr="00DF3A4F" w:rsidRDefault="00133CD9" w:rsidP="00133CD9">
      <w:pPr>
        <w:pStyle w:val="Heading2"/>
        <w:rPr>
          <w:rFonts w:ascii="Arial" w:hAnsi="Arial" w:cs="Arial"/>
          <w:sz w:val="24"/>
          <w:szCs w:val="24"/>
        </w:rPr>
      </w:pPr>
      <w:bookmarkStart w:id="61" w:name="_Toc238739814"/>
      <w:r w:rsidRPr="00DF3A4F">
        <w:rPr>
          <w:rFonts w:ascii="Arial" w:hAnsi="Arial" w:cs="Arial"/>
          <w:sz w:val="24"/>
          <w:szCs w:val="24"/>
        </w:rPr>
        <w:t>9.1 Introduction</w:t>
      </w:r>
      <w:bookmarkEnd w:id="61"/>
    </w:p>
    <w:p w14:paraId="08AA61B8"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Careful planning, resource allocation and performance monitoring will be necessary for the successful implementation of an international expansion strategy. This chapter provides the framework for the implementation of Paytm's proposed expansion in Singapore, after considering the strategic and financial considerations discussed in the previous chapters. The implementation plan defines the main activities, timelines, resources and performance indicators and responsibilities required to successfully enter the market and achieve long-term operational success.</w:t>
      </w:r>
    </w:p>
    <w:p w14:paraId="0B7375D6" w14:textId="77777777" w:rsidR="00133CD9" w:rsidRPr="00DF3A4F" w:rsidRDefault="00133CD9" w:rsidP="00133CD9">
      <w:pPr>
        <w:pStyle w:val="Heading2"/>
        <w:rPr>
          <w:rFonts w:ascii="Arial" w:hAnsi="Arial" w:cs="Arial"/>
          <w:sz w:val="24"/>
          <w:szCs w:val="24"/>
        </w:rPr>
      </w:pPr>
      <w:bookmarkStart w:id="62" w:name="_Toc238739815"/>
      <w:r w:rsidRPr="00DF3A4F">
        <w:rPr>
          <w:rFonts w:ascii="Arial" w:hAnsi="Arial" w:cs="Arial"/>
          <w:sz w:val="24"/>
          <w:szCs w:val="24"/>
        </w:rPr>
        <w:t>9.2 Phase One: Regulatory Approval and Partner Selection</w:t>
      </w:r>
      <w:bookmarkEnd w:id="62"/>
    </w:p>
    <w:p w14:paraId="677C49BD"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initial phase is geared towards gaining regulatory approvals and securing strategic alliances. In this timeframe, Paytm will be in discussions with the Monetary Authority of Singapore, do regulatory evaluations and secure payment service licenses.</w:t>
      </w:r>
    </w:p>
    <w:p w14:paraId="2625BDF0"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At the same time, management will identify financial institutions, merchant networks and banks that can provide assistance in conducting cross-border payment operations. Signing of the partnership agreement and regulatory approval are key building blocks for the next steps in implementation.</w:t>
      </w:r>
    </w:p>
    <w:p w14:paraId="10F477B5" w14:textId="77777777" w:rsidR="00133CD9" w:rsidRPr="00DF3A4F" w:rsidRDefault="00133CD9" w:rsidP="00133CD9">
      <w:pPr>
        <w:pStyle w:val="Heading2"/>
        <w:rPr>
          <w:rFonts w:ascii="Arial" w:hAnsi="Arial" w:cs="Arial"/>
          <w:sz w:val="24"/>
          <w:szCs w:val="24"/>
        </w:rPr>
      </w:pPr>
      <w:bookmarkStart w:id="63" w:name="_Toc238739816"/>
      <w:r w:rsidRPr="00DF3A4F">
        <w:rPr>
          <w:rFonts w:ascii="Arial" w:hAnsi="Arial" w:cs="Arial"/>
          <w:sz w:val="24"/>
          <w:szCs w:val="24"/>
        </w:rPr>
        <w:t>9.3 Phase Two: Technology Integration and Testing</w:t>
      </w:r>
      <w:bookmarkEnd w:id="63"/>
    </w:p>
    <w:p w14:paraId="0DA1143A"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After receiving regulatory approval, Paytm will commence with the technology integration activities. This stage entails integrating Paytm's digital payment network with Singapore's financial system and aligning it with Singapore's payment systems.</w:t>
      </w:r>
    </w:p>
    <w:p w14:paraId="7791B4C2"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A long list of test procedures will be undertaken to assess the accuracy of transactions, system reliability, cyber security and customer experience. Technical problems that are found in the testing process will be addressed prior to public launch.</w:t>
      </w:r>
    </w:p>
    <w:p w14:paraId="2BD05F74" w14:textId="77777777" w:rsidR="00133CD9" w:rsidRPr="00DF3A4F" w:rsidRDefault="00133CD9" w:rsidP="00133CD9">
      <w:pPr>
        <w:pStyle w:val="Heading2"/>
        <w:rPr>
          <w:rFonts w:ascii="Arial" w:hAnsi="Arial" w:cs="Arial"/>
          <w:sz w:val="24"/>
          <w:szCs w:val="24"/>
        </w:rPr>
      </w:pPr>
      <w:bookmarkStart w:id="64" w:name="_Toc238739817"/>
      <w:r w:rsidRPr="00DF3A4F">
        <w:rPr>
          <w:rFonts w:ascii="Arial" w:hAnsi="Arial" w:cs="Arial"/>
          <w:sz w:val="24"/>
          <w:szCs w:val="24"/>
        </w:rPr>
        <w:t>9.4 Phase Three: Pilot Launch and Market Entry</w:t>
      </w:r>
      <w:bookmarkEnd w:id="64"/>
    </w:p>
    <w:p w14:paraId="73EAAB0C"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Paytm's pilot launch phase is an introduction of its services to a limited number of customers. The aim is to put systems to the test in actual use and to gather user feedback and opportunities for enhancement.</w:t>
      </w:r>
    </w:p>
    <w:p w14:paraId="0CB0D742"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target market will be Indian tourists, expatriates and students that live in Singapore. Throughout the pilot period, customer adoption rates, how much customers transact and how they are served will be carefully tracked.</w:t>
      </w:r>
    </w:p>
    <w:p w14:paraId="773EC807" w14:textId="77777777" w:rsidR="00133CD9" w:rsidRPr="00DF3A4F" w:rsidRDefault="00133CD9" w:rsidP="00133CD9">
      <w:pPr>
        <w:pStyle w:val="Heading2"/>
        <w:rPr>
          <w:rFonts w:ascii="Arial" w:hAnsi="Arial" w:cs="Arial"/>
          <w:sz w:val="24"/>
          <w:szCs w:val="24"/>
        </w:rPr>
      </w:pPr>
      <w:bookmarkStart w:id="65" w:name="_Toc238739818"/>
      <w:r w:rsidRPr="00DF3A4F">
        <w:rPr>
          <w:rFonts w:ascii="Arial" w:hAnsi="Arial" w:cs="Arial"/>
          <w:sz w:val="24"/>
          <w:szCs w:val="24"/>
        </w:rPr>
        <w:t>9.5 Phase Four: Full Commercial Expansion</w:t>
      </w:r>
      <w:bookmarkEnd w:id="65"/>
    </w:p>
    <w:p w14:paraId="3E8CB891"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Paytm will go for full commercial operations after getting success in pilot implementation. New marketing campaigns will be expanded, spend on merchant acquisition will be heightened and new services will be added.</w:t>
      </w:r>
    </w:p>
    <w:p w14:paraId="37916E9D"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This stage aims to drive sustainable growth of the customer base, boost transaction volumes and improve Paytm's market share in the Singapore digital payments landscape.</w:t>
      </w:r>
    </w:p>
    <w:p w14:paraId="614D5201" w14:textId="77777777" w:rsidR="00133CD9" w:rsidRPr="00DF3A4F" w:rsidRDefault="00133CD9" w:rsidP="00133CD9">
      <w:pPr>
        <w:pStyle w:val="Heading2"/>
        <w:rPr>
          <w:rFonts w:ascii="Arial" w:hAnsi="Arial" w:cs="Arial"/>
          <w:sz w:val="24"/>
          <w:szCs w:val="24"/>
        </w:rPr>
      </w:pPr>
      <w:bookmarkStart w:id="66" w:name="_Toc238739819"/>
      <w:r w:rsidRPr="00DF3A4F">
        <w:rPr>
          <w:rFonts w:ascii="Arial" w:hAnsi="Arial" w:cs="Arial"/>
          <w:sz w:val="24"/>
          <w:szCs w:val="24"/>
        </w:rPr>
        <w:t>9.6 Resource Requirements</w:t>
      </w:r>
      <w:bookmarkEnd w:id="66"/>
    </w:p>
    <w:p w14:paraId="6E4FC973"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This process of implementation needs financial, technological and human resources. Financing will be provided for technology projects, marketing and operational projects. Technological resources encompass payment systems, cybersecurity systems and data management systems. Human resources include management staff, tech support staff, compliance staff and customer service staff.</w:t>
      </w:r>
    </w:p>
    <w:p w14:paraId="05F03FDC"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Careful utilisation of these resources will be key to meeting implementation goals in the time frame.</w:t>
      </w:r>
    </w:p>
    <w:p w14:paraId="6CCE90CB" w14:textId="77777777" w:rsidR="00133CD9" w:rsidRPr="00DF3A4F" w:rsidRDefault="00133CD9" w:rsidP="00133CD9">
      <w:pPr>
        <w:pStyle w:val="Heading2"/>
        <w:rPr>
          <w:rFonts w:ascii="Arial" w:hAnsi="Arial" w:cs="Arial"/>
          <w:sz w:val="24"/>
          <w:szCs w:val="24"/>
        </w:rPr>
      </w:pPr>
      <w:bookmarkStart w:id="67" w:name="_Toc238739820"/>
      <w:r w:rsidRPr="00DF3A4F">
        <w:rPr>
          <w:rFonts w:ascii="Arial" w:hAnsi="Arial" w:cs="Arial"/>
          <w:sz w:val="24"/>
          <w:szCs w:val="24"/>
        </w:rPr>
        <w:t>9.7 Key Performance Indicators</w:t>
      </w:r>
      <w:bookmarkEnd w:id="67"/>
    </w:p>
    <w:p w14:paraId="4B95AC96"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To assess the success of implementation, measurement of performance is required. Some of the metrics include customer acquisition rates, transaction volume, the number of merchants onboarded, revenue growth, customer satisfaction scores, and regulatory compliance metrics.</w:t>
      </w:r>
    </w:p>
    <w:p w14:paraId="480AE59C"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These will help management to monitor progress and can be used as a basis for decision-making when making plans for future expansion work.</w:t>
      </w:r>
    </w:p>
    <w:p w14:paraId="651779D2" w14:textId="77777777" w:rsidR="00133CD9" w:rsidRPr="00DF3A4F" w:rsidRDefault="00133CD9" w:rsidP="00133CD9">
      <w:pPr>
        <w:pStyle w:val="Heading2"/>
        <w:rPr>
          <w:rFonts w:ascii="Arial" w:hAnsi="Arial" w:cs="Arial"/>
          <w:sz w:val="24"/>
          <w:szCs w:val="24"/>
        </w:rPr>
      </w:pPr>
      <w:bookmarkStart w:id="68" w:name="_Toc238739821"/>
      <w:r w:rsidRPr="00DF3A4F">
        <w:rPr>
          <w:rFonts w:ascii="Arial" w:hAnsi="Arial" w:cs="Arial"/>
          <w:sz w:val="24"/>
          <w:szCs w:val="24"/>
        </w:rPr>
        <w:t>9.8 Responsibility Matrix</w:t>
      </w:r>
      <w:bookmarkEnd w:id="68"/>
    </w:p>
    <w:p w14:paraId="50A9598F"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b/>
          <w:bCs/>
          <w:sz w:val="24"/>
          <w:szCs w:val="24"/>
        </w:rPr>
        <w:t>Table 9.1: Responsibility Matrix for Paytm's Singapore Expansion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57"/>
        <w:gridCol w:w="2186"/>
        <w:gridCol w:w="1081"/>
        <w:gridCol w:w="2492"/>
      </w:tblGrid>
      <w:tr w:rsidR="00133CD9" w:rsidRPr="00DF3A4F" w14:paraId="2601558B" w14:textId="77777777" w:rsidTr="00CD61E4">
        <w:trPr>
          <w:tblHeader/>
          <w:tblCellSpacing w:w="15" w:type="dxa"/>
        </w:trPr>
        <w:tc>
          <w:tcPr>
            <w:tcW w:w="0" w:type="auto"/>
            <w:vAlign w:val="center"/>
            <w:hideMark/>
          </w:tcPr>
          <w:p w14:paraId="0BDDAED9" w14:textId="77777777" w:rsidR="00133CD9" w:rsidRPr="00DF3A4F" w:rsidRDefault="00133CD9" w:rsidP="00CD61E4">
            <w:pPr>
              <w:spacing w:line="360" w:lineRule="auto"/>
              <w:jc w:val="both"/>
              <w:rPr>
                <w:rFonts w:ascii="Arial" w:hAnsi="Arial" w:cs="Arial"/>
                <w:b/>
                <w:bCs/>
                <w:sz w:val="24"/>
                <w:szCs w:val="24"/>
              </w:rPr>
            </w:pPr>
            <w:r w:rsidRPr="00DF3A4F">
              <w:rPr>
                <w:rFonts w:ascii="Arial" w:hAnsi="Arial" w:cs="Arial"/>
                <w:b/>
                <w:bCs/>
                <w:sz w:val="24"/>
                <w:szCs w:val="24"/>
              </w:rPr>
              <w:t>Activity</w:t>
            </w:r>
          </w:p>
        </w:tc>
        <w:tc>
          <w:tcPr>
            <w:tcW w:w="0" w:type="auto"/>
            <w:vAlign w:val="center"/>
            <w:hideMark/>
          </w:tcPr>
          <w:p w14:paraId="528983E3" w14:textId="77777777" w:rsidR="00133CD9" w:rsidRPr="00DF3A4F" w:rsidRDefault="00133CD9" w:rsidP="00CD61E4">
            <w:pPr>
              <w:spacing w:line="360" w:lineRule="auto"/>
              <w:jc w:val="both"/>
              <w:rPr>
                <w:rFonts w:ascii="Arial" w:hAnsi="Arial" w:cs="Arial"/>
                <w:b/>
                <w:bCs/>
                <w:sz w:val="24"/>
                <w:szCs w:val="24"/>
              </w:rPr>
            </w:pPr>
            <w:r w:rsidRPr="00DF3A4F">
              <w:rPr>
                <w:rFonts w:ascii="Arial" w:hAnsi="Arial" w:cs="Arial"/>
                <w:b/>
                <w:bCs/>
                <w:sz w:val="24"/>
                <w:szCs w:val="24"/>
              </w:rPr>
              <w:t>Responsible Role</w:t>
            </w:r>
          </w:p>
        </w:tc>
        <w:tc>
          <w:tcPr>
            <w:tcW w:w="0" w:type="auto"/>
            <w:vAlign w:val="center"/>
            <w:hideMark/>
          </w:tcPr>
          <w:p w14:paraId="00957921" w14:textId="77777777" w:rsidR="00133CD9" w:rsidRPr="00DF3A4F" w:rsidRDefault="00133CD9" w:rsidP="00CD61E4">
            <w:pPr>
              <w:spacing w:line="360" w:lineRule="auto"/>
              <w:jc w:val="both"/>
              <w:rPr>
                <w:rFonts w:ascii="Arial" w:hAnsi="Arial" w:cs="Arial"/>
                <w:b/>
                <w:bCs/>
                <w:sz w:val="24"/>
                <w:szCs w:val="24"/>
              </w:rPr>
            </w:pPr>
            <w:r w:rsidRPr="00DF3A4F">
              <w:rPr>
                <w:rFonts w:ascii="Arial" w:hAnsi="Arial" w:cs="Arial"/>
                <w:b/>
                <w:bCs/>
                <w:sz w:val="24"/>
                <w:szCs w:val="24"/>
              </w:rPr>
              <w:t>Deadline</w:t>
            </w:r>
          </w:p>
        </w:tc>
        <w:tc>
          <w:tcPr>
            <w:tcW w:w="0" w:type="auto"/>
            <w:vAlign w:val="center"/>
            <w:hideMark/>
          </w:tcPr>
          <w:p w14:paraId="01549C6B" w14:textId="77777777" w:rsidR="00133CD9" w:rsidRPr="00DF3A4F" w:rsidRDefault="00133CD9" w:rsidP="00CD61E4">
            <w:pPr>
              <w:spacing w:line="360" w:lineRule="auto"/>
              <w:jc w:val="both"/>
              <w:rPr>
                <w:rFonts w:ascii="Arial" w:hAnsi="Arial" w:cs="Arial"/>
                <w:b/>
                <w:bCs/>
                <w:sz w:val="24"/>
                <w:szCs w:val="24"/>
              </w:rPr>
            </w:pPr>
            <w:r w:rsidRPr="00DF3A4F">
              <w:rPr>
                <w:rFonts w:ascii="Arial" w:hAnsi="Arial" w:cs="Arial"/>
                <w:b/>
                <w:bCs/>
                <w:sz w:val="24"/>
                <w:szCs w:val="24"/>
              </w:rPr>
              <w:t>Expected Outcome</w:t>
            </w:r>
          </w:p>
        </w:tc>
      </w:tr>
      <w:tr w:rsidR="00133CD9" w:rsidRPr="00DF3A4F" w14:paraId="237246D0" w14:textId="77777777" w:rsidTr="00CD61E4">
        <w:trPr>
          <w:tblCellSpacing w:w="15" w:type="dxa"/>
        </w:trPr>
        <w:tc>
          <w:tcPr>
            <w:tcW w:w="0" w:type="auto"/>
            <w:vAlign w:val="center"/>
            <w:hideMark/>
          </w:tcPr>
          <w:p w14:paraId="1C3B7BF7"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Obtain MAS regulatory approval</w:t>
            </w:r>
          </w:p>
        </w:tc>
        <w:tc>
          <w:tcPr>
            <w:tcW w:w="0" w:type="auto"/>
            <w:vAlign w:val="center"/>
            <w:hideMark/>
          </w:tcPr>
          <w:p w14:paraId="310F8258"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Compliance Director</w:t>
            </w:r>
          </w:p>
        </w:tc>
        <w:tc>
          <w:tcPr>
            <w:tcW w:w="0" w:type="auto"/>
            <w:vAlign w:val="center"/>
            <w:hideMark/>
          </w:tcPr>
          <w:p w14:paraId="3B08305D"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Month 6</w:t>
            </w:r>
          </w:p>
        </w:tc>
        <w:tc>
          <w:tcPr>
            <w:tcW w:w="0" w:type="auto"/>
            <w:vAlign w:val="center"/>
            <w:hideMark/>
          </w:tcPr>
          <w:p w14:paraId="44343F6E"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Regulatory clearance secured</w:t>
            </w:r>
          </w:p>
        </w:tc>
      </w:tr>
      <w:tr w:rsidR="00133CD9" w:rsidRPr="00DF3A4F" w14:paraId="1ADCD62B" w14:textId="77777777" w:rsidTr="00CD61E4">
        <w:trPr>
          <w:tblCellSpacing w:w="15" w:type="dxa"/>
        </w:trPr>
        <w:tc>
          <w:tcPr>
            <w:tcW w:w="0" w:type="auto"/>
            <w:vAlign w:val="center"/>
            <w:hideMark/>
          </w:tcPr>
          <w:p w14:paraId="721369F5"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Finalise partnerships with banks and payment providers</w:t>
            </w:r>
          </w:p>
        </w:tc>
        <w:tc>
          <w:tcPr>
            <w:tcW w:w="0" w:type="auto"/>
            <w:vAlign w:val="center"/>
            <w:hideMark/>
          </w:tcPr>
          <w:p w14:paraId="6DD4D862"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Business Development Director</w:t>
            </w:r>
          </w:p>
        </w:tc>
        <w:tc>
          <w:tcPr>
            <w:tcW w:w="0" w:type="auto"/>
            <w:vAlign w:val="center"/>
            <w:hideMark/>
          </w:tcPr>
          <w:p w14:paraId="197E1586"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Month 6</w:t>
            </w:r>
          </w:p>
        </w:tc>
        <w:tc>
          <w:tcPr>
            <w:tcW w:w="0" w:type="auto"/>
            <w:vAlign w:val="center"/>
            <w:hideMark/>
          </w:tcPr>
          <w:p w14:paraId="150C7B24"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Strategic alliance agreements signed</w:t>
            </w:r>
          </w:p>
        </w:tc>
      </w:tr>
      <w:tr w:rsidR="00133CD9" w:rsidRPr="00DF3A4F" w14:paraId="34B5F25F" w14:textId="77777777" w:rsidTr="00CD61E4">
        <w:trPr>
          <w:tblCellSpacing w:w="15" w:type="dxa"/>
        </w:trPr>
        <w:tc>
          <w:tcPr>
            <w:tcW w:w="0" w:type="auto"/>
            <w:vAlign w:val="center"/>
            <w:hideMark/>
          </w:tcPr>
          <w:p w14:paraId="2510EB0B"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Complete technology integration with local payment systems</w:t>
            </w:r>
          </w:p>
        </w:tc>
        <w:tc>
          <w:tcPr>
            <w:tcW w:w="0" w:type="auto"/>
            <w:vAlign w:val="center"/>
            <w:hideMark/>
          </w:tcPr>
          <w:p w14:paraId="1515BA0C"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Chief Technology Officer (CTO)</w:t>
            </w:r>
          </w:p>
        </w:tc>
        <w:tc>
          <w:tcPr>
            <w:tcW w:w="0" w:type="auto"/>
            <w:vAlign w:val="center"/>
            <w:hideMark/>
          </w:tcPr>
          <w:p w14:paraId="7D8F28E9"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Month 12</w:t>
            </w:r>
          </w:p>
        </w:tc>
        <w:tc>
          <w:tcPr>
            <w:tcW w:w="0" w:type="auto"/>
            <w:vAlign w:val="center"/>
            <w:hideMark/>
          </w:tcPr>
          <w:p w14:paraId="78216894"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Fully integrated payment platform</w:t>
            </w:r>
          </w:p>
        </w:tc>
      </w:tr>
      <w:tr w:rsidR="00133CD9" w:rsidRPr="00DF3A4F" w14:paraId="64771775" w14:textId="77777777" w:rsidTr="00CD61E4">
        <w:trPr>
          <w:tblCellSpacing w:w="15" w:type="dxa"/>
        </w:trPr>
        <w:tc>
          <w:tcPr>
            <w:tcW w:w="0" w:type="auto"/>
            <w:vAlign w:val="center"/>
            <w:hideMark/>
          </w:tcPr>
          <w:p w14:paraId="4320030C"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Conduct system testing and cybersecurity audits</w:t>
            </w:r>
          </w:p>
        </w:tc>
        <w:tc>
          <w:tcPr>
            <w:tcW w:w="0" w:type="auto"/>
            <w:vAlign w:val="center"/>
            <w:hideMark/>
          </w:tcPr>
          <w:p w14:paraId="3E21C9B6"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IT Security Manager</w:t>
            </w:r>
          </w:p>
        </w:tc>
        <w:tc>
          <w:tcPr>
            <w:tcW w:w="0" w:type="auto"/>
            <w:vAlign w:val="center"/>
            <w:hideMark/>
          </w:tcPr>
          <w:p w14:paraId="3144299A"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Month 12</w:t>
            </w:r>
          </w:p>
        </w:tc>
        <w:tc>
          <w:tcPr>
            <w:tcW w:w="0" w:type="auto"/>
            <w:vAlign w:val="center"/>
            <w:hideMark/>
          </w:tcPr>
          <w:p w14:paraId="1EFCD4A9"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Secure and reliable payment system</w:t>
            </w:r>
          </w:p>
        </w:tc>
      </w:tr>
      <w:tr w:rsidR="00133CD9" w:rsidRPr="00DF3A4F" w14:paraId="513AB1BC" w14:textId="77777777" w:rsidTr="00CD61E4">
        <w:trPr>
          <w:tblCellSpacing w:w="15" w:type="dxa"/>
        </w:trPr>
        <w:tc>
          <w:tcPr>
            <w:tcW w:w="0" w:type="auto"/>
            <w:vAlign w:val="center"/>
            <w:hideMark/>
          </w:tcPr>
          <w:p w14:paraId="47CBC8F5"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Launch pilot operations in Singapore</w:t>
            </w:r>
          </w:p>
        </w:tc>
        <w:tc>
          <w:tcPr>
            <w:tcW w:w="0" w:type="auto"/>
            <w:vAlign w:val="center"/>
            <w:hideMark/>
          </w:tcPr>
          <w:p w14:paraId="6FE93698"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Country Manager (Singapore)</w:t>
            </w:r>
          </w:p>
        </w:tc>
        <w:tc>
          <w:tcPr>
            <w:tcW w:w="0" w:type="auto"/>
            <w:vAlign w:val="center"/>
            <w:hideMark/>
          </w:tcPr>
          <w:p w14:paraId="60E04C05"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Month 18</w:t>
            </w:r>
          </w:p>
        </w:tc>
        <w:tc>
          <w:tcPr>
            <w:tcW w:w="0" w:type="auto"/>
            <w:vAlign w:val="center"/>
            <w:hideMark/>
          </w:tcPr>
          <w:p w14:paraId="17D13DC0"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Pilot services operational</w:t>
            </w:r>
          </w:p>
        </w:tc>
      </w:tr>
      <w:tr w:rsidR="00133CD9" w:rsidRPr="00DF3A4F" w14:paraId="27E2D656" w14:textId="77777777" w:rsidTr="00CD61E4">
        <w:trPr>
          <w:tblCellSpacing w:w="15" w:type="dxa"/>
        </w:trPr>
        <w:tc>
          <w:tcPr>
            <w:tcW w:w="0" w:type="auto"/>
            <w:vAlign w:val="center"/>
            <w:hideMark/>
          </w:tcPr>
          <w:p w14:paraId="53C161F9"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Implement marketing and customer acquisition campaigns</w:t>
            </w:r>
          </w:p>
        </w:tc>
        <w:tc>
          <w:tcPr>
            <w:tcW w:w="0" w:type="auto"/>
            <w:vAlign w:val="center"/>
            <w:hideMark/>
          </w:tcPr>
          <w:p w14:paraId="3CD85DC8"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Marketing Director</w:t>
            </w:r>
          </w:p>
        </w:tc>
        <w:tc>
          <w:tcPr>
            <w:tcW w:w="0" w:type="auto"/>
            <w:vAlign w:val="center"/>
            <w:hideMark/>
          </w:tcPr>
          <w:p w14:paraId="539290B4"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Month 18</w:t>
            </w:r>
          </w:p>
        </w:tc>
        <w:tc>
          <w:tcPr>
            <w:tcW w:w="0" w:type="auto"/>
            <w:vAlign w:val="center"/>
            <w:hideMark/>
          </w:tcPr>
          <w:p w14:paraId="38C63B6F"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Initial customer base established</w:t>
            </w:r>
          </w:p>
        </w:tc>
      </w:tr>
      <w:tr w:rsidR="00133CD9" w:rsidRPr="00DF3A4F" w14:paraId="50A1DAE5" w14:textId="77777777" w:rsidTr="00CD61E4">
        <w:trPr>
          <w:tblCellSpacing w:w="15" w:type="dxa"/>
        </w:trPr>
        <w:tc>
          <w:tcPr>
            <w:tcW w:w="0" w:type="auto"/>
            <w:vAlign w:val="center"/>
            <w:hideMark/>
          </w:tcPr>
          <w:p w14:paraId="44455FE2"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Expand merchant network across Singapore</w:t>
            </w:r>
          </w:p>
        </w:tc>
        <w:tc>
          <w:tcPr>
            <w:tcW w:w="0" w:type="auto"/>
            <w:vAlign w:val="center"/>
            <w:hideMark/>
          </w:tcPr>
          <w:p w14:paraId="347C353F"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Merchant Relations Manager</w:t>
            </w:r>
          </w:p>
        </w:tc>
        <w:tc>
          <w:tcPr>
            <w:tcW w:w="0" w:type="auto"/>
            <w:vAlign w:val="center"/>
            <w:hideMark/>
          </w:tcPr>
          <w:p w14:paraId="1C138B0E"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Month 24</w:t>
            </w:r>
          </w:p>
        </w:tc>
        <w:tc>
          <w:tcPr>
            <w:tcW w:w="0" w:type="auto"/>
            <w:vAlign w:val="center"/>
            <w:hideMark/>
          </w:tcPr>
          <w:p w14:paraId="34CA5168"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Merchant ecosystem developed</w:t>
            </w:r>
          </w:p>
        </w:tc>
      </w:tr>
      <w:tr w:rsidR="00133CD9" w:rsidRPr="00DF3A4F" w14:paraId="0FABA903" w14:textId="77777777" w:rsidTr="00CD61E4">
        <w:trPr>
          <w:tblCellSpacing w:w="15" w:type="dxa"/>
        </w:trPr>
        <w:tc>
          <w:tcPr>
            <w:tcW w:w="0" w:type="auto"/>
            <w:vAlign w:val="center"/>
            <w:hideMark/>
          </w:tcPr>
          <w:p w14:paraId="6C577468"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Monitor performance and strategic objectives</w:t>
            </w:r>
          </w:p>
        </w:tc>
        <w:tc>
          <w:tcPr>
            <w:tcW w:w="0" w:type="auto"/>
            <w:vAlign w:val="center"/>
            <w:hideMark/>
          </w:tcPr>
          <w:p w14:paraId="7219A53A"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Senior Management Team</w:t>
            </w:r>
          </w:p>
        </w:tc>
        <w:tc>
          <w:tcPr>
            <w:tcW w:w="0" w:type="auto"/>
            <w:vAlign w:val="center"/>
            <w:hideMark/>
          </w:tcPr>
          <w:p w14:paraId="5CE48E31"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Ongoing</w:t>
            </w:r>
          </w:p>
        </w:tc>
        <w:tc>
          <w:tcPr>
            <w:tcW w:w="0" w:type="auto"/>
            <w:vAlign w:val="center"/>
            <w:hideMark/>
          </w:tcPr>
          <w:p w14:paraId="472FCBD6" w14:textId="77777777" w:rsidR="00133CD9" w:rsidRPr="00DF3A4F" w:rsidRDefault="00133CD9" w:rsidP="00CD61E4">
            <w:pPr>
              <w:spacing w:line="360" w:lineRule="auto"/>
              <w:jc w:val="both"/>
              <w:rPr>
                <w:rFonts w:ascii="Arial" w:hAnsi="Arial" w:cs="Arial"/>
                <w:sz w:val="24"/>
                <w:szCs w:val="24"/>
              </w:rPr>
            </w:pPr>
            <w:r w:rsidRPr="00DF3A4F">
              <w:rPr>
                <w:rFonts w:ascii="Arial" w:hAnsi="Arial" w:cs="Arial"/>
                <w:sz w:val="24"/>
                <w:szCs w:val="24"/>
              </w:rPr>
              <w:t>Achievement of KPIs and growth targets</w:t>
            </w:r>
          </w:p>
        </w:tc>
      </w:tr>
    </w:tbl>
    <w:p w14:paraId="477F8A84"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Responsibility Allocation</w:t>
      </w:r>
    </w:p>
    <w:p w14:paraId="02F1CD2A"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allocation of responsibilities allows accountability throughout the implementation process and effective project management. The Compliance Director will be responsible for regulatory approval activities that will be coordinated with the Monetary Authority of Singapore to ensure all the licensing requirements are met within the first 6 months. The Business Development Director will coordinate partnership negotiation to achieve strategic partnership with local financial institutions. The Chief Technology Officer and the IT Security Manager will oversee the integration of technology and cybersecurity measures to guarantee the reliability of operations and compliance with regulations. The Singapore Country Manager will lead the implementation of pilot activities and market entry as well as the Marketing Director will lead the customer acquisition and brand awareness activities. The Merchant Relations Manager will be responsible for coordinating Merchant Onboarding Activities. The overall project performance will be tracked by senior management in regular reviews against key project performance indicators and milestones.</w:t>
      </w:r>
    </w:p>
    <w:p w14:paraId="11586441" w14:textId="77777777" w:rsidR="00133CD9" w:rsidRPr="00DF3A4F" w:rsidRDefault="00133CD9" w:rsidP="00133CD9">
      <w:pPr>
        <w:pStyle w:val="Heading2"/>
        <w:rPr>
          <w:rFonts w:ascii="Arial" w:hAnsi="Arial" w:cs="Arial"/>
          <w:sz w:val="24"/>
          <w:szCs w:val="24"/>
        </w:rPr>
      </w:pPr>
      <w:bookmarkStart w:id="69" w:name="_Toc238739822"/>
      <w:r w:rsidRPr="00DF3A4F">
        <w:rPr>
          <w:rFonts w:ascii="Arial" w:hAnsi="Arial" w:cs="Arial"/>
          <w:sz w:val="24"/>
          <w:szCs w:val="24"/>
        </w:rPr>
        <w:t>9.9 Implementation Timeline</w:t>
      </w:r>
      <w:bookmarkEnd w:id="69"/>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09"/>
        <w:gridCol w:w="2272"/>
        <w:gridCol w:w="1087"/>
        <w:gridCol w:w="1245"/>
        <w:gridCol w:w="3203"/>
      </w:tblGrid>
      <w:tr w:rsidR="00133CD9" w:rsidRPr="00DF3A4F" w14:paraId="35405778" w14:textId="77777777" w:rsidTr="00CD61E4">
        <w:trPr>
          <w:tblHeader/>
          <w:tblCellSpacing w:w="15" w:type="dxa"/>
        </w:trPr>
        <w:tc>
          <w:tcPr>
            <w:tcW w:w="0" w:type="auto"/>
            <w:vAlign w:val="center"/>
            <w:hideMark/>
          </w:tcPr>
          <w:p w14:paraId="070ADA99" w14:textId="77777777" w:rsidR="00133CD9" w:rsidRPr="00DF3A4F" w:rsidRDefault="00133CD9" w:rsidP="00CD61E4">
            <w:pPr>
              <w:rPr>
                <w:rFonts w:ascii="Arial" w:hAnsi="Arial" w:cs="Arial"/>
                <w:b/>
                <w:bCs/>
                <w:sz w:val="24"/>
                <w:szCs w:val="24"/>
              </w:rPr>
            </w:pPr>
            <w:r w:rsidRPr="00DF3A4F">
              <w:rPr>
                <w:rFonts w:ascii="Arial" w:hAnsi="Arial" w:cs="Arial"/>
                <w:b/>
                <w:bCs/>
                <w:sz w:val="24"/>
                <w:szCs w:val="24"/>
              </w:rPr>
              <w:t>Phase</w:t>
            </w:r>
          </w:p>
        </w:tc>
        <w:tc>
          <w:tcPr>
            <w:tcW w:w="0" w:type="auto"/>
            <w:vAlign w:val="center"/>
            <w:hideMark/>
          </w:tcPr>
          <w:p w14:paraId="4670E6EA" w14:textId="77777777" w:rsidR="00133CD9" w:rsidRPr="00DF3A4F" w:rsidRDefault="00133CD9" w:rsidP="00CD61E4">
            <w:pPr>
              <w:rPr>
                <w:rFonts w:ascii="Arial" w:hAnsi="Arial" w:cs="Arial"/>
                <w:b/>
                <w:bCs/>
                <w:sz w:val="24"/>
                <w:szCs w:val="24"/>
              </w:rPr>
            </w:pPr>
            <w:r w:rsidRPr="00DF3A4F">
              <w:rPr>
                <w:rFonts w:ascii="Arial" w:hAnsi="Arial" w:cs="Arial"/>
                <w:b/>
                <w:bCs/>
                <w:sz w:val="24"/>
                <w:szCs w:val="24"/>
              </w:rPr>
              <w:t>Activity</w:t>
            </w:r>
          </w:p>
        </w:tc>
        <w:tc>
          <w:tcPr>
            <w:tcW w:w="0" w:type="auto"/>
            <w:vAlign w:val="center"/>
            <w:hideMark/>
          </w:tcPr>
          <w:p w14:paraId="745775D9" w14:textId="77777777" w:rsidR="00133CD9" w:rsidRPr="00DF3A4F" w:rsidRDefault="00133CD9" w:rsidP="00CD61E4">
            <w:pPr>
              <w:rPr>
                <w:rFonts w:ascii="Arial" w:hAnsi="Arial" w:cs="Arial"/>
                <w:b/>
                <w:bCs/>
                <w:sz w:val="24"/>
                <w:szCs w:val="24"/>
              </w:rPr>
            </w:pPr>
            <w:r w:rsidRPr="00DF3A4F">
              <w:rPr>
                <w:rFonts w:ascii="Arial" w:hAnsi="Arial" w:cs="Arial"/>
                <w:b/>
                <w:bCs/>
                <w:sz w:val="24"/>
                <w:szCs w:val="24"/>
              </w:rPr>
              <w:t>Duration</w:t>
            </w:r>
          </w:p>
        </w:tc>
        <w:tc>
          <w:tcPr>
            <w:tcW w:w="0" w:type="auto"/>
            <w:vAlign w:val="center"/>
            <w:hideMark/>
          </w:tcPr>
          <w:p w14:paraId="5A50F3AD" w14:textId="77777777" w:rsidR="00133CD9" w:rsidRPr="00DF3A4F" w:rsidRDefault="00133CD9" w:rsidP="00CD61E4">
            <w:pPr>
              <w:rPr>
                <w:rFonts w:ascii="Arial" w:hAnsi="Arial" w:cs="Arial"/>
                <w:b/>
                <w:bCs/>
                <w:sz w:val="24"/>
                <w:szCs w:val="24"/>
              </w:rPr>
            </w:pPr>
            <w:r w:rsidRPr="00DF3A4F">
              <w:rPr>
                <w:rFonts w:ascii="Arial" w:hAnsi="Arial" w:cs="Arial"/>
                <w:b/>
                <w:bCs/>
                <w:sz w:val="24"/>
                <w:szCs w:val="24"/>
              </w:rPr>
              <w:t>Timeline (Months)</w:t>
            </w:r>
          </w:p>
        </w:tc>
        <w:tc>
          <w:tcPr>
            <w:tcW w:w="0" w:type="auto"/>
            <w:vAlign w:val="center"/>
            <w:hideMark/>
          </w:tcPr>
          <w:p w14:paraId="6EA118C6" w14:textId="77777777" w:rsidR="00133CD9" w:rsidRPr="00DF3A4F" w:rsidRDefault="00133CD9" w:rsidP="00CD61E4">
            <w:pPr>
              <w:rPr>
                <w:rFonts w:ascii="Arial" w:hAnsi="Arial" w:cs="Arial"/>
                <w:b/>
                <w:bCs/>
                <w:sz w:val="24"/>
                <w:szCs w:val="24"/>
              </w:rPr>
            </w:pPr>
            <w:r w:rsidRPr="00DF3A4F">
              <w:rPr>
                <w:rFonts w:ascii="Arial" w:hAnsi="Arial" w:cs="Arial"/>
                <w:b/>
                <w:bCs/>
                <w:sz w:val="24"/>
                <w:szCs w:val="24"/>
              </w:rPr>
              <w:t>Key Outcome</w:t>
            </w:r>
          </w:p>
        </w:tc>
      </w:tr>
      <w:tr w:rsidR="00133CD9" w:rsidRPr="00DF3A4F" w14:paraId="530B865B" w14:textId="77777777" w:rsidTr="00CD61E4">
        <w:trPr>
          <w:tblCellSpacing w:w="15" w:type="dxa"/>
        </w:trPr>
        <w:tc>
          <w:tcPr>
            <w:tcW w:w="0" w:type="auto"/>
            <w:vAlign w:val="center"/>
            <w:hideMark/>
          </w:tcPr>
          <w:p w14:paraId="00687409" w14:textId="77777777" w:rsidR="00133CD9" w:rsidRPr="00DF3A4F" w:rsidRDefault="00133CD9" w:rsidP="00CD61E4">
            <w:pPr>
              <w:rPr>
                <w:rFonts w:ascii="Arial" w:hAnsi="Arial" w:cs="Arial"/>
                <w:sz w:val="24"/>
                <w:szCs w:val="24"/>
              </w:rPr>
            </w:pPr>
            <w:r w:rsidRPr="00DF3A4F">
              <w:rPr>
                <w:rFonts w:ascii="Arial" w:hAnsi="Arial" w:cs="Arial"/>
                <w:sz w:val="24"/>
                <w:szCs w:val="24"/>
              </w:rPr>
              <w:t>Phase 1</w:t>
            </w:r>
          </w:p>
        </w:tc>
        <w:tc>
          <w:tcPr>
            <w:tcW w:w="0" w:type="auto"/>
            <w:vAlign w:val="center"/>
            <w:hideMark/>
          </w:tcPr>
          <w:p w14:paraId="42381DCA" w14:textId="77777777" w:rsidR="00133CD9" w:rsidRPr="00DF3A4F" w:rsidRDefault="00133CD9" w:rsidP="00CD61E4">
            <w:pPr>
              <w:rPr>
                <w:rFonts w:ascii="Arial" w:hAnsi="Arial" w:cs="Arial"/>
                <w:sz w:val="24"/>
                <w:szCs w:val="24"/>
              </w:rPr>
            </w:pPr>
            <w:r w:rsidRPr="00DF3A4F">
              <w:rPr>
                <w:rFonts w:ascii="Arial" w:hAnsi="Arial" w:cs="Arial"/>
                <w:sz w:val="24"/>
                <w:szCs w:val="24"/>
              </w:rPr>
              <w:t>Regulatory Approval and Partnership Development</w:t>
            </w:r>
          </w:p>
        </w:tc>
        <w:tc>
          <w:tcPr>
            <w:tcW w:w="0" w:type="auto"/>
            <w:vAlign w:val="center"/>
            <w:hideMark/>
          </w:tcPr>
          <w:p w14:paraId="7DDBA1C7" w14:textId="77777777" w:rsidR="00133CD9" w:rsidRPr="00DF3A4F" w:rsidRDefault="00133CD9" w:rsidP="00CD61E4">
            <w:pPr>
              <w:rPr>
                <w:rFonts w:ascii="Arial" w:hAnsi="Arial" w:cs="Arial"/>
                <w:sz w:val="24"/>
                <w:szCs w:val="24"/>
              </w:rPr>
            </w:pPr>
            <w:r w:rsidRPr="00DF3A4F">
              <w:rPr>
                <w:rFonts w:ascii="Arial" w:hAnsi="Arial" w:cs="Arial"/>
                <w:sz w:val="24"/>
                <w:szCs w:val="24"/>
              </w:rPr>
              <w:t>6 Months</w:t>
            </w:r>
          </w:p>
        </w:tc>
        <w:tc>
          <w:tcPr>
            <w:tcW w:w="0" w:type="auto"/>
            <w:vAlign w:val="center"/>
            <w:hideMark/>
          </w:tcPr>
          <w:p w14:paraId="6DDA3DE2" w14:textId="77777777" w:rsidR="00133CD9" w:rsidRPr="00DF3A4F" w:rsidRDefault="00133CD9" w:rsidP="00CD61E4">
            <w:pPr>
              <w:rPr>
                <w:rFonts w:ascii="Arial" w:hAnsi="Arial" w:cs="Arial"/>
                <w:sz w:val="24"/>
                <w:szCs w:val="24"/>
              </w:rPr>
            </w:pPr>
            <w:r w:rsidRPr="00DF3A4F">
              <w:rPr>
                <w:rFonts w:ascii="Arial" w:hAnsi="Arial" w:cs="Arial"/>
                <w:sz w:val="24"/>
                <w:szCs w:val="24"/>
              </w:rPr>
              <w:t>1–6</w:t>
            </w:r>
          </w:p>
        </w:tc>
        <w:tc>
          <w:tcPr>
            <w:tcW w:w="0" w:type="auto"/>
            <w:vAlign w:val="center"/>
            <w:hideMark/>
          </w:tcPr>
          <w:p w14:paraId="68850B33" w14:textId="77777777" w:rsidR="00133CD9" w:rsidRPr="00DF3A4F" w:rsidRDefault="00133CD9" w:rsidP="00CD61E4">
            <w:pPr>
              <w:rPr>
                <w:rFonts w:ascii="Arial" w:hAnsi="Arial" w:cs="Arial"/>
                <w:sz w:val="24"/>
                <w:szCs w:val="24"/>
              </w:rPr>
            </w:pPr>
            <w:r w:rsidRPr="00DF3A4F">
              <w:rPr>
                <w:rFonts w:ascii="Arial" w:hAnsi="Arial" w:cs="Arial"/>
                <w:sz w:val="24"/>
                <w:szCs w:val="24"/>
              </w:rPr>
              <w:t>Obtain regulatory clearances and establish strategic partnerships with local financial institutions and payment providers</w:t>
            </w:r>
          </w:p>
        </w:tc>
      </w:tr>
      <w:tr w:rsidR="00133CD9" w:rsidRPr="00DF3A4F" w14:paraId="5CAB0929" w14:textId="77777777" w:rsidTr="00CD61E4">
        <w:trPr>
          <w:tblCellSpacing w:w="15" w:type="dxa"/>
        </w:trPr>
        <w:tc>
          <w:tcPr>
            <w:tcW w:w="0" w:type="auto"/>
            <w:vAlign w:val="center"/>
            <w:hideMark/>
          </w:tcPr>
          <w:p w14:paraId="7C2E414C" w14:textId="77777777" w:rsidR="00133CD9" w:rsidRPr="00DF3A4F" w:rsidRDefault="00133CD9" w:rsidP="00CD61E4">
            <w:pPr>
              <w:rPr>
                <w:rFonts w:ascii="Arial" w:hAnsi="Arial" w:cs="Arial"/>
                <w:sz w:val="24"/>
                <w:szCs w:val="24"/>
              </w:rPr>
            </w:pPr>
            <w:r w:rsidRPr="00DF3A4F">
              <w:rPr>
                <w:rFonts w:ascii="Arial" w:hAnsi="Arial" w:cs="Arial"/>
                <w:sz w:val="24"/>
                <w:szCs w:val="24"/>
              </w:rPr>
              <w:t>Phase 2</w:t>
            </w:r>
          </w:p>
        </w:tc>
        <w:tc>
          <w:tcPr>
            <w:tcW w:w="0" w:type="auto"/>
            <w:vAlign w:val="center"/>
            <w:hideMark/>
          </w:tcPr>
          <w:p w14:paraId="158C0490" w14:textId="77777777" w:rsidR="00133CD9" w:rsidRPr="00DF3A4F" w:rsidRDefault="00133CD9" w:rsidP="00CD61E4">
            <w:pPr>
              <w:rPr>
                <w:rFonts w:ascii="Arial" w:hAnsi="Arial" w:cs="Arial"/>
                <w:sz w:val="24"/>
                <w:szCs w:val="24"/>
              </w:rPr>
            </w:pPr>
            <w:r w:rsidRPr="00DF3A4F">
              <w:rPr>
                <w:rFonts w:ascii="Arial" w:hAnsi="Arial" w:cs="Arial"/>
                <w:sz w:val="24"/>
                <w:szCs w:val="24"/>
              </w:rPr>
              <w:t>Technology Integration and System Testing</w:t>
            </w:r>
          </w:p>
        </w:tc>
        <w:tc>
          <w:tcPr>
            <w:tcW w:w="0" w:type="auto"/>
            <w:vAlign w:val="center"/>
            <w:hideMark/>
          </w:tcPr>
          <w:p w14:paraId="3797B6D8" w14:textId="77777777" w:rsidR="00133CD9" w:rsidRPr="00DF3A4F" w:rsidRDefault="00133CD9" w:rsidP="00CD61E4">
            <w:pPr>
              <w:rPr>
                <w:rFonts w:ascii="Arial" w:hAnsi="Arial" w:cs="Arial"/>
                <w:sz w:val="24"/>
                <w:szCs w:val="24"/>
              </w:rPr>
            </w:pPr>
            <w:r w:rsidRPr="00DF3A4F">
              <w:rPr>
                <w:rFonts w:ascii="Arial" w:hAnsi="Arial" w:cs="Arial"/>
                <w:sz w:val="24"/>
                <w:szCs w:val="24"/>
              </w:rPr>
              <w:t>6 Months</w:t>
            </w:r>
          </w:p>
        </w:tc>
        <w:tc>
          <w:tcPr>
            <w:tcW w:w="0" w:type="auto"/>
            <w:vAlign w:val="center"/>
            <w:hideMark/>
          </w:tcPr>
          <w:p w14:paraId="524E4E97" w14:textId="77777777" w:rsidR="00133CD9" w:rsidRPr="00DF3A4F" w:rsidRDefault="00133CD9" w:rsidP="00CD61E4">
            <w:pPr>
              <w:rPr>
                <w:rFonts w:ascii="Arial" w:hAnsi="Arial" w:cs="Arial"/>
                <w:sz w:val="24"/>
                <w:szCs w:val="24"/>
              </w:rPr>
            </w:pPr>
            <w:r w:rsidRPr="00DF3A4F">
              <w:rPr>
                <w:rFonts w:ascii="Arial" w:hAnsi="Arial" w:cs="Arial"/>
                <w:sz w:val="24"/>
                <w:szCs w:val="24"/>
              </w:rPr>
              <w:t>7–12</w:t>
            </w:r>
          </w:p>
        </w:tc>
        <w:tc>
          <w:tcPr>
            <w:tcW w:w="0" w:type="auto"/>
            <w:vAlign w:val="center"/>
            <w:hideMark/>
          </w:tcPr>
          <w:p w14:paraId="2129D3B2" w14:textId="77777777" w:rsidR="00133CD9" w:rsidRPr="00DF3A4F" w:rsidRDefault="00133CD9" w:rsidP="00CD61E4">
            <w:pPr>
              <w:rPr>
                <w:rFonts w:ascii="Arial" w:hAnsi="Arial" w:cs="Arial"/>
                <w:sz w:val="24"/>
                <w:szCs w:val="24"/>
              </w:rPr>
            </w:pPr>
            <w:r w:rsidRPr="00DF3A4F">
              <w:rPr>
                <w:rFonts w:ascii="Arial" w:hAnsi="Arial" w:cs="Arial"/>
                <w:sz w:val="24"/>
                <w:szCs w:val="24"/>
              </w:rPr>
              <w:t>Integrate Paytm's platform with Singapore's payment infrastructure and conduct system testing</w:t>
            </w:r>
          </w:p>
        </w:tc>
      </w:tr>
      <w:tr w:rsidR="00133CD9" w:rsidRPr="00DF3A4F" w14:paraId="0F383EEF" w14:textId="77777777" w:rsidTr="00CD61E4">
        <w:trPr>
          <w:tblCellSpacing w:w="15" w:type="dxa"/>
        </w:trPr>
        <w:tc>
          <w:tcPr>
            <w:tcW w:w="0" w:type="auto"/>
            <w:vAlign w:val="center"/>
            <w:hideMark/>
          </w:tcPr>
          <w:p w14:paraId="288B5E43" w14:textId="77777777" w:rsidR="00133CD9" w:rsidRPr="00DF3A4F" w:rsidRDefault="00133CD9" w:rsidP="00CD61E4">
            <w:pPr>
              <w:rPr>
                <w:rFonts w:ascii="Arial" w:hAnsi="Arial" w:cs="Arial"/>
                <w:sz w:val="24"/>
                <w:szCs w:val="24"/>
              </w:rPr>
            </w:pPr>
            <w:r w:rsidRPr="00DF3A4F">
              <w:rPr>
                <w:rFonts w:ascii="Arial" w:hAnsi="Arial" w:cs="Arial"/>
                <w:sz w:val="24"/>
                <w:szCs w:val="24"/>
              </w:rPr>
              <w:t>Phase 3</w:t>
            </w:r>
          </w:p>
        </w:tc>
        <w:tc>
          <w:tcPr>
            <w:tcW w:w="0" w:type="auto"/>
            <w:vAlign w:val="center"/>
            <w:hideMark/>
          </w:tcPr>
          <w:p w14:paraId="05ABE731" w14:textId="77777777" w:rsidR="00133CD9" w:rsidRPr="00DF3A4F" w:rsidRDefault="00133CD9" w:rsidP="00CD61E4">
            <w:pPr>
              <w:rPr>
                <w:rFonts w:ascii="Arial" w:hAnsi="Arial" w:cs="Arial"/>
                <w:sz w:val="24"/>
                <w:szCs w:val="24"/>
              </w:rPr>
            </w:pPr>
            <w:r w:rsidRPr="00DF3A4F">
              <w:rPr>
                <w:rFonts w:ascii="Arial" w:hAnsi="Arial" w:cs="Arial"/>
                <w:sz w:val="24"/>
                <w:szCs w:val="24"/>
              </w:rPr>
              <w:t>Pilot Launch and Market Entry</w:t>
            </w:r>
          </w:p>
        </w:tc>
        <w:tc>
          <w:tcPr>
            <w:tcW w:w="0" w:type="auto"/>
            <w:vAlign w:val="center"/>
            <w:hideMark/>
          </w:tcPr>
          <w:p w14:paraId="2ED0F4C8" w14:textId="77777777" w:rsidR="00133CD9" w:rsidRPr="00DF3A4F" w:rsidRDefault="00133CD9" w:rsidP="00CD61E4">
            <w:pPr>
              <w:rPr>
                <w:rFonts w:ascii="Arial" w:hAnsi="Arial" w:cs="Arial"/>
                <w:sz w:val="24"/>
                <w:szCs w:val="24"/>
              </w:rPr>
            </w:pPr>
            <w:r w:rsidRPr="00DF3A4F">
              <w:rPr>
                <w:rFonts w:ascii="Arial" w:hAnsi="Arial" w:cs="Arial"/>
                <w:sz w:val="24"/>
                <w:szCs w:val="24"/>
              </w:rPr>
              <w:t>6 Months</w:t>
            </w:r>
          </w:p>
        </w:tc>
        <w:tc>
          <w:tcPr>
            <w:tcW w:w="0" w:type="auto"/>
            <w:vAlign w:val="center"/>
            <w:hideMark/>
          </w:tcPr>
          <w:p w14:paraId="214B560E" w14:textId="77777777" w:rsidR="00133CD9" w:rsidRPr="00DF3A4F" w:rsidRDefault="00133CD9" w:rsidP="00CD61E4">
            <w:pPr>
              <w:rPr>
                <w:rFonts w:ascii="Arial" w:hAnsi="Arial" w:cs="Arial"/>
                <w:sz w:val="24"/>
                <w:szCs w:val="24"/>
              </w:rPr>
            </w:pPr>
            <w:r w:rsidRPr="00DF3A4F">
              <w:rPr>
                <w:rFonts w:ascii="Arial" w:hAnsi="Arial" w:cs="Arial"/>
                <w:sz w:val="24"/>
                <w:szCs w:val="24"/>
              </w:rPr>
              <w:t>13–18</w:t>
            </w:r>
          </w:p>
        </w:tc>
        <w:tc>
          <w:tcPr>
            <w:tcW w:w="0" w:type="auto"/>
            <w:vAlign w:val="center"/>
            <w:hideMark/>
          </w:tcPr>
          <w:p w14:paraId="62310FCE" w14:textId="77777777" w:rsidR="00133CD9" w:rsidRPr="00DF3A4F" w:rsidRDefault="00133CD9" w:rsidP="00CD61E4">
            <w:pPr>
              <w:rPr>
                <w:rFonts w:ascii="Arial" w:hAnsi="Arial" w:cs="Arial"/>
                <w:sz w:val="24"/>
                <w:szCs w:val="24"/>
              </w:rPr>
            </w:pPr>
            <w:r w:rsidRPr="00DF3A4F">
              <w:rPr>
                <w:rFonts w:ascii="Arial" w:hAnsi="Arial" w:cs="Arial"/>
                <w:sz w:val="24"/>
                <w:szCs w:val="24"/>
              </w:rPr>
              <w:t>Launch pilot operations, evaluate performance and gather customer feedback</w:t>
            </w:r>
          </w:p>
        </w:tc>
      </w:tr>
      <w:tr w:rsidR="00133CD9" w:rsidRPr="00DF3A4F" w14:paraId="5D63AE00" w14:textId="77777777" w:rsidTr="00CD61E4">
        <w:trPr>
          <w:tblCellSpacing w:w="15" w:type="dxa"/>
        </w:trPr>
        <w:tc>
          <w:tcPr>
            <w:tcW w:w="0" w:type="auto"/>
            <w:vAlign w:val="center"/>
            <w:hideMark/>
          </w:tcPr>
          <w:p w14:paraId="7BD31C48" w14:textId="77777777" w:rsidR="00133CD9" w:rsidRPr="00DF3A4F" w:rsidRDefault="00133CD9" w:rsidP="00CD61E4">
            <w:pPr>
              <w:rPr>
                <w:rFonts w:ascii="Arial" w:hAnsi="Arial" w:cs="Arial"/>
                <w:sz w:val="24"/>
                <w:szCs w:val="24"/>
              </w:rPr>
            </w:pPr>
            <w:r w:rsidRPr="00DF3A4F">
              <w:rPr>
                <w:rFonts w:ascii="Arial" w:hAnsi="Arial" w:cs="Arial"/>
                <w:sz w:val="24"/>
                <w:szCs w:val="24"/>
              </w:rPr>
              <w:t>Phase 4</w:t>
            </w:r>
          </w:p>
        </w:tc>
        <w:tc>
          <w:tcPr>
            <w:tcW w:w="0" w:type="auto"/>
            <w:vAlign w:val="center"/>
            <w:hideMark/>
          </w:tcPr>
          <w:p w14:paraId="6CF0DE9B" w14:textId="77777777" w:rsidR="00133CD9" w:rsidRPr="00DF3A4F" w:rsidRDefault="00133CD9" w:rsidP="00CD61E4">
            <w:pPr>
              <w:rPr>
                <w:rFonts w:ascii="Arial" w:hAnsi="Arial" w:cs="Arial"/>
                <w:sz w:val="24"/>
                <w:szCs w:val="24"/>
              </w:rPr>
            </w:pPr>
            <w:r w:rsidRPr="00DF3A4F">
              <w:rPr>
                <w:rFonts w:ascii="Arial" w:hAnsi="Arial" w:cs="Arial"/>
                <w:sz w:val="24"/>
                <w:szCs w:val="24"/>
              </w:rPr>
              <w:t>Full Commercial Expansion</w:t>
            </w:r>
          </w:p>
        </w:tc>
        <w:tc>
          <w:tcPr>
            <w:tcW w:w="0" w:type="auto"/>
            <w:vAlign w:val="center"/>
            <w:hideMark/>
          </w:tcPr>
          <w:p w14:paraId="6F98C23D" w14:textId="77777777" w:rsidR="00133CD9" w:rsidRPr="00DF3A4F" w:rsidRDefault="00133CD9" w:rsidP="00CD61E4">
            <w:pPr>
              <w:rPr>
                <w:rFonts w:ascii="Arial" w:hAnsi="Arial" w:cs="Arial"/>
                <w:sz w:val="24"/>
                <w:szCs w:val="24"/>
              </w:rPr>
            </w:pPr>
            <w:r w:rsidRPr="00DF3A4F">
              <w:rPr>
                <w:rFonts w:ascii="Arial" w:hAnsi="Arial" w:cs="Arial"/>
                <w:sz w:val="24"/>
                <w:szCs w:val="24"/>
              </w:rPr>
              <w:t>6 Months</w:t>
            </w:r>
          </w:p>
        </w:tc>
        <w:tc>
          <w:tcPr>
            <w:tcW w:w="0" w:type="auto"/>
            <w:vAlign w:val="center"/>
            <w:hideMark/>
          </w:tcPr>
          <w:p w14:paraId="52608795" w14:textId="77777777" w:rsidR="00133CD9" w:rsidRPr="00DF3A4F" w:rsidRDefault="00133CD9" w:rsidP="00CD61E4">
            <w:pPr>
              <w:rPr>
                <w:rFonts w:ascii="Arial" w:hAnsi="Arial" w:cs="Arial"/>
                <w:sz w:val="24"/>
                <w:szCs w:val="24"/>
              </w:rPr>
            </w:pPr>
            <w:r w:rsidRPr="00DF3A4F">
              <w:rPr>
                <w:rFonts w:ascii="Arial" w:hAnsi="Arial" w:cs="Arial"/>
                <w:sz w:val="24"/>
                <w:szCs w:val="24"/>
              </w:rPr>
              <w:t>19–24</w:t>
            </w:r>
          </w:p>
        </w:tc>
        <w:tc>
          <w:tcPr>
            <w:tcW w:w="0" w:type="auto"/>
            <w:vAlign w:val="center"/>
            <w:hideMark/>
          </w:tcPr>
          <w:p w14:paraId="5C3E4ED8" w14:textId="77777777" w:rsidR="00133CD9" w:rsidRPr="00DF3A4F" w:rsidRDefault="00133CD9" w:rsidP="00CD61E4">
            <w:pPr>
              <w:rPr>
                <w:rFonts w:ascii="Arial" w:hAnsi="Arial" w:cs="Arial"/>
                <w:sz w:val="24"/>
                <w:szCs w:val="24"/>
              </w:rPr>
            </w:pPr>
            <w:r w:rsidRPr="00DF3A4F">
              <w:rPr>
                <w:rFonts w:ascii="Arial" w:hAnsi="Arial" w:cs="Arial"/>
                <w:sz w:val="24"/>
                <w:szCs w:val="24"/>
              </w:rPr>
              <w:t>Scale operations, expand merchant network and increase customer acquisition across Singapore</w:t>
            </w:r>
          </w:p>
        </w:tc>
      </w:tr>
      <w:tr w:rsidR="00133CD9" w:rsidRPr="00DF3A4F" w14:paraId="70809F4B" w14:textId="77777777" w:rsidTr="00CD61E4">
        <w:trPr>
          <w:tblCellSpacing w:w="15" w:type="dxa"/>
        </w:trPr>
        <w:tc>
          <w:tcPr>
            <w:tcW w:w="0" w:type="auto"/>
            <w:vAlign w:val="center"/>
            <w:hideMark/>
          </w:tcPr>
          <w:p w14:paraId="541727AA" w14:textId="77777777" w:rsidR="00133CD9" w:rsidRPr="00DF3A4F" w:rsidRDefault="00133CD9" w:rsidP="00CD61E4">
            <w:pPr>
              <w:rPr>
                <w:rFonts w:ascii="Arial" w:hAnsi="Arial" w:cs="Arial"/>
                <w:sz w:val="24"/>
                <w:szCs w:val="24"/>
              </w:rPr>
            </w:pPr>
            <w:r w:rsidRPr="00DF3A4F">
              <w:rPr>
                <w:rFonts w:ascii="Arial" w:hAnsi="Arial" w:cs="Arial"/>
                <w:sz w:val="24"/>
                <w:szCs w:val="24"/>
              </w:rPr>
              <w:t>Total Project Duration</w:t>
            </w:r>
          </w:p>
        </w:tc>
        <w:tc>
          <w:tcPr>
            <w:tcW w:w="0" w:type="auto"/>
            <w:vAlign w:val="center"/>
            <w:hideMark/>
          </w:tcPr>
          <w:p w14:paraId="175993A8" w14:textId="77777777" w:rsidR="00133CD9" w:rsidRPr="00DF3A4F" w:rsidRDefault="00133CD9" w:rsidP="00CD61E4">
            <w:pPr>
              <w:rPr>
                <w:rFonts w:ascii="Arial" w:hAnsi="Arial" w:cs="Arial"/>
                <w:sz w:val="24"/>
                <w:szCs w:val="24"/>
              </w:rPr>
            </w:pPr>
            <w:r w:rsidRPr="00DF3A4F">
              <w:rPr>
                <w:rFonts w:ascii="Arial" w:hAnsi="Arial" w:cs="Arial"/>
                <w:sz w:val="24"/>
                <w:szCs w:val="24"/>
              </w:rPr>
              <w:t>International Expansion Implementation</w:t>
            </w:r>
          </w:p>
        </w:tc>
        <w:tc>
          <w:tcPr>
            <w:tcW w:w="0" w:type="auto"/>
            <w:vAlign w:val="center"/>
            <w:hideMark/>
          </w:tcPr>
          <w:p w14:paraId="628240E9" w14:textId="77777777" w:rsidR="00133CD9" w:rsidRPr="00DF3A4F" w:rsidRDefault="00133CD9" w:rsidP="00CD61E4">
            <w:pPr>
              <w:rPr>
                <w:rFonts w:ascii="Arial" w:hAnsi="Arial" w:cs="Arial"/>
                <w:sz w:val="24"/>
                <w:szCs w:val="24"/>
              </w:rPr>
            </w:pPr>
            <w:r w:rsidRPr="00DF3A4F">
              <w:rPr>
                <w:rFonts w:ascii="Arial" w:hAnsi="Arial" w:cs="Arial"/>
                <w:sz w:val="24"/>
                <w:szCs w:val="24"/>
              </w:rPr>
              <w:t>24 Months</w:t>
            </w:r>
          </w:p>
        </w:tc>
        <w:tc>
          <w:tcPr>
            <w:tcW w:w="0" w:type="auto"/>
            <w:vAlign w:val="center"/>
            <w:hideMark/>
          </w:tcPr>
          <w:p w14:paraId="3A012348" w14:textId="77777777" w:rsidR="00133CD9" w:rsidRPr="00DF3A4F" w:rsidRDefault="00133CD9" w:rsidP="00CD61E4">
            <w:pPr>
              <w:rPr>
                <w:rFonts w:ascii="Arial" w:hAnsi="Arial" w:cs="Arial"/>
                <w:sz w:val="24"/>
                <w:szCs w:val="24"/>
              </w:rPr>
            </w:pPr>
            <w:r w:rsidRPr="00DF3A4F">
              <w:rPr>
                <w:rFonts w:ascii="Arial" w:hAnsi="Arial" w:cs="Arial"/>
                <w:sz w:val="24"/>
                <w:szCs w:val="24"/>
              </w:rPr>
              <w:t>1–24</w:t>
            </w:r>
          </w:p>
        </w:tc>
        <w:tc>
          <w:tcPr>
            <w:tcW w:w="0" w:type="auto"/>
            <w:vAlign w:val="center"/>
            <w:hideMark/>
          </w:tcPr>
          <w:p w14:paraId="58B34591" w14:textId="77777777" w:rsidR="00133CD9" w:rsidRPr="00DF3A4F" w:rsidRDefault="00133CD9" w:rsidP="00CD61E4">
            <w:pPr>
              <w:rPr>
                <w:rFonts w:ascii="Arial" w:hAnsi="Arial" w:cs="Arial"/>
                <w:sz w:val="24"/>
                <w:szCs w:val="24"/>
              </w:rPr>
            </w:pPr>
            <w:r w:rsidRPr="00DF3A4F">
              <w:rPr>
                <w:rFonts w:ascii="Arial" w:hAnsi="Arial" w:cs="Arial"/>
                <w:sz w:val="24"/>
                <w:szCs w:val="24"/>
              </w:rPr>
              <w:t>Successful establishment of Paytm's operations in the Singapore market</w:t>
            </w:r>
          </w:p>
        </w:tc>
      </w:tr>
    </w:tbl>
    <w:p w14:paraId="116BF55D" w14:textId="77777777" w:rsidR="00133CD9" w:rsidRPr="00DF3A4F" w:rsidRDefault="00133CD9" w:rsidP="00133CD9">
      <w:pPr>
        <w:pStyle w:val="Heading2"/>
        <w:rPr>
          <w:rFonts w:ascii="Arial" w:hAnsi="Arial" w:cs="Arial"/>
          <w:sz w:val="24"/>
          <w:szCs w:val="24"/>
        </w:rPr>
      </w:pPr>
      <w:bookmarkStart w:id="70" w:name="_Toc238739823"/>
      <w:r w:rsidRPr="00DF3A4F">
        <w:rPr>
          <w:rFonts w:ascii="Arial" w:hAnsi="Arial" w:cs="Arial"/>
          <w:sz w:val="24"/>
          <w:szCs w:val="24"/>
        </w:rPr>
        <w:t>9.10 Chapter Summary</w:t>
      </w:r>
      <w:bookmarkEnd w:id="70"/>
    </w:p>
    <w:p w14:paraId="75B0A0A9"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chapter provided a ‘ladder’ plan on how Paytm is looking to expand its operations to Singapore. The regulatory approval, technology integration, pilot testing and commercial expansion activities are included as a phased approach. The allocation of resources, measurement and implementation timelines offer a practical approach towards successfully execution of the proposed strategy.</w:t>
      </w:r>
    </w:p>
    <w:p w14:paraId="14107639" w14:textId="77777777" w:rsidR="00133CD9" w:rsidRPr="00DF3A4F" w:rsidRDefault="00133CD9" w:rsidP="00133CD9">
      <w:pPr>
        <w:rPr>
          <w:rFonts w:ascii="Arial" w:hAnsi="Arial" w:cs="Arial"/>
          <w:sz w:val="24"/>
          <w:szCs w:val="24"/>
        </w:rPr>
      </w:pPr>
      <w:r w:rsidRPr="00DF3A4F">
        <w:rPr>
          <w:rFonts w:ascii="Arial" w:hAnsi="Arial" w:cs="Arial"/>
          <w:sz w:val="24"/>
          <w:szCs w:val="24"/>
        </w:rPr>
        <w:br w:type="page"/>
      </w:r>
    </w:p>
    <w:p w14:paraId="569421E0" w14:textId="77777777" w:rsidR="00133CD9" w:rsidRPr="00DF3A4F" w:rsidRDefault="00133CD9" w:rsidP="00133CD9">
      <w:pPr>
        <w:pStyle w:val="Heading1"/>
        <w:rPr>
          <w:rFonts w:ascii="Arial" w:hAnsi="Arial" w:cs="Arial"/>
          <w:szCs w:val="24"/>
        </w:rPr>
      </w:pPr>
      <w:bookmarkStart w:id="71" w:name="_Toc238739824"/>
      <w:r w:rsidRPr="00DF3A4F">
        <w:rPr>
          <w:rFonts w:ascii="Arial" w:hAnsi="Arial" w:cs="Arial"/>
          <w:szCs w:val="24"/>
        </w:rPr>
        <w:t>Chapter 10: Conclusion and Recommendation</w:t>
      </w:r>
      <w:bookmarkEnd w:id="71"/>
    </w:p>
    <w:p w14:paraId="0BE47EEC" w14:textId="77777777" w:rsidR="00133CD9" w:rsidRPr="00DF3A4F" w:rsidRDefault="00133CD9" w:rsidP="00133CD9">
      <w:pPr>
        <w:pStyle w:val="Heading2"/>
        <w:rPr>
          <w:rFonts w:ascii="Arial" w:hAnsi="Arial" w:cs="Arial"/>
          <w:sz w:val="24"/>
          <w:szCs w:val="24"/>
        </w:rPr>
      </w:pPr>
      <w:bookmarkStart w:id="72" w:name="_Toc238739825"/>
      <w:r w:rsidRPr="00DF3A4F">
        <w:rPr>
          <w:rFonts w:ascii="Arial" w:hAnsi="Arial" w:cs="Arial"/>
          <w:sz w:val="24"/>
          <w:szCs w:val="24"/>
        </w:rPr>
        <w:t>10.1 Conclusion</w:t>
      </w:r>
      <w:bookmarkEnd w:id="72"/>
    </w:p>
    <w:p w14:paraId="57E5D077" w14:textId="197837BE"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 xml:space="preserve">The objective of this Business Development Proposal was to explore the possibility of Paytm entering into the Singapore market with their digital </w:t>
      </w:r>
      <w:r w:rsidR="00690344" w:rsidRPr="00DF3A4F">
        <w:rPr>
          <w:rFonts w:ascii="Arial" w:hAnsi="Arial" w:cs="Arial"/>
          <w:sz w:val="24"/>
          <w:szCs w:val="24"/>
        </w:rPr>
        <w:t>payments’</w:t>
      </w:r>
      <w:r w:rsidRPr="00DF3A4F">
        <w:rPr>
          <w:rFonts w:ascii="Arial" w:hAnsi="Arial" w:cs="Arial"/>
          <w:sz w:val="24"/>
          <w:szCs w:val="24"/>
        </w:rPr>
        <w:t xml:space="preserve"> services. The study was conducted because digital payment systems have become a growing part of the global economy and there is a growing need for efficient cross-border financial transactions. The study employed strategic management tools, market analysis tools, and financial feasibility assessment to assess the attractiveness of Singapore as an expansion city and the viability of Paytm's internationalisation plan.</w:t>
      </w:r>
    </w:p>
    <w:p w14:paraId="267B4FEE"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internal analysis showed that Paytm has strong internal strengths which can be leveraged for its international growth. The company's robust technical setup, a wide merchant network, big customer base and the integration with India's Unified Payments Interface (UPI) give it significant assets that give it a competitive edge. The VRIO analysis revealed that these resources have value, are not easily copyable and are capable of providing sustainable competitive advantage. Especially, Paytm is already a significant player in the Indian digital payment ecosystem and is tied to the UPI network, so it could have opportunities to expand internationally and differentiate itself from its competitors in the Indian market.</w:t>
      </w:r>
    </w:p>
    <w:p w14:paraId="63B62A1C"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 xml:space="preserve">The external environment study revealed that Singapore is the most </w:t>
      </w:r>
      <w:proofErr w:type="spellStart"/>
      <w:r w:rsidRPr="00DF3A4F">
        <w:rPr>
          <w:rFonts w:ascii="Arial" w:hAnsi="Arial" w:cs="Arial"/>
          <w:sz w:val="24"/>
          <w:szCs w:val="24"/>
        </w:rPr>
        <w:t>favorable</w:t>
      </w:r>
      <w:proofErr w:type="spellEnd"/>
      <w:r w:rsidRPr="00DF3A4F">
        <w:rPr>
          <w:rFonts w:ascii="Arial" w:hAnsi="Arial" w:cs="Arial"/>
          <w:sz w:val="24"/>
          <w:szCs w:val="24"/>
        </w:rPr>
        <w:t xml:space="preserve"> market compared to the other markets examined. The nation has a well-developed digital economy, a conducive regulatory framework, a sophisticated financial infrastructure and close economic ties with India. The PESTLE and CAGE analysis showed that Singapore had strong expectations for fintech growth in countries with lower political, economic and cultural barriers, whereas Porter's Five Forces analysis revealed that Singapore had a lower threat from competition than other potential markets. Moreover, the presence of the UPI-</w:t>
      </w:r>
      <w:proofErr w:type="spellStart"/>
      <w:r w:rsidRPr="00DF3A4F">
        <w:rPr>
          <w:rFonts w:ascii="Arial" w:hAnsi="Arial" w:cs="Arial"/>
          <w:sz w:val="24"/>
          <w:szCs w:val="24"/>
        </w:rPr>
        <w:t>PayNow</w:t>
      </w:r>
      <w:proofErr w:type="spellEnd"/>
      <w:r w:rsidRPr="00DF3A4F">
        <w:rPr>
          <w:rFonts w:ascii="Arial" w:hAnsi="Arial" w:cs="Arial"/>
          <w:sz w:val="24"/>
          <w:szCs w:val="24"/>
        </w:rPr>
        <w:t xml:space="preserve"> integration also gives Paytm a competitive edge, much in line with what the company is able to do and what it is proposing as a business model.</w:t>
      </w:r>
    </w:p>
    <w:p w14:paraId="5E7A6D68"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Market entry through a strategic alliance entry mode was identified as the most suitable option through the evaluation of strategic options. A strategic alliance provides a balanced level of flexibility, risk mitigation, and access to local market knowledge when compared to acquisitions, wholly owned subsidiaries and joint ventures. This strategy helps Paytm utilise the existing local expertise and regulatory assistance while reducing capital needs and operational risk in the initial phases of growth.</w:t>
      </w:r>
    </w:p>
    <w:p w14:paraId="19C40494"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A financial feasibility study also backs up the viability of the proposed approach. The financial projections for the project (revenue forecasts, break-even analysis and return on investment calculations and discounted cash flow assessment) suggest that the project can generate positive financial returns during the evaluation period. Although market uptake and transaction value is an assumption, the financial viability indicates that the plan for expansion is financially viable and has the potential to deliver long-term value to the organisation.</w:t>
      </w:r>
    </w:p>
    <w:p w14:paraId="0FF0546C"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There were a number of risks identified, such as regulatory, cyber security, competitive and market adoption risks, but ultimately the analysis suggested that these risks are manageable and appropriately mitigated. Partnerships, compliance programs, cyber investments and a staged rollout can help lower the risk of uncertainty and boost the chances for a successful market entry.</w:t>
      </w:r>
    </w:p>
    <w:p w14:paraId="11E35E9F" w14:textId="63161792"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 xml:space="preserve">The results of this study suggest that Paytm's growth in Singapore is both strategically possible and profitable. The suggested plan is consistent with the company's capabilities and </w:t>
      </w:r>
      <w:r w:rsidR="00690344" w:rsidRPr="00DF3A4F">
        <w:rPr>
          <w:rFonts w:ascii="Arial" w:hAnsi="Arial" w:cs="Arial"/>
          <w:sz w:val="24"/>
          <w:szCs w:val="24"/>
        </w:rPr>
        <w:t>assets and</w:t>
      </w:r>
      <w:r w:rsidRPr="00DF3A4F">
        <w:rPr>
          <w:rFonts w:ascii="Arial" w:hAnsi="Arial" w:cs="Arial"/>
          <w:sz w:val="24"/>
          <w:szCs w:val="24"/>
        </w:rPr>
        <w:t xml:space="preserve"> leverages the existing positive market trends and opportunities in the global digital payment industry.</w:t>
      </w:r>
    </w:p>
    <w:p w14:paraId="5AB1B3C1" w14:textId="77777777" w:rsidR="00133CD9" w:rsidRPr="00DF3A4F" w:rsidRDefault="00133CD9" w:rsidP="00133CD9">
      <w:pPr>
        <w:pStyle w:val="Heading2"/>
        <w:rPr>
          <w:rFonts w:ascii="Arial" w:hAnsi="Arial" w:cs="Arial"/>
          <w:sz w:val="24"/>
          <w:szCs w:val="24"/>
        </w:rPr>
      </w:pPr>
      <w:bookmarkStart w:id="73" w:name="_Toc238739826"/>
      <w:r w:rsidRPr="00DF3A4F">
        <w:rPr>
          <w:rFonts w:ascii="Arial" w:hAnsi="Arial" w:cs="Arial"/>
          <w:sz w:val="24"/>
          <w:szCs w:val="24"/>
        </w:rPr>
        <w:t>10.2 Recommendations</w:t>
      </w:r>
      <w:bookmarkEnd w:id="73"/>
    </w:p>
    <w:p w14:paraId="6E49E394"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Recommendation 1: Proceed with Singapore Market Entry</w:t>
      </w:r>
    </w:p>
    <w:p w14:paraId="23AC9742"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analysis is quite robust in favour of Singapore as Paytm's go-to option for overseas expansion. The country has a good digital payment system, policies that support the market and the high connectivity with India is creating an environment for a successful market entry.</w:t>
      </w:r>
    </w:p>
    <w:p w14:paraId="2F33876F"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Recommendation 2: Adopt a Strategic Alliance Entry Mode</w:t>
      </w:r>
    </w:p>
    <w:p w14:paraId="66DF7999"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Paytm must seek avenues for growth by forming smart partnerships with indigenous payment service providers and financial institutions. This will help mitigate the risk of market entry, enhance regulatory compliance and gain access to local experts, which can help speed up market entry.</w:t>
      </w:r>
    </w:p>
    <w:p w14:paraId="2648DF57"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Recommendation 3: Leverage UPI-</w:t>
      </w:r>
      <w:proofErr w:type="spellStart"/>
      <w:r w:rsidRPr="00DF3A4F">
        <w:rPr>
          <w:rFonts w:ascii="Arial" w:hAnsi="Arial" w:cs="Arial"/>
          <w:b/>
          <w:bCs/>
          <w:sz w:val="24"/>
          <w:szCs w:val="24"/>
        </w:rPr>
        <w:t>PayNow</w:t>
      </w:r>
      <w:proofErr w:type="spellEnd"/>
      <w:r w:rsidRPr="00DF3A4F">
        <w:rPr>
          <w:rFonts w:ascii="Arial" w:hAnsi="Arial" w:cs="Arial"/>
          <w:b/>
          <w:bCs/>
          <w:sz w:val="24"/>
          <w:szCs w:val="24"/>
        </w:rPr>
        <w:t xml:space="preserve"> Connectivity as a Competitive Advantage</w:t>
      </w:r>
    </w:p>
    <w:p w14:paraId="54ACD0A4"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The company should make UPI-</w:t>
      </w:r>
      <w:proofErr w:type="spellStart"/>
      <w:r w:rsidRPr="00DF3A4F">
        <w:rPr>
          <w:rFonts w:ascii="Arial" w:hAnsi="Arial" w:cs="Arial"/>
          <w:sz w:val="24"/>
          <w:szCs w:val="24"/>
        </w:rPr>
        <w:t>PayNow</w:t>
      </w:r>
      <w:proofErr w:type="spellEnd"/>
      <w:r w:rsidRPr="00DF3A4F">
        <w:rPr>
          <w:rFonts w:ascii="Arial" w:hAnsi="Arial" w:cs="Arial"/>
          <w:sz w:val="24"/>
          <w:szCs w:val="24"/>
        </w:rPr>
        <w:t xml:space="preserve"> integration one of its differentiating features. This capability can provide a niche to Paytm regarding all the tourists, students, expatriates and businesses of India and Singapore and help Paytm carve out a niche in the market.</w:t>
      </w:r>
    </w:p>
    <w:p w14:paraId="04CCFAB9"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Recommendation 4: Strengthen Cybersecurity and Data Protection Capabilities</w:t>
      </w:r>
    </w:p>
    <w:p w14:paraId="46BB4833"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As a leading digital payment platform, Paytm must continue to invest in robust cybersecurity infrastructure, fraud detection mechanisms, and data protection protocols to keep their services secure and comply with regulatory standards.</w:t>
      </w:r>
    </w:p>
    <w:p w14:paraId="19CDA0D3" w14:textId="77777777" w:rsidR="00133CD9" w:rsidRPr="00DF3A4F" w:rsidRDefault="00133CD9" w:rsidP="00133CD9">
      <w:pPr>
        <w:spacing w:line="360" w:lineRule="auto"/>
        <w:jc w:val="both"/>
        <w:rPr>
          <w:rFonts w:ascii="Arial" w:hAnsi="Arial" w:cs="Arial"/>
          <w:b/>
          <w:bCs/>
          <w:sz w:val="24"/>
          <w:szCs w:val="24"/>
        </w:rPr>
      </w:pPr>
      <w:r w:rsidRPr="00DF3A4F">
        <w:rPr>
          <w:rFonts w:ascii="Arial" w:hAnsi="Arial" w:cs="Arial"/>
          <w:b/>
          <w:bCs/>
          <w:sz w:val="24"/>
          <w:szCs w:val="24"/>
        </w:rPr>
        <w:t>Recommendation 5: Use Singapore as a Regional Expansion Platform</w:t>
      </w:r>
    </w:p>
    <w:p w14:paraId="009F7F65" w14:textId="77777777"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Paytm could also consider expansion in other markets in the Southeast Asian region after getting successful in Singapore. Singapore can be a strategic centre for the future growth of ASEAN.</w:t>
      </w:r>
    </w:p>
    <w:p w14:paraId="01E6F6C6" w14:textId="77777777" w:rsidR="00133CD9" w:rsidRPr="00DF3A4F" w:rsidRDefault="00133CD9" w:rsidP="00133CD9">
      <w:pPr>
        <w:pStyle w:val="Heading2"/>
        <w:rPr>
          <w:rFonts w:ascii="Arial" w:hAnsi="Arial" w:cs="Arial"/>
          <w:sz w:val="24"/>
          <w:szCs w:val="24"/>
        </w:rPr>
      </w:pPr>
      <w:bookmarkStart w:id="74" w:name="_Toc238739827"/>
      <w:r w:rsidRPr="00DF3A4F">
        <w:rPr>
          <w:rFonts w:ascii="Arial" w:hAnsi="Arial" w:cs="Arial"/>
          <w:sz w:val="24"/>
          <w:szCs w:val="24"/>
        </w:rPr>
        <w:t>10.3 Final Recommendation</w:t>
      </w:r>
      <w:bookmarkEnd w:id="74"/>
    </w:p>
    <w:p w14:paraId="1495BC6F" w14:textId="767FC391" w:rsidR="00133CD9" w:rsidRPr="00DF3A4F" w:rsidRDefault="00133CD9" w:rsidP="00133CD9">
      <w:pPr>
        <w:spacing w:line="360" w:lineRule="auto"/>
        <w:jc w:val="both"/>
        <w:rPr>
          <w:rFonts w:ascii="Arial" w:hAnsi="Arial" w:cs="Arial"/>
          <w:sz w:val="24"/>
          <w:szCs w:val="24"/>
        </w:rPr>
      </w:pPr>
      <w:r w:rsidRPr="00DF3A4F">
        <w:rPr>
          <w:rFonts w:ascii="Arial" w:hAnsi="Arial" w:cs="Arial"/>
          <w:sz w:val="24"/>
          <w:szCs w:val="24"/>
        </w:rPr>
        <w:t xml:space="preserve">After </w:t>
      </w:r>
      <w:r w:rsidR="00DF3A4F" w:rsidRPr="00DF3A4F">
        <w:rPr>
          <w:rFonts w:ascii="Arial" w:hAnsi="Arial" w:cs="Arial"/>
          <w:sz w:val="24"/>
          <w:szCs w:val="24"/>
        </w:rPr>
        <w:t>analysing</w:t>
      </w:r>
      <w:r w:rsidRPr="00DF3A4F">
        <w:rPr>
          <w:rFonts w:ascii="Arial" w:hAnsi="Arial" w:cs="Arial"/>
          <w:sz w:val="24"/>
          <w:szCs w:val="24"/>
        </w:rPr>
        <w:t xml:space="preserve"> the strategic, market, financial and risk aspects, it can be recommended that Paytm adopt a strategic alliance type of entry mode to expand to Singapore. The project has been evaluated as being viable and viable for international business growth due to its good organisational structure, market opportunity, and good financial projections and manageable risks. If this plan goes well, Paytm will be better positioned to expand its footprint globally, boost competitiveness and open new avenues for further growth in the fast-growing digital payments sector.</w:t>
      </w:r>
    </w:p>
    <w:p w14:paraId="4F6ABDA2" w14:textId="77777777" w:rsidR="00133CD9" w:rsidRPr="00DF3A4F" w:rsidRDefault="00133CD9" w:rsidP="00133CD9">
      <w:pPr>
        <w:rPr>
          <w:rFonts w:ascii="Arial" w:hAnsi="Arial" w:cs="Arial"/>
          <w:sz w:val="24"/>
          <w:szCs w:val="24"/>
        </w:rPr>
      </w:pPr>
      <w:r w:rsidRPr="00DF3A4F">
        <w:rPr>
          <w:rFonts w:ascii="Arial" w:hAnsi="Arial" w:cs="Arial"/>
          <w:sz w:val="24"/>
          <w:szCs w:val="24"/>
        </w:rPr>
        <w:br w:type="page"/>
      </w:r>
    </w:p>
    <w:p w14:paraId="4CF9D019" w14:textId="77777777" w:rsidR="00133CD9" w:rsidRPr="00DF3A4F" w:rsidRDefault="00133CD9" w:rsidP="00133CD9">
      <w:pPr>
        <w:pStyle w:val="Heading1"/>
        <w:rPr>
          <w:rFonts w:ascii="Arial" w:hAnsi="Arial" w:cs="Arial"/>
          <w:szCs w:val="24"/>
        </w:rPr>
      </w:pPr>
      <w:bookmarkStart w:id="75" w:name="_Toc238739828"/>
      <w:r w:rsidRPr="00DF3A4F">
        <w:rPr>
          <w:rFonts w:ascii="Arial" w:hAnsi="Arial" w:cs="Arial"/>
          <w:szCs w:val="24"/>
        </w:rPr>
        <w:t>11. References</w:t>
      </w:r>
      <w:bookmarkEnd w:id="75"/>
    </w:p>
    <w:p w14:paraId="26B121F4" w14:textId="77777777" w:rsidR="00133CD9" w:rsidRPr="00DF3A4F" w:rsidRDefault="00133CD9" w:rsidP="00133CD9">
      <w:pPr>
        <w:pStyle w:val="JenniRefBody"/>
        <w:spacing w:line="360" w:lineRule="auto"/>
        <w:ind w:left="720" w:hanging="720"/>
        <w:jc w:val="both"/>
        <w:rPr>
          <w:rFonts w:ascii="Arial" w:hAnsi="Arial" w:cs="Arial"/>
          <w:sz w:val="24"/>
          <w:szCs w:val="24"/>
        </w:rPr>
      </w:pPr>
      <w:bookmarkStart w:id="76" w:name="23eee7a7bd1baa3816b846c9973f5b05"/>
      <w:r w:rsidRPr="00DF3A4F">
        <w:rPr>
          <w:rFonts w:ascii="Arial" w:hAnsi="Arial" w:cs="Arial"/>
          <w:sz w:val="24"/>
          <w:szCs w:val="24"/>
        </w:rPr>
        <w:t xml:space="preserve">Agarwal, S., Qian, W., Yeung, B., &amp; Zou, X. (2019). Mobile Wallet and Entrepreneurial Growth. </w:t>
      </w:r>
      <w:proofErr w:type="spellStart"/>
      <w:r w:rsidRPr="00DF3A4F">
        <w:rPr>
          <w:rFonts w:ascii="Arial" w:hAnsi="Arial" w:cs="Arial"/>
          <w:i/>
          <w:iCs/>
          <w:sz w:val="24"/>
          <w:szCs w:val="24"/>
        </w:rPr>
        <w:t>RePEc</w:t>
      </w:r>
      <w:proofErr w:type="spellEnd"/>
      <w:r w:rsidRPr="00DF3A4F">
        <w:rPr>
          <w:rFonts w:ascii="Arial" w:hAnsi="Arial" w:cs="Arial"/>
          <w:i/>
          <w:iCs/>
          <w:sz w:val="24"/>
          <w:szCs w:val="24"/>
        </w:rPr>
        <w:t>: Research Papers in Economics</w:t>
      </w:r>
      <w:r w:rsidRPr="00DF3A4F">
        <w:rPr>
          <w:rFonts w:ascii="Arial" w:hAnsi="Arial" w:cs="Arial"/>
          <w:sz w:val="24"/>
          <w:szCs w:val="24"/>
        </w:rPr>
        <w:t xml:space="preserve">, </w:t>
      </w:r>
      <w:r w:rsidRPr="00DF3A4F">
        <w:rPr>
          <w:rFonts w:ascii="Arial" w:hAnsi="Arial" w:cs="Arial"/>
          <w:i/>
          <w:iCs/>
          <w:sz w:val="24"/>
          <w:szCs w:val="24"/>
        </w:rPr>
        <w:t>109</w:t>
      </w:r>
      <w:r w:rsidRPr="00DF3A4F">
        <w:rPr>
          <w:rFonts w:ascii="Arial" w:hAnsi="Arial" w:cs="Arial"/>
          <w:sz w:val="24"/>
          <w:szCs w:val="24"/>
        </w:rPr>
        <w:t xml:space="preserve">, 48–53. https://doi.org/10.1257/pandp.20191010 </w:t>
      </w:r>
      <w:bookmarkEnd w:id="76"/>
    </w:p>
    <w:p w14:paraId="7470636E" w14:textId="77777777" w:rsidR="00133CD9" w:rsidRPr="00DF3A4F" w:rsidRDefault="00133CD9" w:rsidP="00133CD9">
      <w:pPr>
        <w:pStyle w:val="JenniRefBody"/>
        <w:spacing w:line="360" w:lineRule="auto"/>
        <w:ind w:left="720" w:hanging="720"/>
        <w:jc w:val="both"/>
        <w:rPr>
          <w:rFonts w:ascii="Arial" w:hAnsi="Arial" w:cs="Arial"/>
          <w:sz w:val="24"/>
          <w:szCs w:val="24"/>
        </w:rPr>
      </w:pPr>
      <w:bookmarkStart w:id="77" w:name="a226cb3b89637ab3981e9a00d12efc8d"/>
      <w:r w:rsidRPr="00DF3A4F">
        <w:rPr>
          <w:rFonts w:ascii="Arial" w:hAnsi="Arial" w:cs="Arial"/>
          <w:sz w:val="24"/>
          <w:szCs w:val="24"/>
        </w:rPr>
        <w:t>Al-</w:t>
      </w:r>
      <w:proofErr w:type="spellStart"/>
      <w:r w:rsidRPr="00DF3A4F">
        <w:rPr>
          <w:rFonts w:ascii="Arial" w:hAnsi="Arial" w:cs="Arial"/>
          <w:sz w:val="24"/>
          <w:szCs w:val="24"/>
        </w:rPr>
        <w:t>Okaily</w:t>
      </w:r>
      <w:proofErr w:type="spellEnd"/>
      <w:r w:rsidRPr="00DF3A4F">
        <w:rPr>
          <w:rFonts w:ascii="Arial" w:hAnsi="Arial" w:cs="Arial"/>
          <w:sz w:val="24"/>
          <w:szCs w:val="24"/>
        </w:rPr>
        <w:t>, M., Al-</w:t>
      </w:r>
      <w:proofErr w:type="spellStart"/>
      <w:r w:rsidRPr="00DF3A4F">
        <w:rPr>
          <w:rFonts w:ascii="Arial" w:hAnsi="Arial" w:cs="Arial"/>
          <w:sz w:val="24"/>
          <w:szCs w:val="24"/>
        </w:rPr>
        <w:t>Okaily</w:t>
      </w:r>
      <w:proofErr w:type="spellEnd"/>
      <w:r w:rsidRPr="00DF3A4F">
        <w:rPr>
          <w:rFonts w:ascii="Arial" w:hAnsi="Arial" w:cs="Arial"/>
          <w:sz w:val="24"/>
          <w:szCs w:val="24"/>
        </w:rPr>
        <w:t>, A., Teoh, A. P., &amp; Al-</w:t>
      </w:r>
      <w:proofErr w:type="spellStart"/>
      <w:r w:rsidRPr="00DF3A4F">
        <w:rPr>
          <w:rFonts w:ascii="Arial" w:hAnsi="Arial" w:cs="Arial"/>
          <w:sz w:val="24"/>
          <w:szCs w:val="24"/>
        </w:rPr>
        <w:t>Debei</w:t>
      </w:r>
      <w:proofErr w:type="spellEnd"/>
      <w:r w:rsidRPr="00DF3A4F">
        <w:rPr>
          <w:rFonts w:ascii="Arial" w:hAnsi="Arial" w:cs="Arial"/>
          <w:sz w:val="24"/>
          <w:szCs w:val="24"/>
        </w:rPr>
        <w:t xml:space="preserve">, M. M. (2022). Mobile payment adoption: A systematic review. </w:t>
      </w:r>
      <w:r w:rsidRPr="00DF3A4F">
        <w:rPr>
          <w:rFonts w:ascii="Arial" w:hAnsi="Arial" w:cs="Arial"/>
          <w:i/>
          <w:iCs/>
          <w:sz w:val="24"/>
          <w:szCs w:val="24"/>
        </w:rPr>
        <w:t>Journal of Open Innovation: Technology, Market, and Complexity</w:t>
      </w:r>
      <w:r w:rsidRPr="00DF3A4F">
        <w:rPr>
          <w:rFonts w:ascii="Arial" w:hAnsi="Arial" w:cs="Arial"/>
          <w:sz w:val="24"/>
          <w:szCs w:val="24"/>
        </w:rPr>
        <w:t xml:space="preserve">, </w:t>
      </w:r>
      <w:r w:rsidRPr="00DF3A4F">
        <w:rPr>
          <w:rFonts w:ascii="Arial" w:hAnsi="Arial" w:cs="Arial"/>
          <w:i/>
          <w:iCs/>
          <w:sz w:val="24"/>
          <w:szCs w:val="24"/>
        </w:rPr>
        <w:t>8</w:t>
      </w:r>
      <w:r w:rsidRPr="00DF3A4F">
        <w:rPr>
          <w:rFonts w:ascii="Arial" w:hAnsi="Arial" w:cs="Arial"/>
          <w:sz w:val="24"/>
          <w:szCs w:val="24"/>
        </w:rPr>
        <w:t xml:space="preserve">(2), 1–20. </w:t>
      </w:r>
      <w:bookmarkEnd w:id="77"/>
    </w:p>
    <w:p w14:paraId="16A37258" w14:textId="77777777" w:rsidR="00133CD9" w:rsidRPr="00DF3A4F" w:rsidRDefault="00133CD9" w:rsidP="00133CD9">
      <w:pPr>
        <w:pStyle w:val="JenniRefBody"/>
        <w:spacing w:line="360" w:lineRule="auto"/>
        <w:ind w:left="720" w:hanging="720"/>
        <w:jc w:val="both"/>
        <w:rPr>
          <w:rFonts w:ascii="Arial" w:hAnsi="Arial" w:cs="Arial"/>
          <w:sz w:val="24"/>
          <w:szCs w:val="24"/>
        </w:rPr>
      </w:pPr>
      <w:bookmarkStart w:id="78" w:name="723238470976e857993302b713597616"/>
      <w:r w:rsidRPr="00DF3A4F">
        <w:rPr>
          <w:rFonts w:ascii="Arial" w:hAnsi="Arial" w:cs="Arial"/>
          <w:sz w:val="24"/>
          <w:szCs w:val="24"/>
        </w:rPr>
        <w:t xml:space="preserve">Ansoff, H. I. (1957). Strategies for diversification. </w:t>
      </w:r>
      <w:r w:rsidRPr="00DF3A4F">
        <w:rPr>
          <w:rFonts w:ascii="Arial" w:hAnsi="Arial" w:cs="Arial"/>
          <w:i/>
          <w:iCs/>
          <w:sz w:val="24"/>
          <w:szCs w:val="24"/>
        </w:rPr>
        <w:t>Harvard Business Review</w:t>
      </w:r>
      <w:r w:rsidRPr="00DF3A4F">
        <w:rPr>
          <w:rFonts w:ascii="Arial" w:hAnsi="Arial" w:cs="Arial"/>
          <w:sz w:val="24"/>
          <w:szCs w:val="24"/>
        </w:rPr>
        <w:t xml:space="preserve">, </w:t>
      </w:r>
      <w:r w:rsidRPr="00DF3A4F">
        <w:rPr>
          <w:rFonts w:ascii="Arial" w:hAnsi="Arial" w:cs="Arial"/>
          <w:i/>
          <w:iCs/>
          <w:sz w:val="24"/>
          <w:szCs w:val="24"/>
        </w:rPr>
        <w:t>35</w:t>
      </w:r>
      <w:r w:rsidRPr="00DF3A4F">
        <w:rPr>
          <w:rFonts w:ascii="Arial" w:hAnsi="Arial" w:cs="Arial"/>
          <w:sz w:val="24"/>
          <w:szCs w:val="24"/>
        </w:rPr>
        <w:t xml:space="preserve">(5), 113–124. </w:t>
      </w:r>
      <w:bookmarkEnd w:id="78"/>
    </w:p>
    <w:p w14:paraId="1766455B" w14:textId="77777777" w:rsidR="00133CD9" w:rsidRPr="00DF3A4F" w:rsidRDefault="00133CD9" w:rsidP="00133CD9">
      <w:pPr>
        <w:pStyle w:val="JenniRefBody"/>
        <w:spacing w:line="360" w:lineRule="auto"/>
        <w:ind w:left="720" w:hanging="720"/>
        <w:jc w:val="both"/>
        <w:rPr>
          <w:rFonts w:ascii="Arial" w:hAnsi="Arial" w:cs="Arial"/>
          <w:sz w:val="24"/>
          <w:szCs w:val="24"/>
        </w:rPr>
      </w:pPr>
      <w:bookmarkStart w:id="79" w:name="0ba02ea8ac9302d240921cdbf6c7523f"/>
      <w:r w:rsidRPr="00DF3A4F">
        <w:rPr>
          <w:rFonts w:ascii="Arial" w:hAnsi="Arial" w:cs="Arial"/>
          <w:sz w:val="24"/>
          <w:szCs w:val="24"/>
        </w:rPr>
        <w:t xml:space="preserve">Antony, A. C., &amp; P.S, Dr. Anuradha. (2026). Resources to Advantage: An Integrated Conceptual </w:t>
      </w:r>
      <w:proofErr w:type="spellStart"/>
      <w:r w:rsidRPr="00DF3A4F">
        <w:rPr>
          <w:rFonts w:ascii="Arial" w:hAnsi="Arial" w:cs="Arial"/>
          <w:sz w:val="24"/>
          <w:szCs w:val="24"/>
        </w:rPr>
        <w:t>AnalysisOf</w:t>
      </w:r>
      <w:proofErr w:type="spellEnd"/>
      <w:r w:rsidRPr="00DF3A4F">
        <w:rPr>
          <w:rFonts w:ascii="Arial" w:hAnsi="Arial" w:cs="Arial"/>
          <w:sz w:val="24"/>
          <w:szCs w:val="24"/>
        </w:rPr>
        <w:t xml:space="preserve"> VRIN and VRIO Frameworks in Strategic Management. </w:t>
      </w:r>
      <w:r w:rsidRPr="00DF3A4F">
        <w:rPr>
          <w:rFonts w:ascii="Arial" w:hAnsi="Arial" w:cs="Arial"/>
          <w:i/>
          <w:iCs/>
          <w:sz w:val="24"/>
          <w:szCs w:val="24"/>
        </w:rPr>
        <w:t>International Journal of Accounting and Economics Studies</w:t>
      </w:r>
      <w:r w:rsidRPr="00DF3A4F">
        <w:rPr>
          <w:rFonts w:ascii="Arial" w:hAnsi="Arial" w:cs="Arial"/>
          <w:sz w:val="24"/>
          <w:szCs w:val="24"/>
        </w:rPr>
        <w:t xml:space="preserve">, </w:t>
      </w:r>
      <w:r w:rsidRPr="00DF3A4F">
        <w:rPr>
          <w:rFonts w:ascii="Arial" w:hAnsi="Arial" w:cs="Arial"/>
          <w:i/>
          <w:iCs/>
          <w:sz w:val="24"/>
          <w:szCs w:val="24"/>
        </w:rPr>
        <w:t>13</w:t>
      </w:r>
      <w:r w:rsidRPr="00DF3A4F">
        <w:rPr>
          <w:rFonts w:ascii="Arial" w:hAnsi="Arial" w:cs="Arial"/>
          <w:sz w:val="24"/>
          <w:szCs w:val="24"/>
        </w:rPr>
        <w:t xml:space="preserve">(1), 68–72. https://doi.org/10.14419/s546e580 </w:t>
      </w:r>
      <w:bookmarkEnd w:id="79"/>
    </w:p>
    <w:p w14:paraId="497F6E0E" w14:textId="77777777" w:rsidR="00133CD9" w:rsidRPr="00DF3A4F" w:rsidRDefault="00133CD9" w:rsidP="00133CD9">
      <w:pPr>
        <w:pStyle w:val="JenniRefBody"/>
        <w:spacing w:line="360" w:lineRule="auto"/>
        <w:ind w:left="720" w:hanging="720"/>
        <w:jc w:val="both"/>
        <w:rPr>
          <w:rFonts w:ascii="Arial" w:hAnsi="Arial" w:cs="Arial"/>
          <w:sz w:val="24"/>
          <w:szCs w:val="24"/>
        </w:rPr>
      </w:pPr>
      <w:r w:rsidRPr="00DF3A4F">
        <w:rPr>
          <w:rFonts w:ascii="Arial" w:hAnsi="Arial" w:cs="Arial"/>
          <w:sz w:val="24"/>
          <w:szCs w:val="24"/>
        </w:rPr>
        <w:t xml:space="preserve">Arner, D. W., Barberis, J., &amp; Buckley, R. P. (2020). </w:t>
      </w:r>
      <w:r w:rsidRPr="00DF3A4F">
        <w:rPr>
          <w:rFonts w:ascii="Arial" w:hAnsi="Arial" w:cs="Arial"/>
          <w:i/>
          <w:iCs/>
          <w:sz w:val="24"/>
          <w:szCs w:val="24"/>
        </w:rPr>
        <w:t xml:space="preserve">FinTech and </w:t>
      </w:r>
      <w:proofErr w:type="spellStart"/>
      <w:r w:rsidRPr="00DF3A4F">
        <w:rPr>
          <w:rFonts w:ascii="Arial" w:hAnsi="Arial" w:cs="Arial"/>
          <w:i/>
          <w:iCs/>
          <w:sz w:val="24"/>
          <w:szCs w:val="24"/>
        </w:rPr>
        <w:t>RegTech</w:t>
      </w:r>
      <w:proofErr w:type="spellEnd"/>
      <w:r w:rsidRPr="00DF3A4F">
        <w:rPr>
          <w:rFonts w:ascii="Arial" w:hAnsi="Arial" w:cs="Arial"/>
          <w:i/>
          <w:iCs/>
          <w:sz w:val="24"/>
          <w:szCs w:val="24"/>
        </w:rPr>
        <w:t xml:space="preserve"> in a nutshell and the future in a sandbox</w:t>
      </w:r>
      <w:r w:rsidRPr="00DF3A4F">
        <w:rPr>
          <w:rFonts w:ascii="Arial" w:hAnsi="Arial" w:cs="Arial"/>
          <w:sz w:val="24"/>
          <w:szCs w:val="24"/>
        </w:rPr>
        <w:t>. CFA Institute Research Foundation.</w:t>
      </w:r>
    </w:p>
    <w:p w14:paraId="38ADD931" w14:textId="77777777" w:rsidR="00133CD9" w:rsidRPr="00DF3A4F" w:rsidRDefault="00133CD9" w:rsidP="00133CD9">
      <w:pPr>
        <w:pStyle w:val="JenniRefBody"/>
        <w:spacing w:line="360" w:lineRule="auto"/>
        <w:ind w:left="720" w:hanging="720"/>
        <w:jc w:val="both"/>
        <w:rPr>
          <w:rFonts w:ascii="Arial" w:hAnsi="Arial" w:cs="Arial"/>
          <w:sz w:val="24"/>
          <w:szCs w:val="24"/>
        </w:rPr>
      </w:pPr>
      <w:bookmarkStart w:id="80" w:name="52f1d14c6e793034278a1fbf306dfb0d"/>
      <w:r w:rsidRPr="00DF3A4F">
        <w:rPr>
          <w:rFonts w:ascii="Arial" w:hAnsi="Arial" w:cs="Arial"/>
          <w:sz w:val="24"/>
          <w:szCs w:val="24"/>
        </w:rPr>
        <w:t xml:space="preserve">Arora, A., </w:t>
      </w:r>
      <w:proofErr w:type="spellStart"/>
      <w:r w:rsidRPr="00DF3A4F">
        <w:rPr>
          <w:rFonts w:ascii="Arial" w:hAnsi="Arial" w:cs="Arial"/>
          <w:sz w:val="24"/>
          <w:szCs w:val="24"/>
        </w:rPr>
        <w:t>Fosfuri</w:t>
      </w:r>
      <w:proofErr w:type="spellEnd"/>
      <w:r w:rsidRPr="00DF3A4F">
        <w:rPr>
          <w:rFonts w:ascii="Arial" w:hAnsi="Arial" w:cs="Arial"/>
          <w:sz w:val="24"/>
          <w:szCs w:val="24"/>
        </w:rPr>
        <w:t xml:space="preserve">, A., &amp; Gambardella, A. (2000). Markets for Technology and Their Implications for Corporate Strategy. </w:t>
      </w:r>
      <w:r w:rsidRPr="00DF3A4F">
        <w:rPr>
          <w:rFonts w:ascii="Arial" w:hAnsi="Arial" w:cs="Arial"/>
          <w:i/>
          <w:iCs/>
          <w:sz w:val="24"/>
          <w:szCs w:val="24"/>
        </w:rPr>
        <w:t>SSRN Electronic Journal</w:t>
      </w:r>
      <w:r w:rsidRPr="00DF3A4F">
        <w:rPr>
          <w:rFonts w:ascii="Arial" w:hAnsi="Arial" w:cs="Arial"/>
          <w:sz w:val="24"/>
          <w:szCs w:val="24"/>
        </w:rPr>
        <w:t xml:space="preserve">. https://doi.org/10.2139/ssrn.204848 </w:t>
      </w:r>
      <w:bookmarkEnd w:id="80"/>
    </w:p>
    <w:p w14:paraId="0071F8EF" w14:textId="77777777" w:rsidR="00133CD9" w:rsidRPr="00DF3A4F" w:rsidRDefault="00133CD9" w:rsidP="00133CD9">
      <w:pPr>
        <w:pStyle w:val="JenniRefBody"/>
        <w:spacing w:line="360" w:lineRule="auto"/>
        <w:ind w:left="720" w:hanging="720"/>
        <w:jc w:val="both"/>
        <w:rPr>
          <w:rFonts w:ascii="Arial" w:hAnsi="Arial" w:cs="Arial"/>
          <w:sz w:val="24"/>
          <w:szCs w:val="24"/>
        </w:rPr>
      </w:pPr>
      <w:bookmarkStart w:id="81" w:name="5424003492fa0398e2ad1c80afc94b92"/>
      <w:r w:rsidRPr="00DF3A4F">
        <w:rPr>
          <w:rFonts w:ascii="Arial" w:hAnsi="Arial" w:cs="Arial"/>
          <w:sz w:val="24"/>
          <w:szCs w:val="24"/>
        </w:rPr>
        <w:t xml:space="preserve">Autio, E. (2017). Strategic Entrepreneurial Internationalization: A Normative Framework. </w:t>
      </w:r>
      <w:r w:rsidRPr="00DF3A4F">
        <w:rPr>
          <w:rFonts w:ascii="Arial" w:hAnsi="Arial" w:cs="Arial"/>
          <w:i/>
          <w:iCs/>
          <w:sz w:val="24"/>
          <w:szCs w:val="24"/>
        </w:rPr>
        <w:t>Strategic Entrepreneurship Journal</w:t>
      </w:r>
      <w:r w:rsidRPr="00DF3A4F">
        <w:rPr>
          <w:rFonts w:ascii="Arial" w:hAnsi="Arial" w:cs="Arial"/>
          <w:sz w:val="24"/>
          <w:szCs w:val="24"/>
        </w:rPr>
        <w:t xml:space="preserve">, </w:t>
      </w:r>
      <w:r w:rsidRPr="00DF3A4F">
        <w:rPr>
          <w:rFonts w:ascii="Arial" w:hAnsi="Arial" w:cs="Arial"/>
          <w:i/>
          <w:iCs/>
          <w:sz w:val="24"/>
          <w:szCs w:val="24"/>
        </w:rPr>
        <w:t>11</w:t>
      </w:r>
      <w:r w:rsidRPr="00DF3A4F">
        <w:rPr>
          <w:rFonts w:ascii="Arial" w:hAnsi="Arial" w:cs="Arial"/>
          <w:sz w:val="24"/>
          <w:szCs w:val="24"/>
        </w:rPr>
        <w:t xml:space="preserve">(3), 211–227. https://doi.org/10.1002/sej.1261 </w:t>
      </w:r>
      <w:bookmarkEnd w:id="81"/>
    </w:p>
    <w:p w14:paraId="2F678AEB" w14:textId="77777777" w:rsidR="00133CD9" w:rsidRPr="00DF3A4F" w:rsidRDefault="00133CD9" w:rsidP="00133CD9">
      <w:pPr>
        <w:pStyle w:val="JenniRefBody"/>
        <w:spacing w:line="360" w:lineRule="auto"/>
        <w:ind w:left="720" w:hanging="720"/>
        <w:jc w:val="both"/>
        <w:rPr>
          <w:rFonts w:ascii="Arial" w:hAnsi="Arial" w:cs="Arial"/>
          <w:sz w:val="24"/>
          <w:szCs w:val="24"/>
        </w:rPr>
      </w:pPr>
      <w:bookmarkStart w:id="82" w:name="88384349cc893bc2cfd88470581f5f7a"/>
      <w:r w:rsidRPr="00DF3A4F">
        <w:rPr>
          <w:rFonts w:ascii="Arial" w:hAnsi="Arial" w:cs="Arial"/>
          <w:sz w:val="24"/>
          <w:szCs w:val="24"/>
        </w:rPr>
        <w:t xml:space="preserve">Bank for International Settlements. (2023). </w:t>
      </w:r>
      <w:r w:rsidRPr="00DF3A4F">
        <w:rPr>
          <w:rFonts w:ascii="Arial" w:hAnsi="Arial" w:cs="Arial"/>
          <w:i/>
          <w:iCs/>
          <w:sz w:val="24"/>
          <w:szCs w:val="24"/>
        </w:rPr>
        <w:t>Annual Economic Report 2023</w:t>
      </w:r>
      <w:r w:rsidRPr="00DF3A4F">
        <w:rPr>
          <w:rFonts w:ascii="Arial" w:hAnsi="Arial" w:cs="Arial"/>
          <w:sz w:val="24"/>
          <w:szCs w:val="24"/>
        </w:rPr>
        <w:t xml:space="preserve">. Bank for International Settlements. </w:t>
      </w:r>
      <w:bookmarkEnd w:id="82"/>
    </w:p>
    <w:p w14:paraId="324925A7" w14:textId="77777777" w:rsidR="00133CD9" w:rsidRPr="00DF3A4F" w:rsidRDefault="00133CD9" w:rsidP="00133CD9">
      <w:pPr>
        <w:pStyle w:val="JenniRefBody"/>
        <w:spacing w:line="360" w:lineRule="auto"/>
        <w:ind w:left="720" w:hanging="720"/>
        <w:jc w:val="both"/>
        <w:rPr>
          <w:rFonts w:ascii="Arial" w:hAnsi="Arial" w:cs="Arial"/>
          <w:sz w:val="24"/>
          <w:szCs w:val="24"/>
        </w:rPr>
      </w:pPr>
      <w:r w:rsidRPr="00DF3A4F">
        <w:rPr>
          <w:rFonts w:ascii="Arial" w:hAnsi="Arial" w:cs="Arial"/>
          <w:sz w:val="24"/>
          <w:szCs w:val="24"/>
        </w:rPr>
        <w:t xml:space="preserve">Barney, J. B. (1991). Firm resources and sustained competitive advantage. </w:t>
      </w:r>
      <w:r w:rsidRPr="00DF3A4F">
        <w:rPr>
          <w:rFonts w:ascii="Arial" w:hAnsi="Arial" w:cs="Arial"/>
          <w:i/>
          <w:iCs/>
          <w:sz w:val="24"/>
          <w:szCs w:val="24"/>
        </w:rPr>
        <w:t>Journal of Management, 17</w:t>
      </w:r>
      <w:r w:rsidRPr="00DF3A4F">
        <w:rPr>
          <w:rFonts w:ascii="Arial" w:hAnsi="Arial" w:cs="Arial"/>
          <w:sz w:val="24"/>
          <w:szCs w:val="24"/>
        </w:rPr>
        <w:t>(1), 99–120.</w:t>
      </w:r>
    </w:p>
    <w:p w14:paraId="3B363333" w14:textId="77777777" w:rsidR="00133CD9" w:rsidRPr="00DF3A4F" w:rsidRDefault="00133CD9" w:rsidP="00133CD9">
      <w:pPr>
        <w:pStyle w:val="JenniRefBody"/>
        <w:spacing w:line="360" w:lineRule="auto"/>
        <w:ind w:left="720" w:hanging="720"/>
        <w:jc w:val="both"/>
        <w:rPr>
          <w:rFonts w:ascii="Arial" w:hAnsi="Arial" w:cs="Arial"/>
          <w:sz w:val="24"/>
          <w:szCs w:val="24"/>
        </w:rPr>
      </w:pPr>
      <w:bookmarkStart w:id="83" w:name="67e1c32d01142f50ca914bbc19c7dae4"/>
      <w:r w:rsidRPr="00DF3A4F">
        <w:rPr>
          <w:rFonts w:ascii="Arial" w:hAnsi="Arial" w:cs="Arial"/>
          <w:sz w:val="24"/>
          <w:szCs w:val="24"/>
        </w:rPr>
        <w:t xml:space="preserve">Barney, J. B. (1997). </w:t>
      </w:r>
      <w:r w:rsidRPr="00DF3A4F">
        <w:rPr>
          <w:rFonts w:ascii="Arial" w:hAnsi="Arial" w:cs="Arial"/>
          <w:i/>
          <w:iCs/>
          <w:sz w:val="24"/>
          <w:szCs w:val="24"/>
        </w:rPr>
        <w:t>Gaining and Sustaining Competitive Advantage</w:t>
      </w:r>
      <w:r w:rsidRPr="00DF3A4F">
        <w:rPr>
          <w:rFonts w:ascii="Arial" w:hAnsi="Arial" w:cs="Arial"/>
          <w:sz w:val="24"/>
          <w:szCs w:val="24"/>
        </w:rPr>
        <w:t xml:space="preserve">. Addison-Wesley. </w:t>
      </w:r>
      <w:bookmarkEnd w:id="83"/>
    </w:p>
    <w:p w14:paraId="2956FE36" w14:textId="77777777" w:rsidR="00133CD9" w:rsidRPr="00DF3A4F" w:rsidRDefault="00133CD9" w:rsidP="00133CD9">
      <w:pPr>
        <w:pStyle w:val="JenniRefBody"/>
        <w:spacing w:line="360" w:lineRule="auto"/>
        <w:ind w:left="720" w:hanging="720"/>
        <w:jc w:val="both"/>
        <w:rPr>
          <w:rFonts w:ascii="Arial" w:hAnsi="Arial" w:cs="Arial"/>
          <w:sz w:val="24"/>
          <w:szCs w:val="24"/>
        </w:rPr>
      </w:pPr>
      <w:bookmarkStart w:id="84" w:name="ef610957a3be7701fb2c3cee28e4a5c0"/>
      <w:r w:rsidRPr="00DF3A4F">
        <w:rPr>
          <w:rFonts w:ascii="Arial" w:hAnsi="Arial" w:cs="Arial"/>
          <w:sz w:val="24"/>
          <w:szCs w:val="24"/>
        </w:rPr>
        <w:t xml:space="preserve">Barney, J. B., &amp; Hesterly, W. S. (2005). </w:t>
      </w:r>
      <w:r w:rsidRPr="00DF3A4F">
        <w:rPr>
          <w:rFonts w:ascii="Arial" w:hAnsi="Arial" w:cs="Arial"/>
          <w:i/>
          <w:iCs/>
          <w:sz w:val="24"/>
          <w:szCs w:val="24"/>
        </w:rPr>
        <w:t>Strategic Management and Competitive Advantage: Concepts and Cases</w:t>
      </w:r>
      <w:r w:rsidRPr="00DF3A4F">
        <w:rPr>
          <w:rFonts w:ascii="Arial" w:hAnsi="Arial" w:cs="Arial"/>
          <w:sz w:val="24"/>
          <w:szCs w:val="24"/>
        </w:rPr>
        <w:t xml:space="preserve">. http://www.loc.gov/catdir/toc/ecip0715/2007014609.html </w:t>
      </w:r>
      <w:bookmarkEnd w:id="84"/>
    </w:p>
    <w:p w14:paraId="09633523" w14:textId="77777777" w:rsidR="00133CD9" w:rsidRPr="00DF3A4F" w:rsidRDefault="00133CD9" w:rsidP="00133CD9">
      <w:pPr>
        <w:pStyle w:val="JenniRefBody"/>
        <w:spacing w:line="360" w:lineRule="auto"/>
        <w:ind w:left="720" w:hanging="720"/>
        <w:jc w:val="both"/>
        <w:rPr>
          <w:rFonts w:ascii="Arial" w:hAnsi="Arial" w:cs="Arial"/>
          <w:sz w:val="24"/>
          <w:szCs w:val="24"/>
        </w:rPr>
      </w:pPr>
      <w:bookmarkStart w:id="85" w:name="c4135653d8b32f3c4280ded043216afd"/>
      <w:r w:rsidRPr="00DF3A4F">
        <w:rPr>
          <w:rFonts w:ascii="Arial" w:hAnsi="Arial" w:cs="Arial"/>
          <w:sz w:val="24"/>
          <w:szCs w:val="24"/>
        </w:rPr>
        <w:t xml:space="preserve">Bhatia-Kalluri, A., &amp; Caraway, B. (2023). Transformation of the Digital Payment Ecosystem in India: A Case Study of Paytm. </w:t>
      </w:r>
      <w:r w:rsidRPr="00DF3A4F">
        <w:rPr>
          <w:rFonts w:ascii="Arial" w:hAnsi="Arial" w:cs="Arial"/>
          <w:i/>
          <w:iCs/>
          <w:sz w:val="24"/>
          <w:szCs w:val="24"/>
        </w:rPr>
        <w:t>Social Inclusion</w:t>
      </w:r>
      <w:r w:rsidRPr="00DF3A4F">
        <w:rPr>
          <w:rFonts w:ascii="Arial" w:hAnsi="Arial" w:cs="Arial"/>
          <w:sz w:val="24"/>
          <w:szCs w:val="24"/>
        </w:rPr>
        <w:t xml:space="preserve">, </w:t>
      </w:r>
      <w:r w:rsidRPr="00DF3A4F">
        <w:rPr>
          <w:rFonts w:ascii="Arial" w:hAnsi="Arial" w:cs="Arial"/>
          <w:i/>
          <w:iCs/>
          <w:sz w:val="24"/>
          <w:szCs w:val="24"/>
        </w:rPr>
        <w:t>11</w:t>
      </w:r>
      <w:r w:rsidRPr="00DF3A4F">
        <w:rPr>
          <w:rFonts w:ascii="Arial" w:hAnsi="Arial" w:cs="Arial"/>
          <w:sz w:val="24"/>
          <w:szCs w:val="24"/>
        </w:rPr>
        <w:t xml:space="preserve">(3). https://doi.org/10.17645/si.v11i3.6687 </w:t>
      </w:r>
      <w:bookmarkEnd w:id="85"/>
    </w:p>
    <w:p w14:paraId="3DFA392F" w14:textId="77777777" w:rsidR="00133CD9" w:rsidRPr="00DF3A4F" w:rsidRDefault="00133CD9" w:rsidP="00133CD9">
      <w:pPr>
        <w:pStyle w:val="JenniRefBody"/>
        <w:spacing w:line="360" w:lineRule="auto"/>
        <w:ind w:left="720" w:hanging="720"/>
        <w:jc w:val="both"/>
        <w:rPr>
          <w:rFonts w:ascii="Arial" w:hAnsi="Arial" w:cs="Arial"/>
          <w:sz w:val="24"/>
          <w:szCs w:val="24"/>
        </w:rPr>
      </w:pPr>
      <w:bookmarkStart w:id="86" w:name="142db74169ba93ae46ef5c22582c3b84"/>
      <w:r w:rsidRPr="00DF3A4F">
        <w:rPr>
          <w:rFonts w:ascii="Arial" w:hAnsi="Arial" w:cs="Arial"/>
          <w:sz w:val="24"/>
          <w:szCs w:val="24"/>
        </w:rPr>
        <w:t xml:space="preserve">Blackburn, R., Clercq, D. D., &amp; Heinonen, J. (2017). The SAGE Handbook of Small Business and Entrepreneurship. In </w:t>
      </w:r>
      <w:r w:rsidRPr="00DF3A4F">
        <w:rPr>
          <w:rFonts w:ascii="Arial" w:hAnsi="Arial" w:cs="Arial"/>
          <w:i/>
          <w:iCs/>
          <w:sz w:val="24"/>
          <w:szCs w:val="24"/>
        </w:rPr>
        <w:t>Bradford Scholars (University of Bradford)</w:t>
      </w:r>
      <w:r w:rsidRPr="00DF3A4F">
        <w:rPr>
          <w:rFonts w:ascii="Arial" w:hAnsi="Arial" w:cs="Arial"/>
          <w:sz w:val="24"/>
          <w:szCs w:val="24"/>
        </w:rPr>
        <w:t xml:space="preserve">. University of Bradford. https://doi.org/10.4135/9781473984080 </w:t>
      </w:r>
      <w:bookmarkEnd w:id="86"/>
    </w:p>
    <w:p w14:paraId="4370A620" w14:textId="77777777" w:rsidR="00133CD9" w:rsidRPr="00DF3A4F" w:rsidRDefault="00133CD9" w:rsidP="00133CD9">
      <w:pPr>
        <w:spacing w:line="360" w:lineRule="auto"/>
        <w:ind w:left="720" w:hanging="720"/>
        <w:jc w:val="both"/>
        <w:rPr>
          <w:rFonts w:ascii="Arial" w:hAnsi="Arial" w:cs="Arial"/>
          <w:sz w:val="24"/>
          <w:szCs w:val="24"/>
        </w:rPr>
      </w:pPr>
      <w:r w:rsidRPr="00DF3A4F">
        <w:rPr>
          <w:rFonts w:ascii="Arial" w:hAnsi="Arial" w:cs="Arial"/>
          <w:sz w:val="24"/>
          <w:szCs w:val="24"/>
        </w:rPr>
        <w:t xml:space="preserve">Braun, V., &amp; Clarke, V. (2006). Using thematic analysis in psychology. </w:t>
      </w:r>
      <w:r w:rsidRPr="00DF3A4F">
        <w:rPr>
          <w:rFonts w:ascii="Arial" w:hAnsi="Arial" w:cs="Arial"/>
          <w:i/>
          <w:iCs/>
          <w:sz w:val="24"/>
          <w:szCs w:val="24"/>
        </w:rPr>
        <w:t>Qualitative Research in Psychology, 3</w:t>
      </w:r>
      <w:r w:rsidRPr="00DF3A4F">
        <w:rPr>
          <w:rFonts w:ascii="Arial" w:hAnsi="Arial" w:cs="Arial"/>
          <w:sz w:val="24"/>
          <w:szCs w:val="24"/>
        </w:rPr>
        <w:t>(2), 77–101.</w:t>
      </w:r>
    </w:p>
    <w:p w14:paraId="53A20299" w14:textId="77777777" w:rsidR="00133CD9" w:rsidRPr="00DF3A4F" w:rsidRDefault="00133CD9" w:rsidP="00133CD9">
      <w:pPr>
        <w:pStyle w:val="JenniRefBody"/>
        <w:spacing w:line="360" w:lineRule="auto"/>
        <w:ind w:left="720" w:hanging="720"/>
        <w:jc w:val="both"/>
        <w:rPr>
          <w:rFonts w:ascii="Arial" w:hAnsi="Arial" w:cs="Arial"/>
          <w:sz w:val="24"/>
          <w:szCs w:val="24"/>
        </w:rPr>
      </w:pPr>
      <w:bookmarkStart w:id="87" w:name="d501e90b48d209970b31e01c264b0aab"/>
      <w:r w:rsidRPr="00DF3A4F">
        <w:rPr>
          <w:rFonts w:ascii="Arial" w:hAnsi="Arial" w:cs="Arial"/>
          <w:sz w:val="24"/>
          <w:szCs w:val="24"/>
        </w:rPr>
        <w:t xml:space="preserve">Chen, J. (2024). Fintech: Digital Transformation of Financial Services and Financial Regulation. </w:t>
      </w:r>
      <w:r w:rsidRPr="00DF3A4F">
        <w:rPr>
          <w:rFonts w:ascii="Arial" w:hAnsi="Arial" w:cs="Arial"/>
          <w:i/>
          <w:iCs/>
          <w:sz w:val="24"/>
          <w:szCs w:val="24"/>
        </w:rPr>
        <w:t>Highlights in Business Economics and Management</w:t>
      </w:r>
      <w:r w:rsidRPr="00DF3A4F">
        <w:rPr>
          <w:rFonts w:ascii="Arial" w:hAnsi="Arial" w:cs="Arial"/>
          <w:sz w:val="24"/>
          <w:szCs w:val="24"/>
        </w:rPr>
        <w:t xml:space="preserve">, </w:t>
      </w:r>
      <w:r w:rsidRPr="00DF3A4F">
        <w:rPr>
          <w:rFonts w:ascii="Arial" w:hAnsi="Arial" w:cs="Arial"/>
          <w:i/>
          <w:iCs/>
          <w:sz w:val="24"/>
          <w:szCs w:val="24"/>
        </w:rPr>
        <w:t>30</w:t>
      </w:r>
      <w:r w:rsidRPr="00DF3A4F">
        <w:rPr>
          <w:rFonts w:ascii="Arial" w:hAnsi="Arial" w:cs="Arial"/>
          <w:sz w:val="24"/>
          <w:szCs w:val="24"/>
        </w:rPr>
        <w:t xml:space="preserve">, 38–45. https://doi.org/10.54097/512jkg86 </w:t>
      </w:r>
      <w:bookmarkEnd w:id="87"/>
    </w:p>
    <w:p w14:paraId="094A93C8" w14:textId="77777777" w:rsidR="00133CD9" w:rsidRPr="00DF3A4F" w:rsidRDefault="00133CD9" w:rsidP="00133CD9">
      <w:pPr>
        <w:spacing w:line="360" w:lineRule="auto"/>
        <w:ind w:left="720" w:hanging="720"/>
        <w:jc w:val="both"/>
        <w:rPr>
          <w:rFonts w:ascii="Arial" w:hAnsi="Arial" w:cs="Arial"/>
          <w:sz w:val="24"/>
          <w:szCs w:val="24"/>
        </w:rPr>
      </w:pPr>
      <w:r w:rsidRPr="00DF3A4F">
        <w:rPr>
          <w:rFonts w:ascii="Arial" w:hAnsi="Arial" w:cs="Arial"/>
          <w:sz w:val="24"/>
          <w:szCs w:val="24"/>
        </w:rPr>
        <w:t xml:space="preserve">Cheong, H. I., Lyons, A., Houghton, R., &amp; Majumdar, A. (2023). Secondary qualitative research methodology using online data within the context of social sciences. </w:t>
      </w:r>
      <w:r w:rsidRPr="00DF3A4F">
        <w:rPr>
          <w:rFonts w:ascii="Arial" w:hAnsi="Arial" w:cs="Arial"/>
          <w:i/>
          <w:iCs/>
          <w:sz w:val="24"/>
          <w:szCs w:val="24"/>
        </w:rPr>
        <w:t>International Journal of Qualitative Methods, 22</w:t>
      </w:r>
      <w:r w:rsidRPr="00DF3A4F">
        <w:rPr>
          <w:rFonts w:ascii="Arial" w:hAnsi="Arial" w:cs="Arial"/>
          <w:sz w:val="24"/>
          <w:szCs w:val="24"/>
        </w:rPr>
        <w:t>, 16094069231180160.</w:t>
      </w:r>
    </w:p>
    <w:p w14:paraId="0D141E3A" w14:textId="77777777" w:rsidR="00133CD9" w:rsidRPr="00DF3A4F" w:rsidRDefault="00133CD9" w:rsidP="00133CD9">
      <w:pPr>
        <w:pStyle w:val="JenniRefBody"/>
        <w:spacing w:line="360" w:lineRule="auto"/>
        <w:ind w:left="720" w:hanging="720"/>
        <w:jc w:val="both"/>
        <w:rPr>
          <w:rFonts w:ascii="Arial" w:hAnsi="Arial" w:cs="Arial"/>
          <w:sz w:val="24"/>
          <w:szCs w:val="24"/>
        </w:rPr>
      </w:pPr>
      <w:r w:rsidRPr="00DF3A4F">
        <w:rPr>
          <w:rFonts w:ascii="Arial" w:hAnsi="Arial" w:cs="Arial"/>
          <w:sz w:val="24"/>
          <w:szCs w:val="24"/>
        </w:rPr>
        <w:t xml:space="preserve">Davis, F. D. (1989). Perceived usefulness, perceived ease of use, and user acceptance of information technology. </w:t>
      </w:r>
      <w:r w:rsidRPr="00DF3A4F">
        <w:rPr>
          <w:rFonts w:ascii="Arial" w:hAnsi="Arial" w:cs="Arial"/>
          <w:i/>
          <w:iCs/>
          <w:sz w:val="24"/>
          <w:szCs w:val="24"/>
        </w:rPr>
        <w:t>MIS Quarterly, 13</w:t>
      </w:r>
      <w:r w:rsidRPr="00DF3A4F">
        <w:rPr>
          <w:rFonts w:ascii="Arial" w:hAnsi="Arial" w:cs="Arial"/>
          <w:sz w:val="24"/>
          <w:szCs w:val="24"/>
        </w:rPr>
        <w:t>(3), 319–340.</w:t>
      </w:r>
    </w:p>
    <w:p w14:paraId="57D83DE2" w14:textId="77777777" w:rsidR="00133CD9" w:rsidRPr="00DF3A4F" w:rsidRDefault="00133CD9" w:rsidP="00133CD9">
      <w:pPr>
        <w:pStyle w:val="JenniRefBody"/>
        <w:spacing w:line="360" w:lineRule="auto"/>
        <w:ind w:left="720" w:hanging="720"/>
        <w:jc w:val="both"/>
        <w:rPr>
          <w:rFonts w:ascii="Arial" w:hAnsi="Arial" w:cs="Arial"/>
          <w:sz w:val="24"/>
          <w:szCs w:val="24"/>
        </w:rPr>
      </w:pPr>
      <w:r w:rsidRPr="00DF3A4F">
        <w:rPr>
          <w:rFonts w:ascii="Arial" w:hAnsi="Arial" w:cs="Arial"/>
          <w:sz w:val="24"/>
          <w:szCs w:val="24"/>
        </w:rPr>
        <w:t xml:space="preserve">Deloitte. (2023). </w:t>
      </w:r>
      <w:r w:rsidRPr="00DF3A4F">
        <w:rPr>
          <w:rFonts w:ascii="Arial" w:hAnsi="Arial" w:cs="Arial"/>
          <w:i/>
          <w:iCs/>
          <w:sz w:val="24"/>
          <w:szCs w:val="24"/>
        </w:rPr>
        <w:t>Payment Trends 2023</w:t>
      </w:r>
      <w:r w:rsidRPr="00DF3A4F">
        <w:rPr>
          <w:rFonts w:ascii="Arial" w:hAnsi="Arial" w:cs="Arial"/>
          <w:sz w:val="24"/>
          <w:szCs w:val="24"/>
        </w:rPr>
        <w:t>. https://www.deloitte.com/global/en/industries/financial-services/perspectives/infocus-payments-trends.html</w:t>
      </w:r>
    </w:p>
    <w:p w14:paraId="1DCAE464" w14:textId="77777777" w:rsidR="00133CD9" w:rsidRPr="00DF3A4F" w:rsidRDefault="00133CD9" w:rsidP="00133CD9">
      <w:pPr>
        <w:pStyle w:val="JenniRefBody"/>
        <w:spacing w:line="360" w:lineRule="auto"/>
        <w:ind w:left="720" w:hanging="720"/>
        <w:jc w:val="both"/>
        <w:rPr>
          <w:rFonts w:ascii="Arial" w:hAnsi="Arial" w:cs="Arial"/>
          <w:sz w:val="24"/>
          <w:szCs w:val="24"/>
        </w:rPr>
      </w:pPr>
      <w:bookmarkStart w:id="88" w:name="bf0774121b68a8e2a0beb28df8cfe19d"/>
      <w:r w:rsidRPr="00DF3A4F">
        <w:rPr>
          <w:rFonts w:ascii="Arial" w:hAnsi="Arial" w:cs="Arial"/>
          <w:sz w:val="24"/>
          <w:szCs w:val="24"/>
        </w:rPr>
        <w:t xml:space="preserve">Dunning, J. H. (1988). The Eclectic Paradigm of International Production: A Restatement and Some Possible Extensions. </w:t>
      </w:r>
      <w:r w:rsidRPr="00DF3A4F">
        <w:rPr>
          <w:rFonts w:ascii="Arial" w:hAnsi="Arial" w:cs="Arial"/>
          <w:i/>
          <w:iCs/>
          <w:sz w:val="24"/>
          <w:szCs w:val="24"/>
        </w:rPr>
        <w:t>Journal of International Business Studies</w:t>
      </w:r>
      <w:r w:rsidRPr="00DF3A4F">
        <w:rPr>
          <w:rFonts w:ascii="Arial" w:hAnsi="Arial" w:cs="Arial"/>
          <w:sz w:val="24"/>
          <w:szCs w:val="24"/>
        </w:rPr>
        <w:t xml:space="preserve">, </w:t>
      </w:r>
      <w:r w:rsidRPr="00DF3A4F">
        <w:rPr>
          <w:rFonts w:ascii="Arial" w:hAnsi="Arial" w:cs="Arial"/>
          <w:i/>
          <w:iCs/>
          <w:sz w:val="24"/>
          <w:szCs w:val="24"/>
        </w:rPr>
        <w:t>19</w:t>
      </w:r>
      <w:r w:rsidRPr="00DF3A4F">
        <w:rPr>
          <w:rFonts w:ascii="Arial" w:hAnsi="Arial" w:cs="Arial"/>
          <w:sz w:val="24"/>
          <w:szCs w:val="24"/>
        </w:rPr>
        <w:t xml:space="preserve">(1), 1–31. https://doi.org/10.1057/palgrave.jibs.8490372 </w:t>
      </w:r>
      <w:bookmarkEnd w:id="88"/>
    </w:p>
    <w:p w14:paraId="0BA88947" w14:textId="77777777" w:rsidR="00133CD9" w:rsidRPr="00DF3A4F" w:rsidRDefault="00133CD9" w:rsidP="00133CD9">
      <w:pPr>
        <w:pStyle w:val="JenniRefBody"/>
        <w:spacing w:line="360" w:lineRule="auto"/>
        <w:ind w:left="720" w:hanging="720"/>
        <w:jc w:val="both"/>
        <w:rPr>
          <w:rFonts w:ascii="Arial" w:hAnsi="Arial" w:cs="Arial"/>
          <w:sz w:val="24"/>
          <w:szCs w:val="24"/>
        </w:rPr>
      </w:pPr>
      <w:r w:rsidRPr="00DF3A4F">
        <w:rPr>
          <w:rFonts w:ascii="Arial" w:hAnsi="Arial" w:cs="Arial"/>
          <w:sz w:val="24"/>
          <w:szCs w:val="24"/>
        </w:rPr>
        <w:t xml:space="preserve">Frost, J., Gambacorta, L., Huang, Y., Shin, H. S., &amp; Zbinden, P. (2019). </w:t>
      </w:r>
      <w:proofErr w:type="spellStart"/>
      <w:r w:rsidRPr="00DF3A4F">
        <w:rPr>
          <w:rFonts w:ascii="Arial" w:hAnsi="Arial" w:cs="Arial"/>
          <w:sz w:val="24"/>
          <w:szCs w:val="24"/>
        </w:rPr>
        <w:t>BigTech</w:t>
      </w:r>
      <w:proofErr w:type="spellEnd"/>
      <w:r w:rsidRPr="00DF3A4F">
        <w:rPr>
          <w:rFonts w:ascii="Arial" w:hAnsi="Arial" w:cs="Arial"/>
          <w:sz w:val="24"/>
          <w:szCs w:val="24"/>
        </w:rPr>
        <w:t xml:space="preserve"> and the changing structure of financial intermediation. </w:t>
      </w:r>
      <w:r w:rsidRPr="00DF3A4F">
        <w:rPr>
          <w:rFonts w:ascii="Arial" w:hAnsi="Arial" w:cs="Arial"/>
          <w:i/>
          <w:iCs/>
          <w:sz w:val="24"/>
          <w:szCs w:val="24"/>
        </w:rPr>
        <w:t>Economic Policy, 34</w:t>
      </w:r>
      <w:r w:rsidRPr="00DF3A4F">
        <w:rPr>
          <w:rFonts w:ascii="Arial" w:hAnsi="Arial" w:cs="Arial"/>
          <w:sz w:val="24"/>
          <w:szCs w:val="24"/>
        </w:rPr>
        <w:t>(100), 761–799.</w:t>
      </w:r>
    </w:p>
    <w:p w14:paraId="5BA71E11" w14:textId="77777777" w:rsidR="00133CD9" w:rsidRPr="00DF3A4F" w:rsidRDefault="00133CD9" w:rsidP="00133CD9">
      <w:pPr>
        <w:pStyle w:val="JenniRefBody"/>
        <w:spacing w:line="360" w:lineRule="auto"/>
        <w:ind w:left="720" w:hanging="720"/>
        <w:jc w:val="both"/>
        <w:rPr>
          <w:rFonts w:ascii="Arial" w:hAnsi="Arial" w:cs="Arial"/>
          <w:sz w:val="24"/>
          <w:szCs w:val="24"/>
        </w:rPr>
      </w:pPr>
      <w:bookmarkStart w:id="89" w:name="98898123f93bf5e2b1bf4e709220da9d"/>
      <w:r w:rsidRPr="00DF3A4F">
        <w:rPr>
          <w:rFonts w:ascii="Arial" w:hAnsi="Arial" w:cs="Arial"/>
          <w:sz w:val="24"/>
          <w:szCs w:val="24"/>
        </w:rPr>
        <w:t xml:space="preserve">Gefen, D., </w:t>
      </w:r>
      <w:proofErr w:type="spellStart"/>
      <w:r w:rsidRPr="00DF3A4F">
        <w:rPr>
          <w:rFonts w:ascii="Arial" w:hAnsi="Arial" w:cs="Arial"/>
          <w:sz w:val="24"/>
          <w:szCs w:val="24"/>
        </w:rPr>
        <w:t>Karahanna</w:t>
      </w:r>
      <w:proofErr w:type="spellEnd"/>
      <w:r w:rsidRPr="00DF3A4F">
        <w:rPr>
          <w:rFonts w:ascii="Arial" w:hAnsi="Arial" w:cs="Arial"/>
          <w:sz w:val="24"/>
          <w:szCs w:val="24"/>
        </w:rPr>
        <w:t xml:space="preserve">, E., &amp; Straub, D. W. (2003). Trust and TAM in online shopping. </w:t>
      </w:r>
      <w:r w:rsidRPr="00DF3A4F">
        <w:rPr>
          <w:rFonts w:ascii="Arial" w:hAnsi="Arial" w:cs="Arial"/>
          <w:i/>
          <w:iCs/>
          <w:sz w:val="24"/>
          <w:szCs w:val="24"/>
        </w:rPr>
        <w:t>MIS Quarterly</w:t>
      </w:r>
      <w:r w:rsidRPr="00DF3A4F">
        <w:rPr>
          <w:rFonts w:ascii="Arial" w:hAnsi="Arial" w:cs="Arial"/>
          <w:sz w:val="24"/>
          <w:szCs w:val="24"/>
        </w:rPr>
        <w:t xml:space="preserve">, </w:t>
      </w:r>
      <w:r w:rsidRPr="00DF3A4F">
        <w:rPr>
          <w:rFonts w:ascii="Arial" w:hAnsi="Arial" w:cs="Arial"/>
          <w:i/>
          <w:iCs/>
          <w:sz w:val="24"/>
          <w:szCs w:val="24"/>
        </w:rPr>
        <w:t>27</w:t>
      </w:r>
      <w:r w:rsidRPr="00DF3A4F">
        <w:rPr>
          <w:rFonts w:ascii="Arial" w:hAnsi="Arial" w:cs="Arial"/>
          <w:sz w:val="24"/>
          <w:szCs w:val="24"/>
        </w:rPr>
        <w:t xml:space="preserve">(1), 51–90. </w:t>
      </w:r>
      <w:bookmarkEnd w:id="89"/>
    </w:p>
    <w:p w14:paraId="353951A3" w14:textId="77777777" w:rsidR="00133CD9" w:rsidRPr="00DF3A4F" w:rsidRDefault="00133CD9" w:rsidP="00133CD9">
      <w:pPr>
        <w:ind w:left="720" w:hanging="720"/>
        <w:rPr>
          <w:rFonts w:ascii="Arial" w:hAnsi="Arial" w:cs="Arial"/>
          <w:sz w:val="24"/>
          <w:szCs w:val="24"/>
        </w:rPr>
      </w:pPr>
      <w:r w:rsidRPr="00DF3A4F">
        <w:rPr>
          <w:rFonts w:ascii="Arial" w:hAnsi="Arial" w:cs="Arial"/>
          <w:sz w:val="24"/>
          <w:szCs w:val="24"/>
        </w:rPr>
        <w:t xml:space="preserve">Ghemawat, P. (2001). Distance still matters: The hard reality of global expansion. </w:t>
      </w:r>
      <w:r w:rsidRPr="00DF3A4F">
        <w:rPr>
          <w:rFonts w:ascii="Arial" w:hAnsi="Arial" w:cs="Arial"/>
          <w:i/>
          <w:iCs/>
          <w:sz w:val="24"/>
          <w:szCs w:val="24"/>
        </w:rPr>
        <w:t>Harvard Business Review, 79</w:t>
      </w:r>
      <w:r w:rsidRPr="00DF3A4F">
        <w:rPr>
          <w:rFonts w:ascii="Arial" w:hAnsi="Arial" w:cs="Arial"/>
          <w:sz w:val="24"/>
          <w:szCs w:val="24"/>
        </w:rPr>
        <w:t>(8), 137–147.</w:t>
      </w:r>
    </w:p>
    <w:p w14:paraId="72FD9D6C" w14:textId="77777777" w:rsidR="00133CD9" w:rsidRPr="00DF3A4F" w:rsidRDefault="00133CD9" w:rsidP="00133CD9">
      <w:pPr>
        <w:pStyle w:val="JenniRefBody"/>
        <w:spacing w:line="360" w:lineRule="auto"/>
        <w:ind w:left="720" w:hanging="720"/>
        <w:jc w:val="both"/>
        <w:rPr>
          <w:rFonts w:ascii="Arial" w:hAnsi="Arial" w:cs="Arial"/>
          <w:sz w:val="24"/>
          <w:szCs w:val="24"/>
        </w:rPr>
      </w:pPr>
      <w:bookmarkStart w:id="90" w:name="c66417cb3792136b95af98c6faf44a9f"/>
      <w:r w:rsidRPr="00DF3A4F">
        <w:rPr>
          <w:rFonts w:ascii="Arial" w:hAnsi="Arial" w:cs="Arial"/>
          <w:sz w:val="24"/>
          <w:szCs w:val="24"/>
        </w:rPr>
        <w:t xml:space="preserve">Ginevičius, R. (2023). Improving the assessment of the diversification of construction companies. </w:t>
      </w:r>
      <w:r w:rsidRPr="00DF3A4F">
        <w:rPr>
          <w:rFonts w:ascii="Arial" w:hAnsi="Arial" w:cs="Arial"/>
          <w:i/>
          <w:iCs/>
          <w:sz w:val="24"/>
          <w:szCs w:val="24"/>
        </w:rPr>
        <w:t>Engineering Management in Production and Services</w:t>
      </w:r>
      <w:r w:rsidRPr="00DF3A4F">
        <w:rPr>
          <w:rFonts w:ascii="Arial" w:hAnsi="Arial" w:cs="Arial"/>
          <w:sz w:val="24"/>
          <w:szCs w:val="24"/>
        </w:rPr>
        <w:t xml:space="preserve">, </w:t>
      </w:r>
      <w:r w:rsidRPr="00DF3A4F">
        <w:rPr>
          <w:rFonts w:ascii="Arial" w:hAnsi="Arial" w:cs="Arial"/>
          <w:i/>
          <w:iCs/>
          <w:sz w:val="24"/>
          <w:szCs w:val="24"/>
        </w:rPr>
        <w:t>15</w:t>
      </w:r>
      <w:r w:rsidRPr="00DF3A4F">
        <w:rPr>
          <w:rFonts w:ascii="Arial" w:hAnsi="Arial" w:cs="Arial"/>
          <w:sz w:val="24"/>
          <w:szCs w:val="24"/>
        </w:rPr>
        <w:t xml:space="preserve">(2), 46–54. https://doi.org/10.2478/emj-2023-0011 </w:t>
      </w:r>
      <w:bookmarkEnd w:id="90"/>
    </w:p>
    <w:p w14:paraId="068D35D1" w14:textId="77777777" w:rsidR="00133CD9" w:rsidRPr="00DF3A4F" w:rsidRDefault="00133CD9" w:rsidP="00133CD9">
      <w:pPr>
        <w:pStyle w:val="JenniRefBody"/>
        <w:spacing w:line="360" w:lineRule="auto"/>
        <w:ind w:left="720" w:hanging="720"/>
        <w:jc w:val="both"/>
        <w:rPr>
          <w:rFonts w:ascii="Arial" w:hAnsi="Arial" w:cs="Arial"/>
          <w:sz w:val="24"/>
          <w:szCs w:val="24"/>
        </w:rPr>
      </w:pPr>
      <w:bookmarkStart w:id="91" w:name="426db30847de53cafc09b007a89b61b6"/>
      <w:r w:rsidRPr="00DF3A4F">
        <w:rPr>
          <w:rFonts w:ascii="Arial" w:hAnsi="Arial" w:cs="Arial"/>
          <w:sz w:val="24"/>
          <w:szCs w:val="24"/>
        </w:rPr>
        <w:t xml:space="preserve">Grant, R. M. (2005). Cases to accompany Contemporary strategy analysis, fifth edition. In </w:t>
      </w:r>
      <w:r w:rsidRPr="00DF3A4F">
        <w:rPr>
          <w:rFonts w:ascii="Arial" w:hAnsi="Arial" w:cs="Arial"/>
          <w:i/>
          <w:iCs/>
          <w:sz w:val="24"/>
          <w:szCs w:val="24"/>
        </w:rPr>
        <w:t>Blackwell eBooks</w:t>
      </w:r>
      <w:r w:rsidRPr="00DF3A4F">
        <w:rPr>
          <w:rFonts w:ascii="Arial" w:hAnsi="Arial" w:cs="Arial"/>
          <w:sz w:val="24"/>
          <w:szCs w:val="24"/>
        </w:rPr>
        <w:t xml:space="preserve">. http://ci.nii.ac.jp/ncid/BA70560579 </w:t>
      </w:r>
      <w:bookmarkEnd w:id="91"/>
    </w:p>
    <w:p w14:paraId="725656E2" w14:textId="77777777" w:rsidR="00133CD9" w:rsidRPr="00DF3A4F" w:rsidRDefault="00133CD9" w:rsidP="00133CD9">
      <w:pPr>
        <w:pStyle w:val="JenniRefBody"/>
        <w:spacing w:line="360" w:lineRule="auto"/>
        <w:ind w:left="720" w:hanging="720"/>
        <w:jc w:val="both"/>
        <w:rPr>
          <w:rFonts w:ascii="Arial" w:hAnsi="Arial" w:cs="Arial"/>
          <w:sz w:val="24"/>
          <w:szCs w:val="24"/>
        </w:rPr>
      </w:pPr>
      <w:r w:rsidRPr="00DF3A4F">
        <w:rPr>
          <w:rFonts w:ascii="Arial" w:hAnsi="Arial" w:cs="Arial"/>
          <w:sz w:val="24"/>
          <w:szCs w:val="24"/>
        </w:rPr>
        <w:t xml:space="preserve">Grant, R. M. (2022). </w:t>
      </w:r>
      <w:r w:rsidRPr="00DF3A4F">
        <w:rPr>
          <w:rFonts w:ascii="Arial" w:hAnsi="Arial" w:cs="Arial"/>
          <w:i/>
          <w:iCs/>
          <w:sz w:val="24"/>
          <w:szCs w:val="24"/>
        </w:rPr>
        <w:t>Contemporary strategy analysis</w:t>
      </w:r>
      <w:r w:rsidRPr="00DF3A4F">
        <w:rPr>
          <w:rFonts w:ascii="Arial" w:hAnsi="Arial" w:cs="Arial"/>
          <w:sz w:val="24"/>
          <w:szCs w:val="24"/>
        </w:rPr>
        <w:t xml:space="preserve"> (11th ed.). Wiley.</w:t>
      </w:r>
    </w:p>
    <w:p w14:paraId="755012A3" w14:textId="77777777" w:rsidR="00133CD9" w:rsidRPr="00DF3A4F" w:rsidRDefault="00133CD9" w:rsidP="00133CD9">
      <w:pPr>
        <w:pStyle w:val="JenniRefBody"/>
        <w:spacing w:line="360" w:lineRule="auto"/>
        <w:ind w:left="720" w:hanging="720"/>
        <w:jc w:val="both"/>
        <w:rPr>
          <w:rFonts w:ascii="Arial" w:hAnsi="Arial" w:cs="Arial"/>
          <w:sz w:val="24"/>
          <w:szCs w:val="24"/>
        </w:rPr>
      </w:pPr>
      <w:bookmarkStart w:id="92" w:name="a984c853638775f1ce111d36a87fcd50"/>
      <w:r w:rsidRPr="00DF3A4F">
        <w:rPr>
          <w:rFonts w:ascii="Arial" w:hAnsi="Arial" w:cs="Arial"/>
          <w:sz w:val="24"/>
          <w:szCs w:val="24"/>
        </w:rPr>
        <w:t xml:space="preserve">Gregory, G., Ngo, L. V., &amp; </w:t>
      </w:r>
      <w:proofErr w:type="spellStart"/>
      <w:r w:rsidRPr="00DF3A4F">
        <w:rPr>
          <w:rFonts w:ascii="Arial" w:hAnsi="Arial" w:cs="Arial"/>
          <w:sz w:val="24"/>
          <w:szCs w:val="24"/>
        </w:rPr>
        <w:t>Karavdic</w:t>
      </w:r>
      <w:proofErr w:type="spellEnd"/>
      <w:r w:rsidRPr="00DF3A4F">
        <w:rPr>
          <w:rFonts w:ascii="Arial" w:hAnsi="Arial" w:cs="Arial"/>
          <w:sz w:val="24"/>
          <w:szCs w:val="24"/>
        </w:rPr>
        <w:t xml:space="preserve">, M. (2017). Developing e-commerce marketing capabilities and efficiencies for enhanced performance in business-to-business export ventures. </w:t>
      </w:r>
      <w:r w:rsidRPr="00DF3A4F">
        <w:rPr>
          <w:rFonts w:ascii="Arial" w:hAnsi="Arial" w:cs="Arial"/>
          <w:i/>
          <w:iCs/>
          <w:sz w:val="24"/>
          <w:szCs w:val="24"/>
        </w:rPr>
        <w:t>Industrial Marketing Management</w:t>
      </w:r>
      <w:r w:rsidRPr="00DF3A4F">
        <w:rPr>
          <w:rFonts w:ascii="Arial" w:hAnsi="Arial" w:cs="Arial"/>
          <w:sz w:val="24"/>
          <w:szCs w:val="24"/>
        </w:rPr>
        <w:t xml:space="preserve">, </w:t>
      </w:r>
      <w:r w:rsidRPr="00DF3A4F">
        <w:rPr>
          <w:rFonts w:ascii="Arial" w:hAnsi="Arial" w:cs="Arial"/>
          <w:i/>
          <w:iCs/>
          <w:sz w:val="24"/>
          <w:szCs w:val="24"/>
        </w:rPr>
        <w:t>78</w:t>
      </w:r>
      <w:r w:rsidRPr="00DF3A4F">
        <w:rPr>
          <w:rFonts w:ascii="Arial" w:hAnsi="Arial" w:cs="Arial"/>
          <w:sz w:val="24"/>
          <w:szCs w:val="24"/>
        </w:rPr>
        <w:t xml:space="preserve">, 146–157. https://doi.org/10.1016/j.indmarman.2017.03.002 </w:t>
      </w:r>
      <w:bookmarkEnd w:id="92"/>
    </w:p>
    <w:p w14:paraId="1BE7DED8" w14:textId="77777777" w:rsidR="00133CD9" w:rsidRPr="00DF3A4F" w:rsidRDefault="00133CD9" w:rsidP="00133CD9">
      <w:pPr>
        <w:pStyle w:val="JenniRefBody"/>
        <w:spacing w:line="360" w:lineRule="auto"/>
        <w:ind w:left="720" w:hanging="720"/>
        <w:jc w:val="both"/>
        <w:rPr>
          <w:rFonts w:ascii="Arial" w:hAnsi="Arial" w:cs="Arial"/>
          <w:sz w:val="24"/>
          <w:szCs w:val="24"/>
        </w:rPr>
      </w:pPr>
      <w:r w:rsidRPr="00DF3A4F">
        <w:rPr>
          <w:rFonts w:ascii="Arial" w:hAnsi="Arial" w:cs="Arial"/>
          <w:sz w:val="24"/>
          <w:szCs w:val="24"/>
        </w:rPr>
        <w:t xml:space="preserve">Hill, C. W. L. (2022). </w:t>
      </w:r>
      <w:r w:rsidRPr="00DF3A4F">
        <w:rPr>
          <w:rFonts w:ascii="Arial" w:hAnsi="Arial" w:cs="Arial"/>
          <w:i/>
          <w:iCs/>
          <w:sz w:val="24"/>
          <w:szCs w:val="24"/>
        </w:rPr>
        <w:t>International business: Competing in the global marketplace</w:t>
      </w:r>
      <w:r w:rsidRPr="00DF3A4F">
        <w:rPr>
          <w:rFonts w:ascii="Arial" w:hAnsi="Arial" w:cs="Arial"/>
          <w:sz w:val="24"/>
          <w:szCs w:val="24"/>
        </w:rPr>
        <w:t xml:space="preserve"> (14th ed.). McGraw-Hill.</w:t>
      </w:r>
    </w:p>
    <w:p w14:paraId="295CC00A" w14:textId="77777777" w:rsidR="00133CD9" w:rsidRPr="00DF3A4F" w:rsidRDefault="00133CD9" w:rsidP="00133CD9">
      <w:pPr>
        <w:pStyle w:val="JenniRefBody"/>
        <w:spacing w:line="360" w:lineRule="auto"/>
        <w:ind w:left="720" w:hanging="720"/>
        <w:jc w:val="both"/>
        <w:rPr>
          <w:rFonts w:ascii="Arial" w:hAnsi="Arial" w:cs="Arial"/>
          <w:sz w:val="24"/>
          <w:szCs w:val="24"/>
        </w:rPr>
      </w:pPr>
      <w:bookmarkStart w:id="93" w:name="12c478acd30879b81f605a75dcc63f8c"/>
      <w:r w:rsidRPr="00DF3A4F">
        <w:rPr>
          <w:rFonts w:ascii="Arial" w:hAnsi="Arial" w:cs="Arial"/>
          <w:sz w:val="24"/>
          <w:szCs w:val="24"/>
        </w:rPr>
        <w:t xml:space="preserve">Jerome, J. J. J., </w:t>
      </w:r>
      <w:proofErr w:type="spellStart"/>
      <w:r w:rsidRPr="00DF3A4F">
        <w:rPr>
          <w:rFonts w:ascii="Arial" w:hAnsi="Arial" w:cs="Arial"/>
          <w:sz w:val="24"/>
          <w:szCs w:val="24"/>
        </w:rPr>
        <w:t>Sonwaney</w:t>
      </w:r>
      <w:proofErr w:type="spellEnd"/>
      <w:r w:rsidRPr="00DF3A4F">
        <w:rPr>
          <w:rFonts w:ascii="Arial" w:hAnsi="Arial" w:cs="Arial"/>
          <w:sz w:val="24"/>
          <w:szCs w:val="24"/>
        </w:rPr>
        <w:t xml:space="preserve">, V., Bryde, D., &amp; Graham, G. (2023). Achieving competitive advantage through technology-driven proactive supply chain risk management: an empirical study. </w:t>
      </w:r>
      <w:r w:rsidRPr="00DF3A4F">
        <w:rPr>
          <w:rFonts w:ascii="Arial" w:hAnsi="Arial" w:cs="Arial"/>
          <w:i/>
          <w:iCs/>
          <w:sz w:val="24"/>
          <w:szCs w:val="24"/>
        </w:rPr>
        <w:t>Annals of Operations Research</w:t>
      </w:r>
      <w:r w:rsidRPr="00DF3A4F">
        <w:rPr>
          <w:rFonts w:ascii="Arial" w:hAnsi="Arial" w:cs="Arial"/>
          <w:sz w:val="24"/>
          <w:szCs w:val="24"/>
        </w:rPr>
        <w:t xml:space="preserve">, </w:t>
      </w:r>
      <w:r w:rsidRPr="00DF3A4F">
        <w:rPr>
          <w:rFonts w:ascii="Arial" w:hAnsi="Arial" w:cs="Arial"/>
          <w:i/>
          <w:iCs/>
          <w:sz w:val="24"/>
          <w:szCs w:val="24"/>
        </w:rPr>
        <w:t>332</w:t>
      </w:r>
      <w:r w:rsidRPr="00DF3A4F">
        <w:rPr>
          <w:rFonts w:ascii="Arial" w:hAnsi="Arial" w:cs="Arial"/>
          <w:sz w:val="24"/>
          <w:szCs w:val="24"/>
        </w:rPr>
        <w:t xml:space="preserve">, 149–190. https://doi.org/10.1007/s10479-023-05604-y </w:t>
      </w:r>
      <w:bookmarkEnd w:id="93"/>
    </w:p>
    <w:p w14:paraId="6640029E" w14:textId="77777777" w:rsidR="00133CD9" w:rsidRPr="00DF3A4F" w:rsidRDefault="00133CD9" w:rsidP="00133CD9">
      <w:pPr>
        <w:pStyle w:val="JenniRefBody"/>
        <w:spacing w:line="360" w:lineRule="auto"/>
        <w:ind w:left="720" w:hanging="720"/>
        <w:jc w:val="both"/>
        <w:rPr>
          <w:rFonts w:ascii="Arial" w:hAnsi="Arial" w:cs="Arial"/>
          <w:sz w:val="24"/>
          <w:szCs w:val="24"/>
        </w:rPr>
      </w:pPr>
      <w:r w:rsidRPr="00DF3A4F">
        <w:rPr>
          <w:rFonts w:ascii="Arial" w:hAnsi="Arial" w:cs="Arial"/>
          <w:sz w:val="24"/>
          <w:szCs w:val="24"/>
        </w:rPr>
        <w:t xml:space="preserve">Johanson, J., &amp; Vahlne, J. E. (1977). The internationalization process of the firm: A model of knowledge development and increasing foreign market commitments. </w:t>
      </w:r>
      <w:r w:rsidRPr="00DF3A4F">
        <w:rPr>
          <w:rFonts w:ascii="Arial" w:hAnsi="Arial" w:cs="Arial"/>
          <w:i/>
          <w:iCs/>
          <w:sz w:val="24"/>
          <w:szCs w:val="24"/>
        </w:rPr>
        <w:t>Journal of International Business Studies, 8</w:t>
      </w:r>
      <w:r w:rsidRPr="00DF3A4F">
        <w:rPr>
          <w:rFonts w:ascii="Arial" w:hAnsi="Arial" w:cs="Arial"/>
          <w:sz w:val="24"/>
          <w:szCs w:val="24"/>
        </w:rPr>
        <w:t>(1), 23–32.</w:t>
      </w:r>
    </w:p>
    <w:p w14:paraId="40B15013" w14:textId="77777777" w:rsidR="00133CD9" w:rsidRPr="00DF3A4F" w:rsidRDefault="00133CD9" w:rsidP="00133CD9">
      <w:pPr>
        <w:pStyle w:val="JenniRefBody"/>
        <w:spacing w:line="360" w:lineRule="auto"/>
        <w:ind w:left="720" w:hanging="720"/>
        <w:jc w:val="both"/>
        <w:rPr>
          <w:rFonts w:ascii="Arial" w:hAnsi="Arial" w:cs="Arial"/>
          <w:sz w:val="24"/>
          <w:szCs w:val="24"/>
        </w:rPr>
      </w:pPr>
      <w:r w:rsidRPr="00DF3A4F">
        <w:rPr>
          <w:rFonts w:ascii="Arial" w:hAnsi="Arial" w:cs="Arial"/>
          <w:sz w:val="24"/>
          <w:szCs w:val="24"/>
        </w:rPr>
        <w:t xml:space="preserve">Kale, P., &amp; Singh, H. (2009). Managing strategic alliances: What do we know now and where do we go from here? </w:t>
      </w:r>
      <w:r w:rsidRPr="00DF3A4F">
        <w:rPr>
          <w:rFonts w:ascii="Arial" w:hAnsi="Arial" w:cs="Arial"/>
          <w:i/>
          <w:iCs/>
          <w:sz w:val="24"/>
          <w:szCs w:val="24"/>
        </w:rPr>
        <w:t>Academy of Management Perspectives, 23</w:t>
      </w:r>
      <w:r w:rsidRPr="00DF3A4F">
        <w:rPr>
          <w:rFonts w:ascii="Arial" w:hAnsi="Arial" w:cs="Arial"/>
          <w:sz w:val="24"/>
          <w:szCs w:val="24"/>
        </w:rPr>
        <w:t>(3), 45–62.</w:t>
      </w:r>
    </w:p>
    <w:p w14:paraId="6D59B939" w14:textId="77777777" w:rsidR="00133CD9" w:rsidRPr="00DF3A4F" w:rsidRDefault="00133CD9" w:rsidP="00133CD9">
      <w:pPr>
        <w:pStyle w:val="JenniRefBody"/>
        <w:spacing w:line="360" w:lineRule="auto"/>
        <w:ind w:left="720" w:hanging="720"/>
        <w:jc w:val="both"/>
        <w:rPr>
          <w:rFonts w:ascii="Arial" w:hAnsi="Arial" w:cs="Arial"/>
          <w:sz w:val="24"/>
          <w:szCs w:val="24"/>
        </w:rPr>
      </w:pPr>
      <w:bookmarkStart w:id="94" w:name="f70e6cbdf6577b04c42cd0bdc4ffdd4a"/>
      <w:proofErr w:type="spellStart"/>
      <w:r w:rsidRPr="00DF3A4F">
        <w:rPr>
          <w:rFonts w:ascii="Arial" w:hAnsi="Arial" w:cs="Arial"/>
          <w:sz w:val="24"/>
          <w:szCs w:val="24"/>
        </w:rPr>
        <w:t>Karangara</w:t>
      </w:r>
      <w:proofErr w:type="spellEnd"/>
      <w:r w:rsidRPr="00DF3A4F">
        <w:rPr>
          <w:rFonts w:ascii="Arial" w:hAnsi="Arial" w:cs="Arial"/>
          <w:sz w:val="24"/>
          <w:szCs w:val="24"/>
        </w:rPr>
        <w:t xml:space="preserve">, R., &amp; Manta, O. (2024). Cybersecurity &amp; Data Privacy in Fintech. In </w:t>
      </w:r>
      <w:r w:rsidRPr="00DF3A4F">
        <w:rPr>
          <w:rFonts w:ascii="Arial" w:hAnsi="Arial" w:cs="Arial"/>
          <w:i/>
          <w:iCs/>
          <w:sz w:val="24"/>
          <w:szCs w:val="24"/>
        </w:rPr>
        <w:t>Preprints.org</w:t>
      </w:r>
      <w:r w:rsidRPr="00DF3A4F">
        <w:rPr>
          <w:rFonts w:ascii="Arial" w:hAnsi="Arial" w:cs="Arial"/>
          <w:sz w:val="24"/>
          <w:szCs w:val="24"/>
        </w:rPr>
        <w:t xml:space="preserve">. https://doi.org/10.20944/preprints202401.2194.v2 </w:t>
      </w:r>
      <w:bookmarkEnd w:id="94"/>
    </w:p>
    <w:p w14:paraId="2623B51F" w14:textId="77777777" w:rsidR="00133CD9" w:rsidRPr="00DF3A4F" w:rsidRDefault="00133CD9" w:rsidP="00133CD9">
      <w:pPr>
        <w:pStyle w:val="JenniRefBody"/>
        <w:spacing w:line="360" w:lineRule="auto"/>
        <w:ind w:left="720" w:hanging="720"/>
        <w:jc w:val="both"/>
        <w:rPr>
          <w:rFonts w:ascii="Arial" w:hAnsi="Arial" w:cs="Arial"/>
          <w:sz w:val="24"/>
          <w:szCs w:val="24"/>
        </w:rPr>
      </w:pPr>
      <w:bookmarkStart w:id="95" w:name="2f013d5ecafaccc565384d00e15ed85b"/>
      <w:proofErr w:type="spellStart"/>
      <w:r w:rsidRPr="00DF3A4F">
        <w:rPr>
          <w:rFonts w:ascii="Arial" w:hAnsi="Arial" w:cs="Arial"/>
          <w:sz w:val="24"/>
          <w:szCs w:val="24"/>
        </w:rPr>
        <w:t>Katuri</w:t>
      </w:r>
      <w:proofErr w:type="spellEnd"/>
      <w:r w:rsidRPr="00DF3A4F">
        <w:rPr>
          <w:rFonts w:ascii="Arial" w:hAnsi="Arial" w:cs="Arial"/>
          <w:sz w:val="24"/>
          <w:szCs w:val="24"/>
        </w:rPr>
        <w:t xml:space="preserve">, S. (2025). Financial Technologies: Digital Payment Systems and Digital Banking - Today’s Dynamics. </w:t>
      </w:r>
      <w:r w:rsidRPr="00DF3A4F">
        <w:rPr>
          <w:rFonts w:ascii="Arial" w:hAnsi="Arial" w:cs="Arial"/>
          <w:i/>
          <w:iCs/>
          <w:sz w:val="24"/>
          <w:szCs w:val="24"/>
        </w:rPr>
        <w:t>International Journal of Scientific Research in Computer Science Engineering and Information Technology</w:t>
      </w:r>
      <w:r w:rsidRPr="00DF3A4F">
        <w:rPr>
          <w:rFonts w:ascii="Arial" w:hAnsi="Arial" w:cs="Arial"/>
          <w:sz w:val="24"/>
          <w:szCs w:val="24"/>
        </w:rPr>
        <w:t xml:space="preserve">, </w:t>
      </w:r>
      <w:r w:rsidRPr="00DF3A4F">
        <w:rPr>
          <w:rFonts w:ascii="Arial" w:hAnsi="Arial" w:cs="Arial"/>
          <w:i/>
          <w:iCs/>
          <w:sz w:val="24"/>
          <w:szCs w:val="24"/>
        </w:rPr>
        <w:t>11</w:t>
      </w:r>
      <w:r w:rsidRPr="00DF3A4F">
        <w:rPr>
          <w:rFonts w:ascii="Arial" w:hAnsi="Arial" w:cs="Arial"/>
          <w:sz w:val="24"/>
          <w:szCs w:val="24"/>
        </w:rPr>
        <w:t xml:space="preserve">(2), 1609–1630. https://doi.org/10.32628/cseit25112533 </w:t>
      </w:r>
      <w:bookmarkEnd w:id="95"/>
    </w:p>
    <w:p w14:paraId="42E83204" w14:textId="77777777" w:rsidR="00133CD9" w:rsidRPr="00DF3A4F" w:rsidRDefault="00133CD9" w:rsidP="00133CD9">
      <w:pPr>
        <w:pStyle w:val="JenniRefBody"/>
        <w:spacing w:line="360" w:lineRule="auto"/>
        <w:ind w:left="720" w:hanging="720"/>
        <w:jc w:val="both"/>
        <w:rPr>
          <w:rFonts w:ascii="Arial" w:hAnsi="Arial" w:cs="Arial"/>
          <w:sz w:val="24"/>
          <w:szCs w:val="24"/>
        </w:rPr>
      </w:pPr>
      <w:bookmarkStart w:id="96" w:name="33bdbc1d98b40ce9efc4ebe602124548"/>
      <w:r w:rsidRPr="00DF3A4F">
        <w:rPr>
          <w:rFonts w:ascii="Arial" w:hAnsi="Arial" w:cs="Arial"/>
          <w:sz w:val="24"/>
          <w:szCs w:val="24"/>
          <w:lang w:val="de-DE"/>
        </w:rPr>
        <w:t xml:space="preserve">Kazan, E., Tan, C., Lim, E. T. K., Sørensen, C., &amp; Damsgaard, J. (2018). </w:t>
      </w:r>
      <w:r w:rsidRPr="00DF3A4F">
        <w:rPr>
          <w:rFonts w:ascii="Arial" w:hAnsi="Arial" w:cs="Arial"/>
          <w:sz w:val="24"/>
          <w:szCs w:val="24"/>
        </w:rPr>
        <w:t xml:space="preserve">Disentangling Digital Platform Competition: The Case of UK Mobile Payment Platforms. </w:t>
      </w:r>
      <w:r w:rsidRPr="00DF3A4F">
        <w:rPr>
          <w:rFonts w:ascii="Arial" w:hAnsi="Arial" w:cs="Arial"/>
          <w:i/>
          <w:iCs/>
          <w:sz w:val="24"/>
          <w:szCs w:val="24"/>
        </w:rPr>
        <w:t>London School of Economics and Political Science Research Online (London School of Economics and Political Science)</w:t>
      </w:r>
      <w:r w:rsidRPr="00DF3A4F">
        <w:rPr>
          <w:rFonts w:ascii="Arial" w:hAnsi="Arial" w:cs="Arial"/>
          <w:sz w:val="24"/>
          <w:szCs w:val="24"/>
        </w:rPr>
        <w:t xml:space="preserve">, </w:t>
      </w:r>
      <w:r w:rsidRPr="00DF3A4F">
        <w:rPr>
          <w:rFonts w:ascii="Arial" w:hAnsi="Arial" w:cs="Arial"/>
          <w:i/>
          <w:iCs/>
          <w:sz w:val="24"/>
          <w:szCs w:val="24"/>
        </w:rPr>
        <w:t>35</w:t>
      </w:r>
      <w:r w:rsidRPr="00DF3A4F">
        <w:rPr>
          <w:rFonts w:ascii="Arial" w:hAnsi="Arial" w:cs="Arial"/>
          <w:sz w:val="24"/>
          <w:szCs w:val="24"/>
        </w:rPr>
        <w:t xml:space="preserve">(1), 180–219. https://doi.org/10.1080/07421222.2018.1440772 </w:t>
      </w:r>
      <w:bookmarkEnd w:id="96"/>
    </w:p>
    <w:p w14:paraId="60D38F6E" w14:textId="77777777" w:rsidR="00133CD9" w:rsidRPr="00DF3A4F" w:rsidRDefault="00133CD9" w:rsidP="00133CD9">
      <w:pPr>
        <w:pStyle w:val="JenniRefBody"/>
        <w:spacing w:line="360" w:lineRule="auto"/>
        <w:ind w:left="720" w:hanging="720"/>
        <w:jc w:val="both"/>
        <w:rPr>
          <w:rFonts w:ascii="Arial" w:hAnsi="Arial" w:cs="Arial"/>
          <w:sz w:val="24"/>
          <w:szCs w:val="24"/>
        </w:rPr>
      </w:pPr>
      <w:bookmarkStart w:id="97" w:name="0b0f4815d8ec81db677c5d21a4308eee"/>
      <w:r w:rsidRPr="00DF3A4F">
        <w:rPr>
          <w:rFonts w:ascii="Arial" w:hAnsi="Arial" w:cs="Arial"/>
          <w:sz w:val="24"/>
          <w:szCs w:val="24"/>
          <w:lang w:val="de-DE"/>
        </w:rPr>
        <w:t xml:space="preserve">Klus, M. F., Lohwasser, T. S., Holotiuk, F., &amp; Moormann, J. (2019). </w:t>
      </w:r>
      <w:r w:rsidRPr="00DF3A4F">
        <w:rPr>
          <w:rFonts w:ascii="Arial" w:hAnsi="Arial" w:cs="Arial"/>
          <w:sz w:val="24"/>
          <w:szCs w:val="24"/>
        </w:rPr>
        <w:t xml:space="preserve">Strategic Alliances between Banks and Fintechs for Digital Innovation: Motives to Collaborate and Types of Interaction. </w:t>
      </w:r>
      <w:r w:rsidRPr="00DF3A4F">
        <w:rPr>
          <w:rFonts w:ascii="Arial" w:hAnsi="Arial" w:cs="Arial"/>
          <w:i/>
          <w:iCs/>
          <w:sz w:val="24"/>
          <w:szCs w:val="24"/>
        </w:rPr>
        <w:t>Pepperdine Digital Commons (Pepperdine University)</w:t>
      </w:r>
      <w:r w:rsidRPr="00DF3A4F">
        <w:rPr>
          <w:rFonts w:ascii="Arial" w:hAnsi="Arial" w:cs="Arial"/>
          <w:sz w:val="24"/>
          <w:szCs w:val="24"/>
        </w:rPr>
        <w:t xml:space="preserve">, </w:t>
      </w:r>
      <w:r w:rsidRPr="00DF3A4F">
        <w:rPr>
          <w:rFonts w:ascii="Arial" w:hAnsi="Arial" w:cs="Arial"/>
          <w:i/>
          <w:iCs/>
          <w:sz w:val="24"/>
          <w:szCs w:val="24"/>
        </w:rPr>
        <w:t>21</w:t>
      </w:r>
      <w:r w:rsidRPr="00DF3A4F">
        <w:rPr>
          <w:rFonts w:ascii="Arial" w:hAnsi="Arial" w:cs="Arial"/>
          <w:sz w:val="24"/>
          <w:szCs w:val="24"/>
        </w:rPr>
        <w:t xml:space="preserve">(1), 1. https://doi.org/10.57229/2373-1761.1346 </w:t>
      </w:r>
      <w:bookmarkEnd w:id="97"/>
    </w:p>
    <w:p w14:paraId="2F324FD8" w14:textId="77777777" w:rsidR="00133CD9" w:rsidRPr="00DF3A4F" w:rsidRDefault="00133CD9" w:rsidP="00133CD9">
      <w:pPr>
        <w:pStyle w:val="JenniRefBody"/>
        <w:spacing w:line="360" w:lineRule="auto"/>
        <w:ind w:left="720" w:hanging="720"/>
        <w:jc w:val="both"/>
        <w:rPr>
          <w:rFonts w:ascii="Arial" w:hAnsi="Arial" w:cs="Arial"/>
          <w:sz w:val="24"/>
          <w:szCs w:val="24"/>
        </w:rPr>
      </w:pPr>
      <w:bookmarkStart w:id="98" w:name="fd384dfe755d36a39a3a275c9eae10d1"/>
      <w:r w:rsidRPr="00DF3A4F">
        <w:rPr>
          <w:rFonts w:ascii="Arial" w:hAnsi="Arial" w:cs="Arial"/>
          <w:sz w:val="24"/>
          <w:szCs w:val="24"/>
        </w:rPr>
        <w:t xml:space="preserve">Kumar, A. (2025). From Cash to Clicks: UPI’s Role in Shaping Digital Payments in India. </w:t>
      </w:r>
      <w:r w:rsidRPr="00DF3A4F">
        <w:rPr>
          <w:rFonts w:ascii="Arial" w:hAnsi="Arial" w:cs="Arial"/>
          <w:i/>
          <w:iCs/>
          <w:sz w:val="24"/>
          <w:szCs w:val="24"/>
        </w:rPr>
        <w:t>COMMERCE RESEARCH REVIEW</w:t>
      </w:r>
      <w:r w:rsidRPr="00DF3A4F">
        <w:rPr>
          <w:rFonts w:ascii="Arial" w:hAnsi="Arial" w:cs="Arial"/>
          <w:sz w:val="24"/>
          <w:szCs w:val="24"/>
        </w:rPr>
        <w:t xml:space="preserve">, </w:t>
      </w:r>
      <w:r w:rsidRPr="00DF3A4F">
        <w:rPr>
          <w:rFonts w:ascii="Arial" w:hAnsi="Arial" w:cs="Arial"/>
          <w:i/>
          <w:iCs/>
          <w:sz w:val="24"/>
          <w:szCs w:val="24"/>
        </w:rPr>
        <w:t>2</w:t>
      </w:r>
      <w:r w:rsidRPr="00DF3A4F">
        <w:rPr>
          <w:rFonts w:ascii="Arial" w:hAnsi="Arial" w:cs="Arial"/>
          <w:sz w:val="24"/>
          <w:szCs w:val="24"/>
        </w:rPr>
        <w:t xml:space="preserve">(2), 37–44. https://doi.org/10.21844/crr.v2i02.1131 </w:t>
      </w:r>
      <w:bookmarkEnd w:id="98"/>
    </w:p>
    <w:p w14:paraId="382DE5FD" w14:textId="77777777" w:rsidR="00133CD9" w:rsidRPr="00DF3A4F" w:rsidRDefault="00133CD9" w:rsidP="00133CD9">
      <w:pPr>
        <w:pStyle w:val="JenniRefBody"/>
        <w:spacing w:line="360" w:lineRule="auto"/>
        <w:ind w:left="720" w:hanging="720"/>
        <w:jc w:val="both"/>
        <w:rPr>
          <w:rFonts w:ascii="Arial" w:hAnsi="Arial" w:cs="Arial"/>
          <w:sz w:val="24"/>
          <w:szCs w:val="24"/>
        </w:rPr>
      </w:pPr>
      <w:bookmarkStart w:id="99" w:name="8859b5b70729d898daef13b5cd354dfb"/>
      <w:r w:rsidRPr="00DF3A4F">
        <w:rPr>
          <w:rFonts w:ascii="Arial" w:hAnsi="Arial" w:cs="Arial"/>
          <w:sz w:val="24"/>
          <w:szCs w:val="24"/>
        </w:rPr>
        <w:t xml:space="preserve">Lee, I., &amp; Shin, Y. J. (2017). Fintech: Ecosystem, business models, investment decisions, and challenges. </w:t>
      </w:r>
      <w:r w:rsidRPr="00DF3A4F">
        <w:rPr>
          <w:rFonts w:ascii="Arial" w:hAnsi="Arial" w:cs="Arial"/>
          <w:i/>
          <w:iCs/>
          <w:sz w:val="24"/>
          <w:szCs w:val="24"/>
        </w:rPr>
        <w:t>Business Horizons</w:t>
      </w:r>
      <w:r w:rsidRPr="00DF3A4F">
        <w:rPr>
          <w:rFonts w:ascii="Arial" w:hAnsi="Arial" w:cs="Arial"/>
          <w:sz w:val="24"/>
          <w:szCs w:val="24"/>
        </w:rPr>
        <w:t xml:space="preserve">, </w:t>
      </w:r>
      <w:r w:rsidRPr="00DF3A4F">
        <w:rPr>
          <w:rFonts w:ascii="Arial" w:hAnsi="Arial" w:cs="Arial"/>
          <w:i/>
          <w:iCs/>
          <w:sz w:val="24"/>
          <w:szCs w:val="24"/>
        </w:rPr>
        <w:t>61</w:t>
      </w:r>
      <w:r w:rsidRPr="00DF3A4F">
        <w:rPr>
          <w:rFonts w:ascii="Arial" w:hAnsi="Arial" w:cs="Arial"/>
          <w:sz w:val="24"/>
          <w:szCs w:val="24"/>
        </w:rPr>
        <w:t xml:space="preserve">(1), 35–46. https://doi.org/10.1016/j.bushor.2017.09.003 </w:t>
      </w:r>
      <w:bookmarkEnd w:id="99"/>
    </w:p>
    <w:p w14:paraId="53DCF08D" w14:textId="77777777" w:rsidR="00133CD9" w:rsidRPr="00DF3A4F" w:rsidRDefault="00133CD9" w:rsidP="00133CD9">
      <w:pPr>
        <w:spacing w:line="360" w:lineRule="auto"/>
        <w:ind w:left="720" w:hanging="720"/>
        <w:jc w:val="both"/>
        <w:rPr>
          <w:rFonts w:ascii="Arial" w:hAnsi="Arial" w:cs="Arial"/>
          <w:sz w:val="24"/>
          <w:szCs w:val="24"/>
        </w:rPr>
      </w:pPr>
      <w:r w:rsidRPr="00DF3A4F">
        <w:rPr>
          <w:rFonts w:ascii="Arial" w:hAnsi="Arial" w:cs="Arial"/>
          <w:sz w:val="24"/>
          <w:szCs w:val="24"/>
        </w:rPr>
        <w:t xml:space="preserve">Meydan, C. H., &amp; Akkaş, H. (2024). The role of triangulation in qualitative research: Converging perspectives. In </w:t>
      </w:r>
      <w:r w:rsidRPr="00DF3A4F">
        <w:rPr>
          <w:rFonts w:ascii="Arial" w:hAnsi="Arial" w:cs="Arial"/>
          <w:i/>
          <w:iCs/>
          <w:sz w:val="24"/>
          <w:szCs w:val="24"/>
        </w:rPr>
        <w:t>Principles of Conducting Qualitative Research in Multicultural Settings</w:t>
      </w:r>
      <w:r w:rsidRPr="00DF3A4F">
        <w:rPr>
          <w:rFonts w:ascii="Arial" w:hAnsi="Arial" w:cs="Arial"/>
          <w:sz w:val="24"/>
          <w:szCs w:val="24"/>
        </w:rPr>
        <w:t xml:space="preserve"> (pp. 101–132). IGI Global.</w:t>
      </w:r>
    </w:p>
    <w:p w14:paraId="5E0542AA" w14:textId="77777777" w:rsidR="00133CD9" w:rsidRPr="00DF3A4F" w:rsidRDefault="00133CD9" w:rsidP="00133CD9">
      <w:pPr>
        <w:pStyle w:val="JenniRefBody"/>
        <w:spacing w:line="360" w:lineRule="auto"/>
        <w:ind w:left="720" w:hanging="720"/>
        <w:jc w:val="both"/>
        <w:rPr>
          <w:rFonts w:ascii="Arial" w:hAnsi="Arial" w:cs="Arial"/>
          <w:sz w:val="24"/>
          <w:szCs w:val="24"/>
        </w:rPr>
      </w:pPr>
      <w:r w:rsidRPr="00DF3A4F">
        <w:rPr>
          <w:rFonts w:ascii="Arial" w:hAnsi="Arial" w:cs="Arial"/>
          <w:sz w:val="24"/>
          <w:szCs w:val="24"/>
        </w:rPr>
        <w:t xml:space="preserve">Monetary Authority of Singapore. (2023). </w:t>
      </w:r>
      <w:r w:rsidRPr="00DF3A4F">
        <w:rPr>
          <w:rFonts w:ascii="Arial" w:hAnsi="Arial" w:cs="Arial"/>
          <w:i/>
          <w:iCs/>
          <w:sz w:val="24"/>
          <w:szCs w:val="24"/>
        </w:rPr>
        <w:t>Annual report 2022/23</w:t>
      </w:r>
      <w:r w:rsidRPr="00DF3A4F">
        <w:rPr>
          <w:rFonts w:ascii="Arial" w:hAnsi="Arial" w:cs="Arial"/>
          <w:sz w:val="24"/>
          <w:szCs w:val="24"/>
        </w:rPr>
        <w:t xml:space="preserve">. </w:t>
      </w:r>
      <w:hyperlink r:id="rId10" w:history="1">
        <w:r w:rsidRPr="00DF3A4F">
          <w:rPr>
            <w:rStyle w:val="Hyperlink"/>
            <w:rFonts w:ascii="Arial" w:hAnsi="Arial" w:cs="Arial"/>
            <w:sz w:val="24"/>
            <w:szCs w:val="24"/>
          </w:rPr>
          <w:t>https://www.mas.gov.sg/publications/annual-report/2023/annual-report-2022-2023</w:t>
        </w:r>
      </w:hyperlink>
      <w:r w:rsidRPr="00DF3A4F">
        <w:rPr>
          <w:rFonts w:ascii="Arial" w:hAnsi="Arial" w:cs="Arial"/>
          <w:sz w:val="24"/>
          <w:szCs w:val="24"/>
        </w:rPr>
        <w:t xml:space="preserve"> </w:t>
      </w:r>
    </w:p>
    <w:p w14:paraId="0ADB4DC0" w14:textId="77777777" w:rsidR="00133CD9" w:rsidRPr="00DF3A4F" w:rsidRDefault="00133CD9" w:rsidP="00133CD9">
      <w:pPr>
        <w:pStyle w:val="JenniRefBody"/>
        <w:spacing w:line="360" w:lineRule="auto"/>
        <w:ind w:left="720" w:hanging="720"/>
        <w:jc w:val="both"/>
        <w:rPr>
          <w:rFonts w:ascii="Arial" w:hAnsi="Arial" w:cs="Arial"/>
          <w:sz w:val="24"/>
          <w:szCs w:val="24"/>
        </w:rPr>
      </w:pPr>
      <w:bookmarkStart w:id="100" w:name="3bfd38c4ac73ad36f1fd10a78a4bbeb2"/>
      <w:r w:rsidRPr="00DF3A4F">
        <w:rPr>
          <w:rFonts w:ascii="Arial" w:hAnsi="Arial" w:cs="Arial"/>
          <w:sz w:val="24"/>
          <w:szCs w:val="24"/>
          <w:lang w:val="de-DE"/>
        </w:rPr>
        <w:t xml:space="preserve">Nweke, G. I., &amp; Nweke, O. C. (2024). </w:t>
      </w:r>
      <w:r w:rsidRPr="00DF3A4F">
        <w:rPr>
          <w:rFonts w:ascii="Arial" w:hAnsi="Arial" w:cs="Arial"/>
          <w:sz w:val="24"/>
          <w:szCs w:val="24"/>
        </w:rPr>
        <w:t xml:space="preserve">Harmonising Strategy, Innovation, and Law: Navigating the Path to Ethical and Sustainable Progress. </w:t>
      </w:r>
      <w:r w:rsidRPr="00DF3A4F">
        <w:rPr>
          <w:rFonts w:ascii="Arial" w:hAnsi="Arial" w:cs="Arial"/>
          <w:i/>
          <w:iCs/>
          <w:sz w:val="24"/>
          <w:szCs w:val="24"/>
        </w:rPr>
        <w:t>Beijing Law Review</w:t>
      </w:r>
      <w:r w:rsidRPr="00DF3A4F">
        <w:rPr>
          <w:rFonts w:ascii="Arial" w:hAnsi="Arial" w:cs="Arial"/>
          <w:sz w:val="24"/>
          <w:szCs w:val="24"/>
        </w:rPr>
        <w:t xml:space="preserve">, </w:t>
      </w:r>
      <w:r w:rsidRPr="00DF3A4F">
        <w:rPr>
          <w:rFonts w:ascii="Arial" w:hAnsi="Arial" w:cs="Arial"/>
          <w:i/>
          <w:iCs/>
          <w:sz w:val="24"/>
          <w:szCs w:val="24"/>
        </w:rPr>
        <w:t>15</w:t>
      </w:r>
      <w:r w:rsidRPr="00DF3A4F">
        <w:rPr>
          <w:rFonts w:ascii="Arial" w:hAnsi="Arial" w:cs="Arial"/>
          <w:sz w:val="24"/>
          <w:szCs w:val="24"/>
        </w:rPr>
        <w:t xml:space="preserve">(1), 200–218. https://doi.org/10.4236/blr.2024.151013 </w:t>
      </w:r>
      <w:bookmarkEnd w:id="100"/>
    </w:p>
    <w:p w14:paraId="1A4277FF" w14:textId="77777777" w:rsidR="00133CD9" w:rsidRPr="00DF3A4F" w:rsidRDefault="00133CD9" w:rsidP="00133CD9">
      <w:pPr>
        <w:pStyle w:val="JenniRefBody"/>
        <w:spacing w:line="360" w:lineRule="auto"/>
        <w:ind w:left="720" w:hanging="720"/>
        <w:jc w:val="both"/>
        <w:rPr>
          <w:rFonts w:ascii="Arial" w:hAnsi="Arial" w:cs="Arial"/>
          <w:sz w:val="24"/>
          <w:szCs w:val="24"/>
        </w:rPr>
      </w:pPr>
      <w:bookmarkStart w:id="101" w:name="0d3c6edf32cb48d2df8d6956bfa1e086"/>
      <w:proofErr w:type="spellStart"/>
      <w:r w:rsidRPr="00DF3A4F">
        <w:rPr>
          <w:rFonts w:ascii="Arial" w:hAnsi="Arial" w:cs="Arial"/>
          <w:sz w:val="24"/>
          <w:szCs w:val="24"/>
        </w:rPr>
        <w:t>Obiki-Osafiele</w:t>
      </w:r>
      <w:proofErr w:type="spellEnd"/>
      <w:r w:rsidRPr="00DF3A4F">
        <w:rPr>
          <w:rFonts w:ascii="Arial" w:hAnsi="Arial" w:cs="Arial"/>
          <w:sz w:val="24"/>
          <w:szCs w:val="24"/>
        </w:rPr>
        <w:t xml:space="preserve">, A. N., Agu, E. E., &amp; Chiekezie, N. R. (2024). Fintech integration in Small and Medium Enterprises: Enhancing economic resilience and operational efficiency. </w:t>
      </w:r>
      <w:r w:rsidRPr="00DF3A4F">
        <w:rPr>
          <w:rFonts w:ascii="Arial" w:hAnsi="Arial" w:cs="Arial"/>
          <w:i/>
          <w:iCs/>
          <w:sz w:val="24"/>
          <w:szCs w:val="24"/>
        </w:rPr>
        <w:t>Finance &amp; Accounting Research Journal</w:t>
      </w:r>
      <w:r w:rsidRPr="00DF3A4F">
        <w:rPr>
          <w:rFonts w:ascii="Arial" w:hAnsi="Arial" w:cs="Arial"/>
          <w:sz w:val="24"/>
          <w:szCs w:val="24"/>
        </w:rPr>
        <w:t xml:space="preserve">, </w:t>
      </w:r>
      <w:r w:rsidRPr="00DF3A4F">
        <w:rPr>
          <w:rFonts w:ascii="Arial" w:hAnsi="Arial" w:cs="Arial"/>
          <w:i/>
          <w:iCs/>
          <w:sz w:val="24"/>
          <w:szCs w:val="24"/>
        </w:rPr>
        <w:t>6</w:t>
      </w:r>
      <w:r w:rsidRPr="00DF3A4F">
        <w:rPr>
          <w:rFonts w:ascii="Arial" w:hAnsi="Arial" w:cs="Arial"/>
          <w:sz w:val="24"/>
          <w:szCs w:val="24"/>
        </w:rPr>
        <w:t xml:space="preserve">(8), 1485–1500. https://doi.org/10.51594/farj.v6i8.1435 </w:t>
      </w:r>
      <w:bookmarkEnd w:id="101"/>
    </w:p>
    <w:p w14:paraId="030242CA" w14:textId="77777777" w:rsidR="00133CD9" w:rsidRPr="00DF3A4F" w:rsidRDefault="00133CD9" w:rsidP="00133CD9">
      <w:pPr>
        <w:pStyle w:val="JenniRefBody"/>
        <w:spacing w:line="360" w:lineRule="auto"/>
        <w:ind w:left="720" w:hanging="720"/>
        <w:jc w:val="both"/>
        <w:rPr>
          <w:rFonts w:ascii="Arial" w:hAnsi="Arial" w:cs="Arial"/>
          <w:sz w:val="24"/>
          <w:szCs w:val="24"/>
        </w:rPr>
      </w:pPr>
      <w:bookmarkStart w:id="102" w:name="1e3704a00752c3691d790ae3a074af7b"/>
      <w:r w:rsidRPr="00DF3A4F">
        <w:rPr>
          <w:rFonts w:ascii="Arial" w:hAnsi="Arial" w:cs="Arial"/>
          <w:sz w:val="24"/>
          <w:szCs w:val="24"/>
        </w:rPr>
        <w:t xml:space="preserve">Oliveira, T., Thomas, M., &amp; Baptista, G. (2021). Mobile payment adoption: An updated review. </w:t>
      </w:r>
      <w:r w:rsidRPr="00DF3A4F">
        <w:rPr>
          <w:rFonts w:ascii="Arial" w:hAnsi="Arial" w:cs="Arial"/>
          <w:i/>
          <w:iCs/>
          <w:sz w:val="24"/>
          <w:szCs w:val="24"/>
        </w:rPr>
        <w:t>Information Systems Frontiers</w:t>
      </w:r>
      <w:r w:rsidRPr="00DF3A4F">
        <w:rPr>
          <w:rFonts w:ascii="Arial" w:hAnsi="Arial" w:cs="Arial"/>
          <w:sz w:val="24"/>
          <w:szCs w:val="24"/>
        </w:rPr>
        <w:t xml:space="preserve">, </w:t>
      </w:r>
      <w:r w:rsidRPr="00DF3A4F">
        <w:rPr>
          <w:rFonts w:ascii="Arial" w:hAnsi="Arial" w:cs="Arial"/>
          <w:i/>
          <w:iCs/>
          <w:sz w:val="24"/>
          <w:szCs w:val="24"/>
        </w:rPr>
        <w:t>23</w:t>
      </w:r>
      <w:r w:rsidRPr="00DF3A4F">
        <w:rPr>
          <w:rFonts w:ascii="Arial" w:hAnsi="Arial" w:cs="Arial"/>
          <w:sz w:val="24"/>
          <w:szCs w:val="24"/>
        </w:rPr>
        <w:t xml:space="preserve">(2), 305–322. </w:t>
      </w:r>
      <w:bookmarkEnd w:id="102"/>
    </w:p>
    <w:p w14:paraId="08C8E7FF" w14:textId="77777777" w:rsidR="00133CD9" w:rsidRPr="00DF3A4F" w:rsidRDefault="00133CD9" w:rsidP="00133CD9">
      <w:pPr>
        <w:ind w:left="720" w:hanging="720"/>
        <w:rPr>
          <w:rFonts w:ascii="Arial" w:hAnsi="Arial" w:cs="Arial"/>
          <w:sz w:val="24"/>
          <w:szCs w:val="24"/>
        </w:rPr>
      </w:pPr>
      <w:r w:rsidRPr="00DF3A4F">
        <w:rPr>
          <w:rFonts w:ascii="Arial" w:hAnsi="Arial" w:cs="Arial"/>
          <w:sz w:val="24"/>
          <w:szCs w:val="24"/>
        </w:rPr>
        <w:t xml:space="preserve">One97 Communications Limited. (2025). </w:t>
      </w:r>
      <w:r w:rsidRPr="00DF3A4F">
        <w:rPr>
          <w:rFonts w:ascii="Arial" w:hAnsi="Arial" w:cs="Arial"/>
          <w:i/>
          <w:iCs/>
          <w:sz w:val="24"/>
          <w:szCs w:val="24"/>
        </w:rPr>
        <w:t>Annual report 2024–25</w:t>
      </w:r>
      <w:r w:rsidRPr="00DF3A4F">
        <w:rPr>
          <w:rFonts w:ascii="Arial" w:hAnsi="Arial" w:cs="Arial"/>
          <w:sz w:val="24"/>
          <w:szCs w:val="24"/>
        </w:rPr>
        <w:t>. Paytm. https://www.equitymaster.com/research-it/annual-results-analysis/PAYTM/PAYTM-ONE-97-COMMUNICATIONS-2024-25-Annual-Report-Analysis/12715</w:t>
      </w:r>
    </w:p>
    <w:p w14:paraId="1E78E65A" w14:textId="77777777" w:rsidR="00133CD9" w:rsidRPr="00DF3A4F" w:rsidRDefault="00133CD9" w:rsidP="00133CD9">
      <w:pPr>
        <w:pStyle w:val="JenniRefBody"/>
        <w:spacing w:line="360" w:lineRule="auto"/>
        <w:ind w:left="720" w:hanging="720"/>
        <w:jc w:val="both"/>
        <w:rPr>
          <w:rFonts w:ascii="Arial" w:hAnsi="Arial" w:cs="Arial"/>
          <w:sz w:val="24"/>
          <w:szCs w:val="24"/>
        </w:rPr>
      </w:pPr>
      <w:bookmarkStart w:id="103" w:name="2bea314cad23ea7ea4a50c4aebb0b1bf"/>
      <w:r w:rsidRPr="00DF3A4F">
        <w:rPr>
          <w:rFonts w:ascii="Arial" w:hAnsi="Arial" w:cs="Arial"/>
          <w:sz w:val="24"/>
          <w:szCs w:val="24"/>
        </w:rPr>
        <w:t xml:space="preserve">Pandey, P., Khan, B. M., &amp; Singla, H. K. (2021). DIGITAL PAYMENTS: INDIA GEARS UP THE DIGITAL FAST LANE BY INNOVATION ZIPPING. </w:t>
      </w:r>
      <w:r w:rsidRPr="00DF3A4F">
        <w:rPr>
          <w:rFonts w:ascii="Arial" w:hAnsi="Arial" w:cs="Arial"/>
          <w:i/>
          <w:iCs/>
          <w:sz w:val="24"/>
          <w:szCs w:val="24"/>
        </w:rPr>
        <w:t>PARIPEX INDIAN JOURNAL OF RESEARCH</w:t>
      </w:r>
      <w:r w:rsidRPr="00DF3A4F">
        <w:rPr>
          <w:rFonts w:ascii="Arial" w:hAnsi="Arial" w:cs="Arial"/>
          <w:sz w:val="24"/>
          <w:szCs w:val="24"/>
        </w:rPr>
        <w:t xml:space="preserve">, 44–47. https://doi.org/10.36106/paripex/6406903 </w:t>
      </w:r>
      <w:bookmarkEnd w:id="103"/>
    </w:p>
    <w:p w14:paraId="1F29C475" w14:textId="77777777" w:rsidR="00133CD9" w:rsidRPr="00DF3A4F" w:rsidRDefault="00133CD9" w:rsidP="00133CD9">
      <w:pPr>
        <w:pStyle w:val="JenniRefBody"/>
        <w:spacing w:line="360" w:lineRule="auto"/>
        <w:ind w:left="720" w:hanging="720"/>
        <w:jc w:val="both"/>
        <w:rPr>
          <w:rFonts w:ascii="Arial" w:hAnsi="Arial" w:cs="Arial"/>
          <w:sz w:val="24"/>
          <w:szCs w:val="24"/>
        </w:rPr>
      </w:pPr>
      <w:r w:rsidRPr="00DF3A4F">
        <w:rPr>
          <w:rFonts w:ascii="Arial" w:hAnsi="Arial" w:cs="Arial"/>
          <w:sz w:val="24"/>
          <w:szCs w:val="24"/>
        </w:rPr>
        <w:t xml:space="preserve">Porter, M. E. (1985). </w:t>
      </w:r>
      <w:r w:rsidRPr="00DF3A4F">
        <w:rPr>
          <w:rFonts w:ascii="Arial" w:hAnsi="Arial" w:cs="Arial"/>
          <w:i/>
          <w:iCs/>
          <w:sz w:val="24"/>
          <w:szCs w:val="24"/>
        </w:rPr>
        <w:t>Competitive advantage: Creating and sustaining superior performance</w:t>
      </w:r>
      <w:r w:rsidRPr="00DF3A4F">
        <w:rPr>
          <w:rFonts w:ascii="Arial" w:hAnsi="Arial" w:cs="Arial"/>
          <w:sz w:val="24"/>
          <w:szCs w:val="24"/>
        </w:rPr>
        <w:t>. Free Press.</w:t>
      </w:r>
    </w:p>
    <w:p w14:paraId="206288D2" w14:textId="77777777" w:rsidR="00133CD9" w:rsidRPr="00DF3A4F" w:rsidRDefault="00133CD9" w:rsidP="00133CD9">
      <w:pPr>
        <w:pStyle w:val="JenniRefBody"/>
        <w:spacing w:line="360" w:lineRule="auto"/>
        <w:ind w:left="720" w:hanging="720"/>
        <w:jc w:val="both"/>
        <w:rPr>
          <w:rFonts w:ascii="Arial" w:hAnsi="Arial" w:cs="Arial"/>
          <w:sz w:val="24"/>
          <w:szCs w:val="24"/>
        </w:rPr>
      </w:pPr>
      <w:bookmarkStart w:id="104" w:name="67de6ed93415c573aa2ad8a4037dfebc"/>
      <w:r w:rsidRPr="00DF3A4F">
        <w:rPr>
          <w:rFonts w:ascii="Arial" w:hAnsi="Arial" w:cs="Arial"/>
          <w:sz w:val="24"/>
          <w:szCs w:val="24"/>
        </w:rPr>
        <w:t xml:space="preserve">Reuber, A. R., Tippmann, E., &amp; Monaghan, S. (2021). Global scaling as a logic of </w:t>
      </w:r>
      <w:proofErr w:type="spellStart"/>
      <w:r w:rsidRPr="00DF3A4F">
        <w:rPr>
          <w:rFonts w:ascii="Arial" w:hAnsi="Arial" w:cs="Arial"/>
          <w:sz w:val="24"/>
          <w:szCs w:val="24"/>
        </w:rPr>
        <w:t>multinationalization</w:t>
      </w:r>
      <w:proofErr w:type="spellEnd"/>
      <w:r w:rsidRPr="00DF3A4F">
        <w:rPr>
          <w:rFonts w:ascii="Arial" w:hAnsi="Arial" w:cs="Arial"/>
          <w:sz w:val="24"/>
          <w:szCs w:val="24"/>
        </w:rPr>
        <w:t xml:space="preserve">. </w:t>
      </w:r>
      <w:r w:rsidRPr="00DF3A4F">
        <w:rPr>
          <w:rFonts w:ascii="Arial" w:hAnsi="Arial" w:cs="Arial"/>
          <w:i/>
          <w:iCs/>
          <w:sz w:val="24"/>
          <w:szCs w:val="24"/>
        </w:rPr>
        <w:t>Journal of International Business Studies</w:t>
      </w:r>
      <w:r w:rsidRPr="00DF3A4F">
        <w:rPr>
          <w:rFonts w:ascii="Arial" w:hAnsi="Arial" w:cs="Arial"/>
          <w:sz w:val="24"/>
          <w:szCs w:val="24"/>
        </w:rPr>
        <w:t xml:space="preserve">, </w:t>
      </w:r>
      <w:r w:rsidRPr="00DF3A4F">
        <w:rPr>
          <w:rFonts w:ascii="Arial" w:hAnsi="Arial" w:cs="Arial"/>
          <w:i/>
          <w:iCs/>
          <w:sz w:val="24"/>
          <w:szCs w:val="24"/>
        </w:rPr>
        <w:t>52</w:t>
      </w:r>
      <w:r w:rsidRPr="00DF3A4F">
        <w:rPr>
          <w:rFonts w:ascii="Arial" w:hAnsi="Arial" w:cs="Arial"/>
          <w:sz w:val="24"/>
          <w:szCs w:val="24"/>
        </w:rPr>
        <w:t xml:space="preserve">(6), 1031–1046. https://doi.org/10.1057/s41267-021-00417-2 </w:t>
      </w:r>
      <w:bookmarkEnd w:id="104"/>
    </w:p>
    <w:p w14:paraId="7F27A6FB" w14:textId="77777777" w:rsidR="00133CD9" w:rsidRPr="00DF3A4F" w:rsidRDefault="00133CD9" w:rsidP="00133CD9">
      <w:pPr>
        <w:pStyle w:val="JenniRefBody"/>
        <w:spacing w:line="360" w:lineRule="auto"/>
        <w:ind w:left="720" w:hanging="720"/>
        <w:jc w:val="both"/>
        <w:rPr>
          <w:rFonts w:ascii="Arial" w:hAnsi="Arial" w:cs="Arial"/>
          <w:sz w:val="24"/>
          <w:szCs w:val="24"/>
        </w:rPr>
      </w:pPr>
      <w:r w:rsidRPr="00DF3A4F">
        <w:rPr>
          <w:rFonts w:ascii="Arial" w:hAnsi="Arial" w:cs="Arial"/>
          <w:sz w:val="24"/>
          <w:szCs w:val="24"/>
        </w:rPr>
        <w:t xml:space="preserve">Root, F. R. (1994). </w:t>
      </w:r>
      <w:r w:rsidRPr="00DF3A4F">
        <w:rPr>
          <w:rFonts w:ascii="Arial" w:hAnsi="Arial" w:cs="Arial"/>
          <w:i/>
          <w:iCs/>
          <w:sz w:val="24"/>
          <w:szCs w:val="24"/>
        </w:rPr>
        <w:t>Entry strategies for international markets</w:t>
      </w:r>
      <w:r w:rsidRPr="00DF3A4F">
        <w:rPr>
          <w:rFonts w:ascii="Arial" w:hAnsi="Arial" w:cs="Arial"/>
          <w:sz w:val="24"/>
          <w:szCs w:val="24"/>
        </w:rPr>
        <w:t>. Lexington Books.</w:t>
      </w:r>
    </w:p>
    <w:p w14:paraId="2F3DE6B4" w14:textId="77777777" w:rsidR="00133CD9" w:rsidRPr="00DF3A4F" w:rsidRDefault="00133CD9" w:rsidP="00133CD9">
      <w:pPr>
        <w:pStyle w:val="JenniRefBody"/>
        <w:spacing w:line="360" w:lineRule="auto"/>
        <w:ind w:left="720" w:hanging="720"/>
        <w:jc w:val="both"/>
        <w:rPr>
          <w:rFonts w:ascii="Arial" w:hAnsi="Arial" w:cs="Arial"/>
          <w:sz w:val="24"/>
          <w:szCs w:val="24"/>
        </w:rPr>
      </w:pPr>
      <w:r w:rsidRPr="00DF3A4F">
        <w:rPr>
          <w:rFonts w:ascii="Arial" w:hAnsi="Arial" w:cs="Arial"/>
          <w:sz w:val="24"/>
          <w:szCs w:val="24"/>
        </w:rPr>
        <w:t xml:space="preserve">Saunders, M., Lewis, P., &amp; Thornhill, A. (2023). </w:t>
      </w:r>
      <w:r w:rsidRPr="00DF3A4F">
        <w:rPr>
          <w:rFonts w:ascii="Arial" w:hAnsi="Arial" w:cs="Arial"/>
          <w:i/>
          <w:iCs/>
          <w:sz w:val="24"/>
          <w:szCs w:val="24"/>
        </w:rPr>
        <w:t>Research methods for business students</w:t>
      </w:r>
      <w:r w:rsidRPr="00DF3A4F">
        <w:rPr>
          <w:rFonts w:ascii="Arial" w:hAnsi="Arial" w:cs="Arial"/>
          <w:sz w:val="24"/>
          <w:szCs w:val="24"/>
        </w:rPr>
        <w:t xml:space="preserve"> (9th ed.). Pearson.</w:t>
      </w:r>
    </w:p>
    <w:p w14:paraId="74C85ED4" w14:textId="77777777" w:rsidR="00133CD9" w:rsidRPr="00DF3A4F" w:rsidRDefault="00133CD9" w:rsidP="00133CD9">
      <w:pPr>
        <w:pStyle w:val="JenniRefBody"/>
        <w:spacing w:line="360" w:lineRule="auto"/>
        <w:ind w:left="720" w:hanging="720"/>
        <w:jc w:val="both"/>
        <w:rPr>
          <w:rFonts w:ascii="Arial" w:hAnsi="Arial" w:cs="Arial"/>
          <w:sz w:val="24"/>
          <w:szCs w:val="24"/>
        </w:rPr>
      </w:pPr>
      <w:bookmarkStart w:id="105" w:name="3f42c0b02c5beac83903612ef2880c7c"/>
      <w:r w:rsidRPr="00DF3A4F">
        <w:rPr>
          <w:rFonts w:ascii="Arial" w:hAnsi="Arial" w:cs="Arial"/>
          <w:sz w:val="24"/>
          <w:szCs w:val="24"/>
        </w:rPr>
        <w:t xml:space="preserve">Sethupathy, U. K. A. (2025). Evolving Frameworks in Digital Payment Security: Technological Innovations, Economic Impact, and Consumer Trust Dynamics. </w:t>
      </w:r>
      <w:r w:rsidRPr="00DF3A4F">
        <w:rPr>
          <w:rFonts w:ascii="Arial" w:hAnsi="Arial" w:cs="Arial"/>
          <w:i/>
          <w:iCs/>
          <w:sz w:val="24"/>
          <w:szCs w:val="24"/>
        </w:rPr>
        <w:t>International Journal of Computational and Experimental Science and Engineering</w:t>
      </w:r>
      <w:r w:rsidRPr="00DF3A4F">
        <w:rPr>
          <w:rFonts w:ascii="Arial" w:hAnsi="Arial" w:cs="Arial"/>
          <w:sz w:val="24"/>
          <w:szCs w:val="24"/>
        </w:rPr>
        <w:t xml:space="preserve">, </w:t>
      </w:r>
      <w:r w:rsidRPr="00DF3A4F">
        <w:rPr>
          <w:rFonts w:ascii="Arial" w:hAnsi="Arial" w:cs="Arial"/>
          <w:i/>
          <w:iCs/>
          <w:sz w:val="24"/>
          <w:szCs w:val="24"/>
        </w:rPr>
        <w:t>11</w:t>
      </w:r>
      <w:r w:rsidRPr="00DF3A4F">
        <w:rPr>
          <w:rFonts w:ascii="Arial" w:hAnsi="Arial" w:cs="Arial"/>
          <w:sz w:val="24"/>
          <w:szCs w:val="24"/>
        </w:rPr>
        <w:t xml:space="preserve">(3). https://doi.org/10.22399/ijcesen.3893 </w:t>
      </w:r>
      <w:bookmarkEnd w:id="105"/>
    </w:p>
    <w:p w14:paraId="45EAEA3E" w14:textId="77777777" w:rsidR="00133CD9" w:rsidRPr="00DF3A4F" w:rsidRDefault="00133CD9" w:rsidP="00133CD9">
      <w:pPr>
        <w:pStyle w:val="JenniRefBody"/>
        <w:spacing w:line="360" w:lineRule="auto"/>
        <w:ind w:left="720" w:hanging="720"/>
        <w:jc w:val="both"/>
        <w:rPr>
          <w:rFonts w:ascii="Arial" w:hAnsi="Arial" w:cs="Arial"/>
          <w:sz w:val="24"/>
          <w:szCs w:val="24"/>
        </w:rPr>
      </w:pPr>
      <w:bookmarkStart w:id="106" w:name="6a330736e7fc39a07f5c0e975290aab1"/>
      <w:r w:rsidRPr="00DF3A4F">
        <w:rPr>
          <w:rFonts w:ascii="Arial" w:hAnsi="Arial" w:cs="Arial"/>
          <w:sz w:val="24"/>
          <w:szCs w:val="24"/>
        </w:rPr>
        <w:t xml:space="preserve">Sharma, S. K., Singh, G., &amp; Gupta, M. (2023). Factors influencing digital payment adoption in emerging economies. </w:t>
      </w:r>
      <w:r w:rsidRPr="00DF3A4F">
        <w:rPr>
          <w:rFonts w:ascii="Arial" w:hAnsi="Arial" w:cs="Arial"/>
          <w:i/>
          <w:iCs/>
          <w:sz w:val="24"/>
          <w:szCs w:val="24"/>
        </w:rPr>
        <w:t>Technological Forecasting and Social Change</w:t>
      </w:r>
      <w:r w:rsidRPr="00DF3A4F">
        <w:rPr>
          <w:rFonts w:ascii="Arial" w:hAnsi="Arial" w:cs="Arial"/>
          <w:sz w:val="24"/>
          <w:szCs w:val="24"/>
        </w:rPr>
        <w:t xml:space="preserve">, </w:t>
      </w:r>
      <w:r w:rsidRPr="00DF3A4F">
        <w:rPr>
          <w:rFonts w:ascii="Arial" w:hAnsi="Arial" w:cs="Arial"/>
          <w:i/>
          <w:iCs/>
          <w:sz w:val="24"/>
          <w:szCs w:val="24"/>
        </w:rPr>
        <w:t>188</w:t>
      </w:r>
      <w:r w:rsidRPr="00DF3A4F">
        <w:rPr>
          <w:rFonts w:ascii="Arial" w:hAnsi="Arial" w:cs="Arial"/>
          <w:sz w:val="24"/>
          <w:szCs w:val="24"/>
        </w:rPr>
        <w:t xml:space="preserve">. </w:t>
      </w:r>
      <w:bookmarkEnd w:id="106"/>
    </w:p>
    <w:p w14:paraId="602936D8" w14:textId="77777777" w:rsidR="00133CD9" w:rsidRPr="00DF3A4F" w:rsidRDefault="00133CD9" w:rsidP="00133CD9">
      <w:pPr>
        <w:pStyle w:val="JenniRefBody"/>
        <w:spacing w:line="360" w:lineRule="auto"/>
        <w:ind w:left="720" w:hanging="720"/>
        <w:jc w:val="both"/>
        <w:rPr>
          <w:rFonts w:ascii="Arial" w:hAnsi="Arial" w:cs="Arial"/>
          <w:sz w:val="24"/>
          <w:szCs w:val="24"/>
        </w:rPr>
      </w:pPr>
      <w:bookmarkStart w:id="107" w:name="984717d105f7d994aec066cfaea285c4"/>
      <w:r w:rsidRPr="00DF3A4F">
        <w:rPr>
          <w:rFonts w:ascii="Arial" w:hAnsi="Arial" w:cs="Arial"/>
          <w:sz w:val="24"/>
          <w:szCs w:val="24"/>
        </w:rPr>
        <w:t xml:space="preserve">Sharma, S., Behera, M. R., &amp; Dua, K. (2024). Evolution of Paytm’s Business Model. </w:t>
      </w:r>
      <w:r w:rsidRPr="00DF3A4F">
        <w:rPr>
          <w:rFonts w:ascii="Arial" w:hAnsi="Arial" w:cs="Arial"/>
          <w:i/>
          <w:iCs/>
          <w:sz w:val="24"/>
          <w:szCs w:val="24"/>
        </w:rPr>
        <w:t>Innovative Research Thoughts</w:t>
      </w:r>
      <w:r w:rsidRPr="00DF3A4F">
        <w:rPr>
          <w:rFonts w:ascii="Arial" w:hAnsi="Arial" w:cs="Arial"/>
          <w:sz w:val="24"/>
          <w:szCs w:val="24"/>
        </w:rPr>
        <w:t xml:space="preserve">, </w:t>
      </w:r>
      <w:r w:rsidRPr="00DF3A4F">
        <w:rPr>
          <w:rFonts w:ascii="Arial" w:hAnsi="Arial" w:cs="Arial"/>
          <w:i/>
          <w:iCs/>
          <w:sz w:val="24"/>
          <w:szCs w:val="24"/>
        </w:rPr>
        <w:t>10</w:t>
      </w:r>
      <w:r w:rsidRPr="00DF3A4F">
        <w:rPr>
          <w:rFonts w:ascii="Arial" w:hAnsi="Arial" w:cs="Arial"/>
          <w:sz w:val="24"/>
          <w:szCs w:val="24"/>
        </w:rPr>
        <w:t xml:space="preserve">(4), 1–24. https://doi.org/10.36676/irt.v10.i4.1517 </w:t>
      </w:r>
      <w:bookmarkEnd w:id="107"/>
    </w:p>
    <w:p w14:paraId="2829F302" w14:textId="77777777" w:rsidR="00133CD9" w:rsidRPr="00DF3A4F" w:rsidRDefault="00133CD9" w:rsidP="00133CD9">
      <w:pPr>
        <w:pStyle w:val="JenniRefBody"/>
        <w:spacing w:line="360" w:lineRule="auto"/>
        <w:ind w:left="720" w:hanging="720"/>
        <w:jc w:val="both"/>
        <w:rPr>
          <w:rFonts w:ascii="Arial" w:hAnsi="Arial" w:cs="Arial"/>
          <w:sz w:val="24"/>
          <w:szCs w:val="24"/>
        </w:rPr>
      </w:pPr>
      <w:bookmarkStart w:id="108" w:name="f6e6c68a1a7bef72957e546fb6edbe0f"/>
      <w:proofErr w:type="spellStart"/>
      <w:r w:rsidRPr="00DF3A4F">
        <w:rPr>
          <w:rFonts w:ascii="Arial" w:hAnsi="Arial" w:cs="Arial"/>
          <w:sz w:val="24"/>
          <w:szCs w:val="24"/>
        </w:rPr>
        <w:t>Sitanggang</w:t>
      </w:r>
      <w:proofErr w:type="spellEnd"/>
      <w:r w:rsidRPr="00DF3A4F">
        <w:rPr>
          <w:rFonts w:ascii="Arial" w:hAnsi="Arial" w:cs="Arial"/>
          <w:sz w:val="24"/>
          <w:szCs w:val="24"/>
        </w:rPr>
        <w:t xml:space="preserve">, A. S., Aulia, A. A., Wahyudi, V. Q., </w:t>
      </w:r>
      <w:proofErr w:type="spellStart"/>
      <w:r w:rsidRPr="00DF3A4F">
        <w:rPr>
          <w:rFonts w:ascii="Arial" w:hAnsi="Arial" w:cs="Arial"/>
          <w:sz w:val="24"/>
          <w:szCs w:val="24"/>
        </w:rPr>
        <w:t>Gradiansya</w:t>
      </w:r>
      <w:proofErr w:type="spellEnd"/>
      <w:r w:rsidRPr="00DF3A4F">
        <w:rPr>
          <w:rFonts w:ascii="Arial" w:hAnsi="Arial" w:cs="Arial"/>
          <w:sz w:val="24"/>
          <w:szCs w:val="24"/>
        </w:rPr>
        <w:t xml:space="preserve">, A., &amp; Putri, N. A. (2024). </w:t>
      </w:r>
      <w:proofErr w:type="spellStart"/>
      <w:r w:rsidRPr="00DF3A4F">
        <w:rPr>
          <w:rFonts w:ascii="Arial" w:hAnsi="Arial" w:cs="Arial"/>
          <w:sz w:val="24"/>
          <w:szCs w:val="24"/>
        </w:rPr>
        <w:t>Penerapan</w:t>
      </w:r>
      <w:proofErr w:type="spellEnd"/>
      <w:r w:rsidRPr="00DF3A4F">
        <w:rPr>
          <w:rFonts w:ascii="Arial" w:hAnsi="Arial" w:cs="Arial"/>
          <w:sz w:val="24"/>
          <w:szCs w:val="24"/>
        </w:rPr>
        <w:t xml:space="preserve"> Fintech </w:t>
      </w:r>
      <w:proofErr w:type="spellStart"/>
      <w:r w:rsidRPr="00DF3A4F">
        <w:rPr>
          <w:rFonts w:ascii="Arial" w:hAnsi="Arial" w:cs="Arial"/>
          <w:sz w:val="24"/>
          <w:szCs w:val="24"/>
        </w:rPr>
        <w:t>Dalam</w:t>
      </w:r>
      <w:proofErr w:type="spellEnd"/>
      <w:r w:rsidRPr="00DF3A4F">
        <w:rPr>
          <w:rFonts w:ascii="Arial" w:hAnsi="Arial" w:cs="Arial"/>
          <w:sz w:val="24"/>
          <w:szCs w:val="24"/>
        </w:rPr>
        <w:t xml:space="preserve"> Strategi </w:t>
      </w:r>
      <w:proofErr w:type="spellStart"/>
      <w:r w:rsidRPr="00DF3A4F">
        <w:rPr>
          <w:rFonts w:ascii="Arial" w:hAnsi="Arial" w:cs="Arial"/>
          <w:sz w:val="24"/>
          <w:szCs w:val="24"/>
        </w:rPr>
        <w:t>Bisnis</w:t>
      </w:r>
      <w:proofErr w:type="spellEnd"/>
      <w:r w:rsidRPr="00DF3A4F">
        <w:rPr>
          <w:rFonts w:ascii="Arial" w:hAnsi="Arial" w:cs="Arial"/>
          <w:sz w:val="24"/>
          <w:szCs w:val="24"/>
        </w:rPr>
        <w:t xml:space="preserve"> Internasional. </w:t>
      </w:r>
      <w:r w:rsidRPr="00DF3A4F">
        <w:rPr>
          <w:rFonts w:ascii="Arial" w:hAnsi="Arial" w:cs="Arial"/>
          <w:i/>
          <w:iCs/>
          <w:sz w:val="24"/>
          <w:szCs w:val="24"/>
        </w:rPr>
        <w:t xml:space="preserve">MASMAN Master </w:t>
      </w:r>
      <w:proofErr w:type="spellStart"/>
      <w:r w:rsidRPr="00DF3A4F">
        <w:rPr>
          <w:rFonts w:ascii="Arial" w:hAnsi="Arial" w:cs="Arial"/>
          <w:i/>
          <w:iCs/>
          <w:sz w:val="24"/>
          <w:szCs w:val="24"/>
        </w:rPr>
        <w:t>Manajemen</w:t>
      </w:r>
      <w:proofErr w:type="spellEnd"/>
      <w:r w:rsidRPr="00DF3A4F">
        <w:rPr>
          <w:rFonts w:ascii="Arial" w:hAnsi="Arial" w:cs="Arial"/>
          <w:sz w:val="24"/>
          <w:szCs w:val="24"/>
        </w:rPr>
        <w:t xml:space="preserve">, </w:t>
      </w:r>
      <w:r w:rsidRPr="00DF3A4F">
        <w:rPr>
          <w:rFonts w:ascii="Arial" w:hAnsi="Arial" w:cs="Arial"/>
          <w:i/>
          <w:iCs/>
          <w:sz w:val="24"/>
          <w:szCs w:val="24"/>
        </w:rPr>
        <w:t>2</w:t>
      </w:r>
      <w:r w:rsidRPr="00DF3A4F">
        <w:rPr>
          <w:rFonts w:ascii="Arial" w:hAnsi="Arial" w:cs="Arial"/>
          <w:sz w:val="24"/>
          <w:szCs w:val="24"/>
        </w:rPr>
        <w:t xml:space="preserve">(3), 256–264. https://doi.org/10.59603/masman.v2i3.493 </w:t>
      </w:r>
      <w:bookmarkEnd w:id="108"/>
    </w:p>
    <w:p w14:paraId="6C5C54D6" w14:textId="77777777" w:rsidR="00133CD9" w:rsidRPr="00DF3A4F" w:rsidRDefault="00133CD9" w:rsidP="00133CD9">
      <w:pPr>
        <w:pStyle w:val="JenniRefBody"/>
        <w:spacing w:line="360" w:lineRule="auto"/>
        <w:ind w:left="720" w:hanging="720"/>
        <w:jc w:val="both"/>
        <w:rPr>
          <w:rFonts w:ascii="Arial" w:hAnsi="Arial" w:cs="Arial"/>
          <w:sz w:val="24"/>
          <w:szCs w:val="24"/>
        </w:rPr>
      </w:pPr>
      <w:bookmarkStart w:id="109" w:name="df255499da8a52c5e15c4ea552e4c664"/>
      <w:r w:rsidRPr="00DF3A4F">
        <w:rPr>
          <w:rFonts w:ascii="Arial" w:hAnsi="Arial" w:cs="Arial"/>
          <w:sz w:val="24"/>
          <w:szCs w:val="24"/>
        </w:rPr>
        <w:t xml:space="preserve">Sivathanu, B. (2018). Adoption of digital payment systems in the era of demonetization in India. </w:t>
      </w:r>
      <w:r w:rsidRPr="00DF3A4F">
        <w:rPr>
          <w:rFonts w:ascii="Arial" w:hAnsi="Arial" w:cs="Arial"/>
          <w:i/>
          <w:iCs/>
          <w:sz w:val="24"/>
          <w:szCs w:val="24"/>
        </w:rPr>
        <w:t>Journal of Science and Technology Policy Management</w:t>
      </w:r>
      <w:r w:rsidRPr="00DF3A4F">
        <w:rPr>
          <w:rFonts w:ascii="Arial" w:hAnsi="Arial" w:cs="Arial"/>
          <w:sz w:val="24"/>
          <w:szCs w:val="24"/>
        </w:rPr>
        <w:t xml:space="preserve">, </w:t>
      </w:r>
      <w:r w:rsidRPr="00DF3A4F">
        <w:rPr>
          <w:rFonts w:ascii="Arial" w:hAnsi="Arial" w:cs="Arial"/>
          <w:i/>
          <w:iCs/>
          <w:sz w:val="24"/>
          <w:szCs w:val="24"/>
        </w:rPr>
        <w:t>10</w:t>
      </w:r>
      <w:r w:rsidRPr="00DF3A4F">
        <w:rPr>
          <w:rFonts w:ascii="Arial" w:hAnsi="Arial" w:cs="Arial"/>
          <w:sz w:val="24"/>
          <w:szCs w:val="24"/>
        </w:rPr>
        <w:t xml:space="preserve">(1), 143–171. https://doi.org/10.1108/jstpm-07-2017-0033 </w:t>
      </w:r>
      <w:bookmarkEnd w:id="109"/>
    </w:p>
    <w:p w14:paraId="2D2F9007" w14:textId="77777777" w:rsidR="00133CD9" w:rsidRPr="00DF3A4F" w:rsidRDefault="00133CD9" w:rsidP="00133CD9">
      <w:pPr>
        <w:pStyle w:val="JenniRefBody"/>
        <w:spacing w:line="360" w:lineRule="auto"/>
        <w:ind w:left="720" w:hanging="720"/>
        <w:jc w:val="both"/>
        <w:rPr>
          <w:rFonts w:ascii="Arial" w:hAnsi="Arial" w:cs="Arial"/>
          <w:sz w:val="24"/>
          <w:szCs w:val="24"/>
        </w:rPr>
      </w:pPr>
      <w:bookmarkStart w:id="110" w:name="3e6760e86b5c1ea7bcfc5d2648670061"/>
      <w:r w:rsidRPr="00DF3A4F">
        <w:rPr>
          <w:rFonts w:ascii="Arial" w:hAnsi="Arial" w:cs="Arial"/>
          <w:sz w:val="24"/>
          <w:szCs w:val="24"/>
        </w:rPr>
        <w:t xml:space="preserve">Slade, E., Dwivedi, Y. K., Piercy, N. C., &amp; Williams, M. D. (2021). </w:t>
      </w:r>
      <w:proofErr w:type="spellStart"/>
      <w:r w:rsidRPr="00DF3A4F">
        <w:rPr>
          <w:rFonts w:ascii="Arial" w:hAnsi="Arial" w:cs="Arial"/>
          <w:sz w:val="24"/>
          <w:szCs w:val="24"/>
        </w:rPr>
        <w:t>Modeling</w:t>
      </w:r>
      <w:proofErr w:type="spellEnd"/>
      <w:r w:rsidRPr="00DF3A4F">
        <w:rPr>
          <w:rFonts w:ascii="Arial" w:hAnsi="Arial" w:cs="Arial"/>
          <w:sz w:val="24"/>
          <w:szCs w:val="24"/>
        </w:rPr>
        <w:t xml:space="preserve"> consumers’ adoption intentions of remote mobile payments. </w:t>
      </w:r>
      <w:r w:rsidRPr="00DF3A4F">
        <w:rPr>
          <w:rFonts w:ascii="Arial" w:hAnsi="Arial" w:cs="Arial"/>
          <w:i/>
          <w:iCs/>
          <w:sz w:val="24"/>
          <w:szCs w:val="24"/>
        </w:rPr>
        <w:t>Information Systems Frontiers</w:t>
      </w:r>
      <w:r w:rsidRPr="00DF3A4F">
        <w:rPr>
          <w:rFonts w:ascii="Arial" w:hAnsi="Arial" w:cs="Arial"/>
          <w:sz w:val="24"/>
          <w:szCs w:val="24"/>
        </w:rPr>
        <w:t xml:space="preserve">, </w:t>
      </w:r>
      <w:r w:rsidRPr="00DF3A4F">
        <w:rPr>
          <w:rFonts w:ascii="Arial" w:hAnsi="Arial" w:cs="Arial"/>
          <w:i/>
          <w:iCs/>
          <w:sz w:val="24"/>
          <w:szCs w:val="24"/>
        </w:rPr>
        <w:t>23</w:t>
      </w:r>
      <w:r w:rsidRPr="00DF3A4F">
        <w:rPr>
          <w:rFonts w:ascii="Arial" w:hAnsi="Arial" w:cs="Arial"/>
          <w:sz w:val="24"/>
          <w:szCs w:val="24"/>
        </w:rPr>
        <w:t xml:space="preserve">(4), 861–879. </w:t>
      </w:r>
      <w:bookmarkEnd w:id="110"/>
    </w:p>
    <w:p w14:paraId="14B520CE" w14:textId="77777777" w:rsidR="00133CD9" w:rsidRPr="00DF3A4F" w:rsidRDefault="00133CD9" w:rsidP="00133CD9">
      <w:pPr>
        <w:pStyle w:val="JenniRefBody"/>
        <w:spacing w:line="360" w:lineRule="auto"/>
        <w:ind w:left="720" w:hanging="720"/>
        <w:jc w:val="both"/>
        <w:rPr>
          <w:rFonts w:ascii="Arial" w:hAnsi="Arial" w:cs="Arial"/>
          <w:sz w:val="24"/>
          <w:szCs w:val="24"/>
        </w:rPr>
      </w:pPr>
      <w:bookmarkStart w:id="111" w:name="f1aa254df81c61addf137505001dd0f1"/>
      <w:r w:rsidRPr="00DF3A4F">
        <w:rPr>
          <w:rFonts w:ascii="Arial" w:hAnsi="Arial" w:cs="Arial"/>
          <w:sz w:val="24"/>
          <w:szCs w:val="24"/>
        </w:rPr>
        <w:t xml:space="preserve">Stallkamp, M. (2021). After TikTok: International Business and the Splinternet. </w:t>
      </w:r>
      <w:r w:rsidRPr="00DF3A4F">
        <w:rPr>
          <w:rFonts w:ascii="Arial" w:hAnsi="Arial" w:cs="Arial"/>
          <w:i/>
          <w:iCs/>
          <w:sz w:val="24"/>
          <w:szCs w:val="24"/>
        </w:rPr>
        <w:t>AIB Insights</w:t>
      </w:r>
      <w:r w:rsidRPr="00DF3A4F">
        <w:rPr>
          <w:rFonts w:ascii="Arial" w:hAnsi="Arial" w:cs="Arial"/>
          <w:sz w:val="24"/>
          <w:szCs w:val="24"/>
        </w:rPr>
        <w:t xml:space="preserve">, </w:t>
      </w:r>
      <w:r w:rsidRPr="00DF3A4F">
        <w:rPr>
          <w:rFonts w:ascii="Arial" w:hAnsi="Arial" w:cs="Arial"/>
          <w:i/>
          <w:iCs/>
          <w:sz w:val="24"/>
          <w:szCs w:val="24"/>
        </w:rPr>
        <w:t>21</w:t>
      </w:r>
      <w:r w:rsidRPr="00DF3A4F">
        <w:rPr>
          <w:rFonts w:ascii="Arial" w:hAnsi="Arial" w:cs="Arial"/>
          <w:sz w:val="24"/>
          <w:szCs w:val="24"/>
        </w:rPr>
        <w:t xml:space="preserve">(2). https://doi.org/10.46697/001c.21943 </w:t>
      </w:r>
      <w:bookmarkEnd w:id="111"/>
    </w:p>
    <w:p w14:paraId="03B84486" w14:textId="77777777" w:rsidR="00133CD9" w:rsidRPr="00DF3A4F" w:rsidRDefault="00133CD9" w:rsidP="00133CD9">
      <w:pPr>
        <w:pStyle w:val="JenniRefBody"/>
        <w:spacing w:line="360" w:lineRule="auto"/>
        <w:ind w:left="720" w:hanging="720"/>
        <w:jc w:val="both"/>
        <w:rPr>
          <w:rFonts w:ascii="Arial" w:hAnsi="Arial" w:cs="Arial"/>
          <w:sz w:val="24"/>
          <w:szCs w:val="24"/>
        </w:rPr>
      </w:pPr>
      <w:bookmarkStart w:id="112" w:name="5294d27ccc9780e9667a2517348a1c8b"/>
      <w:r w:rsidRPr="00DF3A4F">
        <w:rPr>
          <w:rFonts w:ascii="Arial" w:hAnsi="Arial" w:cs="Arial"/>
          <w:sz w:val="24"/>
          <w:szCs w:val="24"/>
        </w:rPr>
        <w:t xml:space="preserve">Tartaglione, A. M., Sanguigni, V., Cavacece, Y., &amp; Fedele, M. (2019). </w:t>
      </w:r>
      <w:proofErr w:type="spellStart"/>
      <w:r w:rsidRPr="00DF3A4F">
        <w:rPr>
          <w:rFonts w:ascii="Arial" w:hAnsi="Arial" w:cs="Arial"/>
          <w:sz w:val="24"/>
          <w:szCs w:val="24"/>
        </w:rPr>
        <w:t>Analyzing</w:t>
      </w:r>
      <w:proofErr w:type="spellEnd"/>
      <w:r w:rsidRPr="00DF3A4F">
        <w:rPr>
          <w:rFonts w:ascii="Arial" w:hAnsi="Arial" w:cs="Arial"/>
          <w:sz w:val="24"/>
          <w:szCs w:val="24"/>
        </w:rPr>
        <w:t xml:space="preserve"> the Role of Dynamic Capabilities in the Internationalization of Gradual Global SMEs. </w:t>
      </w:r>
      <w:r w:rsidRPr="00DF3A4F">
        <w:rPr>
          <w:rFonts w:ascii="Arial" w:hAnsi="Arial" w:cs="Arial"/>
          <w:i/>
          <w:iCs/>
          <w:sz w:val="24"/>
          <w:szCs w:val="24"/>
        </w:rPr>
        <w:t>International Business Research</w:t>
      </w:r>
      <w:r w:rsidRPr="00DF3A4F">
        <w:rPr>
          <w:rFonts w:ascii="Arial" w:hAnsi="Arial" w:cs="Arial"/>
          <w:sz w:val="24"/>
          <w:szCs w:val="24"/>
        </w:rPr>
        <w:t xml:space="preserve">, </w:t>
      </w:r>
      <w:r w:rsidRPr="00DF3A4F">
        <w:rPr>
          <w:rFonts w:ascii="Arial" w:hAnsi="Arial" w:cs="Arial"/>
          <w:i/>
          <w:iCs/>
          <w:sz w:val="24"/>
          <w:szCs w:val="24"/>
        </w:rPr>
        <w:t>12</w:t>
      </w:r>
      <w:r w:rsidRPr="00DF3A4F">
        <w:rPr>
          <w:rFonts w:ascii="Arial" w:hAnsi="Arial" w:cs="Arial"/>
          <w:sz w:val="24"/>
          <w:szCs w:val="24"/>
        </w:rPr>
        <w:t xml:space="preserve">(12), 61–61. https://doi.org/10.5539/ibr.v12n12p61 </w:t>
      </w:r>
      <w:bookmarkEnd w:id="112"/>
    </w:p>
    <w:p w14:paraId="4F29794F" w14:textId="77777777" w:rsidR="00133CD9" w:rsidRPr="00DF3A4F" w:rsidRDefault="00133CD9" w:rsidP="00133CD9">
      <w:pPr>
        <w:pStyle w:val="JenniRefBody"/>
        <w:spacing w:line="360" w:lineRule="auto"/>
        <w:ind w:left="720" w:hanging="720"/>
        <w:jc w:val="both"/>
        <w:rPr>
          <w:rFonts w:ascii="Arial" w:hAnsi="Arial" w:cs="Arial"/>
          <w:sz w:val="24"/>
          <w:szCs w:val="24"/>
        </w:rPr>
      </w:pPr>
      <w:bookmarkStart w:id="113" w:name="ade4e46b1c47433de9c21c56b7341b8e"/>
      <w:r w:rsidRPr="00DF3A4F">
        <w:rPr>
          <w:rFonts w:ascii="Arial" w:hAnsi="Arial" w:cs="Arial"/>
          <w:sz w:val="24"/>
          <w:szCs w:val="24"/>
        </w:rPr>
        <w:t xml:space="preserve">Teece, D. J. (2014). A dynamic capabilities-based entrepreneurial theory of the multinational enterprise. </w:t>
      </w:r>
      <w:r w:rsidRPr="00DF3A4F">
        <w:rPr>
          <w:rFonts w:ascii="Arial" w:hAnsi="Arial" w:cs="Arial"/>
          <w:i/>
          <w:iCs/>
          <w:sz w:val="24"/>
          <w:szCs w:val="24"/>
        </w:rPr>
        <w:t>Journal of International Business Studies</w:t>
      </w:r>
      <w:r w:rsidRPr="00DF3A4F">
        <w:rPr>
          <w:rFonts w:ascii="Arial" w:hAnsi="Arial" w:cs="Arial"/>
          <w:sz w:val="24"/>
          <w:szCs w:val="24"/>
        </w:rPr>
        <w:t xml:space="preserve">, </w:t>
      </w:r>
      <w:r w:rsidRPr="00DF3A4F">
        <w:rPr>
          <w:rFonts w:ascii="Arial" w:hAnsi="Arial" w:cs="Arial"/>
          <w:i/>
          <w:iCs/>
          <w:sz w:val="24"/>
          <w:szCs w:val="24"/>
        </w:rPr>
        <w:t>45</w:t>
      </w:r>
      <w:r w:rsidRPr="00DF3A4F">
        <w:rPr>
          <w:rFonts w:ascii="Arial" w:hAnsi="Arial" w:cs="Arial"/>
          <w:sz w:val="24"/>
          <w:szCs w:val="24"/>
        </w:rPr>
        <w:t xml:space="preserve">(1), 8–37. https://doi.org/10.1057/jibs.2013.54 </w:t>
      </w:r>
      <w:bookmarkEnd w:id="113"/>
    </w:p>
    <w:p w14:paraId="051FA11F" w14:textId="77777777" w:rsidR="00133CD9" w:rsidRPr="00DF3A4F" w:rsidRDefault="00133CD9" w:rsidP="00133CD9">
      <w:pPr>
        <w:pStyle w:val="JenniRefBody"/>
        <w:spacing w:line="360" w:lineRule="auto"/>
        <w:ind w:left="720" w:hanging="720"/>
        <w:jc w:val="both"/>
        <w:rPr>
          <w:rFonts w:ascii="Arial" w:hAnsi="Arial" w:cs="Arial"/>
          <w:sz w:val="24"/>
          <w:szCs w:val="24"/>
        </w:rPr>
      </w:pPr>
      <w:bookmarkStart w:id="114" w:name="60f0c8392a9720b13f96fc0f27e6352d"/>
      <w:r w:rsidRPr="00DF3A4F">
        <w:rPr>
          <w:rFonts w:ascii="Arial" w:hAnsi="Arial" w:cs="Arial"/>
          <w:sz w:val="24"/>
          <w:szCs w:val="24"/>
        </w:rPr>
        <w:t xml:space="preserve">Uyanık, M. (2023). Resource-Based View in Marketing Literature. </w:t>
      </w:r>
      <w:r w:rsidRPr="00DF3A4F">
        <w:rPr>
          <w:rFonts w:ascii="Arial" w:hAnsi="Arial" w:cs="Arial"/>
          <w:i/>
          <w:iCs/>
          <w:sz w:val="24"/>
          <w:szCs w:val="24"/>
        </w:rPr>
        <w:t>Journal of Business and Management Studies</w:t>
      </w:r>
      <w:r w:rsidRPr="00DF3A4F">
        <w:rPr>
          <w:rFonts w:ascii="Arial" w:hAnsi="Arial" w:cs="Arial"/>
          <w:sz w:val="24"/>
          <w:szCs w:val="24"/>
        </w:rPr>
        <w:t xml:space="preserve">, </w:t>
      </w:r>
      <w:r w:rsidRPr="00DF3A4F">
        <w:rPr>
          <w:rFonts w:ascii="Arial" w:hAnsi="Arial" w:cs="Arial"/>
          <w:i/>
          <w:iCs/>
          <w:sz w:val="24"/>
          <w:szCs w:val="24"/>
        </w:rPr>
        <w:t>5</w:t>
      </w:r>
      <w:r w:rsidRPr="00DF3A4F">
        <w:rPr>
          <w:rFonts w:ascii="Arial" w:hAnsi="Arial" w:cs="Arial"/>
          <w:sz w:val="24"/>
          <w:szCs w:val="24"/>
        </w:rPr>
        <w:t xml:space="preserve">(4), 29–39. https://doi.org/10.32996/jbms.2023.5.4.4 </w:t>
      </w:r>
      <w:bookmarkEnd w:id="114"/>
    </w:p>
    <w:p w14:paraId="2974D870" w14:textId="77777777" w:rsidR="00133CD9" w:rsidRPr="00DF3A4F" w:rsidRDefault="00133CD9" w:rsidP="00133CD9">
      <w:pPr>
        <w:pStyle w:val="JenniRefBody"/>
        <w:spacing w:line="360" w:lineRule="auto"/>
        <w:ind w:left="720" w:hanging="720"/>
        <w:jc w:val="both"/>
        <w:rPr>
          <w:rFonts w:ascii="Arial" w:hAnsi="Arial" w:cs="Arial"/>
          <w:sz w:val="24"/>
          <w:szCs w:val="24"/>
        </w:rPr>
      </w:pPr>
      <w:bookmarkStart w:id="115" w:name="687877ef8c0ed0ef79cafca82eca54dc"/>
      <w:r w:rsidRPr="00DF3A4F">
        <w:rPr>
          <w:rFonts w:ascii="Arial" w:hAnsi="Arial" w:cs="Arial"/>
          <w:sz w:val="24"/>
          <w:szCs w:val="24"/>
        </w:rPr>
        <w:t xml:space="preserve">Valli, S. H. G. S. (2025). A Global Perspective On The Indian Startup Ecosystem: Navigating Opportunities And Overcoming Challenges. </w:t>
      </w:r>
      <w:r w:rsidRPr="00DF3A4F">
        <w:rPr>
          <w:rFonts w:ascii="Arial" w:hAnsi="Arial" w:cs="Arial"/>
          <w:i/>
          <w:iCs/>
          <w:sz w:val="24"/>
          <w:szCs w:val="24"/>
        </w:rPr>
        <w:t>Journal of Informatics Education and Research</w:t>
      </w:r>
      <w:r w:rsidRPr="00DF3A4F">
        <w:rPr>
          <w:rFonts w:ascii="Arial" w:hAnsi="Arial" w:cs="Arial"/>
          <w:sz w:val="24"/>
          <w:szCs w:val="24"/>
        </w:rPr>
        <w:t xml:space="preserve">, </w:t>
      </w:r>
      <w:r w:rsidRPr="00DF3A4F">
        <w:rPr>
          <w:rFonts w:ascii="Arial" w:hAnsi="Arial" w:cs="Arial"/>
          <w:i/>
          <w:iCs/>
          <w:sz w:val="24"/>
          <w:szCs w:val="24"/>
        </w:rPr>
        <w:t>5</w:t>
      </w:r>
      <w:r w:rsidRPr="00DF3A4F">
        <w:rPr>
          <w:rFonts w:ascii="Arial" w:hAnsi="Arial" w:cs="Arial"/>
          <w:sz w:val="24"/>
          <w:szCs w:val="24"/>
        </w:rPr>
        <w:t xml:space="preserve">(2). https://doi.org/10.52783/jier.v5i2.3049 </w:t>
      </w:r>
      <w:bookmarkEnd w:id="115"/>
    </w:p>
    <w:p w14:paraId="02A000AE" w14:textId="77777777" w:rsidR="00133CD9" w:rsidRPr="00DF3A4F" w:rsidRDefault="00133CD9" w:rsidP="00133CD9">
      <w:pPr>
        <w:pStyle w:val="JenniRefBody"/>
        <w:spacing w:line="360" w:lineRule="auto"/>
        <w:ind w:left="720" w:hanging="720"/>
        <w:jc w:val="both"/>
        <w:rPr>
          <w:rFonts w:ascii="Arial" w:hAnsi="Arial" w:cs="Arial"/>
          <w:sz w:val="24"/>
          <w:szCs w:val="24"/>
        </w:rPr>
      </w:pPr>
      <w:bookmarkStart w:id="116" w:name="9f4e7bb4492ae0e89b51aaf4374ff165"/>
      <w:r w:rsidRPr="00DF3A4F">
        <w:rPr>
          <w:rFonts w:ascii="Arial" w:hAnsi="Arial" w:cs="Arial"/>
          <w:sz w:val="24"/>
          <w:szCs w:val="24"/>
          <w:lang w:val="de-DE"/>
        </w:rPr>
        <w:t xml:space="preserve">Williams, R. I., Seipel, S. J., Gilbert, J., &amp; Aaron, J. R. (2025). </w:t>
      </w:r>
      <w:r w:rsidRPr="00DF3A4F">
        <w:rPr>
          <w:rFonts w:ascii="Arial" w:hAnsi="Arial" w:cs="Arial"/>
          <w:sz w:val="24"/>
          <w:szCs w:val="24"/>
        </w:rPr>
        <w:t xml:space="preserve">Strategic Groups’ Path to the Efficiency Frontier. </w:t>
      </w:r>
      <w:r w:rsidRPr="00DF3A4F">
        <w:rPr>
          <w:rFonts w:ascii="Arial" w:hAnsi="Arial" w:cs="Arial"/>
          <w:i/>
          <w:iCs/>
          <w:sz w:val="24"/>
          <w:szCs w:val="24"/>
        </w:rPr>
        <w:t>Journal of Small Business Strategy</w:t>
      </w:r>
      <w:r w:rsidRPr="00DF3A4F">
        <w:rPr>
          <w:rFonts w:ascii="Arial" w:hAnsi="Arial" w:cs="Arial"/>
          <w:sz w:val="24"/>
          <w:szCs w:val="24"/>
        </w:rPr>
        <w:t xml:space="preserve">, </w:t>
      </w:r>
      <w:r w:rsidRPr="00DF3A4F">
        <w:rPr>
          <w:rFonts w:ascii="Arial" w:hAnsi="Arial" w:cs="Arial"/>
          <w:i/>
          <w:iCs/>
          <w:sz w:val="24"/>
          <w:szCs w:val="24"/>
        </w:rPr>
        <w:t>35</w:t>
      </w:r>
      <w:r w:rsidRPr="00DF3A4F">
        <w:rPr>
          <w:rFonts w:ascii="Arial" w:hAnsi="Arial" w:cs="Arial"/>
          <w:sz w:val="24"/>
          <w:szCs w:val="24"/>
        </w:rPr>
        <w:t xml:space="preserve">(2). https://doi.org/10.53703/001c.129664 </w:t>
      </w:r>
      <w:bookmarkEnd w:id="116"/>
    </w:p>
    <w:p w14:paraId="4F46CB55" w14:textId="77777777" w:rsidR="00133CD9" w:rsidRPr="00DF3A4F" w:rsidRDefault="00133CD9" w:rsidP="00133CD9">
      <w:pPr>
        <w:ind w:left="720" w:hanging="720"/>
        <w:rPr>
          <w:rFonts w:ascii="Arial" w:hAnsi="Arial" w:cs="Arial"/>
          <w:sz w:val="24"/>
          <w:szCs w:val="24"/>
        </w:rPr>
      </w:pPr>
      <w:r w:rsidRPr="00DF3A4F">
        <w:rPr>
          <w:rFonts w:ascii="Arial" w:hAnsi="Arial" w:cs="Arial"/>
          <w:sz w:val="24"/>
          <w:szCs w:val="24"/>
        </w:rPr>
        <w:t xml:space="preserve">World Bank. (2024). </w:t>
      </w:r>
      <w:r w:rsidRPr="00DF3A4F">
        <w:rPr>
          <w:rFonts w:ascii="Arial" w:hAnsi="Arial" w:cs="Arial"/>
          <w:i/>
          <w:iCs/>
          <w:sz w:val="24"/>
          <w:szCs w:val="24"/>
        </w:rPr>
        <w:t>World development indicators database</w:t>
      </w:r>
      <w:r w:rsidRPr="00DF3A4F">
        <w:rPr>
          <w:rFonts w:ascii="Arial" w:hAnsi="Arial" w:cs="Arial"/>
          <w:sz w:val="24"/>
          <w:szCs w:val="24"/>
        </w:rPr>
        <w:t xml:space="preserve">. </w:t>
      </w:r>
      <w:hyperlink r:id="rId11" w:history="1">
        <w:r w:rsidRPr="00DF3A4F">
          <w:rPr>
            <w:rStyle w:val="Hyperlink"/>
            <w:rFonts w:ascii="Arial" w:hAnsi="Arial" w:cs="Arial"/>
            <w:sz w:val="24"/>
            <w:szCs w:val="24"/>
          </w:rPr>
          <w:t>https://databank.worldbank.org/source/world-development-indicators</w:t>
        </w:r>
      </w:hyperlink>
    </w:p>
    <w:p w14:paraId="69F35797" w14:textId="77777777" w:rsidR="00133CD9" w:rsidRPr="00DF3A4F" w:rsidRDefault="00133CD9" w:rsidP="00133CD9">
      <w:pPr>
        <w:ind w:left="720" w:hanging="720"/>
        <w:rPr>
          <w:rFonts w:ascii="Arial" w:hAnsi="Arial" w:cs="Arial"/>
          <w:sz w:val="24"/>
          <w:szCs w:val="24"/>
        </w:rPr>
      </w:pPr>
      <w:r w:rsidRPr="00DF3A4F">
        <w:rPr>
          <w:rFonts w:ascii="Arial" w:hAnsi="Arial" w:cs="Arial"/>
          <w:sz w:val="24"/>
          <w:szCs w:val="24"/>
        </w:rPr>
        <w:t xml:space="preserve">World Bank. (2025). </w:t>
      </w:r>
      <w:r w:rsidRPr="00DF3A4F">
        <w:rPr>
          <w:rFonts w:ascii="Arial" w:hAnsi="Arial" w:cs="Arial"/>
          <w:i/>
          <w:iCs/>
          <w:sz w:val="24"/>
          <w:szCs w:val="24"/>
        </w:rPr>
        <w:t>Singapore</w:t>
      </w:r>
      <w:r w:rsidRPr="00DF3A4F">
        <w:rPr>
          <w:rFonts w:ascii="Arial" w:hAnsi="Arial" w:cs="Arial"/>
          <w:sz w:val="24"/>
          <w:szCs w:val="24"/>
        </w:rPr>
        <w:t xml:space="preserve">. World Bank Group. </w:t>
      </w:r>
      <w:hyperlink r:id="rId12" w:tgtFrame="_new" w:history="1">
        <w:r w:rsidRPr="00DF3A4F">
          <w:rPr>
            <w:rStyle w:val="Hyperlink"/>
            <w:rFonts w:ascii="Arial" w:hAnsi="Arial" w:cs="Arial"/>
            <w:sz w:val="24"/>
            <w:szCs w:val="24"/>
          </w:rPr>
          <w:t>https://www.worldbank.org/ext/en/country/singapore</w:t>
        </w:r>
      </w:hyperlink>
    </w:p>
    <w:p w14:paraId="37743949" w14:textId="77777777" w:rsidR="00133CD9" w:rsidRPr="00DF3A4F" w:rsidRDefault="00133CD9" w:rsidP="00133CD9">
      <w:pPr>
        <w:spacing w:line="360" w:lineRule="auto"/>
        <w:ind w:left="720" w:hanging="720"/>
        <w:jc w:val="both"/>
        <w:rPr>
          <w:rFonts w:ascii="Arial" w:hAnsi="Arial" w:cs="Arial"/>
          <w:sz w:val="24"/>
          <w:szCs w:val="24"/>
        </w:rPr>
      </w:pPr>
      <w:r w:rsidRPr="00DF3A4F">
        <w:rPr>
          <w:rFonts w:ascii="Arial" w:hAnsi="Arial" w:cs="Arial"/>
          <w:sz w:val="24"/>
          <w:szCs w:val="24"/>
        </w:rPr>
        <w:t xml:space="preserve">Yin, R. K. (2018). </w:t>
      </w:r>
      <w:r w:rsidRPr="00DF3A4F">
        <w:rPr>
          <w:rFonts w:ascii="Arial" w:hAnsi="Arial" w:cs="Arial"/>
          <w:i/>
          <w:iCs/>
          <w:sz w:val="24"/>
          <w:szCs w:val="24"/>
        </w:rPr>
        <w:t>Case study research and applications: Design and methods</w:t>
      </w:r>
      <w:r w:rsidRPr="00DF3A4F">
        <w:rPr>
          <w:rFonts w:ascii="Arial" w:hAnsi="Arial" w:cs="Arial"/>
          <w:sz w:val="24"/>
          <w:szCs w:val="24"/>
        </w:rPr>
        <w:t xml:space="preserve"> (6th ed.). Sage Publications.</w:t>
      </w:r>
    </w:p>
    <w:p w14:paraId="00C681E9" w14:textId="77777777" w:rsidR="00133CD9" w:rsidRPr="00DF3A4F" w:rsidRDefault="00133CD9" w:rsidP="00133CD9">
      <w:pPr>
        <w:rPr>
          <w:rFonts w:ascii="Arial" w:hAnsi="Arial" w:cs="Arial"/>
          <w:sz w:val="24"/>
          <w:szCs w:val="24"/>
        </w:rPr>
      </w:pPr>
    </w:p>
    <w:p w14:paraId="5A7279B2" w14:textId="77777777" w:rsidR="00133CD9" w:rsidRPr="00DF3A4F" w:rsidRDefault="00133CD9" w:rsidP="00133CD9">
      <w:pPr>
        <w:spacing w:line="360" w:lineRule="auto"/>
        <w:jc w:val="both"/>
        <w:rPr>
          <w:rFonts w:ascii="Arial" w:hAnsi="Arial" w:cs="Arial"/>
          <w:sz w:val="24"/>
          <w:szCs w:val="24"/>
        </w:rPr>
      </w:pPr>
    </w:p>
    <w:p w14:paraId="74B38864" w14:textId="77777777" w:rsidR="00133CD9" w:rsidRPr="00DF3A4F" w:rsidRDefault="00133CD9" w:rsidP="00133CD9">
      <w:pPr>
        <w:spacing w:line="360" w:lineRule="auto"/>
        <w:jc w:val="both"/>
        <w:rPr>
          <w:rFonts w:ascii="Arial" w:hAnsi="Arial" w:cs="Arial"/>
          <w:sz w:val="24"/>
          <w:szCs w:val="24"/>
        </w:rPr>
      </w:pPr>
    </w:p>
    <w:p w14:paraId="26844AC2" w14:textId="77777777" w:rsidR="00133CD9" w:rsidRPr="00DF3A4F" w:rsidRDefault="00133CD9" w:rsidP="00133CD9">
      <w:pPr>
        <w:spacing w:line="360" w:lineRule="auto"/>
        <w:jc w:val="both"/>
        <w:rPr>
          <w:rFonts w:ascii="Arial" w:hAnsi="Arial" w:cs="Arial"/>
          <w:sz w:val="24"/>
          <w:szCs w:val="24"/>
        </w:rPr>
      </w:pPr>
    </w:p>
    <w:p w14:paraId="3C34B3A4" w14:textId="77777777" w:rsidR="00133CD9" w:rsidRPr="00DF3A4F" w:rsidRDefault="00133CD9" w:rsidP="00133CD9">
      <w:pPr>
        <w:spacing w:line="360" w:lineRule="auto"/>
        <w:jc w:val="both"/>
        <w:rPr>
          <w:rFonts w:ascii="Arial" w:hAnsi="Arial" w:cs="Arial"/>
          <w:sz w:val="24"/>
          <w:szCs w:val="24"/>
        </w:rPr>
      </w:pPr>
    </w:p>
    <w:p w14:paraId="065EE250" w14:textId="77777777" w:rsidR="004C491C" w:rsidRPr="00DF3A4F" w:rsidRDefault="004C491C">
      <w:pPr>
        <w:rPr>
          <w:rFonts w:ascii="Arial" w:hAnsi="Arial" w:cs="Arial"/>
        </w:rPr>
      </w:pPr>
    </w:p>
    <w:sectPr w:rsidR="004C491C" w:rsidRPr="00DF3A4F" w:rsidSect="00133CD9">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B00EFD" w14:textId="77777777" w:rsidR="008D5666" w:rsidRDefault="008D5666">
      <w:pPr>
        <w:spacing w:after="0" w:line="240" w:lineRule="auto"/>
      </w:pPr>
      <w:r>
        <w:separator/>
      </w:r>
    </w:p>
  </w:endnote>
  <w:endnote w:type="continuationSeparator" w:id="0">
    <w:p w14:paraId="17D6EBBD" w14:textId="77777777" w:rsidR="008D5666" w:rsidRDefault="008D56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F5714" w14:textId="77777777" w:rsidR="00133CD9" w:rsidRDefault="00133C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129DB" w14:textId="77777777" w:rsidR="00133CD9" w:rsidRDefault="00133CD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B2A3E" w14:textId="77777777" w:rsidR="00133CD9" w:rsidRDefault="00133C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2DA4A1" w14:textId="77777777" w:rsidR="008D5666" w:rsidRDefault="008D5666">
      <w:pPr>
        <w:spacing w:after="0" w:line="240" w:lineRule="auto"/>
      </w:pPr>
      <w:r>
        <w:separator/>
      </w:r>
    </w:p>
  </w:footnote>
  <w:footnote w:type="continuationSeparator" w:id="0">
    <w:p w14:paraId="5151A0E7" w14:textId="77777777" w:rsidR="008D5666" w:rsidRDefault="008D56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B674C" w14:textId="77777777" w:rsidR="00133CD9" w:rsidRDefault="00133C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4478177"/>
      <w:docPartObj>
        <w:docPartGallery w:val="Page Numbers (Top of Page)"/>
        <w:docPartUnique/>
      </w:docPartObj>
    </w:sdtPr>
    <w:sdtEndPr>
      <w:rPr>
        <w:noProof/>
      </w:rPr>
    </w:sdtEndPr>
    <w:sdtContent>
      <w:p w14:paraId="55A3A080" w14:textId="77777777" w:rsidR="00133CD9" w:rsidRDefault="00133CD9">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1512D37" w14:textId="77777777" w:rsidR="00133CD9" w:rsidRDefault="00133CD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1F9D8" w14:textId="77777777" w:rsidR="00133CD9" w:rsidRDefault="00133C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E4CC4"/>
    <w:multiLevelType w:val="multilevel"/>
    <w:tmpl w:val="92289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8F29ED"/>
    <w:multiLevelType w:val="hybridMultilevel"/>
    <w:tmpl w:val="4B36C40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C3171C4"/>
    <w:multiLevelType w:val="hybridMultilevel"/>
    <w:tmpl w:val="7F24F8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EAF78CE"/>
    <w:multiLevelType w:val="multilevel"/>
    <w:tmpl w:val="82FEC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D10E6F"/>
    <w:multiLevelType w:val="multilevel"/>
    <w:tmpl w:val="B470A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926D80"/>
    <w:multiLevelType w:val="multilevel"/>
    <w:tmpl w:val="42589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DB043C"/>
    <w:multiLevelType w:val="multilevel"/>
    <w:tmpl w:val="32E86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EC755E"/>
    <w:multiLevelType w:val="hybridMultilevel"/>
    <w:tmpl w:val="A7747914"/>
    <w:lvl w:ilvl="0" w:tplc="D90C568C">
      <w:numFmt w:val="bullet"/>
      <w:lvlText w:val="•"/>
      <w:lvlJc w:val="left"/>
      <w:pPr>
        <w:ind w:left="1080" w:hanging="72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F327BDC"/>
    <w:multiLevelType w:val="hybridMultilevel"/>
    <w:tmpl w:val="DB6EC5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1626168"/>
    <w:multiLevelType w:val="hybridMultilevel"/>
    <w:tmpl w:val="4516B9C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93E6BCC"/>
    <w:multiLevelType w:val="multilevel"/>
    <w:tmpl w:val="89ACE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301A85"/>
    <w:multiLevelType w:val="hybridMultilevel"/>
    <w:tmpl w:val="23BEA8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0A435D9"/>
    <w:multiLevelType w:val="hybridMultilevel"/>
    <w:tmpl w:val="F6E439C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12A6242"/>
    <w:multiLevelType w:val="multilevel"/>
    <w:tmpl w:val="B874C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8326E2"/>
    <w:multiLevelType w:val="multilevel"/>
    <w:tmpl w:val="EEC8F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9943A1"/>
    <w:multiLevelType w:val="multilevel"/>
    <w:tmpl w:val="66C03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481D1F"/>
    <w:multiLevelType w:val="hybridMultilevel"/>
    <w:tmpl w:val="A9E2DD0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B073716"/>
    <w:multiLevelType w:val="multilevel"/>
    <w:tmpl w:val="22047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2425D0"/>
    <w:multiLevelType w:val="hybridMultilevel"/>
    <w:tmpl w:val="97EA83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E527E96"/>
    <w:multiLevelType w:val="multilevel"/>
    <w:tmpl w:val="349CD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3452EC"/>
    <w:multiLevelType w:val="multilevel"/>
    <w:tmpl w:val="E5B02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68514D"/>
    <w:multiLevelType w:val="multilevel"/>
    <w:tmpl w:val="8E32A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535256"/>
    <w:multiLevelType w:val="hybridMultilevel"/>
    <w:tmpl w:val="0680C4A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C257D34"/>
    <w:multiLevelType w:val="hybridMultilevel"/>
    <w:tmpl w:val="1D605E36"/>
    <w:lvl w:ilvl="0" w:tplc="C944F32A">
      <w:start w:val="1"/>
      <w:numFmt w:val="bullet"/>
      <w:lvlText w:val="●"/>
      <w:lvlJc w:val="left"/>
      <w:pPr>
        <w:ind w:left="720" w:hanging="360"/>
      </w:pPr>
    </w:lvl>
    <w:lvl w:ilvl="1" w:tplc="1876C0B8">
      <w:start w:val="1"/>
      <w:numFmt w:val="bullet"/>
      <w:lvlText w:val="○"/>
      <w:lvlJc w:val="left"/>
      <w:pPr>
        <w:ind w:left="1440" w:hanging="360"/>
      </w:pPr>
    </w:lvl>
    <w:lvl w:ilvl="2" w:tplc="D9C4E820">
      <w:start w:val="1"/>
      <w:numFmt w:val="bullet"/>
      <w:lvlText w:val="■"/>
      <w:lvlJc w:val="left"/>
      <w:pPr>
        <w:ind w:left="2160" w:hanging="360"/>
      </w:pPr>
    </w:lvl>
    <w:lvl w:ilvl="3" w:tplc="955A476E">
      <w:start w:val="1"/>
      <w:numFmt w:val="bullet"/>
      <w:lvlText w:val="●"/>
      <w:lvlJc w:val="left"/>
      <w:pPr>
        <w:ind w:left="2880" w:hanging="360"/>
      </w:pPr>
    </w:lvl>
    <w:lvl w:ilvl="4" w:tplc="AD2E3300">
      <w:start w:val="1"/>
      <w:numFmt w:val="bullet"/>
      <w:lvlText w:val="○"/>
      <w:lvlJc w:val="left"/>
      <w:pPr>
        <w:ind w:left="3600" w:hanging="360"/>
      </w:pPr>
    </w:lvl>
    <w:lvl w:ilvl="5" w:tplc="16307962">
      <w:start w:val="1"/>
      <w:numFmt w:val="bullet"/>
      <w:lvlText w:val="■"/>
      <w:lvlJc w:val="left"/>
      <w:pPr>
        <w:ind w:left="4320" w:hanging="360"/>
      </w:pPr>
    </w:lvl>
    <w:lvl w:ilvl="6" w:tplc="15885FBC">
      <w:start w:val="1"/>
      <w:numFmt w:val="bullet"/>
      <w:lvlText w:val="●"/>
      <w:lvlJc w:val="left"/>
      <w:pPr>
        <w:ind w:left="5040" w:hanging="360"/>
      </w:pPr>
    </w:lvl>
    <w:lvl w:ilvl="7" w:tplc="276CD5C4">
      <w:start w:val="1"/>
      <w:numFmt w:val="bullet"/>
      <w:lvlText w:val="●"/>
      <w:lvlJc w:val="left"/>
      <w:pPr>
        <w:ind w:left="5760" w:hanging="360"/>
      </w:pPr>
    </w:lvl>
    <w:lvl w:ilvl="8" w:tplc="593A998A">
      <w:start w:val="1"/>
      <w:numFmt w:val="bullet"/>
      <w:lvlText w:val="●"/>
      <w:lvlJc w:val="left"/>
      <w:pPr>
        <w:ind w:left="6480" w:hanging="360"/>
      </w:pPr>
    </w:lvl>
  </w:abstractNum>
  <w:abstractNum w:abstractNumId="24" w15:restartNumberingAfterBreak="0">
    <w:nsid w:val="56681C06"/>
    <w:multiLevelType w:val="hybridMultilevel"/>
    <w:tmpl w:val="AC1670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6F40E97"/>
    <w:multiLevelType w:val="hybridMultilevel"/>
    <w:tmpl w:val="B68CC6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A054AD5"/>
    <w:multiLevelType w:val="hybridMultilevel"/>
    <w:tmpl w:val="473647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D043F90"/>
    <w:multiLevelType w:val="hybridMultilevel"/>
    <w:tmpl w:val="6CFEB690"/>
    <w:lvl w:ilvl="0" w:tplc="D90C568C">
      <w:numFmt w:val="bullet"/>
      <w:lvlText w:val="•"/>
      <w:lvlJc w:val="left"/>
      <w:pPr>
        <w:ind w:left="1080" w:hanging="72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E942F6A"/>
    <w:multiLevelType w:val="hybridMultilevel"/>
    <w:tmpl w:val="60AE6E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634A4C1F"/>
    <w:multiLevelType w:val="hybridMultilevel"/>
    <w:tmpl w:val="151E6A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63975F25"/>
    <w:multiLevelType w:val="multilevel"/>
    <w:tmpl w:val="D4D6B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42F3B8D"/>
    <w:multiLevelType w:val="multilevel"/>
    <w:tmpl w:val="838E5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45D2199"/>
    <w:multiLevelType w:val="multilevel"/>
    <w:tmpl w:val="5462A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6D95750"/>
    <w:multiLevelType w:val="hybridMultilevel"/>
    <w:tmpl w:val="9D622F3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D0827DD"/>
    <w:multiLevelType w:val="hybridMultilevel"/>
    <w:tmpl w:val="F0EE9C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EF62B4C"/>
    <w:multiLevelType w:val="multilevel"/>
    <w:tmpl w:val="70285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0EB3FA5"/>
    <w:multiLevelType w:val="hybridMultilevel"/>
    <w:tmpl w:val="A072D4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768A5FAA"/>
    <w:multiLevelType w:val="multilevel"/>
    <w:tmpl w:val="7F847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A53264B"/>
    <w:multiLevelType w:val="multilevel"/>
    <w:tmpl w:val="6B0E5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DD647A6"/>
    <w:multiLevelType w:val="hybridMultilevel"/>
    <w:tmpl w:val="D85E303C"/>
    <w:lvl w:ilvl="0" w:tplc="FBBCE258">
      <w:start w:val="1"/>
      <w:numFmt w:val="decimalEnclosedFullstop"/>
      <w:lvlText w:val="%1"/>
      <w:lvlJc w:val="left"/>
      <w:pPr>
        <w:ind w:left="720" w:hanging="360"/>
      </w:pPr>
    </w:lvl>
    <w:lvl w:ilvl="1" w:tplc="ED800308">
      <w:start w:val="1"/>
      <w:numFmt w:val="decimalEnclosedFullstop"/>
      <w:lvlText w:val="%2"/>
      <w:lvlJc w:val="left"/>
      <w:pPr>
        <w:ind w:left="1440" w:hanging="360"/>
      </w:pPr>
    </w:lvl>
    <w:lvl w:ilvl="2" w:tplc="874E4B92">
      <w:start w:val="1"/>
      <w:numFmt w:val="decimalEnclosedFullstop"/>
      <w:lvlText w:val="%3"/>
      <w:lvlJc w:val="left"/>
      <w:pPr>
        <w:ind w:left="2160" w:hanging="360"/>
      </w:pPr>
    </w:lvl>
    <w:lvl w:ilvl="3" w:tplc="A3489654">
      <w:start w:val="1"/>
      <w:numFmt w:val="decimalEnclosedFullstop"/>
      <w:lvlText w:val="%4"/>
      <w:lvlJc w:val="left"/>
      <w:pPr>
        <w:ind w:left="2880" w:hanging="360"/>
      </w:pPr>
    </w:lvl>
    <w:lvl w:ilvl="4" w:tplc="A0A44CB2">
      <w:start w:val="1"/>
      <w:numFmt w:val="decimalEnclosedFullstop"/>
      <w:lvlText w:val="%5"/>
      <w:lvlJc w:val="left"/>
      <w:pPr>
        <w:ind w:left="3600" w:hanging="360"/>
      </w:pPr>
    </w:lvl>
    <w:lvl w:ilvl="5" w:tplc="97C6F94A">
      <w:start w:val="1"/>
      <w:numFmt w:val="decimalEnclosedFullstop"/>
      <w:lvlText w:val="%6"/>
      <w:lvlJc w:val="left"/>
      <w:pPr>
        <w:ind w:left="4320" w:hanging="360"/>
      </w:pPr>
    </w:lvl>
    <w:lvl w:ilvl="6" w:tplc="5936BE42">
      <w:start w:val="1"/>
      <w:numFmt w:val="decimalEnclosedFullstop"/>
      <w:lvlText w:val="%7"/>
      <w:lvlJc w:val="left"/>
      <w:pPr>
        <w:ind w:left="5040" w:hanging="360"/>
      </w:pPr>
    </w:lvl>
    <w:lvl w:ilvl="7" w:tplc="820A2B3C">
      <w:start w:val="1"/>
      <w:numFmt w:val="decimalEnclosedFullstop"/>
      <w:lvlText w:val="%8"/>
      <w:lvlJc w:val="left"/>
      <w:pPr>
        <w:ind w:left="5760" w:hanging="360"/>
      </w:pPr>
    </w:lvl>
    <w:lvl w:ilvl="8" w:tplc="2AAA2830">
      <w:start w:val="1"/>
      <w:numFmt w:val="decimalEnclosedFullstop"/>
      <w:lvlText w:val="%9"/>
      <w:lvlJc w:val="left"/>
      <w:pPr>
        <w:ind w:left="6480" w:hanging="360"/>
      </w:pPr>
    </w:lvl>
  </w:abstractNum>
  <w:num w:numId="1" w16cid:durableId="1006515693">
    <w:abstractNumId w:val="17"/>
  </w:num>
  <w:num w:numId="2" w16cid:durableId="906191502">
    <w:abstractNumId w:val="37"/>
  </w:num>
  <w:num w:numId="3" w16cid:durableId="491146546">
    <w:abstractNumId w:val="10"/>
  </w:num>
  <w:num w:numId="4" w16cid:durableId="433790064">
    <w:abstractNumId w:val="19"/>
  </w:num>
  <w:num w:numId="5" w16cid:durableId="1677540420">
    <w:abstractNumId w:val="14"/>
  </w:num>
  <w:num w:numId="6" w16cid:durableId="958681079">
    <w:abstractNumId w:val="20"/>
  </w:num>
  <w:num w:numId="7" w16cid:durableId="1002465750">
    <w:abstractNumId w:val="35"/>
  </w:num>
  <w:num w:numId="8" w16cid:durableId="1794593276">
    <w:abstractNumId w:val="38"/>
  </w:num>
  <w:num w:numId="9" w16cid:durableId="17201436">
    <w:abstractNumId w:val="32"/>
  </w:num>
  <w:num w:numId="10" w16cid:durableId="1540823974">
    <w:abstractNumId w:val="0"/>
  </w:num>
  <w:num w:numId="11" w16cid:durableId="1009869268">
    <w:abstractNumId w:val="30"/>
  </w:num>
  <w:num w:numId="12" w16cid:durableId="434011661">
    <w:abstractNumId w:val="21"/>
  </w:num>
  <w:num w:numId="13" w16cid:durableId="1006249306">
    <w:abstractNumId w:val="4"/>
  </w:num>
  <w:num w:numId="14" w16cid:durableId="1874613914">
    <w:abstractNumId w:val="13"/>
  </w:num>
  <w:num w:numId="15" w16cid:durableId="1663586696">
    <w:abstractNumId w:val="3"/>
  </w:num>
  <w:num w:numId="16" w16cid:durableId="956181274">
    <w:abstractNumId w:val="6"/>
  </w:num>
  <w:num w:numId="17" w16cid:durableId="2033799932">
    <w:abstractNumId w:val="15"/>
  </w:num>
  <w:num w:numId="18" w16cid:durableId="2141729755">
    <w:abstractNumId w:val="31"/>
  </w:num>
  <w:num w:numId="19" w16cid:durableId="687368441">
    <w:abstractNumId w:val="5"/>
  </w:num>
  <w:num w:numId="20" w16cid:durableId="2120490822">
    <w:abstractNumId w:val="7"/>
  </w:num>
  <w:num w:numId="21" w16cid:durableId="477504326">
    <w:abstractNumId w:val="27"/>
  </w:num>
  <w:num w:numId="22" w16cid:durableId="1519394994">
    <w:abstractNumId w:val="23"/>
    <w:lvlOverride w:ilvl="0">
      <w:startOverride w:val="1"/>
    </w:lvlOverride>
  </w:num>
  <w:num w:numId="23" w16cid:durableId="1534348070">
    <w:abstractNumId w:val="39"/>
    <w:lvlOverride w:ilvl="0">
      <w:startOverride w:val="1"/>
    </w:lvlOverride>
  </w:num>
  <w:num w:numId="24" w16cid:durableId="145366215">
    <w:abstractNumId w:val="16"/>
  </w:num>
  <w:num w:numId="25" w16cid:durableId="1493983459">
    <w:abstractNumId w:val="18"/>
  </w:num>
  <w:num w:numId="26" w16cid:durableId="886994893">
    <w:abstractNumId w:val="24"/>
  </w:num>
  <w:num w:numId="27" w16cid:durableId="337777640">
    <w:abstractNumId w:val="28"/>
  </w:num>
  <w:num w:numId="28" w16cid:durableId="118572258">
    <w:abstractNumId w:val="26"/>
  </w:num>
  <w:num w:numId="29" w16cid:durableId="995572421">
    <w:abstractNumId w:val="25"/>
  </w:num>
  <w:num w:numId="30" w16cid:durableId="938753343">
    <w:abstractNumId w:val="34"/>
  </w:num>
  <w:num w:numId="31" w16cid:durableId="284195321">
    <w:abstractNumId w:val="9"/>
  </w:num>
  <w:num w:numId="32" w16cid:durableId="1979145669">
    <w:abstractNumId w:val="1"/>
  </w:num>
  <w:num w:numId="33" w16cid:durableId="509104272">
    <w:abstractNumId w:val="36"/>
  </w:num>
  <w:num w:numId="34" w16cid:durableId="884218678">
    <w:abstractNumId w:val="8"/>
  </w:num>
  <w:num w:numId="35" w16cid:durableId="165445257">
    <w:abstractNumId w:val="11"/>
  </w:num>
  <w:num w:numId="36" w16cid:durableId="1456557788">
    <w:abstractNumId w:val="2"/>
  </w:num>
  <w:num w:numId="37" w16cid:durableId="2035302248">
    <w:abstractNumId w:val="22"/>
  </w:num>
  <w:num w:numId="38" w16cid:durableId="1339311039">
    <w:abstractNumId w:val="12"/>
  </w:num>
  <w:num w:numId="39" w16cid:durableId="1434125661">
    <w:abstractNumId w:val="29"/>
  </w:num>
  <w:num w:numId="40" w16cid:durableId="9359877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CD9"/>
    <w:rsid w:val="0001608F"/>
    <w:rsid w:val="00133CD9"/>
    <w:rsid w:val="00314404"/>
    <w:rsid w:val="00450056"/>
    <w:rsid w:val="004C491C"/>
    <w:rsid w:val="00690344"/>
    <w:rsid w:val="006910FC"/>
    <w:rsid w:val="00704E49"/>
    <w:rsid w:val="00803F7E"/>
    <w:rsid w:val="00825D0C"/>
    <w:rsid w:val="00895546"/>
    <w:rsid w:val="008C4663"/>
    <w:rsid w:val="008D5666"/>
    <w:rsid w:val="00992B5E"/>
    <w:rsid w:val="00DD2FE7"/>
    <w:rsid w:val="00DF3A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E1CCF"/>
  <w15:chartTrackingRefBased/>
  <w15:docId w15:val="{5D55C899-7211-44CE-87A3-BC5938FD5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3CD9"/>
    <w:rPr>
      <w:kern w:val="0"/>
      <w:lang w:val="en-AU"/>
    </w:rPr>
  </w:style>
  <w:style w:type="paragraph" w:styleId="Heading1">
    <w:name w:val="heading 1"/>
    <w:basedOn w:val="Normal"/>
    <w:next w:val="Normal"/>
    <w:link w:val="Heading1Char"/>
    <w:uiPriority w:val="9"/>
    <w:qFormat/>
    <w:rsid w:val="00133CD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33CD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133CD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33CD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33CD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33C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3C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3C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3C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3CD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33CD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133CD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33CD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33CD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33C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3C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3C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3CD9"/>
    <w:rPr>
      <w:rFonts w:eastAsiaTheme="majorEastAsia" w:cstheme="majorBidi"/>
      <w:color w:val="272727" w:themeColor="text1" w:themeTint="D8"/>
    </w:rPr>
  </w:style>
  <w:style w:type="paragraph" w:styleId="Title">
    <w:name w:val="Title"/>
    <w:basedOn w:val="Normal"/>
    <w:next w:val="Normal"/>
    <w:link w:val="TitleChar"/>
    <w:uiPriority w:val="10"/>
    <w:qFormat/>
    <w:rsid w:val="00133C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3C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3C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3C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3CD9"/>
    <w:pPr>
      <w:spacing w:before="160"/>
      <w:jc w:val="center"/>
    </w:pPr>
    <w:rPr>
      <w:i/>
      <w:iCs/>
      <w:color w:val="404040" w:themeColor="text1" w:themeTint="BF"/>
    </w:rPr>
  </w:style>
  <w:style w:type="character" w:customStyle="1" w:styleId="QuoteChar">
    <w:name w:val="Quote Char"/>
    <w:basedOn w:val="DefaultParagraphFont"/>
    <w:link w:val="Quote"/>
    <w:uiPriority w:val="29"/>
    <w:rsid w:val="00133CD9"/>
    <w:rPr>
      <w:i/>
      <w:iCs/>
      <w:color w:val="404040" w:themeColor="text1" w:themeTint="BF"/>
    </w:rPr>
  </w:style>
  <w:style w:type="paragraph" w:styleId="ListParagraph">
    <w:name w:val="List Paragraph"/>
    <w:basedOn w:val="Normal"/>
    <w:uiPriority w:val="34"/>
    <w:qFormat/>
    <w:rsid w:val="00133CD9"/>
    <w:pPr>
      <w:ind w:left="720"/>
      <w:contextualSpacing/>
    </w:pPr>
  </w:style>
  <w:style w:type="character" w:styleId="IntenseEmphasis">
    <w:name w:val="Intense Emphasis"/>
    <w:basedOn w:val="DefaultParagraphFont"/>
    <w:uiPriority w:val="21"/>
    <w:qFormat/>
    <w:rsid w:val="00133CD9"/>
    <w:rPr>
      <w:i/>
      <w:iCs/>
      <w:color w:val="2F5496" w:themeColor="accent1" w:themeShade="BF"/>
    </w:rPr>
  </w:style>
  <w:style w:type="paragraph" w:styleId="IntenseQuote">
    <w:name w:val="Intense Quote"/>
    <w:basedOn w:val="Normal"/>
    <w:next w:val="Normal"/>
    <w:link w:val="IntenseQuoteChar"/>
    <w:uiPriority w:val="30"/>
    <w:qFormat/>
    <w:rsid w:val="00133CD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33CD9"/>
    <w:rPr>
      <w:i/>
      <w:iCs/>
      <w:color w:val="2F5496" w:themeColor="accent1" w:themeShade="BF"/>
    </w:rPr>
  </w:style>
  <w:style w:type="character" w:styleId="IntenseReference">
    <w:name w:val="Intense Reference"/>
    <w:basedOn w:val="DefaultParagraphFont"/>
    <w:uiPriority w:val="32"/>
    <w:qFormat/>
    <w:rsid w:val="00133CD9"/>
    <w:rPr>
      <w:b/>
      <w:bCs/>
      <w:smallCaps/>
      <w:color w:val="2F5496" w:themeColor="accent1" w:themeShade="BF"/>
      <w:spacing w:val="5"/>
    </w:rPr>
  </w:style>
  <w:style w:type="paragraph" w:customStyle="1" w:styleId="JenniRefBody">
    <w:name w:val="JenniRefBody"/>
    <w:rsid w:val="00133CD9"/>
    <w:pPr>
      <w:spacing w:before="144" w:after="72" w:line="240" w:lineRule="auto"/>
    </w:pPr>
    <w:rPr>
      <w:rFonts w:ascii="Times New Roman" w:eastAsia="Times New Roman" w:hAnsi="Times New Roman" w:cs="Times New Roman"/>
      <w:color w:val="000000"/>
      <w:kern w:val="0"/>
      <w:sz w:val="20"/>
      <w:szCs w:val="20"/>
      <w:lang w:val="en-AU" w:eastAsia="en-AU"/>
      <w14:ligatures w14:val="none"/>
    </w:rPr>
  </w:style>
  <w:style w:type="character" w:styleId="Hyperlink">
    <w:name w:val="Hyperlink"/>
    <w:basedOn w:val="DefaultParagraphFont"/>
    <w:uiPriority w:val="99"/>
    <w:unhideWhenUsed/>
    <w:rsid w:val="00133CD9"/>
    <w:rPr>
      <w:color w:val="0563C1" w:themeColor="hyperlink"/>
      <w:u w:val="single"/>
    </w:rPr>
  </w:style>
  <w:style w:type="character" w:styleId="UnresolvedMention">
    <w:name w:val="Unresolved Mention"/>
    <w:basedOn w:val="DefaultParagraphFont"/>
    <w:uiPriority w:val="99"/>
    <w:semiHidden/>
    <w:unhideWhenUsed/>
    <w:rsid w:val="00133CD9"/>
    <w:rPr>
      <w:color w:val="605E5C"/>
      <w:shd w:val="clear" w:color="auto" w:fill="E1DFDD"/>
    </w:rPr>
  </w:style>
  <w:style w:type="paragraph" w:styleId="TOCHeading">
    <w:name w:val="TOC Heading"/>
    <w:basedOn w:val="Heading1"/>
    <w:next w:val="Normal"/>
    <w:uiPriority w:val="39"/>
    <w:unhideWhenUsed/>
    <w:qFormat/>
    <w:rsid w:val="00133CD9"/>
    <w:pPr>
      <w:spacing w:before="240" w:after="0"/>
      <w:outlineLvl w:val="9"/>
    </w:pPr>
    <w:rPr>
      <w:sz w:val="32"/>
      <w:szCs w:val="32"/>
      <w:lang w:val="en-US"/>
      <w14:ligatures w14:val="none"/>
    </w:rPr>
  </w:style>
  <w:style w:type="paragraph" w:styleId="TOC1">
    <w:name w:val="toc 1"/>
    <w:basedOn w:val="Normal"/>
    <w:next w:val="Normal"/>
    <w:autoRedefine/>
    <w:uiPriority w:val="39"/>
    <w:unhideWhenUsed/>
    <w:rsid w:val="00133CD9"/>
    <w:pPr>
      <w:spacing w:after="100"/>
    </w:pPr>
  </w:style>
  <w:style w:type="paragraph" w:styleId="TOC2">
    <w:name w:val="toc 2"/>
    <w:basedOn w:val="Normal"/>
    <w:next w:val="Normal"/>
    <w:autoRedefine/>
    <w:uiPriority w:val="39"/>
    <w:unhideWhenUsed/>
    <w:rsid w:val="00133CD9"/>
    <w:pPr>
      <w:spacing w:after="100"/>
      <w:ind w:left="220"/>
    </w:pPr>
  </w:style>
  <w:style w:type="paragraph" w:styleId="TOC3">
    <w:name w:val="toc 3"/>
    <w:basedOn w:val="Normal"/>
    <w:next w:val="Normal"/>
    <w:autoRedefine/>
    <w:uiPriority w:val="39"/>
    <w:unhideWhenUsed/>
    <w:rsid w:val="00133CD9"/>
    <w:pPr>
      <w:spacing w:after="100" w:line="278" w:lineRule="auto"/>
      <w:ind w:left="480"/>
    </w:pPr>
    <w:rPr>
      <w:rFonts w:eastAsiaTheme="minorEastAsia"/>
      <w:kern w:val="2"/>
      <w:sz w:val="24"/>
      <w:szCs w:val="24"/>
      <w:lang w:eastAsia="en-AU"/>
    </w:rPr>
  </w:style>
  <w:style w:type="paragraph" w:styleId="TOC4">
    <w:name w:val="toc 4"/>
    <w:basedOn w:val="Normal"/>
    <w:next w:val="Normal"/>
    <w:autoRedefine/>
    <w:uiPriority w:val="39"/>
    <w:unhideWhenUsed/>
    <w:rsid w:val="00133CD9"/>
    <w:pPr>
      <w:spacing w:after="100" w:line="278" w:lineRule="auto"/>
      <w:ind w:left="720"/>
    </w:pPr>
    <w:rPr>
      <w:rFonts w:eastAsiaTheme="minorEastAsia"/>
      <w:kern w:val="2"/>
      <w:sz w:val="24"/>
      <w:szCs w:val="24"/>
      <w:lang w:eastAsia="en-AU"/>
    </w:rPr>
  </w:style>
  <w:style w:type="paragraph" w:styleId="TOC5">
    <w:name w:val="toc 5"/>
    <w:basedOn w:val="Normal"/>
    <w:next w:val="Normal"/>
    <w:autoRedefine/>
    <w:uiPriority w:val="39"/>
    <w:unhideWhenUsed/>
    <w:rsid w:val="00133CD9"/>
    <w:pPr>
      <w:spacing w:after="100" w:line="278" w:lineRule="auto"/>
      <w:ind w:left="960"/>
    </w:pPr>
    <w:rPr>
      <w:rFonts w:eastAsiaTheme="minorEastAsia"/>
      <w:kern w:val="2"/>
      <w:sz w:val="24"/>
      <w:szCs w:val="24"/>
      <w:lang w:eastAsia="en-AU"/>
    </w:rPr>
  </w:style>
  <w:style w:type="paragraph" w:styleId="TOC6">
    <w:name w:val="toc 6"/>
    <w:basedOn w:val="Normal"/>
    <w:next w:val="Normal"/>
    <w:autoRedefine/>
    <w:uiPriority w:val="39"/>
    <w:unhideWhenUsed/>
    <w:rsid w:val="00133CD9"/>
    <w:pPr>
      <w:spacing w:after="100" w:line="278" w:lineRule="auto"/>
      <w:ind w:left="1200"/>
    </w:pPr>
    <w:rPr>
      <w:rFonts w:eastAsiaTheme="minorEastAsia"/>
      <w:kern w:val="2"/>
      <w:sz w:val="24"/>
      <w:szCs w:val="24"/>
      <w:lang w:eastAsia="en-AU"/>
    </w:rPr>
  </w:style>
  <w:style w:type="paragraph" w:styleId="TOC7">
    <w:name w:val="toc 7"/>
    <w:basedOn w:val="Normal"/>
    <w:next w:val="Normal"/>
    <w:autoRedefine/>
    <w:uiPriority w:val="39"/>
    <w:unhideWhenUsed/>
    <w:rsid w:val="00133CD9"/>
    <w:pPr>
      <w:spacing w:after="100" w:line="278" w:lineRule="auto"/>
      <w:ind w:left="1440"/>
    </w:pPr>
    <w:rPr>
      <w:rFonts w:eastAsiaTheme="minorEastAsia"/>
      <w:kern w:val="2"/>
      <w:sz w:val="24"/>
      <w:szCs w:val="24"/>
      <w:lang w:eastAsia="en-AU"/>
    </w:rPr>
  </w:style>
  <w:style w:type="paragraph" w:styleId="TOC8">
    <w:name w:val="toc 8"/>
    <w:basedOn w:val="Normal"/>
    <w:next w:val="Normal"/>
    <w:autoRedefine/>
    <w:uiPriority w:val="39"/>
    <w:unhideWhenUsed/>
    <w:rsid w:val="00133CD9"/>
    <w:pPr>
      <w:spacing w:after="100" w:line="278" w:lineRule="auto"/>
      <w:ind w:left="1680"/>
    </w:pPr>
    <w:rPr>
      <w:rFonts w:eastAsiaTheme="minorEastAsia"/>
      <w:kern w:val="2"/>
      <w:sz w:val="24"/>
      <w:szCs w:val="24"/>
      <w:lang w:eastAsia="en-AU"/>
    </w:rPr>
  </w:style>
  <w:style w:type="paragraph" w:styleId="TOC9">
    <w:name w:val="toc 9"/>
    <w:basedOn w:val="Normal"/>
    <w:next w:val="Normal"/>
    <w:autoRedefine/>
    <w:uiPriority w:val="39"/>
    <w:unhideWhenUsed/>
    <w:rsid w:val="00133CD9"/>
    <w:pPr>
      <w:spacing w:after="100" w:line="278" w:lineRule="auto"/>
      <w:ind w:left="1920"/>
    </w:pPr>
    <w:rPr>
      <w:rFonts w:eastAsiaTheme="minorEastAsia"/>
      <w:kern w:val="2"/>
      <w:sz w:val="24"/>
      <w:szCs w:val="24"/>
      <w:lang w:eastAsia="en-AU"/>
    </w:rPr>
  </w:style>
  <w:style w:type="paragraph" w:styleId="Header">
    <w:name w:val="header"/>
    <w:basedOn w:val="Normal"/>
    <w:link w:val="HeaderChar"/>
    <w:uiPriority w:val="99"/>
    <w:unhideWhenUsed/>
    <w:rsid w:val="00133C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3CD9"/>
    <w:rPr>
      <w:kern w:val="0"/>
      <w:lang w:val="en-AU"/>
    </w:rPr>
  </w:style>
  <w:style w:type="paragraph" w:styleId="Footer">
    <w:name w:val="footer"/>
    <w:basedOn w:val="Normal"/>
    <w:link w:val="FooterChar"/>
    <w:uiPriority w:val="99"/>
    <w:unhideWhenUsed/>
    <w:rsid w:val="00133C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3CD9"/>
    <w:rPr>
      <w:kern w:val="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worldbank.org/ext/en/country/singapore"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atabank.worldbank.org/source/world-development-indicator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mas.gov.sg/publications/annual-report/2023/annual-report-2022-2023"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20384</Words>
  <Characters>116190</Characters>
  <Application>Microsoft Office Word</Application>
  <DocSecurity>0</DocSecurity>
  <Lines>968</Lines>
  <Paragraphs>272</Paragraphs>
  <ScaleCrop>false</ScaleCrop>
  <Company/>
  <LinksUpToDate>false</LinksUpToDate>
  <CharactersWithSpaces>136302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Payal odedra</dc:creator>
  <cp:keywords/>
  <dc:description/>
  <cp:lastModifiedBy>Jay Karavadra</cp:lastModifiedBy>
  <cp:revision>5</cp:revision>
  <dcterms:created xsi:type="dcterms:W3CDTF">2026-08-27T14:12:00Z</dcterms:created>
  <dcterms:modified xsi:type="dcterms:W3CDTF">2026-08-27T14:54:00Z</dcterms:modified>
</cp:coreProperties>
</file>