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5E182F" w14:textId="720B55ED" w:rsidR="00D077E9" w:rsidRPr="00DD25B4" w:rsidRDefault="003C0BCC" w:rsidP="0021647D">
      <w:r w:rsidRPr="00DD25B4">
        <w:rPr>
          <w:noProof/>
        </w:rPr>
        <mc:AlternateContent>
          <mc:Choice Requires="wps">
            <w:drawing>
              <wp:anchor distT="0" distB="0" distL="114300" distR="114300" simplePos="0" relativeHeight="251659264" behindDoc="1" locked="0" layoutInCell="1" allowOverlap="1" wp14:anchorId="667734F7" wp14:editId="37EC4F6C">
                <wp:simplePos x="0" y="0"/>
                <wp:positionH relativeFrom="column">
                  <wp:posOffset>-743395</wp:posOffset>
                </wp:positionH>
                <wp:positionV relativeFrom="page">
                  <wp:align>bottom</wp:align>
                </wp:positionV>
                <wp:extent cx="7760970" cy="10653964"/>
                <wp:effectExtent l="0" t="0" r="0" b="0"/>
                <wp:wrapNone/>
                <wp:docPr id="2" name="Rectangle 2" descr="colored rectangle"/>
                <wp:cNvGraphicFramePr/>
                <a:graphic xmlns:a="http://schemas.openxmlformats.org/drawingml/2006/main">
                  <a:graphicData uri="http://schemas.microsoft.com/office/word/2010/wordprocessingShape">
                    <wps:wsp>
                      <wps:cNvSpPr/>
                      <wps:spPr>
                        <a:xfrm>
                          <a:off x="0" y="0"/>
                          <a:ext cx="7760970" cy="10653964"/>
                        </a:xfrm>
                        <a:prstGeom prst="rect">
                          <a:avLst/>
                        </a:prstGeom>
                        <a:solidFill>
                          <a:schemeClr val="accent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du="http://schemas.microsoft.com/office/word/2023/wordml/word16du">
            <w:pict>
              <v:rect w14:anchorId="5CA89245" id="Rectangle 2" o:spid="_x0000_s1026" alt="colored rectangle" style="position:absolute;margin-left:-58.55pt;margin-top:0;width:611.1pt;height:838.9pt;z-index:-251657216;visibility:visible;mso-wrap-style:square;mso-height-percent:0;mso-wrap-distance-left:9pt;mso-wrap-distance-top:0;mso-wrap-distance-right:9pt;mso-wrap-distance-bottom:0;mso-position-horizontal:absolute;mso-position-horizontal-relative:text;mso-position-vertical:bottom;mso-position-vertical-relative:page;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" fillcolor="#34aba2 [3206]" stroked="f" strokeweight="2pt">
                <w10:wrap anchory="page"/>
              </v:rect>
            </w:pict>
          </mc:Fallback>
        </mc:AlternateContent>
      </w:r>
    </w:p>
    <w:tbl>
      <w:tblPr>
        <w:tblpPr w:leftFromText="180" w:rightFromText="180" w:vertAnchor="text" w:horzAnchor="margin" w:tblpY="-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5580"/>
      </w:tblGrid>
      <w:tr w:rsidR="00D077E9" w:rsidRPr="00DD25B4" w14:paraId="1F21DFD2" w14:textId="77777777" w:rsidTr="00D077E9">
        <w:trPr>
          <w:trHeight w:val="1894"/>
        </w:trPr>
        <w:tc>
          <w:tcPr>
            <w:tcW w:w="5580" w:type="dxa"/>
            <w:tcBorders>
              <w:top w:val="nil"/>
              <w:left w:val="nil"/>
              <w:bottom w:val="nil"/>
              <w:right w:val="nil"/>
            </w:tcBorders>
          </w:tcPr>
          <w:p w14:paraId="7ED2A467" w14:textId="77777777" w:rsidR="00D077E9" w:rsidRPr="00DD25B4" w:rsidRDefault="00D077E9" w:rsidP="00D077E9">
            <w:r w:rsidRPr="00DD25B4">
              <w:rPr>
                <w:noProof/>
              </w:rPr>
              <mc:AlternateContent>
                <mc:Choice Requires="wps">
                  <w:drawing>
                    <wp:inline distT="0" distB="0" distL="0" distR="0" wp14:anchorId="00C558B2" wp14:editId="2DE85AEA">
                      <wp:extent cx="3528695" cy="1210614"/>
                      <wp:effectExtent l="0" t="0" r="0" b="0"/>
                      <wp:docPr id="8" name="Text Box 8"/>
                      <wp:cNvGraphicFramePr/>
                      <a:graphic xmlns:a="http://schemas.openxmlformats.org/drawingml/2006/main">
                        <a:graphicData uri="http://schemas.microsoft.com/office/word/2010/wordprocessingShape">
                          <wps:wsp>
                            <wps:cNvSpPr txBox="1"/>
                            <wps:spPr>
                              <a:xfrm>
                                <a:off x="0" y="0"/>
                                <a:ext cx="3528695" cy="1210614"/>
                              </a:xfrm>
                              <a:prstGeom prst="rect">
                                <a:avLst/>
                              </a:prstGeom>
                              <a:noFill/>
                              <a:ln w="6350">
                                <a:noFill/>
                              </a:ln>
                            </wps:spPr>
                            <wps:txbx>
                              <w:txbxContent>
                                <w:p w14:paraId="78B6CE33" w14:textId="43C4F3FF" w:rsidR="00D077E9" w:rsidRPr="00DD25B4" w:rsidRDefault="00452EA7" w:rsidP="00452EA7">
                                  <w:pPr>
                                    <w:pStyle w:val="Title"/>
                                    <w:rPr>
                                      <w:sz w:val="32"/>
                                      <w:szCs w:val="24"/>
                                    </w:rPr>
                                  </w:pPr>
                                  <w:r w:rsidRPr="00DD25B4">
                                    <w:rPr>
                                      <w:sz w:val="32"/>
                                      <w:szCs w:val="24"/>
                                    </w:rPr>
                                    <w:t>Six Sigma Green Belt Project</w:t>
                                  </w:r>
                                </w:p>
                                <w:p w14:paraId="79582909" w14:textId="206B6BAB" w:rsidR="00452EA7" w:rsidRPr="00DD25B4" w:rsidRDefault="00893EDD" w:rsidP="00452EA7">
                                  <w:pPr>
                                    <w:pStyle w:val="Title"/>
                                    <w:rPr>
                                      <w:sz w:val="32"/>
                                      <w:szCs w:val="24"/>
                                    </w:rPr>
                                  </w:pPr>
                                  <w:r w:rsidRPr="00DD25B4">
                                    <w:rPr>
                                      <w:sz w:val="32"/>
                                      <w:szCs w:val="24"/>
                                    </w:rPr>
                                    <w:t>ACMA5005</w:t>
                                  </w:r>
                                </w:p>
                                <w:p w14:paraId="3FD1C817" w14:textId="14792647" w:rsidR="00893EDD" w:rsidRPr="00DD25B4" w:rsidRDefault="00130545" w:rsidP="00452EA7">
                                  <w:pPr>
                                    <w:pStyle w:val="Title"/>
                                    <w:rPr>
                                      <w:sz w:val="32"/>
                                      <w:szCs w:val="24"/>
                                    </w:rPr>
                                  </w:pPr>
                                  <w:r w:rsidRPr="00DD25B4">
                                    <w:rPr>
                                      <w:sz w:val="32"/>
                                      <w:szCs w:val="24"/>
                                    </w:rPr>
                                    <w:t>Andrew Thorn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00C558B2" id="_x0000_t202" coordsize="21600,21600" o:spt="202" path="m,l,21600r21600,l21600,xe">
                      <v:stroke joinstyle="miter"/>
                      <v:path gradientshapeok="t" o:connecttype="rect"/>
                    </v:shapetype>
                    <v:shape id="Text Box 8" o:spid="_x0000_s1026" type="#_x0000_t202" style="width:277.85pt;height:95.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" filled="f" stroked="f" strokeweight=".5pt">
                      <v:textbox>
                        <w:txbxContent>
                          <w:p w14:paraId="78B6CE33" w14:textId="43C4F3FF" w:rsidR="00D077E9" w:rsidRPr="00DD25B4" w:rsidRDefault="00452EA7" w:rsidP="00452EA7">
                            <w:pPr>
                              <w:pStyle w:val="Title"/>
                              <w:rPr>
                                <w:sz w:val="32"/>
                                <w:szCs w:val="24"/>
                              </w:rPr>
                            </w:pPr>
                            <w:r w:rsidRPr="00DD25B4">
                              <w:rPr>
                                <w:sz w:val="32"/>
                                <w:szCs w:val="24"/>
                              </w:rPr>
                              <w:t>Six Sigma Green Belt Project</w:t>
                            </w:r>
                          </w:p>
                          <w:p w14:paraId="79582909" w14:textId="206B6BAB" w:rsidR="00452EA7" w:rsidRPr="00DD25B4" w:rsidRDefault="00893EDD" w:rsidP="00452EA7">
                            <w:pPr>
                              <w:pStyle w:val="Title"/>
                              <w:rPr>
                                <w:sz w:val="32"/>
                                <w:szCs w:val="24"/>
                              </w:rPr>
                            </w:pPr>
                            <w:r w:rsidRPr="00DD25B4">
                              <w:rPr>
                                <w:sz w:val="32"/>
                                <w:szCs w:val="24"/>
                              </w:rPr>
                              <w:t>ACMA5005</w:t>
                            </w:r>
                          </w:p>
                          <w:p w14:paraId="3FD1C817" w14:textId="14792647" w:rsidR="00893EDD" w:rsidRPr="00DD25B4" w:rsidRDefault="00130545" w:rsidP="00452EA7">
                            <w:pPr>
                              <w:pStyle w:val="Title"/>
                              <w:rPr>
                                <w:sz w:val="32"/>
                                <w:szCs w:val="24"/>
                              </w:rPr>
                            </w:pPr>
                            <w:r w:rsidRPr="00DD25B4">
                              <w:rPr>
                                <w:sz w:val="32"/>
                                <w:szCs w:val="24"/>
                              </w:rPr>
                              <w:t>Andrew Thorn</w:t>
                            </w:r>
                          </w:p>
                        </w:txbxContent>
                      </v:textbox>
                      <w10:anchorlock/>
                    </v:shape>
                  </w:pict>
                </mc:Fallback>
              </mc:AlternateContent>
            </w:r>
          </w:p>
          <w:p w14:paraId="71FA01BF" w14:textId="77777777" w:rsidR="00D077E9" w:rsidRPr="00DD25B4" w:rsidRDefault="00D077E9" w:rsidP="00D077E9">
            <w:r w:rsidRPr="00DD25B4">
              <w:rPr>
                <w:noProof/>
              </w:rPr>
              <mc:AlternateContent>
                <mc:Choice Requires="wps">
                  <w:drawing>
                    <wp:inline distT="0" distB="0" distL="0" distR="0" wp14:anchorId="45F489F7" wp14:editId="515DAE98">
                      <wp:extent cx="1390918" cy="0"/>
                      <wp:effectExtent l="0" t="19050" r="19050" b="19050"/>
                      <wp:docPr id="5" name="Straight Connector 5" descr="text divider"/>
                      <wp:cNvGraphicFramePr/>
                      <a:graphic xmlns:a="http://schemas.openxmlformats.org/drawingml/2006/main">
                        <a:graphicData uri="http://schemas.microsoft.com/office/word/2010/wordprocessingShape">
                          <wps:wsp>
                            <wps:cNvCnPr/>
                            <wps:spPr>
                              <a:xfrm>
                                <a:off x="0" y="0"/>
                                <a:ext cx="1390918" cy="0"/>
                              </a:xfrm>
                              <a:prstGeom prst="line">
                                <a:avLst/>
                              </a:prstGeom>
                              <a:ln w="3810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xmlns:w16du="http://schemas.microsoft.com/office/word/2023/wordml/word16du">
                  <w:pict>
                    <v:line w14:anchorId="28E3F3EC" id="Straight Connector 5" o:spid="_x0000_s1026" alt="text divider" style="visibility:visible;mso-wrap-style:square;mso-left-percent:-10001;mso-top-percent:-10001;mso-position-horizontal:absolute;mso-position-horizontal-relative:char;mso-position-vertical:absolute;mso-position-vertical-relative:line;mso-left-percent:-10001;mso-top-percent:-10001" from="0,0" to="10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" strokecolor="#082a75 [3215]" strokeweight="3pt">
                      <w10:anchorlock/>
                    </v:line>
                  </w:pict>
                </mc:Fallback>
              </mc:AlternateContent>
            </w:r>
          </w:p>
        </w:tc>
      </w:tr>
      <w:tr w:rsidR="00D077E9" w:rsidRPr="00DD25B4" w14:paraId="5D0C6449" w14:textId="77777777" w:rsidTr="00D077E9">
        <w:trPr>
          <w:trHeight w:val="7636"/>
        </w:trPr>
        <w:tc>
          <w:tcPr>
            <w:tcW w:w="5580" w:type="dxa"/>
            <w:tcBorders>
              <w:top w:val="nil"/>
              <w:left w:val="nil"/>
              <w:bottom w:val="nil"/>
              <w:right w:val="nil"/>
            </w:tcBorders>
          </w:tcPr>
          <w:p w14:paraId="71943043" w14:textId="77777777" w:rsidR="00D077E9" w:rsidRPr="00DD25B4" w:rsidRDefault="00D077E9" w:rsidP="00D077E9"/>
        </w:tc>
      </w:tr>
      <w:tr w:rsidR="00D077E9" w:rsidRPr="00DD25B4" w14:paraId="3BF4DDBC" w14:textId="77777777" w:rsidTr="00D077E9">
        <w:trPr>
          <w:trHeight w:val="2171"/>
        </w:trPr>
        <w:tc>
          <w:tcPr>
            <w:tcW w:w="5580" w:type="dxa"/>
            <w:tcBorders>
              <w:top w:val="nil"/>
              <w:left w:val="nil"/>
              <w:bottom w:val="nil"/>
              <w:right w:val="nil"/>
            </w:tcBorders>
          </w:tcPr>
          <w:p w14:paraId="3F703EBA" w14:textId="6B89C5F8" w:rsidR="00D077E9" w:rsidRPr="00DD25B4" w:rsidRDefault="00D077E9" w:rsidP="00D077E9"/>
          <w:p w14:paraId="50234939" w14:textId="77777777" w:rsidR="00D077E9" w:rsidRPr="00DD25B4" w:rsidRDefault="00D077E9" w:rsidP="00D077E9">
            <w:pPr>
              <w:rPr>
                <w:sz w:val="10"/>
                <w:szCs w:val="10"/>
              </w:rPr>
            </w:pPr>
            <w:r w:rsidRPr="00DD25B4">
              <w:rPr>
                <w:noProof/>
                <w:sz w:val="10"/>
                <w:szCs w:val="10"/>
              </w:rPr>
              <mc:AlternateContent>
                <mc:Choice Requires="wps">
                  <w:drawing>
                    <wp:inline distT="0" distB="0" distL="0" distR="0" wp14:anchorId="11FFE7EB" wp14:editId="2170EF06">
                      <wp:extent cx="1493949" cy="0"/>
                      <wp:effectExtent l="0" t="19050" r="30480" b="19050"/>
                      <wp:docPr id="6" name="Straight Connector 6" descr="text divider"/>
                      <wp:cNvGraphicFramePr/>
                      <a:graphic xmlns:a="http://schemas.openxmlformats.org/drawingml/2006/main">
                        <a:graphicData uri="http://schemas.microsoft.com/office/word/2010/wordprocessingShape">
                          <wps:wsp>
                            <wps:cNvCnPr/>
                            <wps:spPr>
                              <a:xfrm>
                                <a:off x="0" y="0"/>
                                <a:ext cx="1493949" cy="0"/>
                              </a:xfrm>
                              <a:prstGeom prst="line">
                                <a:avLst/>
                              </a:prstGeom>
                              <a:ln w="3810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xmlns:w16du="http://schemas.microsoft.com/office/word/2023/wordml/word16du">
                  <w:pict>
                    <v:line w14:anchorId="73A3D42B" id="Straight Connector 6" o:spid="_x0000_s1026" alt="text divider" style="visibility:visible;mso-wrap-style:square;mso-left-percent:-10001;mso-top-percent:-10001;mso-position-horizontal:absolute;mso-position-horizontal-relative:char;mso-position-vertical:absolute;mso-position-vertical-relative:line;mso-left-percent:-10001;mso-top-percent:-10001" from="0,0" to="117.6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" strokecolor="#082a75 [3215]" strokeweight="3pt">
                      <w10:anchorlock/>
                    </v:line>
                  </w:pict>
                </mc:Fallback>
              </mc:AlternateContent>
            </w:r>
          </w:p>
          <w:p w14:paraId="74BCFFDF" w14:textId="77777777" w:rsidR="00D077E9" w:rsidRPr="00DD25B4" w:rsidRDefault="00D077E9" w:rsidP="00D077E9">
            <w:pPr>
              <w:rPr>
                <w:sz w:val="10"/>
                <w:szCs w:val="10"/>
              </w:rPr>
            </w:pPr>
          </w:p>
          <w:p w14:paraId="11B10AFF" w14:textId="77777777" w:rsidR="00D077E9" w:rsidRPr="00DD25B4" w:rsidRDefault="00D077E9" w:rsidP="00D077E9">
            <w:pPr>
              <w:rPr>
                <w:sz w:val="10"/>
                <w:szCs w:val="10"/>
              </w:rPr>
            </w:pPr>
          </w:p>
          <w:p w14:paraId="4FFF8B36" w14:textId="459EBA02" w:rsidR="00D077E9" w:rsidRPr="00DD25B4" w:rsidRDefault="00736509" w:rsidP="00D077E9">
            <w:sdt>
              <w:sdtPr>
                <w:id w:val="-1740469667"/>
                <w:placeholder>
                  <w:docPart w:val="5D93F64550F4407A90F94D562B9FF59F"/>
                </w:placeholder>
                <w15:appearance w15:val="hidden"/>
              </w:sdtPr>
              <w:sdtEndPr/>
              <w:sdtContent>
                <w:r w:rsidR="00130545" w:rsidRPr="00DD25B4">
                  <w:t>TATA Steel</w:t>
                </w:r>
              </w:sdtContent>
            </w:sdt>
          </w:p>
          <w:p w14:paraId="198C87C3" w14:textId="483884D2" w:rsidR="00D077E9" w:rsidRPr="00DD25B4" w:rsidRDefault="00D077E9" w:rsidP="00D077E9">
            <w:r w:rsidRPr="00DD25B4">
              <w:t xml:space="preserve">Authored by: </w:t>
            </w:r>
            <w:sdt>
              <w:sdtPr>
                <w:alias w:val="Your Name"/>
                <w:tag w:val="Your Name"/>
                <w:id w:val="-180584491"/>
                <w:placeholder>
                  <w:docPart w:val="DE240B2A703949FDA2FD256A21AB3673"/>
                </w:placeholder>
                <w:dataBinding w:prefixMappings="xmlns:ns0='http://schemas.microsoft.com/office/2006/coverPageProps' " w:xpath="/ns0:CoverPageProperties[1]/ns0:CompanyFax[1]" w:storeItemID="{55AF091B-3C7A-41E3-B477-F2FDAA23CFDA}"/>
                <w15:appearance w15:val="hidden"/>
                <w:text w:multiLine="1"/>
              </w:sdtPr>
              <w:sdtEndPr/>
              <w:sdtContent>
                <w:r w:rsidR="00130545" w:rsidRPr="00DD25B4">
                  <w:t>Alex Greenslade</w:t>
                </w:r>
              </w:sdtContent>
            </w:sdt>
          </w:p>
          <w:p w14:paraId="3F4101F5" w14:textId="77777777" w:rsidR="00D077E9" w:rsidRPr="00DD25B4" w:rsidRDefault="00D077E9" w:rsidP="00D077E9">
            <w:pPr>
              <w:rPr>
                <w:sz w:val="10"/>
                <w:szCs w:val="10"/>
              </w:rPr>
            </w:pPr>
          </w:p>
        </w:tc>
      </w:tr>
    </w:tbl>
    <w:p w14:paraId="3BEB44F2" w14:textId="1C8C32FA" w:rsidR="00D077E9" w:rsidRPr="00DD25B4" w:rsidRDefault="00D077E9">
      <w:pPr>
        <w:spacing w:after="200"/>
      </w:pPr>
      <w:r w:rsidRPr="00DD25B4">
        <w:rPr>
          <w:noProof/>
        </w:rPr>
        <mc:AlternateContent>
          <mc:Choice Requires="wps">
            <w:drawing>
              <wp:anchor distT="0" distB="0" distL="114300" distR="114300" simplePos="0" relativeHeight="251660288" behindDoc="1" locked="0" layoutInCell="1" allowOverlap="1" wp14:anchorId="28931B77" wp14:editId="498C7111">
                <wp:simplePos x="0" y="0"/>
                <wp:positionH relativeFrom="column">
                  <wp:posOffset>-205105</wp:posOffset>
                </wp:positionH>
                <wp:positionV relativeFrom="page">
                  <wp:posOffset>900430</wp:posOffset>
                </wp:positionV>
                <wp:extent cx="3938905" cy="8267700"/>
                <wp:effectExtent l="0" t="0" r="4445" b="0"/>
                <wp:wrapNone/>
                <wp:docPr id="3" name="Rectangle 3" descr="white rectangle for text on cover"/>
                <wp:cNvGraphicFramePr/>
                <a:graphic xmlns:a="http://schemas.openxmlformats.org/drawingml/2006/main">
                  <a:graphicData uri="http://schemas.microsoft.com/office/word/2010/wordprocessingShape">
                    <wps:wsp>
                      <wps:cNvSpPr/>
                      <wps:spPr>
                        <a:xfrm>
                          <a:off x="0" y="0"/>
                          <a:ext cx="3938905" cy="82677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du="http://schemas.microsoft.com/office/word/2023/wordml/word16du">
            <w:pict>
              <v:rect w14:anchorId="24A20CB7" id="Rectangle 3" o:spid="_x0000_s1026" alt="white rectangle for text on cover" style="position:absolute;margin-left:-16.15pt;margin-top:70.9pt;width:310.15pt;height:651pt;z-index:-251656192;visibility:visible;mso-wrap-style:square;mso-width-percent:0;mso-wrap-distance-left:9pt;mso-wrap-distance-top:0;mso-wrap-distance-right:9pt;mso-wrap-distance-bottom:0;mso-position-horizontal:absolute;mso-position-horizontal-relative:text;mso-position-vertical:absolute;mso-position-vertical-relative:page;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" fillcolor="white [3212]" stroked="f" strokeweight="2pt">
                <w10:wrap anchory="page"/>
              </v:rect>
            </w:pict>
          </mc:Fallback>
        </mc:AlternateContent>
      </w:r>
      <w:r w:rsidRPr="00DD25B4">
        <w:br w:type="page"/>
      </w:r>
    </w:p>
    <w:p w14:paraId="6B7B4E96" w14:textId="77777777" w:rsidR="00AA7298" w:rsidRPr="00DD25B4" w:rsidRDefault="003733AB" w:rsidP="003733AB">
      <w:pPr>
        <w:pStyle w:val="Heading1"/>
        <w:rPr>
          <w:rStyle w:val="Hyperlink"/>
          <w:color w:val="061F57" w:themeColor="text2" w:themeShade="BF"/>
          <w:u w:val="none"/>
        </w:rPr>
      </w:pPr>
      <w:bookmarkStart w:id="0" w:name="_Toc164832258"/>
      <w:r w:rsidRPr="00DD25B4">
        <w:rPr>
          <w:rStyle w:val="Hyperlink"/>
          <w:color w:val="061F57" w:themeColor="text2" w:themeShade="BF"/>
          <w:u w:val="none"/>
        </w:rPr>
        <w:lastRenderedPageBreak/>
        <w:t>Abstract</w:t>
      </w:r>
      <w:bookmarkEnd w:id="0"/>
    </w:p>
    <w:p w14:paraId="0DB86727" w14:textId="0ADAE759" w:rsidR="003733AB" w:rsidRPr="00DD25B4" w:rsidRDefault="001B33FA" w:rsidP="00AA7298">
      <w:pPr>
        <w:spacing w:line="360" w:lineRule="auto"/>
        <w:jc w:val="both"/>
        <w:rPr>
          <w:rStyle w:val="Hyperlink"/>
          <w:rFonts w:ascii="Arial" w:hAnsi="Arial" w:cs="Arial"/>
          <w:b w:val="0"/>
          <w:bCs/>
          <w:color w:val="061F57" w:themeColor="text2" w:themeShade="BF"/>
          <w:sz w:val="22"/>
          <w:u w:val="none"/>
        </w:rPr>
      </w:pPr>
      <w:r w:rsidRPr="00DD25B4">
        <w:rPr>
          <w:rStyle w:val="Hyperlink"/>
          <w:rFonts w:ascii="Arial" w:hAnsi="Arial" w:cs="Arial"/>
          <w:b w:val="0"/>
          <w:bCs/>
          <w:color w:val="auto"/>
          <w:sz w:val="22"/>
          <w:u w:val="none"/>
        </w:rPr>
        <w:t xml:space="preserve">Coke Strength after Reaction </w:t>
      </w:r>
      <w:r w:rsidR="00AA7298" w:rsidRPr="00DD25B4">
        <w:rPr>
          <w:rStyle w:val="Hyperlink"/>
          <w:rFonts w:ascii="Arial" w:hAnsi="Arial" w:cs="Arial"/>
          <w:b w:val="0"/>
          <w:bCs/>
          <w:color w:val="auto"/>
          <w:sz w:val="22"/>
          <w:u w:val="none"/>
        </w:rPr>
        <w:t>(CSR) testing is vital for ensuring compliance with regulatory standards and facilitating informed decision-making in industrial operations. However, maintaining consistency and reliability in CSR testing presents significant challenges due to various factors such as equipment performance, sampling methods, environmental conditions, and measurement procedures. This paper investigates the underlying causes of variation in CSR testing processes and proposes interventions to enhance testing reliability. Through collaborative efforts involving technicians, line managers, and industry stakeholders, a comprehensive analysis of the CSR testing process was conducted. Key interventions include the introduction of life cycles for critical components, implementation of preflight checks and procedural audits, and mitigation of environmental influences. Challenges related to temperature validation and gas flow regulation are also addressed. By systematically addressing root causes of variation and implementing targeted interventions, this study aims to improve the reliability and consistency of CSR testing processes, thereby enhancing operational efficiency and sustainability in industrial settings.</w:t>
      </w:r>
      <w:r w:rsidR="003733AB" w:rsidRPr="00DD25B4">
        <w:rPr>
          <w:rStyle w:val="Hyperlink"/>
          <w:rFonts w:ascii="Arial" w:hAnsi="Arial" w:cs="Arial"/>
          <w:b w:val="0"/>
          <w:bCs/>
          <w:color w:val="061F57" w:themeColor="text2" w:themeShade="BF"/>
          <w:sz w:val="22"/>
          <w:u w:val="none"/>
        </w:rPr>
        <w:br w:type="page"/>
      </w:r>
    </w:p>
    <w:sdt>
      <w:sdtPr>
        <w:rPr>
          <w:rFonts w:asciiTheme="minorHAnsi" w:eastAsiaTheme="minorEastAsia" w:hAnsiTheme="minorHAnsi" w:cstheme="minorBidi"/>
          <w:b/>
          <w:color w:val="082A75" w:themeColor="text2"/>
          <w:sz w:val="28"/>
          <w:szCs w:val="22"/>
          <w:lang w:eastAsia="en-US"/>
        </w:rPr>
        <w:id w:val="-440078426"/>
        <w:docPartObj>
          <w:docPartGallery w:val="Table of Contents"/>
          <w:docPartUnique/>
        </w:docPartObj>
      </w:sdtPr>
      <w:sdtEndPr>
        <w:rPr>
          <w:bCs/>
        </w:rPr>
      </w:sdtEndPr>
      <w:sdtContent>
        <w:p w14:paraId="11435054" w14:textId="63DB65F0" w:rsidR="00111174" w:rsidRPr="00DD25B4" w:rsidRDefault="00111174">
          <w:pPr>
            <w:pStyle w:val="TOCHeading"/>
          </w:pPr>
          <w:r w:rsidRPr="00DD25B4">
            <w:t>Contents</w:t>
          </w:r>
        </w:p>
        <w:p w14:paraId="089A01A9" w14:textId="2CC3982C" w:rsidR="00C87BFB" w:rsidRDefault="00111174">
          <w:pPr>
            <w:pStyle w:val="TOC1"/>
            <w:tabs>
              <w:tab w:val="right" w:leader="dot" w:pos="9926"/>
            </w:tabs>
            <w:rPr>
              <w:b w:val="0"/>
              <w:noProof/>
              <w:color w:val="auto"/>
              <w:kern w:val="2"/>
              <w:sz w:val="24"/>
              <w:szCs w:val="24"/>
              <w:lang w:eastAsia="en-GB"/>
              <w14:ligatures w14:val="standardContextual"/>
            </w:rPr>
          </w:pPr>
          <w:r w:rsidRPr="00DD25B4">
            <w:fldChar w:fldCharType="begin"/>
          </w:r>
          <w:r w:rsidRPr="00DD25B4">
            <w:instrText xml:space="preserve"> TOC \o "1-3" \h \z \u </w:instrText>
          </w:r>
          <w:r w:rsidRPr="00DD25B4">
            <w:fldChar w:fldCharType="separate"/>
          </w:r>
          <w:hyperlink w:anchor="_Toc164832258" w:history="1">
            <w:r w:rsidR="00C87BFB" w:rsidRPr="006820DD">
              <w:rPr>
                <w:rStyle w:val="Hyperlink"/>
                <w:noProof/>
              </w:rPr>
              <w:t>Abstract</w:t>
            </w:r>
            <w:r w:rsidR="00C87BFB">
              <w:rPr>
                <w:noProof/>
                <w:webHidden/>
              </w:rPr>
              <w:tab/>
            </w:r>
            <w:r w:rsidR="00C87BFB">
              <w:rPr>
                <w:noProof/>
                <w:webHidden/>
              </w:rPr>
              <w:fldChar w:fldCharType="begin"/>
            </w:r>
            <w:r w:rsidR="00C87BFB">
              <w:rPr>
                <w:noProof/>
                <w:webHidden/>
              </w:rPr>
              <w:instrText xml:space="preserve"> PAGEREF _Toc164832258 \h </w:instrText>
            </w:r>
            <w:r w:rsidR="00C87BFB">
              <w:rPr>
                <w:noProof/>
                <w:webHidden/>
              </w:rPr>
            </w:r>
            <w:r w:rsidR="00C87BFB">
              <w:rPr>
                <w:noProof/>
                <w:webHidden/>
              </w:rPr>
              <w:fldChar w:fldCharType="separate"/>
            </w:r>
            <w:r w:rsidR="00C87BFB">
              <w:rPr>
                <w:noProof/>
                <w:webHidden/>
              </w:rPr>
              <w:t>2</w:t>
            </w:r>
            <w:r w:rsidR="00C87BFB">
              <w:rPr>
                <w:noProof/>
                <w:webHidden/>
              </w:rPr>
              <w:fldChar w:fldCharType="end"/>
            </w:r>
          </w:hyperlink>
        </w:p>
        <w:p w14:paraId="173E7315" w14:textId="051279B3" w:rsidR="00C87BFB" w:rsidRDefault="00736509">
          <w:pPr>
            <w:pStyle w:val="TOC1"/>
            <w:tabs>
              <w:tab w:val="right" w:leader="dot" w:pos="9926"/>
            </w:tabs>
            <w:rPr>
              <w:b w:val="0"/>
              <w:noProof/>
              <w:color w:val="auto"/>
              <w:kern w:val="2"/>
              <w:sz w:val="24"/>
              <w:szCs w:val="24"/>
              <w:lang w:eastAsia="en-GB"/>
              <w14:ligatures w14:val="standardContextual"/>
            </w:rPr>
          </w:pPr>
          <w:hyperlink w:anchor="_Toc164832259" w:history="1">
            <w:r w:rsidR="00C87BFB" w:rsidRPr="006820DD">
              <w:rPr>
                <w:rStyle w:val="Hyperlink"/>
                <w:noProof/>
              </w:rPr>
              <w:t>Table of Figures</w:t>
            </w:r>
            <w:r w:rsidR="00C87BFB">
              <w:rPr>
                <w:noProof/>
                <w:webHidden/>
              </w:rPr>
              <w:tab/>
            </w:r>
            <w:r w:rsidR="00C87BFB">
              <w:rPr>
                <w:noProof/>
                <w:webHidden/>
              </w:rPr>
              <w:fldChar w:fldCharType="begin"/>
            </w:r>
            <w:r w:rsidR="00C87BFB">
              <w:rPr>
                <w:noProof/>
                <w:webHidden/>
              </w:rPr>
              <w:instrText xml:space="preserve"> PAGEREF _Toc164832259 \h </w:instrText>
            </w:r>
            <w:r w:rsidR="00C87BFB">
              <w:rPr>
                <w:noProof/>
                <w:webHidden/>
              </w:rPr>
            </w:r>
            <w:r w:rsidR="00C87BFB">
              <w:rPr>
                <w:noProof/>
                <w:webHidden/>
              </w:rPr>
              <w:fldChar w:fldCharType="separate"/>
            </w:r>
            <w:r w:rsidR="00C87BFB">
              <w:rPr>
                <w:noProof/>
                <w:webHidden/>
              </w:rPr>
              <w:t>4</w:t>
            </w:r>
            <w:r w:rsidR="00C87BFB">
              <w:rPr>
                <w:noProof/>
                <w:webHidden/>
              </w:rPr>
              <w:fldChar w:fldCharType="end"/>
            </w:r>
          </w:hyperlink>
        </w:p>
        <w:p w14:paraId="51D1B96E" w14:textId="103878E4" w:rsidR="00C87BFB" w:rsidRDefault="00736509">
          <w:pPr>
            <w:pStyle w:val="TOC1"/>
            <w:tabs>
              <w:tab w:val="right" w:leader="dot" w:pos="9926"/>
            </w:tabs>
            <w:rPr>
              <w:b w:val="0"/>
              <w:noProof/>
              <w:color w:val="auto"/>
              <w:kern w:val="2"/>
              <w:sz w:val="24"/>
              <w:szCs w:val="24"/>
              <w:lang w:eastAsia="en-GB"/>
              <w14:ligatures w14:val="standardContextual"/>
            </w:rPr>
          </w:pPr>
          <w:hyperlink w:anchor="_Toc164832260" w:history="1">
            <w:r w:rsidR="00C87BFB" w:rsidRPr="006820DD">
              <w:rPr>
                <w:rStyle w:val="Hyperlink"/>
                <w:noProof/>
              </w:rPr>
              <w:t>Table of Tables</w:t>
            </w:r>
            <w:r w:rsidR="00C87BFB">
              <w:rPr>
                <w:noProof/>
                <w:webHidden/>
              </w:rPr>
              <w:tab/>
            </w:r>
            <w:r w:rsidR="00C87BFB">
              <w:rPr>
                <w:noProof/>
                <w:webHidden/>
              </w:rPr>
              <w:fldChar w:fldCharType="begin"/>
            </w:r>
            <w:r w:rsidR="00C87BFB">
              <w:rPr>
                <w:noProof/>
                <w:webHidden/>
              </w:rPr>
              <w:instrText xml:space="preserve"> PAGEREF _Toc164832260 \h </w:instrText>
            </w:r>
            <w:r w:rsidR="00C87BFB">
              <w:rPr>
                <w:noProof/>
                <w:webHidden/>
              </w:rPr>
            </w:r>
            <w:r w:rsidR="00C87BFB">
              <w:rPr>
                <w:noProof/>
                <w:webHidden/>
              </w:rPr>
              <w:fldChar w:fldCharType="separate"/>
            </w:r>
            <w:r w:rsidR="00C87BFB">
              <w:rPr>
                <w:noProof/>
                <w:webHidden/>
              </w:rPr>
              <w:t>4</w:t>
            </w:r>
            <w:r w:rsidR="00C87BFB">
              <w:rPr>
                <w:noProof/>
                <w:webHidden/>
              </w:rPr>
              <w:fldChar w:fldCharType="end"/>
            </w:r>
          </w:hyperlink>
        </w:p>
        <w:p w14:paraId="75C391C4" w14:textId="4D680ABF" w:rsidR="00C87BFB" w:rsidRDefault="00736509">
          <w:pPr>
            <w:pStyle w:val="TOC1"/>
            <w:tabs>
              <w:tab w:val="right" w:leader="dot" w:pos="9926"/>
            </w:tabs>
            <w:rPr>
              <w:b w:val="0"/>
              <w:noProof/>
              <w:color w:val="auto"/>
              <w:kern w:val="2"/>
              <w:sz w:val="24"/>
              <w:szCs w:val="24"/>
              <w:lang w:eastAsia="en-GB"/>
              <w14:ligatures w14:val="standardContextual"/>
            </w:rPr>
          </w:pPr>
          <w:hyperlink w:anchor="_Toc164832261" w:history="1">
            <w:r w:rsidR="00C87BFB" w:rsidRPr="006820DD">
              <w:rPr>
                <w:rStyle w:val="Hyperlink"/>
                <w:noProof/>
              </w:rPr>
              <w:t>Introduction</w:t>
            </w:r>
            <w:r w:rsidR="00C87BFB">
              <w:rPr>
                <w:noProof/>
                <w:webHidden/>
              </w:rPr>
              <w:tab/>
            </w:r>
            <w:r w:rsidR="00C87BFB">
              <w:rPr>
                <w:noProof/>
                <w:webHidden/>
              </w:rPr>
              <w:fldChar w:fldCharType="begin"/>
            </w:r>
            <w:r w:rsidR="00C87BFB">
              <w:rPr>
                <w:noProof/>
                <w:webHidden/>
              </w:rPr>
              <w:instrText xml:space="preserve"> PAGEREF _Toc164832261 \h </w:instrText>
            </w:r>
            <w:r w:rsidR="00C87BFB">
              <w:rPr>
                <w:noProof/>
                <w:webHidden/>
              </w:rPr>
            </w:r>
            <w:r w:rsidR="00C87BFB">
              <w:rPr>
                <w:noProof/>
                <w:webHidden/>
              </w:rPr>
              <w:fldChar w:fldCharType="separate"/>
            </w:r>
            <w:r w:rsidR="00C87BFB">
              <w:rPr>
                <w:noProof/>
                <w:webHidden/>
              </w:rPr>
              <w:t>5</w:t>
            </w:r>
            <w:r w:rsidR="00C87BFB">
              <w:rPr>
                <w:noProof/>
                <w:webHidden/>
              </w:rPr>
              <w:fldChar w:fldCharType="end"/>
            </w:r>
          </w:hyperlink>
        </w:p>
        <w:p w14:paraId="6ABC001D" w14:textId="1293F17D" w:rsidR="00C87BFB" w:rsidRDefault="00736509">
          <w:pPr>
            <w:pStyle w:val="TOC1"/>
            <w:tabs>
              <w:tab w:val="left" w:pos="480"/>
              <w:tab w:val="right" w:leader="dot" w:pos="9926"/>
            </w:tabs>
            <w:rPr>
              <w:b w:val="0"/>
              <w:noProof/>
              <w:color w:val="auto"/>
              <w:kern w:val="2"/>
              <w:sz w:val="24"/>
              <w:szCs w:val="24"/>
              <w:lang w:eastAsia="en-GB"/>
              <w14:ligatures w14:val="standardContextual"/>
            </w:rPr>
          </w:pPr>
          <w:hyperlink w:anchor="_Toc164832262" w:history="1">
            <w:r w:rsidR="00C87BFB" w:rsidRPr="006820DD">
              <w:rPr>
                <w:rStyle w:val="Hyperlink"/>
                <w:noProof/>
              </w:rPr>
              <w:t>1.</w:t>
            </w:r>
            <w:r w:rsidR="00C87BFB">
              <w:rPr>
                <w:b w:val="0"/>
                <w:noProof/>
                <w:color w:val="auto"/>
                <w:kern w:val="2"/>
                <w:sz w:val="24"/>
                <w:szCs w:val="24"/>
                <w:lang w:eastAsia="en-GB"/>
                <w14:ligatures w14:val="standardContextual"/>
              </w:rPr>
              <w:tab/>
            </w:r>
            <w:r w:rsidR="00C87BFB" w:rsidRPr="006820DD">
              <w:rPr>
                <w:rStyle w:val="Hyperlink"/>
                <w:noProof/>
              </w:rPr>
              <w:t>Define Phase</w:t>
            </w:r>
            <w:r w:rsidR="00C87BFB">
              <w:rPr>
                <w:noProof/>
                <w:webHidden/>
              </w:rPr>
              <w:tab/>
            </w:r>
            <w:r w:rsidR="00C87BFB">
              <w:rPr>
                <w:noProof/>
                <w:webHidden/>
              </w:rPr>
              <w:fldChar w:fldCharType="begin"/>
            </w:r>
            <w:r w:rsidR="00C87BFB">
              <w:rPr>
                <w:noProof/>
                <w:webHidden/>
              </w:rPr>
              <w:instrText xml:space="preserve"> PAGEREF _Toc164832262 \h </w:instrText>
            </w:r>
            <w:r w:rsidR="00C87BFB">
              <w:rPr>
                <w:noProof/>
                <w:webHidden/>
              </w:rPr>
            </w:r>
            <w:r w:rsidR="00C87BFB">
              <w:rPr>
                <w:noProof/>
                <w:webHidden/>
              </w:rPr>
              <w:fldChar w:fldCharType="separate"/>
            </w:r>
            <w:r w:rsidR="00C87BFB">
              <w:rPr>
                <w:noProof/>
                <w:webHidden/>
              </w:rPr>
              <w:t>6</w:t>
            </w:r>
            <w:r w:rsidR="00C87BFB">
              <w:rPr>
                <w:noProof/>
                <w:webHidden/>
              </w:rPr>
              <w:fldChar w:fldCharType="end"/>
            </w:r>
          </w:hyperlink>
        </w:p>
        <w:p w14:paraId="495D58BD" w14:textId="4DC45674" w:rsidR="00C87BFB" w:rsidRDefault="00736509">
          <w:pPr>
            <w:pStyle w:val="TOC2"/>
            <w:tabs>
              <w:tab w:val="left" w:pos="1200"/>
              <w:tab w:val="right" w:leader="dot" w:pos="9926"/>
            </w:tabs>
            <w:rPr>
              <w:b w:val="0"/>
              <w:noProof/>
              <w:color w:val="auto"/>
              <w:kern w:val="2"/>
              <w:sz w:val="24"/>
              <w:szCs w:val="24"/>
              <w:lang w:eastAsia="en-GB"/>
              <w14:ligatures w14:val="standardContextual"/>
            </w:rPr>
          </w:pPr>
          <w:hyperlink w:anchor="_Toc164832263" w:history="1">
            <w:r w:rsidR="00C87BFB" w:rsidRPr="006820DD">
              <w:rPr>
                <w:rStyle w:val="Hyperlink"/>
                <w:noProof/>
              </w:rPr>
              <w:t>1.1.</w:t>
            </w:r>
            <w:r w:rsidR="00C87BFB">
              <w:rPr>
                <w:b w:val="0"/>
                <w:noProof/>
                <w:color w:val="auto"/>
                <w:kern w:val="2"/>
                <w:sz w:val="24"/>
                <w:szCs w:val="24"/>
                <w:lang w:eastAsia="en-GB"/>
                <w14:ligatures w14:val="standardContextual"/>
              </w:rPr>
              <w:tab/>
            </w:r>
            <w:r w:rsidR="00C87BFB" w:rsidRPr="006820DD">
              <w:rPr>
                <w:rStyle w:val="Hyperlink"/>
                <w:noProof/>
              </w:rPr>
              <w:t>Problem Statement</w:t>
            </w:r>
            <w:r w:rsidR="00C87BFB">
              <w:rPr>
                <w:noProof/>
                <w:webHidden/>
              </w:rPr>
              <w:tab/>
            </w:r>
            <w:r w:rsidR="00C87BFB">
              <w:rPr>
                <w:noProof/>
                <w:webHidden/>
              </w:rPr>
              <w:fldChar w:fldCharType="begin"/>
            </w:r>
            <w:r w:rsidR="00C87BFB">
              <w:rPr>
                <w:noProof/>
                <w:webHidden/>
              </w:rPr>
              <w:instrText xml:space="preserve"> PAGEREF _Toc164832263 \h </w:instrText>
            </w:r>
            <w:r w:rsidR="00C87BFB">
              <w:rPr>
                <w:noProof/>
                <w:webHidden/>
              </w:rPr>
            </w:r>
            <w:r w:rsidR="00C87BFB">
              <w:rPr>
                <w:noProof/>
                <w:webHidden/>
              </w:rPr>
              <w:fldChar w:fldCharType="separate"/>
            </w:r>
            <w:r w:rsidR="00C87BFB">
              <w:rPr>
                <w:noProof/>
                <w:webHidden/>
              </w:rPr>
              <w:t>6</w:t>
            </w:r>
            <w:r w:rsidR="00C87BFB">
              <w:rPr>
                <w:noProof/>
                <w:webHidden/>
              </w:rPr>
              <w:fldChar w:fldCharType="end"/>
            </w:r>
          </w:hyperlink>
        </w:p>
        <w:p w14:paraId="1D221C56" w14:textId="2EF7DF9F" w:rsidR="00C87BFB" w:rsidRDefault="00736509">
          <w:pPr>
            <w:pStyle w:val="TOC2"/>
            <w:tabs>
              <w:tab w:val="left" w:pos="1200"/>
              <w:tab w:val="right" w:leader="dot" w:pos="9926"/>
            </w:tabs>
            <w:rPr>
              <w:b w:val="0"/>
              <w:noProof/>
              <w:color w:val="auto"/>
              <w:kern w:val="2"/>
              <w:sz w:val="24"/>
              <w:szCs w:val="24"/>
              <w:lang w:eastAsia="en-GB"/>
              <w14:ligatures w14:val="standardContextual"/>
            </w:rPr>
          </w:pPr>
          <w:hyperlink w:anchor="_Toc164832264" w:history="1">
            <w:r w:rsidR="00C87BFB" w:rsidRPr="006820DD">
              <w:rPr>
                <w:rStyle w:val="Hyperlink"/>
                <w:noProof/>
              </w:rPr>
              <w:t>1.2.</w:t>
            </w:r>
            <w:r w:rsidR="00C87BFB">
              <w:rPr>
                <w:b w:val="0"/>
                <w:noProof/>
                <w:color w:val="auto"/>
                <w:kern w:val="2"/>
                <w:sz w:val="24"/>
                <w:szCs w:val="24"/>
                <w:lang w:eastAsia="en-GB"/>
                <w14:ligatures w14:val="standardContextual"/>
              </w:rPr>
              <w:tab/>
            </w:r>
            <w:r w:rsidR="00C87BFB" w:rsidRPr="006820DD">
              <w:rPr>
                <w:rStyle w:val="Hyperlink"/>
                <w:noProof/>
              </w:rPr>
              <w:t>Process Mapping</w:t>
            </w:r>
            <w:r w:rsidR="00C87BFB">
              <w:rPr>
                <w:noProof/>
                <w:webHidden/>
              </w:rPr>
              <w:tab/>
            </w:r>
            <w:r w:rsidR="00C87BFB">
              <w:rPr>
                <w:noProof/>
                <w:webHidden/>
              </w:rPr>
              <w:fldChar w:fldCharType="begin"/>
            </w:r>
            <w:r w:rsidR="00C87BFB">
              <w:rPr>
                <w:noProof/>
                <w:webHidden/>
              </w:rPr>
              <w:instrText xml:space="preserve"> PAGEREF _Toc164832264 \h </w:instrText>
            </w:r>
            <w:r w:rsidR="00C87BFB">
              <w:rPr>
                <w:noProof/>
                <w:webHidden/>
              </w:rPr>
            </w:r>
            <w:r w:rsidR="00C87BFB">
              <w:rPr>
                <w:noProof/>
                <w:webHidden/>
              </w:rPr>
              <w:fldChar w:fldCharType="separate"/>
            </w:r>
            <w:r w:rsidR="00C87BFB">
              <w:rPr>
                <w:noProof/>
                <w:webHidden/>
              </w:rPr>
              <w:t>7</w:t>
            </w:r>
            <w:r w:rsidR="00C87BFB">
              <w:rPr>
                <w:noProof/>
                <w:webHidden/>
              </w:rPr>
              <w:fldChar w:fldCharType="end"/>
            </w:r>
          </w:hyperlink>
        </w:p>
        <w:p w14:paraId="40A5C245" w14:textId="060E6A42" w:rsidR="00C87BFB" w:rsidRDefault="00736509">
          <w:pPr>
            <w:pStyle w:val="TOC2"/>
            <w:tabs>
              <w:tab w:val="left" w:pos="1200"/>
              <w:tab w:val="right" w:leader="dot" w:pos="9926"/>
            </w:tabs>
            <w:rPr>
              <w:b w:val="0"/>
              <w:noProof/>
              <w:color w:val="auto"/>
              <w:kern w:val="2"/>
              <w:sz w:val="24"/>
              <w:szCs w:val="24"/>
              <w:lang w:eastAsia="en-GB"/>
              <w14:ligatures w14:val="standardContextual"/>
            </w:rPr>
          </w:pPr>
          <w:hyperlink w:anchor="_Toc164832265" w:history="1">
            <w:r w:rsidR="00C87BFB" w:rsidRPr="006820DD">
              <w:rPr>
                <w:rStyle w:val="Hyperlink"/>
                <w:noProof/>
              </w:rPr>
              <w:t>1.3.</w:t>
            </w:r>
            <w:r w:rsidR="00C87BFB">
              <w:rPr>
                <w:b w:val="0"/>
                <w:noProof/>
                <w:color w:val="auto"/>
                <w:kern w:val="2"/>
                <w:sz w:val="24"/>
                <w:szCs w:val="24"/>
                <w:lang w:eastAsia="en-GB"/>
                <w14:ligatures w14:val="standardContextual"/>
              </w:rPr>
              <w:tab/>
            </w:r>
            <w:r w:rsidR="00C87BFB" w:rsidRPr="006820DD">
              <w:rPr>
                <w:rStyle w:val="Hyperlink"/>
                <w:noProof/>
              </w:rPr>
              <w:t>Voice of Customer</w:t>
            </w:r>
            <w:r w:rsidR="00C87BFB">
              <w:rPr>
                <w:noProof/>
                <w:webHidden/>
              </w:rPr>
              <w:tab/>
            </w:r>
            <w:r w:rsidR="00C87BFB">
              <w:rPr>
                <w:noProof/>
                <w:webHidden/>
              </w:rPr>
              <w:fldChar w:fldCharType="begin"/>
            </w:r>
            <w:r w:rsidR="00C87BFB">
              <w:rPr>
                <w:noProof/>
                <w:webHidden/>
              </w:rPr>
              <w:instrText xml:space="preserve"> PAGEREF _Toc164832265 \h </w:instrText>
            </w:r>
            <w:r w:rsidR="00C87BFB">
              <w:rPr>
                <w:noProof/>
                <w:webHidden/>
              </w:rPr>
            </w:r>
            <w:r w:rsidR="00C87BFB">
              <w:rPr>
                <w:noProof/>
                <w:webHidden/>
              </w:rPr>
              <w:fldChar w:fldCharType="separate"/>
            </w:r>
            <w:r w:rsidR="00C87BFB">
              <w:rPr>
                <w:noProof/>
                <w:webHidden/>
              </w:rPr>
              <w:t>9</w:t>
            </w:r>
            <w:r w:rsidR="00C87BFB">
              <w:rPr>
                <w:noProof/>
                <w:webHidden/>
              </w:rPr>
              <w:fldChar w:fldCharType="end"/>
            </w:r>
          </w:hyperlink>
        </w:p>
        <w:p w14:paraId="321A9F4B" w14:textId="183CC331" w:rsidR="00C87BFB" w:rsidRDefault="00736509">
          <w:pPr>
            <w:pStyle w:val="TOC2"/>
            <w:tabs>
              <w:tab w:val="left" w:pos="1200"/>
              <w:tab w:val="right" w:leader="dot" w:pos="9926"/>
            </w:tabs>
            <w:rPr>
              <w:b w:val="0"/>
              <w:noProof/>
              <w:color w:val="auto"/>
              <w:kern w:val="2"/>
              <w:sz w:val="24"/>
              <w:szCs w:val="24"/>
              <w:lang w:eastAsia="en-GB"/>
              <w14:ligatures w14:val="standardContextual"/>
            </w:rPr>
          </w:pPr>
          <w:hyperlink w:anchor="_Toc164832266" w:history="1">
            <w:r w:rsidR="00C87BFB" w:rsidRPr="006820DD">
              <w:rPr>
                <w:rStyle w:val="Hyperlink"/>
                <w:noProof/>
              </w:rPr>
              <w:t>1.4.</w:t>
            </w:r>
            <w:r w:rsidR="00C87BFB">
              <w:rPr>
                <w:b w:val="0"/>
                <w:noProof/>
                <w:color w:val="auto"/>
                <w:kern w:val="2"/>
                <w:sz w:val="24"/>
                <w:szCs w:val="24"/>
                <w:lang w:eastAsia="en-GB"/>
                <w14:ligatures w14:val="standardContextual"/>
              </w:rPr>
              <w:tab/>
            </w:r>
            <w:r w:rsidR="00C87BFB" w:rsidRPr="006820DD">
              <w:rPr>
                <w:rStyle w:val="Hyperlink"/>
                <w:noProof/>
              </w:rPr>
              <w:t>Project Scope</w:t>
            </w:r>
            <w:r w:rsidR="00C87BFB">
              <w:rPr>
                <w:noProof/>
                <w:webHidden/>
              </w:rPr>
              <w:tab/>
            </w:r>
            <w:r w:rsidR="00C87BFB">
              <w:rPr>
                <w:noProof/>
                <w:webHidden/>
              </w:rPr>
              <w:fldChar w:fldCharType="begin"/>
            </w:r>
            <w:r w:rsidR="00C87BFB">
              <w:rPr>
                <w:noProof/>
                <w:webHidden/>
              </w:rPr>
              <w:instrText xml:space="preserve"> PAGEREF _Toc164832266 \h </w:instrText>
            </w:r>
            <w:r w:rsidR="00C87BFB">
              <w:rPr>
                <w:noProof/>
                <w:webHidden/>
              </w:rPr>
            </w:r>
            <w:r w:rsidR="00C87BFB">
              <w:rPr>
                <w:noProof/>
                <w:webHidden/>
              </w:rPr>
              <w:fldChar w:fldCharType="separate"/>
            </w:r>
            <w:r w:rsidR="00C87BFB">
              <w:rPr>
                <w:noProof/>
                <w:webHidden/>
              </w:rPr>
              <w:t>10</w:t>
            </w:r>
            <w:r w:rsidR="00C87BFB">
              <w:rPr>
                <w:noProof/>
                <w:webHidden/>
              </w:rPr>
              <w:fldChar w:fldCharType="end"/>
            </w:r>
          </w:hyperlink>
        </w:p>
        <w:p w14:paraId="425DCC00" w14:textId="4FE44359" w:rsidR="00C87BFB" w:rsidRDefault="00736509">
          <w:pPr>
            <w:pStyle w:val="TOC1"/>
            <w:tabs>
              <w:tab w:val="left" w:pos="480"/>
              <w:tab w:val="right" w:leader="dot" w:pos="9926"/>
            </w:tabs>
            <w:rPr>
              <w:b w:val="0"/>
              <w:noProof/>
              <w:color w:val="auto"/>
              <w:kern w:val="2"/>
              <w:sz w:val="24"/>
              <w:szCs w:val="24"/>
              <w:lang w:eastAsia="en-GB"/>
              <w14:ligatures w14:val="standardContextual"/>
            </w:rPr>
          </w:pPr>
          <w:hyperlink w:anchor="_Toc164832267" w:history="1">
            <w:r w:rsidR="00C87BFB" w:rsidRPr="006820DD">
              <w:rPr>
                <w:rStyle w:val="Hyperlink"/>
                <w:noProof/>
              </w:rPr>
              <w:t>2.</w:t>
            </w:r>
            <w:r w:rsidR="00C87BFB">
              <w:rPr>
                <w:b w:val="0"/>
                <w:noProof/>
                <w:color w:val="auto"/>
                <w:kern w:val="2"/>
                <w:sz w:val="24"/>
                <w:szCs w:val="24"/>
                <w:lang w:eastAsia="en-GB"/>
                <w14:ligatures w14:val="standardContextual"/>
              </w:rPr>
              <w:tab/>
            </w:r>
            <w:r w:rsidR="00C87BFB" w:rsidRPr="006820DD">
              <w:rPr>
                <w:rStyle w:val="Hyperlink"/>
                <w:noProof/>
              </w:rPr>
              <w:t>Measure &amp; Analyse Phase</w:t>
            </w:r>
            <w:r w:rsidR="00C87BFB">
              <w:rPr>
                <w:noProof/>
                <w:webHidden/>
              </w:rPr>
              <w:tab/>
            </w:r>
            <w:r w:rsidR="00C87BFB">
              <w:rPr>
                <w:noProof/>
                <w:webHidden/>
              </w:rPr>
              <w:fldChar w:fldCharType="begin"/>
            </w:r>
            <w:r w:rsidR="00C87BFB">
              <w:rPr>
                <w:noProof/>
                <w:webHidden/>
              </w:rPr>
              <w:instrText xml:space="preserve"> PAGEREF _Toc164832267 \h </w:instrText>
            </w:r>
            <w:r w:rsidR="00C87BFB">
              <w:rPr>
                <w:noProof/>
                <w:webHidden/>
              </w:rPr>
            </w:r>
            <w:r w:rsidR="00C87BFB">
              <w:rPr>
                <w:noProof/>
                <w:webHidden/>
              </w:rPr>
              <w:fldChar w:fldCharType="separate"/>
            </w:r>
            <w:r w:rsidR="00C87BFB">
              <w:rPr>
                <w:noProof/>
                <w:webHidden/>
              </w:rPr>
              <w:t>11</w:t>
            </w:r>
            <w:r w:rsidR="00C87BFB">
              <w:rPr>
                <w:noProof/>
                <w:webHidden/>
              </w:rPr>
              <w:fldChar w:fldCharType="end"/>
            </w:r>
          </w:hyperlink>
        </w:p>
        <w:p w14:paraId="2367E7FB" w14:textId="4286556B" w:rsidR="00C87BFB" w:rsidRDefault="00736509">
          <w:pPr>
            <w:pStyle w:val="TOC2"/>
            <w:tabs>
              <w:tab w:val="left" w:pos="1200"/>
              <w:tab w:val="right" w:leader="dot" w:pos="9926"/>
            </w:tabs>
            <w:rPr>
              <w:b w:val="0"/>
              <w:noProof/>
              <w:color w:val="auto"/>
              <w:kern w:val="2"/>
              <w:sz w:val="24"/>
              <w:szCs w:val="24"/>
              <w:lang w:eastAsia="en-GB"/>
              <w14:ligatures w14:val="standardContextual"/>
            </w:rPr>
          </w:pPr>
          <w:hyperlink w:anchor="_Toc164832268" w:history="1">
            <w:r w:rsidR="00C87BFB" w:rsidRPr="006820DD">
              <w:rPr>
                <w:rStyle w:val="Hyperlink"/>
                <w:noProof/>
              </w:rPr>
              <w:t>2.1.</w:t>
            </w:r>
            <w:r w:rsidR="00C87BFB">
              <w:rPr>
                <w:b w:val="0"/>
                <w:noProof/>
                <w:color w:val="auto"/>
                <w:kern w:val="2"/>
                <w:sz w:val="24"/>
                <w:szCs w:val="24"/>
                <w:lang w:eastAsia="en-GB"/>
                <w14:ligatures w14:val="standardContextual"/>
              </w:rPr>
              <w:tab/>
            </w:r>
            <w:r w:rsidR="00C87BFB" w:rsidRPr="006820DD">
              <w:rPr>
                <w:rStyle w:val="Hyperlink"/>
                <w:noProof/>
              </w:rPr>
              <w:t>Identifying Measurement Variation</w:t>
            </w:r>
            <w:r w:rsidR="00C87BFB">
              <w:rPr>
                <w:noProof/>
                <w:webHidden/>
              </w:rPr>
              <w:tab/>
            </w:r>
            <w:r w:rsidR="00C87BFB">
              <w:rPr>
                <w:noProof/>
                <w:webHidden/>
              </w:rPr>
              <w:fldChar w:fldCharType="begin"/>
            </w:r>
            <w:r w:rsidR="00C87BFB">
              <w:rPr>
                <w:noProof/>
                <w:webHidden/>
              </w:rPr>
              <w:instrText xml:space="preserve"> PAGEREF _Toc164832268 \h </w:instrText>
            </w:r>
            <w:r w:rsidR="00C87BFB">
              <w:rPr>
                <w:noProof/>
                <w:webHidden/>
              </w:rPr>
            </w:r>
            <w:r w:rsidR="00C87BFB">
              <w:rPr>
                <w:noProof/>
                <w:webHidden/>
              </w:rPr>
              <w:fldChar w:fldCharType="separate"/>
            </w:r>
            <w:r w:rsidR="00C87BFB">
              <w:rPr>
                <w:noProof/>
                <w:webHidden/>
              </w:rPr>
              <w:t>11</w:t>
            </w:r>
            <w:r w:rsidR="00C87BFB">
              <w:rPr>
                <w:noProof/>
                <w:webHidden/>
              </w:rPr>
              <w:fldChar w:fldCharType="end"/>
            </w:r>
          </w:hyperlink>
        </w:p>
        <w:p w14:paraId="643B42B3" w14:textId="45B8F310" w:rsidR="00C87BFB" w:rsidRDefault="00736509">
          <w:pPr>
            <w:pStyle w:val="TOC2"/>
            <w:tabs>
              <w:tab w:val="left" w:pos="1200"/>
              <w:tab w:val="right" w:leader="dot" w:pos="9926"/>
            </w:tabs>
            <w:rPr>
              <w:b w:val="0"/>
              <w:noProof/>
              <w:color w:val="auto"/>
              <w:kern w:val="2"/>
              <w:sz w:val="24"/>
              <w:szCs w:val="24"/>
              <w:lang w:eastAsia="en-GB"/>
              <w14:ligatures w14:val="standardContextual"/>
            </w:rPr>
          </w:pPr>
          <w:hyperlink w:anchor="_Toc164832269" w:history="1">
            <w:r w:rsidR="00C87BFB" w:rsidRPr="006820DD">
              <w:rPr>
                <w:rStyle w:val="Hyperlink"/>
                <w:noProof/>
              </w:rPr>
              <w:t>2.2.</w:t>
            </w:r>
            <w:r w:rsidR="00C87BFB">
              <w:rPr>
                <w:b w:val="0"/>
                <w:noProof/>
                <w:color w:val="auto"/>
                <w:kern w:val="2"/>
                <w:sz w:val="24"/>
                <w:szCs w:val="24"/>
                <w:lang w:eastAsia="en-GB"/>
                <w14:ligatures w14:val="standardContextual"/>
              </w:rPr>
              <w:tab/>
            </w:r>
            <w:r w:rsidR="00C87BFB" w:rsidRPr="006820DD">
              <w:rPr>
                <w:rStyle w:val="Hyperlink"/>
                <w:noProof/>
              </w:rPr>
              <w:t>Process Flow of CSR After Results</w:t>
            </w:r>
            <w:r w:rsidR="00C87BFB">
              <w:rPr>
                <w:noProof/>
                <w:webHidden/>
              </w:rPr>
              <w:tab/>
            </w:r>
            <w:r w:rsidR="00C87BFB">
              <w:rPr>
                <w:noProof/>
                <w:webHidden/>
              </w:rPr>
              <w:fldChar w:fldCharType="begin"/>
            </w:r>
            <w:r w:rsidR="00C87BFB">
              <w:rPr>
                <w:noProof/>
                <w:webHidden/>
              </w:rPr>
              <w:instrText xml:space="preserve"> PAGEREF _Toc164832269 \h </w:instrText>
            </w:r>
            <w:r w:rsidR="00C87BFB">
              <w:rPr>
                <w:noProof/>
                <w:webHidden/>
              </w:rPr>
            </w:r>
            <w:r w:rsidR="00C87BFB">
              <w:rPr>
                <w:noProof/>
                <w:webHidden/>
              </w:rPr>
              <w:fldChar w:fldCharType="separate"/>
            </w:r>
            <w:r w:rsidR="00C87BFB">
              <w:rPr>
                <w:noProof/>
                <w:webHidden/>
              </w:rPr>
              <w:t>12</w:t>
            </w:r>
            <w:r w:rsidR="00C87BFB">
              <w:rPr>
                <w:noProof/>
                <w:webHidden/>
              </w:rPr>
              <w:fldChar w:fldCharType="end"/>
            </w:r>
          </w:hyperlink>
        </w:p>
        <w:p w14:paraId="507AC7E9" w14:textId="24F4DB70" w:rsidR="00C87BFB" w:rsidRDefault="00736509">
          <w:pPr>
            <w:pStyle w:val="TOC2"/>
            <w:tabs>
              <w:tab w:val="left" w:pos="1200"/>
              <w:tab w:val="right" w:leader="dot" w:pos="9926"/>
            </w:tabs>
            <w:rPr>
              <w:b w:val="0"/>
              <w:noProof/>
              <w:color w:val="auto"/>
              <w:kern w:val="2"/>
              <w:sz w:val="24"/>
              <w:szCs w:val="24"/>
              <w:lang w:eastAsia="en-GB"/>
              <w14:ligatures w14:val="standardContextual"/>
            </w:rPr>
          </w:pPr>
          <w:hyperlink w:anchor="_Toc164832270" w:history="1">
            <w:r w:rsidR="00C87BFB" w:rsidRPr="006820DD">
              <w:rPr>
                <w:rStyle w:val="Hyperlink"/>
                <w:noProof/>
              </w:rPr>
              <w:t>2.3.</w:t>
            </w:r>
            <w:r w:rsidR="00C87BFB">
              <w:rPr>
                <w:b w:val="0"/>
                <w:noProof/>
                <w:color w:val="auto"/>
                <w:kern w:val="2"/>
                <w:sz w:val="24"/>
                <w:szCs w:val="24"/>
                <w:lang w:eastAsia="en-GB"/>
                <w14:ligatures w14:val="standardContextual"/>
              </w:rPr>
              <w:tab/>
            </w:r>
            <w:r w:rsidR="00C87BFB" w:rsidRPr="006820DD">
              <w:rPr>
                <w:rStyle w:val="Hyperlink"/>
                <w:noProof/>
              </w:rPr>
              <w:t>Fault Finding Analysis – Cause &amp; Effect</w:t>
            </w:r>
            <w:r w:rsidR="00C87BFB">
              <w:rPr>
                <w:noProof/>
                <w:webHidden/>
              </w:rPr>
              <w:tab/>
            </w:r>
            <w:r w:rsidR="00C87BFB">
              <w:rPr>
                <w:noProof/>
                <w:webHidden/>
              </w:rPr>
              <w:fldChar w:fldCharType="begin"/>
            </w:r>
            <w:r w:rsidR="00C87BFB">
              <w:rPr>
                <w:noProof/>
                <w:webHidden/>
              </w:rPr>
              <w:instrText xml:space="preserve"> PAGEREF _Toc164832270 \h </w:instrText>
            </w:r>
            <w:r w:rsidR="00C87BFB">
              <w:rPr>
                <w:noProof/>
                <w:webHidden/>
              </w:rPr>
            </w:r>
            <w:r w:rsidR="00C87BFB">
              <w:rPr>
                <w:noProof/>
                <w:webHidden/>
              </w:rPr>
              <w:fldChar w:fldCharType="separate"/>
            </w:r>
            <w:r w:rsidR="00C87BFB">
              <w:rPr>
                <w:noProof/>
                <w:webHidden/>
              </w:rPr>
              <w:t>14</w:t>
            </w:r>
            <w:r w:rsidR="00C87BFB">
              <w:rPr>
                <w:noProof/>
                <w:webHidden/>
              </w:rPr>
              <w:fldChar w:fldCharType="end"/>
            </w:r>
          </w:hyperlink>
        </w:p>
        <w:p w14:paraId="11540B4A" w14:textId="2CC2AA03" w:rsidR="00C87BFB" w:rsidRDefault="00736509">
          <w:pPr>
            <w:pStyle w:val="TOC2"/>
            <w:tabs>
              <w:tab w:val="left" w:pos="1200"/>
              <w:tab w:val="right" w:leader="dot" w:pos="9926"/>
            </w:tabs>
            <w:rPr>
              <w:b w:val="0"/>
              <w:noProof/>
              <w:color w:val="auto"/>
              <w:kern w:val="2"/>
              <w:sz w:val="24"/>
              <w:szCs w:val="24"/>
              <w:lang w:eastAsia="en-GB"/>
              <w14:ligatures w14:val="standardContextual"/>
            </w:rPr>
          </w:pPr>
          <w:hyperlink w:anchor="_Toc164832271" w:history="1">
            <w:r w:rsidR="00C87BFB" w:rsidRPr="006820DD">
              <w:rPr>
                <w:rStyle w:val="Hyperlink"/>
                <w:noProof/>
              </w:rPr>
              <w:t>2.4.</w:t>
            </w:r>
            <w:r w:rsidR="00C87BFB">
              <w:rPr>
                <w:b w:val="0"/>
                <w:noProof/>
                <w:color w:val="auto"/>
                <w:kern w:val="2"/>
                <w:sz w:val="24"/>
                <w:szCs w:val="24"/>
                <w:lang w:eastAsia="en-GB"/>
                <w14:ligatures w14:val="standardContextual"/>
              </w:rPr>
              <w:tab/>
            </w:r>
            <w:r w:rsidR="00C87BFB" w:rsidRPr="006820DD">
              <w:rPr>
                <w:rStyle w:val="Hyperlink"/>
                <w:noProof/>
              </w:rPr>
              <w:t>Fault Finding Analysis – Inspection of Equipment</w:t>
            </w:r>
            <w:r w:rsidR="00C87BFB">
              <w:rPr>
                <w:noProof/>
                <w:webHidden/>
              </w:rPr>
              <w:tab/>
            </w:r>
            <w:r w:rsidR="00C87BFB">
              <w:rPr>
                <w:noProof/>
                <w:webHidden/>
              </w:rPr>
              <w:fldChar w:fldCharType="begin"/>
            </w:r>
            <w:r w:rsidR="00C87BFB">
              <w:rPr>
                <w:noProof/>
                <w:webHidden/>
              </w:rPr>
              <w:instrText xml:space="preserve"> PAGEREF _Toc164832271 \h </w:instrText>
            </w:r>
            <w:r w:rsidR="00C87BFB">
              <w:rPr>
                <w:noProof/>
                <w:webHidden/>
              </w:rPr>
            </w:r>
            <w:r w:rsidR="00C87BFB">
              <w:rPr>
                <w:noProof/>
                <w:webHidden/>
              </w:rPr>
              <w:fldChar w:fldCharType="separate"/>
            </w:r>
            <w:r w:rsidR="00C87BFB">
              <w:rPr>
                <w:noProof/>
                <w:webHidden/>
              </w:rPr>
              <w:t>15</w:t>
            </w:r>
            <w:r w:rsidR="00C87BFB">
              <w:rPr>
                <w:noProof/>
                <w:webHidden/>
              </w:rPr>
              <w:fldChar w:fldCharType="end"/>
            </w:r>
          </w:hyperlink>
        </w:p>
        <w:p w14:paraId="6041E0F6" w14:textId="03FBAA63" w:rsidR="00C87BFB" w:rsidRDefault="00736509">
          <w:pPr>
            <w:pStyle w:val="TOC2"/>
            <w:tabs>
              <w:tab w:val="left" w:pos="1200"/>
              <w:tab w:val="right" w:leader="dot" w:pos="9926"/>
            </w:tabs>
            <w:rPr>
              <w:b w:val="0"/>
              <w:noProof/>
              <w:color w:val="auto"/>
              <w:kern w:val="2"/>
              <w:sz w:val="24"/>
              <w:szCs w:val="24"/>
              <w:lang w:eastAsia="en-GB"/>
              <w14:ligatures w14:val="standardContextual"/>
            </w:rPr>
          </w:pPr>
          <w:hyperlink w:anchor="_Toc164832272" w:history="1">
            <w:r w:rsidR="00C87BFB" w:rsidRPr="006820DD">
              <w:rPr>
                <w:rStyle w:val="Hyperlink"/>
                <w:noProof/>
              </w:rPr>
              <w:t>2.5.</w:t>
            </w:r>
            <w:r w:rsidR="00C87BFB">
              <w:rPr>
                <w:b w:val="0"/>
                <w:noProof/>
                <w:color w:val="auto"/>
                <w:kern w:val="2"/>
                <w:sz w:val="24"/>
                <w:szCs w:val="24"/>
                <w:lang w:eastAsia="en-GB"/>
                <w14:ligatures w14:val="standardContextual"/>
              </w:rPr>
              <w:tab/>
            </w:r>
            <w:r w:rsidR="00C87BFB" w:rsidRPr="006820DD">
              <w:rPr>
                <w:rStyle w:val="Hyperlink"/>
                <w:noProof/>
              </w:rPr>
              <w:t>Fault Finding Analysis – Manufacturer Report</w:t>
            </w:r>
            <w:r w:rsidR="00C87BFB">
              <w:rPr>
                <w:noProof/>
                <w:webHidden/>
              </w:rPr>
              <w:tab/>
            </w:r>
            <w:r w:rsidR="00C87BFB">
              <w:rPr>
                <w:noProof/>
                <w:webHidden/>
              </w:rPr>
              <w:fldChar w:fldCharType="begin"/>
            </w:r>
            <w:r w:rsidR="00C87BFB">
              <w:rPr>
                <w:noProof/>
                <w:webHidden/>
              </w:rPr>
              <w:instrText xml:space="preserve"> PAGEREF _Toc164832272 \h </w:instrText>
            </w:r>
            <w:r w:rsidR="00C87BFB">
              <w:rPr>
                <w:noProof/>
                <w:webHidden/>
              </w:rPr>
            </w:r>
            <w:r w:rsidR="00C87BFB">
              <w:rPr>
                <w:noProof/>
                <w:webHidden/>
              </w:rPr>
              <w:fldChar w:fldCharType="separate"/>
            </w:r>
            <w:r w:rsidR="00C87BFB">
              <w:rPr>
                <w:noProof/>
                <w:webHidden/>
              </w:rPr>
              <w:t>17</w:t>
            </w:r>
            <w:r w:rsidR="00C87BFB">
              <w:rPr>
                <w:noProof/>
                <w:webHidden/>
              </w:rPr>
              <w:fldChar w:fldCharType="end"/>
            </w:r>
          </w:hyperlink>
        </w:p>
        <w:p w14:paraId="5A60175B" w14:textId="7447A1D3" w:rsidR="00C87BFB" w:rsidRDefault="00736509">
          <w:pPr>
            <w:pStyle w:val="TOC2"/>
            <w:tabs>
              <w:tab w:val="left" w:pos="1200"/>
              <w:tab w:val="right" w:leader="dot" w:pos="9926"/>
            </w:tabs>
            <w:rPr>
              <w:b w:val="0"/>
              <w:noProof/>
              <w:color w:val="auto"/>
              <w:kern w:val="2"/>
              <w:sz w:val="24"/>
              <w:szCs w:val="24"/>
              <w:lang w:eastAsia="en-GB"/>
              <w14:ligatures w14:val="standardContextual"/>
            </w:rPr>
          </w:pPr>
          <w:hyperlink w:anchor="_Toc164832273" w:history="1">
            <w:r w:rsidR="00C87BFB" w:rsidRPr="006820DD">
              <w:rPr>
                <w:rStyle w:val="Hyperlink"/>
                <w:noProof/>
              </w:rPr>
              <w:t>2.6.</w:t>
            </w:r>
            <w:r w:rsidR="00C87BFB">
              <w:rPr>
                <w:b w:val="0"/>
                <w:noProof/>
                <w:color w:val="auto"/>
                <w:kern w:val="2"/>
                <w:sz w:val="24"/>
                <w:szCs w:val="24"/>
                <w:lang w:eastAsia="en-GB"/>
                <w14:ligatures w14:val="standardContextual"/>
              </w:rPr>
              <w:tab/>
            </w:r>
            <w:r w:rsidR="00C87BFB" w:rsidRPr="006820DD">
              <w:rPr>
                <w:rStyle w:val="Hyperlink"/>
                <w:noProof/>
              </w:rPr>
              <w:t>Fault Finding Analysis – Equipment Lifecycle</w:t>
            </w:r>
            <w:r w:rsidR="00C87BFB">
              <w:rPr>
                <w:noProof/>
                <w:webHidden/>
              </w:rPr>
              <w:tab/>
            </w:r>
            <w:r w:rsidR="00C87BFB">
              <w:rPr>
                <w:noProof/>
                <w:webHidden/>
              </w:rPr>
              <w:fldChar w:fldCharType="begin"/>
            </w:r>
            <w:r w:rsidR="00C87BFB">
              <w:rPr>
                <w:noProof/>
                <w:webHidden/>
              </w:rPr>
              <w:instrText xml:space="preserve"> PAGEREF _Toc164832273 \h </w:instrText>
            </w:r>
            <w:r w:rsidR="00C87BFB">
              <w:rPr>
                <w:noProof/>
                <w:webHidden/>
              </w:rPr>
            </w:r>
            <w:r w:rsidR="00C87BFB">
              <w:rPr>
                <w:noProof/>
                <w:webHidden/>
              </w:rPr>
              <w:fldChar w:fldCharType="separate"/>
            </w:r>
            <w:r w:rsidR="00C87BFB">
              <w:rPr>
                <w:noProof/>
                <w:webHidden/>
              </w:rPr>
              <w:t>19</w:t>
            </w:r>
            <w:r w:rsidR="00C87BFB">
              <w:rPr>
                <w:noProof/>
                <w:webHidden/>
              </w:rPr>
              <w:fldChar w:fldCharType="end"/>
            </w:r>
          </w:hyperlink>
        </w:p>
        <w:p w14:paraId="336CDDAB" w14:textId="5B88C2E5" w:rsidR="00C87BFB" w:rsidRDefault="00736509">
          <w:pPr>
            <w:pStyle w:val="TOC1"/>
            <w:tabs>
              <w:tab w:val="left" w:pos="480"/>
              <w:tab w:val="right" w:leader="dot" w:pos="9926"/>
            </w:tabs>
            <w:rPr>
              <w:b w:val="0"/>
              <w:noProof/>
              <w:color w:val="auto"/>
              <w:kern w:val="2"/>
              <w:sz w:val="24"/>
              <w:szCs w:val="24"/>
              <w:lang w:eastAsia="en-GB"/>
              <w14:ligatures w14:val="standardContextual"/>
            </w:rPr>
          </w:pPr>
          <w:hyperlink w:anchor="_Toc164832274" w:history="1">
            <w:r w:rsidR="00C87BFB" w:rsidRPr="006820DD">
              <w:rPr>
                <w:rStyle w:val="Hyperlink"/>
                <w:noProof/>
              </w:rPr>
              <w:t>3.</w:t>
            </w:r>
            <w:r w:rsidR="00C87BFB">
              <w:rPr>
                <w:b w:val="0"/>
                <w:noProof/>
                <w:color w:val="auto"/>
                <w:kern w:val="2"/>
                <w:sz w:val="24"/>
                <w:szCs w:val="24"/>
                <w:lang w:eastAsia="en-GB"/>
                <w14:ligatures w14:val="standardContextual"/>
              </w:rPr>
              <w:tab/>
            </w:r>
            <w:r w:rsidR="00C87BFB" w:rsidRPr="006820DD">
              <w:rPr>
                <w:rStyle w:val="Hyperlink"/>
                <w:noProof/>
              </w:rPr>
              <w:t>Improve Phase</w:t>
            </w:r>
            <w:r w:rsidR="00C87BFB">
              <w:rPr>
                <w:noProof/>
                <w:webHidden/>
              </w:rPr>
              <w:tab/>
            </w:r>
            <w:r w:rsidR="00C87BFB">
              <w:rPr>
                <w:noProof/>
                <w:webHidden/>
              </w:rPr>
              <w:fldChar w:fldCharType="begin"/>
            </w:r>
            <w:r w:rsidR="00C87BFB">
              <w:rPr>
                <w:noProof/>
                <w:webHidden/>
              </w:rPr>
              <w:instrText xml:space="preserve"> PAGEREF _Toc164832274 \h </w:instrText>
            </w:r>
            <w:r w:rsidR="00C87BFB">
              <w:rPr>
                <w:noProof/>
                <w:webHidden/>
              </w:rPr>
            </w:r>
            <w:r w:rsidR="00C87BFB">
              <w:rPr>
                <w:noProof/>
                <w:webHidden/>
              </w:rPr>
              <w:fldChar w:fldCharType="separate"/>
            </w:r>
            <w:r w:rsidR="00C87BFB">
              <w:rPr>
                <w:noProof/>
                <w:webHidden/>
              </w:rPr>
              <w:t>21</w:t>
            </w:r>
            <w:r w:rsidR="00C87BFB">
              <w:rPr>
                <w:noProof/>
                <w:webHidden/>
              </w:rPr>
              <w:fldChar w:fldCharType="end"/>
            </w:r>
          </w:hyperlink>
        </w:p>
        <w:p w14:paraId="7280BA44" w14:textId="77AC8B95" w:rsidR="00C87BFB" w:rsidRDefault="00736509">
          <w:pPr>
            <w:pStyle w:val="TOC1"/>
            <w:tabs>
              <w:tab w:val="left" w:pos="480"/>
              <w:tab w:val="right" w:leader="dot" w:pos="9926"/>
            </w:tabs>
            <w:rPr>
              <w:b w:val="0"/>
              <w:noProof/>
              <w:color w:val="auto"/>
              <w:kern w:val="2"/>
              <w:sz w:val="24"/>
              <w:szCs w:val="24"/>
              <w:lang w:eastAsia="en-GB"/>
              <w14:ligatures w14:val="standardContextual"/>
            </w:rPr>
          </w:pPr>
          <w:hyperlink w:anchor="_Toc164832275" w:history="1">
            <w:r w:rsidR="00C87BFB" w:rsidRPr="006820DD">
              <w:rPr>
                <w:rStyle w:val="Hyperlink"/>
                <w:noProof/>
              </w:rPr>
              <w:t>4.</w:t>
            </w:r>
            <w:r w:rsidR="00C87BFB">
              <w:rPr>
                <w:b w:val="0"/>
                <w:noProof/>
                <w:color w:val="auto"/>
                <w:kern w:val="2"/>
                <w:sz w:val="24"/>
                <w:szCs w:val="24"/>
                <w:lang w:eastAsia="en-GB"/>
                <w14:ligatures w14:val="standardContextual"/>
              </w:rPr>
              <w:tab/>
            </w:r>
            <w:r w:rsidR="00C87BFB" w:rsidRPr="006820DD">
              <w:rPr>
                <w:rStyle w:val="Hyperlink"/>
                <w:noProof/>
              </w:rPr>
              <w:t>Control Phase</w:t>
            </w:r>
            <w:r w:rsidR="00C87BFB">
              <w:rPr>
                <w:noProof/>
                <w:webHidden/>
              </w:rPr>
              <w:tab/>
            </w:r>
            <w:r w:rsidR="00C87BFB">
              <w:rPr>
                <w:noProof/>
                <w:webHidden/>
              </w:rPr>
              <w:fldChar w:fldCharType="begin"/>
            </w:r>
            <w:r w:rsidR="00C87BFB">
              <w:rPr>
                <w:noProof/>
                <w:webHidden/>
              </w:rPr>
              <w:instrText xml:space="preserve"> PAGEREF _Toc164832275 \h </w:instrText>
            </w:r>
            <w:r w:rsidR="00C87BFB">
              <w:rPr>
                <w:noProof/>
                <w:webHidden/>
              </w:rPr>
            </w:r>
            <w:r w:rsidR="00C87BFB">
              <w:rPr>
                <w:noProof/>
                <w:webHidden/>
              </w:rPr>
              <w:fldChar w:fldCharType="separate"/>
            </w:r>
            <w:r w:rsidR="00C87BFB">
              <w:rPr>
                <w:noProof/>
                <w:webHidden/>
              </w:rPr>
              <w:t>22</w:t>
            </w:r>
            <w:r w:rsidR="00C87BFB">
              <w:rPr>
                <w:noProof/>
                <w:webHidden/>
              </w:rPr>
              <w:fldChar w:fldCharType="end"/>
            </w:r>
          </w:hyperlink>
        </w:p>
        <w:p w14:paraId="4F76B80A" w14:textId="041FFF8D" w:rsidR="00C87BFB" w:rsidRDefault="00736509">
          <w:pPr>
            <w:pStyle w:val="TOC1"/>
            <w:tabs>
              <w:tab w:val="right" w:leader="dot" w:pos="9926"/>
            </w:tabs>
            <w:rPr>
              <w:b w:val="0"/>
              <w:noProof/>
              <w:color w:val="auto"/>
              <w:kern w:val="2"/>
              <w:sz w:val="24"/>
              <w:szCs w:val="24"/>
              <w:lang w:eastAsia="en-GB"/>
              <w14:ligatures w14:val="standardContextual"/>
            </w:rPr>
          </w:pPr>
          <w:hyperlink w:anchor="_Toc164832276" w:history="1">
            <w:r w:rsidR="00C87BFB" w:rsidRPr="006820DD">
              <w:rPr>
                <w:rStyle w:val="Hyperlink"/>
                <w:noProof/>
              </w:rPr>
              <w:t>Conclusion</w:t>
            </w:r>
            <w:r w:rsidR="00C87BFB">
              <w:rPr>
                <w:noProof/>
                <w:webHidden/>
              </w:rPr>
              <w:tab/>
            </w:r>
            <w:r w:rsidR="00C87BFB">
              <w:rPr>
                <w:noProof/>
                <w:webHidden/>
              </w:rPr>
              <w:fldChar w:fldCharType="begin"/>
            </w:r>
            <w:r w:rsidR="00C87BFB">
              <w:rPr>
                <w:noProof/>
                <w:webHidden/>
              </w:rPr>
              <w:instrText xml:space="preserve"> PAGEREF _Toc164832276 \h </w:instrText>
            </w:r>
            <w:r w:rsidR="00C87BFB">
              <w:rPr>
                <w:noProof/>
                <w:webHidden/>
              </w:rPr>
            </w:r>
            <w:r w:rsidR="00C87BFB">
              <w:rPr>
                <w:noProof/>
                <w:webHidden/>
              </w:rPr>
              <w:fldChar w:fldCharType="separate"/>
            </w:r>
            <w:r w:rsidR="00C87BFB">
              <w:rPr>
                <w:noProof/>
                <w:webHidden/>
              </w:rPr>
              <w:t>23</w:t>
            </w:r>
            <w:r w:rsidR="00C87BFB">
              <w:rPr>
                <w:noProof/>
                <w:webHidden/>
              </w:rPr>
              <w:fldChar w:fldCharType="end"/>
            </w:r>
          </w:hyperlink>
        </w:p>
        <w:p w14:paraId="187F42DC" w14:textId="229146B3" w:rsidR="00C87BFB" w:rsidRDefault="00736509">
          <w:pPr>
            <w:pStyle w:val="TOC1"/>
            <w:tabs>
              <w:tab w:val="right" w:leader="dot" w:pos="9926"/>
            </w:tabs>
            <w:rPr>
              <w:b w:val="0"/>
              <w:noProof/>
              <w:color w:val="auto"/>
              <w:kern w:val="2"/>
              <w:sz w:val="24"/>
              <w:szCs w:val="24"/>
              <w:lang w:eastAsia="en-GB"/>
              <w14:ligatures w14:val="standardContextual"/>
            </w:rPr>
          </w:pPr>
          <w:hyperlink w:anchor="_Toc164832277" w:history="1">
            <w:r w:rsidR="00C87BFB" w:rsidRPr="006820DD">
              <w:rPr>
                <w:rStyle w:val="Hyperlink"/>
                <w:noProof/>
              </w:rPr>
              <w:t>References</w:t>
            </w:r>
            <w:r w:rsidR="00C87BFB">
              <w:rPr>
                <w:noProof/>
                <w:webHidden/>
              </w:rPr>
              <w:tab/>
            </w:r>
            <w:r w:rsidR="00C87BFB">
              <w:rPr>
                <w:noProof/>
                <w:webHidden/>
              </w:rPr>
              <w:fldChar w:fldCharType="begin"/>
            </w:r>
            <w:r w:rsidR="00C87BFB">
              <w:rPr>
                <w:noProof/>
                <w:webHidden/>
              </w:rPr>
              <w:instrText xml:space="preserve"> PAGEREF _Toc164832277 \h </w:instrText>
            </w:r>
            <w:r w:rsidR="00C87BFB">
              <w:rPr>
                <w:noProof/>
                <w:webHidden/>
              </w:rPr>
            </w:r>
            <w:r w:rsidR="00C87BFB">
              <w:rPr>
                <w:noProof/>
                <w:webHidden/>
              </w:rPr>
              <w:fldChar w:fldCharType="separate"/>
            </w:r>
            <w:r w:rsidR="00C87BFB">
              <w:rPr>
                <w:noProof/>
                <w:webHidden/>
              </w:rPr>
              <w:t>24</w:t>
            </w:r>
            <w:r w:rsidR="00C87BFB">
              <w:rPr>
                <w:noProof/>
                <w:webHidden/>
              </w:rPr>
              <w:fldChar w:fldCharType="end"/>
            </w:r>
          </w:hyperlink>
        </w:p>
        <w:p w14:paraId="5E6D7184" w14:textId="6534A2A0" w:rsidR="00111174" w:rsidRPr="00DD25B4" w:rsidRDefault="00111174">
          <w:r w:rsidRPr="00DD25B4">
            <w:rPr>
              <w:bCs/>
            </w:rPr>
            <w:fldChar w:fldCharType="end"/>
          </w:r>
        </w:p>
      </w:sdtContent>
    </w:sdt>
    <w:p w14:paraId="70817930" w14:textId="3E779C6A" w:rsidR="003733AB" w:rsidRPr="00DD25B4" w:rsidRDefault="003733AB">
      <w:pPr>
        <w:spacing w:after="200"/>
        <w:rPr>
          <w:rStyle w:val="Hyperlink"/>
        </w:rPr>
      </w:pPr>
      <w:r w:rsidRPr="00DD25B4">
        <w:rPr>
          <w:rStyle w:val="Hyperlink"/>
        </w:rPr>
        <w:br w:type="page"/>
      </w:r>
    </w:p>
    <w:p w14:paraId="24AFA877" w14:textId="2F2F0F00" w:rsidR="003733AB" w:rsidRPr="00DD25B4" w:rsidRDefault="003733AB" w:rsidP="003733AB">
      <w:pPr>
        <w:pStyle w:val="Heading1"/>
        <w:rPr>
          <w:rStyle w:val="Hyperlink"/>
          <w:color w:val="061F57" w:themeColor="text2" w:themeShade="BF"/>
          <w:u w:val="none"/>
        </w:rPr>
      </w:pPr>
      <w:bookmarkStart w:id="1" w:name="_Toc164832259"/>
      <w:r w:rsidRPr="00DD25B4">
        <w:rPr>
          <w:rStyle w:val="Hyperlink"/>
          <w:color w:val="061F57" w:themeColor="text2" w:themeShade="BF"/>
          <w:u w:val="none"/>
        </w:rPr>
        <w:lastRenderedPageBreak/>
        <w:t>Table of Figures</w:t>
      </w:r>
      <w:bookmarkEnd w:id="1"/>
    </w:p>
    <w:p w14:paraId="1A1D55BF" w14:textId="3F41E808" w:rsidR="00C87BFB" w:rsidRDefault="003B1663">
      <w:pPr>
        <w:pStyle w:val="TableofFigures"/>
        <w:tabs>
          <w:tab w:val="right" w:leader="dot" w:pos="9926"/>
        </w:tabs>
        <w:rPr>
          <w:b w:val="0"/>
          <w:noProof/>
          <w:color w:val="auto"/>
          <w:kern w:val="2"/>
          <w:sz w:val="24"/>
          <w:szCs w:val="24"/>
          <w:lang w:eastAsia="en-GB"/>
          <w14:ligatures w14:val="standardContextual"/>
        </w:rPr>
      </w:pPr>
      <w:r w:rsidRPr="00DD25B4">
        <w:rPr>
          <w:rFonts w:asciiTheme="majorHAnsi" w:eastAsiaTheme="majorEastAsia" w:hAnsiTheme="majorHAnsi" w:cstheme="majorBidi"/>
          <w:bCs/>
          <w:sz w:val="72"/>
          <w:szCs w:val="52"/>
        </w:rPr>
        <w:fldChar w:fldCharType="begin"/>
      </w:r>
      <w:r w:rsidRPr="00DD25B4">
        <w:rPr>
          <w:rFonts w:asciiTheme="majorHAnsi" w:eastAsiaTheme="majorEastAsia" w:hAnsiTheme="majorHAnsi" w:cstheme="majorBidi"/>
          <w:bCs/>
          <w:sz w:val="72"/>
          <w:szCs w:val="52"/>
        </w:rPr>
        <w:instrText xml:space="preserve"> TOC \h \z \c "Figure" </w:instrText>
      </w:r>
      <w:r w:rsidRPr="00DD25B4">
        <w:rPr>
          <w:rFonts w:asciiTheme="majorHAnsi" w:eastAsiaTheme="majorEastAsia" w:hAnsiTheme="majorHAnsi" w:cstheme="majorBidi"/>
          <w:bCs/>
          <w:sz w:val="72"/>
          <w:szCs w:val="52"/>
        </w:rPr>
        <w:fldChar w:fldCharType="separate"/>
      </w:r>
      <w:hyperlink w:anchor="_Toc164832278" w:history="1">
        <w:r w:rsidR="00C87BFB" w:rsidRPr="00304FAE">
          <w:rPr>
            <w:rStyle w:val="Hyperlink"/>
            <w:noProof/>
          </w:rPr>
          <w:t>Figure 1 - Graph Showing Variation in CSR Measurements</w:t>
        </w:r>
        <w:r w:rsidR="00C87BFB">
          <w:rPr>
            <w:noProof/>
            <w:webHidden/>
          </w:rPr>
          <w:tab/>
        </w:r>
        <w:r w:rsidR="00C87BFB">
          <w:rPr>
            <w:noProof/>
            <w:webHidden/>
          </w:rPr>
          <w:fldChar w:fldCharType="begin"/>
        </w:r>
        <w:r w:rsidR="00C87BFB">
          <w:rPr>
            <w:noProof/>
            <w:webHidden/>
          </w:rPr>
          <w:instrText xml:space="preserve"> PAGEREF _Toc164832278 \h </w:instrText>
        </w:r>
        <w:r w:rsidR="00C87BFB">
          <w:rPr>
            <w:noProof/>
            <w:webHidden/>
          </w:rPr>
        </w:r>
        <w:r w:rsidR="00C87BFB">
          <w:rPr>
            <w:noProof/>
            <w:webHidden/>
          </w:rPr>
          <w:fldChar w:fldCharType="separate"/>
        </w:r>
        <w:r w:rsidR="00C87BFB">
          <w:rPr>
            <w:noProof/>
            <w:webHidden/>
          </w:rPr>
          <w:t>11</w:t>
        </w:r>
        <w:r w:rsidR="00C87BFB">
          <w:rPr>
            <w:noProof/>
            <w:webHidden/>
          </w:rPr>
          <w:fldChar w:fldCharType="end"/>
        </w:r>
      </w:hyperlink>
    </w:p>
    <w:p w14:paraId="726F417F" w14:textId="4C32A0E4" w:rsidR="00C87BFB" w:rsidRDefault="00736509">
      <w:pPr>
        <w:pStyle w:val="TableofFigures"/>
        <w:tabs>
          <w:tab w:val="right" w:leader="dot" w:pos="9926"/>
        </w:tabs>
        <w:rPr>
          <w:b w:val="0"/>
          <w:noProof/>
          <w:color w:val="auto"/>
          <w:kern w:val="2"/>
          <w:sz w:val="24"/>
          <w:szCs w:val="24"/>
          <w:lang w:eastAsia="en-GB"/>
          <w14:ligatures w14:val="standardContextual"/>
        </w:rPr>
      </w:pPr>
      <w:hyperlink w:anchor="_Toc164832279" w:history="1">
        <w:r w:rsidR="00C87BFB" w:rsidRPr="00304FAE">
          <w:rPr>
            <w:rStyle w:val="Hyperlink"/>
            <w:noProof/>
          </w:rPr>
          <w:t>Figure 2 - Process Flow Diagram, courtesy of (Steel, 2024)</w:t>
        </w:r>
        <w:r w:rsidR="00C87BFB">
          <w:rPr>
            <w:noProof/>
            <w:webHidden/>
          </w:rPr>
          <w:tab/>
        </w:r>
        <w:r w:rsidR="00C87BFB">
          <w:rPr>
            <w:noProof/>
            <w:webHidden/>
          </w:rPr>
          <w:fldChar w:fldCharType="begin"/>
        </w:r>
        <w:r w:rsidR="00C87BFB">
          <w:rPr>
            <w:noProof/>
            <w:webHidden/>
          </w:rPr>
          <w:instrText xml:space="preserve"> PAGEREF _Toc164832279 \h </w:instrText>
        </w:r>
        <w:r w:rsidR="00C87BFB">
          <w:rPr>
            <w:noProof/>
            <w:webHidden/>
          </w:rPr>
        </w:r>
        <w:r w:rsidR="00C87BFB">
          <w:rPr>
            <w:noProof/>
            <w:webHidden/>
          </w:rPr>
          <w:fldChar w:fldCharType="separate"/>
        </w:r>
        <w:r w:rsidR="00C87BFB">
          <w:rPr>
            <w:noProof/>
            <w:webHidden/>
          </w:rPr>
          <w:t>12</w:t>
        </w:r>
        <w:r w:rsidR="00C87BFB">
          <w:rPr>
            <w:noProof/>
            <w:webHidden/>
          </w:rPr>
          <w:fldChar w:fldCharType="end"/>
        </w:r>
      </w:hyperlink>
    </w:p>
    <w:p w14:paraId="31309F6C" w14:textId="424FDE4A" w:rsidR="00C87BFB" w:rsidRDefault="00736509">
      <w:pPr>
        <w:pStyle w:val="TableofFigures"/>
        <w:tabs>
          <w:tab w:val="right" w:leader="dot" w:pos="9926"/>
        </w:tabs>
        <w:rPr>
          <w:b w:val="0"/>
          <w:noProof/>
          <w:color w:val="auto"/>
          <w:kern w:val="2"/>
          <w:sz w:val="24"/>
          <w:szCs w:val="24"/>
          <w:lang w:eastAsia="en-GB"/>
          <w14:ligatures w14:val="standardContextual"/>
        </w:rPr>
      </w:pPr>
      <w:hyperlink w:anchor="_Toc164832280" w:history="1">
        <w:r w:rsidR="00C87BFB" w:rsidRPr="00304FAE">
          <w:rPr>
            <w:rStyle w:val="Hyperlink"/>
            <w:noProof/>
          </w:rPr>
          <w:t>Figure 3 - Ishikawa Diagram for CSR Variability</w:t>
        </w:r>
        <w:r w:rsidR="00C87BFB">
          <w:rPr>
            <w:noProof/>
            <w:webHidden/>
          </w:rPr>
          <w:tab/>
        </w:r>
        <w:r w:rsidR="00C87BFB">
          <w:rPr>
            <w:noProof/>
            <w:webHidden/>
          </w:rPr>
          <w:fldChar w:fldCharType="begin"/>
        </w:r>
        <w:r w:rsidR="00C87BFB">
          <w:rPr>
            <w:noProof/>
            <w:webHidden/>
          </w:rPr>
          <w:instrText xml:space="preserve"> PAGEREF _Toc164832280 \h </w:instrText>
        </w:r>
        <w:r w:rsidR="00C87BFB">
          <w:rPr>
            <w:noProof/>
            <w:webHidden/>
          </w:rPr>
        </w:r>
        <w:r w:rsidR="00C87BFB">
          <w:rPr>
            <w:noProof/>
            <w:webHidden/>
          </w:rPr>
          <w:fldChar w:fldCharType="separate"/>
        </w:r>
        <w:r w:rsidR="00C87BFB">
          <w:rPr>
            <w:noProof/>
            <w:webHidden/>
          </w:rPr>
          <w:t>14</w:t>
        </w:r>
        <w:r w:rsidR="00C87BFB">
          <w:rPr>
            <w:noProof/>
            <w:webHidden/>
          </w:rPr>
          <w:fldChar w:fldCharType="end"/>
        </w:r>
      </w:hyperlink>
    </w:p>
    <w:p w14:paraId="3160B67F" w14:textId="1A4E8CDF" w:rsidR="00C87BFB" w:rsidRDefault="00736509">
      <w:pPr>
        <w:pStyle w:val="TableofFigures"/>
        <w:tabs>
          <w:tab w:val="right" w:leader="dot" w:pos="9926"/>
        </w:tabs>
        <w:rPr>
          <w:b w:val="0"/>
          <w:noProof/>
          <w:color w:val="auto"/>
          <w:kern w:val="2"/>
          <w:sz w:val="24"/>
          <w:szCs w:val="24"/>
          <w:lang w:eastAsia="en-GB"/>
          <w14:ligatures w14:val="standardContextual"/>
        </w:rPr>
      </w:pPr>
      <w:hyperlink w:anchor="_Toc164832281" w:history="1">
        <w:r w:rsidR="00C87BFB" w:rsidRPr="00304FAE">
          <w:rPr>
            <w:rStyle w:val="Hyperlink"/>
            <w:noProof/>
          </w:rPr>
          <w:t>Figure 4 - Example of a Worn Thermocouple with Excess Wear &amp; Cracking</w:t>
        </w:r>
        <w:r w:rsidR="00C87BFB">
          <w:rPr>
            <w:noProof/>
            <w:webHidden/>
          </w:rPr>
          <w:tab/>
        </w:r>
        <w:r w:rsidR="00C87BFB">
          <w:rPr>
            <w:noProof/>
            <w:webHidden/>
          </w:rPr>
          <w:fldChar w:fldCharType="begin"/>
        </w:r>
        <w:r w:rsidR="00C87BFB">
          <w:rPr>
            <w:noProof/>
            <w:webHidden/>
          </w:rPr>
          <w:instrText xml:space="preserve"> PAGEREF _Toc164832281 \h </w:instrText>
        </w:r>
        <w:r w:rsidR="00C87BFB">
          <w:rPr>
            <w:noProof/>
            <w:webHidden/>
          </w:rPr>
        </w:r>
        <w:r w:rsidR="00C87BFB">
          <w:rPr>
            <w:noProof/>
            <w:webHidden/>
          </w:rPr>
          <w:fldChar w:fldCharType="separate"/>
        </w:r>
        <w:r w:rsidR="00C87BFB">
          <w:rPr>
            <w:noProof/>
            <w:webHidden/>
          </w:rPr>
          <w:t>15</w:t>
        </w:r>
        <w:r w:rsidR="00C87BFB">
          <w:rPr>
            <w:noProof/>
            <w:webHidden/>
          </w:rPr>
          <w:fldChar w:fldCharType="end"/>
        </w:r>
      </w:hyperlink>
    </w:p>
    <w:p w14:paraId="6645EBD1" w14:textId="0CEDFFA7" w:rsidR="00C87BFB" w:rsidRDefault="00736509">
      <w:pPr>
        <w:pStyle w:val="TableofFigures"/>
        <w:tabs>
          <w:tab w:val="right" w:leader="dot" w:pos="9926"/>
        </w:tabs>
        <w:rPr>
          <w:b w:val="0"/>
          <w:noProof/>
          <w:color w:val="auto"/>
          <w:kern w:val="2"/>
          <w:sz w:val="24"/>
          <w:szCs w:val="24"/>
          <w:lang w:eastAsia="en-GB"/>
          <w14:ligatures w14:val="standardContextual"/>
        </w:rPr>
      </w:pPr>
      <w:hyperlink w:anchor="_Toc164832282" w:history="1">
        <w:r w:rsidR="00C87BFB" w:rsidRPr="00304FAE">
          <w:rPr>
            <w:rStyle w:val="Hyperlink"/>
            <w:noProof/>
          </w:rPr>
          <w:t>Figure 6 - First Example of Heating Elements</w:t>
        </w:r>
        <w:r w:rsidR="00C87BFB">
          <w:rPr>
            <w:noProof/>
            <w:webHidden/>
          </w:rPr>
          <w:tab/>
        </w:r>
        <w:r w:rsidR="00C87BFB">
          <w:rPr>
            <w:noProof/>
            <w:webHidden/>
          </w:rPr>
          <w:fldChar w:fldCharType="begin"/>
        </w:r>
        <w:r w:rsidR="00C87BFB">
          <w:rPr>
            <w:noProof/>
            <w:webHidden/>
          </w:rPr>
          <w:instrText xml:space="preserve"> PAGEREF _Toc164832282 \h </w:instrText>
        </w:r>
        <w:r w:rsidR="00C87BFB">
          <w:rPr>
            <w:noProof/>
            <w:webHidden/>
          </w:rPr>
        </w:r>
        <w:r w:rsidR="00C87BFB">
          <w:rPr>
            <w:noProof/>
            <w:webHidden/>
          </w:rPr>
          <w:fldChar w:fldCharType="separate"/>
        </w:r>
        <w:r w:rsidR="00C87BFB">
          <w:rPr>
            <w:noProof/>
            <w:webHidden/>
          </w:rPr>
          <w:t>15</w:t>
        </w:r>
        <w:r w:rsidR="00C87BFB">
          <w:rPr>
            <w:noProof/>
            <w:webHidden/>
          </w:rPr>
          <w:fldChar w:fldCharType="end"/>
        </w:r>
      </w:hyperlink>
    </w:p>
    <w:p w14:paraId="2374AE48" w14:textId="6C35F8E6" w:rsidR="00C87BFB" w:rsidRDefault="00736509">
      <w:pPr>
        <w:pStyle w:val="TableofFigures"/>
        <w:tabs>
          <w:tab w:val="right" w:leader="dot" w:pos="9926"/>
        </w:tabs>
        <w:rPr>
          <w:b w:val="0"/>
          <w:noProof/>
          <w:color w:val="auto"/>
          <w:kern w:val="2"/>
          <w:sz w:val="24"/>
          <w:szCs w:val="24"/>
          <w:lang w:eastAsia="en-GB"/>
          <w14:ligatures w14:val="standardContextual"/>
        </w:rPr>
      </w:pPr>
      <w:hyperlink w:anchor="_Toc164832283" w:history="1">
        <w:r w:rsidR="00C87BFB" w:rsidRPr="00304FAE">
          <w:rPr>
            <w:rStyle w:val="Hyperlink"/>
            <w:noProof/>
          </w:rPr>
          <w:t>Figure 5 - Showing a Worn Vessel with Excess Cracking and Scaling</w:t>
        </w:r>
        <w:r w:rsidR="00C87BFB">
          <w:rPr>
            <w:noProof/>
            <w:webHidden/>
          </w:rPr>
          <w:tab/>
        </w:r>
        <w:r w:rsidR="00C87BFB">
          <w:rPr>
            <w:noProof/>
            <w:webHidden/>
          </w:rPr>
          <w:fldChar w:fldCharType="begin"/>
        </w:r>
        <w:r w:rsidR="00C87BFB">
          <w:rPr>
            <w:noProof/>
            <w:webHidden/>
          </w:rPr>
          <w:instrText xml:space="preserve"> PAGEREF _Toc164832283 \h </w:instrText>
        </w:r>
        <w:r w:rsidR="00C87BFB">
          <w:rPr>
            <w:noProof/>
            <w:webHidden/>
          </w:rPr>
        </w:r>
        <w:r w:rsidR="00C87BFB">
          <w:rPr>
            <w:noProof/>
            <w:webHidden/>
          </w:rPr>
          <w:fldChar w:fldCharType="separate"/>
        </w:r>
        <w:r w:rsidR="00C87BFB">
          <w:rPr>
            <w:noProof/>
            <w:webHidden/>
          </w:rPr>
          <w:t>15</w:t>
        </w:r>
        <w:r w:rsidR="00C87BFB">
          <w:rPr>
            <w:noProof/>
            <w:webHidden/>
          </w:rPr>
          <w:fldChar w:fldCharType="end"/>
        </w:r>
      </w:hyperlink>
    </w:p>
    <w:p w14:paraId="4E4ED593" w14:textId="711795CB" w:rsidR="00C87BFB" w:rsidRDefault="00736509">
      <w:pPr>
        <w:pStyle w:val="TableofFigures"/>
        <w:tabs>
          <w:tab w:val="right" w:leader="dot" w:pos="9926"/>
        </w:tabs>
        <w:rPr>
          <w:b w:val="0"/>
          <w:noProof/>
          <w:color w:val="auto"/>
          <w:kern w:val="2"/>
          <w:sz w:val="24"/>
          <w:szCs w:val="24"/>
          <w:lang w:eastAsia="en-GB"/>
          <w14:ligatures w14:val="standardContextual"/>
        </w:rPr>
      </w:pPr>
      <w:hyperlink w:anchor="_Toc164832284" w:history="1">
        <w:r w:rsidR="00C87BFB" w:rsidRPr="00304FAE">
          <w:rPr>
            <w:rStyle w:val="Hyperlink"/>
            <w:noProof/>
          </w:rPr>
          <w:t>Figure 8 - Example of Furnace Heating Zones</w:t>
        </w:r>
        <w:r w:rsidR="00C87BFB">
          <w:rPr>
            <w:noProof/>
            <w:webHidden/>
          </w:rPr>
          <w:tab/>
        </w:r>
        <w:r w:rsidR="00C87BFB">
          <w:rPr>
            <w:noProof/>
            <w:webHidden/>
          </w:rPr>
          <w:fldChar w:fldCharType="begin"/>
        </w:r>
        <w:r w:rsidR="00C87BFB">
          <w:rPr>
            <w:noProof/>
            <w:webHidden/>
          </w:rPr>
          <w:instrText xml:space="preserve"> PAGEREF _Toc164832284 \h </w:instrText>
        </w:r>
        <w:r w:rsidR="00C87BFB">
          <w:rPr>
            <w:noProof/>
            <w:webHidden/>
          </w:rPr>
        </w:r>
        <w:r w:rsidR="00C87BFB">
          <w:rPr>
            <w:noProof/>
            <w:webHidden/>
          </w:rPr>
          <w:fldChar w:fldCharType="separate"/>
        </w:r>
        <w:r w:rsidR="00C87BFB">
          <w:rPr>
            <w:noProof/>
            <w:webHidden/>
          </w:rPr>
          <w:t>15</w:t>
        </w:r>
        <w:r w:rsidR="00C87BFB">
          <w:rPr>
            <w:noProof/>
            <w:webHidden/>
          </w:rPr>
          <w:fldChar w:fldCharType="end"/>
        </w:r>
      </w:hyperlink>
    </w:p>
    <w:p w14:paraId="416444F0" w14:textId="7C068032" w:rsidR="00C87BFB" w:rsidRDefault="00736509">
      <w:pPr>
        <w:pStyle w:val="TableofFigures"/>
        <w:tabs>
          <w:tab w:val="right" w:leader="dot" w:pos="9926"/>
        </w:tabs>
        <w:rPr>
          <w:b w:val="0"/>
          <w:noProof/>
          <w:color w:val="auto"/>
          <w:kern w:val="2"/>
          <w:sz w:val="24"/>
          <w:szCs w:val="24"/>
          <w:lang w:eastAsia="en-GB"/>
          <w14:ligatures w14:val="standardContextual"/>
        </w:rPr>
      </w:pPr>
      <w:hyperlink w:anchor="_Toc164832285" w:history="1">
        <w:r w:rsidR="00C87BFB" w:rsidRPr="00304FAE">
          <w:rPr>
            <w:rStyle w:val="Hyperlink"/>
            <w:noProof/>
          </w:rPr>
          <w:t>Figure 7 - Second Example of Heating Elements</w:t>
        </w:r>
        <w:r w:rsidR="00C87BFB">
          <w:rPr>
            <w:noProof/>
            <w:webHidden/>
          </w:rPr>
          <w:tab/>
        </w:r>
        <w:r w:rsidR="00C87BFB">
          <w:rPr>
            <w:noProof/>
            <w:webHidden/>
          </w:rPr>
          <w:fldChar w:fldCharType="begin"/>
        </w:r>
        <w:r w:rsidR="00C87BFB">
          <w:rPr>
            <w:noProof/>
            <w:webHidden/>
          </w:rPr>
          <w:instrText xml:space="preserve"> PAGEREF _Toc164832285 \h </w:instrText>
        </w:r>
        <w:r w:rsidR="00C87BFB">
          <w:rPr>
            <w:noProof/>
            <w:webHidden/>
          </w:rPr>
        </w:r>
        <w:r w:rsidR="00C87BFB">
          <w:rPr>
            <w:noProof/>
            <w:webHidden/>
          </w:rPr>
          <w:fldChar w:fldCharType="separate"/>
        </w:r>
        <w:r w:rsidR="00C87BFB">
          <w:rPr>
            <w:noProof/>
            <w:webHidden/>
          </w:rPr>
          <w:t>15</w:t>
        </w:r>
        <w:r w:rsidR="00C87BFB">
          <w:rPr>
            <w:noProof/>
            <w:webHidden/>
          </w:rPr>
          <w:fldChar w:fldCharType="end"/>
        </w:r>
      </w:hyperlink>
    </w:p>
    <w:p w14:paraId="3EB5918A" w14:textId="74542682" w:rsidR="00C87BFB" w:rsidRDefault="00736509">
      <w:pPr>
        <w:pStyle w:val="TableofFigures"/>
        <w:tabs>
          <w:tab w:val="right" w:leader="dot" w:pos="9926"/>
        </w:tabs>
        <w:rPr>
          <w:b w:val="0"/>
          <w:noProof/>
          <w:color w:val="auto"/>
          <w:kern w:val="2"/>
          <w:sz w:val="24"/>
          <w:szCs w:val="24"/>
          <w:lang w:eastAsia="en-GB"/>
          <w14:ligatures w14:val="standardContextual"/>
        </w:rPr>
      </w:pPr>
      <w:hyperlink w:anchor="_Toc164832286" w:history="1">
        <w:r w:rsidR="00C87BFB" w:rsidRPr="00304FAE">
          <w:rPr>
            <w:rStyle w:val="Hyperlink"/>
            <w:noProof/>
          </w:rPr>
          <w:t>Figure 9 - Example of Inside the Furnace with Excess Damage</w:t>
        </w:r>
        <w:r w:rsidR="00C87BFB">
          <w:rPr>
            <w:noProof/>
            <w:webHidden/>
          </w:rPr>
          <w:tab/>
        </w:r>
        <w:r w:rsidR="00C87BFB">
          <w:rPr>
            <w:noProof/>
            <w:webHidden/>
          </w:rPr>
          <w:fldChar w:fldCharType="begin"/>
        </w:r>
        <w:r w:rsidR="00C87BFB">
          <w:rPr>
            <w:noProof/>
            <w:webHidden/>
          </w:rPr>
          <w:instrText xml:space="preserve"> PAGEREF _Toc164832286 \h </w:instrText>
        </w:r>
        <w:r w:rsidR="00C87BFB">
          <w:rPr>
            <w:noProof/>
            <w:webHidden/>
          </w:rPr>
        </w:r>
        <w:r w:rsidR="00C87BFB">
          <w:rPr>
            <w:noProof/>
            <w:webHidden/>
          </w:rPr>
          <w:fldChar w:fldCharType="separate"/>
        </w:r>
        <w:r w:rsidR="00C87BFB">
          <w:rPr>
            <w:noProof/>
            <w:webHidden/>
          </w:rPr>
          <w:t>16</w:t>
        </w:r>
        <w:r w:rsidR="00C87BFB">
          <w:rPr>
            <w:noProof/>
            <w:webHidden/>
          </w:rPr>
          <w:fldChar w:fldCharType="end"/>
        </w:r>
      </w:hyperlink>
    </w:p>
    <w:p w14:paraId="569D399E" w14:textId="5EFA08ED" w:rsidR="00C87BFB" w:rsidRDefault="00736509">
      <w:pPr>
        <w:pStyle w:val="TableofFigures"/>
        <w:tabs>
          <w:tab w:val="right" w:leader="dot" w:pos="9926"/>
        </w:tabs>
        <w:rPr>
          <w:b w:val="0"/>
          <w:noProof/>
          <w:color w:val="auto"/>
          <w:kern w:val="2"/>
          <w:sz w:val="24"/>
          <w:szCs w:val="24"/>
          <w:lang w:eastAsia="en-GB"/>
          <w14:ligatures w14:val="standardContextual"/>
        </w:rPr>
      </w:pPr>
      <w:hyperlink w:anchor="_Toc164832287" w:history="1">
        <w:r w:rsidR="00C87BFB" w:rsidRPr="00304FAE">
          <w:rPr>
            <w:rStyle w:val="Hyperlink"/>
            <w:noProof/>
          </w:rPr>
          <w:t>Figure 10 - Example of the Mass Flow Controller</w:t>
        </w:r>
        <w:r w:rsidR="00C87BFB">
          <w:rPr>
            <w:noProof/>
            <w:webHidden/>
          </w:rPr>
          <w:tab/>
        </w:r>
        <w:r w:rsidR="00C87BFB">
          <w:rPr>
            <w:noProof/>
            <w:webHidden/>
          </w:rPr>
          <w:fldChar w:fldCharType="begin"/>
        </w:r>
        <w:r w:rsidR="00C87BFB">
          <w:rPr>
            <w:noProof/>
            <w:webHidden/>
          </w:rPr>
          <w:instrText xml:space="preserve"> PAGEREF _Toc164832287 \h </w:instrText>
        </w:r>
        <w:r w:rsidR="00C87BFB">
          <w:rPr>
            <w:noProof/>
            <w:webHidden/>
          </w:rPr>
        </w:r>
        <w:r w:rsidR="00C87BFB">
          <w:rPr>
            <w:noProof/>
            <w:webHidden/>
          </w:rPr>
          <w:fldChar w:fldCharType="separate"/>
        </w:r>
        <w:r w:rsidR="00C87BFB">
          <w:rPr>
            <w:noProof/>
            <w:webHidden/>
          </w:rPr>
          <w:t>18</w:t>
        </w:r>
        <w:r w:rsidR="00C87BFB">
          <w:rPr>
            <w:noProof/>
            <w:webHidden/>
          </w:rPr>
          <w:fldChar w:fldCharType="end"/>
        </w:r>
      </w:hyperlink>
    </w:p>
    <w:p w14:paraId="68B83E1C" w14:textId="691D8359" w:rsidR="00C87BFB" w:rsidRDefault="00736509">
      <w:pPr>
        <w:pStyle w:val="TableofFigures"/>
        <w:tabs>
          <w:tab w:val="right" w:leader="dot" w:pos="9926"/>
        </w:tabs>
        <w:rPr>
          <w:b w:val="0"/>
          <w:noProof/>
          <w:color w:val="auto"/>
          <w:kern w:val="2"/>
          <w:sz w:val="24"/>
          <w:szCs w:val="24"/>
          <w:lang w:eastAsia="en-GB"/>
          <w14:ligatures w14:val="standardContextual"/>
        </w:rPr>
      </w:pPr>
      <w:hyperlink w:anchor="_Toc164832288" w:history="1">
        <w:r w:rsidR="00C87BFB" w:rsidRPr="00304FAE">
          <w:rPr>
            <w:rStyle w:val="Hyperlink"/>
            <w:noProof/>
          </w:rPr>
          <w:t>Figure 12 - Showing the Lifecycle of Each Vessel</w:t>
        </w:r>
        <w:r w:rsidR="00C87BFB">
          <w:rPr>
            <w:noProof/>
            <w:webHidden/>
          </w:rPr>
          <w:tab/>
        </w:r>
        <w:r w:rsidR="00C87BFB">
          <w:rPr>
            <w:noProof/>
            <w:webHidden/>
          </w:rPr>
          <w:fldChar w:fldCharType="begin"/>
        </w:r>
        <w:r w:rsidR="00C87BFB">
          <w:rPr>
            <w:noProof/>
            <w:webHidden/>
          </w:rPr>
          <w:instrText xml:space="preserve"> PAGEREF _Toc164832288 \h </w:instrText>
        </w:r>
        <w:r w:rsidR="00C87BFB">
          <w:rPr>
            <w:noProof/>
            <w:webHidden/>
          </w:rPr>
        </w:r>
        <w:r w:rsidR="00C87BFB">
          <w:rPr>
            <w:noProof/>
            <w:webHidden/>
          </w:rPr>
          <w:fldChar w:fldCharType="separate"/>
        </w:r>
        <w:r w:rsidR="00C87BFB">
          <w:rPr>
            <w:noProof/>
            <w:webHidden/>
          </w:rPr>
          <w:t>19</w:t>
        </w:r>
        <w:r w:rsidR="00C87BFB">
          <w:rPr>
            <w:noProof/>
            <w:webHidden/>
          </w:rPr>
          <w:fldChar w:fldCharType="end"/>
        </w:r>
      </w:hyperlink>
    </w:p>
    <w:p w14:paraId="7F339E98" w14:textId="500CD68B" w:rsidR="00C87BFB" w:rsidRDefault="00736509">
      <w:pPr>
        <w:pStyle w:val="TableofFigures"/>
        <w:tabs>
          <w:tab w:val="right" w:leader="dot" w:pos="9926"/>
        </w:tabs>
        <w:rPr>
          <w:b w:val="0"/>
          <w:noProof/>
          <w:color w:val="auto"/>
          <w:kern w:val="2"/>
          <w:sz w:val="24"/>
          <w:szCs w:val="24"/>
          <w:lang w:eastAsia="en-GB"/>
          <w14:ligatures w14:val="standardContextual"/>
        </w:rPr>
      </w:pPr>
      <w:hyperlink w:anchor="_Toc164832289" w:history="1">
        <w:r w:rsidR="00C87BFB" w:rsidRPr="00304FAE">
          <w:rPr>
            <w:rStyle w:val="Hyperlink"/>
            <w:noProof/>
          </w:rPr>
          <w:t>Figure 11 - Showing the Lifecycle of Each Thermocouple</w:t>
        </w:r>
        <w:r w:rsidR="00C87BFB">
          <w:rPr>
            <w:noProof/>
            <w:webHidden/>
          </w:rPr>
          <w:tab/>
        </w:r>
        <w:r w:rsidR="00C87BFB">
          <w:rPr>
            <w:noProof/>
            <w:webHidden/>
          </w:rPr>
          <w:fldChar w:fldCharType="begin"/>
        </w:r>
        <w:r w:rsidR="00C87BFB">
          <w:rPr>
            <w:noProof/>
            <w:webHidden/>
          </w:rPr>
          <w:instrText xml:space="preserve"> PAGEREF _Toc164832289 \h </w:instrText>
        </w:r>
        <w:r w:rsidR="00C87BFB">
          <w:rPr>
            <w:noProof/>
            <w:webHidden/>
          </w:rPr>
        </w:r>
        <w:r w:rsidR="00C87BFB">
          <w:rPr>
            <w:noProof/>
            <w:webHidden/>
          </w:rPr>
          <w:fldChar w:fldCharType="separate"/>
        </w:r>
        <w:r w:rsidR="00C87BFB">
          <w:rPr>
            <w:noProof/>
            <w:webHidden/>
          </w:rPr>
          <w:t>19</w:t>
        </w:r>
        <w:r w:rsidR="00C87BFB">
          <w:rPr>
            <w:noProof/>
            <w:webHidden/>
          </w:rPr>
          <w:fldChar w:fldCharType="end"/>
        </w:r>
      </w:hyperlink>
    </w:p>
    <w:p w14:paraId="2B87C14E" w14:textId="7A583908" w:rsidR="003733AB" w:rsidRPr="00DD25B4" w:rsidRDefault="003B1663">
      <w:pPr>
        <w:spacing w:after="200"/>
        <w:rPr>
          <w:rFonts w:asciiTheme="majorHAnsi" w:eastAsiaTheme="majorEastAsia" w:hAnsiTheme="majorHAnsi" w:cstheme="majorBidi"/>
          <w:bCs/>
          <w:sz w:val="72"/>
          <w:szCs w:val="52"/>
        </w:rPr>
      </w:pPr>
      <w:r w:rsidRPr="00DD25B4">
        <w:rPr>
          <w:rFonts w:asciiTheme="majorHAnsi" w:eastAsiaTheme="majorEastAsia" w:hAnsiTheme="majorHAnsi" w:cstheme="majorBidi"/>
          <w:bCs/>
          <w:sz w:val="72"/>
          <w:szCs w:val="52"/>
        </w:rPr>
        <w:fldChar w:fldCharType="end"/>
      </w:r>
    </w:p>
    <w:p w14:paraId="3DD1FAF4" w14:textId="374048C0" w:rsidR="003B1663" w:rsidRPr="00DD25B4" w:rsidRDefault="003B1663" w:rsidP="00111174">
      <w:pPr>
        <w:pStyle w:val="Heading1"/>
        <w:rPr>
          <w:rStyle w:val="Hyperlink"/>
          <w:color w:val="061F57" w:themeColor="text2" w:themeShade="BF"/>
          <w:szCs w:val="44"/>
          <w:u w:val="none"/>
        </w:rPr>
      </w:pPr>
      <w:bookmarkStart w:id="2" w:name="_Toc164832260"/>
      <w:r w:rsidRPr="00DD25B4">
        <w:rPr>
          <w:rStyle w:val="Hyperlink"/>
          <w:color w:val="061F57" w:themeColor="text2" w:themeShade="BF"/>
          <w:szCs w:val="44"/>
          <w:u w:val="none"/>
        </w:rPr>
        <w:t>Table of Tables</w:t>
      </w:r>
      <w:bookmarkEnd w:id="2"/>
    </w:p>
    <w:p w14:paraId="6515AA86" w14:textId="22CD69FC" w:rsidR="00835715" w:rsidRDefault="003B1663">
      <w:pPr>
        <w:pStyle w:val="TableofFigures"/>
        <w:tabs>
          <w:tab w:val="right" w:leader="dot" w:pos="9926"/>
        </w:tabs>
        <w:rPr>
          <w:b w:val="0"/>
          <w:noProof/>
          <w:color w:val="auto"/>
          <w:kern w:val="2"/>
          <w:sz w:val="24"/>
          <w:szCs w:val="24"/>
          <w:lang w:eastAsia="en-GB"/>
          <w14:ligatures w14:val="standardContextual"/>
        </w:rPr>
      </w:pPr>
      <w:r w:rsidRPr="00DD25B4">
        <w:rPr>
          <w:rStyle w:val="Hyperlink"/>
          <w:color w:val="061F57" w:themeColor="text2" w:themeShade="BF"/>
          <w:u w:val="none"/>
        </w:rPr>
        <w:fldChar w:fldCharType="begin"/>
      </w:r>
      <w:r w:rsidRPr="00DD25B4">
        <w:rPr>
          <w:rStyle w:val="Hyperlink"/>
          <w:color w:val="061F57" w:themeColor="text2" w:themeShade="BF"/>
          <w:u w:val="none"/>
        </w:rPr>
        <w:instrText xml:space="preserve"> TOC \h \z \c "Table" </w:instrText>
      </w:r>
      <w:r w:rsidRPr="00DD25B4">
        <w:rPr>
          <w:rStyle w:val="Hyperlink"/>
          <w:color w:val="061F57" w:themeColor="text2" w:themeShade="BF"/>
          <w:u w:val="none"/>
        </w:rPr>
        <w:fldChar w:fldCharType="separate"/>
      </w:r>
      <w:hyperlink w:anchor="_Toc164832290" w:history="1">
        <w:r w:rsidR="00835715" w:rsidRPr="00B30892">
          <w:rPr>
            <w:rStyle w:val="Hyperlink"/>
            <w:noProof/>
          </w:rPr>
          <w:t>Table 1 - Shows the Temperature Controls are Within Specification</w:t>
        </w:r>
        <w:r w:rsidR="00835715">
          <w:rPr>
            <w:noProof/>
            <w:webHidden/>
          </w:rPr>
          <w:tab/>
        </w:r>
        <w:r w:rsidR="00835715">
          <w:rPr>
            <w:noProof/>
            <w:webHidden/>
          </w:rPr>
          <w:fldChar w:fldCharType="begin"/>
        </w:r>
        <w:r w:rsidR="00835715">
          <w:rPr>
            <w:noProof/>
            <w:webHidden/>
          </w:rPr>
          <w:instrText xml:space="preserve"> PAGEREF _Toc164832290 \h </w:instrText>
        </w:r>
        <w:r w:rsidR="00835715">
          <w:rPr>
            <w:noProof/>
            <w:webHidden/>
          </w:rPr>
        </w:r>
        <w:r w:rsidR="00835715">
          <w:rPr>
            <w:noProof/>
            <w:webHidden/>
          </w:rPr>
          <w:fldChar w:fldCharType="separate"/>
        </w:r>
        <w:r w:rsidR="00835715">
          <w:rPr>
            <w:noProof/>
            <w:webHidden/>
          </w:rPr>
          <w:t>17</w:t>
        </w:r>
        <w:r w:rsidR="00835715">
          <w:rPr>
            <w:noProof/>
            <w:webHidden/>
          </w:rPr>
          <w:fldChar w:fldCharType="end"/>
        </w:r>
      </w:hyperlink>
    </w:p>
    <w:p w14:paraId="0B3BC0B5" w14:textId="656C67CA" w:rsidR="00835715" w:rsidRDefault="00736509">
      <w:pPr>
        <w:pStyle w:val="TableofFigures"/>
        <w:tabs>
          <w:tab w:val="right" w:leader="dot" w:pos="9926"/>
        </w:tabs>
        <w:rPr>
          <w:b w:val="0"/>
          <w:noProof/>
          <w:color w:val="auto"/>
          <w:kern w:val="2"/>
          <w:sz w:val="24"/>
          <w:szCs w:val="24"/>
          <w:lang w:eastAsia="en-GB"/>
          <w14:ligatures w14:val="standardContextual"/>
        </w:rPr>
      </w:pPr>
      <w:hyperlink w:anchor="_Toc164832291" w:history="1">
        <w:r w:rsidR="00835715" w:rsidRPr="00B30892">
          <w:rPr>
            <w:rStyle w:val="Hyperlink"/>
            <w:noProof/>
          </w:rPr>
          <w:t>Table 2 - Showing the Condition of the Mass flow Controllers</w:t>
        </w:r>
        <w:r w:rsidR="00835715">
          <w:rPr>
            <w:noProof/>
            <w:webHidden/>
          </w:rPr>
          <w:tab/>
        </w:r>
        <w:r w:rsidR="00835715">
          <w:rPr>
            <w:noProof/>
            <w:webHidden/>
          </w:rPr>
          <w:fldChar w:fldCharType="begin"/>
        </w:r>
        <w:r w:rsidR="00835715">
          <w:rPr>
            <w:noProof/>
            <w:webHidden/>
          </w:rPr>
          <w:instrText xml:space="preserve"> PAGEREF _Toc164832291 \h </w:instrText>
        </w:r>
        <w:r w:rsidR="00835715">
          <w:rPr>
            <w:noProof/>
            <w:webHidden/>
          </w:rPr>
        </w:r>
        <w:r w:rsidR="00835715">
          <w:rPr>
            <w:noProof/>
            <w:webHidden/>
          </w:rPr>
          <w:fldChar w:fldCharType="separate"/>
        </w:r>
        <w:r w:rsidR="00835715">
          <w:rPr>
            <w:noProof/>
            <w:webHidden/>
          </w:rPr>
          <w:t>17</w:t>
        </w:r>
        <w:r w:rsidR="00835715">
          <w:rPr>
            <w:noProof/>
            <w:webHidden/>
          </w:rPr>
          <w:fldChar w:fldCharType="end"/>
        </w:r>
      </w:hyperlink>
    </w:p>
    <w:p w14:paraId="33187913" w14:textId="0E5C940F" w:rsidR="003B1663" w:rsidRPr="00DD25B4" w:rsidRDefault="003B1663" w:rsidP="003B1663">
      <w:pPr>
        <w:pStyle w:val="Heading1"/>
        <w:rPr>
          <w:rStyle w:val="Hyperlink"/>
          <w:color w:val="061F57" w:themeColor="text2" w:themeShade="BF"/>
          <w:u w:val="none"/>
        </w:rPr>
      </w:pPr>
      <w:r w:rsidRPr="00DD25B4">
        <w:rPr>
          <w:rStyle w:val="Hyperlink"/>
          <w:color w:val="061F57" w:themeColor="text2" w:themeShade="BF"/>
          <w:u w:val="none"/>
        </w:rPr>
        <w:fldChar w:fldCharType="end"/>
      </w:r>
    </w:p>
    <w:p w14:paraId="255EB852" w14:textId="77777777" w:rsidR="003B1663" w:rsidRPr="00DD25B4" w:rsidRDefault="003B1663">
      <w:pPr>
        <w:spacing w:after="200"/>
        <w:rPr>
          <w:rFonts w:asciiTheme="majorHAnsi" w:eastAsiaTheme="majorEastAsia" w:hAnsiTheme="majorHAnsi" w:cstheme="majorBidi"/>
          <w:bCs/>
          <w:sz w:val="72"/>
          <w:szCs w:val="52"/>
        </w:rPr>
      </w:pPr>
    </w:p>
    <w:p w14:paraId="42BEA095" w14:textId="506E5308" w:rsidR="00825380" w:rsidRPr="00DD25B4" w:rsidRDefault="003733AB">
      <w:pPr>
        <w:spacing w:after="200"/>
        <w:rPr>
          <w:rFonts w:asciiTheme="majorHAnsi" w:eastAsiaTheme="majorEastAsia" w:hAnsiTheme="majorHAnsi" w:cstheme="majorBidi"/>
          <w:bCs/>
          <w:sz w:val="72"/>
          <w:szCs w:val="52"/>
        </w:rPr>
      </w:pPr>
      <w:r w:rsidRPr="00DD25B4">
        <w:rPr>
          <w:rFonts w:asciiTheme="majorHAnsi" w:eastAsiaTheme="majorEastAsia" w:hAnsiTheme="majorHAnsi" w:cstheme="majorBidi"/>
          <w:bCs/>
          <w:sz w:val="72"/>
          <w:szCs w:val="52"/>
        </w:rPr>
        <w:br w:type="page"/>
      </w:r>
    </w:p>
    <w:p w14:paraId="6736CE66" w14:textId="55EB6641" w:rsidR="0087605E" w:rsidRPr="00DD25B4" w:rsidRDefault="00A23458" w:rsidP="00825380">
      <w:pPr>
        <w:pStyle w:val="Heading1"/>
      </w:pPr>
      <w:bookmarkStart w:id="3" w:name="_Toc164832261"/>
      <w:r w:rsidRPr="00DD25B4">
        <w:lastRenderedPageBreak/>
        <w:t>Introduction</w:t>
      </w:r>
      <w:bookmarkEnd w:id="3"/>
    </w:p>
    <w:p w14:paraId="1501FCC1" w14:textId="2F5E4D0D" w:rsidR="00AF77BF" w:rsidRPr="00DD25B4" w:rsidRDefault="00713BCC" w:rsidP="00AF77BF">
      <w:pPr>
        <w:spacing w:line="360" w:lineRule="auto"/>
        <w:jc w:val="both"/>
        <w:rPr>
          <w:rFonts w:ascii="Arial" w:hAnsi="Arial" w:cs="Arial"/>
          <w:b w:val="0"/>
          <w:bCs/>
          <w:color w:val="auto"/>
          <w:sz w:val="22"/>
        </w:rPr>
      </w:pPr>
      <w:r w:rsidRPr="00DD25B4">
        <w:rPr>
          <w:rFonts w:ascii="Arial" w:hAnsi="Arial" w:cs="Arial"/>
          <w:b w:val="0"/>
          <w:bCs/>
          <w:color w:val="auto"/>
          <w:sz w:val="22"/>
        </w:rPr>
        <w:t xml:space="preserve">Coke </w:t>
      </w:r>
      <w:r w:rsidR="00C0366D" w:rsidRPr="00DD25B4">
        <w:rPr>
          <w:rFonts w:ascii="Arial" w:hAnsi="Arial" w:cs="Arial"/>
          <w:b w:val="0"/>
          <w:bCs/>
          <w:color w:val="auto"/>
          <w:sz w:val="22"/>
        </w:rPr>
        <w:t>S</w:t>
      </w:r>
      <w:r w:rsidRPr="00DD25B4">
        <w:rPr>
          <w:rFonts w:ascii="Arial" w:hAnsi="Arial" w:cs="Arial"/>
          <w:b w:val="0"/>
          <w:bCs/>
          <w:color w:val="auto"/>
          <w:sz w:val="22"/>
        </w:rPr>
        <w:t xml:space="preserve">trength after </w:t>
      </w:r>
      <w:r w:rsidR="00C0366D" w:rsidRPr="00DD25B4">
        <w:rPr>
          <w:rFonts w:ascii="Arial" w:hAnsi="Arial" w:cs="Arial"/>
          <w:b w:val="0"/>
          <w:bCs/>
          <w:color w:val="auto"/>
          <w:sz w:val="22"/>
        </w:rPr>
        <w:t>R</w:t>
      </w:r>
      <w:r w:rsidRPr="00DD25B4">
        <w:rPr>
          <w:rFonts w:ascii="Arial" w:hAnsi="Arial" w:cs="Arial"/>
          <w:b w:val="0"/>
          <w:bCs/>
          <w:color w:val="auto"/>
          <w:sz w:val="22"/>
        </w:rPr>
        <w:t>eaction</w:t>
      </w:r>
      <w:r w:rsidR="00AF77BF" w:rsidRPr="00DD25B4">
        <w:rPr>
          <w:rFonts w:ascii="Arial" w:hAnsi="Arial" w:cs="Arial"/>
          <w:b w:val="0"/>
          <w:bCs/>
          <w:color w:val="auto"/>
          <w:sz w:val="22"/>
        </w:rPr>
        <w:t xml:space="preserve"> (CSR) testing plays a pivotal role in ensuring the integrity and sustainability of industrial processes, particularly within sectors such as manufacturing and energy production. Accurate CSR measurements are not only essential for regulatory compliance but also crucial for informing strategic decision-making and operational efficiency. However, maintaining consistency and reliability in CSR testing poses significant challenges, with variations in results often arising from a multitude of factors spanning equipment performance, sampling methods, environmental conditions, and measurement procedures.</w:t>
      </w:r>
    </w:p>
    <w:p w14:paraId="084A399B" w14:textId="77777777" w:rsidR="00AF77BF" w:rsidRPr="00DD25B4" w:rsidRDefault="00AF77BF" w:rsidP="00AF77BF">
      <w:pPr>
        <w:spacing w:line="360" w:lineRule="auto"/>
        <w:jc w:val="both"/>
        <w:rPr>
          <w:rFonts w:ascii="Arial" w:hAnsi="Arial" w:cs="Arial"/>
          <w:b w:val="0"/>
          <w:bCs/>
          <w:color w:val="auto"/>
          <w:sz w:val="22"/>
        </w:rPr>
      </w:pPr>
    </w:p>
    <w:p w14:paraId="22909958" w14:textId="77777777" w:rsidR="00AF77BF" w:rsidRPr="00DD25B4" w:rsidRDefault="00AF77BF" w:rsidP="00AF77BF">
      <w:pPr>
        <w:spacing w:line="360" w:lineRule="auto"/>
        <w:jc w:val="both"/>
        <w:rPr>
          <w:rFonts w:ascii="Arial" w:hAnsi="Arial" w:cs="Arial"/>
          <w:b w:val="0"/>
          <w:bCs/>
          <w:color w:val="auto"/>
          <w:sz w:val="22"/>
        </w:rPr>
      </w:pPr>
      <w:r w:rsidRPr="00DD25B4">
        <w:rPr>
          <w:rFonts w:ascii="Arial" w:hAnsi="Arial" w:cs="Arial"/>
          <w:b w:val="0"/>
          <w:bCs/>
          <w:color w:val="auto"/>
          <w:sz w:val="22"/>
        </w:rPr>
        <w:t>This paper presents an in-depth investigation into the underlying causes of variation in CSR testing processes, with a focus on identifying key areas for improvement and implementing targeted interventions to enhance testing reliability. Through collaborative efforts involving technicians, line managers, and stakeholders from industry partners, a comprehensive analysis of the CSR testing process was undertaken, encompassing the identification of potential sources of variation and the implementation of corrective measures.</w:t>
      </w:r>
    </w:p>
    <w:p w14:paraId="20579AFD" w14:textId="77777777" w:rsidR="00AF77BF" w:rsidRPr="00DD25B4" w:rsidRDefault="00AF77BF" w:rsidP="00AF77BF">
      <w:pPr>
        <w:spacing w:line="360" w:lineRule="auto"/>
        <w:jc w:val="both"/>
        <w:rPr>
          <w:rFonts w:ascii="Arial" w:hAnsi="Arial" w:cs="Arial"/>
          <w:b w:val="0"/>
          <w:bCs/>
          <w:color w:val="auto"/>
          <w:sz w:val="22"/>
        </w:rPr>
      </w:pPr>
    </w:p>
    <w:p w14:paraId="5BE1A377" w14:textId="77777777" w:rsidR="00AF77BF" w:rsidRPr="00DD25B4" w:rsidRDefault="00AF77BF" w:rsidP="00AF77BF">
      <w:pPr>
        <w:spacing w:line="360" w:lineRule="auto"/>
        <w:jc w:val="both"/>
        <w:rPr>
          <w:rFonts w:ascii="Arial" w:hAnsi="Arial" w:cs="Arial"/>
          <w:b w:val="0"/>
          <w:bCs/>
          <w:color w:val="auto"/>
          <w:sz w:val="22"/>
        </w:rPr>
      </w:pPr>
      <w:r w:rsidRPr="00DD25B4">
        <w:rPr>
          <w:rFonts w:ascii="Arial" w:hAnsi="Arial" w:cs="Arial"/>
          <w:b w:val="0"/>
          <w:bCs/>
          <w:color w:val="auto"/>
          <w:sz w:val="22"/>
        </w:rPr>
        <w:t>Key aspects addressed in this study include the introduction of life cycles for critical components such as thermocouples and vessels, the implementation of preflight checks and procedural audits to ensure consistency in sample preparation, and the mitigation of environmental influences through the adoption of appropriate storage measures. Furthermore, challenges related to temperature validation and gas flow regulation are examined, with recommendations for future research and improvement initiatives outlined.</w:t>
      </w:r>
    </w:p>
    <w:p w14:paraId="7A48F7F9" w14:textId="77777777" w:rsidR="00AF77BF" w:rsidRPr="00DD25B4" w:rsidRDefault="00AF77BF" w:rsidP="00AF77BF">
      <w:pPr>
        <w:spacing w:line="360" w:lineRule="auto"/>
        <w:jc w:val="both"/>
        <w:rPr>
          <w:rFonts w:ascii="Arial" w:hAnsi="Arial" w:cs="Arial"/>
          <w:b w:val="0"/>
          <w:bCs/>
          <w:color w:val="auto"/>
          <w:sz w:val="22"/>
        </w:rPr>
      </w:pPr>
    </w:p>
    <w:p w14:paraId="1C8E6A1A" w14:textId="5C5E134D" w:rsidR="007E0D3E" w:rsidRPr="00DD25B4" w:rsidRDefault="00AF77BF" w:rsidP="00AF77BF">
      <w:pPr>
        <w:spacing w:line="360" w:lineRule="auto"/>
        <w:jc w:val="both"/>
        <w:rPr>
          <w:b w:val="0"/>
          <w:bCs/>
          <w:color w:val="auto"/>
        </w:rPr>
      </w:pPr>
      <w:r w:rsidRPr="00DD25B4">
        <w:rPr>
          <w:rFonts w:ascii="Arial" w:hAnsi="Arial" w:cs="Arial"/>
          <w:b w:val="0"/>
          <w:bCs/>
          <w:color w:val="auto"/>
          <w:sz w:val="22"/>
        </w:rPr>
        <w:t>By systematically addressing the root causes of variation and implementing targeted interventions, this study seeks to enhance the reliability and consistency of CSR testing processes, ultimately contributing to improved decision-making and operational efficiency within industrial settings. Through a combination of empirical analysis, stakeholder engagement, and continuous improvement efforts, this research aims to advance our understanding of CSR testing practices and pave the way for enhanced performance and sustainability in industrial operations.</w:t>
      </w:r>
    </w:p>
    <w:p w14:paraId="0C0E8A98" w14:textId="77777777" w:rsidR="007E0D3E" w:rsidRPr="00DD25B4" w:rsidRDefault="007E0D3E" w:rsidP="00045955">
      <w:pPr>
        <w:rPr>
          <w:b w:val="0"/>
          <w:bCs/>
          <w:color w:val="auto"/>
        </w:rPr>
      </w:pPr>
    </w:p>
    <w:p w14:paraId="623CE3D0" w14:textId="77777777" w:rsidR="007E0D3E" w:rsidRPr="00DD25B4" w:rsidRDefault="007E0D3E" w:rsidP="00045955">
      <w:pPr>
        <w:rPr>
          <w:b w:val="0"/>
          <w:bCs/>
          <w:color w:val="auto"/>
        </w:rPr>
      </w:pPr>
    </w:p>
    <w:p w14:paraId="761AA321" w14:textId="77777777" w:rsidR="007E0D3E" w:rsidRPr="00DD25B4" w:rsidRDefault="007E0D3E" w:rsidP="00045955">
      <w:pPr>
        <w:rPr>
          <w:b w:val="0"/>
          <w:bCs/>
          <w:color w:val="auto"/>
        </w:rPr>
      </w:pPr>
    </w:p>
    <w:p w14:paraId="1B254161" w14:textId="77777777" w:rsidR="007E0D3E" w:rsidRPr="00DD25B4" w:rsidRDefault="007E0D3E" w:rsidP="00045955">
      <w:pPr>
        <w:rPr>
          <w:b w:val="0"/>
          <w:bCs/>
          <w:color w:val="auto"/>
        </w:rPr>
      </w:pPr>
    </w:p>
    <w:p w14:paraId="6A9F04E3" w14:textId="77777777" w:rsidR="007E0D3E" w:rsidRPr="00DD25B4" w:rsidRDefault="007E0D3E" w:rsidP="00045955">
      <w:pPr>
        <w:rPr>
          <w:b w:val="0"/>
          <w:bCs/>
          <w:color w:val="auto"/>
        </w:rPr>
      </w:pPr>
    </w:p>
    <w:p w14:paraId="0D9895B2" w14:textId="3C0840A2" w:rsidR="007E0D3E" w:rsidRPr="00DD25B4" w:rsidRDefault="007E0D3E" w:rsidP="00825380">
      <w:pPr>
        <w:pStyle w:val="Heading1"/>
        <w:numPr>
          <w:ilvl w:val="0"/>
          <w:numId w:val="8"/>
        </w:numPr>
      </w:pPr>
      <w:bookmarkStart w:id="4" w:name="_Toc164832262"/>
      <w:r w:rsidRPr="00DD25B4">
        <w:lastRenderedPageBreak/>
        <w:t>Define Phase</w:t>
      </w:r>
      <w:bookmarkEnd w:id="4"/>
    </w:p>
    <w:p w14:paraId="5F9BE332" w14:textId="55D9DE69" w:rsidR="000841D0" w:rsidRPr="00DD25B4" w:rsidRDefault="007E0D3E" w:rsidP="000841D0">
      <w:pPr>
        <w:pStyle w:val="Heading2"/>
        <w:numPr>
          <w:ilvl w:val="1"/>
          <w:numId w:val="8"/>
        </w:numPr>
      </w:pPr>
      <w:bookmarkStart w:id="5" w:name="_Toc164832263"/>
      <w:r w:rsidRPr="00DD25B4">
        <w:t>Problem Statement</w:t>
      </w:r>
      <w:bookmarkEnd w:id="5"/>
    </w:p>
    <w:p w14:paraId="7A67F104" w14:textId="4B0E4A22" w:rsidR="000841D0" w:rsidRPr="00DD25B4" w:rsidRDefault="000841D0" w:rsidP="000841D0">
      <w:pPr>
        <w:spacing w:line="360" w:lineRule="auto"/>
        <w:jc w:val="both"/>
        <w:rPr>
          <w:rFonts w:ascii="Arial" w:hAnsi="Arial" w:cs="Arial"/>
          <w:b w:val="0"/>
          <w:bCs/>
          <w:color w:val="auto"/>
          <w:sz w:val="22"/>
        </w:rPr>
      </w:pPr>
      <w:r w:rsidRPr="00DD25B4">
        <w:rPr>
          <w:rFonts w:ascii="Arial" w:hAnsi="Arial" w:cs="Arial"/>
          <w:b w:val="0"/>
          <w:bCs/>
          <w:color w:val="auto"/>
          <w:sz w:val="22"/>
        </w:rPr>
        <w:t xml:space="preserve">The variability in </w:t>
      </w:r>
      <w:r w:rsidR="001B33FA" w:rsidRPr="00DD25B4">
        <w:rPr>
          <w:rFonts w:ascii="Arial" w:hAnsi="Arial" w:cs="Arial"/>
          <w:b w:val="0"/>
          <w:bCs/>
          <w:color w:val="auto"/>
          <w:sz w:val="22"/>
        </w:rPr>
        <w:t xml:space="preserve">Coke Strength after Reaction </w:t>
      </w:r>
      <w:r w:rsidRPr="00DD25B4">
        <w:rPr>
          <w:rFonts w:ascii="Arial" w:hAnsi="Arial" w:cs="Arial"/>
          <w:b w:val="0"/>
          <w:bCs/>
          <w:color w:val="auto"/>
          <w:sz w:val="22"/>
        </w:rPr>
        <w:t>(CSR) measurements represents a significant concern within the context of this study. Currently, there exist several potential factors contributing to this variability in results, albeit without conclusive evidence. The CSR assessments are conducted in duplicate on a daily basis, with an acceptable tolerance range of 2.5% and &gt;60% between the two results. However, the ongoing CSR outcomes exhibit a notable lack of stability, characterized by consistently low results and frequent deviations beyond the established tolerance limits, necessitating repeated testing</w:t>
      </w:r>
      <w:r w:rsidR="00CE1487" w:rsidRPr="00DD25B4">
        <w:rPr>
          <w:rFonts w:ascii="Arial" w:hAnsi="Arial" w:cs="Arial"/>
          <w:color w:val="auto"/>
          <w:sz w:val="22"/>
        </w:rPr>
        <w:t xml:space="preserve"> </w:t>
      </w:r>
      <w:sdt>
        <w:sdtPr>
          <w:rPr>
            <w:rFonts w:ascii="Arial" w:hAnsi="Arial" w:cs="Arial"/>
            <w:b w:val="0"/>
            <w:bCs/>
            <w:color w:val="auto"/>
            <w:sz w:val="22"/>
          </w:rPr>
          <w:id w:val="831258429"/>
          <w:citation/>
        </w:sdtPr>
        <w:sdtEndPr/>
        <w:sdtContent>
          <w:r w:rsidR="00CE1487" w:rsidRPr="00DD25B4">
            <w:rPr>
              <w:rFonts w:ascii="Arial" w:hAnsi="Arial" w:cs="Arial"/>
              <w:b w:val="0"/>
              <w:bCs/>
              <w:color w:val="auto"/>
              <w:sz w:val="22"/>
            </w:rPr>
            <w:fldChar w:fldCharType="begin"/>
          </w:r>
          <w:r w:rsidR="00CE1487" w:rsidRPr="00DD25B4">
            <w:rPr>
              <w:rFonts w:ascii="Arial" w:hAnsi="Arial" w:cs="Arial"/>
              <w:b w:val="0"/>
              <w:bCs/>
              <w:color w:val="auto"/>
              <w:sz w:val="22"/>
            </w:rPr>
            <w:instrText xml:space="preserve"> CITATION Dee22 \l 1033 </w:instrText>
          </w:r>
          <w:r w:rsidR="00CE1487" w:rsidRPr="00DD25B4">
            <w:rPr>
              <w:rFonts w:ascii="Arial" w:hAnsi="Arial" w:cs="Arial"/>
              <w:b w:val="0"/>
              <w:bCs/>
              <w:color w:val="auto"/>
              <w:sz w:val="22"/>
            </w:rPr>
            <w:fldChar w:fldCharType="separate"/>
          </w:r>
          <w:r w:rsidR="007B6D23" w:rsidRPr="00DD25B4">
            <w:rPr>
              <w:rFonts w:ascii="Arial" w:hAnsi="Arial" w:cs="Arial"/>
              <w:b w:val="0"/>
              <w:bCs/>
              <w:color w:val="auto"/>
              <w:sz w:val="22"/>
            </w:rPr>
            <w:t>(Kumar, et al., 2022)</w:t>
          </w:r>
          <w:r w:rsidR="00CE1487" w:rsidRPr="00DD25B4">
            <w:rPr>
              <w:rFonts w:ascii="Arial" w:hAnsi="Arial" w:cs="Arial"/>
              <w:b w:val="0"/>
              <w:bCs/>
              <w:color w:val="auto"/>
              <w:sz w:val="22"/>
            </w:rPr>
            <w:fldChar w:fldCharType="end"/>
          </w:r>
        </w:sdtContent>
      </w:sdt>
      <w:r w:rsidRPr="00DD25B4">
        <w:rPr>
          <w:rFonts w:ascii="Arial" w:hAnsi="Arial" w:cs="Arial"/>
          <w:b w:val="0"/>
          <w:bCs/>
          <w:color w:val="auto"/>
          <w:sz w:val="22"/>
        </w:rPr>
        <w:t>. This predicament is compounded by resource and equipment constraints, as well as delays in sample testing procedures.</w:t>
      </w:r>
    </w:p>
    <w:p w14:paraId="00963053" w14:textId="77777777" w:rsidR="000841D0" w:rsidRPr="00DD25B4" w:rsidRDefault="000841D0" w:rsidP="000841D0">
      <w:pPr>
        <w:spacing w:line="360" w:lineRule="auto"/>
        <w:jc w:val="both"/>
        <w:rPr>
          <w:rFonts w:ascii="Arial" w:hAnsi="Arial" w:cs="Arial"/>
          <w:b w:val="0"/>
          <w:bCs/>
          <w:color w:val="auto"/>
          <w:sz w:val="22"/>
        </w:rPr>
      </w:pPr>
    </w:p>
    <w:p w14:paraId="1CC89C06" w14:textId="7D3290BB" w:rsidR="000841D0" w:rsidRPr="00DD25B4" w:rsidRDefault="000841D0" w:rsidP="000841D0">
      <w:pPr>
        <w:spacing w:line="360" w:lineRule="auto"/>
        <w:jc w:val="both"/>
        <w:rPr>
          <w:rFonts w:ascii="Arial" w:hAnsi="Arial" w:cs="Arial"/>
          <w:b w:val="0"/>
          <w:bCs/>
          <w:color w:val="auto"/>
          <w:sz w:val="22"/>
        </w:rPr>
      </w:pPr>
      <w:r w:rsidRPr="00DD25B4">
        <w:rPr>
          <w:rFonts w:ascii="Arial" w:hAnsi="Arial" w:cs="Arial"/>
          <w:b w:val="0"/>
          <w:bCs/>
          <w:color w:val="auto"/>
          <w:sz w:val="22"/>
        </w:rPr>
        <w:t>Consequently, strained relationships have emerged between the laboratory facilities and their clients, exemplified by the case of Morfa Coke Ovens and Blast Furnaces. Morfa Coke Ovens have communicated to the laboratories that there have been no alterations in blending compositions or procedural protocols on their end, thereby attributing the issue to the laboratories. Customer dissatisfaction is palpable, as Morfa Coke Ovens depend on accurate daily results to facilitate large-scale operational adjustments efficiently. Regrettably, the laboratories are currently unable to furnish timely and precise reports, breaching the terms stipulated in the service level agreement (SLA) and leading to the issuance of Corrective Action Reports (CARs) against them</w:t>
      </w:r>
      <w:r w:rsidR="00355988" w:rsidRPr="00DD25B4">
        <w:rPr>
          <w:rFonts w:ascii="Arial" w:hAnsi="Arial" w:cs="Arial"/>
          <w:b w:val="0"/>
          <w:bCs/>
          <w:color w:val="auto"/>
          <w:sz w:val="22"/>
        </w:rPr>
        <w:t xml:space="preserve"> </w:t>
      </w:r>
      <w:sdt>
        <w:sdtPr>
          <w:rPr>
            <w:rFonts w:ascii="Arial" w:hAnsi="Arial" w:cs="Arial"/>
            <w:b w:val="0"/>
            <w:bCs/>
            <w:color w:val="auto"/>
            <w:sz w:val="22"/>
          </w:rPr>
          <w:id w:val="-433972490"/>
          <w:citation/>
        </w:sdtPr>
        <w:sdtEndPr/>
        <w:sdtContent>
          <w:r w:rsidR="00355988" w:rsidRPr="00DD25B4">
            <w:rPr>
              <w:rFonts w:ascii="Arial" w:hAnsi="Arial" w:cs="Arial"/>
              <w:b w:val="0"/>
              <w:bCs/>
              <w:color w:val="auto"/>
              <w:sz w:val="22"/>
            </w:rPr>
            <w:fldChar w:fldCharType="begin"/>
          </w:r>
          <w:r w:rsidR="00355988" w:rsidRPr="00DD25B4">
            <w:rPr>
              <w:rFonts w:ascii="Arial" w:hAnsi="Arial" w:cs="Arial"/>
              <w:b w:val="0"/>
              <w:bCs/>
              <w:color w:val="auto"/>
              <w:sz w:val="22"/>
            </w:rPr>
            <w:instrText xml:space="preserve"> CITATION Zde20 \l 1033 </w:instrText>
          </w:r>
          <w:r w:rsidR="00355988" w:rsidRPr="00DD25B4">
            <w:rPr>
              <w:rFonts w:ascii="Arial" w:hAnsi="Arial" w:cs="Arial"/>
              <w:b w:val="0"/>
              <w:bCs/>
              <w:color w:val="auto"/>
              <w:sz w:val="22"/>
            </w:rPr>
            <w:fldChar w:fldCharType="separate"/>
          </w:r>
          <w:r w:rsidR="007B6D23" w:rsidRPr="00DD25B4">
            <w:rPr>
              <w:rFonts w:ascii="Arial" w:hAnsi="Arial" w:cs="Arial"/>
              <w:b w:val="0"/>
              <w:bCs/>
              <w:color w:val="auto"/>
              <w:sz w:val="22"/>
            </w:rPr>
            <w:t>(Klika, et al., 2020)</w:t>
          </w:r>
          <w:r w:rsidR="00355988" w:rsidRPr="00DD25B4">
            <w:rPr>
              <w:rFonts w:ascii="Arial" w:hAnsi="Arial" w:cs="Arial"/>
              <w:b w:val="0"/>
              <w:bCs/>
              <w:color w:val="auto"/>
              <w:sz w:val="22"/>
            </w:rPr>
            <w:fldChar w:fldCharType="end"/>
          </w:r>
        </w:sdtContent>
      </w:sdt>
      <w:r w:rsidRPr="00DD25B4">
        <w:rPr>
          <w:rFonts w:ascii="Arial" w:hAnsi="Arial" w:cs="Arial"/>
          <w:b w:val="0"/>
          <w:bCs/>
          <w:color w:val="auto"/>
          <w:sz w:val="22"/>
        </w:rPr>
        <w:t>.</w:t>
      </w:r>
    </w:p>
    <w:p w14:paraId="57164AAD" w14:textId="77777777" w:rsidR="000841D0" w:rsidRPr="00DD25B4" w:rsidRDefault="000841D0" w:rsidP="000841D0">
      <w:pPr>
        <w:spacing w:line="360" w:lineRule="auto"/>
        <w:jc w:val="both"/>
        <w:rPr>
          <w:rFonts w:ascii="Arial" w:hAnsi="Arial" w:cs="Arial"/>
          <w:b w:val="0"/>
          <w:bCs/>
          <w:color w:val="auto"/>
          <w:sz w:val="22"/>
        </w:rPr>
      </w:pPr>
    </w:p>
    <w:p w14:paraId="1D72102E" w14:textId="0D3BB28B" w:rsidR="00A83123" w:rsidRPr="00DD25B4" w:rsidRDefault="000841D0" w:rsidP="000841D0">
      <w:pPr>
        <w:spacing w:line="360" w:lineRule="auto"/>
        <w:jc w:val="both"/>
        <w:rPr>
          <w:b w:val="0"/>
          <w:bCs/>
          <w:color w:val="auto"/>
        </w:rPr>
      </w:pPr>
      <w:r w:rsidRPr="00DD25B4">
        <w:rPr>
          <w:rFonts w:ascii="Arial" w:hAnsi="Arial" w:cs="Arial"/>
          <w:b w:val="0"/>
          <w:bCs/>
          <w:color w:val="auto"/>
          <w:sz w:val="22"/>
        </w:rPr>
        <w:t>The overarching objective of this project is to ascertain the fundamental sources of variation in CSR testing. Subsequently, mitigation strategies will be implemented to minimize daily variation and diminish the incidence of CARs raised against the laboratories.</w:t>
      </w:r>
    </w:p>
    <w:p w14:paraId="6E044F66" w14:textId="77777777" w:rsidR="00A83123" w:rsidRPr="00DD25B4" w:rsidRDefault="00A83123" w:rsidP="00045955">
      <w:pPr>
        <w:rPr>
          <w:color w:val="061F57" w:themeColor="text2" w:themeShade="BF"/>
          <w:u w:val="single"/>
        </w:rPr>
      </w:pPr>
    </w:p>
    <w:p w14:paraId="2849FD54" w14:textId="77777777" w:rsidR="00A83123" w:rsidRPr="00DD25B4" w:rsidRDefault="00A83123" w:rsidP="00045955">
      <w:pPr>
        <w:rPr>
          <w:color w:val="061F57" w:themeColor="text2" w:themeShade="BF"/>
          <w:u w:val="single"/>
        </w:rPr>
      </w:pPr>
    </w:p>
    <w:p w14:paraId="3C12C9AD" w14:textId="77777777" w:rsidR="00A83123" w:rsidRPr="00DD25B4" w:rsidRDefault="00A83123" w:rsidP="00045955">
      <w:pPr>
        <w:rPr>
          <w:color w:val="061F57" w:themeColor="text2" w:themeShade="BF"/>
          <w:u w:val="single"/>
        </w:rPr>
      </w:pPr>
    </w:p>
    <w:p w14:paraId="3705B04C" w14:textId="77777777" w:rsidR="00A83123" w:rsidRPr="00DD25B4" w:rsidRDefault="00A83123" w:rsidP="00045955">
      <w:pPr>
        <w:rPr>
          <w:color w:val="061F57" w:themeColor="text2" w:themeShade="BF"/>
          <w:u w:val="single"/>
        </w:rPr>
      </w:pPr>
    </w:p>
    <w:p w14:paraId="3E64F45C" w14:textId="77777777" w:rsidR="00A83123" w:rsidRPr="00DD25B4" w:rsidRDefault="00A83123" w:rsidP="00045955">
      <w:pPr>
        <w:rPr>
          <w:color w:val="061F57" w:themeColor="text2" w:themeShade="BF"/>
          <w:u w:val="single"/>
        </w:rPr>
      </w:pPr>
    </w:p>
    <w:p w14:paraId="7A159EBB" w14:textId="77777777" w:rsidR="00A83123" w:rsidRPr="00DD25B4" w:rsidRDefault="00A83123" w:rsidP="00045955">
      <w:pPr>
        <w:rPr>
          <w:color w:val="061F57" w:themeColor="text2" w:themeShade="BF"/>
          <w:u w:val="single"/>
        </w:rPr>
      </w:pPr>
    </w:p>
    <w:p w14:paraId="432304F6" w14:textId="77777777" w:rsidR="00A83123" w:rsidRPr="00DD25B4" w:rsidRDefault="00A83123" w:rsidP="00045955">
      <w:pPr>
        <w:rPr>
          <w:color w:val="061F57" w:themeColor="text2" w:themeShade="BF"/>
          <w:u w:val="single"/>
        </w:rPr>
      </w:pPr>
    </w:p>
    <w:p w14:paraId="696745EF" w14:textId="77777777" w:rsidR="00A83123" w:rsidRPr="00DD25B4" w:rsidRDefault="00A83123" w:rsidP="00045955">
      <w:pPr>
        <w:rPr>
          <w:color w:val="061F57" w:themeColor="text2" w:themeShade="BF"/>
          <w:u w:val="single"/>
        </w:rPr>
      </w:pPr>
    </w:p>
    <w:p w14:paraId="31EAC55A" w14:textId="77777777" w:rsidR="00A83123" w:rsidRPr="00DD25B4" w:rsidRDefault="00A83123" w:rsidP="00045955">
      <w:pPr>
        <w:rPr>
          <w:color w:val="061F57" w:themeColor="text2" w:themeShade="BF"/>
          <w:u w:val="single"/>
        </w:rPr>
      </w:pPr>
    </w:p>
    <w:p w14:paraId="593CC6F8" w14:textId="77777777" w:rsidR="00A83123" w:rsidRPr="00DD25B4" w:rsidRDefault="00A83123" w:rsidP="00045955">
      <w:pPr>
        <w:rPr>
          <w:color w:val="061F57" w:themeColor="text2" w:themeShade="BF"/>
          <w:u w:val="single"/>
        </w:rPr>
      </w:pPr>
    </w:p>
    <w:p w14:paraId="440747FF" w14:textId="331E0E71" w:rsidR="00341A51" w:rsidRPr="00DD25B4" w:rsidRDefault="00A83123" w:rsidP="00341A51">
      <w:pPr>
        <w:pStyle w:val="Heading2"/>
        <w:numPr>
          <w:ilvl w:val="1"/>
          <w:numId w:val="8"/>
        </w:numPr>
      </w:pPr>
      <w:bookmarkStart w:id="6" w:name="_Toc164832264"/>
      <w:r w:rsidRPr="00DD25B4">
        <w:lastRenderedPageBreak/>
        <w:t>Process Mapping</w:t>
      </w:r>
      <w:bookmarkEnd w:id="6"/>
    </w:p>
    <w:p w14:paraId="6661E464" w14:textId="14B8B59C" w:rsidR="00341A51" w:rsidRPr="00DD25B4" w:rsidRDefault="00341A51" w:rsidP="00341A51">
      <w:pPr>
        <w:spacing w:line="360" w:lineRule="auto"/>
        <w:jc w:val="both"/>
        <w:rPr>
          <w:rFonts w:ascii="Arial" w:hAnsi="Arial" w:cs="Arial"/>
          <w:b w:val="0"/>
          <w:bCs/>
          <w:color w:val="auto"/>
          <w:sz w:val="22"/>
        </w:rPr>
      </w:pPr>
      <w:r w:rsidRPr="00DD25B4">
        <w:rPr>
          <w:rFonts w:ascii="Arial" w:hAnsi="Arial" w:cs="Arial"/>
          <w:b w:val="0"/>
          <w:bCs/>
          <w:color w:val="auto"/>
          <w:sz w:val="22"/>
        </w:rPr>
        <w:t xml:space="preserve">The process mapping initiative was conducted collaboratively by the author and their line manager, Craig Williams, under the guidance of the teams responsible for executing the task </w:t>
      </w:r>
      <w:r w:rsidR="00525223" w:rsidRPr="00DD25B4">
        <w:rPr>
          <w:rFonts w:ascii="Arial" w:hAnsi="Arial" w:cs="Arial"/>
          <w:b w:val="0"/>
          <w:bCs/>
          <w:color w:val="auto"/>
          <w:sz w:val="22"/>
        </w:rPr>
        <w:t>daily</w:t>
      </w:r>
      <w:r w:rsidRPr="00DD25B4">
        <w:rPr>
          <w:rFonts w:ascii="Arial" w:hAnsi="Arial" w:cs="Arial"/>
          <w:b w:val="0"/>
          <w:bCs/>
          <w:color w:val="auto"/>
          <w:sz w:val="22"/>
        </w:rPr>
        <w:t>. With a total of 16 technicians divided into two teams, each consisting of 8 members, the process mapping sessions were conducted twice to ensure comprehensive input from all relevant personnel. Given that technicians possess the most extensive experience in the process, their insights were deemed invaluable in refining and enhancing the process</w:t>
      </w:r>
      <w:r w:rsidR="00525223" w:rsidRPr="00DD25B4">
        <w:rPr>
          <w:rFonts w:ascii="Arial" w:hAnsi="Arial" w:cs="Arial"/>
          <w:b w:val="0"/>
          <w:bCs/>
          <w:color w:val="auto"/>
          <w:sz w:val="22"/>
        </w:rPr>
        <w:t xml:space="preserve"> </w:t>
      </w:r>
      <w:sdt>
        <w:sdtPr>
          <w:rPr>
            <w:rFonts w:ascii="Arial" w:hAnsi="Arial" w:cs="Arial"/>
            <w:b w:val="0"/>
            <w:bCs/>
            <w:color w:val="auto"/>
            <w:sz w:val="22"/>
          </w:rPr>
          <w:id w:val="1328480453"/>
          <w:citation/>
        </w:sdtPr>
        <w:sdtEndPr/>
        <w:sdtContent>
          <w:r w:rsidR="00525223" w:rsidRPr="00DD25B4">
            <w:rPr>
              <w:rFonts w:ascii="Arial" w:hAnsi="Arial" w:cs="Arial"/>
              <w:b w:val="0"/>
              <w:bCs/>
              <w:color w:val="auto"/>
              <w:sz w:val="22"/>
            </w:rPr>
            <w:fldChar w:fldCharType="begin"/>
          </w:r>
          <w:r w:rsidR="00525223" w:rsidRPr="00DD25B4">
            <w:rPr>
              <w:rFonts w:ascii="Arial" w:hAnsi="Arial" w:cs="Arial"/>
              <w:b w:val="0"/>
              <w:bCs/>
              <w:color w:val="auto"/>
              <w:sz w:val="22"/>
            </w:rPr>
            <w:instrText xml:space="preserve"> CITATION Zur14 \l 1033 </w:instrText>
          </w:r>
          <w:r w:rsidR="00525223" w:rsidRPr="00DD25B4">
            <w:rPr>
              <w:rFonts w:ascii="Arial" w:hAnsi="Arial" w:cs="Arial"/>
              <w:b w:val="0"/>
              <w:bCs/>
              <w:color w:val="auto"/>
              <w:sz w:val="22"/>
            </w:rPr>
            <w:fldChar w:fldCharType="separate"/>
          </w:r>
          <w:r w:rsidR="007B6D23" w:rsidRPr="00DD25B4">
            <w:rPr>
              <w:rFonts w:ascii="Arial" w:hAnsi="Arial" w:cs="Arial"/>
              <w:b w:val="0"/>
              <w:bCs/>
              <w:color w:val="auto"/>
              <w:sz w:val="22"/>
            </w:rPr>
            <w:t>(Zuraidah, et al., 2014)</w:t>
          </w:r>
          <w:r w:rsidR="00525223" w:rsidRPr="00DD25B4">
            <w:rPr>
              <w:rFonts w:ascii="Arial" w:hAnsi="Arial" w:cs="Arial"/>
              <w:b w:val="0"/>
              <w:bCs/>
              <w:color w:val="auto"/>
              <w:sz w:val="22"/>
            </w:rPr>
            <w:fldChar w:fldCharType="end"/>
          </w:r>
        </w:sdtContent>
      </w:sdt>
      <w:r w:rsidRPr="00DD25B4">
        <w:rPr>
          <w:rFonts w:ascii="Arial" w:hAnsi="Arial" w:cs="Arial"/>
          <w:b w:val="0"/>
          <w:bCs/>
          <w:color w:val="auto"/>
          <w:sz w:val="22"/>
        </w:rPr>
        <w:t>. Subsequently, the process map was developed jointly by the author and Craig Williams and presented to the teams for their final inputs to address potential sources of variation.</w:t>
      </w:r>
    </w:p>
    <w:p w14:paraId="5483D09B" w14:textId="77777777" w:rsidR="00341A51" w:rsidRPr="00DD25B4" w:rsidRDefault="00341A51" w:rsidP="00341A51">
      <w:pPr>
        <w:spacing w:line="360" w:lineRule="auto"/>
        <w:jc w:val="both"/>
        <w:rPr>
          <w:rFonts w:ascii="Arial" w:hAnsi="Arial" w:cs="Arial"/>
          <w:b w:val="0"/>
          <w:bCs/>
          <w:color w:val="auto"/>
          <w:sz w:val="22"/>
        </w:rPr>
      </w:pPr>
    </w:p>
    <w:p w14:paraId="5FE6A2F2" w14:textId="2293494D" w:rsidR="00341A51" w:rsidRPr="00DD25B4" w:rsidRDefault="00341A51" w:rsidP="00341A51">
      <w:pPr>
        <w:spacing w:line="360" w:lineRule="auto"/>
        <w:jc w:val="both"/>
        <w:rPr>
          <w:rFonts w:ascii="Arial" w:hAnsi="Arial" w:cs="Arial"/>
          <w:b w:val="0"/>
          <w:bCs/>
          <w:color w:val="auto"/>
          <w:sz w:val="22"/>
        </w:rPr>
      </w:pPr>
      <w:r w:rsidRPr="00DD25B4">
        <w:rPr>
          <w:rFonts w:ascii="Arial" w:hAnsi="Arial" w:cs="Arial"/>
          <w:b w:val="0"/>
          <w:bCs/>
          <w:color w:val="auto"/>
          <w:sz w:val="22"/>
        </w:rPr>
        <w:t>The process of CSR testing encompasses several key steps, which are outlined as follows</w:t>
      </w:r>
      <w:r w:rsidR="004E5DF2" w:rsidRPr="00DD25B4">
        <w:rPr>
          <w:rFonts w:ascii="Arial" w:hAnsi="Arial" w:cs="Arial"/>
          <w:b w:val="0"/>
          <w:bCs/>
          <w:color w:val="auto"/>
          <w:sz w:val="22"/>
        </w:rPr>
        <w:t xml:space="preserve"> </w:t>
      </w:r>
      <w:sdt>
        <w:sdtPr>
          <w:rPr>
            <w:rFonts w:ascii="Arial" w:hAnsi="Arial" w:cs="Arial"/>
            <w:b w:val="0"/>
            <w:bCs/>
            <w:color w:val="auto"/>
            <w:sz w:val="22"/>
          </w:rPr>
          <w:id w:val="808911539"/>
          <w:citation/>
        </w:sdtPr>
        <w:sdtEndPr/>
        <w:sdtContent>
          <w:r w:rsidR="004E5DF2" w:rsidRPr="00DD25B4">
            <w:rPr>
              <w:rFonts w:ascii="Arial" w:hAnsi="Arial" w:cs="Arial"/>
              <w:b w:val="0"/>
              <w:bCs/>
              <w:color w:val="auto"/>
              <w:sz w:val="22"/>
            </w:rPr>
            <w:fldChar w:fldCharType="begin"/>
          </w:r>
          <w:r w:rsidR="004E5DF2" w:rsidRPr="00DD25B4">
            <w:rPr>
              <w:rFonts w:ascii="Arial" w:hAnsi="Arial" w:cs="Arial"/>
              <w:b w:val="0"/>
              <w:bCs/>
              <w:color w:val="auto"/>
              <w:sz w:val="22"/>
            </w:rPr>
            <w:instrText xml:space="preserve"> CITATION Tat24 \l 1033 </w:instrText>
          </w:r>
          <w:r w:rsidR="004E5DF2" w:rsidRPr="00DD25B4">
            <w:rPr>
              <w:rFonts w:ascii="Arial" w:hAnsi="Arial" w:cs="Arial"/>
              <w:b w:val="0"/>
              <w:bCs/>
              <w:color w:val="auto"/>
              <w:sz w:val="22"/>
            </w:rPr>
            <w:fldChar w:fldCharType="separate"/>
          </w:r>
          <w:r w:rsidR="007B6D23" w:rsidRPr="00DD25B4">
            <w:rPr>
              <w:rFonts w:ascii="Arial" w:hAnsi="Arial" w:cs="Arial"/>
              <w:b w:val="0"/>
              <w:bCs/>
              <w:color w:val="auto"/>
              <w:sz w:val="22"/>
            </w:rPr>
            <w:t>(Steel, 2024)</w:t>
          </w:r>
          <w:r w:rsidR="004E5DF2" w:rsidRPr="00DD25B4">
            <w:rPr>
              <w:rFonts w:ascii="Arial" w:hAnsi="Arial" w:cs="Arial"/>
              <w:b w:val="0"/>
              <w:bCs/>
              <w:color w:val="auto"/>
              <w:sz w:val="22"/>
            </w:rPr>
            <w:fldChar w:fldCharType="end"/>
          </w:r>
        </w:sdtContent>
      </w:sdt>
      <w:r w:rsidRPr="00DD25B4">
        <w:rPr>
          <w:rFonts w:ascii="Arial" w:hAnsi="Arial" w:cs="Arial"/>
          <w:b w:val="0"/>
          <w:bCs/>
          <w:color w:val="auto"/>
          <w:sz w:val="22"/>
        </w:rPr>
        <w:t>:</w:t>
      </w:r>
    </w:p>
    <w:p w14:paraId="2E06198C" w14:textId="77777777" w:rsidR="00341A51" w:rsidRPr="00DD25B4" w:rsidRDefault="00341A51" w:rsidP="00341A51">
      <w:pPr>
        <w:spacing w:line="360" w:lineRule="auto"/>
        <w:jc w:val="both"/>
        <w:rPr>
          <w:rFonts w:ascii="Arial" w:hAnsi="Arial" w:cs="Arial"/>
          <w:b w:val="0"/>
          <w:bCs/>
          <w:color w:val="auto"/>
          <w:sz w:val="22"/>
        </w:rPr>
      </w:pPr>
    </w:p>
    <w:p w14:paraId="44791D19" w14:textId="7B9004E5" w:rsidR="00341A51" w:rsidRPr="00DD25B4" w:rsidRDefault="00341A51" w:rsidP="00341A51">
      <w:pPr>
        <w:pStyle w:val="ListParagraph"/>
        <w:numPr>
          <w:ilvl w:val="0"/>
          <w:numId w:val="14"/>
        </w:numPr>
        <w:spacing w:line="360" w:lineRule="auto"/>
        <w:jc w:val="both"/>
        <w:rPr>
          <w:rFonts w:ascii="Arial" w:hAnsi="Arial" w:cs="Arial"/>
          <w:b w:val="0"/>
          <w:bCs/>
          <w:color w:val="auto"/>
          <w:sz w:val="22"/>
        </w:rPr>
      </w:pPr>
      <w:r w:rsidRPr="00DD25B4">
        <w:rPr>
          <w:rFonts w:ascii="Arial" w:hAnsi="Arial" w:cs="Arial"/>
          <w:color w:val="auto"/>
          <w:sz w:val="22"/>
        </w:rPr>
        <w:t>Collection of Coke from Morfa Coke Ovens:</w:t>
      </w:r>
      <w:r w:rsidRPr="00DD25B4">
        <w:rPr>
          <w:rFonts w:ascii="Arial" w:hAnsi="Arial" w:cs="Arial"/>
          <w:b w:val="0"/>
          <w:bCs/>
          <w:color w:val="auto"/>
          <w:sz w:val="22"/>
        </w:rPr>
        <w:t xml:space="preserve"> Coke is typically collected from the Autosampler, which extracts samples from the belt every 4 hours. However, in instances where the Autosampler is non-operational, or deactivated, samples are obtained from the dump wharf. Material collected from the dump wharf is not subjected to routine testing at the laboratory. Therefore, it is imperative to ascertain the source of material before testing and reporting results. Material from the dump wharf tends to comprise smaller Coke pieces compared to those collected by the Autosampler, leading to lower CSR results and increased variation.</w:t>
      </w:r>
    </w:p>
    <w:p w14:paraId="37DDA5AF" w14:textId="48EC3436" w:rsidR="00341A51" w:rsidRPr="00DD25B4" w:rsidRDefault="00341A51" w:rsidP="00341A51">
      <w:pPr>
        <w:pStyle w:val="ListParagraph"/>
        <w:numPr>
          <w:ilvl w:val="0"/>
          <w:numId w:val="14"/>
        </w:numPr>
        <w:spacing w:line="360" w:lineRule="auto"/>
        <w:jc w:val="both"/>
        <w:rPr>
          <w:rFonts w:ascii="Arial" w:hAnsi="Arial" w:cs="Arial"/>
          <w:b w:val="0"/>
          <w:bCs/>
          <w:color w:val="auto"/>
          <w:sz w:val="22"/>
        </w:rPr>
      </w:pPr>
      <w:r w:rsidRPr="00DD25B4">
        <w:rPr>
          <w:rFonts w:ascii="Arial" w:hAnsi="Arial" w:cs="Arial"/>
          <w:color w:val="auto"/>
          <w:sz w:val="22"/>
        </w:rPr>
        <w:t>Mixing of Coke:</w:t>
      </w:r>
      <w:r w:rsidRPr="00DD25B4">
        <w:rPr>
          <w:rFonts w:ascii="Arial" w:hAnsi="Arial" w:cs="Arial"/>
          <w:b w:val="0"/>
          <w:bCs/>
          <w:color w:val="auto"/>
          <w:sz w:val="22"/>
        </w:rPr>
        <w:t xml:space="preserve"> Upon retrieval from Morfa Coke Ovens, Coke requires homogenization through mixing at the laboratory. The Autosampler fills 2 white bins every 4 hours, with a total of 6 white bins available (resulting in 12 hours' worth of material).</w:t>
      </w:r>
    </w:p>
    <w:p w14:paraId="5C8E4F7E" w14:textId="70CB8512" w:rsidR="00341A51" w:rsidRPr="00DD25B4" w:rsidRDefault="00341A51" w:rsidP="00341A51">
      <w:pPr>
        <w:pStyle w:val="ListParagraph"/>
        <w:numPr>
          <w:ilvl w:val="0"/>
          <w:numId w:val="14"/>
        </w:numPr>
        <w:spacing w:line="360" w:lineRule="auto"/>
        <w:jc w:val="both"/>
        <w:rPr>
          <w:rFonts w:ascii="Arial" w:hAnsi="Arial" w:cs="Arial"/>
          <w:b w:val="0"/>
          <w:bCs/>
          <w:color w:val="auto"/>
          <w:sz w:val="22"/>
        </w:rPr>
      </w:pPr>
      <w:r w:rsidRPr="00DD25B4">
        <w:rPr>
          <w:rFonts w:ascii="Arial" w:hAnsi="Arial" w:cs="Arial"/>
          <w:color w:val="auto"/>
          <w:sz w:val="22"/>
        </w:rPr>
        <w:t>Crushing:</w:t>
      </w:r>
      <w:r w:rsidRPr="00DD25B4">
        <w:rPr>
          <w:rFonts w:ascii="Arial" w:hAnsi="Arial" w:cs="Arial"/>
          <w:b w:val="0"/>
          <w:bCs/>
          <w:color w:val="auto"/>
          <w:sz w:val="22"/>
        </w:rPr>
        <w:t xml:space="preserve"> Subsequently, the Coke material is crushed to the desired size. Over time, wear and tear on the crushers may lead to discrepancies in the size fractions of the Coke.</w:t>
      </w:r>
    </w:p>
    <w:p w14:paraId="5C30E407" w14:textId="543F7364" w:rsidR="00341A51" w:rsidRPr="00DD25B4" w:rsidRDefault="00341A51" w:rsidP="00341A51">
      <w:pPr>
        <w:pStyle w:val="ListParagraph"/>
        <w:numPr>
          <w:ilvl w:val="0"/>
          <w:numId w:val="14"/>
        </w:numPr>
        <w:spacing w:line="360" w:lineRule="auto"/>
        <w:jc w:val="both"/>
        <w:rPr>
          <w:rFonts w:ascii="Arial" w:hAnsi="Arial" w:cs="Arial"/>
          <w:b w:val="0"/>
          <w:bCs/>
          <w:color w:val="auto"/>
          <w:sz w:val="22"/>
        </w:rPr>
      </w:pPr>
      <w:r w:rsidRPr="00DD25B4">
        <w:rPr>
          <w:rFonts w:ascii="Arial" w:hAnsi="Arial" w:cs="Arial"/>
          <w:color w:val="auto"/>
          <w:sz w:val="22"/>
        </w:rPr>
        <w:t>Screening:</w:t>
      </w:r>
      <w:r w:rsidRPr="00DD25B4">
        <w:rPr>
          <w:rFonts w:ascii="Arial" w:hAnsi="Arial" w:cs="Arial"/>
          <w:b w:val="0"/>
          <w:bCs/>
          <w:color w:val="auto"/>
          <w:sz w:val="22"/>
        </w:rPr>
        <w:t xml:space="preserve"> The crushed material is then screened through 19mm and 22mm sieves. Wear over time may enlarge the sieve holes, thereby affecting the accuracy of the tests.</w:t>
      </w:r>
    </w:p>
    <w:p w14:paraId="191C6F95" w14:textId="7FF94515" w:rsidR="00341A51" w:rsidRPr="00DD25B4" w:rsidRDefault="00341A51" w:rsidP="00341A51">
      <w:pPr>
        <w:pStyle w:val="ListParagraph"/>
        <w:numPr>
          <w:ilvl w:val="0"/>
          <w:numId w:val="14"/>
        </w:numPr>
        <w:spacing w:line="360" w:lineRule="auto"/>
        <w:jc w:val="both"/>
        <w:rPr>
          <w:rFonts w:ascii="Arial" w:hAnsi="Arial" w:cs="Arial"/>
          <w:b w:val="0"/>
          <w:bCs/>
          <w:color w:val="auto"/>
          <w:sz w:val="22"/>
        </w:rPr>
      </w:pPr>
      <w:r w:rsidRPr="00DD25B4">
        <w:rPr>
          <w:rFonts w:ascii="Arial" w:hAnsi="Arial" w:cs="Arial"/>
          <w:color w:val="auto"/>
          <w:sz w:val="22"/>
        </w:rPr>
        <w:t>Drying:</w:t>
      </w:r>
      <w:r w:rsidRPr="00DD25B4">
        <w:rPr>
          <w:rFonts w:ascii="Arial" w:hAnsi="Arial" w:cs="Arial"/>
          <w:b w:val="0"/>
          <w:bCs/>
          <w:color w:val="auto"/>
          <w:sz w:val="22"/>
        </w:rPr>
        <w:t xml:space="preserve"> The material is dried overnight to ensure a consistent mass for testing during the subsequent shift.</w:t>
      </w:r>
    </w:p>
    <w:p w14:paraId="3221E77B" w14:textId="6BD052D1" w:rsidR="00341A51" w:rsidRPr="00DD25B4" w:rsidRDefault="00341A51" w:rsidP="00341A51">
      <w:pPr>
        <w:pStyle w:val="ListParagraph"/>
        <w:numPr>
          <w:ilvl w:val="0"/>
          <w:numId w:val="14"/>
        </w:numPr>
        <w:spacing w:line="360" w:lineRule="auto"/>
        <w:jc w:val="both"/>
        <w:rPr>
          <w:rFonts w:ascii="Arial" w:hAnsi="Arial" w:cs="Arial"/>
          <w:b w:val="0"/>
          <w:bCs/>
          <w:color w:val="auto"/>
          <w:sz w:val="22"/>
        </w:rPr>
      </w:pPr>
      <w:r w:rsidRPr="00DD25B4">
        <w:rPr>
          <w:rFonts w:ascii="Arial" w:hAnsi="Arial" w:cs="Arial"/>
          <w:color w:val="auto"/>
          <w:sz w:val="22"/>
        </w:rPr>
        <w:t>Weighing</w:t>
      </w:r>
      <w:r w:rsidRPr="00DD25B4">
        <w:rPr>
          <w:rFonts w:ascii="Arial" w:hAnsi="Arial" w:cs="Arial"/>
          <w:b w:val="0"/>
          <w:bCs/>
          <w:color w:val="auto"/>
          <w:sz w:val="22"/>
        </w:rPr>
        <w:t>: Approximately 200g (+/- 0.5g) of material is weighed and recorded on paper as the test proportion.</w:t>
      </w:r>
    </w:p>
    <w:p w14:paraId="534C9BE8" w14:textId="369AD258" w:rsidR="00341A51" w:rsidRPr="00DD25B4" w:rsidRDefault="00341A51" w:rsidP="00341A51">
      <w:pPr>
        <w:pStyle w:val="ListParagraph"/>
        <w:numPr>
          <w:ilvl w:val="0"/>
          <w:numId w:val="14"/>
        </w:numPr>
        <w:spacing w:line="360" w:lineRule="auto"/>
        <w:jc w:val="both"/>
        <w:rPr>
          <w:rFonts w:ascii="Arial" w:hAnsi="Arial" w:cs="Arial"/>
          <w:b w:val="0"/>
          <w:bCs/>
          <w:color w:val="auto"/>
          <w:sz w:val="22"/>
        </w:rPr>
      </w:pPr>
      <w:r w:rsidRPr="00DD25B4">
        <w:rPr>
          <w:rFonts w:ascii="Arial" w:hAnsi="Arial" w:cs="Arial"/>
          <w:color w:val="auto"/>
          <w:sz w:val="22"/>
        </w:rPr>
        <w:t>Loading:</w:t>
      </w:r>
      <w:r w:rsidRPr="00DD25B4">
        <w:rPr>
          <w:rFonts w:ascii="Arial" w:hAnsi="Arial" w:cs="Arial"/>
          <w:b w:val="0"/>
          <w:bCs/>
          <w:color w:val="auto"/>
          <w:sz w:val="22"/>
        </w:rPr>
        <w:t xml:space="preserve"> The weighed Coke is then placed into the vessel via a funnel.</w:t>
      </w:r>
    </w:p>
    <w:p w14:paraId="2B322439" w14:textId="7865314A" w:rsidR="00341A51" w:rsidRPr="00DD25B4" w:rsidRDefault="00341A51" w:rsidP="00341A51">
      <w:pPr>
        <w:pStyle w:val="ListParagraph"/>
        <w:numPr>
          <w:ilvl w:val="0"/>
          <w:numId w:val="14"/>
        </w:numPr>
        <w:spacing w:line="360" w:lineRule="auto"/>
        <w:jc w:val="both"/>
        <w:rPr>
          <w:rFonts w:ascii="Arial" w:hAnsi="Arial" w:cs="Arial"/>
          <w:b w:val="0"/>
          <w:bCs/>
          <w:color w:val="auto"/>
          <w:sz w:val="22"/>
        </w:rPr>
      </w:pPr>
      <w:r w:rsidRPr="00DD25B4">
        <w:rPr>
          <w:rFonts w:ascii="Arial" w:hAnsi="Arial" w:cs="Arial"/>
          <w:color w:val="auto"/>
          <w:sz w:val="22"/>
        </w:rPr>
        <w:t>Rig Setup:</w:t>
      </w:r>
      <w:r w:rsidRPr="00DD25B4">
        <w:rPr>
          <w:rFonts w:ascii="Arial" w:hAnsi="Arial" w:cs="Arial"/>
          <w:b w:val="0"/>
          <w:bCs/>
          <w:color w:val="auto"/>
          <w:sz w:val="22"/>
        </w:rPr>
        <w:t xml:space="preserve"> The thermocouple and gas supply are connected to the vessel, which is then loaded onto the rig using a hoist.</w:t>
      </w:r>
    </w:p>
    <w:p w14:paraId="67D9F9BD" w14:textId="79C44972" w:rsidR="00341A51" w:rsidRPr="00DD25B4" w:rsidRDefault="00341A51" w:rsidP="00341A51">
      <w:pPr>
        <w:pStyle w:val="ListParagraph"/>
        <w:numPr>
          <w:ilvl w:val="0"/>
          <w:numId w:val="14"/>
        </w:numPr>
        <w:spacing w:line="360" w:lineRule="auto"/>
        <w:jc w:val="both"/>
        <w:rPr>
          <w:rFonts w:ascii="Arial" w:hAnsi="Arial" w:cs="Arial"/>
          <w:b w:val="0"/>
          <w:bCs/>
          <w:color w:val="auto"/>
          <w:sz w:val="22"/>
        </w:rPr>
      </w:pPr>
      <w:r w:rsidRPr="00DD25B4">
        <w:rPr>
          <w:rFonts w:ascii="Arial" w:hAnsi="Arial" w:cs="Arial"/>
          <w:color w:val="auto"/>
          <w:sz w:val="22"/>
        </w:rPr>
        <w:lastRenderedPageBreak/>
        <w:t>Program Selection:</w:t>
      </w:r>
      <w:r w:rsidRPr="00DD25B4">
        <w:rPr>
          <w:rFonts w:ascii="Arial" w:hAnsi="Arial" w:cs="Arial"/>
          <w:b w:val="0"/>
          <w:bCs/>
          <w:color w:val="auto"/>
          <w:sz w:val="22"/>
        </w:rPr>
        <w:t xml:space="preserve"> The appropriate program is selected on the CSR control panel to commence testing.</w:t>
      </w:r>
    </w:p>
    <w:p w14:paraId="57119514" w14:textId="64C9B44C" w:rsidR="00341A51" w:rsidRPr="00DD25B4" w:rsidRDefault="00341A51" w:rsidP="00341A51">
      <w:pPr>
        <w:pStyle w:val="ListParagraph"/>
        <w:numPr>
          <w:ilvl w:val="0"/>
          <w:numId w:val="14"/>
        </w:numPr>
        <w:spacing w:line="360" w:lineRule="auto"/>
        <w:jc w:val="both"/>
        <w:rPr>
          <w:rFonts w:ascii="Arial" w:hAnsi="Arial" w:cs="Arial"/>
          <w:b w:val="0"/>
          <w:bCs/>
          <w:color w:val="auto"/>
          <w:sz w:val="22"/>
        </w:rPr>
      </w:pPr>
      <w:r w:rsidRPr="00DD25B4">
        <w:rPr>
          <w:rFonts w:ascii="Arial" w:hAnsi="Arial" w:cs="Arial"/>
          <w:color w:val="auto"/>
          <w:sz w:val="22"/>
        </w:rPr>
        <w:t>Testing:</w:t>
      </w:r>
      <w:r w:rsidRPr="00DD25B4">
        <w:rPr>
          <w:rFonts w:ascii="Arial" w:hAnsi="Arial" w:cs="Arial"/>
          <w:b w:val="0"/>
          <w:bCs/>
          <w:color w:val="auto"/>
          <w:sz w:val="22"/>
        </w:rPr>
        <w:t xml:space="preserve"> Upon program selection, the testing process begins.</w:t>
      </w:r>
    </w:p>
    <w:p w14:paraId="50CB81F5" w14:textId="5D9C54B2" w:rsidR="00341A51" w:rsidRPr="00DD25B4" w:rsidRDefault="00341A51" w:rsidP="00341A51">
      <w:pPr>
        <w:pStyle w:val="ListParagraph"/>
        <w:numPr>
          <w:ilvl w:val="0"/>
          <w:numId w:val="14"/>
        </w:numPr>
        <w:spacing w:line="360" w:lineRule="auto"/>
        <w:jc w:val="both"/>
        <w:rPr>
          <w:rFonts w:ascii="Arial" w:hAnsi="Arial" w:cs="Arial"/>
          <w:b w:val="0"/>
          <w:bCs/>
          <w:color w:val="auto"/>
          <w:sz w:val="22"/>
        </w:rPr>
      </w:pPr>
      <w:r w:rsidRPr="00DD25B4">
        <w:rPr>
          <w:rFonts w:ascii="Arial" w:hAnsi="Arial" w:cs="Arial"/>
          <w:color w:val="auto"/>
          <w:sz w:val="22"/>
        </w:rPr>
        <w:t>Cooling:</w:t>
      </w:r>
      <w:r w:rsidRPr="00DD25B4">
        <w:rPr>
          <w:rFonts w:ascii="Arial" w:hAnsi="Arial" w:cs="Arial"/>
          <w:b w:val="0"/>
          <w:bCs/>
          <w:color w:val="auto"/>
          <w:sz w:val="22"/>
        </w:rPr>
        <w:t xml:space="preserve"> Following the completion of the test, the vessel is removed from the rig and allowed to cool under a Nitrogen atmosphere until reaching a temperature of 50 degrees Celsius or lower.</w:t>
      </w:r>
    </w:p>
    <w:p w14:paraId="45967D80" w14:textId="4A6D3DB2" w:rsidR="00341A51" w:rsidRPr="00DD25B4" w:rsidRDefault="00341A51" w:rsidP="00341A51">
      <w:pPr>
        <w:pStyle w:val="ListParagraph"/>
        <w:numPr>
          <w:ilvl w:val="0"/>
          <w:numId w:val="14"/>
        </w:numPr>
        <w:spacing w:line="360" w:lineRule="auto"/>
        <w:jc w:val="both"/>
        <w:rPr>
          <w:rFonts w:ascii="Arial" w:hAnsi="Arial" w:cs="Arial"/>
          <w:b w:val="0"/>
          <w:bCs/>
          <w:color w:val="auto"/>
          <w:sz w:val="22"/>
        </w:rPr>
      </w:pPr>
      <w:r w:rsidRPr="00DD25B4">
        <w:rPr>
          <w:rFonts w:ascii="Arial" w:hAnsi="Arial" w:cs="Arial"/>
          <w:color w:val="auto"/>
          <w:sz w:val="22"/>
        </w:rPr>
        <w:t>Weighing Back:</w:t>
      </w:r>
      <w:r w:rsidRPr="00DD25B4">
        <w:rPr>
          <w:rFonts w:ascii="Arial" w:hAnsi="Arial" w:cs="Arial"/>
          <w:b w:val="0"/>
          <w:bCs/>
          <w:color w:val="auto"/>
          <w:sz w:val="22"/>
        </w:rPr>
        <w:t xml:space="preserve"> The cooled material is weighed again, and the final weight is recorded on paper.</w:t>
      </w:r>
    </w:p>
    <w:p w14:paraId="39355312" w14:textId="0BBEBF70" w:rsidR="00341A51" w:rsidRPr="00DD25B4" w:rsidRDefault="00341A51" w:rsidP="00341A51">
      <w:pPr>
        <w:pStyle w:val="ListParagraph"/>
        <w:numPr>
          <w:ilvl w:val="0"/>
          <w:numId w:val="14"/>
        </w:numPr>
        <w:spacing w:line="360" w:lineRule="auto"/>
        <w:jc w:val="both"/>
        <w:rPr>
          <w:rFonts w:ascii="Arial" w:hAnsi="Arial" w:cs="Arial"/>
          <w:b w:val="0"/>
          <w:bCs/>
          <w:color w:val="auto"/>
          <w:sz w:val="22"/>
        </w:rPr>
      </w:pPr>
      <w:r w:rsidRPr="00DD25B4">
        <w:rPr>
          <w:rFonts w:ascii="Arial" w:hAnsi="Arial" w:cs="Arial"/>
          <w:color w:val="auto"/>
          <w:sz w:val="22"/>
        </w:rPr>
        <w:t>Tumbling:</w:t>
      </w:r>
      <w:r w:rsidRPr="00DD25B4">
        <w:rPr>
          <w:rFonts w:ascii="Arial" w:hAnsi="Arial" w:cs="Arial"/>
          <w:b w:val="0"/>
          <w:bCs/>
          <w:color w:val="auto"/>
          <w:sz w:val="22"/>
        </w:rPr>
        <w:t xml:space="preserve"> The material undergoes tumbling for 600 revolutions.</w:t>
      </w:r>
    </w:p>
    <w:p w14:paraId="7110CB8D" w14:textId="77108CCD" w:rsidR="00341A51" w:rsidRPr="00DD25B4" w:rsidRDefault="00341A51" w:rsidP="00341A51">
      <w:pPr>
        <w:pStyle w:val="ListParagraph"/>
        <w:numPr>
          <w:ilvl w:val="0"/>
          <w:numId w:val="14"/>
        </w:numPr>
        <w:spacing w:line="360" w:lineRule="auto"/>
        <w:jc w:val="both"/>
        <w:rPr>
          <w:rFonts w:ascii="Arial" w:hAnsi="Arial" w:cs="Arial"/>
          <w:b w:val="0"/>
          <w:bCs/>
          <w:color w:val="auto"/>
          <w:sz w:val="22"/>
        </w:rPr>
      </w:pPr>
      <w:r w:rsidRPr="00DD25B4">
        <w:rPr>
          <w:rFonts w:ascii="Arial" w:hAnsi="Arial" w:cs="Arial"/>
          <w:color w:val="auto"/>
          <w:sz w:val="22"/>
        </w:rPr>
        <w:t>Final Weighing:</w:t>
      </w:r>
      <w:r w:rsidRPr="00DD25B4">
        <w:rPr>
          <w:rFonts w:ascii="Arial" w:hAnsi="Arial" w:cs="Arial"/>
          <w:b w:val="0"/>
          <w:bCs/>
          <w:color w:val="auto"/>
          <w:sz w:val="22"/>
        </w:rPr>
        <w:t xml:space="preserve"> After tumbling, the material is weighed again, and the final weight is recorded on paper.</w:t>
      </w:r>
    </w:p>
    <w:p w14:paraId="2C5DD03E" w14:textId="77777777" w:rsidR="00341A51" w:rsidRPr="00DD25B4" w:rsidRDefault="00341A51" w:rsidP="00341A51">
      <w:pPr>
        <w:pStyle w:val="ListParagraph"/>
        <w:numPr>
          <w:ilvl w:val="0"/>
          <w:numId w:val="14"/>
        </w:numPr>
        <w:spacing w:line="360" w:lineRule="auto"/>
        <w:jc w:val="both"/>
        <w:rPr>
          <w:rFonts w:ascii="Arial" w:hAnsi="Arial" w:cs="Arial"/>
          <w:b w:val="0"/>
          <w:bCs/>
          <w:color w:val="auto"/>
          <w:sz w:val="22"/>
        </w:rPr>
      </w:pPr>
      <w:r w:rsidRPr="00DD25B4">
        <w:rPr>
          <w:rFonts w:ascii="Arial" w:hAnsi="Arial" w:cs="Arial"/>
          <w:color w:val="auto"/>
          <w:sz w:val="22"/>
        </w:rPr>
        <w:t>Calculation and Reporting:</w:t>
      </w:r>
      <w:r w:rsidRPr="00DD25B4">
        <w:rPr>
          <w:rFonts w:ascii="Arial" w:hAnsi="Arial" w:cs="Arial"/>
          <w:b w:val="0"/>
          <w:bCs/>
          <w:color w:val="auto"/>
          <w:sz w:val="22"/>
        </w:rPr>
        <w:t xml:space="preserve"> The final result is calculated using a calculator and reported to customers via email.</w:t>
      </w:r>
    </w:p>
    <w:p w14:paraId="260AA348" w14:textId="77777777" w:rsidR="00341A51" w:rsidRPr="00DD25B4" w:rsidRDefault="00341A51" w:rsidP="00341A51">
      <w:pPr>
        <w:spacing w:line="360" w:lineRule="auto"/>
        <w:jc w:val="both"/>
        <w:rPr>
          <w:rFonts w:ascii="Arial" w:hAnsi="Arial" w:cs="Arial"/>
          <w:b w:val="0"/>
          <w:bCs/>
          <w:color w:val="auto"/>
          <w:sz w:val="22"/>
        </w:rPr>
      </w:pPr>
    </w:p>
    <w:p w14:paraId="1B9940EC" w14:textId="0126C2F3" w:rsidR="0042163A" w:rsidRPr="00DD25B4" w:rsidRDefault="00341A51" w:rsidP="00341A51">
      <w:pPr>
        <w:spacing w:line="360" w:lineRule="auto"/>
        <w:jc w:val="both"/>
        <w:rPr>
          <w:b w:val="0"/>
          <w:bCs/>
          <w:color w:val="auto"/>
        </w:rPr>
      </w:pPr>
      <w:r w:rsidRPr="00DD25B4">
        <w:rPr>
          <w:rFonts w:ascii="Arial" w:hAnsi="Arial" w:cs="Arial"/>
          <w:b w:val="0"/>
          <w:bCs/>
          <w:color w:val="auto"/>
          <w:sz w:val="22"/>
        </w:rPr>
        <w:t>Each step of the CSR testing process presents opportunities for variation to occur. To systematically identify the causes or symptoms of variation, an Ishikawa Diagram will be constructed.</w:t>
      </w:r>
    </w:p>
    <w:p w14:paraId="1BC5FE10" w14:textId="77777777" w:rsidR="006672D3" w:rsidRPr="00DD25B4" w:rsidRDefault="006672D3" w:rsidP="00554B6D">
      <w:pPr>
        <w:rPr>
          <w:color w:val="061F57" w:themeColor="text2" w:themeShade="BF"/>
          <w:u w:val="single"/>
        </w:rPr>
      </w:pPr>
    </w:p>
    <w:p w14:paraId="2B6C7E3C" w14:textId="77777777" w:rsidR="006672D3" w:rsidRPr="00DD25B4" w:rsidRDefault="006672D3" w:rsidP="00554B6D">
      <w:pPr>
        <w:rPr>
          <w:color w:val="061F57" w:themeColor="text2" w:themeShade="BF"/>
          <w:u w:val="single"/>
        </w:rPr>
      </w:pPr>
    </w:p>
    <w:p w14:paraId="62C32CEE" w14:textId="77777777" w:rsidR="006672D3" w:rsidRPr="00DD25B4" w:rsidRDefault="006672D3" w:rsidP="00554B6D">
      <w:pPr>
        <w:rPr>
          <w:color w:val="061F57" w:themeColor="text2" w:themeShade="BF"/>
          <w:u w:val="single"/>
        </w:rPr>
      </w:pPr>
    </w:p>
    <w:p w14:paraId="27124FC0" w14:textId="77777777" w:rsidR="006672D3" w:rsidRPr="00DD25B4" w:rsidRDefault="006672D3" w:rsidP="00554B6D">
      <w:pPr>
        <w:rPr>
          <w:color w:val="061F57" w:themeColor="text2" w:themeShade="BF"/>
          <w:u w:val="single"/>
        </w:rPr>
      </w:pPr>
    </w:p>
    <w:p w14:paraId="44707780" w14:textId="77777777" w:rsidR="006672D3" w:rsidRPr="00DD25B4" w:rsidRDefault="006672D3" w:rsidP="00554B6D">
      <w:pPr>
        <w:rPr>
          <w:color w:val="061F57" w:themeColor="text2" w:themeShade="BF"/>
          <w:u w:val="single"/>
        </w:rPr>
      </w:pPr>
    </w:p>
    <w:p w14:paraId="43ECF417" w14:textId="77777777" w:rsidR="006672D3" w:rsidRPr="00DD25B4" w:rsidRDefault="006672D3" w:rsidP="00554B6D">
      <w:pPr>
        <w:rPr>
          <w:color w:val="061F57" w:themeColor="text2" w:themeShade="BF"/>
          <w:u w:val="single"/>
        </w:rPr>
      </w:pPr>
    </w:p>
    <w:p w14:paraId="298C2176" w14:textId="77777777" w:rsidR="006672D3" w:rsidRPr="00DD25B4" w:rsidRDefault="006672D3" w:rsidP="00554B6D">
      <w:pPr>
        <w:rPr>
          <w:color w:val="061F57" w:themeColor="text2" w:themeShade="BF"/>
          <w:u w:val="single"/>
        </w:rPr>
      </w:pPr>
    </w:p>
    <w:p w14:paraId="2F5F479A" w14:textId="77777777" w:rsidR="006672D3" w:rsidRPr="00DD25B4" w:rsidRDefault="006672D3" w:rsidP="00554B6D">
      <w:pPr>
        <w:rPr>
          <w:color w:val="061F57" w:themeColor="text2" w:themeShade="BF"/>
          <w:u w:val="single"/>
        </w:rPr>
      </w:pPr>
    </w:p>
    <w:p w14:paraId="4A8977C4" w14:textId="77777777" w:rsidR="006672D3" w:rsidRPr="00DD25B4" w:rsidRDefault="006672D3" w:rsidP="00554B6D">
      <w:pPr>
        <w:rPr>
          <w:color w:val="061F57" w:themeColor="text2" w:themeShade="BF"/>
          <w:u w:val="single"/>
        </w:rPr>
      </w:pPr>
    </w:p>
    <w:p w14:paraId="0A2E9577" w14:textId="77777777" w:rsidR="006672D3" w:rsidRPr="00DD25B4" w:rsidRDefault="006672D3" w:rsidP="00554B6D">
      <w:pPr>
        <w:rPr>
          <w:color w:val="061F57" w:themeColor="text2" w:themeShade="BF"/>
          <w:u w:val="single"/>
        </w:rPr>
      </w:pPr>
    </w:p>
    <w:p w14:paraId="0A0C218D" w14:textId="77777777" w:rsidR="006672D3" w:rsidRPr="00DD25B4" w:rsidRDefault="006672D3" w:rsidP="00554B6D">
      <w:pPr>
        <w:rPr>
          <w:color w:val="061F57" w:themeColor="text2" w:themeShade="BF"/>
          <w:u w:val="single"/>
        </w:rPr>
      </w:pPr>
    </w:p>
    <w:p w14:paraId="741A02B2" w14:textId="77777777" w:rsidR="006672D3" w:rsidRPr="00DD25B4" w:rsidRDefault="006672D3" w:rsidP="00554B6D">
      <w:pPr>
        <w:rPr>
          <w:color w:val="061F57" w:themeColor="text2" w:themeShade="BF"/>
          <w:u w:val="single"/>
        </w:rPr>
      </w:pPr>
    </w:p>
    <w:p w14:paraId="334D83B1" w14:textId="77777777" w:rsidR="006672D3" w:rsidRPr="00DD25B4" w:rsidRDefault="006672D3" w:rsidP="00554B6D">
      <w:pPr>
        <w:rPr>
          <w:color w:val="061F57" w:themeColor="text2" w:themeShade="BF"/>
          <w:u w:val="single"/>
        </w:rPr>
      </w:pPr>
    </w:p>
    <w:p w14:paraId="102746C3" w14:textId="77777777" w:rsidR="006672D3" w:rsidRPr="00DD25B4" w:rsidRDefault="006672D3" w:rsidP="00554B6D">
      <w:pPr>
        <w:rPr>
          <w:color w:val="061F57" w:themeColor="text2" w:themeShade="BF"/>
          <w:u w:val="single"/>
        </w:rPr>
      </w:pPr>
    </w:p>
    <w:p w14:paraId="190DD08B" w14:textId="77777777" w:rsidR="006672D3" w:rsidRPr="00DD25B4" w:rsidRDefault="006672D3" w:rsidP="00554B6D">
      <w:pPr>
        <w:rPr>
          <w:color w:val="061F57" w:themeColor="text2" w:themeShade="BF"/>
          <w:u w:val="single"/>
        </w:rPr>
      </w:pPr>
    </w:p>
    <w:p w14:paraId="361D967B" w14:textId="77777777" w:rsidR="002402C9" w:rsidRPr="00DD25B4" w:rsidRDefault="002402C9" w:rsidP="00554B6D">
      <w:pPr>
        <w:rPr>
          <w:color w:val="061F57" w:themeColor="text2" w:themeShade="BF"/>
          <w:u w:val="single"/>
        </w:rPr>
      </w:pPr>
    </w:p>
    <w:p w14:paraId="57C26463" w14:textId="77777777" w:rsidR="002402C9" w:rsidRPr="00DD25B4" w:rsidRDefault="002402C9" w:rsidP="00554B6D">
      <w:pPr>
        <w:rPr>
          <w:color w:val="061F57" w:themeColor="text2" w:themeShade="BF"/>
          <w:u w:val="single"/>
        </w:rPr>
      </w:pPr>
    </w:p>
    <w:p w14:paraId="3251F9F9" w14:textId="77777777" w:rsidR="006672D3" w:rsidRPr="00DD25B4" w:rsidRDefault="006672D3" w:rsidP="00554B6D">
      <w:pPr>
        <w:rPr>
          <w:color w:val="061F57" w:themeColor="text2" w:themeShade="BF"/>
          <w:u w:val="single"/>
        </w:rPr>
      </w:pPr>
    </w:p>
    <w:p w14:paraId="649580A6" w14:textId="0111E5E5" w:rsidR="00FD72D7" w:rsidRPr="00DD25B4" w:rsidRDefault="0042163A" w:rsidP="00FD72D7">
      <w:pPr>
        <w:pStyle w:val="Heading2"/>
        <w:numPr>
          <w:ilvl w:val="1"/>
          <w:numId w:val="8"/>
        </w:numPr>
      </w:pPr>
      <w:bookmarkStart w:id="7" w:name="_Toc164832265"/>
      <w:r w:rsidRPr="00DD25B4">
        <w:lastRenderedPageBreak/>
        <w:t>Voice of Customer</w:t>
      </w:r>
      <w:bookmarkEnd w:id="7"/>
    </w:p>
    <w:p w14:paraId="567539B1" w14:textId="05F3025A" w:rsidR="00FD72D7" w:rsidRPr="00DD25B4" w:rsidRDefault="00FD72D7" w:rsidP="00FD72D7">
      <w:pPr>
        <w:spacing w:line="360" w:lineRule="auto"/>
        <w:jc w:val="both"/>
        <w:rPr>
          <w:rFonts w:ascii="Arial" w:hAnsi="Arial" w:cs="Arial"/>
          <w:b w:val="0"/>
          <w:bCs/>
          <w:color w:val="auto"/>
          <w:sz w:val="22"/>
        </w:rPr>
      </w:pPr>
      <w:r w:rsidRPr="00DD25B4">
        <w:rPr>
          <w:rFonts w:ascii="Arial" w:hAnsi="Arial" w:cs="Arial"/>
          <w:b w:val="0"/>
          <w:bCs/>
          <w:color w:val="auto"/>
          <w:sz w:val="22"/>
        </w:rPr>
        <w:t xml:space="preserve">Every month, a Service Level Agreement (SLA) meeting convenes between the laboratories and customers, serving as a forum for addressing concerns from both parties and negotiating potential improvements and trials. Preceding the onset of result variability, the imperative for achieving customer satisfaction necessitated the completion of accurate </w:t>
      </w:r>
      <w:r w:rsidR="001B33FA" w:rsidRPr="00DD25B4">
        <w:rPr>
          <w:rFonts w:ascii="Arial" w:hAnsi="Arial" w:cs="Arial"/>
          <w:b w:val="0"/>
          <w:bCs/>
          <w:color w:val="auto"/>
          <w:sz w:val="22"/>
        </w:rPr>
        <w:t xml:space="preserve">Coke Strength after Reaction </w:t>
      </w:r>
      <w:r w:rsidRPr="00DD25B4">
        <w:rPr>
          <w:rFonts w:ascii="Arial" w:hAnsi="Arial" w:cs="Arial"/>
          <w:b w:val="0"/>
          <w:bCs/>
          <w:color w:val="auto"/>
          <w:sz w:val="22"/>
        </w:rPr>
        <w:t xml:space="preserve">(CSR) testing in duplicate, reported daily within specified tolerances. This practice enabled customers to enact large-scale operational adjustments efficiently, </w:t>
      </w:r>
      <w:r w:rsidR="001F7D0E" w:rsidRPr="00DD25B4">
        <w:rPr>
          <w:rFonts w:ascii="Arial" w:hAnsi="Arial" w:cs="Arial"/>
          <w:b w:val="0"/>
          <w:bCs/>
          <w:color w:val="auto"/>
          <w:sz w:val="22"/>
        </w:rPr>
        <w:t>pre-empting</w:t>
      </w:r>
      <w:r w:rsidRPr="00DD25B4">
        <w:rPr>
          <w:rFonts w:ascii="Arial" w:hAnsi="Arial" w:cs="Arial"/>
          <w:b w:val="0"/>
          <w:bCs/>
          <w:color w:val="auto"/>
          <w:sz w:val="22"/>
        </w:rPr>
        <w:t xml:space="preserve"> the emergence of significant issues. Particularly, the Blast Furnace operation mandated daily reporting of precise results to ascertain the suitability of Morfa's Coke for charging into the furnace. The incorporation of Coke into the Blast Furnace serves dual functions: as a reducing agent, wherein carbon reacts with hot gas to form Carbon Monoxide, facilitating the reduction of iron oxide to metallic iron; and as a load support medium, wherein the Coke supports the burden of iron ore pellets, sinter, and coke layers within the furnace. The accuracy and timeliness of the results provided to customers hold considerable sway over large-scale operations, underscoring the critical importance of furnishing precise results promptly</w:t>
      </w:r>
      <w:r w:rsidR="001C3203" w:rsidRPr="00DD25B4">
        <w:rPr>
          <w:rFonts w:ascii="Arial" w:hAnsi="Arial" w:cs="Arial"/>
          <w:b w:val="0"/>
          <w:bCs/>
          <w:color w:val="auto"/>
          <w:sz w:val="22"/>
        </w:rPr>
        <w:t xml:space="preserve"> </w:t>
      </w:r>
      <w:sdt>
        <w:sdtPr>
          <w:rPr>
            <w:rFonts w:ascii="Arial" w:hAnsi="Arial" w:cs="Arial"/>
            <w:b w:val="0"/>
            <w:bCs/>
            <w:color w:val="auto"/>
            <w:sz w:val="22"/>
          </w:rPr>
          <w:id w:val="-994560637"/>
          <w:citation/>
        </w:sdtPr>
        <w:sdtEndPr/>
        <w:sdtContent>
          <w:r w:rsidR="001C3203" w:rsidRPr="00DD25B4">
            <w:rPr>
              <w:rFonts w:ascii="Arial" w:hAnsi="Arial" w:cs="Arial"/>
              <w:b w:val="0"/>
              <w:bCs/>
              <w:color w:val="auto"/>
              <w:sz w:val="22"/>
            </w:rPr>
            <w:fldChar w:fldCharType="begin"/>
          </w:r>
          <w:r w:rsidR="001C3203" w:rsidRPr="00DD25B4">
            <w:rPr>
              <w:rFonts w:ascii="Arial" w:hAnsi="Arial" w:cs="Arial"/>
              <w:b w:val="0"/>
              <w:bCs/>
              <w:color w:val="auto"/>
              <w:sz w:val="22"/>
            </w:rPr>
            <w:instrText xml:space="preserve"> CITATION Rah11 \l 1033 </w:instrText>
          </w:r>
          <w:r w:rsidR="001C3203" w:rsidRPr="00DD25B4">
            <w:rPr>
              <w:rFonts w:ascii="Arial" w:hAnsi="Arial" w:cs="Arial"/>
              <w:b w:val="0"/>
              <w:bCs/>
              <w:color w:val="auto"/>
              <w:sz w:val="22"/>
            </w:rPr>
            <w:fldChar w:fldCharType="separate"/>
          </w:r>
          <w:r w:rsidR="007B6D23" w:rsidRPr="00DD25B4">
            <w:rPr>
              <w:rFonts w:ascii="Arial" w:hAnsi="Arial" w:cs="Arial"/>
              <w:b w:val="0"/>
              <w:bCs/>
              <w:color w:val="auto"/>
              <w:sz w:val="22"/>
            </w:rPr>
            <w:t>(Mitra, 2011)</w:t>
          </w:r>
          <w:r w:rsidR="001C3203" w:rsidRPr="00DD25B4">
            <w:rPr>
              <w:rFonts w:ascii="Arial" w:hAnsi="Arial" w:cs="Arial"/>
              <w:b w:val="0"/>
              <w:bCs/>
              <w:color w:val="auto"/>
              <w:sz w:val="22"/>
            </w:rPr>
            <w:fldChar w:fldCharType="end"/>
          </w:r>
        </w:sdtContent>
      </w:sdt>
      <w:r w:rsidRPr="00DD25B4">
        <w:rPr>
          <w:rFonts w:ascii="Arial" w:hAnsi="Arial" w:cs="Arial"/>
          <w:b w:val="0"/>
          <w:bCs/>
          <w:color w:val="auto"/>
          <w:sz w:val="22"/>
        </w:rPr>
        <w:t>.</w:t>
      </w:r>
    </w:p>
    <w:p w14:paraId="6A332FE3" w14:textId="77777777" w:rsidR="00FD72D7" w:rsidRPr="00DD25B4" w:rsidRDefault="00FD72D7" w:rsidP="00FD72D7">
      <w:pPr>
        <w:spacing w:line="360" w:lineRule="auto"/>
        <w:jc w:val="both"/>
        <w:rPr>
          <w:rFonts w:ascii="Arial" w:hAnsi="Arial" w:cs="Arial"/>
          <w:b w:val="0"/>
          <w:bCs/>
          <w:color w:val="auto"/>
          <w:sz w:val="22"/>
        </w:rPr>
      </w:pPr>
    </w:p>
    <w:p w14:paraId="3A80102C" w14:textId="48C10995" w:rsidR="006B5F99" w:rsidRPr="00DD25B4" w:rsidRDefault="00FD72D7" w:rsidP="00FD72D7">
      <w:pPr>
        <w:spacing w:line="360" w:lineRule="auto"/>
        <w:jc w:val="both"/>
        <w:rPr>
          <w:rFonts w:ascii="Arial" w:hAnsi="Arial" w:cs="Arial"/>
          <w:b w:val="0"/>
          <w:bCs/>
          <w:color w:val="auto"/>
          <w:sz w:val="22"/>
        </w:rPr>
      </w:pPr>
      <w:r w:rsidRPr="00DD25B4">
        <w:rPr>
          <w:rFonts w:ascii="Arial" w:hAnsi="Arial" w:cs="Arial"/>
          <w:b w:val="0"/>
          <w:bCs/>
          <w:color w:val="auto"/>
          <w:sz w:val="22"/>
        </w:rPr>
        <w:t>Presently, the occurrence of daily variations necessitates repeated material retesting, exacerbating backlog issues for subsequent shift testing due to the limited availability of laboratory rigs. These persistent challenges have elicited customer dissatisfaction, evident in the escalating issuance of Corrective Action Reports (CARs), thus underscoring the imperative for undertaking the current project.</w:t>
      </w:r>
    </w:p>
    <w:p w14:paraId="3DA9F579" w14:textId="77777777" w:rsidR="006B5F99" w:rsidRPr="00DD25B4" w:rsidRDefault="006B5F99" w:rsidP="00554B6D">
      <w:pPr>
        <w:rPr>
          <w:b w:val="0"/>
          <w:bCs/>
          <w:color w:val="auto"/>
        </w:rPr>
      </w:pPr>
    </w:p>
    <w:p w14:paraId="3C999FF3" w14:textId="77777777" w:rsidR="006B5F99" w:rsidRPr="00DD25B4" w:rsidRDefault="006B5F99" w:rsidP="00554B6D">
      <w:pPr>
        <w:rPr>
          <w:b w:val="0"/>
          <w:bCs/>
          <w:color w:val="auto"/>
        </w:rPr>
      </w:pPr>
    </w:p>
    <w:p w14:paraId="68B4623D" w14:textId="77777777" w:rsidR="006B5F99" w:rsidRPr="00DD25B4" w:rsidRDefault="006B5F99" w:rsidP="00554B6D">
      <w:pPr>
        <w:rPr>
          <w:b w:val="0"/>
          <w:bCs/>
          <w:color w:val="auto"/>
        </w:rPr>
      </w:pPr>
    </w:p>
    <w:p w14:paraId="365A026E" w14:textId="77777777" w:rsidR="006B5F99" w:rsidRPr="00DD25B4" w:rsidRDefault="006B5F99" w:rsidP="00554B6D">
      <w:pPr>
        <w:rPr>
          <w:b w:val="0"/>
          <w:bCs/>
          <w:color w:val="auto"/>
        </w:rPr>
      </w:pPr>
    </w:p>
    <w:p w14:paraId="6D747EB2" w14:textId="77777777" w:rsidR="006B5F99" w:rsidRPr="00DD25B4" w:rsidRDefault="006B5F99" w:rsidP="00554B6D">
      <w:pPr>
        <w:rPr>
          <w:b w:val="0"/>
          <w:bCs/>
          <w:color w:val="auto"/>
        </w:rPr>
      </w:pPr>
    </w:p>
    <w:p w14:paraId="4B74F03F" w14:textId="77777777" w:rsidR="006B5F99" w:rsidRPr="00DD25B4" w:rsidRDefault="006B5F99" w:rsidP="00554B6D">
      <w:pPr>
        <w:rPr>
          <w:b w:val="0"/>
          <w:bCs/>
          <w:color w:val="auto"/>
        </w:rPr>
      </w:pPr>
    </w:p>
    <w:p w14:paraId="64C268CD" w14:textId="77777777" w:rsidR="006B5F99" w:rsidRPr="00DD25B4" w:rsidRDefault="006B5F99" w:rsidP="00554B6D">
      <w:pPr>
        <w:rPr>
          <w:b w:val="0"/>
          <w:bCs/>
          <w:color w:val="auto"/>
        </w:rPr>
      </w:pPr>
    </w:p>
    <w:p w14:paraId="30827884" w14:textId="77777777" w:rsidR="006B5F99" w:rsidRPr="00DD25B4" w:rsidRDefault="006B5F99" w:rsidP="00554B6D">
      <w:pPr>
        <w:rPr>
          <w:b w:val="0"/>
          <w:bCs/>
          <w:color w:val="auto"/>
        </w:rPr>
      </w:pPr>
    </w:p>
    <w:p w14:paraId="3C89EE39" w14:textId="77777777" w:rsidR="006B5F99" w:rsidRPr="00DD25B4" w:rsidRDefault="006B5F99" w:rsidP="00554B6D">
      <w:pPr>
        <w:rPr>
          <w:b w:val="0"/>
          <w:bCs/>
          <w:color w:val="auto"/>
        </w:rPr>
      </w:pPr>
    </w:p>
    <w:p w14:paraId="0E3C98F9" w14:textId="77777777" w:rsidR="006B5F99" w:rsidRPr="00DD25B4" w:rsidRDefault="006B5F99" w:rsidP="00554B6D">
      <w:pPr>
        <w:rPr>
          <w:b w:val="0"/>
          <w:bCs/>
          <w:color w:val="auto"/>
        </w:rPr>
      </w:pPr>
    </w:p>
    <w:p w14:paraId="619D16DC" w14:textId="77777777" w:rsidR="002402C9" w:rsidRPr="00DD25B4" w:rsidRDefault="002402C9" w:rsidP="00554B6D">
      <w:pPr>
        <w:rPr>
          <w:b w:val="0"/>
          <w:bCs/>
          <w:color w:val="auto"/>
        </w:rPr>
      </w:pPr>
    </w:p>
    <w:p w14:paraId="519CA42A" w14:textId="77777777" w:rsidR="002402C9" w:rsidRPr="00DD25B4" w:rsidRDefault="002402C9" w:rsidP="00554B6D">
      <w:pPr>
        <w:rPr>
          <w:b w:val="0"/>
          <w:bCs/>
          <w:color w:val="auto"/>
        </w:rPr>
      </w:pPr>
    </w:p>
    <w:p w14:paraId="5D320A26" w14:textId="77777777" w:rsidR="002402C9" w:rsidRPr="00DD25B4" w:rsidRDefault="002402C9" w:rsidP="00554B6D">
      <w:pPr>
        <w:rPr>
          <w:b w:val="0"/>
          <w:bCs/>
          <w:color w:val="auto"/>
        </w:rPr>
      </w:pPr>
    </w:p>
    <w:p w14:paraId="532E5597" w14:textId="77777777" w:rsidR="006B5F99" w:rsidRPr="00DD25B4" w:rsidRDefault="006B5F99" w:rsidP="00554B6D">
      <w:pPr>
        <w:rPr>
          <w:b w:val="0"/>
          <w:bCs/>
          <w:color w:val="auto"/>
        </w:rPr>
      </w:pPr>
    </w:p>
    <w:p w14:paraId="2BE95A96" w14:textId="0CFEB568" w:rsidR="006B5F99" w:rsidRPr="00DD25B4" w:rsidRDefault="006B5F99" w:rsidP="002402C9">
      <w:pPr>
        <w:pStyle w:val="ListParagraph"/>
        <w:numPr>
          <w:ilvl w:val="1"/>
          <w:numId w:val="8"/>
        </w:numPr>
        <w:rPr>
          <w:color w:val="061F57" w:themeColor="text2" w:themeShade="BF"/>
          <w:u w:val="single"/>
        </w:rPr>
      </w:pPr>
      <w:bookmarkStart w:id="8" w:name="_Toc164832266"/>
      <w:r w:rsidRPr="00DD25B4">
        <w:rPr>
          <w:rStyle w:val="Heading2Char"/>
        </w:rPr>
        <w:lastRenderedPageBreak/>
        <w:t>Project Scope</w:t>
      </w:r>
      <w:bookmarkEnd w:id="8"/>
    </w:p>
    <w:p w14:paraId="65C2C3A8" w14:textId="5F953CFA" w:rsidR="00F1231F" w:rsidRPr="00DD25B4" w:rsidRDefault="009715A7" w:rsidP="009715A7">
      <w:pPr>
        <w:spacing w:line="360" w:lineRule="auto"/>
        <w:jc w:val="both"/>
        <w:rPr>
          <w:b w:val="0"/>
          <w:bCs/>
          <w:color w:val="auto"/>
        </w:rPr>
      </w:pPr>
      <w:r w:rsidRPr="00DD25B4">
        <w:rPr>
          <w:rFonts w:ascii="Arial" w:hAnsi="Arial" w:cs="Arial"/>
          <w:b w:val="0"/>
          <w:bCs/>
          <w:color w:val="auto"/>
          <w:sz w:val="22"/>
        </w:rPr>
        <w:t xml:space="preserve">The objective of this study is to assess the previously delineated process map and discern potential sources of variation at each step, with the aim of devising strategies to mitigate them. The prevailing pattern of results, characterized by instability, will be quantified initially. Subsequently, after conducting Failure Mode and Effects Analysis (FMEA) and implementing corresponding improvements, the trend will be re-evaluated to reflect stability in </w:t>
      </w:r>
      <w:r w:rsidR="003C7BD4" w:rsidRPr="00DD25B4">
        <w:rPr>
          <w:rFonts w:ascii="Arial" w:hAnsi="Arial" w:cs="Arial"/>
          <w:b w:val="0"/>
          <w:bCs/>
          <w:color w:val="auto"/>
          <w:sz w:val="22"/>
        </w:rPr>
        <w:t>Coke</w:t>
      </w:r>
      <w:r w:rsidRPr="00DD25B4">
        <w:rPr>
          <w:rFonts w:ascii="Arial" w:hAnsi="Arial" w:cs="Arial"/>
          <w:b w:val="0"/>
          <w:bCs/>
          <w:color w:val="auto"/>
          <w:sz w:val="22"/>
        </w:rPr>
        <w:t>. Upon completion of these steps, a reduction in potential sources of variation throughout the process is anticipated, facilitating the identification of the root cause. Should the root cause be identified, enhancements to the process or equipment can be proposed based on the presentation of findings</w:t>
      </w:r>
      <w:r w:rsidR="003F1CCD" w:rsidRPr="00DD25B4">
        <w:rPr>
          <w:rFonts w:ascii="Arial" w:hAnsi="Arial" w:cs="Arial"/>
          <w:b w:val="0"/>
          <w:bCs/>
          <w:color w:val="auto"/>
          <w:sz w:val="22"/>
        </w:rPr>
        <w:t xml:space="preserve"> </w:t>
      </w:r>
      <w:sdt>
        <w:sdtPr>
          <w:rPr>
            <w:rFonts w:ascii="Arial" w:hAnsi="Arial" w:cs="Arial"/>
            <w:b w:val="0"/>
            <w:bCs/>
            <w:color w:val="auto"/>
            <w:sz w:val="22"/>
          </w:rPr>
          <w:id w:val="-1993940995"/>
          <w:citation/>
        </w:sdtPr>
        <w:sdtEndPr/>
        <w:sdtContent>
          <w:r w:rsidR="003F1CCD" w:rsidRPr="00DD25B4">
            <w:rPr>
              <w:rFonts w:ascii="Arial" w:hAnsi="Arial" w:cs="Arial"/>
              <w:b w:val="0"/>
              <w:bCs/>
              <w:color w:val="auto"/>
              <w:sz w:val="22"/>
            </w:rPr>
            <w:fldChar w:fldCharType="begin"/>
          </w:r>
          <w:r w:rsidR="003F1CCD" w:rsidRPr="00DD25B4">
            <w:rPr>
              <w:rFonts w:ascii="Arial" w:hAnsi="Arial" w:cs="Arial"/>
              <w:b w:val="0"/>
              <w:bCs/>
              <w:color w:val="auto"/>
              <w:sz w:val="22"/>
            </w:rPr>
            <w:instrText xml:space="preserve"> CITATION Dee221 \l 1033 </w:instrText>
          </w:r>
          <w:r w:rsidR="003F1CCD" w:rsidRPr="00DD25B4">
            <w:rPr>
              <w:rFonts w:ascii="Arial" w:hAnsi="Arial" w:cs="Arial"/>
              <w:b w:val="0"/>
              <w:bCs/>
              <w:color w:val="auto"/>
              <w:sz w:val="22"/>
            </w:rPr>
            <w:fldChar w:fldCharType="separate"/>
          </w:r>
          <w:r w:rsidR="007B6D23" w:rsidRPr="00DD25B4">
            <w:rPr>
              <w:rFonts w:ascii="Arial" w:hAnsi="Arial" w:cs="Arial"/>
              <w:b w:val="0"/>
              <w:bCs/>
              <w:color w:val="auto"/>
              <w:sz w:val="22"/>
            </w:rPr>
            <w:t>(Kumar, et al., 2022)</w:t>
          </w:r>
          <w:r w:rsidR="003F1CCD" w:rsidRPr="00DD25B4">
            <w:rPr>
              <w:rFonts w:ascii="Arial" w:hAnsi="Arial" w:cs="Arial"/>
              <w:b w:val="0"/>
              <w:bCs/>
              <w:color w:val="auto"/>
              <w:sz w:val="22"/>
            </w:rPr>
            <w:fldChar w:fldCharType="end"/>
          </w:r>
        </w:sdtContent>
      </w:sdt>
      <w:r w:rsidRPr="00DD25B4">
        <w:rPr>
          <w:rFonts w:ascii="Arial" w:hAnsi="Arial" w:cs="Arial"/>
          <w:b w:val="0"/>
          <w:bCs/>
          <w:color w:val="auto"/>
          <w:sz w:val="22"/>
        </w:rPr>
        <w:t>.</w:t>
      </w:r>
    </w:p>
    <w:p w14:paraId="4EFA49AD" w14:textId="77777777" w:rsidR="00F1231F" w:rsidRPr="00DD25B4" w:rsidRDefault="00F1231F" w:rsidP="00554B6D">
      <w:pPr>
        <w:rPr>
          <w:b w:val="0"/>
          <w:bCs/>
          <w:color w:val="auto"/>
        </w:rPr>
      </w:pPr>
    </w:p>
    <w:p w14:paraId="7BE3E6C7" w14:textId="77777777" w:rsidR="00F1231F" w:rsidRPr="00DD25B4" w:rsidRDefault="00F1231F" w:rsidP="00554B6D">
      <w:pPr>
        <w:rPr>
          <w:b w:val="0"/>
          <w:bCs/>
          <w:color w:val="auto"/>
        </w:rPr>
      </w:pPr>
    </w:p>
    <w:p w14:paraId="749AC543" w14:textId="77777777" w:rsidR="00F1231F" w:rsidRPr="00DD25B4" w:rsidRDefault="00F1231F" w:rsidP="00554B6D">
      <w:pPr>
        <w:rPr>
          <w:b w:val="0"/>
          <w:bCs/>
          <w:color w:val="auto"/>
        </w:rPr>
      </w:pPr>
    </w:p>
    <w:p w14:paraId="27CA0E13" w14:textId="77777777" w:rsidR="00F1231F" w:rsidRPr="00DD25B4" w:rsidRDefault="00F1231F" w:rsidP="00554B6D">
      <w:pPr>
        <w:rPr>
          <w:b w:val="0"/>
          <w:bCs/>
          <w:color w:val="auto"/>
        </w:rPr>
      </w:pPr>
    </w:p>
    <w:p w14:paraId="1F190026" w14:textId="77777777" w:rsidR="00F1231F" w:rsidRPr="00DD25B4" w:rsidRDefault="00F1231F" w:rsidP="00554B6D">
      <w:pPr>
        <w:rPr>
          <w:b w:val="0"/>
          <w:bCs/>
          <w:color w:val="auto"/>
        </w:rPr>
      </w:pPr>
    </w:p>
    <w:p w14:paraId="0C51023A" w14:textId="77777777" w:rsidR="00F1231F" w:rsidRPr="00DD25B4" w:rsidRDefault="00F1231F" w:rsidP="00554B6D">
      <w:pPr>
        <w:rPr>
          <w:b w:val="0"/>
          <w:bCs/>
          <w:color w:val="auto"/>
        </w:rPr>
      </w:pPr>
    </w:p>
    <w:p w14:paraId="17DC26A3" w14:textId="77777777" w:rsidR="00F1231F" w:rsidRPr="00DD25B4" w:rsidRDefault="00F1231F" w:rsidP="00554B6D">
      <w:pPr>
        <w:rPr>
          <w:b w:val="0"/>
          <w:bCs/>
          <w:color w:val="auto"/>
        </w:rPr>
      </w:pPr>
    </w:p>
    <w:p w14:paraId="18E706FE" w14:textId="77777777" w:rsidR="00F1231F" w:rsidRPr="00DD25B4" w:rsidRDefault="00F1231F" w:rsidP="00554B6D">
      <w:pPr>
        <w:rPr>
          <w:b w:val="0"/>
          <w:bCs/>
          <w:color w:val="auto"/>
        </w:rPr>
      </w:pPr>
    </w:p>
    <w:p w14:paraId="1D721802" w14:textId="77777777" w:rsidR="00F1231F" w:rsidRPr="00DD25B4" w:rsidRDefault="00F1231F" w:rsidP="00554B6D">
      <w:pPr>
        <w:rPr>
          <w:b w:val="0"/>
          <w:bCs/>
          <w:color w:val="auto"/>
        </w:rPr>
      </w:pPr>
    </w:p>
    <w:p w14:paraId="2302C78F" w14:textId="77777777" w:rsidR="00F1231F" w:rsidRPr="00DD25B4" w:rsidRDefault="00F1231F" w:rsidP="00554B6D">
      <w:pPr>
        <w:rPr>
          <w:b w:val="0"/>
          <w:bCs/>
          <w:color w:val="auto"/>
        </w:rPr>
      </w:pPr>
    </w:p>
    <w:p w14:paraId="0DFD7B2F" w14:textId="77777777" w:rsidR="00F1231F" w:rsidRPr="00DD25B4" w:rsidRDefault="00F1231F" w:rsidP="00554B6D">
      <w:pPr>
        <w:rPr>
          <w:b w:val="0"/>
          <w:bCs/>
          <w:color w:val="auto"/>
        </w:rPr>
      </w:pPr>
    </w:p>
    <w:p w14:paraId="428AA096" w14:textId="77777777" w:rsidR="00F1231F" w:rsidRPr="00DD25B4" w:rsidRDefault="00F1231F" w:rsidP="00554B6D">
      <w:pPr>
        <w:rPr>
          <w:b w:val="0"/>
          <w:bCs/>
          <w:color w:val="auto"/>
        </w:rPr>
      </w:pPr>
    </w:p>
    <w:p w14:paraId="2D6166EA" w14:textId="77777777" w:rsidR="00F1231F" w:rsidRPr="00DD25B4" w:rsidRDefault="00F1231F" w:rsidP="00554B6D">
      <w:pPr>
        <w:rPr>
          <w:b w:val="0"/>
          <w:bCs/>
          <w:color w:val="auto"/>
        </w:rPr>
      </w:pPr>
    </w:p>
    <w:p w14:paraId="38301B83" w14:textId="77777777" w:rsidR="00F1231F" w:rsidRPr="00DD25B4" w:rsidRDefault="00F1231F" w:rsidP="00554B6D">
      <w:pPr>
        <w:rPr>
          <w:b w:val="0"/>
          <w:bCs/>
          <w:color w:val="auto"/>
        </w:rPr>
      </w:pPr>
    </w:p>
    <w:p w14:paraId="0B429947" w14:textId="77777777" w:rsidR="00F1231F" w:rsidRPr="00DD25B4" w:rsidRDefault="00F1231F" w:rsidP="00554B6D">
      <w:pPr>
        <w:rPr>
          <w:b w:val="0"/>
          <w:bCs/>
          <w:color w:val="auto"/>
        </w:rPr>
      </w:pPr>
    </w:p>
    <w:p w14:paraId="160DBE76" w14:textId="77777777" w:rsidR="00F1231F" w:rsidRPr="00DD25B4" w:rsidRDefault="00F1231F" w:rsidP="00554B6D">
      <w:pPr>
        <w:rPr>
          <w:b w:val="0"/>
          <w:bCs/>
          <w:color w:val="auto"/>
        </w:rPr>
      </w:pPr>
    </w:p>
    <w:p w14:paraId="30D97CF8" w14:textId="77777777" w:rsidR="00F1231F" w:rsidRPr="00DD25B4" w:rsidRDefault="00F1231F" w:rsidP="00554B6D">
      <w:pPr>
        <w:rPr>
          <w:b w:val="0"/>
          <w:bCs/>
          <w:color w:val="auto"/>
        </w:rPr>
      </w:pPr>
    </w:p>
    <w:p w14:paraId="5502B930" w14:textId="77777777" w:rsidR="00F1231F" w:rsidRPr="00DD25B4" w:rsidRDefault="00F1231F" w:rsidP="00554B6D">
      <w:pPr>
        <w:rPr>
          <w:b w:val="0"/>
          <w:bCs/>
          <w:color w:val="auto"/>
        </w:rPr>
      </w:pPr>
    </w:p>
    <w:p w14:paraId="3762CB4E" w14:textId="77777777" w:rsidR="00F1231F" w:rsidRPr="00DD25B4" w:rsidRDefault="00F1231F" w:rsidP="00554B6D">
      <w:pPr>
        <w:rPr>
          <w:b w:val="0"/>
          <w:bCs/>
          <w:color w:val="auto"/>
        </w:rPr>
      </w:pPr>
    </w:p>
    <w:p w14:paraId="78BC1716" w14:textId="77777777" w:rsidR="00F1231F" w:rsidRPr="00DD25B4" w:rsidRDefault="00F1231F" w:rsidP="00554B6D">
      <w:pPr>
        <w:rPr>
          <w:b w:val="0"/>
          <w:bCs/>
          <w:color w:val="auto"/>
        </w:rPr>
      </w:pPr>
    </w:p>
    <w:p w14:paraId="2B41CE50" w14:textId="77777777" w:rsidR="00F1231F" w:rsidRPr="00DD25B4" w:rsidRDefault="00F1231F" w:rsidP="00554B6D">
      <w:pPr>
        <w:rPr>
          <w:b w:val="0"/>
          <w:bCs/>
          <w:color w:val="auto"/>
        </w:rPr>
      </w:pPr>
    </w:p>
    <w:p w14:paraId="668AEF69" w14:textId="77777777" w:rsidR="002723AC" w:rsidRPr="00DD25B4" w:rsidRDefault="002723AC" w:rsidP="00554B6D">
      <w:pPr>
        <w:rPr>
          <w:b w:val="0"/>
          <w:bCs/>
          <w:color w:val="auto"/>
        </w:rPr>
      </w:pPr>
    </w:p>
    <w:p w14:paraId="19639B69" w14:textId="77777777" w:rsidR="002723AC" w:rsidRPr="00DD25B4" w:rsidRDefault="002723AC" w:rsidP="00554B6D">
      <w:pPr>
        <w:rPr>
          <w:b w:val="0"/>
          <w:bCs/>
          <w:color w:val="auto"/>
        </w:rPr>
      </w:pPr>
    </w:p>
    <w:p w14:paraId="46DF4D37" w14:textId="77777777" w:rsidR="00617A0A" w:rsidRPr="00DD25B4" w:rsidRDefault="00617A0A" w:rsidP="00554B6D">
      <w:pPr>
        <w:rPr>
          <w:b w:val="0"/>
          <w:bCs/>
          <w:color w:val="auto"/>
        </w:rPr>
      </w:pPr>
    </w:p>
    <w:p w14:paraId="4F5A866C" w14:textId="088558E3" w:rsidR="00F1231F" w:rsidRPr="00DD25B4" w:rsidRDefault="00F1231F" w:rsidP="002723AC">
      <w:pPr>
        <w:pStyle w:val="Heading1"/>
        <w:numPr>
          <w:ilvl w:val="0"/>
          <w:numId w:val="8"/>
        </w:numPr>
      </w:pPr>
      <w:bookmarkStart w:id="9" w:name="_Toc164832267"/>
      <w:r w:rsidRPr="00DD25B4">
        <w:lastRenderedPageBreak/>
        <w:t xml:space="preserve">Measure </w:t>
      </w:r>
      <w:r w:rsidR="00591E22" w:rsidRPr="00DD25B4">
        <w:t xml:space="preserve">&amp; Analyse </w:t>
      </w:r>
      <w:r w:rsidRPr="00DD25B4">
        <w:t>Phase</w:t>
      </w:r>
      <w:bookmarkEnd w:id="9"/>
    </w:p>
    <w:p w14:paraId="132E8690" w14:textId="311D6BD6" w:rsidR="00F1231F" w:rsidRPr="00DD25B4" w:rsidRDefault="000D3795" w:rsidP="002723AC">
      <w:pPr>
        <w:pStyle w:val="Heading2"/>
        <w:numPr>
          <w:ilvl w:val="1"/>
          <w:numId w:val="8"/>
        </w:numPr>
      </w:pPr>
      <w:bookmarkStart w:id="10" w:name="_Toc164832268"/>
      <w:r>
        <w:rPr>
          <w:noProof/>
        </w:rPr>
        <w:drawing>
          <wp:anchor distT="0" distB="0" distL="114300" distR="114300" simplePos="0" relativeHeight="251744256" behindDoc="0" locked="0" layoutInCell="1" allowOverlap="1" wp14:anchorId="66D32A88" wp14:editId="3F481A50">
            <wp:simplePos x="0" y="0"/>
            <wp:positionH relativeFrom="margin">
              <wp:align>right</wp:align>
            </wp:positionH>
            <wp:positionV relativeFrom="paragraph">
              <wp:posOffset>368803</wp:posOffset>
            </wp:positionV>
            <wp:extent cx="6309360" cy="4121785"/>
            <wp:effectExtent l="0" t="0" r="15240" b="12065"/>
            <wp:wrapTopAndBottom/>
            <wp:docPr id="1901647453" name="Chart 1">
              <a:extLst xmlns:a="http://schemas.openxmlformats.org/drawingml/2006/main">
                <a:ext uri="{FF2B5EF4-FFF2-40B4-BE49-F238E27FC236}">
                  <a16:creationId xmlns:a16="http://schemas.microsoft.com/office/drawing/2014/main" id="{1B0D7C80-3BEE-0EF3-35A5-05CBA5C7F85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r w:rsidR="008050C6" w:rsidRPr="00DD25B4">
        <w:rPr>
          <w:noProof/>
        </w:rPr>
        <mc:AlternateContent>
          <mc:Choice Requires="wps">
            <w:drawing>
              <wp:anchor distT="0" distB="0" distL="114300" distR="114300" simplePos="0" relativeHeight="251723776" behindDoc="0" locked="0" layoutInCell="1" allowOverlap="1" wp14:anchorId="7F8CFAE4" wp14:editId="6FEC63FC">
                <wp:simplePos x="0" y="0"/>
                <wp:positionH relativeFrom="column">
                  <wp:posOffset>-15240</wp:posOffset>
                </wp:positionH>
                <wp:positionV relativeFrom="paragraph">
                  <wp:posOffset>4556125</wp:posOffset>
                </wp:positionV>
                <wp:extent cx="6309360" cy="635"/>
                <wp:effectExtent l="0" t="0" r="0" b="0"/>
                <wp:wrapTopAndBottom/>
                <wp:docPr id="1399513205" name="Text Box 1"/>
                <wp:cNvGraphicFramePr/>
                <a:graphic xmlns:a="http://schemas.openxmlformats.org/drawingml/2006/main">
                  <a:graphicData uri="http://schemas.microsoft.com/office/word/2010/wordprocessingShape">
                    <wps:wsp>
                      <wps:cNvSpPr txBox="1"/>
                      <wps:spPr>
                        <a:xfrm>
                          <a:off x="0" y="0"/>
                          <a:ext cx="6309360" cy="635"/>
                        </a:xfrm>
                        <a:prstGeom prst="rect">
                          <a:avLst/>
                        </a:prstGeom>
                        <a:solidFill>
                          <a:prstClr val="white"/>
                        </a:solidFill>
                        <a:ln>
                          <a:noFill/>
                        </a:ln>
                      </wps:spPr>
                      <wps:txbx>
                        <w:txbxContent>
                          <w:p w14:paraId="67FD3A4F" w14:textId="10E78360" w:rsidR="008050C6" w:rsidRPr="00DD25B4" w:rsidRDefault="008050C6" w:rsidP="008050C6">
                            <w:pPr>
                              <w:pStyle w:val="Caption"/>
                              <w:rPr>
                                <w:sz w:val="36"/>
                                <w:szCs w:val="26"/>
                              </w:rPr>
                            </w:pPr>
                            <w:bookmarkStart w:id="11" w:name="_Toc164832278"/>
                            <w:r w:rsidRPr="00DD25B4">
                              <w:t xml:space="preserve">Figure </w:t>
                            </w:r>
                            <w:r w:rsidRPr="00DD25B4">
                              <w:fldChar w:fldCharType="begin"/>
                            </w:r>
                            <w:r w:rsidRPr="00DD25B4">
                              <w:instrText xml:space="preserve"> SEQ Figure \* ARABIC </w:instrText>
                            </w:r>
                            <w:r w:rsidRPr="00DD25B4">
                              <w:fldChar w:fldCharType="separate"/>
                            </w:r>
                            <w:r w:rsidR="00A34C35" w:rsidRPr="00DD25B4">
                              <w:t>1</w:t>
                            </w:r>
                            <w:r w:rsidRPr="00DD25B4">
                              <w:fldChar w:fldCharType="end"/>
                            </w:r>
                            <w:r w:rsidRPr="00DD25B4">
                              <w:t xml:space="preserve"> - Graph Showing Variation in CSR Measurements</w:t>
                            </w:r>
                            <w:bookmarkEnd w:id="1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F8CFAE4" id="Text Box 1" o:spid="_x0000_s1027" type="#_x0000_t202" style="position:absolute;left:0;text-align:left;margin-left:-1.2pt;margin-top:358.75pt;width:496.8pt;height:.05pt;z-index:2517237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" stroked="f">
                <v:textbox style="mso-fit-shape-to-text:t" inset="0,0,0,0">
                  <w:txbxContent>
                    <w:p w14:paraId="67FD3A4F" w14:textId="10E78360" w:rsidR="008050C6" w:rsidRPr="00DD25B4" w:rsidRDefault="008050C6" w:rsidP="008050C6">
                      <w:pPr>
                        <w:pStyle w:val="Caption"/>
                        <w:rPr>
                          <w:sz w:val="36"/>
                          <w:szCs w:val="26"/>
                        </w:rPr>
                      </w:pPr>
                      <w:bookmarkStart w:id="12" w:name="_Toc164832278"/>
                      <w:r w:rsidRPr="00DD25B4">
                        <w:t xml:space="preserve">Figure </w:t>
                      </w:r>
                      <w:r w:rsidRPr="00DD25B4">
                        <w:fldChar w:fldCharType="begin"/>
                      </w:r>
                      <w:r w:rsidRPr="00DD25B4">
                        <w:instrText xml:space="preserve"> SEQ Figure \* ARABIC </w:instrText>
                      </w:r>
                      <w:r w:rsidRPr="00DD25B4">
                        <w:fldChar w:fldCharType="separate"/>
                      </w:r>
                      <w:r w:rsidR="00A34C35" w:rsidRPr="00DD25B4">
                        <w:t>1</w:t>
                      </w:r>
                      <w:r w:rsidRPr="00DD25B4">
                        <w:fldChar w:fldCharType="end"/>
                      </w:r>
                      <w:r w:rsidRPr="00DD25B4">
                        <w:t xml:space="preserve"> - Graph Showing Variation in CSR Measurements</w:t>
                      </w:r>
                      <w:bookmarkEnd w:id="12"/>
                    </w:p>
                  </w:txbxContent>
                </v:textbox>
                <w10:wrap type="topAndBottom"/>
              </v:shape>
            </w:pict>
          </mc:Fallback>
        </mc:AlternateContent>
      </w:r>
      <w:r w:rsidR="00F1231F" w:rsidRPr="00DD25B4">
        <w:t>Identifying Measurement Variation</w:t>
      </w:r>
      <w:bookmarkEnd w:id="10"/>
    </w:p>
    <w:p w14:paraId="7AC095C7" w14:textId="483997B6" w:rsidR="00CD0CE4" w:rsidRDefault="00CD0CE4" w:rsidP="00CD0CE4">
      <w:pPr>
        <w:spacing w:line="360" w:lineRule="auto"/>
        <w:jc w:val="both"/>
        <w:rPr>
          <w:rFonts w:ascii="Arial" w:hAnsi="Arial" w:cs="Arial"/>
          <w:b w:val="0"/>
          <w:bCs/>
          <w:color w:val="auto"/>
          <w:sz w:val="22"/>
        </w:rPr>
      </w:pPr>
      <w:r w:rsidRPr="00DD25B4">
        <w:rPr>
          <w:rFonts w:ascii="Arial" w:hAnsi="Arial" w:cs="Arial"/>
          <w:b w:val="0"/>
          <w:bCs/>
          <w:color w:val="auto"/>
          <w:sz w:val="22"/>
        </w:rPr>
        <w:t xml:space="preserve">The figure presented illustrates the </w:t>
      </w:r>
      <w:r w:rsidR="001B33FA" w:rsidRPr="00DD25B4">
        <w:rPr>
          <w:rFonts w:ascii="Arial" w:hAnsi="Arial" w:cs="Arial"/>
          <w:b w:val="0"/>
          <w:bCs/>
          <w:color w:val="auto"/>
          <w:sz w:val="22"/>
        </w:rPr>
        <w:t xml:space="preserve">Coke Strength after Reaction </w:t>
      </w:r>
      <w:r w:rsidRPr="00DD25B4">
        <w:rPr>
          <w:rFonts w:ascii="Arial" w:hAnsi="Arial" w:cs="Arial"/>
          <w:b w:val="0"/>
          <w:bCs/>
          <w:color w:val="auto"/>
          <w:sz w:val="22"/>
        </w:rPr>
        <w:t>(CSR) results spanning from September 9th, 2022, to September 28th, 2022. The depicted blue line represents the daily average of duplicate CSR tests conducted over the course of September 2022. Notably, the range of CSR results observed during this period amounts to 8.7 units, calculated as the difference between the maximum (63.8) and minimum (55.1) values. The mean average CSR value for September 2022 is computed as 60.1, derived from the summation of all results divided by the total number of results.</w:t>
      </w:r>
    </w:p>
    <w:p w14:paraId="47ED47E6" w14:textId="77777777" w:rsidR="00DD25B4" w:rsidRDefault="00DD25B4" w:rsidP="00CD0CE4">
      <w:pPr>
        <w:spacing w:line="360" w:lineRule="auto"/>
        <w:jc w:val="both"/>
        <w:rPr>
          <w:rFonts w:ascii="Arial" w:hAnsi="Arial" w:cs="Arial"/>
          <w:b w:val="0"/>
          <w:bCs/>
          <w:color w:val="auto"/>
          <w:sz w:val="22"/>
        </w:rPr>
      </w:pPr>
    </w:p>
    <w:p w14:paraId="21495D85" w14:textId="77777777" w:rsidR="00DD25B4" w:rsidRDefault="00DD25B4" w:rsidP="00CD0CE4">
      <w:pPr>
        <w:spacing w:line="360" w:lineRule="auto"/>
        <w:jc w:val="both"/>
        <w:rPr>
          <w:rFonts w:ascii="Arial" w:hAnsi="Arial" w:cs="Arial"/>
          <w:b w:val="0"/>
          <w:bCs/>
          <w:color w:val="auto"/>
          <w:sz w:val="22"/>
        </w:rPr>
      </w:pPr>
    </w:p>
    <w:p w14:paraId="3E356CF9" w14:textId="77777777" w:rsidR="00DD25B4" w:rsidRDefault="00DD25B4" w:rsidP="00CD0CE4">
      <w:pPr>
        <w:spacing w:line="360" w:lineRule="auto"/>
        <w:jc w:val="both"/>
        <w:rPr>
          <w:rFonts w:ascii="Arial" w:hAnsi="Arial" w:cs="Arial"/>
          <w:b w:val="0"/>
          <w:bCs/>
          <w:color w:val="auto"/>
          <w:sz w:val="22"/>
        </w:rPr>
      </w:pPr>
    </w:p>
    <w:p w14:paraId="6652969D" w14:textId="77777777" w:rsidR="00DD25B4" w:rsidRPr="00DD25B4" w:rsidRDefault="00DD25B4" w:rsidP="00CD0CE4">
      <w:pPr>
        <w:spacing w:line="360" w:lineRule="auto"/>
        <w:jc w:val="both"/>
        <w:rPr>
          <w:rFonts w:ascii="Arial" w:hAnsi="Arial" w:cs="Arial"/>
          <w:b w:val="0"/>
          <w:bCs/>
          <w:color w:val="auto"/>
          <w:sz w:val="22"/>
        </w:rPr>
      </w:pPr>
    </w:p>
    <w:p w14:paraId="493EE077" w14:textId="1EB0D33B" w:rsidR="00CD0CE4" w:rsidRPr="00DD25B4" w:rsidRDefault="00591E22" w:rsidP="00591E22">
      <w:pPr>
        <w:pStyle w:val="Heading2"/>
        <w:numPr>
          <w:ilvl w:val="1"/>
          <w:numId w:val="8"/>
        </w:numPr>
      </w:pPr>
      <w:bookmarkStart w:id="13" w:name="_Toc164832269"/>
      <w:r w:rsidRPr="00DD25B4">
        <w:lastRenderedPageBreak/>
        <w:t>Process Flow of CSR After Results</w:t>
      </w:r>
      <w:bookmarkEnd w:id="13"/>
    </w:p>
    <w:p w14:paraId="46BCF6F9" w14:textId="3F8ABC96" w:rsidR="004C064F" w:rsidRPr="00DD25B4" w:rsidRDefault="00CD0CE4" w:rsidP="00CD0CE4">
      <w:pPr>
        <w:spacing w:line="360" w:lineRule="auto"/>
        <w:jc w:val="both"/>
        <w:rPr>
          <w:b w:val="0"/>
          <w:bCs/>
          <w:color w:val="auto"/>
        </w:rPr>
      </w:pPr>
      <w:r w:rsidRPr="00DD25B4">
        <w:rPr>
          <w:rFonts w:ascii="Arial" w:hAnsi="Arial" w:cs="Arial"/>
          <w:b w:val="0"/>
          <w:bCs/>
          <w:color w:val="auto"/>
          <w:sz w:val="22"/>
        </w:rPr>
        <w:t xml:space="preserve">Of significance, Morfa's acceptable lower limit for CSR is set at 60. Examination of the graph reveals that on 7 occasions throughout September 2022, the CSR results fall below this threshold, necessitating further testing. Such instances entail additional expenditure of </w:t>
      </w:r>
      <w:r w:rsidR="00DD25B4" w:rsidRPr="00DD25B4">
        <w:rPr>
          <w:rFonts w:ascii="Arial" w:hAnsi="Arial" w:cs="Arial"/>
          <w:b w:val="0"/>
          <w:bCs/>
          <w:color w:val="auto"/>
          <w:sz w:val="22"/>
        </w:rPr>
        <w:t>labour</w:t>
      </w:r>
      <w:r w:rsidRPr="00DD25B4">
        <w:rPr>
          <w:rFonts w:ascii="Arial" w:hAnsi="Arial" w:cs="Arial"/>
          <w:b w:val="0"/>
          <w:bCs/>
          <w:color w:val="auto"/>
          <w:sz w:val="22"/>
        </w:rPr>
        <w:t>, equipment resources, and consumables. Importantly, Morfa Coke Ovens has affirmed the absence of blend alterations or procedural modifications during the entirety of September, underscoring the need for thorough investigation into the root causes of the observed CSR variations.</w:t>
      </w:r>
    </w:p>
    <w:p w14:paraId="24EF053B" w14:textId="77777777" w:rsidR="008050C6" w:rsidRPr="00DD25B4" w:rsidRDefault="004C064F" w:rsidP="008050C6">
      <w:pPr>
        <w:keepNext/>
      </w:pPr>
      <w:r w:rsidRPr="00DD25B4">
        <w:rPr>
          <w:b w:val="0"/>
          <w:bCs/>
          <w:noProof/>
          <w:color w:val="auto"/>
        </w:rPr>
        <w:drawing>
          <wp:inline distT="0" distB="0" distL="0" distR="0" wp14:anchorId="28A7DDCA" wp14:editId="7E0264A7">
            <wp:extent cx="6309360" cy="4466590"/>
            <wp:effectExtent l="19050" t="19050" r="15240" b="10160"/>
            <wp:docPr id="39456902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4569023" name="Picture 394569023"/>
                    <pic:cNvPicPr/>
                  </pic:nvPicPr>
                  <pic:blipFill>
                    <a:blip r:embed="rId10">
                      <a:extLst>
                        <a:ext uri="{28A0092B-C50C-407E-A947-70E740481C1C}">
                          <a14:useLocalDpi xmlns:a14="http://schemas.microsoft.com/office/drawing/2010/main" val="0"/>
                        </a:ext>
                      </a:extLst>
                    </a:blip>
                    <a:stretch>
                      <a:fillRect/>
                    </a:stretch>
                  </pic:blipFill>
                  <pic:spPr>
                    <a:xfrm>
                      <a:off x="0" y="0"/>
                      <a:ext cx="6309360" cy="4466590"/>
                    </a:xfrm>
                    <a:prstGeom prst="rect">
                      <a:avLst/>
                    </a:prstGeom>
                    <a:ln>
                      <a:solidFill>
                        <a:schemeClr val="accent1"/>
                      </a:solidFill>
                    </a:ln>
                  </pic:spPr>
                </pic:pic>
              </a:graphicData>
            </a:graphic>
          </wp:inline>
        </w:drawing>
      </w:r>
    </w:p>
    <w:p w14:paraId="4B1FF9A9" w14:textId="4A602244" w:rsidR="00B11A9A" w:rsidRPr="00DD25B4" w:rsidRDefault="008050C6" w:rsidP="008050C6">
      <w:pPr>
        <w:pStyle w:val="Caption"/>
      </w:pPr>
      <w:bookmarkStart w:id="14" w:name="_Toc164832279"/>
      <w:r w:rsidRPr="00DD25B4">
        <w:t xml:space="preserve">Figure </w:t>
      </w:r>
      <w:r w:rsidRPr="00DD25B4">
        <w:fldChar w:fldCharType="begin"/>
      </w:r>
      <w:r w:rsidRPr="00DD25B4">
        <w:instrText xml:space="preserve"> SEQ Figure \* ARABIC </w:instrText>
      </w:r>
      <w:r w:rsidRPr="00DD25B4">
        <w:fldChar w:fldCharType="separate"/>
      </w:r>
      <w:r w:rsidR="00A34C35" w:rsidRPr="00DD25B4">
        <w:t>2</w:t>
      </w:r>
      <w:r w:rsidRPr="00DD25B4">
        <w:fldChar w:fldCharType="end"/>
      </w:r>
      <w:r w:rsidRPr="00DD25B4">
        <w:t xml:space="preserve"> - Process Flow Diagram, courtesy of (Steel, 2024)</w:t>
      </w:r>
      <w:bookmarkEnd w:id="14"/>
    </w:p>
    <w:p w14:paraId="763E1EA9" w14:textId="670963C3" w:rsidR="00CD0CE4" w:rsidRPr="00DD25B4" w:rsidRDefault="00CD0CE4" w:rsidP="00CD0CE4">
      <w:pPr>
        <w:spacing w:line="360" w:lineRule="auto"/>
        <w:jc w:val="both"/>
        <w:rPr>
          <w:rFonts w:ascii="Arial" w:hAnsi="Arial" w:cs="Arial"/>
          <w:b w:val="0"/>
          <w:bCs/>
          <w:color w:val="auto"/>
          <w:sz w:val="22"/>
        </w:rPr>
      </w:pPr>
      <w:r w:rsidRPr="00DD25B4">
        <w:rPr>
          <w:rFonts w:ascii="Arial" w:hAnsi="Arial" w:cs="Arial"/>
          <w:b w:val="0"/>
          <w:bCs/>
          <w:color w:val="auto"/>
          <w:sz w:val="22"/>
        </w:rPr>
        <w:t xml:space="preserve">The provided flowchart delineates the criteria necessary for determining the validity of testing results. Should the </w:t>
      </w:r>
      <w:r w:rsidR="001B33FA" w:rsidRPr="00DD25B4">
        <w:rPr>
          <w:rFonts w:ascii="Arial" w:hAnsi="Arial" w:cs="Arial"/>
          <w:b w:val="0"/>
          <w:bCs/>
          <w:color w:val="auto"/>
          <w:sz w:val="22"/>
        </w:rPr>
        <w:t xml:space="preserve">Coke Strength after Reaction </w:t>
      </w:r>
      <w:r w:rsidRPr="00DD25B4">
        <w:rPr>
          <w:rFonts w:ascii="Arial" w:hAnsi="Arial" w:cs="Arial"/>
          <w:b w:val="0"/>
          <w:bCs/>
          <w:color w:val="auto"/>
          <w:sz w:val="22"/>
        </w:rPr>
        <w:t xml:space="preserve">(CSR) fall within the range of 60-70 and both duplicate results exhibit a tolerance within 2.5%, the outcomes are considered accurate and within acceptable tolerance levels for reporting to customers. Conversely, if the CSR results lie within the 60-70 range but exceed the 2.5% tolerance threshold, they are not classified as low results but cannot be reported on the same day due to being outside the designated tolerance range. These instances contribute to the observed delays in reporting. Frequently, one result surpasses the 60 </w:t>
      </w:r>
      <w:proofErr w:type="gramStart"/>
      <w:r w:rsidRPr="00DD25B4">
        <w:rPr>
          <w:rFonts w:ascii="Arial" w:hAnsi="Arial" w:cs="Arial"/>
          <w:b w:val="0"/>
          <w:bCs/>
          <w:color w:val="auto"/>
          <w:sz w:val="22"/>
        </w:rPr>
        <w:t>threshold</w:t>
      </w:r>
      <w:proofErr w:type="gramEnd"/>
      <w:r w:rsidRPr="00DD25B4">
        <w:rPr>
          <w:rFonts w:ascii="Arial" w:hAnsi="Arial" w:cs="Arial"/>
          <w:b w:val="0"/>
          <w:bCs/>
          <w:color w:val="auto"/>
          <w:sz w:val="22"/>
        </w:rPr>
        <w:t xml:space="preserve">, while the subsequent test falls </w:t>
      </w:r>
      <w:r w:rsidRPr="00DD25B4">
        <w:rPr>
          <w:rFonts w:ascii="Arial" w:hAnsi="Arial" w:cs="Arial"/>
          <w:b w:val="0"/>
          <w:bCs/>
          <w:color w:val="auto"/>
          <w:sz w:val="22"/>
        </w:rPr>
        <w:lastRenderedPageBreak/>
        <w:t>below it, necessitating retesting and subsequent analysis to ascertain the ash chemistry of the Coke Material.</w:t>
      </w:r>
    </w:p>
    <w:p w14:paraId="482B249E" w14:textId="77777777" w:rsidR="00CD0CE4" w:rsidRPr="00DD25B4" w:rsidRDefault="00CD0CE4" w:rsidP="00CD0CE4">
      <w:pPr>
        <w:spacing w:line="360" w:lineRule="auto"/>
        <w:jc w:val="both"/>
        <w:rPr>
          <w:rFonts w:ascii="Arial" w:hAnsi="Arial" w:cs="Arial"/>
          <w:b w:val="0"/>
          <w:bCs/>
          <w:color w:val="auto"/>
          <w:sz w:val="22"/>
        </w:rPr>
      </w:pPr>
    </w:p>
    <w:p w14:paraId="3A28988A" w14:textId="5FBE1E9B" w:rsidR="00DD25B4" w:rsidRDefault="00CD0CE4" w:rsidP="00CD0CE4">
      <w:pPr>
        <w:spacing w:line="360" w:lineRule="auto"/>
        <w:jc w:val="both"/>
        <w:rPr>
          <w:rFonts w:ascii="Arial" w:hAnsi="Arial" w:cs="Arial"/>
          <w:b w:val="0"/>
          <w:bCs/>
          <w:color w:val="auto"/>
          <w:sz w:val="22"/>
        </w:rPr>
      </w:pPr>
      <w:r w:rsidRPr="00DD25B4">
        <w:rPr>
          <w:rFonts w:ascii="Arial" w:hAnsi="Arial" w:cs="Arial"/>
          <w:b w:val="0"/>
          <w:bCs/>
          <w:color w:val="auto"/>
          <w:sz w:val="22"/>
        </w:rPr>
        <w:t>The preceding graph, while illustrating the trend of average CSR values over the course of a month, does not capture the day-to-day variation in results. Given the substantial disparities observed in daily results, despite the absence of blend modifications at Morfa Coke Ovens, preliminary assessments suggest potential equipment malfunctions.</w:t>
      </w:r>
    </w:p>
    <w:p w14:paraId="1EA94B65" w14:textId="08701007" w:rsidR="00CD0CE4" w:rsidRPr="00DD25B4" w:rsidRDefault="00DD25B4" w:rsidP="00DD25B4">
      <w:pPr>
        <w:spacing w:after="200"/>
        <w:rPr>
          <w:rFonts w:ascii="Arial" w:hAnsi="Arial" w:cs="Arial"/>
          <w:b w:val="0"/>
          <w:bCs/>
          <w:color w:val="auto"/>
          <w:sz w:val="22"/>
        </w:rPr>
      </w:pPr>
      <w:r>
        <w:rPr>
          <w:rFonts w:ascii="Arial" w:hAnsi="Arial" w:cs="Arial"/>
          <w:b w:val="0"/>
          <w:bCs/>
          <w:color w:val="auto"/>
          <w:sz w:val="22"/>
        </w:rPr>
        <w:br w:type="page"/>
      </w:r>
    </w:p>
    <w:p w14:paraId="4270C97D" w14:textId="42DBDB78" w:rsidR="00CD0CE4" w:rsidRPr="00DD25B4" w:rsidRDefault="00FD1DD1" w:rsidP="00FD1DD1">
      <w:pPr>
        <w:pStyle w:val="Heading2"/>
        <w:numPr>
          <w:ilvl w:val="1"/>
          <w:numId w:val="8"/>
        </w:numPr>
      </w:pPr>
      <w:bookmarkStart w:id="15" w:name="_Toc164832270"/>
      <w:r w:rsidRPr="00DD25B4">
        <w:lastRenderedPageBreak/>
        <w:t>Fault Finding Analysis – Cause &amp; Effect</w:t>
      </w:r>
      <w:bookmarkEnd w:id="15"/>
    </w:p>
    <w:p w14:paraId="21B3B806" w14:textId="4D7AC176" w:rsidR="00E5062F" w:rsidRPr="00DD25B4" w:rsidRDefault="00CD0CE4" w:rsidP="00532494">
      <w:pPr>
        <w:spacing w:line="360" w:lineRule="auto"/>
        <w:jc w:val="both"/>
        <w:rPr>
          <w:rFonts w:ascii="Arial" w:hAnsi="Arial" w:cs="Arial"/>
          <w:b w:val="0"/>
          <w:bCs/>
          <w:color w:val="auto"/>
          <w:sz w:val="22"/>
        </w:rPr>
      </w:pPr>
      <w:r w:rsidRPr="00DD25B4">
        <w:rPr>
          <w:rFonts w:ascii="Arial" w:hAnsi="Arial" w:cs="Arial"/>
          <w:b w:val="0"/>
          <w:bCs/>
          <w:color w:val="auto"/>
          <w:sz w:val="22"/>
        </w:rPr>
        <w:t>The elucidation of daily CSR results through the chart prompted investigations into measures to regain control over CSR testing. Should variations be identified within specific stages of the process, corresponding countermeasures would need to be implemented to address them effectively.</w:t>
      </w:r>
      <w:r w:rsidR="00532494" w:rsidRPr="00DD25B4">
        <w:rPr>
          <w:rFonts w:ascii="Arial" w:hAnsi="Arial" w:cs="Arial"/>
          <w:b w:val="0"/>
          <w:bCs/>
          <w:color w:val="auto"/>
          <w:sz w:val="22"/>
        </w:rPr>
        <w:t xml:space="preserve"> </w:t>
      </w:r>
      <w:r w:rsidR="00E5062F" w:rsidRPr="00DD25B4">
        <w:rPr>
          <w:rFonts w:ascii="Arial" w:hAnsi="Arial" w:cs="Arial"/>
          <w:b w:val="0"/>
          <w:bCs/>
          <w:color w:val="auto"/>
          <w:sz w:val="22"/>
        </w:rPr>
        <w:t>An FMEA analysis was conducted, this was done using an Ishikawa diagram.as shown</w:t>
      </w:r>
      <w:r w:rsidR="00532494" w:rsidRPr="00DD25B4">
        <w:rPr>
          <w:rFonts w:ascii="Arial" w:hAnsi="Arial" w:cs="Arial"/>
          <w:b w:val="0"/>
          <w:bCs/>
          <w:color w:val="auto"/>
          <w:sz w:val="22"/>
        </w:rPr>
        <w:t xml:space="preserve"> in figure 3.</w:t>
      </w:r>
    </w:p>
    <w:p w14:paraId="1D01A06F" w14:textId="77777777" w:rsidR="00150084" w:rsidRPr="00DD25B4" w:rsidRDefault="0058647F" w:rsidP="00150084">
      <w:pPr>
        <w:keepNext/>
        <w:spacing w:line="360" w:lineRule="auto"/>
        <w:jc w:val="both"/>
      </w:pPr>
      <w:r w:rsidRPr="00DD25B4">
        <w:rPr>
          <w:rFonts w:ascii="Arial" w:hAnsi="Arial" w:cs="Arial"/>
          <w:b w:val="0"/>
          <w:bCs/>
          <w:noProof/>
          <w:color w:val="auto"/>
          <w:sz w:val="22"/>
        </w:rPr>
        <w:drawing>
          <wp:inline distT="0" distB="0" distL="0" distR="0" wp14:anchorId="72AF31A9" wp14:editId="16BB551B">
            <wp:extent cx="6309360" cy="2874010"/>
            <wp:effectExtent l="19050" t="19050" r="15240" b="21590"/>
            <wp:docPr id="868833421" name="Picture 2" descr="A diagram of a compan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8833421" name="Picture 2" descr="A diagram of a company&#10;&#10;Description automatically generated with medium confidenc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309360" cy="2874010"/>
                    </a:xfrm>
                    <a:prstGeom prst="rect">
                      <a:avLst/>
                    </a:prstGeom>
                    <a:ln>
                      <a:solidFill>
                        <a:schemeClr val="accent1"/>
                      </a:solidFill>
                    </a:ln>
                  </pic:spPr>
                </pic:pic>
              </a:graphicData>
            </a:graphic>
          </wp:inline>
        </w:drawing>
      </w:r>
    </w:p>
    <w:p w14:paraId="0AE6B58B" w14:textId="18DD181B" w:rsidR="0058647F" w:rsidRPr="00DD25B4" w:rsidRDefault="00150084" w:rsidP="00150084">
      <w:pPr>
        <w:pStyle w:val="Caption"/>
        <w:jc w:val="both"/>
        <w:rPr>
          <w:rFonts w:ascii="Arial" w:hAnsi="Arial" w:cs="Arial"/>
          <w:b w:val="0"/>
          <w:bCs/>
          <w:color w:val="auto"/>
          <w:sz w:val="22"/>
        </w:rPr>
      </w:pPr>
      <w:bookmarkStart w:id="16" w:name="_Toc164832280"/>
      <w:r w:rsidRPr="00DD25B4">
        <w:t xml:space="preserve">Figure </w:t>
      </w:r>
      <w:r w:rsidRPr="00DD25B4">
        <w:fldChar w:fldCharType="begin"/>
      </w:r>
      <w:r w:rsidRPr="00DD25B4">
        <w:instrText xml:space="preserve"> SEQ Figure \* ARABIC </w:instrText>
      </w:r>
      <w:r w:rsidRPr="00DD25B4">
        <w:fldChar w:fldCharType="separate"/>
      </w:r>
      <w:r w:rsidR="00A34C35" w:rsidRPr="00DD25B4">
        <w:t>3</w:t>
      </w:r>
      <w:r w:rsidRPr="00DD25B4">
        <w:fldChar w:fldCharType="end"/>
      </w:r>
      <w:r w:rsidRPr="00DD25B4">
        <w:t xml:space="preserve"> - Ishikawa Diagram for CSR Variability</w:t>
      </w:r>
      <w:bookmarkEnd w:id="16"/>
    </w:p>
    <w:p w14:paraId="718BD828" w14:textId="799721BB" w:rsidR="00CD0CE4" w:rsidRPr="00DD25B4" w:rsidRDefault="00CD0CE4" w:rsidP="00CD0CE4">
      <w:pPr>
        <w:spacing w:line="360" w:lineRule="auto"/>
        <w:jc w:val="both"/>
        <w:rPr>
          <w:rFonts w:ascii="Arial" w:hAnsi="Arial" w:cs="Arial"/>
          <w:b w:val="0"/>
          <w:bCs/>
          <w:color w:val="auto"/>
          <w:sz w:val="22"/>
        </w:rPr>
      </w:pPr>
      <w:r w:rsidRPr="00DD25B4">
        <w:rPr>
          <w:rFonts w:ascii="Arial" w:hAnsi="Arial" w:cs="Arial"/>
          <w:b w:val="0"/>
          <w:bCs/>
          <w:color w:val="auto"/>
          <w:sz w:val="22"/>
        </w:rPr>
        <w:t>During the process mapping sessions conducted collaboratively between the author, their line manager, and the technicians responsible for executing the process, six primary categories were identified. The first category, denoted as Machine Variability, was subdivided into green sections representing aspects deemed 'in control', amber sections indicating unpredictable events such as errors, and red sections indicating areas prone to frequent variation.</w:t>
      </w:r>
    </w:p>
    <w:p w14:paraId="1CF078FC" w14:textId="77777777" w:rsidR="00CD0CE4" w:rsidRPr="00DD25B4" w:rsidRDefault="00CD0CE4" w:rsidP="00CD0CE4">
      <w:pPr>
        <w:spacing w:line="360" w:lineRule="auto"/>
        <w:jc w:val="both"/>
        <w:rPr>
          <w:rFonts w:ascii="Arial" w:hAnsi="Arial" w:cs="Arial"/>
          <w:b w:val="0"/>
          <w:bCs/>
          <w:color w:val="auto"/>
          <w:sz w:val="22"/>
        </w:rPr>
      </w:pPr>
    </w:p>
    <w:p w14:paraId="505E182A" w14:textId="77777777" w:rsidR="00CD0CE4" w:rsidRPr="00DD25B4" w:rsidRDefault="00CD0CE4" w:rsidP="00CD0CE4">
      <w:pPr>
        <w:spacing w:line="360" w:lineRule="auto"/>
        <w:jc w:val="both"/>
        <w:rPr>
          <w:rFonts w:ascii="Arial" w:hAnsi="Arial" w:cs="Arial"/>
          <w:b w:val="0"/>
          <w:bCs/>
          <w:color w:val="auto"/>
          <w:sz w:val="22"/>
        </w:rPr>
      </w:pPr>
      <w:r w:rsidRPr="00DD25B4">
        <w:rPr>
          <w:rFonts w:ascii="Arial" w:hAnsi="Arial" w:cs="Arial"/>
          <w:b w:val="0"/>
          <w:bCs/>
          <w:color w:val="auto"/>
          <w:sz w:val="22"/>
        </w:rPr>
        <w:t>Machine variability encompasses the ovens and equipment utilized in conducting the CSR tests. The drying oven, subject to regular temperature checks, is deemed to be in control, ensuring that it operates at the correct temperatures for consistent drying of materials overnight to maintain a constant mass. Similarly, the tumblers are considered in control, as their revolution settings are secured to maintain a constant spin of 600 revolutions. However, upon closer examination, it was noted that measures to control other crucial components such as thermocouples, thermocouple leads, vessel integrity, and heating elements within the furnace were lacking.</w:t>
      </w:r>
    </w:p>
    <w:p w14:paraId="44D1DB13" w14:textId="77777777" w:rsidR="00CD0CE4" w:rsidRPr="00DD25B4" w:rsidRDefault="00CD0CE4" w:rsidP="00CD0CE4">
      <w:pPr>
        <w:spacing w:line="360" w:lineRule="auto"/>
        <w:jc w:val="both"/>
        <w:rPr>
          <w:rFonts w:ascii="Arial" w:hAnsi="Arial" w:cs="Arial"/>
          <w:b w:val="0"/>
          <w:bCs/>
          <w:color w:val="auto"/>
          <w:sz w:val="22"/>
        </w:rPr>
      </w:pPr>
    </w:p>
    <w:p w14:paraId="3CEF2B7D" w14:textId="019918B1" w:rsidR="00FD1DD1" w:rsidRPr="00DD25B4" w:rsidRDefault="00FD1DD1" w:rsidP="00FD1DD1">
      <w:pPr>
        <w:pStyle w:val="Heading2"/>
        <w:numPr>
          <w:ilvl w:val="1"/>
          <w:numId w:val="8"/>
        </w:numPr>
      </w:pPr>
      <w:bookmarkStart w:id="17" w:name="_Toc164832271"/>
      <w:r w:rsidRPr="00DD25B4">
        <w:lastRenderedPageBreak/>
        <w:t>Fault Finding Analysis – Inspection of Equipment</w:t>
      </w:r>
      <w:bookmarkEnd w:id="17"/>
    </w:p>
    <w:p w14:paraId="3868621C" w14:textId="321434B3" w:rsidR="004E1DBB" w:rsidRPr="00DD25B4" w:rsidRDefault="002074CD" w:rsidP="00CD0CE4">
      <w:pPr>
        <w:spacing w:line="360" w:lineRule="auto"/>
        <w:jc w:val="both"/>
      </w:pPr>
      <w:r w:rsidRPr="00DD25B4">
        <w:rPr>
          <w:rFonts w:ascii="Arial" w:hAnsi="Arial" w:cs="Arial"/>
          <w:b w:val="0"/>
          <w:bCs/>
          <w:noProof/>
          <w:color w:val="auto"/>
          <w:sz w:val="22"/>
        </w:rPr>
        <w:drawing>
          <wp:anchor distT="0" distB="0" distL="114300" distR="114300" simplePos="0" relativeHeight="251666432" behindDoc="0" locked="0" layoutInCell="1" allowOverlap="1" wp14:anchorId="0B8ED7D1" wp14:editId="11C32262">
            <wp:simplePos x="0" y="0"/>
            <wp:positionH relativeFrom="margin">
              <wp:posOffset>2592318</wp:posOffset>
            </wp:positionH>
            <wp:positionV relativeFrom="paragraph">
              <wp:posOffset>1504950</wp:posOffset>
            </wp:positionV>
            <wp:extent cx="1746885" cy="2938145"/>
            <wp:effectExtent l="19050" t="19050" r="24765" b="14605"/>
            <wp:wrapSquare wrapText="bothSides"/>
            <wp:docPr id="19617060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170604" name="Picture 196170604"/>
                    <pic:cNvPicPr/>
                  </pic:nvPicPr>
                  <pic:blipFill>
                    <a:blip r:embed="rId12">
                      <a:extLst>
                        <a:ext uri="{28A0092B-C50C-407E-A947-70E740481C1C}">
                          <a14:useLocalDpi xmlns:a14="http://schemas.microsoft.com/office/drawing/2010/main" val="0"/>
                        </a:ext>
                      </a:extLst>
                    </a:blip>
                    <a:stretch>
                      <a:fillRect/>
                    </a:stretch>
                  </pic:blipFill>
                  <pic:spPr>
                    <a:xfrm>
                      <a:off x="0" y="0"/>
                      <a:ext cx="1746885" cy="2938145"/>
                    </a:xfrm>
                    <a:prstGeom prst="rect">
                      <a:avLst/>
                    </a:prstGeom>
                    <a:ln>
                      <a:solidFill>
                        <a:schemeClr val="accent1"/>
                      </a:solidFill>
                    </a:ln>
                  </pic:spPr>
                </pic:pic>
              </a:graphicData>
            </a:graphic>
            <wp14:sizeRelH relativeFrom="page">
              <wp14:pctWidth>0</wp14:pctWidth>
            </wp14:sizeRelH>
            <wp14:sizeRelV relativeFrom="page">
              <wp14:pctHeight>0</wp14:pctHeight>
            </wp14:sizeRelV>
          </wp:anchor>
        </w:drawing>
      </w:r>
      <w:r w:rsidRPr="00DD25B4">
        <w:rPr>
          <w:noProof/>
        </w:rPr>
        <w:drawing>
          <wp:anchor distT="0" distB="0" distL="114300" distR="114300" simplePos="0" relativeHeight="251670528" behindDoc="0" locked="0" layoutInCell="1" allowOverlap="1" wp14:anchorId="72672D70" wp14:editId="7B7B38A1">
            <wp:simplePos x="0" y="0"/>
            <wp:positionH relativeFrom="margin">
              <wp:align>right</wp:align>
            </wp:positionH>
            <wp:positionV relativeFrom="paragraph">
              <wp:posOffset>1505530</wp:posOffset>
            </wp:positionV>
            <wp:extent cx="1836420" cy="2809875"/>
            <wp:effectExtent l="0" t="0" r="0" b="9525"/>
            <wp:wrapSquare wrapText="bothSides"/>
            <wp:docPr id="171771413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7714135" name="Picture 1717714135"/>
                    <pic:cNvPicPr/>
                  </pic:nvPicPr>
                  <pic:blipFill>
                    <a:blip r:embed="rId13">
                      <a:extLst>
                        <a:ext uri="{28A0092B-C50C-407E-A947-70E740481C1C}">
                          <a14:useLocalDpi xmlns:a14="http://schemas.microsoft.com/office/drawing/2010/main" val="0"/>
                        </a:ext>
                      </a:extLst>
                    </a:blip>
                    <a:stretch>
                      <a:fillRect/>
                    </a:stretch>
                  </pic:blipFill>
                  <pic:spPr>
                    <a:xfrm>
                      <a:off x="0" y="0"/>
                      <a:ext cx="1836420" cy="2809875"/>
                    </a:xfrm>
                    <a:prstGeom prst="rect">
                      <a:avLst/>
                    </a:prstGeom>
                  </pic:spPr>
                </pic:pic>
              </a:graphicData>
            </a:graphic>
            <wp14:sizeRelH relativeFrom="page">
              <wp14:pctWidth>0</wp14:pctWidth>
            </wp14:sizeRelH>
            <wp14:sizeRelV relativeFrom="page">
              <wp14:pctHeight>0</wp14:pctHeight>
            </wp14:sizeRelV>
          </wp:anchor>
        </w:drawing>
      </w:r>
      <w:r w:rsidR="00CD0CE4" w:rsidRPr="00DD25B4">
        <w:rPr>
          <w:rFonts w:ascii="Arial" w:hAnsi="Arial" w:cs="Arial"/>
          <w:b w:val="0"/>
          <w:bCs/>
          <w:color w:val="auto"/>
          <w:sz w:val="22"/>
        </w:rPr>
        <w:t>Given the significant influence of thermocouples on CSR results, ensuring their accurate temperature readings within the vessel is paramount. Inspection revealed signs of wear and damage in the thermocouples, leads, and vessels, potentially contributing to variations in testing outcomes. Furthermore, accessing the heating elements within the furnace, located behind guards in compliance with health and safety regulations, necessitates the involvement of an electrician, complicating routine maintenance and inspection procedures.</w:t>
      </w:r>
      <w:r w:rsidR="00830A41" w:rsidRPr="00DD25B4">
        <w:rPr>
          <w:rFonts w:ascii="Arial" w:hAnsi="Arial" w:cs="Arial"/>
          <w:b w:val="0"/>
          <w:bCs/>
          <w:color w:val="auto"/>
          <w:sz w:val="22"/>
        </w:rPr>
        <w:t xml:space="preserve"> </w:t>
      </w:r>
    </w:p>
    <w:p w14:paraId="70ABCEE1" w14:textId="5262C45E" w:rsidR="004E1DBB" w:rsidRPr="00DD25B4" w:rsidRDefault="000526EB" w:rsidP="004E1DBB">
      <w:r w:rsidRPr="00DD25B4">
        <w:rPr>
          <w:noProof/>
        </w:rPr>
        <mc:AlternateContent>
          <mc:Choice Requires="wps">
            <w:drawing>
              <wp:anchor distT="0" distB="0" distL="114300" distR="114300" simplePos="0" relativeHeight="251725824" behindDoc="0" locked="0" layoutInCell="1" allowOverlap="1" wp14:anchorId="17676FB0" wp14:editId="4B8BA03E">
                <wp:simplePos x="0" y="0"/>
                <wp:positionH relativeFrom="column">
                  <wp:posOffset>19050</wp:posOffset>
                </wp:positionH>
                <wp:positionV relativeFrom="paragraph">
                  <wp:posOffset>2242185</wp:posOffset>
                </wp:positionV>
                <wp:extent cx="2466975" cy="635"/>
                <wp:effectExtent l="0" t="0" r="0" b="0"/>
                <wp:wrapSquare wrapText="bothSides"/>
                <wp:docPr id="1126391883" name="Text Box 1"/>
                <wp:cNvGraphicFramePr/>
                <a:graphic xmlns:a="http://schemas.openxmlformats.org/drawingml/2006/main">
                  <a:graphicData uri="http://schemas.microsoft.com/office/word/2010/wordprocessingShape">
                    <wps:wsp>
                      <wps:cNvSpPr txBox="1"/>
                      <wps:spPr>
                        <a:xfrm>
                          <a:off x="0" y="0"/>
                          <a:ext cx="2466975" cy="635"/>
                        </a:xfrm>
                        <a:prstGeom prst="rect">
                          <a:avLst/>
                        </a:prstGeom>
                        <a:solidFill>
                          <a:prstClr val="white"/>
                        </a:solidFill>
                        <a:ln>
                          <a:noFill/>
                        </a:ln>
                      </wps:spPr>
                      <wps:txbx>
                        <w:txbxContent>
                          <w:p w14:paraId="5822B432" w14:textId="5CEA0052" w:rsidR="000526EB" w:rsidRPr="00DD25B4" w:rsidRDefault="000526EB" w:rsidP="000526EB">
                            <w:pPr>
                              <w:pStyle w:val="Caption"/>
                              <w:rPr>
                                <w:rFonts w:ascii="Arial" w:hAnsi="Arial" w:cs="Arial"/>
                                <w:bCs/>
                                <w:sz w:val="22"/>
                                <w:szCs w:val="22"/>
                              </w:rPr>
                            </w:pPr>
                            <w:bookmarkStart w:id="18" w:name="_Toc164832281"/>
                            <w:r w:rsidRPr="00DD25B4">
                              <w:t xml:space="preserve">Figure </w:t>
                            </w:r>
                            <w:r w:rsidRPr="00DD25B4">
                              <w:fldChar w:fldCharType="begin"/>
                            </w:r>
                            <w:r w:rsidRPr="00DD25B4">
                              <w:instrText xml:space="preserve"> SEQ Figure \* ARABIC </w:instrText>
                            </w:r>
                            <w:r w:rsidRPr="00DD25B4">
                              <w:fldChar w:fldCharType="separate"/>
                            </w:r>
                            <w:r w:rsidR="00A34C35" w:rsidRPr="00DD25B4">
                              <w:t>4</w:t>
                            </w:r>
                            <w:r w:rsidRPr="00DD25B4">
                              <w:fldChar w:fldCharType="end"/>
                            </w:r>
                            <w:r w:rsidRPr="00DD25B4">
                              <w:t xml:space="preserve"> - Example of a Worn Thermocouple with Excess Wear &amp; Cracking</w:t>
                            </w:r>
                            <w:bookmarkEnd w:id="1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7676FB0" id="_x0000_s1028" type="#_x0000_t202" style="position:absolute;margin-left:1.5pt;margin-top:176.55pt;width:194.25pt;height:.05pt;z-index:2517258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" stroked="f">
                <v:textbox style="mso-fit-shape-to-text:t" inset="0,0,0,0">
                  <w:txbxContent>
                    <w:p w14:paraId="5822B432" w14:textId="5CEA0052" w:rsidR="000526EB" w:rsidRPr="00DD25B4" w:rsidRDefault="000526EB" w:rsidP="000526EB">
                      <w:pPr>
                        <w:pStyle w:val="Caption"/>
                        <w:rPr>
                          <w:rFonts w:ascii="Arial" w:hAnsi="Arial" w:cs="Arial"/>
                          <w:bCs/>
                          <w:sz w:val="22"/>
                          <w:szCs w:val="22"/>
                        </w:rPr>
                      </w:pPr>
                      <w:bookmarkStart w:id="19" w:name="_Toc164832281"/>
                      <w:r w:rsidRPr="00DD25B4">
                        <w:t xml:space="preserve">Figure </w:t>
                      </w:r>
                      <w:r w:rsidRPr="00DD25B4">
                        <w:fldChar w:fldCharType="begin"/>
                      </w:r>
                      <w:r w:rsidRPr="00DD25B4">
                        <w:instrText xml:space="preserve"> SEQ Figure \* ARABIC </w:instrText>
                      </w:r>
                      <w:r w:rsidRPr="00DD25B4">
                        <w:fldChar w:fldCharType="separate"/>
                      </w:r>
                      <w:r w:rsidR="00A34C35" w:rsidRPr="00DD25B4">
                        <w:t>4</w:t>
                      </w:r>
                      <w:r w:rsidRPr="00DD25B4">
                        <w:fldChar w:fldCharType="end"/>
                      </w:r>
                      <w:r w:rsidRPr="00DD25B4">
                        <w:t xml:space="preserve"> - Example of a Worn Thermocouple with Excess Wear &amp; Cracking</w:t>
                      </w:r>
                      <w:bookmarkEnd w:id="19"/>
                    </w:p>
                  </w:txbxContent>
                </v:textbox>
                <w10:wrap type="square"/>
              </v:shape>
            </w:pict>
          </mc:Fallback>
        </mc:AlternateContent>
      </w:r>
      <w:r w:rsidR="00EA06F1" w:rsidRPr="00DD25B4">
        <w:rPr>
          <w:rFonts w:ascii="Arial" w:hAnsi="Arial" w:cs="Arial"/>
          <w:b w:val="0"/>
          <w:bCs/>
          <w:noProof/>
          <w:color w:val="auto"/>
          <w:sz w:val="22"/>
        </w:rPr>
        <w:drawing>
          <wp:anchor distT="0" distB="0" distL="114300" distR="114300" simplePos="0" relativeHeight="251663360" behindDoc="0" locked="0" layoutInCell="1" allowOverlap="1" wp14:anchorId="146D673D" wp14:editId="32040E19">
            <wp:simplePos x="0" y="0"/>
            <wp:positionH relativeFrom="margin">
              <wp:posOffset>19050</wp:posOffset>
            </wp:positionH>
            <wp:positionV relativeFrom="paragraph">
              <wp:posOffset>51435</wp:posOffset>
            </wp:positionV>
            <wp:extent cx="2466975" cy="2133600"/>
            <wp:effectExtent l="19050" t="19050" r="28575" b="19050"/>
            <wp:wrapSquare wrapText="bothSides"/>
            <wp:docPr id="176044829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0448298" name="Picture 1760448298"/>
                    <pic:cNvPicPr/>
                  </pic:nvPicPr>
                  <pic:blipFill>
                    <a:blip r:embed="rId14">
                      <a:extLst>
                        <a:ext uri="{28A0092B-C50C-407E-A947-70E740481C1C}">
                          <a14:useLocalDpi xmlns:a14="http://schemas.microsoft.com/office/drawing/2010/main" val="0"/>
                        </a:ext>
                      </a:extLst>
                    </a:blip>
                    <a:stretch>
                      <a:fillRect/>
                    </a:stretch>
                  </pic:blipFill>
                  <pic:spPr>
                    <a:xfrm>
                      <a:off x="0" y="0"/>
                      <a:ext cx="2466975" cy="2133600"/>
                    </a:xfrm>
                    <a:prstGeom prst="rect">
                      <a:avLst/>
                    </a:prstGeom>
                    <a:ln>
                      <a:solidFill>
                        <a:schemeClr val="accent1"/>
                      </a:solidFill>
                    </a:ln>
                  </pic:spPr>
                </pic:pic>
              </a:graphicData>
            </a:graphic>
            <wp14:sizeRelH relativeFrom="page">
              <wp14:pctWidth>0</wp14:pctWidth>
            </wp14:sizeRelH>
            <wp14:sizeRelV relativeFrom="page">
              <wp14:pctHeight>0</wp14:pctHeight>
            </wp14:sizeRelV>
          </wp:anchor>
        </w:drawing>
      </w:r>
    </w:p>
    <w:p w14:paraId="68F537D1" w14:textId="5ECDBAC3" w:rsidR="004E1DBB" w:rsidRPr="00DD25B4" w:rsidRDefault="002074CD" w:rsidP="004E1DBB">
      <w:r w:rsidRPr="00DD25B4">
        <w:rPr>
          <w:noProof/>
        </w:rPr>
        <mc:AlternateContent>
          <mc:Choice Requires="wps">
            <w:drawing>
              <wp:anchor distT="0" distB="0" distL="114300" distR="114300" simplePos="0" relativeHeight="251729920" behindDoc="0" locked="0" layoutInCell="1" allowOverlap="1" wp14:anchorId="781794EC" wp14:editId="0B64F85E">
                <wp:simplePos x="0" y="0"/>
                <wp:positionH relativeFrom="margin">
                  <wp:align>right</wp:align>
                </wp:positionH>
                <wp:positionV relativeFrom="paragraph">
                  <wp:posOffset>6350</wp:posOffset>
                </wp:positionV>
                <wp:extent cx="1828165" cy="635"/>
                <wp:effectExtent l="0" t="0" r="635" b="0"/>
                <wp:wrapSquare wrapText="bothSides"/>
                <wp:docPr id="157726534" name="Text Box 1"/>
                <wp:cNvGraphicFramePr/>
                <a:graphic xmlns:a="http://schemas.openxmlformats.org/drawingml/2006/main">
                  <a:graphicData uri="http://schemas.microsoft.com/office/word/2010/wordprocessingShape">
                    <wps:wsp>
                      <wps:cNvSpPr txBox="1"/>
                      <wps:spPr>
                        <a:xfrm>
                          <a:off x="0" y="0"/>
                          <a:ext cx="1828165" cy="635"/>
                        </a:xfrm>
                        <a:prstGeom prst="rect">
                          <a:avLst/>
                        </a:prstGeom>
                        <a:solidFill>
                          <a:prstClr val="white"/>
                        </a:solidFill>
                        <a:ln>
                          <a:noFill/>
                        </a:ln>
                      </wps:spPr>
                      <wps:txbx>
                        <w:txbxContent>
                          <w:p w14:paraId="2C0965BE" w14:textId="2017ACB7" w:rsidR="000526EB" w:rsidRPr="00DD25B4" w:rsidRDefault="000526EB" w:rsidP="000526EB">
                            <w:pPr>
                              <w:pStyle w:val="Caption"/>
                              <w:rPr>
                                <w:sz w:val="28"/>
                                <w:szCs w:val="22"/>
                              </w:rPr>
                            </w:pPr>
                            <w:bookmarkStart w:id="20" w:name="_Toc164832282"/>
                            <w:r w:rsidRPr="00DD25B4">
                              <w:t xml:space="preserve">Figure </w:t>
                            </w:r>
                            <w:r w:rsidRPr="00DD25B4">
                              <w:fldChar w:fldCharType="begin"/>
                            </w:r>
                            <w:r w:rsidRPr="00DD25B4">
                              <w:instrText xml:space="preserve"> SEQ Figure \* ARABIC </w:instrText>
                            </w:r>
                            <w:r w:rsidRPr="00DD25B4">
                              <w:fldChar w:fldCharType="separate"/>
                            </w:r>
                            <w:r w:rsidR="00A34C35" w:rsidRPr="00DD25B4">
                              <w:t>6</w:t>
                            </w:r>
                            <w:r w:rsidRPr="00DD25B4">
                              <w:fldChar w:fldCharType="end"/>
                            </w:r>
                            <w:r w:rsidRPr="00DD25B4">
                              <w:t xml:space="preserve"> - First Example of Heating Elements</w:t>
                            </w:r>
                            <w:bookmarkEnd w:id="2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81794EC" id="_x0000_s1029" type="#_x0000_t202" style="position:absolute;margin-left:92.75pt;margin-top:.5pt;width:143.95pt;height:.05pt;z-index:251729920;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" stroked="f">
                <v:textbox style="mso-fit-shape-to-text:t" inset="0,0,0,0">
                  <w:txbxContent>
                    <w:p w14:paraId="2C0965BE" w14:textId="2017ACB7" w:rsidR="000526EB" w:rsidRPr="00DD25B4" w:rsidRDefault="000526EB" w:rsidP="000526EB">
                      <w:pPr>
                        <w:pStyle w:val="Caption"/>
                        <w:rPr>
                          <w:sz w:val="28"/>
                          <w:szCs w:val="22"/>
                        </w:rPr>
                      </w:pPr>
                      <w:bookmarkStart w:id="21" w:name="_Toc164832282"/>
                      <w:r w:rsidRPr="00DD25B4">
                        <w:t xml:space="preserve">Figure </w:t>
                      </w:r>
                      <w:r w:rsidRPr="00DD25B4">
                        <w:fldChar w:fldCharType="begin"/>
                      </w:r>
                      <w:r w:rsidRPr="00DD25B4">
                        <w:instrText xml:space="preserve"> SEQ Figure \* ARABIC </w:instrText>
                      </w:r>
                      <w:r w:rsidRPr="00DD25B4">
                        <w:fldChar w:fldCharType="separate"/>
                      </w:r>
                      <w:r w:rsidR="00A34C35" w:rsidRPr="00DD25B4">
                        <w:t>6</w:t>
                      </w:r>
                      <w:r w:rsidRPr="00DD25B4">
                        <w:fldChar w:fldCharType="end"/>
                      </w:r>
                      <w:r w:rsidRPr="00DD25B4">
                        <w:t xml:space="preserve"> - First Example of Heating Elements</w:t>
                      </w:r>
                      <w:bookmarkEnd w:id="21"/>
                    </w:p>
                  </w:txbxContent>
                </v:textbox>
                <w10:wrap type="square" anchorx="margin"/>
              </v:shape>
            </w:pict>
          </mc:Fallback>
        </mc:AlternateContent>
      </w:r>
      <w:r w:rsidRPr="00DD25B4">
        <w:rPr>
          <w:noProof/>
        </w:rPr>
        <mc:AlternateContent>
          <mc:Choice Requires="wps">
            <w:drawing>
              <wp:anchor distT="0" distB="0" distL="114300" distR="114300" simplePos="0" relativeHeight="251727872" behindDoc="0" locked="0" layoutInCell="1" allowOverlap="1" wp14:anchorId="3782E12A" wp14:editId="5FD6A29D">
                <wp:simplePos x="0" y="0"/>
                <wp:positionH relativeFrom="column">
                  <wp:posOffset>2592595</wp:posOffset>
                </wp:positionH>
                <wp:positionV relativeFrom="paragraph">
                  <wp:posOffset>163720</wp:posOffset>
                </wp:positionV>
                <wp:extent cx="1746885" cy="405765"/>
                <wp:effectExtent l="0" t="0" r="5715" b="0"/>
                <wp:wrapSquare wrapText="bothSides"/>
                <wp:docPr id="418016929" name="Text Box 1"/>
                <wp:cNvGraphicFramePr/>
                <a:graphic xmlns:a="http://schemas.openxmlformats.org/drawingml/2006/main">
                  <a:graphicData uri="http://schemas.microsoft.com/office/word/2010/wordprocessingShape">
                    <wps:wsp>
                      <wps:cNvSpPr txBox="1"/>
                      <wps:spPr>
                        <a:xfrm>
                          <a:off x="0" y="0"/>
                          <a:ext cx="1746885" cy="405765"/>
                        </a:xfrm>
                        <a:prstGeom prst="rect">
                          <a:avLst/>
                        </a:prstGeom>
                        <a:solidFill>
                          <a:prstClr val="white"/>
                        </a:solidFill>
                        <a:ln>
                          <a:noFill/>
                        </a:ln>
                      </wps:spPr>
                      <wps:txbx>
                        <w:txbxContent>
                          <w:p w14:paraId="0090AD46" w14:textId="4F2F1BD4" w:rsidR="000526EB" w:rsidRPr="00DD25B4" w:rsidRDefault="000526EB" w:rsidP="000526EB">
                            <w:pPr>
                              <w:pStyle w:val="Caption"/>
                              <w:rPr>
                                <w:rFonts w:ascii="Arial" w:hAnsi="Arial" w:cs="Arial"/>
                                <w:bCs/>
                                <w:sz w:val="22"/>
                                <w:szCs w:val="22"/>
                              </w:rPr>
                            </w:pPr>
                            <w:bookmarkStart w:id="22" w:name="_Toc164832283"/>
                            <w:r w:rsidRPr="00DD25B4">
                              <w:t xml:space="preserve">Figure </w:t>
                            </w:r>
                            <w:r w:rsidRPr="00DD25B4">
                              <w:fldChar w:fldCharType="begin"/>
                            </w:r>
                            <w:r w:rsidRPr="00DD25B4">
                              <w:instrText xml:space="preserve"> SEQ Figure \* ARABIC </w:instrText>
                            </w:r>
                            <w:r w:rsidRPr="00DD25B4">
                              <w:fldChar w:fldCharType="separate"/>
                            </w:r>
                            <w:r w:rsidR="00A34C35" w:rsidRPr="00DD25B4">
                              <w:t>5</w:t>
                            </w:r>
                            <w:r w:rsidRPr="00DD25B4">
                              <w:fldChar w:fldCharType="end"/>
                            </w:r>
                            <w:r w:rsidRPr="00DD25B4">
                              <w:t xml:space="preserve"> - Showing a Worn Vessel with Excess Cracking and Scaling</w:t>
                            </w:r>
                            <w:bookmarkEnd w:id="2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782E12A" id="_x0000_s1030" type="#_x0000_t202" style="position:absolute;margin-left:204.15pt;margin-top:12.9pt;width:137.55pt;height:31.95pt;z-index:251727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" stroked="f">
                <v:textbox style="mso-fit-shape-to-text:t" inset="0,0,0,0">
                  <w:txbxContent>
                    <w:p w14:paraId="0090AD46" w14:textId="4F2F1BD4" w:rsidR="000526EB" w:rsidRPr="00DD25B4" w:rsidRDefault="000526EB" w:rsidP="000526EB">
                      <w:pPr>
                        <w:pStyle w:val="Caption"/>
                        <w:rPr>
                          <w:rFonts w:ascii="Arial" w:hAnsi="Arial" w:cs="Arial"/>
                          <w:bCs/>
                          <w:sz w:val="22"/>
                          <w:szCs w:val="22"/>
                        </w:rPr>
                      </w:pPr>
                      <w:bookmarkStart w:id="23" w:name="_Toc164832283"/>
                      <w:r w:rsidRPr="00DD25B4">
                        <w:t xml:space="preserve">Figure </w:t>
                      </w:r>
                      <w:r w:rsidRPr="00DD25B4">
                        <w:fldChar w:fldCharType="begin"/>
                      </w:r>
                      <w:r w:rsidRPr="00DD25B4">
                        <w:instrText xml:space="preserve"> SEQ Figure \* ARABIC </w:instrText>
                      </w:r>
                      <w:r w:rsidRPr="00DD25B4">
                        <w:fldChar w:fldCharType="separate"/>
                      </w:r>
                      <w:r w:rsidR="00A34C35" w:rsidRPr="00DD25B4">
                        <w:t>5</w:t>
                      </w:r>
                      <w:r w:rsidRPr="00DD25B4">
                        <w:fldChar w:fldCharType="end"/>
                      </w:r>
                      <w:r w:rsidRPr="00DD25B4">
                        <w:t xml:space="preserve"> - Showing a Worn Vessel with Excess Cracking and Scaling</w:t>
                      </w:r>
                      <w:bookmarkEnd w:id="23"/>
                    </w:p>
                  </w:txbxContent>
                </v:textbox>
                <w10:wrap type="square"/>
              </v:shape>
            </w:pict>
          </mc:Fallback>
        </mc:AlternateContent>
      </w:r>
    </w:p>
    <w:p w14:paraId="04141ADF" w14:textId="568BBD08" w:rsidR="004E1DBB" w:rsidRPr="00DD25B4" w:rsidRDefault="00495329" w:rsidP="004E1DBB">
      <w:r w:rsidRPr="00DD25B4">
        <w:rPr>
          <w:noProof/>
        </w:rPr>
        <w:drawing>
          <wp:anchor distT="0" distB="0" distL="114300" distR="114300" simplePos="0" relativeHeight="251673600" behindDoc="0" locked="0" layoutInCell="1" allowOverlap="1" wp14:anchorId="07D1F36C" wp14:editId="3C0EECA0">
            <wp:simplePos x="0" y="0"/>
            <wp:positionH relativeFrom="margin">
              <wp:posOffset>3020060</wp:posOffset>
            </wp:positionH>
            <wp:positionV relativeFrom="paragraph">
              <wp:posOffset>344805</wp:posOffset>
            </wp:positionV>
            <wp:extent cx="3711575" cy="1533525"/>
            <wp:effectExtent l="19050" t="19050" r="22225" b="28575"/>
            <wp:wrapSquare wrapText="bothSides"/>
            <wp:docPr id="33519438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194389" name="Picture 335194389"/>
                    <pic:cNvPicPr/>
                  </pic:nvPicPr>
                  <pic:blipFill>
                    <a:blip r:embed="rId15">
                      <a:extLst>
                        <a:ext uri="{28A0092B-C50C-407E-A947-70E740481C1C}">
                          <a14:useLocalDpi xmlns:a14="http://schemas.microsoft.com/office/drawing/2010/main" val="0"/>
                        </a:ext>
                      </a:extLst>
                    </a:blip>
                    <a:stretch>
                      <a:fillRect/>
                    </a:stretch>
                  </pic:blipFill>
                  <pic:spPr>
                    <a:xfrm>
                      <a:off x="0" y="0"/>
                      <a:ext cx="3711575" cy="153352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4257D3B7" w14:textId="03234EFE" w:rsidR="004E1DBB" w:rsidRPr="00DD25B4" w:rsidRDefault="00495329" w:rsidP="004E1DBB">
      <w:r w:rsidRPr="00DD25B4">
        <w:rPr>
          <w:noProof/>
        </w:rPr>
        <mc:AlternateContent>
          <mc:Choice Requires="wps">
            <w:drawing>
              <wp:anchor distT="0" distB="0" distL="114300" distR="114300" simplePos="0" relativeHeight="251734016" behindDoc="0" locked="0" layoutInCell="1" allowOverlap="1" wp14:anchorId="10FCCB81" wp14:editId="1F028970">
                <wp:simplePos x="0" y="0"/>
                <wp:positionH relativeFrom="column">
                  <wp:posOffset>3013075</wp:posOffset>
                </wp:positionH>
                <wp:positionV relativeFrom="paragraph">
                  <wp:posOffset>1632585</wp:posOffset>
                </wp:positionV>
                <wp:extent cx="2202180" cy="635"/>
                <wp:effectExtent l="0" t="0" r="7620" b="0"/>
                <wp:wrapSquare wrapText="bothSides"/>
                <wp:docPr id="2108547562" name="Text Box 1"/>
                <wp:cNvGraphicFramePr/>
                <a:graphic xmlns:a="http://schemas.openxmlformats.org/drawingml/2006/main">
                  <a:graphicData uri="http://schemas.microsoft.com/office/word/2010/wordprocessingShape">
                    <wps:wsp>
                      <wps:cNvSpPr txBox="1"/>
                      <wps:spPr>
                        <a:xfrm>
                          <a:off x="0" y="0"/>
                          <a:ext cx="2202180" cy="635"/>
                        </a:xfrm>
                        <a:prstGeom prst="rect">
                          <a:avLst/>
                        </a:prstGeom>
                        <a:solidFill>
                          <a:prstClr val="white"/>
                        </a:solidFill>
                        <a:ln>
                          <a:noFill/>
                        </a:ln>
                      </wps:spPr>
                      <wps:txbx>
                        <w:txbxContent>
                          <w:p w14:paraId="5463CC1A" w14:textId="44A40D7C" w:rsidR="000526EB" w:rsidRPr="00DD25B4" w:rsidRDefault="000526EB" w:rsidP="000526EB">
                            <w:pPr>
                              <w:pStyle w:val="Caption"/>
                              <w:rPr>
                                <w:sz w:val="28"/>
                                <w:szCs w:val="22"/>
                              </w:rPr>
                            </w:pPr>
                            <w:bookmarkStart w:id="24" w:name="_Toc164832284"/>
                            <w:r w:rsidRPr="00DD25B4">
                              <w:t xml:space="preserve">Figure </w:t>
                            </w:r>
                            <w:r w:rsidRPr="00DD25B4">
                              <w:fldChar w:fldCharType="begin"/>
                            </w:r>
                            <w:r w:rsidRPr="00DD25B4">
                              <w:instrText xml:space="preserve"> SEQ Figure \* ARABIC </w:instrText>
                            </w:r>
                            <w:r w:rsidRPr="00DD25B4">
                              <w:fldChar w:fldCharType="separate"/>
                            </w:r>
                            <w:r w:rsidR="00A34C35" w:rsidRPr="00DD25B4">
                              <w:t>8</w:t>
                            </w:r>
                            <w:r w:rsidRPr="00DD25B4">
                              <w:fldChar w:fldCharType="end"/>
                            </w:r>
                            <w:r w:rsidRPr="00DD25B4">
                              <w:t xml:space="preserve"> - Example of Furnace Heating Zones</w:t>
                            </w:r>
                            <w:bookmarkEnd w:id="2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0FCCB81" id="_x0000_s1031" type="#_x0000_t202" style="position:absolute;margin-left:237.25pt;margin-top:128.55pt;width:173.4pt;height:.05pt;z-index:2517340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" stroked="f">
                <v:textbox style="mso-fit-shape-to-text:t" inset="0,0,0,0">
                  <w:txbxContent>
                    <w:p w14:paraId="5463CC1A" w14:textId="44A40D7C" w:rsidR="000526EB" w:rsidRPr="00DD25B4" w:rsidRDefault="000526EB" w:rsidP="000526EB">
                      <w:pPr>
                        <w:pStyle w:val="Caption"/>
                        <w:rPr>
                          <w:sz w:val="28"/>
                          <w:szCs w:val="22"/>
                        </w:rPr>
                      </w:pPr>
                      <w:bookmarkStart w:id="25" w:name="_Toc164832284"/>
                      <w:r w:rsidRPr="00DD25B4">
                        <w:t xml:space="preserve">Figure </w:t>
                      </w:r>
                      <w:r w:rsidRPr="00DD25B4">
                        <w:fldChar w:fldCharType="begin"/>
                      </w:r>
                      <w:r w:rsidRPr="00DD25B4">
                        <w:instrText xml:space="preserve"> SEQ Figure \* ARABIC </w:instrText>
                      </w:r>
                      <w:r w:rsidRPr="00DD25B4">
                        <w:fldChar w:fldCharType="separate"/>
                      </w:r>
                      <w:r w:rsidR="00A34C35" w:rsidRPr="00DD25B4">
                        <w:t>8</w:t>
                      </w:r>
                      <w:r w:rsidRPr="00DD25B4">
                        <w:fldChar w:fldCharType="end"/>
                      </w:r>
                      <w:r w:rsidRPr="00DD25B4">
                        <w:t xml:space="preserve"> - Example of Furnace Heating Zones</w:t>
                      </w:r>
                      <w:bookmarkEnd w:id="25"/>
                    </w:p>
                  </w:txbxContent>
                </v:textbox>
                <w10:wrap type="square"/>
              </v:shape>
            </w:pict>
          </mc:Fallback>
        </mc:AlternateContent>
      </w:r>
      <w:r w:rsidRPr="00DD25B4">
        <w:rPr>
          <w:noProof/>
        </w:rPr>
        <mc:AlternateContent>
          <mc:Choice Requires="wps">
            <w:drawing>
              <wp:anchor distT="0" distB="0" distL="114300" distR="114300" simplePos="0" relativeHeight="251731968" behindDoc="0" locked="0" layoutInCell="1" allowOverlap="1" wp14:anchorId="4B3EB0AF" wp14:editId="52A9112C">
                <wp:simplePos x="0" y="0"/>
                <wp:positionH relativeFrom="column">
                  <wp:posOffset>-47984</wp:posOffset>
                </wp:positionH>
                <wp:positionV relativeFrom="paragraph">
                  <wp:posOffset>1408319</wp:posOffset>
                </wp:positionV>
                <wp:extent cx="2369185" cy="635"/>
                <wp:effectExtent l="0" t="0" r="0" b="0"/>
                <wp:wrapSquare wrapText="bothSides"/>
                <wp:docPr id="316635172" name="Text Box 1"/>
                <wp:cNvGraphicFramePr/>
                <a:graphic xmlns:a="http://schemas.openxmlformats.org/drawingml/2006/main">
                  <a:graphicData uri="http://schemas.microsoft.com/office/word/2010/wordprocessingShape">
                    <wps:wsp>
                      <wps:cNvSpPr txBox="1"/>
                      <wps:spPr>
                        <a:xfrm>
                          <a:off x="0" y="0"/>
                          <a:ext cx="2369185" cy="635"/>
                        </a:xfrm>
                        <a:prstGeom prst="rect">
                          <a:avLst/>
                        </a:prstGeom>
                        <a:solidFill>
                          <a:prstClr val="white"/>
                        </a:solidFill>
                        <a:ln>
                          <a:noFill/>
                        </a:ln>
                      </wps:spPr>
                      <wps:txbx>
                        <w:txbxContent>
                          <w:p w14:paraId="0579D0E1" w14:textId="30DA3E10" w:rsidR="000526EB" w:rsidRPr="00DD25B4" w:rsidRDefault="000526EB" w:rsidP="000526EB">
                            <w:pPr>
                              <w:pStyle w:val="Caption"/>
                              <w:rPr>
                                <w:sz w:val="28"/>
                                <w:szCs w:val="22"/>
                              </w:rPr>
                            </w:pPr>
                            <w:bookmarkStart w:id="26" w:name="_Toc164832285"/>
                            <w:r w:rsidRPr="00DD25B4">
                              <w:t xml:space="preserve">Figure </w:t>
                            </w:r>
                            <w:r w:rsidRPr="00DD25B4">
                              <w:fldChar w:fldCharType="begin"/>
                            </w:r>
                            <w:r w:rsidRPr="00DD25B4">
                              <w:instrText xml:space="preserve"> SEQ Figure \* ARABIC </w:instrText>
                            </w:r>
                            <w:r w:rsidRPr="00DD25B4">
                              <w:fldChar w:fldCharType="separate"/>
                            </w:r>
                            <w:r w:rsidR="00A34C35" w:rsidRPr="00DD25B4">
                              <w:t>7</w:t>
                            </w:r>
                            <w:r w:rsidRPr="00DD25B4">
                              <w:fldChar w:fldCharType="end"/>
                            </w:r>
                            <w:r w:rsidRPr="00DD25B4">
                              <w:t xml:space="preserve"> - Second Example of Heating Elements</w:t>
                            </w:r>
                            <w:bookmarkEnd w:id="2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B3EB0AF" id="_x0000_s1032" type="#_x0000_t202" style="position:absolute;margin-left:-3.8pt;margin-top:110.9pt;width:186.55pt;height:.05pt;z-index:2517319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" stroked="f">
                <v:textbox style="mso-fit-shape-to-text:t" inset="0,0,0,0">
                  <w:txbxContent>
                    <w:p w14:paraId="0579D0E1" w14:textId="30DA3E10" w:rsidR="000526EB" w:rsidRPr="00DD25B4" w:rsidRDefault="000526EB" w:rsidP="000526EB">
                      <w:pPr>
                        <w:pStyle w:val="Caption"/>
                        <w:rPr>
                          <w:sz w:val="28"/>
                          <w:szCs w:val="22"/>
                        </w:rPr>
                      </w:pPr>
                      <w:bookmarkStart w:id="27" w:name="_Toc164832285"/>
                      <w:r w:rsidRPr="00DD25B4">
                        <w:t xml:space="preserve">Figure </w:t>
                      </w:r>
                      <w:r w:rsidRPr="00DD25B4">
                        <w:fldChar w:fldCharType="begin"/>
                      </w:r>
                      <w:r w:rsidRPr="00DD25B4">
                        <w:instrText xml:space="preserve"> SEQ Figure \* ARABIC </w:instrText>
                      </w:r>
                      <w:r w:rsidRPr="00DD25B4">
                        <w:fldChar w:fldCharType="separate"/>
                      </w:r>
                      <w:r w:rsidR="00A34C35" w:rsidRPr="00DD25B4">
                        <w:t>7</w:t>
                      </w:r>
                      <w:r w:rsidRPr="00DD25B4">
                        <w:fldChar w:fldCharType="end"/>
                      </w:r>
                      <w:r w:rsidRPr="00DD25B4">
                        <w:t xml:space="preserve"> - Second Example of Heating Elements</w:t>
                      </w:r>
                      <w:bookmarkEnd w:id="27"/>
                    </w:p>
                  </w:txbxContent>
                </v:textbox>
                <w10:wrap type="square"/>
              </v:shape>
            </w:pict>
          </mc:Fallback>
        </mc:AlternateContent>
      </w:r>
      <w:r w:rsidR="00600038" w:rsidRPr="00DD25B4">
        <w:rPr>
          <w:noProof/>
        </w:rPr>
        <w:drawing>
          <wp:anchor distT="0" distB="0" distL="114300" distR="114300" simplePos="0" relativeHeight="251743232" behindDoc="0" locked="0" layoutInCell="1" allowOverlap="1" wp14:anchorId="1F8973F6" wp14:editId="5D7CD937">
            <wp:simplePos x="0" y="0"/>
            <wp:positionH relativeFrom="margin">
              <wp:posOffset>-32385</wp:posOffset>
            </wp:positionH>
            <wp:positionV relativeFrom="paragraph">
              <wp:posOffset>86995</wp:posOffset>
            </wp:positionV>
            <wp:extent cx="2933700" cy="1282700"/>
            <wp:effectExtent l="19050" t="19050" r="19050" b="12700"/>
            <wp:wrapSquare wrapText="bothSides"/>
            <wp:docPr id="119273541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2735416" name="Picture 1192735416"/>
                    <pic:cNvPicPr/>
                  </pic:nvPicPr>
                  <pic:blipFill>
                    <a:blip r:embed="rId16">
                      <a:extLst>
                        <a:ext uri="{28A0092B-C50C-407E-A947-70E740481C1C}">
                          <a14:useLocalDpi xmlns:a14="http://schemas.microsoft.com/office/drawing/2010/main" val="0"/>
                        </a:ext>
                      </a:extLst>
                    </a:blip>
                    <a:stretch>
                      <a:fillRect/>
                    </a:stretch>
                  </pic:blipFill>
                  <pic:spPr>
                    <a:xfrm>
                      <a:off x="0" y="0"/>
                      <a:ext cx="2933700" cy="128270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4CA0E28F" w14:textId="434A28AF" w:rsidR="004E1DBB" w:rsidRPr="00DD25B4" w:rsidRDefault="004E1DBB" w:rsidP="004E1DBB"/>
    <w:p w14:paraId="1A96C81A" w14:textId="468BC517" w:rsidR="004E1DBB" w:rsidRPr="00DD25B4" w:rsidRDefault="004E1DBB" w:rsidP="004E1DBB"/>
    <w:p w14:paraId="547E651E" w14:textId="106FDEFE" w:rsidR="004E1DBB" w:rsidRPr="00DD25B4" w:rsidRDefault="004E1DBB" w:rsidP="004E1DBB"/>
    <w:p w14:paraId="05885285" w14:textId="68343AD9" w:rsidR="004E1DBB" w:rsidRPr="00DD25B4" w:rsidRDefault="004E1DBB" w:rsidP="004E1DBB"/>
    <w:p w14:paraId="7647D5E4" w14:textId="0E1628AE" w:rsidR="004E1DBB" w:rsidRPr="00DD25B4" w:rsidRDefault="004E1DBB" w:rsidP="004E1DBB"/>
    <w:p w14:paraId="357F81FB" w14:textId="26AE7260" w:rsidR="0082065B" w:rsidRPr="00DD25B4" w:rsidRDefault="0082065B" w:rsidP="0082065B"/>
    <w:p w14:paraId="4EDFB12D" w14:textId="13B1FAA0" w:rsidR="00012EFB" w:rsidRPr="00DD25B4" w:rsidRDefault="007434DE" w:rsidP="007434DE">
      <w:pPr>
        <w:spacing w:line="360" w:lineRule="auto"/>
        <w:jc w:val="both"/>
        <w:rPr>
          <w:b w:val="0"/>
          <w:bCs/>
          <w:color w:val="auto"/>
        </w:rPr>
      </w:pPr>
      <w:r w:rsidRPr="00DD25B4">
        <w:rPr>
          <w:rFonts w:ascii="Arial" w:hAnsi="Arial" w:cs="Arial"/>
          <w:b w:val="0"/>
          <w:bCs/>
          <w:color w:val="auto"/>
          <w:sz w:val="22"/>
        </w:rPr>
        <w:lastRenderedPageBreak/>
        <w:t>Before the onset of variability in CSR testing, changes to the heating elements were infrequent. However, amidst this phase of unstable testing, there arises a heightened necessity for more frequent replacements of heating elements. Furthermore, this investigation has revealed another significant issue: the complete deterioration of the furnace's condition.</w:t>
      </w:r>
    </w:p>
    <w:p w14:paraId="56C1D455" w14:textId="54C3529B" w:rsidR="0082065B" w:rsidRPr="00DD25B4" w:rsidRDefault="0082065B" w:rsidP="0082065B"/>
    <w:p w14:paraId="2750C9A4" w14:textId="51291620" w:rsidR="0082065B" w:rsidRPr="00DD25B4" w:rsidRDefault="00012EFB" w:rsidP="0082065B">
      <w:r w:rsidRPr="00DD25B4">
        <w:rPr>
          <w:b w:val="0"/>
          <w:bCs/>
          <w:noProof/>
          <w:color w:val="auto"/>
        </w:rPr>
        <w:drawing>
          <wp:anchor distT="0" distB="0" distL="114300" distR="114300" simplePos="0" relativeHeight="251676672" behindDoc="0" locked="0" layoutInCell="1" allowOverlap="1" wp14:anchorId="199BC497" wp14:editId="3A15C4A9">
            <wp:simplePos x="0" y="0"/>
            <wp:positionH relativeFrom="margin">
              <wp:align>left</wp:align>
            </wp:positionH>
            <wp:positionV relativeFrom="paragraph">
              <wp:posOffset>17600</wp:posOffset>
            </wp:positionV>
            <wp:extent cx="2657846" cy="2905530"/>
            <wp:effectExtent l="19050" t="19050" r="28575" b="9525"/>
            <wp:wrapSquare wrapText="bothSides"/>
            <wp:docPr id="186641818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6418181" name="Picture 1866418181"/>
                    <pic:cNvPicPr/>
                  </pic:nvPicPr>
                  <pic:blipFill>
                    <a:blip r:embed="rId17">
                      <a:extLst>
                        <a:ext uri="{28A0092B-C50C-407E-A947-70E740481C1C}">
                          <a14:useLocalDpi xmlns:a14="http://schemas.microsoft.com/office/drawing/2010/main" val="0"/>
                        </a:ext>
                      </a:extLst>
                    </a:blip>
                    <a:stretch>
                      <a:fillRect/>
                    </a:stretch>
                  </pic:blipFill>
                  <pic:spPr>
                    <a:xfrm>
                      <a:off x="0" y="0"/>
                      <a:ext cx="2657846" cy="290553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7E0FB78D" w14:textId="7FB12546" w:rsidR="0082065B" w:rsidRPr="00DD25B4" w:rsidRDefault="0082065B" w:rsidP="0082065B"/>
    <w:p w14:paraId="23960209" w14:textId="7D9E6298" w:rsidR="0082065B" w:rsidRPr="00DD25B4" w:rsidRDefault="0082065B" w:rsidP="0082065B"/>
    <w:p w14:paraId="361EDE99" w14:textId="658F056A" w:rsidR="0082065B" w:rsidRPr="00DD25B4" w:rsidRDefault="0082065B" w:rsidP="0082065B"/>
    <w:p w14:paraId="30EDF83A" w14:textId="54E234F0" w:rsidR="0082065B" w:rsidRPr="00DD25B4" w:rsidRDefault="0082065B" w:rsidP="0082065B"/>
    <w:p w14:paraId="4515D158" w14:textId="49D85950" w:rsidR="0082065B" w:rsidRPr="00DD25B4" w:rsidRDefault="0082065B" w:rsidP="0082065B"/>
    <w:p w14:paraId="1BEBF7C6" w14:textId="77777777" w:rsidR="0082065B" w:rsidRPr="00DD25B4" w:rsidRDefault="0082065B" w:rsidP="0082065B"/>
    <w:p w14:paraId="6C1822C6" w14:textId="77777777" w:rsidR="00012EFB" w:rsidRPr="00DD25B4" w:rsidRDefault="00012EFB" w:rsidP="0082065B"/>
    <w:p w14:paraId="5B9D49E4" w14:textId="77777777" w:rsidR="00012EFB" w:rsidRPr="00DD25B4" w:rsidRDefault="00012EFB" w:rsidP="0082065B"/>
    <w:p w14:paraId="7A9DB222" w14:textId="77777777" w:rsidR="00012EFB" w:rsidRPr="00DD25B4" w:rsidRDefault="00012EFB" w:rsidP="0082065B"/>
    <w:p w14:paraId="2131CB51" w14:textId="77777777" w:rsidR="00012EFB" w:rsidRPr="00DD25B4" w:rsidRDefault="00012EFB" w:rsidP="0082065B"/>
    <w:p w14:paraId="6DDECED5" w14:textId="736A4C9D" w:rsidR="00012EFB" w:rsidRPr="00DD25B4" w:rsidRDefault="004D45C7" w:rsidP="0082065B">
      <w:r w:rsidRPr="00DD25B4">
        <w:rPr>
          <w:noProof/>
        </w:rPr>
        <mc:AlternateContent>
          <mc:Choice Requires="wps">
            <w:drawing>
              <wp:anchor distT="0" distB="0" distL="114300" distR="114300" simplePos="0" relativeHeight="251736064" behindDoc="0" locked="0" layoutInCell="1" allowOverlap="1" wp14:anchorId="18E5612C" wp14:editId="378D0B0C">
                <wp:simplePos x="0" y="0"/>
                <wp:positionH relativeFrom="column">
                  <wp:posOffset>20955</wp:posOffset>
                </wp:positionH>
                <wp:positionV relativeFrom="paragraph">
                  <wp:posOffset>237490</wp:posOffset>
                </wp:positionV>
                <wp:extent cx="2933700" cy="635"/>
                <wp:effectExtent l="0" t="0" r="0" b="0"/>
                <wp:wrapTopAndBottom/>
                <wp:docPr id="1298599872" name="Text Box 1"/>
                <wp:cNvGraphicFramePr/>
                <a:graphic xmlns:a="http://schemas.openxmlformats.org/drawingml/2006/main">
                  <a:graphicData uri="http://schemas.microsoft.com/office/word/2010/wordprocessingShape">
                    <wps:wsp>
                      <wps:cNvSpPr txBox="1"/>
                      <wps:spPr>
                        <a:xfrm>
                          <a:off x="0" y="0"/>
                          <a:ext cx="2933700" cy="635"/>
                        </a:xfrm>
                        <a:prstGeom prst="rect">
                          <a:avLst/>
                        </a:prstGeom>
                        <a:solidFill>
                          <a:prstClr val="white"/>
                        </a:solidFill>
                        <a:ln>
                          <a:noFill/>
                        </a:ln>
                      </wps:spPr>
                      <wps:txbx>
                        <w:txbxContent>
                          <w:p w14:paraId="1A7FF309" w14:textId="7C3BB023" w:rsidR="004D45C7" w:rsidRPr="00DD25B4" w:rsidRDefault="004D45C7" w:rsidP="004D45C7">
                            <w:pPr>
                              <w:pStyle w:val="Caption"/>
                              <w:rPr>
                                <w:bCs/>
                                <w:sz w:val="28"/>
                                <w:szCs w:val="22"/>
                              </w:rPr>
                            </w:pPr>
                            <w:bookmarkStart w:id="28" w:name="_Toc164832286"/>
                            <w:r w:rsidRPr="00DD25B4">
                              <w:t xml:space="preserve">Figure </w:t>
                            </w:r>
                            <w:r w:rsidRPr="00DD25B4">
                              <w:fldChar w:fldCharType="begin"/>
                            </w:r>
                            <w:r w:rsidRPr="00DD25B4">
                              <w:instrText xml:space="preserve"> SEQ Figure \* ARABIC </w:instrText>
                            </w:r>
                            <w:r w:rsidRPr="00DD25B4">
                              <w:fldChar w:fldCharType="separate"/>
                            </w:r>
                            <w:r w:rsidR="00A34C35" w:rsidRPr="00DD25B4">
                              <w:t>9</w:t>
                            </w:r>
                            <w:r w:rsidRPr="00DD25B4">
                              <w:fldChar w:fldCharType="end"/>
                            </w:r>
                            <w:r w:rsidRPr="00DD25B4">
                              <w:t xml:space="preserve"> - Example of Inside the Furnace with Excess Damage</w:t>
                            </w:r>
                            <w:bookmarkEnd w:id="2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8E5612C" id="_x0000_s1033" type="#_x0000_t202" style="position:absolute;margin-left:1.65pt;margin-top:18.7pt;width:231pt;height:.05pt;z-index:2517360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" stroked="f">
                <v:textbox style="mso-fit-shape-to-text:t" inset="0,0,0,0">
                  <w:txbxContent>
                    <w:p w14:paraId="1A7FF309" w14:textId="7C3BB023" w:rsidR="004D45C7" w:rsidRPr="00DD25B4" w:rsidRDefault="004D45C7" w:rsidP="004D45C7">
                      <w:pPr>
                        <w:pStyle w:val="Caption"/>
                        <w:rPr>
                          <w:bCs/>
                          <w:sz w:val="28"/>
                          <w:szCs w:val="22"/>
                        </w:rPr>
                      </w:pPr>
                      <w:bookmarkStart w:id="29" w:name="_Toc164832286"/>
                      <w:r w:rsidRPr="00DD25B4">
                        <w:t xml:space="preserve">Figure </w:t>
                      </w:r>
                      <w:r w:rsidRPr="00DD25B4">
                        <w:fldChar w:fldCharType="begin"/>
                      </w:r>
                      <w:r w:rsidRPr="00DD25B4">
                        <w:instrText xml:space="preserve"> SEQ Figure \* ARABIC </w:instrText>
                      </w:r>
                      <w:r w:rsidRPr="00DD25B4">
                        <w:fldChar w:fldCharType="separate"/>
                      </w:r>
                      <w:r w:rsidR="00A34C35" w:rsidRPr="00DD25B4">
                        <w:t>9</w:t>
                      </w:r>
                      <w:r w:rsidRPr="00DD25B4">
                        <w:fldChar w:fldCharType="end"/>
                      </w:r>
                      <w:r w:rsidRPr="00DD25B4">
                        <w:t xml:space="preserve"> - Example of Inside the Furnace with Excess Damage</w:t>
                      </w:r>
                      <w:bookmarkEnd w:id="29"/>
                    </w:p>
                  </w:txbxContent>
                </v:textbox>
                <w10:wrap type="topAndBottom"/>
              </v:shape>
            </w:pict>
          </mc:Fallback>
        </mc:AlternateContent>
      </w:r>
    </w:p>
    <w:p w14:paraId="11C72FB8" w14:textId="151E76FF" w:rsidR="00DD25B4" w:rsidRDefault="005E1471" w:rsidP="00245A51">
      <w:pPr>
        <w:spacing w:line="360" w:lineRule="auto"/>
        <w:jc w:val="both"/>
        <w:rPr>
          <w:rFonts w:ascii="Arial" w:hAnsi="Arial" w:cs="Arial"/>
          <w:b w:val="0"/>
          <w:bCs/>
          <w:color w:val="auto"/>
          <w:sz w:val="22"/>
          <w:szCs w:val="18"/>
        </w:rPr>
      </w:pPr>
      <w:r w:rsidRPr="00DD25B4">
        <w:rPr>
          <w:rFonts w:ascii="Arial" w:hAnsi="Arial" w:cs="Arial"/>
          <w:b w:val="0"/>
          <w:bCs/>
          <w:color w:val="auto"/>
          <w:sz w:val="22"/>
          <w:szCs w:val="18"/>
        </w:rPr>
        <w:t>The provided image depicts the current state of the brickwork within the furnace, exhibiting signs of wear and deterioration, thereby leaving the heating elements exposed. When loading vessels into the furnace using the hoist, the vessels tend to sway, occasionally coming into contact with the heating elements. Given their brittle nature, such contact often results in immediate breakage, necessitating the intervention of an electrician for replacement. This incurs additional charges for the service and leads to significant delays in the testing process. The frequent use of heating elements further exacerbates the observed variations in testing results.</w:t>
      </w:r>
    </w:p>
    <w:p w14:paraId="4CC7D693" w14:textId="77744FA6" w:rsidR="00DD25B4" w:rsidRDefault="00DD25B4">
      <w:pPr>
        <w:spacing w:after="200"/>
        <w:rPr>
          <w:rFonts w:ascii="Arial" w:hAnsi="Arial" w:cs="Arial"/>
          <w:b w:val="0"/>
          <w:bCs/>
          <w:color w:val="auto"/>
          <w:sz w:val="22"/>
          <w:szCs w:val="18"/>
        </w:rPr>
      </w:pPr>
      <w:r>
        <w:rPr>
          <w:rFonts w:ascii="Arial" w:hAnsi="Arial" w:cs="Arial"/>
          <w:b w:val="0"/>
          <w:bCs/>
          <w:color w:val="auto"/>
          <w:sz w:val="22"/>
          <w:szCs w:val="18"/>
        </w:rPr>
        <w:br w:type="page"/>
      </w:r>
    </w:p>
    <w:p w14:paraId="217E520E" w14:textId="514244D4" w:rsidR="005E1471" w:rsidRPr="00DD25B4" w:rsidRDefault="00FD1DD1" w:rsidP="00FD1DD1">
      <w:pPr>
        <w:pStyle w:val="Heading2"/>
        <w:numPr>
          <w:ilvl w:val="1"/>
          <w:numId w:val="8"/>
        </w:numPr>
      </w:pPr>
      <w:bookmarkStart w:id="30" w:name="_Toc164832272"/>
      <w:r w:rsidRPr="00DD25B4">
        <w:lastRenderedPageBreak/>
        <w:t>Fault Finding Analysis – Manufacturer Report</w:t>
      </w:r>
      <w:bookmarkEnd w:id="30"/>
    </w:p>
    <w:p w14:paraId="061E9D02" w14:textId="6DC54DF6" w:rsidR="005E1471" w:rsidRPr="00DD25B4" w:rsidRDefault="005E1471" w:rsidP="00245A51">
      <w:pPr>
        <w:spacing w:line="360" w:lineRule="auto"/>
        <w:jc w:val="both"/>
        <w:rPr>
          <w:rFonts w:ascii="Arial" w:hAnsi="Arial" w:cs="Arial"/>
          <w:b w:val="0"/>
          <w:bCs/>
          <w:color w:val="auto"/>
          <w:sz w:val="22"/>
          <w:szCs w:val="18"/>
        </w:rPr>
      </w:pPr>
      <w:r w:rsidRPr="00DD25B4">
        <w:rPr>
          <w:rFonts w:ascii="Arial" w:hAnsi="Arial" w:cs="Arial"/>
          <w:b w:val="0"/>
          <w:bCs/>
          <w:color w:val="auto"/>
          <w:sz w:val="22"/>
          <w:szCs w:val="18"/>
        </w:rPr>
        <w:t>The rigs utilized in the process are sourced from an external manufacturer, RB Automazione, based in Italy. In light of the recent challenges encountered with the rigs, stakeholders from TATA, including representatives from the Coke Ovens, Blast Furnaces, and Laboratories, collectively agreed during the monthly Service Level Agreement (SLA) meeting that a service intervention from the manufacturer was imperative.</w:t>
      </w:r>
    </w:p>
    <w:p w14:paraId="06964636" w14:textId="325FFA6A" w:rsidR="00413739" w:rsidRPr="00DD25B4" w:rsidRDefault="005E1471" w:rsidP="008969DF">
      <w:pPr>
        <w:spacing w:line="360" w:lineRule="auto"/>
        <w:jc w:val="both"/>
      </w:pPr>
      <w:r w:rsidRPr="00DD25B4">
        <w:rPr>
          <w:rFonts w:ascii="Arial" w:hAnsi="Arial" w:cs="Arial"/>
          <w:b w:val="0"/>
          <w:bCs/>
          <w:color w:val="auto"/>
          <w:sz w:val="22"/>
          <w:szCs w:val="18"/>
        </w:rPr>
        <w:t>Subsequently, the manufacturer conducted the necessary servicing, issuing a detailed report outlining the condition of various equipment components.</w:t>
      </w:r>
    </w:p>
    <w:tbl>
      <w:tblPr>
        <w:tblW w:w="9540" w:type="dxa"/>
        <w:tblLook w:val="04A0" w:firstRow="1" w:lastRow="0" w:firstColumn="1" w:lastColumn="0" w:noHBand="0" w:noVBand="1"/>
      </w:tblPr>
      <w:tblGrid>
        <w:gridCol w:w="3100"/>
        <w:gridCol w:w="1200"/>
        <w:gridCol w:w="3320"/>
        <w:gridCol w:w="1920"/>
      </w:tblGrid>
      <w:tr w:rsidR="00413739" w:rsidRPr="00DD25B4" w14:paraId="5B1A8A8D" w14:textId="77777777" w:rsidTr="00413739">
        <w:trPr>
          <w:trHeight w:val="300"/>
        </w:trPr>
        <w:tc>
          <w:tcPr>
            <w:tcW w:w="3100" w:type="dxa"/>
            <w:tcBorders>
              <w:top w:val="single" w:sz="8" w:space="0" w:color="000000"/>
              <w:left w:val="single" w:sz="4" w:space="0" w:color="000000"/>
              <w:bottom w:val="single" w:sz="8" w:space="0" w:color="000000"/>
              <w:right w:val="single" w:sz="4" w:space="0" w:color="000000"/>
            </w:tcBorders>
            <w:shd w:val="clear" w:color="000000" w:fill="000000"/>
            <w:noWrap/>
            <w:vAlign w:val="center"/>
            <w:hideMark/>
          </w:tcPr>
          <w:p w14:paraId="2C66E2A9" w14:textId="77777777" w:rsidR="00413739" w:rsidRPr="00DD25B4" w:rsidRDefault="00413739" w:rsidP="00413739">
            <w:pPr>
              <w:spacing w:line="240" w:lineRule="auto"/>
              <w:jc w:val="center"/>
              <w:rPr>
                <w:rFonts w:ascii="Aptos Narrow" w:eastAsia="Times New Roman" w:hAnsi="Aptos Narrow" w:cs="Times New Roman"/>
                <w:bCs/>
                <w:color w:val="FFFFFF"/>
                <w:sz w:val="22"/>
                <w:lang w:eastAsia="en-GB"/>
              </w:rPr>
            </w:pPr>
            <w:r w:rsidRPr="00DD25B4">
              <w:rPr>
                <w:rFonts w:ascii="Aptos Narrow" w:eastAsia="Times New Roman" w:hAnsi="Aptos Narrow" w:cs="Times New Roman"/>
                <w:bCs/>
                <w:color w:val="FFFFFF"/>
                <w:sz w:val="22"/>
                <w:lang w:eastAsia="en-GB"/>
              </w:rPr>
              <w:t>Check</w:t>
            </w:r>
          </w:p>
        </w:tc>
        <w:tc>
          <w:tcPr>
            <w:tcW w:w="1200" w:type="dxa"/>
            <w:tcBorders>
              <w:top w:val="single" w:sz="8" w:space="0" w:color="000000"/>
              <w:left w:val="single" w:sz="4" w:space="0" w:color="000000"/>
              <w:bottom w:val="single" w:sz="8" w:space="0" w:color="000000"/>
              <w:right w:val="single" w:sz="4" w:space="0" w:color="000000"/>
            </w:tcBorders>
            <w:shd w:val="clear" w:color="000000" w:fill="000000"/>
            <w:noWrap/>
            <w:vAlign w:val="center"/>
            <w:hideMark/>
          </w:tcPr>
          <w:p w14:paraId="021230FC" w14:textId="77777777" w:rsidR="00413739" w:rsidRPr="00DD25B4" w:rsidRDefault="00413739" w:rsidP="00413739">
            <w:pPr>
              <w:spacing w:line="240" w:lineRule="auto"/>
              <w:jc w:val="center"/>
              <w:rPr>
                <w:rFonts w:ascii="Aptos Narrow" w:eastAsia="Times New Roman" w:hAnsi="Aptos Narrow" w:cs="Times New Roman"/>
                <w:bCs/>
                <w:color w:val="FFFFFF"/>
                <w:sz w:val="22"/>
                <w:lang w:eastAsia="en-GB"/>
              </w:rPr>
            </w:pPr>
            <w:r w:rsidRPr="00DD25B4">
              <w:rPr>
                <w:rFonts w:ascii="Aptos Narrow" w:eastAsia="Times New Roman" w:hAnsi="Aptos Narrow" w:cs="Times New Roman"/>
                <w:bCs/>
                <w:color w:val="FFFFFF"/>
                <w:sz w:val="22"/>
                <w:lang w:eastAsia="en-GB"/>
              </w:rPr>
              <w:t>Result</w:t>
            </w:r>
          </w:p>
        </w:tc>
        <w:tc>
          <w:tcPr>
            <w:tcW w:w="3320" w:type="dxa"/>
            <w:tcBorders>
              <w:top w:val="single" w:sz="8" w:space="0" w:color="000000"/>
              <w:left w:val="single" w:sz="4" w:space="0" w:color="000000"/>
              <w:bottom w:val="single" w:sz="8" w:space="0" w:color="000000"/>
              <w:right w:val="single" w:sz="4" w:space="0" w:color="000000"/>
            </w:tcBorders>
            <w:shd w:val="clear" w:color="000000" w:fill="000000"/>
            <w:noWrap/>
            <w:vAlign w:val="center"/>
            <w:hideMark/>
          </w:tcPr>
          <w:p w14:paraId="0EEDE0E2" w14:textId="77777777" w:rsidR="00413739" w:rsidRPr="00DD25B4" w:rsidRDefault="00413739" w:rsidP="00413739">
            <w:pPr>
              <w:spacing w:line="240" w:lineRule="auto"/>
              <w:jc w:val="center"/>
              <w:rPr>
                <w:rFonts w:ascii="Aptos Narrow" w:eastAsia="Times New Roman" w:hAnsi="Aptos Narrow" w:cs="Times New Roman"/>
                <w:bCs/>
                <w:color w:val="FFFFFF"/>
                <w:sz w:val="22"/>
                <w:lang w:eastAsia="en-GB"/>
              </w:rPr>
            </w:pPr>
            <w:r w:rsidRPr="00DD25B4">
              <w:rPr>
                <w:rFonts w:ascii="Aptos Narrow" w:eastAsia="Times New Roman" w:hAnsi="Aptos Narrow" w:cs="Times New Roman"/>
                <w:bCs/>
                <w:color w:val="FFFFFF"/>
                <w:sz w:val="22"/>
                <w:lang w:eastAsia="en-GB"/>
              </w:rPr>
              <w:t>Activity Description</w:t>
            </w:r>
          </w:p>
        </w:tc>
        <w:tc>
          <w:tcPr>
            <w:tcW w:w="1920" w:type="dxa"/>
            <w:tcBorders>
              <w:top w:val="single" w:sz="8" w:space="0" w:color="000000"/>
              <w:left w:val="single" w:sz="4" w:space="0" w:color="000000"/>
              <w:bottom w:val="single" w:sz="8" w:space="0" w:color="000000"/>
              <w:right w:val="single" w:sz="4" w:space="0" w:color="000000"/>
            </w:tcBorders>
            <w:shd w:val="clear" w:color="000000" w:fill="000000"/>
            <w:noWrap/>
            <w:vAlign w:val="center"/>
            <w:hideMark/>
          </w:tcPr>
          <w:p w14:paraId="56D8ED75" w14:textId="77777777" w:rsidR="00413739" w:rsidRPr="00DD25B4" w:rsidRDefault="00413739" w:rsidP="00413739">
            <w:pPr>
              <w:spacing w:line="240" w:lineRule="auto"/>
              <w:jc w:val="center"/>
              <w:rPr>
                <w:rFonts w:ascii="Aptos Narrow" w:eastAsia="Times New Roman" w:hAnsi="Aptos Narrow" w:cs="Times New Roman"/>
                <w:bCs/>
                <w:color w:val="FFFFFF"/>
                <w:sz w:val="22"/>
                <w:lang w:eastAsia="en-GB"/>
              </w:rPr>
            </w:pPr>
            <w:r w:rsidRPr="00DD25B4">
              <w:rPr>
                <w:rFonts w:ascii="Aptos Narrow" w:eastAsia="Times New Roman" w:hAnsi="Aptos Narrow" w:cs="Times New Roman"/>
                <w:bCs/>
                <w:color w:val="FFFFFF"/>
                <w:sz w:val="22"/>
                <w:lang w:eastAsia="en-GB"/>
              </w:rPr>
              <w:t>Notes</w:t>
            </w:r>
          </w:p>
        </w:tc>
      </w:tr>
      <w:tr w:rsidR="00413739" w:rsidRPr="00DD25B4" w14:paraId="3E5BD37B" w14:textId="77777777" w:rsidTr="00413739">
        <w:trPr>
          <w:trHeight w:val="600"/>
        </w:trPr>
        <w:tc>
          <w:tcPr>
            <w:tcW w:w="3100" w:type="dxa"/>
            <w:tcBorders>
              <w:top w:val="single" w:sz="4" w:space="0" w:color="000000"/>
              <w:left w:val="single" w:sz="4" w:space="0" w:color="000000"/>
              <w:bottom w:val="single" w:sz="4" w:space="0" w:color="000000"/>
              <w:right w:val="single" w:sz="4" w:space="0" w:color="000000"/>
            </w:tcBorders>
            <w:shd w:val="clear" w:color="D9D9D9" w:fill="D9D9D9"/>
            <w:hideMark/>
          </w:tcPr>
          <w:p w14:paraId="24423664" w14:textId="77777777" w:rsidR="00413739" w:rsidRPr="00DD25B4" w:rsidRDefault="00413739" w:rsidP="00413739">
            <w:pPr>
              <w:spacing w:line="240" w:lineRule="auto"/>
              <w:jc w:val="center"/>
              <w:rPr>
                <w:rFonts w:ascii="Aptos Narrow" w:eastAsia="Times New Roman" w:hAnsi="Aptos Narrow" w:cs="Times New Roman"/>
                <w:b w:val="0"/>
                <w:color w:val="000000"/>
                <w:sz w:val="22"/>
                <w:lang w:eastAsia="en-GB"/>
              </w:rPr>
            </w:pPr>
            <w:r w:rsidRPr="00DD25B4">
              <w:rPr>
                <w:rFonts w:ascii="Aptos Narrow" w:eastAsia="Times New Roman" w:hAnsi="Aptos Narrow" w:cs="Times New Roman"/>
                <w:b w:val="0"/>
                <w:color w:val="000000"/>
                <w:sz w:val="22"/>
                <w:lang w:eastAsia="en-GB"/>
              </w:rPr>
              <w:t>Temperature Programmer Software</w:t>
            </w:r>
          </w:p>
        </w:tc>
        <w:tc>
          <w:tcPr>
            <w:tcW w:w="1200" w:type="dxa"/>
            <w:tcBorders>
              <w:top w:val="single" w:sz="4" w:space="0" w:color="000000"/>
              <w:left w:val="single" w:sz="4" w:space="0" w:color="000000"/>
              <w:bottom w:val="single" w:sz="4" w:space="0" w:color="000000"/>
              <w:right w:val="single" w:sz="4" w:space="0" w:color="000000"/>
            </w:tcBorders>
            <w:shd w:val="clear" w:color="D9D9D9" w:fill="D9D9D9"/>
            <w:noWrap/>
            <w:vAlign w:val="center"/>
            <w:hideMark/>
          </w:tcPr>
          <w:p w14:paraId="1B2D54C6" w14:textId="2DA3EDCA" w:rsidR="00413739" w:rsidRPr="00DD25B4" w:rsidRDefault="00413739" w:rsidP="00413739">
            <w:pPr>
              <w:spacing w:line="240" w:lineRule="auto"/>
              <w:jc w:val="center"/>
              <w:rPr>
                <w:rFonts w:ascii="Aptos Narrow" w:eastAsia="Times New Roman" w:hAnsi="Aptos Narrow" w:cs="Times New Roman"/>
                <w:b w:val="0"/>
                <w:color w:val="000000"/>
                <w:sz w:val="22"/>
                <w:lang w:eastAsia="en-GB"/>
              </w:rPr>
            </w:pPr>
            <w:r w:rsidRPr="00DD25B4">
              <w:rPr>
                <w:rFonts w:ascii="Aptos Narrow" w:eastAsia="Times New Roman" w:hAnsi="Aptos Narrow" w:cs="Times New Roman"/>
                <w:b w:val="0"/>
                <w:color w:val="000000"/>
                <w:sz w:val="22"/>
                <w:lang w:eastAsia="en-GB"/>
              </w:rPr>
              <w:t>OK</w:t>
            </w:r>
          </w:p>
        </w:tc>
        <w:tc>
          <w:tcPr>
            <w:tcW w:w="3320" w:type="dxa"/>
            <w:tcBorders>
              <w:top w:val="single" w:sz="4" w:space="0" w:color="000000"/>
              <w:left w:val="single" w:sz="4" w:space="0" w:color="000000"/>
              <w:bottom w:val="single" w:sz="4" w:space="0" w:color="000000"/>
              <w:right w:val="single" w:sz="4" w:space="0" w:color="000000"/>
            </w:tcBorders>
            <w:shd w:val="clear" w:color="D9D9D9" w:fill="D9D9D9"/>
            <w:noWrap/>
            <w:vAlign w:val="center"/>
            <w:hideMark/>
          </w:tcPr>
          <w:p w14:paraId="3519FD7B" w14:textId="77777777" w:rsidR="00413739" w:rsidRPr="00DD25B4" w:rsidRDefault="00413739" w:rsidP="00413739">
            <w:pPr>
              <w:spacing w:line="240" w:lineRule="auto"/>
              <w:jc w:val="center"/>
              <w:rPr>
                <w:rFonts w:ascii="Aptos Narrow" w:eastAsia="Times New Roman" w:hAnsi="Aptos Narrow" w:cs="Times New Roman"/>
                <w:b w:val="0"/>
                <w:color w:val="000000"/>
                <w:sz w:val="22"/>
                <w:lang w:eastAsia="en-GB"/>
              </w:rPr>
            </w:pPr>
            <w:r w:rsidRPr="00DD25B4">
              <w:rPr>
                <w:rFonts w:ascii="Aptos Narrow" w:eastAsia="Times New Roman" w:hAnsi="Aptos Narrow" w:cs="Times New Roman"/>
                <w:b w:val="0"/>
                <w:color w:val="000000"/>
                <w:sz w:val="22"/>
                <w:lang w:eastAsia="en-GB"/>
              </w:rPr>
              <w:t>Software check on Eurotherm 2604</w:t>
            </w:r>
          </w:p>
        </w:tc>
        <w:tc>
          <w:tcPr>
            <w:tcW w:w="1920" w:type="dxa"/>
            <w:tcBorders>
              <w:top w:val="single" w:sz="4" w:space="0" w:color="000000"/>
              <w:left w:val="single" w:sz="4" w:space="0" w:color="000000"/>
              <w:bottom w:val="single" w:sz="4" w:space="0" w:color="000000"/>
              <w:right w:val="single" w:sz="4" w:space="0" w:color="000000"/>
            </w:tcBorders>
            <w:shd w:val="clear" w:color="D9D9D9" w:fill="D9D9D9"/>
            <w:noWrap/>
            <w:vAlign w:val="center"/>
            <w:hideMark/>
          </w:tcPr>
          <w:p w14:paraId="411E3173" w14:textId="77777777" w:rsidR="00413739" w:rsidRPr="00DD25B4" w:rsidRDefault="00413739" w:rsidP="00413739">
            <w:pPr>
              <w:spacing w:line="240" w:lineRule="auto"/>
              <w:jc w:val="center"/>
              <w:rPr>
                <w:rFonts w:ascii="Aptos Narrow" w:eastAsia="Times New Roman" w:hAnsi="Aptos Narrow" w:cs="Times New Roman"/>
                <w:b w:val="0"/>
                <w:color w:val="000000"/>
                <w:sz w:val="22"/>
                <w:lang w:eastAsia="en-GB"/>
              </w:rPr>
            </w:pPr>
            <w:r w:rsidRPr="00DD25B4">
              <w:rPr>
                <w:rFonts w:ascii="Aptos Narrow" w:eastAsia="Times New Roman" w:hAnsi="Aptos Narrow" w:cs="Times New Roman"/>
                <w:b w:val="0"/>
                <w:color w:val="000000"/>
                <w:sz w:val="22"/>
                <w:lang w:eastAsia="en-GB"/>
              </w:rPr>
              <w:t>-</w:t>
            </w:r>
          </w:p>
        </w:tc>
      </w:tr>
      <w:tr w:rsidR="00413739" w:rsidRPr="00DD25B4" w14:paraId="178BFE41" w14:textId="77777777" w:rsidTr="00413739">
        <w:trPr>
          <w:trHeight w:val="600"/>
        </w:trPr>
        <w:tc>
          <w:tcPr>
            <w:tcW w:w="310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3CCF331" w14:textId="4E6100A0" w:rsidR="00413739" w:rsidRPr="00DD25B4" w:rsidRDefault="00413739" w:rsidP="00413739">
            <w:pPr>
              <w:spacing w:line="240" w:lineRule="auto"/>
              <w:jc w:val="center"/>
              <w:rPr>
                <w:rFonts w:ascii="Aptos Narrow" w:eastAsia="Times New Roman" w:hAnsi="Aptos Narrow" w:cs="Times New Roman"/>
                <w:b w:val="0"/>
                <w:color w:val="000000"/>
                <w:sz w:val="22"/>
                <w:lang w:eastAsia="en-GB"/>
              </w:rPr>
            </w:pPr>
            <w:r w:rsidRPr="00DD25B4">
              <w:rPr>
                <w:rFonts w:ascii="Aptos Narrow" w:eastAsia="Times New Roman" w:hAnsi="Aptos Narrow" w:cs="Times New Roman"/>
                <w:b w:val="0"/>
                <w:color w:val="000000"/>
                <w:sz w:val="22"/>
                <w:lang w:eastAsia="en-GB"/>
              </w:rPr>
              <w:t>Temperature Regulation Parameters</w:t>
            </w:r>
          </w:p>
        </w:tc>
        <w:tc>
          <w:tcPr>
            <w:tcW w:w="1200"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489A9304" w14:textId="697C5C7E" w:rsidR="00413739" w:rsidRPr="00DD25B4" w:rsidRDefault="00413739" w:rsidP="00413739">
            <w:pPr>
              <w:spacing w:line="240" w:lineRule="auto"/>
              <w:jc w:val="center"/>
              <w:rPr>
                <w:rFonts w:ascii="Aptos Narrow" w:eastAsia="Times New Roman" w:hAnsi="Aptos Narrow" w:cs="Times New Roman"/>
                <w:b w:val="0"/>
                <w:color w:val="000000"/>
                <w:sz w:val="22"/>
                <w:lang w:eastAsia="en-GB"/>
              </w:rPr>
            </w:pPr>
            <w:r w:rsidRPr="00DD25B4">
              <w:rPr>
                <w:rFonts w:ascii="Aptos Narrow" w:eastAsia="Times New Roman" w:hAnsi="Aptos Narrow" w:cs="Times New Roman"/>
                <w:b w:val="0"/>
                <w:color w:val="000000"/>
                <w:sz w:val="22"/>
                <w:lang w:eastAsia="en-GB"/>
              </w:rPr>
              <w:t>OK</w:t>
            </w:r>
          </w:p>
        </w:tc>
        <w:tc>
          <w:tcPr>
            <w:tcW w:w="3320"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6D06CFBA" w14:textId="145B6FEF" w:rsidR="00413739" w:rsidRPr="00DD25B4" w:rsidRDefault="00413739" w:rsidP="00413739">
            <w:pPr>
              <w:spacing w:line="240" w:lineRule="auto"/>
              <w:jc w:val="center"/>
              <w:rPr>
                <w:rFonts w:ascii="Aptos Narrow" w:eastAsia="Times New Roman" w:hAnsi="Aptos Narrow" w:cs="Times New Roman"/>
                <w:b w:val="0"/>
                <w:color w:val="000000"/>
                <w:sz w:val="22"/>
                <w:lang w:eastAsia="en-GB"/>
              </w:rPr>
            </w:pPr>
            <w:r w:rsidRPr="00DD25B4">
              <w:rPr>
                <w:rFonts w:ascii="Aptos Narrow" w:eastAsia="Times New Roman" w:hAnsi="Aptos Narrow" w:cs="Times New Roman"/>
                <w:b w:val="0"/>
                <w:color w:val="000000"/>
                <w:sz w:val="22"/>
                <w:lang w:eastAsia="en-GB"/>
              </w:rPr>
              <w:t>Verify of regulation parameters</w:t>
            </w:r>
          </w:p>
        </w:tc>
        <w:tc>
          <w:tcPr>
            <w:tcW w:w="1920"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395BF327" w14:textId="77777777" w:rsidR="00413739" w:rsidRPr="00DD25B4" w:rsidRDefault="00413739" w:rsidP="00413739">
            <w:pPr>
              <w:spacing w:line="240" w:lineRule="auto"/>
              <w:jc w:val="center"/>
              <w:rPr>
                <w:rFonts w:ascii="Aptos Narrow" w:eastAsia="Times New Roman" w:hAnsi="Aptos Narrow" w:cs="Times New Roman"/>
                <w:b w:val="0"/>
                <w:color w:val="000000"/>
                <w:sz w:val="22"/>
                <w:lang w:eastAsia="en-GB"/>
              </w:rPr>
            </w:pPr>
            <w:r w:rsidRPr="00DD25B4">
              <w:rPr>
                <w:rFonts w:ascii="Aptos Narrow" w:eastAsia="Times New Roman" w:hAnsi="Aptos Narrow" w:cs="Times New Roman"/>
                <w:b w:val="0"/>
                <w:color w:val="000000"/>
                <w:sz w:val="22"/>
                <w:lang w:eastAsia="en-GB"/>
              </w:rPr>
              <w:t>Temp. profiles OK</w:t>
            </w:r>
          </w:p>
        </w:tc>
      </w:tr>
      <w:tr w:rsidR="00413739" w:rsidRPr="00DD25B4" w14:paraId="7067A932" w14:textId="77777777" w:rsidTr="00413739">
        <w:trPr>
          <w:trHeight w:val="300"/>
        </w:trPr>
        <w:tc>
          <w:tcPr>
            <w:tcW w:w="3100" w:type="dxa"/>
            <w:tcBorders>
              <w:top w:val="single" w:sz="4" w:space="0" w:color="000000"/>
              <w:left w:val="single" w:sz="4" w:space="0" w:color="000000"/>
              <w:bottom w:val="single" w:sz="8" w:space="0" w:color="000000"/>
              <w:right w:val="single" w:sz="4" w:space="0" w:color="000000"/>
            </w:tcBorders>
            <w:shd w:val="clear" w:color="D9D9D9" w:fill="D9D9D9"/>
            <w:noWrap/>
            <w:vAlign w:val="center"/>
            <w:hideMark/>
          </w:tcPr>
          <w:p w14:paraId="70A5CA58" w14:textId="77777777" w:rsidR="00413739" w:rsidRPr="00DD25B4" w:rsidRDefault="00413739" w:rsidP="00413739">
            <w:pPr>
              <w:spacing w:line="240" w:lineRule="auto"/>
              <w:jc w:val="center"/>
              <w:rPr>
                <w:rFonts w:ascii="Aptos Narrow" w:eastAsia="Times New Roman" w:hAnsi="Aptos Narrow" w:cs="Times New Roman"/>
                <w:b w:val="0"/>
                <w:color w:val="000000"/>
                <w:sz w:val="22"/>
                <w:lang w:eastAsia="en-GB"/>
              </w:rPr>
            </w:pPr>
            <w:r w:rsidRPr="00DD25B4">
              <w:rPr>
                <w:rFonts w:ascii="Aptos Narrow" w:eastAsia="Times New Roman" w:hAnsi="Aptos Narrow" w:cs="Times New Roman"/>
                <w:b w:val="0"/>
                <w:color w:val="000000"/>
                <w:sz w:val="22"/>
                <w:lang w:eastAsia="en-GB"/>
              </w:rPr>
              <w:t>Temperature Calibration</w:t>
            </w:r>
          </w:p>
        </w:tc>
        <w:tc>
          <w:tcPr>
            <w:tcW w:w="1200" w:type="dxa"/>
            <w:tcBorders>
              <w:top w:val="single" w:sz="4" w:space="0" w:color="000000"/>
              <w:left w:val="single" w:sz="4" w:space="0" w:color="000000"/>
              <w:bottom w:val="single" w:sz="8" w:space="0" w:color="000000"/>
              <w:right w:val="single" w:sz="4" w:space="0" w:color="000000"/>
            </w:tcBorders>
            <w:shd w:val="clear" w:color="D9D9D9" w:fill="D9D9D9"/>
            <w:noWrap/>
            <w:vAlign w:val="center"/>
            <w:hideMark/>
          </w:tcPr>
          <w:p w14:paraId="23507DCB" w14:textId="56B68CBE" w:rsidR="00413739" w:rsidRPr="00DD25B4" w:rsidRDefault="00413739" w:rsidP="00413739">
            <w:pPr>
              <w:spacing w:line="240" w:lineRule="auto"/>
              <w:jc w:val="center"/>
              <w:rPr>
                <w:rFonts w:ascii="Aptos Narrow" w:eastAsia="Times New Roman" w:hAnsi="Aptos Narrow" w:cs="Times New Roman"/>
                <w:b w:val="0"/>
                <w:color w:val="000000"/>
                <w:sz w:val="22"/>
                <w:lang w:eastAsia="en-GB"/>
              </w:rPr>
            </w:pPr>
            <w:r w:rsidRPr="00DD25B4">
              <w:rPr>
                <w:rFonts w:ascii="Aptos Narrow" w:eastAsia="Times New Roman" w:hAnsi="Aptos Narrow" w:cs="Times New Roman"/>
                <w:b w:val="0"/>
                <w:color w:val="000000"/>
                <w:sz w:val="22"/>
                <w:lang w:eastAsia="en-GB"/>
              </w:rPr>
              <w:t>OK</w:t>
            </w:r>
          </w:p>
        </w:tc>
        <w:tc>
          <w:tcPr>
            <w:tcW w:w="3320" w:type="dxa"/>
            <w:tcBorders>
              <w:top w:val="single" w:sz="4" w:space="0" w:color="000000"/>
              <w:left w:val="single" w:sz="4" w:space="0" w:color="000000"/>
              <w:bottom w:val="single" w:sz="8" w:space="0" w:color="000000"/>
              <w:right w:val="single" w:sz="4" w:space="0" w:color="000000"/>
            </w:tcBorders>
            <w:shd w:val="clear" w:color="D9D9D9" w:fill="D9D9D9"/>
            <w:noWrap/>
            <w:vAlign w:val="center"/>
            <w:hideMark/>
          </w:tcPr>
          <w:p w14:paraId="61F696E8" w14:textId="77777777" w:rsidR="00413739" w:rsidRPr="00DD25B4" w:rsidRDefault="00413739" w:rsidP="00413739">
            <w:pPr>
              <w:spacing w:line="240" w:lineRule="auto"/>
              <w:jc w:val="center"/>
              <w:rPr>
                <w:rFonts w:ascii="Aptos Narrow" w:eastAsia="Times New Roman" w:hAnsi="Aptos Narrow" w:cs="Times New Roman"/>
                <w:b w:val="0"/>
                <w:color w:val="000000"/>
                <w:sz w:val="22"/>
                <w:lang w:eastAsia="en-GB"/>
              </w:rPr>
            </w:pPr>
            <w:r w:rsidRPr="00DD25B4">
              <w:rPr>
                <w:rFonts w:ascii="Aptos Narrow" w:eastAsia="Times New Roman" w:hAnsi="Aptos Narrow" w:cs="Times New Roman"/>
                <w:b w:val="0"/>
                <w:color w:val="000000"/>
                <w:sz w:val="22"/>
                <w:lang w:eastAsia="en-GB"/>
              </w:rPr>
              <w:t>Check on all 3 loops</w:t>
            </w:r>
          </w:p>
        </w:tc>
        <w:tc>
          <w:tcPr>
            <w:tcW w:w="1920" w:type="dxa"/>
            <w:tcBorders>
              <w:top w:val="single" w:sz="4" w:space="0" w:color="000000"/>
              <w:left w:val="single" w:sz="4" w:space="0" w:color="000000"/>
              <w:bottom w:val="single" w:sz="8" w:space="0" w:color="000000"/>
              <w:right w:val="single" w:sz="4" w:space="0" w:color="000000"/>
            </w:tcBorders>
            <w:shd w:val="clear" w:color="D9D9D9" w:fill="D9D9D9"/>
            <w:noWrap/>
            <w:vAlign w:val="center"/>
            <w:hideMark/>
          </w:tcPr>
          <w:p w14:paraId="4C082B08" w14:textId="77777777" w:rsidR="00413739" w:rsidRPr="00DD25B4" w:rsidRDefault="00413739" w:rsidP="007B6D23">
            <w:pPr>
              <w:keepNext/>
              <w:spacing w:line="240" w:lineRule="auto"/>
              <w:jc w:val="center"/>
              <w:rPr>
                <w:rFonts w:ascii="Aptos Narrow" w:eastAsia="Times New Roman" w:hAnsi="Aptos Narrow" w:cs="Times New Roman"/>
                <w:b w:val="0"/>
                <w:color w:val="000000"/>
                <w:sz w:val="22"/>
                <w:lang w:eastAsia="en-GB"/>
              </w:rPr>
            </w:pPr>
            <w:r w:rsidRPr="00DD25B4">
              <w:rPr>
                <w:rFonts w:ascii="Aptos Narrow" w:eastAsia="Times New Roman" w:hAnsi="Aptos Narrow" w:cs="Times New Roman"/>
                <w:b w:val="0"/>
                <w:color w:val="000000"/>
                <w:sz w:val="22"/>
                <w:lang w:eastAsia="en-GB"/>
              </w:rPr>
              <w:t>Error less than ±1°C</w:t>
            </w:r>
          </w:p>
        </w:tc>
      </w:tr>
    </w:tbl>
    <w:p w14:paraId="72B1FE82" w14:textId="271694DE" w:rsidR="00040057" w:rsidRPr="00DD25B4" w:rsidRDefault="007B6D23" w:rsidP="008969DF">
      <w:pPr>
        <w:pStyle w:val="Caption"/>
      </w:pPr>
      <w:bookmarkStart w:id="31" w:name="_Toc164832290"/>
      <w:r w:rsidRPr="00DD25B4">
        <w:t xml:space="preserve">Table </w:t>
      </w:r>
      <w:r w:rsidRPr="00DD25B4">
        <w:fldChar w:fldCharType="begin"/>
      </w:r>
      <w:r w:rsidRPr="00DD25B4">
        <w:instrText xml:space="preserve"> SEQ Table \* ARABIC </w:instrText>
      </w:r>
      <w:r w:rsidRPr="00DD25B4">
        <w:fldChar w:fldCharType="separate"/>
      </w:r>
      <w:r w:rsidRPr="00DD25B4">
        <w:t>1</w:t>
      </w:r>
      <w:r w:rsidRPr="00DD25B4">
        <w:fldChar w:fldCharType="end"/>
      </w:r>
      <w:r w:rsidRPr="00DD25B4">
        <w:t xml:space="preserve"> - Shows the Temperature Controls are Within Specification</w:t>
      </w:r>
      <w:bookmarkEnd w:id="31"/>
    </w:p>
    <w:tbl>
      <w:tblPr>
        <w:tblW w:w="9540" w:type="dxa"/>
        <w:tblLook w:val="04A0" w:firstRow="1" w:lastRow="0" w:firstColumn="1" w:lastColumn="0" w:noHBand="0" w:noVBand="1"/>
      </w:tblPr>
      <w:tblGrid>
        <w:gridCol w:w="3100"/>
        <w:gridCol w:w="1200"/>
        <w:gridCol w:w="3320"/>
        <w:gridCol w:w="1920"/>
      </w:tblGrid>
      <w:tr w:rsidR="00AC27C2" w:rsidRPr="00DD25B4" w14:paraId="5E853363" w14:textId="77777777" w:rsidTr="00AC27C2">
        <w:trPr>
          <w:trHeight w:val="315"/>
        </w:trPr>
        <w:tc>
          <w:tcPr>
            <w:tcW w:w="3100" w:type="dxa"/>
            <w:tcBorders>
              <w:top w:val="single" w:sz="8" w:space="0" w:color="000000"/>
              <w:left w:val="single" w:sz="4" w:space="0" w:color="000000"/>
              <w:bottom w:val="single" w:sz="8" w:space="0" w:color="000000"/>
              <w:right w:val="single" w:sz="4" w:space="0" w:color="000000"/>
            </w:tcBorders>
            <w:shd w:val="clear" w:color="000000" w:fill="000000"/>
            <w:noWrap/>
            <w:vAlign w:val="center"/>
            <w:hideMark/>
          </w:tcPr>
          <w:p w14:paraId="0AA935CC" w14:textId="77777777" w:rsidR="00AC27C2" w:rsidRPr="00DD25B4" w:rsidRDefault="00AC27C2" w:rsidP="00AC27C2">
            <w:pPr>
              <w:spacing w:line="240" w:lineRule="auto"/>
              <w:jc w:val="center"/>
              <w:rPr>
                <w:rFonts w:ascii="Aptos Narrow" w:eastAsia="Times New Roman" w:hAnsi="Aptos Narrow" w:cs="Times New Roman"/>
                <w:bCs/>
                <w:color w:val="FFFFFF"/>
                <w:sz w:val="22"/>
                <w:lang w:eastAsia="en-GB"/>
              </w:rPr>
            </w:pPr>
            <w:r w:rsidRPr="00DD25B4">
              <w:rPr>
                <w:rFonts w:ascii="Aptos Narrow" w:eastAsia="Times New Roman" w:hAnsi="Aptos Narrow" w:cs="Times New Roman"/>
                <w:bCs/>
                <w:color w:val="FFFFFF"/>
                <w:sz w:val="22"/>
                <w:lang w:eastAsia="en-GB"/>
              </w:rPr>
              <w:t>Check</w:t>
            </w:r>
          </w:p>
        </w:tc>
        <w:tc>
          <w:tcPr>
            <w:tcW w:w="1200" w:type="dxa"/>
            <w:tcBorders>
              <w:top w:val="single" w:sz="8" w:space="0" w:color="000000"/>
              <w:left w:val="single" w:sz="4" w:space="0" w:color="000000"/>
              <w:bottom w:val="single" w:sz="8" w:space="0" w:color="000000"/>
              <w:right w:val="single" w:sz="4" w:space="0" w:color="000000"/>
            </w:tcBorders>
            <w:shd w:val="clear" w:color="000000" w:fill="000000"/>
            <w:noWrap/>
            <w:vAlign w:val="center"/>
            <w:hideMark/>
          </w:tcPr>
          <w:p w14:paraId="18817D4C" w14:textId="77777777" w:rsidR="00AC27C2" w:rsidRPr="00DD25B4" w:rsidRDefault="00AC27C2" w:rsidP="00AC27C2">
            <w:pPr>
              <w:spacing w:line="240" w:lineRule="auto"/>
              <w:jc w:val="center"/>
              <w:rPr>
                <w:rFonts w:ascii="Aptos Narrow" w:eastAsia="Times New Roman" w:hAnsi="Aptos Narrow" w:cs="Times New Roman"/>
                <w:bCs/>
                <w:color w:val="FFFFFF"/>
                <w:sz w:val="22"/>
                <w:lang w:eastAsia="en-GB"/>
              </w:rPr>
            </w:pPr>
            <w:r w:rsidRPr="00DD25B4">
              <w:rPr>
                <w:rFonts w:ascii="Aptos Narrow" w:eastAsia="Times New Roman" w:hAnsi="Aptos Narrow" w:cs="Times New Roman"/>
                <w:bCs/>
                <w:color w:val="FFFFFF"/>
                <w:sz w:val="22"/>
                <w:lang w:eastAsia="en-GB"/>
              </w:rPr>
              <w:t>Result</w:t>
            </w:r>
          </w:p>
        </w:tc>
        <w:tc>
          <w:tcPr>
            <w:tcW w:w="3320" w:type="dxa"/>
            <w:tcBorders>
              <w:top w:val="single" w:sz="8" w:space="0" w:color="000000"/>
              <w:left w:val="single" w:sz="4" w:space="0" w:color="000000"/>
              <w:bottom w:val="single" w:sz="8" w:space="0" w:color="000000"/>
              <w:right w:val="single" w:sz="4" w:space="0" w:color="000000"/>
            </w:tcBorders>
            <w:shd w:val="clear" w:color="000000" w:fill="000000"/>
            <w:noWrap/>
            <w:vAlign w:val="center"/>
            <w:hideMark/>
          </w:tcPr>
          <w:p w14:paraId="3AB08A33" w14:textId="77777777" w:rsidR="00AC27C2" w:rsidRPr="00DD25B4" w:rsidRDefault="00AC27C2" w:rsidP="00AC27C2">
            <w:pPr>
              <w:spacing w:line="240" w:lineRule="auto"/>
              <w:jc w:val="center"/>
              <w:rPr>
                <w:rFonts w:ascii="Aptos Narrow" w:eastAsia="Times New Roman" w:hAnsi="Aptos Narrow" w:cs="Times New Roman"/>
                <w:bCs/>
                <w:color w:val="FFFFFF"/>
                <w:sz w:val="22"/>
                <w:lang w:eastAsia="en-GB"/>
              </w:rPr>
            </w:pPr>
            <w:r w:rsidRPr="00DD25B4">
              <w:rPr>
                <w:rFonts w:ascii="Aptos Narrow" w:eastAsia="Times New Roman" w:hAnsi="Aptos Narrow" w:cs="Times New Roman"/>
                <w:bCs/>
                <w:color w:val="FFFFFF"/>
                <w:sz w:val="22"/>
                <w:lang w:eastAsia="en-GB"/>
              </w:rPr>
              <w:t>Activity Description</w:t>
            </w:r>
          </w:p>
        </w:tc>
        <w:tc>
          <w:tcPr>
            <w:tcW w:w="1920" w:type="dxa"/>
            <w:tcBorders>
              <w:top w:val="single" w:sz="8" w:space="0" w:color="000000"/>
              <w:left w:val="single" w:sz="4" w:space="0" w:color="000000"/>
              <w:bottom w:val="single" w:sz="8" w:space="0" w:color="000000"/>
              <w:right w:val="single" w:sz="4" w:space="0" w:color="000000"/>
            </w:tcBorders>
            <w:shd w:val="clear" w:color="000000" w:fill="000000"/>
            <w:noWrap/>
            <w:vAlign w:val="center"/>
            <w:hideMark/>
          </w:tcPr>
          <w:p w14:paraId="21B2AC35" w14:textId="77777777" w:rsidR="00AC27C2" w:rsidRPr="00DD25B4" w:rsidRDefault="00AC27C2" w:rsidP="00AC27C2">
            <w:pPr>
              <w:spacing w:line="240" w:lineRule="auto"/>
              <w:jc w:val="center"/>
              <w:rPr>
                <w:rFonts w:ascii="Aptos Narrow" w:eastAsia="Times New Roman" w:hAnsi="Aptos Narrow" w:cs="Times New Roman"/>
                <w:bCs/>
                <w:color w:val="FFFFFF"/>
                <w:sz w:val="22"/>
                <w:lang w:eastAsia="en-GB"/>
              </w:rPr>
            </w:pPr>
            <w:r w:rsidRPr="00DD25B4">
              <w:rPr>
                <w:rFonts w:ascii="Aptos Narrow" w:eastAsia="Times New Roman" w:hAnsi="Aptos Narrow" w:cs="Times New Roman"/>
                <w:bCs/>
                <w:color w:val="FFFFFF"/>
                <w:sz w:val="22"/>
                <w:lang w:eastAsia="en-GB"/>
              </w:rPr>
              <w:t>Notes</w:t>
            </w:r>
          </w:p>
        </w:tc>
      </w:tr>
      <w:tr w:rsidR="00AC27C2" w:rsidRPr="00DD25B4" w14:paraId="4835A9D4" w14:textId="77777777" w:rsidTr="00AC27C2">
        <w:trPr>
          <w:trHeight w:val="1200"/>
        </w:trPr>
        <w:tc>
          <w:tcPr>
            <w:tcW w:w="3100" w:type="dxa"/>
            <w:tcBorders>
              <w:top w:val="single" w:sz="4" w:space="0" w:color="FFFFFF"/>
              <w:left w:val="nil"/>
              <w:bottom w:val="nil"/>
              <w:right w:val="single" w:sz="4" w:space="0" w:color="FFFFFF"/>
            </w:tcBorders>
            <w:shd w:val="clear" w:color="A6A6A6" w:fill="A6A6A6"/>
            <w:noWrap/>
            <w:vAlign w:val="center"/>
            <w:hideMark/>
          </w:tcPr>
          <w:p w14:paraId="37113767" w14:textId="77777777" w:rsidR="00AC27C2" w:rsidRPr="00DD25B4" w:rsidRDefault="00AC27C2" w:rsidP="00AC27C2">
            <w:pPr>
              <w:spacing w:line="240" w:lineRule="auto"/>
              <w:jc w:val="center"/>
              <w:rPr>
                <w:rFonts w:ascii="Aptos Narrow" w:eastAsia="Times New Roman" w:hAnsi="Aptos Narrow" w:cs="Times New Roman"/>
                <w:b w:val="0"/>
                <w:color w:val="000000"/>
                <w:sz w:val="22"/>
                <w:lang w:eastAsia="en-GB"/>
              </w:rPr>
            </w:pPr>
            <w:r w:rsidRPr="00DD25B4">
              <w:rPr>
                <w:rFonts w:ascii="Aptos Narrow" w:eastAsia="Times New Roman" w:hAnsi="Aptos Narrow" w:cs="Times New Roman"/>
                <w:b w:val="0"/>
                <w:color w:val="000000"/>
                <w:sz w:val="22"/>
                <w:lang w:eastAsia="en-GB"/>
              </w:rPr>
              <w:t>GAS lines</w:t>
            </w:r>
          </w:p>
        </w:tc>
        <w:tc>
          <w:tcPr>
            <w:tcW w:w="1200" w:type="dxa"/>
            <w:tcBorders>
              <w:top w:val="single" w:sz="4" w:space="0" w:color="FFFFFF"/>
              <w:left w:val="single" w:sz="4" w:space="0" w:color="FFFFFF"/>
              <w:bottom w:val="nil"/>
              <w:right w:val="single" w:sz="4" w:space="0" w:color="FFFFFF"/>
            </w:tcBorders>
            <w:shd w:val="clear" w:color="A6A6A6" w:fill="A6A6A6"/>
            <w:noWrap/>
            <w:vAlign w:val="center"/>
            <w:hideMark/>
          </w:tcPr>
          <w:p w14:paraId="2A874D7A" w14:textId="77777777" w:rsidR="00AC27C2" w:rsidRPr="00DD25B4" w:rsidRDefault="00AC27C2" w:rsidP="00AC27C2">
            <w:pPr>
              <w:spacing w:line="240" w:lineRule="auto"/>
              <w:jc w:val="center"/>
              <w:rPr>
                <w:rFonts w:ascii="Aptos Narrow" w:eastAsia="Times New Roman" w:hAnsi="Aptos Narrow" w:cs="Times New Roman"/>
                <w:b w:val="0"/>
                <w:color w:val="000000"/>
                <w:sz w:val="22"/>
                <w:lang w:eastAsia="en-GB"/>
              </w:rPr>
            </w:pPr>
            <w:r w:rsidRPr="00DD25B4">
              <w:rPr>
                <w:rFonts w:ascii="Aptos Narrow" w:eastAsia="Times New Roman" w:hAnsi="Aptos Narrow" w:cs="Times New Roman"/>
                <w:b w:val="0"/>
                <w:color w:val="000000"/>
                <w:sz w:val="22"/>
                <w:lang w:eastAsia="en-GB"/>
              </w:rPr>
              <w:t>NO OK</w:t>
            </w:r>
          </w:p>
        </w:tc>
        <w:tc>
          <w:tcPr>
            <w:tcW w:w="3320" w:type="dxa"/>
            <w:tcBorders>
              <w:top w:val="single" w:sz="4" w:space="0" w:color="FFFFFF"/>
              <w:left w:val="single" w:sz="4" w:space="0" w:color="FFFFFF"/>
              <w:bottom w:val="nil"/>
              <w:right w:val="single" w:sz="4" w:space="0" w:color="FFFFFF"/>
            </w:tcBorders>
            <w:shd w:val="clear" w:color="A6A6A6" w:fill="A6A6A6"/>
            <w:vAlign w:val="center"/>
            <w:hideMark/>
          </w:tcPr>
          <w:p w14:paraId="23B3F9BE" w14:textId="27A5AEE8" w:rsidR="00AC27C2" w:rsidRPr="00DD25B4" w:rsidRDefault="00AC27C2" w:rsidP="00AC27C2">
            <w:pPr>
              <w:spacing w:line="240" w:lineRule="auto"/>
              <w:jc w:val="center"/>
              <w:rPr>
                <w:rFonts w:ascii="Aptos Narrow" w:eastAsia="Times New Roman" w:hAnsi="Aptos Narrow" w:cs="Times New Roman"/>
                <w:b w:val="0"/>
                <w:color w:val="000000"/>
                <w:sz w:val="22"/>
                <w:lang w:eastAsia="en-GB"/>
              </w:rPr>
            </w:pPr>
            <w:r w:rsidRPr="00DD25B4">
              <w:rPr>
                <w:rFonts w:ascii="Aptos Narrow" w:eastAsia="Times New Roman" w:hAnsi="Aptos Narrow" w:cs="Times New Roman"/>
                <w:b w:val="0"/>
                <w:color w:val="000000"/>
                <w:sz w:val="22"/>
                <w:lang w:eastAsia="en-GB"/>
              </w:rPr>
              <w:t>Check of all GAS lies and Mass Flow Controller parameters</w:t>
            </w:r>
          </w:p>
        </w:tc>
        <w:tc>
          <w:tcPr>
            <w:tcW w:w="1920" w:type="dxa"/>
            <w:tcBorders>
              <w:top w:val="single" w:sz="4" w:space="0" w:color="FFFFFF"/>
              <w:left w:val="single" w:sz="4" w:space="0" w:color="FFFFFF"/>
              <w:bottom w:val="nil"/>
              <w:right w:val="nil"/>
            </w:tcBorders>
            <w:shd w:val="clear" w:color="A6A6A6" w:fill="A6A6A6"/>
            <w:vAlign w:val="center"/>
            <w:hideMark/>
          </w:tcPr>
          <w:p w14:paraId="4A80BF3F" w14:textId="77777777" w:rsidR="00AC27C2" w:rsidRPr="00DD25B4" w:rsidRDefault="00AC27C2" w:rsidP="007B6D23">
            <w:pPr>
              <w:keepNext/>
              <w:spacing w:line="240" w:lineRule="auto"/>
              <w:jc w:val="center"/>
              <w:rPr>
                <w:rFonts w:ascii="Aptos Narrow" w:eastAsia="Times New Roman" w:hAnsi="Aptos Narrow" w:cs="Times New Roman"/>
                <w:b w:val="0"/>
                <w:color w:val="000000"/>
                <w:sz w:val="22"/>
                <w:lang w:eastAsia="en-GB"/>
              </w:rPr>
            </w:pPr>
            <w:r w:rsidRPr="00DD25B4">
              <w:rPr>
                <w:rFonts w:ascii="Aptos Narrow" w:eastAsia="Times New Roman" w:hAnsi="Aptos Narrow" w:cs="Times New Roman"/>
                <w:b w:val="0"/>
                <w:color w:val="000000"/>
                <w:sz w:val="22"/>
                <w:lang w:eastAsia="en-GB"/>
              </w:rPr>
              <w:t>Error on:</w:t>
            </w:r>
            <w:r w:rsidRPr="00DD25B4">
              <w:rPr>
                <w:rFonts w:ascii="Aptos Narrow" w:eastAsia="Times New Roman" w:hAnsi="Aptos Narrow" w:cs="Times New Roman"/>
                <w:b w:val="0"/>
                <w:color w:val="000000"/>
                <w:sz w:val="22"/>
                <w:lang w:eastAsia="en-GB"/>
              </w:rPr>
              <w:br/>
              <w:t>N2 Flow Rate: 17.5%</w:t>
            </w:r>
            <w:r w:rsidRPr="00DD25B4">
              <w:rPr>
                <w:rFonts w:ascii="Aptos Narrow" w:eastAsia="Times New Roman" w:hAnsi="Aptos Narrow" w:cs="Times New Roman"/>
                <w:b w:val="0"/>
                <w:color w:val="000000"/>
                <w:sz w:val="22"/>
                <w:lang w:eastAsia="en-GB"/>
              </w:rPr>
              <w:br/>
              <w:t>CO2 Flow Rate: 15%</w:t>
            </w:r>
          </w:p>
        </w:tc>
      </w:tr>
    </w:tbl>
    <w:p w14:paraId="3B5B151E" w14:textId="27A456C9" w:rsidR="00AC27C2" w:rsidRPr="00DD25B4" w:rsidRDefault="007B6D23" w:rsidP="007B6D23">
      <w:pPr>
        <w:pStyle w:val="Caption"/>
        <w:rPr>
          <w:rFonts w:ascii="Arial" w:hAnsi="Arial" w:cs="Arial"/>
          <w:b w:val="0"/>
          <w:bCs/>
          <w:color w:val="auto"/>
          <w:sz w:val="22"/>
        </w:rPr>
      </w:pPr>
      <w:bookmarkStart w:id="32" w:name="_Toc164832291"/>
      <w:r w:rsidRPr="00DD25B4">
        <w:t xml:space="preserve">Table </w:t>
      </w:r>
      <w:r w:rsidRPr="00DD25B4">
        <w:fldChar w:fldCharType="begin"/>
      </w:r>
      <w:r w:rsidRPr="00DD25B4">
        <w:instrText xml:space="preserve"> SEQ Table \* ARABIC </w:instrText>
      </w:r>
      <w:r w:rsidRPr="00DD25B4">
        <w:fldChar w:fldCharType="separate"/>
      </w:r>
      <w:r w:rsidRPr="00DD25B4">
        <w:t>2</w:t>
      </w:r>
      <w:r w:rsidRPr="00DD25B4">
        <w:fldChar w:fldCharType="end"/>
      </w:r>
      <w:r w:rsidRPr="00DD25B4">
        <w:t xml:space="preserve"> - Showing the Condition of the Mass flow Controllers</w:t>
      </w:r>
      <w:bookmarkEnd w:id="32"/>
    </w:p>
    <w:p w14:paraId="19C336C7" w14:textId="4D04B3D9" w:rsidR="00040057" w:rsidRDefault="00BA583F" w:rsidP="00E87651">
      <w:pPr>
        <w:spacing w:line="360" w:lineRule="auto"/>
        <w:jc w:val="both"/>
        <w:rPr>
          <w:rFonts w:ascii="Arial" w:hAnsi="Arial" w:cs="Arial"/>
          <w:b w:val="0"/>
          <w:bCs/>
          <w:color w:val="auto"/>
          <w:sz w:val="22"/>
        </w:rPr>
      </w:pPr>
      <w:r w:rsidRPr="00DD25B4">
        <w:rPr>
          <w:rFonts w:ascii="Arial" w:hAnsi="Arial" w:cs="Arial"/>
          <w:b w:val="0"/>
          <w:bCs/>
          <w:color w:val="auto"/>
          <w:sz w:val="22"/>
        </w:rPr>
        <w:t xml:space="preserve">The report highlighted another underlying issue pertaining to the mass flow controller situated within the control panel. The mass flow controller serves as an instrument regulating the flow rates of gas allowed to pass through. During testing, the system is heated to 1100 degrees Celsius under a flow rate of 5L/min of Nitrogen. Upon reaching the desired temperature, the gas is then switched to a flow rate of 5L/min of Carbon Dioxide. The report revealed that both mass flow controllers were operating outside of the specified parameters. Specifically, the Nitrogen flow rate deviated by 17.5%, while the Carbon Dioxide flow rate deviated by 15%. Such deviations were deemed unacceptable, prompting the immediate procurement of two new mass flow controllers. </w:t>
      </w:r>
      <w:r w:rsidR="00253A5C" w:rsidRPr="00DD25B4">
        <w:rPr>
          <w:rFonts w:ascii="Arial" w:hAnsi="Arial" w:cs="Arial"/>
          <w:b w:val="0"/>
          <w:bCs/>
          <w:color w:val="auto"/>
          <w:sz w:val="22"/>
        </w:rPr>
        <w:t xml:space="preserve">The report also stated that the condition </w:t>
      </w:r>
      <w:r w:rsidRPr="00DD25B4">
        <w:rPr>
          <w:rFonts w:ascii="Arial" w:hAnsi="Arial" w:cs="Arial"/>
          <w:b w:val="0"/>
          <w:bCs/>
          <w:color w:val="auto"/>
          <w:sz w:val="22"/>
        </w:rPr>
        <w:t>o</w:t>
      </w:r>
      <w:r w:rsidR="00253A5C" w:rsidRPr="00DD25B4">
        <w:rPr>
          <w:rFonts w:ascii="Arial" w:hAnsi="Arial" w:cs="Arial"/>
          <w:b w:val="0"/>
          <w:bCs/>
          <w:color w:val="auto"/>
          <w:sz w:val="22"/>
        </w:rPr>
        <w:t xml:space="preserve">f the brickwork needed to be repaired for results to become reliable and accurate. This in the current climate was not possible right away. </w:t>
      </w:r>
    </w:p>
    <w:p w14:paraId="59E1DC7F" w14:textId="77777777" w:rsidR="008969DF" w:rsidRDefault="008969DF" w:rsidP="00E87651">
      <w:pPr>
        <w:spacing w:line="360" w:lineRule="auto"/>
        <w:jc w:val="both"/>
        <w:rPr>
          <w:rFonts w:ascii="Arial" w:hAnsi="Arial" w:cs="Arial"/>
          <w:b w:val="0"/>
          <w:bCs/>
          <w:color w:val="auto"/>
          <w:sz w:val="22"/>
        </w:rPr>
      </w:pPr>
    </w:p>
    <w:p w14:paraId="2C184472" w14:textId="77777777" w:rsidR="008969DF" w:rsidRDefault="008969DF" w:rsidP="00E87651">
      <w:pPr>
        <w:spacing w:line="360" w:lineRule="auto"/>
        <w:jc w:val="both"/>
        <w:rPr>
          <w:rFonts w:ascii="Arial" w:hAnsi="Arial" w:cs="Arial"/>
          <w:b w:val="0"/>
          <w:bCs/>
          <w:color w:val="auto"/>
          <w:sz w:val="22"/>
        </w:rPr>
      </w:pPr>
    </w:p>
    <w:p w14:paraId="772D493E" w14:textId="77777777" w:rsidR="008969DF" w:rsidRDefault="008969DF" w:rsidP="00E87651">
      <w:pPr>
        <w:spacing w:line="360" w:lineRule="auto"/>
        <w:jc w:val="both"/>
        <w:rPr>
          <w:rFonts w:ascii="Arial" w:hAnsi="Arial" w:cs="Arial"/>
          <w:b w:val="0"/>
          <w:bCs/>
          <w:color w:val="auto"/>
          <w:sz w:val="22"/>
        </w:rPr>
      </w:pPr>
    </w:p>
    <w:p w14:paraId="645A11FB" w14:textId="03A79737" w:rsidR="008969DF" w:rsidRDefault="008969DF" w:rsidP="00E87651">
      <w:pPr>
        <w:spacing w:line="360" w:lineRule="auto"/>
        <w:jc w:val="both"/>
        <w:rPr>
          <w:rFonts w:ascii="Arial" w:hAnsi="Arial" w:cs="Arial"/>
          <w:b w:val="0"/>
          <w:bCs/>
          <w:color w:val="auto"/>
          <w:sz w:val="22"/>
        </w:rPr>
      </w:pPr>
    </w:p>
    <w:p w14:paraId="229335DA" w14:textId="256417C9" w:rsidR="00AC0E83" w:rsidRDefault="00AC0E83" w:rsidP="00E87651">
      <w:pPr>
        <w:spacing w:line="360" w:lineRule="auto"/>
        <w:jc w:val="both"/>
        <w:rPr>
          <w:rFonts w:ascii="Arial" w:hAnsi="Arial" w:cs="Arial"/>
          <w:b w:val="0"/>
          <w:bCs/>
          <w:color w:val="auto"/>
          <w:sz w:val="22"/>
        </w:rPr>
      </w:pPr>
      <w:r w:rsidRPr="00DD25B4">
        <w:rPr>
          <w:noProof/>
        </w:rPr>
        <w:lastRenderedPageBreak/>
        <mc:AlternateContent>
          <mc:Choice Requires="wps">
            <w:drawing>
              <wp:anchor distT="0" distB="0" distL="114300" distR="114300" simplePos="0" relativeHeight="251738112" behindDoc="0" locked="0" layoutInCell="1" allowOverlap="1" wp14:anchorId="55DA6B95" wp14:editId="36381198">
                <wp:simplePos x="0" y="0"/>
                <wp:positionH relativeFrom="column">
                  <wp:posOffset>157432</wp:posOffset>
                </wp:positionH>
                <wp:positionV relativeFrom="paragraph">
                  <wp:posOffset>2685329</wp:posOffset>
                </wp:positionV>
                <wp:extent cx="3548380" cy="635"/>
                <wp:effectExtent l="0" t="0" r="0" b="0"/>
                <wp:wrapTopAndBottom/>
                <wp:docPr id="775799559" name="Text Box 1"/>
                <wp:cNvGraphicFramePr/>
                <a:graphic xmlns:a="http://schemas.openxmlformats.org/drawingml/2006/main">
                  <a:graphicData uri="http://schemas.microsoft.com/office/word/2010/wordprocessingShape">
                    <wps:wsp>
                      <wps:cNvSpPr txBox="1"/>
                      <wps:spPr>
                        <a:xfrm>
                          <a:off x="0" y="0"/>
                          <a:ext cx="3548380" cy="635"/>
                        </a:xfrm>
                        <a:prstGeom prst="rect">
                          <a:avLst/>
                        </a:prstGeom>
                        <a:solidFill>
                          <a:prstClr val="white"/>
                        </a:solidFill>
                        <a:ln>
                          <a:noFill/>
                        </a:ln>
                      </wps:spPr>
                      <wps:txbx>
                        <w:txbxContent>
                          <w:p w14:paraId="47594252" w14:textId="3321F0BD" w:rsidR="00512B60" w:rsidRPr="00DD25B4" w:rsidRDefault="00512B60" w:rsidP="00512B60">
                            <w:pPr>
                              <w:pStyle w:val="Caption"/>
                              <w:rPr>
                                <w:sz w:val="28"/>
                                <w:szCs w:val="22"/>
                              </w:rPr>
                            </w:pPr>
                            <w:bookmarkStart w:id="33" w:name="_Toc164832287"/>
                            <w:r w:rsidRPr="00DD25B4">
                              <w:t xml:space="preserve">Figure </w:t>
                            </w:r>
                            <w:r w:rsidRPr="00DD25B4">
                              <w:fldChar w:fldCharType="begin"/>
                            </w:r>
                            <w:r w:rsidRPr="00DD25B4">
                              <w:instrText xml:space="preserve"> SEQ Figure \* ARABIC </w:instrText>
                            </w:r>
                            <w:r w:rsidRPr="00DD25B4">
                              <w:fldChar w:fldCharType="separate"/>
                            </w:r>
                            <w:r w:rsidR="00A34C35" w:rsidRPr="00DD25B4">
                              <w:t>10</w:t>
                            </w:r>
                            <w:r w:rsidRPr="00DD25B4">
                              <w:fldChar w:fldCharType="end"/>
                            </w:r>
                            <w:r w:rsidRPr="00DD25B4">
                              <w:t xml:space="preserve"> - Example of the Mass Flow Controller</w:t>
                            </w:r>
                            <w:bookmarkEnd w:id="3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5DA6B95" id="_x0000_s1034" type="#_x0000_t202" style="position:absolute;left:0;text-align:left;margin-left:12.4pt;margin-top:211.45pt;width:279.4pt;height:.05pt;z-index:2517381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" stroked="f">
                <v:textbox style="mso-fit-shape-to-text:t" inset="0,0,0,0">
                  <w:txbxContent>
                    <w:p w14:paraId="47594252" w14:textId="3321F0BD" w:rsidR="00512B60" w:rsidRPr="00DD25B4" w:rsidRDefault="00512B60" w:rsidP="00512B60">
                      <w:pPr>
                        <w:pStyle w:val="Caption"/>
                        <w:rPr>
                          <w:sz w:val="28"/>
                          <w:szCs w:val="22"/>
                        </w:rPr>
                      </w:pPr>
                      <w:bookmarkStart w:id="34" w:name="_Toc164832287"/>
                      <w:r w:rsidRPr="00DD25B4">
                        <w:t xml:space="preserve">Figure </w:t>
                      </w:r>
                      <w:r w:rsidRPr="00DD25B4">
                        <w:fldChar w:fldCharType="begin"/>
                      </w:r>
                      <w:r w:rsidRPr="00DD25B4">
                        <w:instrText xml:space="preserve"> SEQ Figure \* ARABIC </w:instrText>
                      </w:r>
                      <w:r w:rsidRPr="00DD25B4">
                        <w:fldChar w:fldCharType="separate"/>
                      </w:r>
                      <w:r w:rsidR="00A34C35" w:rsidRPr="00DD25B4">
                        <w:t>10</w:t>
                      </w:r>
                      <w:r w:rsidRPr="00DD25B4">
                        <w:fldChar w:fldCharType="end"/>
                      </w:r>
                      <w:r w:rsidRPr="00DD25B4">
                        <w:t xml:space="preserve"> - Example of the Mass Flow Controller</w:t>
                      </w:r>
                      <w:bookmarkEnd w:id="34"/>
                    </w:p>
                  </w:txbxContent>
                </v:textbox>
                <w10:wrap type="topAndBottom"/>
              </v:shape>
            </w:pict>
          </mc:Fallback>
        </mc:AlternateContent>
      </w:r>
      <w:r w:rsidRPr="00DD25B4">
        <w:rPr>
          <w:bCs/>
          <w:noProof/>
          <w:color w:val="auto"/>
        </w:rPr>
        <w:drawing>
          <wp:anchor distT="0" distB="0" distL="114300" distR="114300" simplePos="0" relativeHeight="251692032" behindDoc="0" locked="0" layoutInCell="1" allowOverlap="1" wp14:anchorId="0622551E" wp14:editId="3399A231">
            <wp:simplePos x="0" y="0"/>
            <wp:positionH relativeFrom="margin">
              <wp:posOffset>1057559</wp:posOffset>
            </wp:positionH>
            <wp:positionV relativeFrom="paragraph">
              <wp:posOffset>19656</wp:posOffset>
            </wp:positionV>
            <wp:extent cx="3548380" cy="2607310"/>
            <wp:effectExtent l="19050" t="19050" r="13970" b="21590"/>
            <wp:wrapTopAndBottom/>
            <wp:docPr id="126698619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6986192" name="Picture 1266986192"/>
                    <pic:cNvPicPr/>
                  </pic:nvPicPr>
                  <pic:blipFill>
                    <a:blip r:embed="rId18">
                      <a:extLst>
                        <a:ext uri="{28A0092B-C50C-407E-A947-70E740481C1C}">
                          <a14:useLocalDpi xmlns:a14="http://schemas.microsoft.com/office/drawing/2010/main" val="0"/>
                        </a:ext>
                      </a:extLst>
                    </a:blip>
                    <a:stretch>
                      <a:fillRect/>
                    </a:stretch>
                  </pic:blipFill>
                  <pic:spPr>
                    <a:xfrm>
                      <a:off x="0" y="0"/>
                      <a:ext cx="3548380" cy="2607310"/>
                    </a:xfrm>
                    <a:prstGeom prst="rect">
                      <a:avLst/>
                    </a:prstGeom>
                    <a:ln>
                      <a:solidFill>
                        <a:schemeClr val="accent1"/>
                      </a:solidFill>
                    </a:ln>
                  </pic:spPr>
                </pic:pic>
              </a:graphicData>
            </a:graphic>
            <wp14:sizeRelH relativeFrom="page">
              <wp14:pctWidth>0</wp14:pctWidth>
            </wp14:sizeRelH>
            <wp14:sizeRelV relativeFrom="page">
              <wp14:pctHeight>0</wp14:pctHeight>
            </wp14:sizeRelV>
          </wp:anchor>
        </w:drawing>
      </w:r>
    </w:p>
    <w:p w14:paraId="179E6063" w14:textId="0E52CEA8" w:rsidR="00AC0E83" w:rsidRDefault="00AC0E83" w:rsidP="00E87651">
      <w:pPr>
        <w:spacing w:line="360" w:lineRule="auto"/>
        <w:jc w:val="both"/>
        <w:rPr>
          <w:rFonts w:ascii="Arial" w:hAnsi="Arial" w:cs="Arial"/>
          <w:b w:val="0"/>
          <w:bCs/>
          <w:color w:val="auto"/>
          <w:sz w:val="22"/>
        </w:rPr>
      </w:pPr>
    </w:p>
    <w:p w14:paraId="04C415CF" w14:textId="03426113" w:rsidR="00AC0E83" w:rsidRDefault="00AC0E83" w:rsidP="00E87651">
      <w:pPr>
        <w:spacing w:line="360" w:lineRule="auto"/>
        <w:jc w:val="both"/>
        <w:rPr>
          <w:rFonts w:ascii="Arial" w:hAnsi="Arial" w:cs="Arial"/>
          <w:b w:val="0"/>
          <w:bCs/>
          <w:color w:val="auto"/>
          <w:sz w:val="22"/>
        </w:rPr>
      </w:pPr>
    </w:p>
    <w:p w14:paraId="01CAD181" w14:textId="5BDC9A2A" w:rsidR="00AC0E83" w:rsidRDefault="00AC0E83" w:rsidP="00E87651">
      <w:pPr>
        <w:spacing w:line="360" w:lineRule="auto"/>
        <w:jc w:val="both"/>
        <w:rPr>
          <w:rFonts w:ascii="Arial" w:hAnsi="Arial" w:cs="Arial"/>
          <w:b w:val="0"/>
          <w:bCs/>
          <w:color w:val="auto"/>
          <w:sz w:val="22"/>
        </w:rPr>
      </w:pPr>
    </w:p>
    <w:p w14:paraId="4907ECD5" w14:textId="77777777" w:rsidR="00AC0E83" w:rsidRDefault="00AC0E83" w:rsidP="00E87651">
      <w:pPr>
        <w:spacing w:line="360" w:lineRule="auto"/>
        <w:jc w:val="both"/>
        <w:rPr>
          <w:rFonts w:ascii="Arial" w:hAnsi="Arial" w:cs="Arial"/>
          <w:b w:val="0"/>
          <w:bCs/>
          <w:color w:val="auto"/>
          <w:sz w:val="22"/>
        </w:rPr>
      </w:pPr>
    </w:p>
    <w:p w14:paraId="65FC5CA4" w14:textId="77777777" w:rsidR="00AC0E83" w:rsidRDefault="00AC0E83" w:rsidP="00E87651">
      <w:pPr>
        <w:spacing w:line="360" w:lineRule="auto"/>
        <w:jc w:val="both"/>
        <w:rPr>
          <w:rFonts w:ascii="Arial" w:hAnsi="Arial" w:cs="Arial"/>
          <w:b w:val="0"/>
          <w:bCs/>
          <w:color w:val="auto"/>
          <w:sz w:val="22"/>
        </w:rPr>
      </w:pPr>
    </w:p>
    <w:p w14:paraId="0EB71FC0" w14:textId="2493ACAE" w:rsidR="00AC0E83" w:rsidRDefault="00AC0E83" w:rsidP="00E87651">
      <w:pPr>
        <w:spacing w:line="360" w:lineRule="auto"/>
        <w:jc w:val="both"/>
        <w:rPr>
          <w:rFonts w:ascii="Arial" w:hAnsi="Arial" w:cs="Arial"/>
          <w:b w:val="0"/>
          <w:bCs/>
          <w:color w:val="auto"/>
          <w:sz w:val="22"/>
        </w:rPr>
      </w:pPr>
    </w:p>
    <w:p w14:paraId="3FC70329" w14:textId="77777777" w:rsidR="00AC0E83" w:rsidRDefault="00AC0E83" w:rsidP="00E87651">
      <w:pPr>
        <w:spacing w:line="360" w:lineRule="auto"/>
        <w:jc w:val="both"/>
        <w:rPr>
          <w:rFonts w:ascii="Arial" w:hAnsi="Arial" w:cs="Arial"/>
          <w:b w:val="0"/>
          <w:bCs/>
          <w:color w:val="auto"/>
          <w:sz w:val="22"/>
        </w:rPr>
      </w:pPr>
    </w:p>
    <w:p w14:paraId="54D3BCD6" w14:textId="77777777" w:rsidR="00AC0E83" w:rsidRDefault="00AC0E83" w:rsidP="00E87651">
      <w:pPr>
        <w:spacing w:line="360" w:lineRule="auto"/>
        <w:jc w:val="both"/>
        <w:rPr>
          <w:rFonts w:ascii="Arial" w:hAnsi="Arial" w:cs="Arial"/>
          <w:b w:val="0"/>
          <w:bCs/>
          <w:color w:val="auto"/>
          <w:sz w:val="22"/>
        </w:rPr>
      </w:pPr>
    </w:p>
    <w:p w14:paraId="62028F62" w14:textId="77777777" w:rsidR="00AC0E83" w:rsidRDefault="00AC0E83" w:rsidP="00E87651">
      <w:pPr>
        <w:spacing w:line="360" w:lineRule="auto"/>
        <w:jc w:val="both"/>
        <w:rPr>
          <w:rFonts w:ascii="Arial" w:hAnsi="Arial" w:cs="Arial"/>
          <w:b w:val="0"/>
          <w:bCs/>
          <w:color w:val="auto"/>
          <w:sz w:val="22"/>
        </w:rPr>
      </w:pPr>
    </w:p>
    <w:p w14:paraId="1C4F1966" w14:textId="77777777" w:rsidR="00AC0E83" w:rsidRDefault="00AC0E83" w:rsidP="00E87651">
      <w:pPr>
        <w:spacing w:line="360" w:lineRule="auto"/>
        <w:jc w:val="both"/>
        <w:rPr>
          <w:rFonts w:ascii="Arial" w:hAnsi="Arial" w:cs="Arial"/>
          <w:b w:val="0"/>
          <w:bCs/>
          <w:color w:val="auto"/>
          <w:sz w:val="22"/>
        </w:rPr>
      </w:pPr>
    </w:p>
    <w:p w14:paraId="379D378F" w14:textId="77777777" w:rsidR="00AC0E83" w:rsidRDefault="00AC0E83" w:rsidP="00E87651">
      <w:pPr>
        <w:spacing w:line="360" w:lineRule="auto"/>
        <w:jc w:val="both"/>
        <w:rPr>
          <w:rFonts w:ascii="Arial" w:hAnsi="Arial" w:cs="Arial"/>
          <w:b w:val="0"/>
          <w:bCs/>
          <w:color w:val="auto"/>
          <w:sz w:val="22"/>
        </w:rPr>
      </w:pPr>
    </w:p>
    <w:p w14:paraId="5D850232" w14:textId="77777777" w:rsidR="00AC0E83" w:rsidRDefault="00AC0E83" w:rsidP="00E87651">
      <w:pPr>
        <w:spacing w:line="360" w:lineRule="auto"/>
        <w:jc w:val="both"/>
        <w:rPr>
          <w:rFonts w:ascii="Arial" w:hAnsi="Arial" w:cs="Arial"/>
          <w:b w:val="0"/>
          <w:bCs/>
          <w:color w:val="auto"/>
          <w:sz w:val="22"/>
        </w:rPr>
      </w:pPr>
    </w:p>
    <w:p w14:paraId="6E4FDB2B" w14:textId="77777777" w:rsidR="00AC0E83" w:rsidRDefault="00AC0E83" w:rsidP="00E87651">
      <w:pPr>
        <w:spacing w:line="360" w:lineRule="auto"/>
        <w:jc w:val="both"/>
        <w:rPr>
          <w:rFonts w:ascii="Arial" w:hAnsi="Arial" w:cs="Arial"/>
          <w:b w:val="0"/>
          <w:bCs/>
          <w:color w:val="auto"/>
          <w:sz w:val="22"/>
        </w:rPr>
      </w:pPr>
    </w:p>
    <w:p w14:paraId="30784223" w14:textId="77777777" w:rsidR="00AC0E83" w:rsidRDefault="00AC0E83" w:rsidP="00E87651">
      <w:pPr>
        <w:spacing w:line="360" w:lineRule="auto"/>
        <w:jc w:val="both"/>
        <w:rPr>
          <w:rFonts w:ascii="Arial" w:hAnsi="Arial" w:cs="Arial"/>
          <w:b w:val="0"/>
          <w:bCs/>
          <w:color w:val="auto"/>
          <w:sz w:val="22"/>
        </w:rPr>
      </w:pPr>
    </w:p>
    <w:p w14:paraId="690E8243" w14:textId="77777777" w:rsidR="00AC0E83" w:rsidRDefault="00AC0E83" w:rsidP="00E87651">
      <w:pPr>
        <w:spacing w:line="360" w:lineRule="auto"/>
        <w:jc w:val="both"/>
        <w:rPr>
          <w:rFonts w:ascii="Arial" w:hAnsi="Arial" w:cs="Arial"/>
          <w:b w:val="0"/>
          <w:bCs/>
          <w:color w:val="auto"/>
          <w:sz w:val="22"/>
        </w:rPr>
      </w:pPr>
    </w:p>
    <w:p w14:paraId="522A9E38" w14:textId="77777777" w:rsidR="00AC0E83" w:rsidRDefault="00AC0E83" w:rsidP="00E87651">
      <w:pPr>
        <w:spacing w:line="360" w:lineRule="auto"/>
        <w:jc w:val="both"/>
        <w:rPr>
          <w:rFonts w:ascii="Arial" w:hAnsi="Arial" w:cs="Arial"/>
          <w:b w:val="0"/>
          <w:bCs/>
          <w:color w:val="auto"/>
          <w:sz w:val="22"/>
        </w:rPr>
      </w:pPr>
    </w:p>
    <w:p w14:paraId="5F05C9B0" w14:textId="77777777" w:rsidR="00AC0E83" w:rsidRDefault="00AC0E83" w:rsidP="00E87651">
      <w:pPr>
        <w:spacing w:line="360" w:lineRule="auto"/>
        <w:jc w:val="both"/>
        <w:rPr>
          <w:rFonts w:ascii="Arial" w:hAnsi="Arial" w:cs="Arial"/>
          <w:b w:val="0"/>
          <w:bCs/>
          <w:color w:val="auto"/>
          <w:sz w:val="22"/>
        </w:rPr>
      </w:pPr>
    </w:p>
    <w:p w14:paraId="3B9181A0" w14:textId="77777777" w:rsidR="00AC0E83" w:rsidRDefault="00AC0E83" w:rsidP="00E87651">
      <w:pPr>
        <w:spacing w:line="360" w:lineRule="auto"/>
        <w:jc w:val="both"/>
        <w:rPr>
          <w:rFonts w:ascii="Arial" w:hAnsi="Arial" w:cs="Arial"/>
          <w:b w:val="0"/>
          <w:bCs/>
          <w:color w:val="auto"/>
          <w:sz w:val="22"/>
        </w:rPr>
      </w:pPr>
    </w:p>
    <w:p w14:paraId="38D448C5" w14:textId="77777777" w:rsidR="00AC0E83" w:rsidRDefault="00AC0E83" w:rsidP="00E87651">
      <w:pPr>
        <w:spacing w:line="360" w:lineRule="auto"/>
        <w:jc w:val="both"/>
        <w:rPr>
          <w:rFonts w:ascii="Arial" w:hAnsi="Arial" w:cs="Arial"/>
          <w:b w:val="0"/>
          <w:bCs/>
          <w:color w:val="auto"/>
          <w:sz w:val="22"/>
        </w:rPr>
      </w:pPr>
    </w:p>
    <w:p w14:paraId="1442591F" w14:textId="77777777" w:rsidR="00AC0E83" w:rsidRPr="00DD25B4" w:rsidRDefault="00AC0E83" w:rsidP="00E87651">
      <w:pPr>
        <w:spacing w:line="360" w:lineRule="auto"/>
        <w:jc w:val="both"/>
        <w:rPr>
          <w:rFonts w:ascii="Arial" w:hAnsi="Arial" w:cs="Arial"/>
          <w:b w:val="0"/>
          <w:bCs/>
          <w:color w:val="auto"/>
          <w:sz w:val="22"/>
        </w:rPr>
      </w:pPr>
    </w:p>
    <w:p w14:paraId="789F9104" w14:textId="25AE99F4" w:rsidR="00AC0E83" w:rsidRPr="00AC0E83" w:rsidRDefault="00FD1DD1" w:rsidP="00AC0E83">
      <w:pPr>
        <w:pStyle w:val="Heading2"/>
        <w:numPr>
          <w:ilvl w:val="1"/>
          <w:numId w:val="8"/>
        </w:numPr>
      </w:pPr>
      <w:bookmarkStart w:id="35" w:name="_Toc164832273"/>
      <w:r w:rsidRPr="00DD25B4">
        <w:lastRenderedPageBreak/>
        <w:t>Fault Finding Analysis – Equipment Lifecycle</w:t>
      </w:r>
      <w:bookmarkEnd w:id="35"/>
    </w:p>
    <w:p w14:paraId="728C4E3E" w14:textId="7F1EC447" w:rsidR="00253A5C" w:rsidRPr="00DD25B4" w:rsidRDefault="0011652E" w:rsidP="002A7020">
      <w:pPr>
        <w:spacing w:line="360" w:lineRule="auto"/>
        <w:jc w:val="both"/>
        <w:rPr>
          <w:rFonts w:ascii="Arial" w:hAnsi="Arial" w:cs="Arial"/>
          <w:b w:val="0"/>
          <w:bCs/>
          <w:color w:val="auto"/>
          <w:sz w:val="22"/>
        </w:rPr>
      </w:pPr>
      <w:r w:rsidRPr="00DD25B4">
        <w:rPr>
          <w:noProof/>
        </w:rPr>
        <w:drawing>
          <wp:anchor distT="0" distB="0" distL="114300" distR="114300" simplePos="0" relativeHeight="251721728" behindDoc="0" locked="0" layoutInCell="1" allowOverlap="1" wp14:anchorId="0E489F6F" wp14:editId="59AF666D">
            <wp:simplePos x="0" y="0"/>
            <wp:positionH relativeFrom="margin">
              <wp:align>left</wp:align>
            </wp:positionH>
            <wp:positionV relativeFrom="paragraph">
              <wp:posOffset>4277360</wp:posOffset>
            </wp:positionV>
            <wp:extent cx="5619750" cy="3276600"/>
            <wp:effectExtent l="0" t="0" r="0" b="0"/>
            <wp:wrapTopAndBottom/>
            <wp:docPr id="2003021450" name="Chart 1">
              <a:extLst xmlns:a="http://schemas.openxmlformats.org/drawingml/2006/main">
                <a:ext uri="{FF2B5EF4-FFF2-40B4-BE49-F238E27FC236}">
                  <a16:creationId xmlns:a16="http://schemas.microsoft.com/office/drawing/2014/main" id="{793B6CFF-FBFE-BD09-92D1-11625652295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14:sizeRelH relativeFrom="margin">
              <wp14:pctWidth>0</wp14:pctWidth>
            </wp14:sizeRelH>
            <wp14:sizeRelV relativeFrom="margin">
              <wp14:pctHeight>0</wp14:pctHeight>
            </wp14:sizeRelV>
          </wp:anchor>
        </w:drawing>
      </w:r>
      <w:r w:rsidRPr="00DD25B4">
        <w:rPr>
          <w:noProof/>
        </w:rPr>
        <mc:AlternateContent>
          <mc:Choice Requires="wps">
            <w:drawing>
              <wp:anchor distT="0" distB="0" distL="114300" distR="114300" simplePos="0" relativeHeight="251742208" behindDoc="0" locked="0" layoutInCell="1" allowOverlap="1" wp14:anchorId="4B09B002" wp14:editId="4F980791">
                <wp:simplePos x="0" y="0"/>
                <wp:positionH relativeFrom="column">
                  <wp:posOffset>13335</wp:posOffset>
                </wp:positionH>
                <wp:positionV relativeFrom="paragraph">
                  <wp:posOffset>7586345</wp:posOffset>
                </wp:positionV>
                <wp:extent cx="6309360" cy="635"/>
                <wp:effectExtent l="0" t="0" r="0" b="0"/>
                <wp:wrapTopAndBottom/>
                <wp:docPr id="1915940201" name="Text Box 1"/>
                <wp:cNvGraphicFramePr/>
                <a:graphic xmlns:a="http://schemas.openxmlformats.org/drawingml/2006/main">
                  <a:graphicData uri="http://schemas.microsoft.com/office/word/2010/wordprocessingShape">
                    <wps:wsp>
                      <wps:cNvSpPr txBox="1"/>
                      <wps:spPr>
                        <a:xfrm>
                          <a:off x="0" y="0"/>
                          <a:ext cx="6309360" cy="635"/>
                        </a:xfrm>
                        <a:prstGeom prst="rect">
                          <a:avLst/>
                        </a:prstGeom>
                        <a:solidFill>
                          <a:prstClr val="white"/>
                        </a:solidFill>
                        <a:ln>
                          <a:noFill/>
                        </a:ln>
                      </wps:spPr>
                      <wps:txbx>
                        <w:txbxContent>
                          <w:p w14:paraId="1FAD8CDF" w14:textId="75CECE5B" w:rsidR="00A34C35" w:rsidRPr="00DD25B4" w:rsidRDefault="00A34C35" w:rsidP="00A34C35">
                            <w:pPr>
                              <w:pStyle w:val="Caption"/>
                              <w:rPr>
                                <w:sz w:val="28"/>
                                <w:szCs w:val="22"/>
                              </w:rPr>
                            </w:pPr>
                            <w:bookmarkStart w:id="36" w:name="_Toc164832288"/>
                            <w:r w:rsidRPr="00DD25B4">
                              <w:t xml:space="preserve">Figure </w:t>
                            </w:r>
                            <w:r w:rsidRPr="00DD25B4">
                              <w:fldChar w:fldCharType="begin"/>
                            </w:r>
                            <w:r w:rsidRPr="00DD25B4">
                              <w:instrText xml:space="preserve"> SEQ Figure \* ARABIC </w:instrText>
                            </w:r>
                            <w:r w:rsidRPr="00DD25B4">
                              <w:fldChar w:fldCharType="separate"/>
                            </w:r>
                            <w:r w:rsidRPr="00DD25B4">
                              <w:t>12</w:t>
                            </w:r>
                            <w:r w:rsidRPr="00DD25B4">
                              <w:fldChar w:fldCharType="end"/>
                            </w:r>
                            <w:r w:rsidRPr="00DD25B4">
                              <w:t xml:space="preserve"> - Showing the Lifecycle of Each Vessel</w:t>
                            </w:r>
                            <w:bookmarkEnd w:id="3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B09B002" id="_x0000_s1035" type="#_x0000_t202" style="position:absolute;left:0;text-align:left;margin-left:1.05pt;margin-top:597.35pt;width:496.8pt;height:.05pt;z-index:2517422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" stroked="f">
                <v:textbox style="mso-fit-shape-to-text:t" inset="0,0,0,0">
                  <w:txbxContent>
                    <w:p w14:paraId="1FAD8CDF" w14:textId="75CECE5B" w:rsidR="00A34C35" w:rsidRPr="00DD25B4" w:rsidRDefault="00A34C35" w:rsidP="00A34C35">
                      <w:pPr>
                        <w:pStyle w:val="Caption"/>
                        <w:rPr>
                          <w:sz w:val="28"/>
                          <w:szCs w:val="22"/>
                        </w:rPr>
                      </w:pPr>
                      <w:bookmarkStart w:id="37" w:name="_Toc164832288"/>
                      <w:r w:rsidRPr="00DD25B4">
                        <w:t xml:space="preserve">Figure </w:t>
                      </w:r>
                      <w:r w:rsidRPr="00DD25B4">
                        <w:fldChar w:fldCharType="begin"/>
                      </w:r>
                      <w:r w:rsidRPr="00DD25B4">
                        <w:instrText xml:space="preserve"> SEQ Figure \* ARABIC </w:instrText>
                      </w:r>
                      <w:r w:rsidRPr="00DD25B4">
                        <w:fldChar w:fldCharType="separate"/>
                      </w:r>
                      <w:r w:rsidRPr="00DD25B4">
                        <w:t>12</w:t>
                      </w:r>
                      <w:r w:rsidRPr="00DD25B4">
                        <w:fldChar w:fldCharType="end"/>
                      </w:r>
                      <w:r w:rsidRPr="00DD25B4">
                        <w:t xml:space="preserve"> - Showing the Lifecycle of Each Vessel</w:t>
                      </w:r>
                      <w:bookmarkEnd w:id="37"/>
                    </w:p>
                  </w:txbxContent>
                </v:textbox>
                <w10:wrap type="topAndBottom"/>
              </v:shape>
            </w:pict>
          </mc:Fallback>
        </mc:AlternateContent>
      </w:r>
      <w:r w:rsidRPr="00DD25B4">
        <w:rPr>
          <w:noProof/>
        </w:rPr>
        <mc:AlternateContent>
          <mc:Choice Requires="wps">
            <w:drawing>
              <wp:anchor distT="0" distB="0" distL="114300" distR="114300" simplePos="0" relativeHeight="251740160" behindDoc="0" locked="0" layoutInCell="1" allowOverlap="1" wp14:anchorId="6385DF05" wp14:editId="40D00591">
                <wp:simplePos x="0" y="0"/>
                <wp:positionH relativeFrom="margin">
                  <wp:align>right</wp:align>
                </wp:positionH>
                <wp:positionV relativeFrom="paragraph">
                  <wp:posOffset>3900805</wp:posOffset>
                </wp:positionV>
                <wp:extent cx="6309360" cy="266700"/>
                <wp:effectExtent l="0" t="0" r="0" b="0"/>
                <wp:wrapTopAndBottom/>
                <wp:docPr id="946216587" name="Text Box 1"/>
                <wp:cNvGraphicFramePr/>
                <a:graphic xmlns:a="http://schemas.openxmlformats.org/drawingml/2006/main">
                  <a:graphicData uri="http://schemas.microsoft.com/office/word/2010/wordprocessingShape">
                    <wps:wsp>
                      <wps:cNvSpPr txBox="1"/>
                      <wps:spPr>
                        <a:xfrm>
                          <a:off x="0" y="0"/>
                          <a:ext cx="6309360" cy="266700"/>
                        </a:xfrm>
                        <a:prstGeom prst="rect">
                          <a:avLst/>
                        </a:prstGeom>
                        <a:solidFill>
                          <a:prstClr val="white"/>
                        </a:solidFill>
                        <a:ln>
                          <a:noFill/>
                        </a:ln>
                      </wps:spPr>
                      <wps:txbx>
                        <w:txbxContent>
                          <w:p w14:paraId="61BD4C25" w14:textId="0458A188" w:rsidR="00512B60" w:rsidRPr="00DD25B4" w:rsidRDefault="00512B60" w:rsidP="00512B60">
                            <w:pPr>
                              <w:pStyle w:val="Caption"/>
                              <w:rPr>
                                <w:sz w:val="28"/>
                                <w:szCs w:val="22"/>
                              </w:rPr>
                            </w:pPr>
                            <w:bookmarkStart w:id="38" w:name="_Toc164832289"/>
                            <w:r w:rsidRPr="00DD25B4">
                              <w:t xml:space="preserve">Figure </w:t>
                            </w:r>
                            <w:r w:rsidRPr="00DD25B4">
                              <w:fldChar w:fldCharType="begin"/>
                            </w:r>
                            <w:r w:rsidRPr="00DD25B4">
                              <w:instrText xml:space="preserve"> SEQ Figure \* ARABIC </w:instrText>
                            </w:r>
                            <w:r w:rsidRPr="00DD25B4">
                              <w:fldChar w:fldCharType="separate"/>
                            </w:r>
                            <w:r w:rsidR="00A34C35" w:rsidRPr="00DD25B4">
                              <w:t>11</w:t>
                            </w:r>
                            <w:r w:rsidRPr="00DD25B4">
                              <w:fldChar w:fldCharType="end"/>
                            </w:r>
                            <w:r w:rsidRPr="00DD25B4">
                              <w:t xml:space="preserve"> - Showing the Lifecycle of Each Thermocouple</w:t>
                            </w:r>
                            <w:bookmarkEnd w:id="3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385DF05" id="_x0000_s1036" type="#_x0000_t202" style="position:absolute;left:0;text-align:left;margin-left:445.6pt;margin-top:307.15pt;width:496.8pt;height:21pt;z-index:251740160;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" stroked="f">
                <v:textbox style="mso-fit-shape-to-text:t" inset="0,0,0,0">
                  <w:txbxContent>
                    <w:p w14:paraId="61BD4C25" w14:textId="0458A188" w:rsidR="00512B60" w:rsidRPr="00DD25B4" w:rsidRDefault="00512B60" w:rsidP="00512B60">
                      <w:pPr>
                        <w:pStyle w:val="Caption"/>
                        <w:rPr>
                          <w:sz w:val="28"/>
                          <w:szCs w:val="22"/>
                        </w:rPr>
                      </w:pPr>
                      <w:bookmarkStart w:id="39" w:name="_Toc164832289"/>
                      <w:r w:rsidRPr="00DD25B4">
                        <w:t xml:space="preserve">Figure </w:t>
                      </w:r>
                      <w:r w:rsidRPr="00DD25B4">
                        <w:fldChar w:fldCharType="begin"/>
                      </w:r>
                      <w:r w:rsidRPr="00DD25B4">
                        <w:instrText xml:space="preserve"> SEQ Figure \* ARABIC </w:instrText>
                      </w:r>
                      <w:r w:rsidRPr="00DD25B4">
                        <w:fldChar w:fldCharType="separate"/>
                      </w:r>
                      <w:r w:rsidR="00A34C35" w:rsidRPr="00DD25B4">
                        <w:t>11</w:t>
                      </w:r>
                      <w:r w:rsidRPr="00DD25B4">
                        <w:fldChar w:fldCharType="end"/>
                      </w:r>
                      <w:r w:rsidRPr="00DD25B4">
                        <w:t xml:space="preserve"> - Showing the Lifecycle of Each Thermocouple</w:t>
                      </w:r>
                      <w:bookmarkEnd w:id="39"/>
                    </w:p>
                  </w:txbxContent>
                </v:textbox>
                <w10:wrap type="topAndBottom" anchorx="margin"/>
              </v:shape>
            </w:pict>
          </mc:Fallback>
        </mc:AlternateContent>
      </w:r>
      <w:r w:rsidRPr="00DD25B4">
        <w:rPr>
          <w:noProof/>
        </w:rPr>
        <w:drawing>
          <wp:anchor distT="0" distB="0" distL="114300" distR="114300" simplePos="0" relativeHeight="251657214" behindDoc="0" locked="0" layoutInCell="1" allowOverlap="1" wp14:anchorId="2CFB140C" wp14:editId="23888847">
            <wp:simplePos x="0" y="0"/>
            <wp:positionH relativeFrom="margin">
              <wp:align>left</wp:align>
            </wp:positionH>
            <wp:positionV relativeFrom="paragraph">
              <wp:posOffset>697865</wp:posOffset>
            </wp:positionV>
            <wp:extent cx="5619750" cy="3190875"/>
            <wp:effectExtent l="0" t="0" r="0" b="9525"/>
            <wp:wrapTopAndBottom/>
            <wp:docPr id="1550567011" name="Chart 1">
              <a:extLst xmlns:a="http://schemas.openxmlformats.org/drawingml/2006/main">
                <a:ext uri="{FF2B5EF4-FFF2-40B4-BE49-F238E27FC236}">
                  <a16:creationId xmlns:a16="http://schemas.microsoft.com/office/drawing/2014/main" id="{76287C52-6B30-32E7-5010-53B54EE98B3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14:sizeRelH relativeFrom="margin">
              <wp14:pctWidth>0</wp14:pctWidth>
            </wp14:sizeRelH>
            <wp14:sizeRelV relativeFrom="margin">
              <wp14:pctHeight>0</wp14:pctHeight>
            </wp14:sizeRelV>
          </wp:anchor>
        </w:drawing>
      </w:r>
      <w:r w:rsidR="00557316" w:rsidRPr="00DD25B4">
        <w:rPr>
          <w:rFonts w:ascii="Arial" w:hAnsi="Arial" w:cs="Arial"/>
          <w:b w:val="0"/>
          <w:bCs/>
          <w:color w:val="auto"/>
          <w:sz w:val="22"/>
        </w:rPr>
        <w:t>In an effort to mitigate the observed levels of variation within CSR testing, life cycles were implemented for both the thermocouples and vessels. Tracking of these life cycles was facilitated through the utilization of bar charts.</w:t>
      </w:r>
      <w:r w:rsidR="00253A5C" w:rsidRPr="00DD25B4">
        <w:rPr>
          <w:rFonts w:ascii="Arial" w:hAnsi="Arial" w:cs="Arial"/>
          <w:b w:val="0"/>
          <w:bCs/>
          <w:color w:val="auto"/>
          <w:sz w:val="22"/>
        </w:rPr>
        <w:t xml:space="preserve"> </w:t>
      </w:r>
    </w:p>
    <w:p w14:paraId="67B30A3F" w14:textId="4824D27F" w:rsidR="0011652E" w:rsidRDefault="0011652E" w:rsidP="00CA7F27">
      <w:pPr>
        <w:spacing w:line="360" w:lineRule="auto"/>
        <w:jc w:val="both"/>
        <w:rPr>
          <w:rFonts w:ascii="Arial" w:hAnsi="Arial" w:cs="Arial"/>
          <w:b w:val="0"/>
          <w:bCs/>
          <w:color w:val="auto"/>
          <w:sz w:val="22"/>
        </w:rPr>
      </w:pPr>
    </w:p>
    <w:p w14:paraId="3EC3A89A" w14:textId="129FEE76" w:rsidR="00DD25B4" w:rsidRDefault="003812E6" w:rsidP="00CA7F27">
      <w:pPr>
        <w:spacing w:line="360" w:lineRule="auto"/>
        <w:jc w:val="both"/>
        <w:rPr>
          <w:rFonts w:ascii="Arial" w:hAnsi="Arial" w:cs="Arial"/>
          <w:b w:val="0"/>
          <w:bCs/>
          <w:color w:val="auto"/>
          <w:sz w:val="22"/>
        </w:rPr>
      </w:pPr>
      <w:r w:rsidRPr="00DD25B4">
        <w:rPr>
          <w:rFonts w:ascii="Arial" w:hAnsi="Arial" w:cs="Arial"/>
          <w:b w:val="0"/>
          <w:bCs/>
          <w:color w:val="auto"/>
          <w:sz w:val="22"/>
        </w:rPr>
        <w:lastRenderedPageBreak/>
        <w:t>These graphs proved instrumental in monitoring the average lifespan of each thermocouple and vessel. The average lifespan for a thermocouple was determined to be 129 uses. Subsequently, a usage limit was established based on this average to indicate when a thermocouple required removal from service. Similarly, the average lifespan for a vessel was calculated to be 122 uses, and a corresponding usage limit was implemented for determining when the vessel needed to be taken out of service. In accordance with established safe working procedures, preflight checks were instituted for this task, encompassing the verification of thermocouple and vessel integrity.</w:t>
      </w:r>
    </w:p>
    <w:p w14:paraId="25104BFB" w14:textId="0E417E26" w:rsidR="00DD25B4" w:rsidRDefault="00DD25B4">
      <w:pPr>
        <w:spacing w:after="200"/>
        <w:rPr>
          <w:rFonts w:ascii="Arial" w:hAnsi="Arial" w:cs="Arial"/>
          <w:b w:val="0"/>
          <w:bCs/>
          <w:color w:val="auto"/>
          <w:sz w:val="22"/>
        </w:rPr>
      </w:pPr>
      <w:r>
        <w:rPr>
          <w:rFonts w:ascii="Arial" w:hAnsi="Arial" w:cs="Arial"/>
          <w:b w:val="0"/>
          <w:bCs/>
          <w:color w:val="auto"/>
          <w:sz w:val="22"/>
        </w:rPr>
        <w:br w:type="page"/>
      </w:r>
    </w:p>
    <w:p w14:paraId="7327F45C" w14:textId="525EEBD4" w:rsidR="003812E6" w:rsidRPr="00DD25B4" w:rsidRDefault="00FD1DD1" w:rsidP="00FD1DD1">
      <w:pPr>
        <w:pStyle w:val="Heading1"/>
        <w:numPr>
          <w:ilvl w:val="0"/>
          <w:numId w:val="8"/>
        </w:numPr>
      </w:pPr>
      <w:bookmarkStart w:id="40" w:name="_Toc164832274"/>
      <w:r w:rsidRPr="00DD25B4">
        <w:lastRenderedPageBreak/>
        <w:t>Improve Phase</w:t>
      </w:r>
      <w:bookmarkEnd w:id="40"/>
    </w:p>
    <w:p w14:paraId="5ED65426" w14:textId="77777777" w:rsidR="003812E6" w:rsidRPr="00DD25B4" w:rsidRDefault="003812E6" w:rsidP="003812E6">
      <w:pPr>
        <w:spacing w:line="360" w:lineRule="auto"/>
        <w:jc w:val="both"/>
        <w:rPr>
          <w:rFonts w:ascii="Arial" w:hAnsi="Arial" w:cs="Arial"/>
          <w:b w:val="0"/>
          <w:bCs/>
          <w:color w:val="auto"/>
          <w:sz w:val="22"/>
        </w:rPr>
      </w:pPr>
      <w:r w:rsidRPr="00DD25B4">
        <w:rPr>
          <w:rFonts w:ascii="Arial" w:hAnsi="Arial" w:cs="Arial"/>
          <w:b w:val="0"/>
          <w:bCs/>
          <w:color w:val="auto"/>
          <w:sz w:val="22"/>
        </w:rPr>
        <w:t>Referring back to the Failure Mode and Effects Analysis (FMEA) analysis, it is anticipated that machine variation will improve with the implementation of various enhancements.</w:t>
      </w:r>
    </w:p>
    <w:p w14:paraId="1F269255" w14:textId="77777777" w:rsidR="00FD1DD1" w:rsidRPr="00DD25B4" w:rsidRDefault="00FD1DD1" w:rsidP="003812E6">
      <w:pPr>
        <w:spacing w:line="360" w:lineRule="auto"/>
        <w:jc w:val="both"/>
        <w:rPr>
          <w:rFonts w:ascii="Arial" w:hAnsi="Arial" w:cs="Arial"/>
          <w:b w:val="0"/>
          <w:bCs/>
          <w:color w:val="auto"/>
          <w:sz w:val="22"/>
        </w:rPr>
      </w:pPr>
    </w:p>
    <w:p w14:paraId="1A8E7E41" w14:textId="7FE68FA7" w:rsidR="00FD1DD1" w:rsidRPr="00DD25B4" w:rsidRDefault="00FD1DD1" w:rsidP="003812E6">
      <w:pPr>
        <w:spacing w:line="360" w:lineRule="auto"/>
        <w:jc w:val="both"/>
        <w:rPr>
          <w:rFonts w:ascii="Arial" w:hAnsi="Arial" w:cs="Arial"/>
          <w:b w:val="0"/>
          <w:bCs/>
          <w:color w:val="auto"/>
          <w:sz w:val="22"/>
        </w:rPr>
      </w:pPr>
      <w:r w:rsidRPr="00DD25B4">
        <w:rPr>
          <w:rFonts w:ascii="Arial" w:hAnsi="Arial" w:cs="Arial"/>
          <w:b w:val="0"/>
          <w:bCs/>
          <w:color w:val="auto"/>
          <w:sz w:val="22"/>
        </w:rPr>
        <w:t xml:space="preserve">It is </w:t>
      </w:r>
      <w:r w:rsidR="001F7D0E" w:rsidRPr="00DD25B4">
        <w:rPr>
          <w:rFonts w:ascii="Arial" w:hAnsi="Arial" w:cs="Arial"/>
          <w:b w:val="0"/>
          <w:bCs/>
          <w:color w:val="auto"/>
          <w:sz w:val="22"/>
        </w:rPr>
        <w:t>recommended</w:t>
      </w:r>
      <w:r w:rsidRPr="00DD25B4">
        <w:rPr>
          <w:rFonts w:ascii="Arial" w:hAnsi="Arial" w:cs="Arial"/>
          <w:b w:val="0"/>
          <w:bCs/>
          <w:color w:val="auto"/>
          <w:sz w:val="22"/>
        </w:rPr>
        <w:t xml:space="preserve"> to use Kaizen techniques to control and monitor the changes to ensure in a controlled environment. </w:t>
      </w:r>
    </w:p>
    <w:p w14:paraId="5F6710D7" w14:textId="77777777" w:rsidR="003812E6" w:rsidRPr="00DD25B4" w:rsidRDefault="003812E6" w:rsidP="003812E6">
      <w:pPr>
        <w:spacing w:line="360" w:lineRule="auto"/>
        <w:jc w:val="both"/>
        <w:rPr>
          <w:rFonts w:ascii="Arial" w:hAnsi="Arial" w:cs="Arial"/>
          <w:b w:val="0"/>
          <w:bCs/>
          <w:color w:val="auto"/>
          <w:sz w:val="22"/>
        </w:rPr>
      </w:pPr>
    </w:p>
    <w:p w14:paraId="0FFDFC8C" w14:textId="77777777" w:rsidR="003812E6" w:rsidRPr="00DD25B4" w:rsidRDefault="003812E6" w:rsidP="003812E6">
      <w:pPr>
        <w:spacing w:line="360" w:lineRule="auto"/>
        <w:jc w:val="both"/>
        <w:rPr>
          <w:rFonts w:ascii="Arial" w:hAnsi="Arial" w:cs="Arial"/>
          <w:b w:val="0"/>
          <w:bCs/>
          <w:color w:val="auto"/>
          <w:sz w:val="22"/>
        </w:rPr>
      </w:pPr>
      <w:r w:rsidRPr="00DD25B4">
        <w:rPr>
          <w:rFonts w:ascii="Arial" w:hAnsi="Arial" w:cs="Arial"/>
          <w:b w:val="0"/>
          <w:bCs/>
          <w:color w:val="auto"/>
          <w:sz w:val="22"/>
        </w:rPr>
        <w:t>The sampling method, while under control, remains susceptible to variation depending on whether the material is sourced from the autosampler or dump wharf. However, as per the agreement outlined in the Service Level Agreement (SLA), Morfa Coke Ovens committed to daily informing the labs regarding the material's origin. To mitigate variation in sample preparation, internal audits were conducted by the author and their line manager on various technicians to ensure procedural consistency and adherence.</w:t>
      </w:r>
    </w:p>
    <w:p w14:paraId="1DCE44AD" w14:textId="77777777" w:rsidR="003812E6" w:rsidRPr="00DD25B4" w:rsidRDefault="003812E6" w:rsidP="003812E6">
      <w:pPr>
        <w:spacing w:line="360" w:lineRule="auto"/>
        <w:jc w:val="both"/>
        <w:rPr>
          <w:rFonts w:ascii="Arial" w:hAnsi="Arial" w:cs="Arial"/>
          <w:b w:val="0"/>
          <w:bCs/>
          <w:color w:val="auto"/>
          <w:sz w:val="22"/>
        </w:rPr>
      </w:pPr>
    </w:p>
    <w:p w14:paraId="0D2D7512" w14:textId="77777777" w:rsidR="003812E6" w:rsidRPr="00DD25B4" w:rsidRDefault="003812E6" w:rsidP="003812E6">
      <w:pPr>
        <w:spacing w:line="360" w:lineRule="auto"/>
        <w:jc w:val="both"/>
        <w:rPr>
          <w:rFonts w:ascii="Arial" w:hAnsi="Arial" w:cs="Arial"/>
          <w:b w:val="0"/>
          <w:bCs/>
          <w:color w:val="auto"/>
          <w:sz w:val="22"/>
        </w:rPr>
      </w:pPr>
      <w:r w:rsidRPr="00DD25B4">
        <w:rPr>
          <w:rFonts w:ascii="Arial" w:hAnsi="Arial" w:cs="Arial"/>
          <w:b w:val="0"/>
          <w:bCs/>
          <w:color w:val="auto"/>
          <w:sz w:val="22"/>
        </w:rPr>
        <w:t>Environmental factors emerged as another influential aspect. During the phase of unstable testing, materials were often collected into yellow gorilla tubs, leaving them exposed to atmospheric conditions. To address this, white bins with attached lids were procured to prevent material exposure to moisture or contamination from other materials at Morfa Coke Ovens.</w:t>
      </w:r>
    </w:p>
    <w:p w14:paraId="23F0ED50" w14:textId="77777777" w:rsidR="003812E6" w:rsidRPr="00DD25B4" w:rsidRDefault="003812E6" w:rsidP="003812E6">
      <w:pPr>
        <w:spacing w:line="360" w:lineRule="auto"/>
        <w:jc w:val="both"/>
        <w:rPr>
          <w:rFonts w:ascii="Arial" w:hAnsi="Arial" w:cs="Arial"/>
          <w:b w:val="0"/>
          <w:bCs/>
          <w:color w:val="auto"/>
          <w:sz w:val="22"/>
        </w:rPr>
      </w:pPr>
    </w:p>
    <w:p w14:paraId="7403B8EA" w14:textId="6EF098A2" w:rsidR="003812E6" w:rsidRPr="00DD25B4" w:rsidRDefault="003812E6" w:rsidP="003812E6">
      <w:pPr>
        <w:spacing w:line="360" w:lineRule="auto"/>
        <w:jc w:val="both"/>
        <w:rPr>
          <w:rFonts w:ascii="Arial" w:hAnsi="Arial" w:cs="Arial"/>
          <w:b w:val="0"/>
          <w:bCs/>
          <w:color w:val="auto"/>
          <w:sz w:val="22"/>
        </w:rPr>
      </w:pPr>
      <w:r w:rsidRPr="00DD25B4">
        <w:rPr>
          <w:rFonts w:ascii="Arial" w:hAnsi="Arial" w:cs="Arial"/>
          <w:b w:val="0"/>
          <w:bCs/>
          <w:color w:val="auto"/>
          <w:sz w:val="22"/>
        </w:rPr>
        <w:t xml:space="preserve">Regarding measurement improvements, the sieves and balances were deemed to be under control. Daily balance checks were performed by technicians as part of the preflight checks, while sieves underwent weekly inspections for damage or splits, with hole width measurement conducted using </w:t>
      </w:r>
      <w:r w:rsidR="001F7D0E" w:rsidRPr="00DD25B4">
        <w:rPr>
          <w:rFonts w:ascii="Arial" w:hAnsi="Arial" w:cs="Arial"/>
          <w:b w:val="0"/>
          <w:bCs/>
          <w:color w:val="auto"/>
          <w:sz w:val="22"/>
        </w:rPr>
        <w:t>callipers</w:t>
      </w:r>
      <w:r w:rsidRPr="00DD25B4">
        <w:rPr>
          <w:rFonts w:ascii="Arial" w:hAnsi="Arial" w:cs="Arial"/>
          <w:b w:val="0"/>
          <w:bCs/>
          <w:color w:val="auto"/>
          <w:sz w:val="22"/>
        </w:rPr>
        <w:t xml:space="preserve"> to ensure accuracy. However, validating temperature and gas flow proved challenging and was deemed to be out of control.</w:t>
      </w:r>
    </w:p>
    <w:p w14:paraId="7A01320F" w14:textId="7D3FAE74" w:rsidR="00DD25B4" w:rsidRDefault="00DD25B4">
      <w:pPr>
        <w:spacing w:after="200"/>
        <w:rPr>
          <w:rFonts w:ascii="Arial" w:hAnsi="Arial" w:cs="Arial"/>
          <w:b w:val="0"/>
          <w:bCs/>
          <w:color w:val="auto"/>
          <w:sz w:val="22"/>
        </w:rPr>
      </w:pPr>
      <w:r>
        <w:rPr>
          <w:rFonts w:ascii="Arial" w:hAnsi="Arial" w:cs="Arial"/>
          <w:b w:val="0"/>
          <w:bCs/>
          <w:color w:val="auto"/>
          <w:sz w:val="22"/>
        </w:rPr>
        <w:br w:type="page"/>
      </w:r>
    </w:p>
    <w:p w14:paraId="09CCBAC5" w14:textId="0FA0BE6D" w:rsidR="00404B7A" w:rsidRPr="00DD25B4" w:rsidRDefault="00404B7A" w:rsidP="00404B7A">
      <w:pPr>
        <w:pStyle w:val="Heading1"/>
        <w:numPr>
          <w:ilvl w:val="0"/>
          <w:numId w:val="8"/>
        </w:numPr>
      </w:pPr>
      <w:bookmarkStart w:id="41" w:name="_Toc164832275"/>
      <w:r w:rsidRPr="00DD25B4">
        <w:lastRenderedPageBreak/>
        <w:t>Control Phase</w:t>
      </w:r>
      <w:bookmarkEnd w:id="41"/>
    </w:p>
    <w:p w14:paraId="3676D34A" w14:textId="037F35C5" w:rsidR="003812E6" w:rsidRPr="00570409" w:rsidRDefault="00570409" w:rsidP="00570409">
      <w:pPr>
        <w:spacing w:after="200" w:line="360" w:lineRule="auto"/>
        <w:jc w:val="both"/>
        <w:rPr>
          <w:rFonts w:ascii="Arial" w:hAnsi="Arial" w:cs="Arial"/>
          <w:b w:val="0"/>
          <w:bCs/>
          <w:color w:val="auto"/>
          <w:sz w:val="22"/>
        </w:rPr>
      </w:pPr>
      <w:r w:rsidRPr="00570409">
        <w:rPr>
          <w:rFonts w:ascii="Arial" w:hAnsi="Arial" w:cs="Arial"/>
          <w:b w:val="0"/>
          <w:bCs/>
          <w:color w:val="auto"/>
          <w:sz w:val="22"/>
        </w:rPr>
        <w:t xml:space="preserve">At present, while improvements have not yet been implemented, it is advisable that following each change made through Kaizen, a repeat of the analysis outlined in Chapter 2 is conducted, and the resulting data is recorded and compared against the established baseline to quantify the achieved improvements. In the Control phase of a DMAIC project aimed at enhancing the reliability and consistency of </w:t>
      </w:r>
      <w:r w:rsidRPr="00DD25B4">
        <w:rPr>
          <w:rStyle w:val="Hyperlink"/>
          <w:rFonts w:ascii="Arial" w:hAnsi="Arial" w:cs="Arial"/>
          <w:b w:val="0"/>
          <w:bCs/>
          <w:color w:val="auto"/>
          <w:sz w:val="22"/>
          <w:u w:val="none"/>
        </w:rPr>
        <w:t xml:space="preserve">Coke Strength after Reaction </w:t>
      </w:r>
      <w:r w:rsidRPr="00570409">
        <w:rPr>
          <w:rFonts w:ascii="Arial" w:hAnsi="Arial" w:cs="Arial"/>
          <w:b w:val="0"/>
          <w:bCs/>
          <w:color w:val="auto"/>
          <w:sz w:val="22"/>
        </w:rPr>
        <w:t xml:space="preserve">(CSR) testing processes, essential strategies are employed to maintain improvements and prevent regression to prior variability levels. The development of Standard Operating Procedures (SOPs) is fundamental, outlining specific protocols based on identified enhancements in CSR testing practices. These SOPs meticulously detail equipment settings, sampling procedures, environmental controls, and measurement standards to ensure consistent and uniform testing methodologies. Moreover, key performance metrics, including test result variation, equipment uptime, and adherence to SOPs, are </w:t>
      </w:r>
      <w:r w:rsidR="005D6B06" w:rsidRPr="00570409">
        <w:rPr>
          <w:rFonts w:ascii="Arial" w:hAnsi="Arial" w:cs="Arial"/>
          <w:b w:val="0"/>
          <w:bCs/>
          <w:color w:val="auto"/>
          <w:sz w:val="22"/>
        </w:rPr>
        <w:t>defined,</w:t>
      </w:r>
      <w:r w:rsidRPr="00570409">
        <w:rPr>
          <w:rFonts w:ascii="Arial" w:hAnsi="Arial" w:cs="Arial"/>
          <w:b w:val="0"/>
          <w:bCs/>
          <w:color w:val="auto"/>
          <w:sz w:val="22"/>
        </w:rPr>
        <w:t xml:space="preserve"> and regularly monitored to assess ongoing reliability. Training initiatives are implemented to ensure staff proficiency in implementing revised procedures and using updated equipment, with a focus on continuous skills development and knowledge transfer. Routine audits and reviews are scheduled to confirm SOP compliance and identify deviations, particularly in equipment calibration, sample preparation, data recording, and safety protocols. To address potential disruptions, risk management strategies and contingency plans are devised, such as maintaining spare parts inventory and alternative testing procedures. Furthermore, sustained engagement and communication among stakeholders cultivate a culture of quality improvement and problem-solving, fostering feedback mechanisms and continuous improvement initiatives driven by real-time data and insights. These comprehensive control measures enable organizations to integrate improvements into daily operations, ensuring that CSR testing processes consistently meet quality standards and regulatory requirements. Thus, the Control phase serves as a cornerstone in maintaining operational excellence and facilitating continuous enhancement in CSR testing practices.</w:t>
      </w:r>
      <w:r w:rsidR="003812E6" w:rsidRPr="00570409">
        <w:rPr>
          <w:rFonts w:ascii="Arial" w:hAnsi="Arial" w:cs="Arial"/>
          <w:b w:val="0"/>
          <w:bCs/>
          <w:color w:val="auto"/>
          <w:sz w:val="22"/>
        </w:rPr>
        <w:br w:type="page"/>
      </w:r>
    </w:p>
    <w:p w14:paraId="62A7B28E" w14:textId="174959B8" w:rsidR="00253A5C" w:rsidRPr="00DD25B4" w:rsidRDefault="00F94AE1" w:rsidP="00F723E5">
      <w:pPr>
        <w:pStyle w:val="Heading1"/>
      </w:pPr>
      <w:bookmarkStart w:id="42" w:name="_Toc164832276"/>
      <w:r w:rsidRPr="00DD25B4">
        <w:lastRenderedPageBreak/>
        <w:t>Conclusion</w:t>
      </w:r>
      <w:bookmarkEnd w:id="42"/>
    </w:p>
    <w:p w14:paraId="6CDDD47C" w14:textId="16A4A808" w:rsidR="00377233" w:rsidRPr="00DD25B4" w:rsidRDefault="00377233" w:rsidP="00377233">
      <w:pPr>
        <w:spacing w:line="360" w:lineRule="auto"/>
        <w:jc w:val="both"/>
        <w:rPr>
          <w:rFonts w:ascii="Arial" w:hAnsi="Arial" w:cs="Arial"/>
          <w:b w:val="0"/>
          <w:bCs/>
          <w:color w:val="auto"/>
          <w:sz w:val="22"/>
        </w:rPr>
      </w:pPr>
      <w:r w:rsidRPr="00DD25B4">
        <w:rPr>
          <w:rFonts w:ascii="Arial" w:hAnsi="Arial" w:cs="Arial"/>
          <w:b w:val="0"/>
          <w:bCs/>
          <w:color w:val="auto"/>
          <w:sz w:val="22"/>
        </w:rPr>
        <w:t xml:space="preserve">In conclusion, the investigation into the </w:t>
      </w:r>
      <w:r w:rsidR="006C2912" w:rsidRPr="00DD25B4">
        <w:rPr>
          <w:rFonts w:ascii="Arial" w:hAnsi="Arial" w:cs="Arial"/>
          <w:b w:val="0"/>
          <w:bCs/>
          <w:color w:val="auto"/>
          <w:sz w:val="22"/>
        </w:rPr>
        <w:t xml:space="preserve">Coke Strength after Reaction </w:t>
      </w:r>
      <w:r w:rsidRPr="00DD25B4">
        <w:rPr>
          <w:rFonts w:ascii="Arial" w:hAnsi="Arial" w:cs="Arial"/>
          <w:b w:val="0"/>
          <w:bCs/>
          <w:color w:val="auto"/>
          <w:sz w:val="22"/>
        </w:rPr>
        <w:t>(CSR) testing process has illuminated various factors contributing to the observed variations in results. Through collaborative efforts and meticulous analysis, key issues such as machine variability, sampling methods, environmental influences, and measurement procedures have been identified and addressed.</w:t>
      </w:r>
    </w:p>
    <w:p w14:paraId="152D8792" w14:textId="77777777" w:rsidR="00377233" w:rsidRPr="00DD25B4" w:rsidRDefault="00377233" w:rsidP="00377233">
      <w:pPr>
        <w:spacing w:line="360" w:lineRule="auto"/>
        <w:jc w:val="both"/>
        <w:rPr>
          <w:rFonts w:ascii="Arial" w:hAnsi="Arial" w:cs="Arial"/>
          <w:b w:val="0"/>
          <w:bCs/>
          <w:color w:val="auto"/>
          <w:sz w:val="22"/>
        </w:rPr>
      </w:pPr>
    </w:p>
    <w:p w14:paraId="0EB69C85" w14:textId="77777777" w:rsidR="00377233" w:rsidRPr="00DD25B4" w:rsidRDefault="00377233" w:rsidP="00377233">
      <w:pPr>
        <w:spacing w:line="360" w:lineRule="auto"/>
        <w:jc w:val="both"/>
        <w:rPr>
          <w:rFonts w:ascii="Arial" w:hAnsi="Arial" w:cs="Arial"/>
          <w:b w:val="0"/>
          <w:bCs/>
          <w:color w:val="auto"/>
          <w:sz w:val="22"/>
        </w:rPr>
      </w:pPr>
      <w:r w:rsidRPr="00DD25B4">
        <w:rPr>
          <w:rFonts w:ascii="Arial" w:hAnsi="Arial" w:cs="Arial"/>
          <w:b w:val="0"/>
          <w:bCs/>
          <w:color w:val="auto"/>
          <w:sz w:val="22"/>
        </w:rPr>
        <w:t>The implementation of life cycles for thermocouples and vessels, alongside the introduction of preflight checks and procedural audits, signifies a proactive approach to mitigating variability within the process. Furthermore, environmental concerns regarding material exposure have been mitigated through the procurement of appropriate storage containers.</w:t>
      </w:r>
    </w:p>
    <w:p w14:paraId="0E9F61CD" w14:textId="77777777" w:rsidR="00377233" w:rsidRPr="00DD25B4" w:rsidRDefault="00377233" w:rsidP="00377233">
      <w:pPr>
        <w:spacing w:line="360" w:lineRule="auto"/>
        <w:jc w:val="both"/>
        <w:rPr>
          <w:rFonts w:ascii="Arial" w:hAnsi="Arial" w:cs="Arial"/>
          <w:b w:val="0"/>
          <w:bCs/>
          <w:color w:val="auto"/>
          <w:sz w:val="22"/>
        </w:rPr>
      </w:pPr>
    </w:p>
    <w:p w14:paraId="1377B3E4" w14:textId="77777777" w:rsidR="00377233" w:rsidRPr="00DD25B4" w:rsidRDefault="00377233" w:rsidP="00377233">
      <w:pPr>
        <w:spacing w:line="360" w:lineRule="auto"/>
        <w:jc w:val="both"/>
        <w:rPr>
          <w:rFonts w:ascii="Arial" w:hAnsi="Arial" w:cs="Arial"/>
          <w:b w:val="0"/>
          <w:bCs/>
          <w:color w:val="auto"/>
          <w:sz w:val="22"/>
        </w:rPr>
      </w:pPr>
      <w:r w:rsidRPr="00DD25B4">
        <w:rPr>
          <w:rFonts w:ascii="Arial" w:hAnsi="Arial" w:cs="Arial"/>
          <w:b w:val="0"/>
          <w:bCs/>
          <w:color w:val="auto"/>
          <w:sz w:val="22"/>
        </w:rPr>
        <w:t>While significant strides have been made in enhancing the reliability and consistency of CSR testing, challenges persist, particularly in validating temperature and gas flow. Continued efforts to address these challenges, alongside ongoing monitoring and evaluation, will be essential to further improving the robustness of the testing process.</w:t>
      </w:r>
    </w:p>
    <w:p w14:paraId="723CF111" w14:textId="77777777" w:rsidR="00377233" w:rsidRPr="00DD25B4" w:rsidRDefault="00377233" w:rsidP="00377233">
      <w:pPr>
        <w:spacing w:line="360" w:lineRule="auto"/>
        <w:jc w:val="both"/>
        <w:rPr>
          <w:rFonts w:ascii="Arial" w:hAnsi="Arial" w:cs="Arial"/>
          <w:b w:val="0"/>
          <w:bCs/>
          <w:color w:val="auto"/>
          <w:sz w:val="22"/>
        </w:rPr>
      </w:pPr>
    </w:p>
    <w:p w14:paraId="1BEACA56" w14:textId="41F3FC62" w:rsidR="00926674" w:rsidRPr="00DD25B4" w:rsidRDefault="00377233" w:rsidP="00377233">
      <w:pPr>
        <w:spacing w:line="360" w:lineRule="auto"/>
        <w:jc w:val="both"/>
        <w:rPr>
          <w:rFonts w:ascii="Arial" w:hAnsi="Arial" w:cs="Arial"/>
          <w:b w:val="0"/>
          <w:bCs/>
          <w:color w:val="auto"/>
          <w:sz w:val="22"/>
        </w:rPr>
      </w:pPr>
      <w:r w:rsidRPr="00DD25B4">
        <w:rPr>
          <w:rFonts w:ascii="Arial" w:hAnsi="Arial" w:cs="Arial"/>
          <w:b w:val="0"/>
          <w:bCs/>
          <w:color w:val="auto"/>
          <w:sz w:val="22"/>
        </w:rPr>
        <w:t>Ultimately, this study underscores the importance of continuous quality improvement initiatives in ensuring the accuracy and reliability of CSR testing, thereby facilitating informed decision-making and enhancing overall operational efficiency within the organization.</w:t>
      </w:r>
    </w:p>
    <w:p w14:paraId="48261451" w14:textId="77777777" w:rsidR="00926674" w:rsidRPr="00DD25B4" w:rsidRDefault="00926674">
      <w:pPr>
        <w:spacing w:after="200"/>
        <w:rPr>
          <w:rFonts w:ascii="Arial" w:hAnsi="Arial" w:cs="Arial"/>
          <w:b w:val="0"/>
          <w:bCs/>
          <w:color w:val="auto"/>
          <w:sz w:val="22"/>
        </w:rPr>
      </w:pPr>
      <w:r w:rsidRPr="00DD25B4">
        <w:rPr>
          <w:rFonts w:ascii="Arial" w:hAnsi="Arial" w:cs="Arial"/>
          <w:b w:val="0"/>
          <w:bCs/>
          <w:color w:val="auto"/>
          <w:sz w:val="22"/>
        </w:rPr>
        <w:br w:type="page"/>
      </w:r>
    </w:p>
    <w:bookmarkStart w:id="43" w:name="_Toc164832277" w:displacedByCustomXml="next"/>
    <w:sdt>
      <w:sdtPr>
        <w:rPr>
          <w:rFonts w:asciiTheme="minorHAnsi" w:eastAsiaTheme="minorEastAsia" w:hAnsiTheme="minorHAnsi" w:cstheme="minorBidi"/>
          <w:color w:val="082A75" w:themeColor="text2"/>
          <w:kern w:val="0"/>
          <w:sz w:val="28"/>
          <w:szCs w:val="22"/>
        </w:rPr>
        <w:id w:val="-607428415"/>
        <w:docPartObj>
          <w:docPartGallery w:val="Bibliographies"/>
          <w:docPartUnique/>
        </w:docPartObj>
      </w:sdtPr>
      <w:sdtEndPr>
        <w:rPr>
          <w:b w:val="0"/>
          <w:bCs/>
          <w:color w:val="auto"/>
        </w:rPr>
      </w:sdtEndPr>
      <w:sdtContent>
        <w:p w14:paraId="4D4FFF53" w14:textId="7681D570" w:rsidR="00926674" w:rsidRPr="00DD25B4" w:rsidRDefault="00926674">
          <w:pPr>
            <w:pStyle w:val="Heading1"/>
          </w:pPr>
          <w:r w:rsidRPr="00DD25B4">
            <w:t>References</w:t>
          </w:r>
          <w:bookmarkEnd w:id="43"/>
        </w:p>
        <w:sdt>
          <w:sdtPr>
            <w:rPr>
              <w:b w:val="0"/>
              <w:bCs/>
              <w:color w:val="auto"/>
            </w:rPr>
            <w:id w:val="-573587230"/>
            <w:bibliography/>
          </w:sdtPr>
          <w:sdtEndPr/>
          <w:sdtContent>
            <w:p w14:paraId="4DB7C025" w14:textId="77777777" w:rsidR="007B6D23" w:rsidRPr="00DD25B4" w:rsidRDefault="00926674" w:rsidP="007B6D23">
              <w:pPr>
                <w:pStyle w:val="Bibliography"/>
                <w:numPr>
                  <w:ilvl w:val="0"/>
                  <w:numId w:val="16"/>
                </w:numPr>
                <w:spacing w:line="360" w:lineRule="auto"/>
                <w:rPr>
                  <w:b w:val="0"/>
                  <w:bCs/>
                  <w:color w:val="auto"/>
                  <w:sz w:val="24"/>
                  <w:szCs w:val="24"/>
                </w:rPr>
              </w:pPr>
              <w:r w:rsidRPr="00DD25B4">
                <w:rPr>
                  <w:b w:val="0"/>
                  <w:bCs/>
                  <w:color w:val="auto"/>
                </w:rPr>
                <w:fldChar w:fldCharType="begin"/>
              </w:r>
              <w:r w:rsidRPr="00DD25B4">
                <w:rPr>
                  <w:b w:val="0"/>
                  <w:bCs/>
                  <w:color w:val="auto"/>
                </w:rPr>
                <w:instrText>BIBLIOGRAPHY</w:instrText>
              </w:r>
              <w:r w:rsidRPr="00DD25B4">
                <w:rPr>
                  <w:b w:val="0"/>
                  <w:bCs/>
                  <w:color w:val="auto"/>
                </w:rPr>
                <w:fldChar w:fldCharType="separate"/>
              </w:r>
              <w:r w:rsidR="007B6D23" w:rsidRPr="00DD25B4">
                <w:rPr>
                  <w:b w:val="0"/>
                  <w:bCs/>
                  <w:color w:val="auto"/>
                </w:rPr>
                <w:t xml:space="preserve">Klika, Z. et al., 2020. Prediction of CRI and CSR of cokes by two-step correction models for stamp-charged coals – Statistical analysis. </w:t>
              </w:r>
              <w:r w:rsidR="007B6D23" w:rsidRPr="00DD25B4">
                <w:rPr>
                  <w:b w:val="0"/>
                  <w:bCs/>
                  <w:i/>
                  <w:iCs/>
                  <w:color w:val="auto"/>
                </w:rPr>
                <w:t xml:space="preserve">Fuel, </w:t>
              </w:r>
              <w:r w:rsidR="007B6D23" w:rsidRPr="00DD25B4">
                <w:rPr>
                  <w:b w:val="0"/>
                  <w:bCs/>
                  <w:color w:val="auto"/>
                </w:rPr>
                <w:t>Volume 262.</w:t>
              </w:r>
            </w:p>
            <w:p w14:paraId="1D53329F" w14:textId="77777777" w:rsidR="007B6D23" w:rsidRPr="00DD25B4" w:rsidRDefault="007B6D23" w:rsidP="007B6D23">
              <w:pPr>
                <w:pStyle w:val="Bibliography"/>
                <w:numPr>
                  <w:ilvl w:val="0"/>
                  <w:numId w:val="16"/>
                </w:numPr>
                <w:spacing w:line="360" w:lineRule="auto"/>
                <w:rPr>
                  <w:b w:val="0"/>
                  <w:bCs/>
                  <w:color w:val="auto"/>
                </w:rPr>
              </w:pPr>
              <w:r w:rsidRPr="00DD25B4">
                <w:rPr>
                  <w:b w:val="0"/>
                  <w:bCs/>
                  <w:color w:val="auto"/>
                </w:rPr>
                <w:t xml:space="preserve">Kumar, D., Saxena, V. K., TIWARI, D. H. &amp; Nandi, B. K., 2022. Variability in Metallurgical Coke Reactivity Index (CRI) and Coke Strength after Reaction (CSR): An Experimental Study. </w:t>
              </w:r>
            </w:p>
            <w:p w14:paraId="1BC9B5D0" w14:textId="77777777" w:rsidR="007B6D23" w:rsidRPr="00DD25B4" w:rsidRDefault="007B6D23" w:rsidP="007B6D23">
              <w:pPr>
                <w:pStyle w:val="Bibliography"/>
                <w:numPr>
                  <w:ilvl w:val="0"/>
                  <w:numId w:val="16"/>
                </w:numPr>
                <w:spacing w:line="360" w:lineRule="auto"/>
                <w:rPr>
                  <w:b w:val="0"/>
                  <w:bCs/>
                  <w:color w:val="auto"/>
                </w:rPr>
              </w:pPr>
              <w:r w:rsidRPr="00DD25B4">
                <w:rPr>
                  <w:b w:val="0"/>
                  <w:bCs/>
                  <w:color w:val="auto"/>
                </w:rPr>
                <w:t xml:space="preserve">Kumar, D. et al., 2022. Variability in Metallurgical Coke Reactivity Index (CRI) and Coke Strength after Reaction (CSR): An Experimental Study. </w:t>
              </w:r>
              <w:r w:rsidRPr="00DD25B4">
                <w:rPr>
                  <w:b w:val="0"/>
                  <w:bCs/>
                  <w:i/>
                  <w:iCs/>
                  <w:color w:val="auto"/>
                </w:rPr>
                <w:t xml:space="preserve">ACS Omega, </w:t>
              </w:r>
              <w:r w:rsidRPr="00DD25B4">
                <w:rPr>
                  <w:b w:val="0"/>
                  <w:bCs/>
                  <w:color w:val="auto"/>
                </w:rPr>
                <w:t>7(2), pp. 1703-1711.</w:t>
              </w:r>
            </w:p>
            <w:p w14:paraId="24509AF2" w14:textId="77777777" w:rsidR="007B6D23" w:rsidRPr="00DD25B4" w:rsidRDefault="007B6D23" w:rsidP="007B6D23">
              <w:pPr>
                <w:pStyle w:val="Bibliography"/>
                <w:numPr>
                  <w:ilvl w:val="0"/>
                  <w:numId w:val="16"/>
                </w:numPr>
                <w:spacing w:line="360" w:lineRule="auto"/>
                <w:rPr>
                  <w:b w:val="0"/>
                  <w:bCs/>
                  <w:color w:val="auto"/>
                </w:rPr>
              </w:pPr>
              <w:r w:rsidRPr="00DD25B4">
                <w:rPr>
                  <w:b w:val="0"/>
                  <w:bCs/>
                  <w:color w:val="auto"/>
                </w:rPr>
                <w:t xml:space="preserve">Mitra, R., 2011. Framing the corporate responsibility-reputation linkage: The case of Tata Motors in India. </w:t>
              </w:r>
              <w:r w:rsidRPr="00DD25B4">
                <w:rPr>
                  <w:b w:val="0"/>
                  <w:bCs/>
                  <w:i/>
                  <w:iCs/>
                  <w:color w:val="auto"/>
                </w:rPr>
                <w:t xml:space="preserve">Public Relations Review, </w:t>
              </w:r>
              <w:r w:rsidRPr="00DD25B4">
                <w:rPr>
                  <w:b w:val="0"/>
                  <w:bCs/>
                  <w:color w:val="auto"/>
                </w:rPr>
                <w:t>37(4), pp. 392-398.</w:t>
              </w:r>
            </w:p>
            <w:p w14:paraId="4354FA19" w14:textId="77777777" w:rsidR="007B6D23" w:rsidRPr="00DD25B4" w:rsidRDefault="007B6D23" w:rsidP="007B6D23">
              <w:pPr>
                <w:pStyle w:val="Bibliography"/>
                <w:numPr>
                  <w:ilvl w:val="0"/>
                  <w:numId w:val="16"/>
                </w:numPr>
                <w:spacing w:line="360" w:lineRule="auto"/>
                <w:rPr>
                  <w:b w:val="0"/>
                  <w:bCs/>
                  <w:color w:val="auto"/>
                </w:rPr>
              </w:pPr>
              <w:r w:rsidRPr="00DD25B4">
                <w:rPr>
                  <w:b w:val="0"/>
                  <w:bCs/>
                  <w:color w:val="auto"/>
                </w:rPr>
                <w:t xml:space="preserve">Steel, T., 2024. </w:t>
              </w:r>
              <w:r w:rsidRPr="00DD25B4">
                <w:rPr>
                  <w:b w:val="0"/>
                  <w:bCs/>
                  <w:i/>
                  <w:iCs/>
                  <w:color w:val="auto"/>
                </w:rPr>
                <w:t xml:space="preserve">CSR Decision Flow Diagram. </w:t>
              </w:r>
              <w:r w:rsidRPr="00DD25B4">
                <w:rPr>
                  <w:b w:val="0"/>
                  <w:bCs/>
                  <w:color w:val="auto"/>
                </w:rPr>
                <w:t>Port Talbot: s.n.</w:t>
              </w:r>
            </w:p>
            <w:p w14:paraId="2E0B7629" w14:textId="77777777" w:rsidR="007B6D23" w:rsidRPr="00DD25B4" w:rsidRDefault="007B6D23" w:rsidP="007B6D23">
              <w:pPr>
                <w:pStyle w:val="Bibliography"/>
                <w:numPr>
                  <w:ilvl w:val="0"/>
                  <w:numId w:val="16"/>
                </w:numPr>
                <w:spacing w:line="360" w:lineRule="auto"/>
                <w:rPr>
                  <w:b w:val="0"/>
                  <w:bCs/>
                  <w:color w:val="auto"/>
                </w:rPr>
              </w:pPr>
              <w:r w:rsidRPr="00DD25B4">
                <w:rPr>
                  <w:b w:val="0"/>
                  <w:bCs/>
                  <w:color w:val="auto"/>
                </w:rPr>
                <w:t xml:space="preserve">Steel, T., 2024. </w:t>
              </w:r>
              <w:r w:rsidRPr="00DD25B4">
                <w:rPr>
                  <w:b w:val="0"/>
                  <w:bCs/>
                  <w:i/>
                  <w:iCs/>
                  <w:color w:val="auto"/>
                </w:rPr>
                <w:t xml:space="preserve">Standard Operating Procedure of CSR testing at Port Talbot Steel Plant. </w:t>
              </w:r>
              <w:r w:rsidRPr="00DD25B4">
                <w:rPr>
                  <w:b w:val="0"/>
                  <w:bCs/>
                  <w:color w:val="auto"/>
                </w:rPr>
                <w:t>Port Talbot: s.n.</w:t>
              </w:r>
            </w:p>
            <w:p w14:paraId="08C0DE03" w14:textId="77777777" w:rsidR="007B6D23" w:rsidRPr="00DD25B4" w:rsidRDefault="007B6D23" w:rsidP="007B6D23">
              <w:pPr>
                <w:pStyle w:val="Bibliography"/>
                <w:numPr>
                  <w:ilvl w:val="0"/>
                  <w:numId w:val="16"/>
                </w:numPr>
                <w:spacing w:line="360" w:lineRule="auto"/>
                <w:rPr>
                  <w:b w:val="0"/>
                  <w:bCs/>
                  <w:color w:val="auto"/>
                </w:rPr>
              </w:pPr>
              <w:r w:rsidRPr="00DD25B4">
                <w:rPr>
                  <w:b w:val="0"/>
                  <w:bCs/>
                  <w:color w:val="auto"/>
                </w:rPr>
                <w:t xml:space="preserve">Zuraidah, R., Abdullah, R. &amp; Mohamed, S., 2014. </w:t>
              </w:r>
              <w:r w:rsidRPr="00DD25B4">
                <w:rPr>
                  <w:b w:val="0"/>
                  <w:bCs/>
                  <w:i/>
                  <w:iCs/>
                  <w:color w:val="auto"/>
                </w:rPr>
                <w:t xml:space="preserve">Value Stream Mapping using Simulation at Metal Manufacturing. </w:t>
              </w:r>
              <w:r w:rsidRPr="00DD25B4">
                <w:rPr>
                  <w:b w:val="0"/>
                  <w:bCs/>
                  <w:color w:val="auto"/>
                </w:rPr>
                <w:t>Bali, Indonesia, International Conference on Industrial Engineering and Operations Management.</w:t>
              </w:r>
            </w:p>
            <w:p w14:paraId="11030413" w14:textId="256A350C" w:rsidR="00926674" w:rsidRPr="00DD25B4" w:rsidRDefault="00926674" w:rsidP="007B6D23">
              <w:pPr>
                <w:spacing w:line="360" w:lineRule="auto"/>
                <w:jc w:val="both"/>
                <w:rPr>
                  <w:b w:val="0"/>
                  <w:bCs/>
                  <w:color w:val="auto"/>
                </w:rPr>
              </w:pPr>
              <w:r w:rsidRPr="00DD25B4">
                <w:rPr>
                  <w:b w:val="0"/>
                  <w:bCs/>
                  <w:color w:val="auto"/>
                </w:rPr>
                <w:fldChar w:fldCharType="end"/>
              </w:r>
            </w:p>
          </w:sdtContent>
        </w:sdt>
      </w:sdtContent>
    </w:sdt>
    <w:p w14:paraId="1A9785C8" w14:textId="77777777" w:rsidR="00253A5C" w:rsidRPr="00377233" w:rsidRDefault="00253A5C" w:rsidP="00377233">
      <w:pPr>
        <w:spacing w:line="360" w:lineRule="auto"/>
        <w:jc w:val="both"/>
        <w:rPr>
          <w:rFonts w:ascii="Arial" w:hAnsi="Arial" w:cs="Arial"/>
          <w:b w:val="0"/>
          <w:bCs/>
          <w:color w:val="auto"/>
          <w:sz w:val="22"/>
        </w:rPr>
      </w:pPr>
    </w:p>
    <w:sectPr w:rsidR="00253A5C" w:rsidRPr="00377233" w:rsidSect="003933E5">
      <w:headerReference w:type="default" r:id="rId21"/>
      <w:footerReference w:type="default" r:id="rId22"/>
      <w:pgSz w:w="12240" w:h="15840"/>
      <w:pgMar w:top="720" w:right="1152" w:bottom="720" w:left="1152" w:header="0" w:footer="288" w:gutter="0"/>
      <w:pgNumType w:start="1"/>
      <w:cols w:space="720"/>
      <w:docGrid w:linePitch="38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9F907E" w14:textId="77777777" w:rsidR="003933E5" w:rsidRPr="00DD25B4" w:rsidRDefault="003933E5">
      <w:r w:rsidRPr="00DD25B4">
        <w:separator/>
      </w:r>
    </w:p>
    <w:p w14:paraId="5276F5CF" w14:textId="77777777" w:rsidR="003933E5" w:rsidRPr="00DD25B4" w:rsidRDefault="003933E5"/>
  </w:endnote>
  <w:endnote w:type="continuationSeparator" w:id="0">
    <w:p w14:paraId="59F835F6" w14:textId="77777777" w:rsidR="003933E5" w:rsidRPr="00DD25B4" w:rsidRDefault="003933E5">
      <w:r w:rsidRPr="00DD25B4">
        <w:continuationSeparator/>
      </w:r>
    </w:p>
    <w:p w14:paraId="223AF2AA" w14:textId="77777777" w:rsidR="003933E5" w:rsidRPr="00DD25B4" w:rsidRDefault="003933E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28748919"/>
      <w:docPartObj>
        <w:docPartGallery w:val="Page Numbers (Bottom of Page)"/>
        <w:docPartUnique/>
      </w:docPartObj>
    </w:sdtPr>
    <w:sdtEndPr/>
    <w:sdtContent>
      <w:p w14:paraId="3D0C7D16" w14:textId="77777777" w:rsidR="00DF027C" w:rsidRPr="00DD25B4" w:rsidRDefault="00DF027C">
        <w:pPr>
          <w:pStyle w:val="Footer"/>
          <w:jc w:val="center"/>
        </w:pPr>
        <w:r w:rsidRPr="00DD25B4">
          <w:fldChar w:fldCharType="begin"/>
        </w:r>
        <w:r w:rsidRPr="00DD25B4">
          <w:instrText xml:space="preserve"> PAGE   \* MERGEFORMAT </w:instrText>
        </w:r>
        <w:r w:rsidRPr="00DD25B4">
          <w:fldChar w:fldCharType="separate"/>
        </w:r>
        <w:r w:rsidR="006E5716" w:rsidRPr="00DD25B4">
          <w:t>1</w:t>
        </w:r>
        <w:r w:rsidRPr="00DD25B4">
          <w:fldChar w:fldCharType="end"/>
        </w:r>
      </w:p>
    </w:sdtContent>
  </w:sdt>
  <w:p w14:paraId="23278BE9" w14:textId="77777777" w:rsidR="00DF027C" w:rsidRPr="00DD25B4" w:rsidRDefault="00DF02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F559E8" w14:textId="77777777" w:rsidR="003933E5" w:rsidRPr="00DD25B4" w:rsidRDefault="003933E5">
      <w:r w:rsidRPr="00DD25B4">
        <w:separator/>
      </w:r>
    </w:p>
    <w:p w14:paraId="7686B90C" w14:textId="77777777" w:rsidR="003933E5" w:rsidRPr="00DD25B4" w:rsidRDefault="003933E5"/>
  </w:footnote>
  <w:footnote w:type="continuationSeparator" w:id="0">
    <w:p w14:paraId="2F3DC207" w14:textId="77777777" w:rsidR="003933E5" w:rsidRPr="00DD25B4" w:rsidRDefault="003933E5">
      <w:r w:rsidRPr="00DD25B4">
        <w:continuationSeparator/>
      </w:r>
    </w:p>
    <w:p w14:paraId="6F4945EE" w14:textId="77777777" w:rsidR="003933E5" w:rsidRPr="00DD25B4" w:rsidRDefault="003933E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90" w:type="dxa"/>
      <w:tblBorders>
        <w:top w:val="single" w:sz="36" w:space="0" w:color="082A75" w:themeColor="text2"/>
        <w:left w:val="single" w:sz="36" w:space="0" w:color="082A75" w:themeColor="text2"/>
        <w:bottom w:val="single" w:sz="36" w:space="0" w:color="082A75" w:themeColor="text2"/>
        <w:right w:val="single" w:sz="36" w:space="0" w:color="082A75" w:themeColor="text2"/>
        <w:insideH w:val="single" w:sz="36" w:space="0" w:color="082A75" w:themeColor="text2"/>
        <w:insideV w:val="single" w:sz="36" w:space="0" w:color="082A75" w:themeColor="text2"/>
      </w:tblBorders>
      <w:tblLook w:val="0000" w:firstRow="0" w:lastRow="0" w:firstColumn="0" w:lastColumn="0" w:noHBand="0" w:noVBand="0"/>
    </w:tblPr>
    <w:tblGrid>
      <w:gridCol w:w="9990"/>
    </w:tblGrid>
    <w:tr w:rsidR="00D077E9" w:rsidRPr="00DD25B4" w14:paraId="4AFF8411" w14:textId="77777777" w:rsidTr="00D077E9">
      <w:trPr>
        <w:trHeight w:val="978"/>
      </w:trPr>
      <w:tc>
        <w:tcPr>
          <w:tcW w:w="9990" w:type="dxa"/>
          <w:tcBorders>
            <w:top w:val="nil"/>
            <w:left w:val="nil"/>
            <w:bottom w:val="single" w:sz="36" w:space="0" w:color="34ABA2" w:themeColor="accent3"/>
            <w:right w:val="nil"/>
          </w:tcBorders>
        </w:tcPr>
        <w:p w14:paraId="1561261B" w14:textId="77777777" w:rsidR="00D077E9" w:rsidRPr="00DD25B4" w:rsidRDefault="00D077E9">
          <w:pPr>
            <w:pStyle w:val="Header"/>
          </w:pPr>
        </w:p>
      </w:tc>
    </w:tr>
  </w:tbl>
  <w:p w14:paraId="477A6B19" w14:textId="77777777" w:rsidR="00D077E9" w:rsidRPr="00DD25B4" w:rsidRDefault="00D077E9" w:rsidP="00D077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E416AE"/>
    <w:multiLevelType w:val="hybridMultilevel"/>
    <w:tmpl w:val="E616677E"/>
    <w:lvl w:ilvl="0" w:tplc="08090011">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0F21201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318269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06F7FF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9932A0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3184F1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5954C79"/>
    <w:multiLevelType w:val="hybridMultilevel"/>
    <w:tmpl w:val="155E26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C993F7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516D143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D1B288E"/>
    <w:multiLevelType w:val="hybridMultilevel"/>
    <w:tmpl w:val="30F20A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FFF4A8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7BD27D3A"/>
    <w:multiLevelType w:val="hybridMultilevel"/>
    <w:tmpl w:val="C4EC36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03814958">
    <w:abstractNumId w:val="0"/>
  </w:num>
  <w:num w:numId="2" w16cid:durableId="1633439273">
    <w:abstractNumId w:val="0"/>
    <w:lvlOverride w:ilvl="0">
      <w:lvl w:ilvl="0" w:tplc="08090011">
        <w:start w:val="1"/>
        <w:numFmt w:val="decimal"/>
        <w:lvlText w:val="%1)"/>
        <w:lvlJc w:val="left"/>
        <w:pPr>
          <w:ind w:left="504" w:hanging="216"/>
        </w:pPr>
        <w:rPr>
          <w:rFonts w:hint="default"/>
        </w:rPr>
      </w:lvl>
    </w:lvlOverride>
    <w:lvlOverride w:ilvl="1">
      <w:lvl w:ilvl="1" w:tplc="08090019" w:tentative="1">
        <w:start w:val="1"/>
        <w:numFmt w:val="lowerLetter"/>
        <w:lvlText w:val="%2."/>
        <w:lvlJc w:val="left"/>
        <w:pPr>
          <w:ind w:left="1440" w:hanging="360"/>
        </w:pPr>
      </w:lvl>
    </w:lvlOverride>
    <w:lvlOverride w:ilvl="2">
      <w:lvl w:ilvl="2" w:tplc="0809001B" w:tentative="1">
        <w:start w:val="1"/>
        <w:numFmt w:val="lowerRoman"/>
        <w:lvlText w:val="%3."/>
        <w:lvlJc w:val="right"/>
        <w:pPr>
          <w:ind w:left="2160" w:hanging="180"/>
        </w:pPr>
      </w:lvl>
    </w:lvlOverride>
    <w:lvlOverride w:ilvl="3">
      <w:lvl w:ilvl="3" w:tplc="0809000F" w:tentative="1">
        <w:start w:val="1"/>
        <w:numFmt w:val="decimal"/>
        <w:lvlText w:val="%4."/>
        <w:lvlJc w:val="left"/>
        <w:pPr>
          <w:ind w:left="2880" w:hanging="360"/>
        </w:pPr>
      </w:lvl>
    </w:lvlOverride>
    <w:lvlOverride w:ilvl="4">
      <w:lvl w:ilvl="4" w:tplc="08090019" w:tentative="1">
        <w:start w:val="1"/>
        <w:numFmt w:val="lowerLetter"/>
        <w:lvlText w:val="%5."/>
        <w:lvlJc w:val="left"/>
        <w:pPr>
          <w:ind w:left="3600" w:hanging="360"/>
        </w:pPr>
      </w:lvl>
    </w:lvlOverride>
    <w:lvlOverride w:ilvl="5">
      <w:lvl w:ilvl="5" w:tplc="0809001B" w:tentative="1">
        <w:start w:val="1"/>
        <w:numFmt w:val="lowerRoman"/>
        <w:lvlText w:val="%6."/>
        <w:lvlJc w:val="right"/>
        <w:pPr>
          <w:ind w:left="4320" w:hanging="180"/>
        </w:pPr>
      </w:lvl>
    </w:lvlOverride>
    <w:lvlOverride w:ilvl="6">
      <w:lvl w:ilvl="6" w:tplc="0809000F" w:tentative="1">
        <w:start w:val="1"/>
        <w:numFmt w:val="decimal"/>
        <w:lvlText w:val="%7."/>
        <w:lvlJc w:val="left"/>
        <w:pPr>
          <w:ind w:left="5040" w:hanging="360"/>
        </w:pPr>
      </w:lvl>
    </w:lvlOverride>
    <w:lvlOverride w:ilvl="7">
      <w:lvl w:ilvl="7" w:tplc="08090019" w:tentative="1">
        <w:start w:val="1"/>
        <w:numFmt w:val="lowerLetter"/>
        <w:lvlText w:val="%8."/>
        <w:lvlJc w:val="left"/>
        <w:pPr>
          <w:ind w:left="5760" w:hanging="360"/>
        </w:pPr>
      </w:lvl>
    </w:lvlOverride>
    <w:lvlOverride w:ilvl="8">
      <w:lvl w:ilvl="8" w:tplc="0809001B" w:tentative="1">
        <w:start w:val="1"/>
        <w:numFmt w:val="lowerRoman"/>
        <w:lvlText w:val="%9."/>
        <w:lvlJc w:val="right"/>
        <w:pPr>
          <w:ind w:left="6480" w:hanging="180"/>
        </w:pPr>
      </w:lvl>
    </w:lvlOverride>
  </w:num>
  <w:num w:numId="3" w16cid:durableId="738139487">
    <w:abstractNumId w:val="0"/>
    <w:lvlOverride w:ilvl="0">
      <w:lvl w:ilvl="0" w:tplc="08090011">
        <w:start w:val="1"/>
        <w:numFmt w:val="decimal"/>
        <w:lvlText w:val="%1)"/>
        <w:lvlJc w:val="left"/>
        <w:pPr>
          <w:ind w:left="720" w:hanging="360"/>
        </w:pPr>
        <w:rPr>
          <w:rFonts w:hint="default"/>
        </w:rPr>
      </w:lvl>
    </w:lvlOverride>
    <w:lvlOverride w:ilvl="1">
      <w:lvl w:ilvl="1" w:tplc="08090019" w:tentative="1">
        <w:start w:val="1"/>
        <w:numFmt w:val="lowerLetter"/>
        <w:lvlText w:val="%2."/>
        <w:lvlJc w:val="left"/>
        <w:pPr>
          <w:ind w:left="1440" w:hanging="360"/>
        </w:pPr>
      </w:lvl>
    </w:lvlOverride>
    <w:lvlOverride w:ilvl="2">
      <w:lvl w:ilvl="2" w:tplc="0809001B" w:tentative="1">
        <w:start w:val="1"/>
        <w:numFmt w:val="lowerRoman"/>
        <w:lvlText w:val="%3."/>
        <w:lvlJc w:val="right"/>
        <w:pPr>
          <w:ind w:left="2160" w:hanging="180"/>
        </w:pPr>
      </w:lvl>
    </w:lvlOverride>
    <w:lvlOverride w:ilvl="3">
      <w:lvl w:ilvl="3" w:tplc="0809000F" w:tentative="1">
        <w:start w:val="1"/>
        <w:numFmt w:val="decimal"/>
        <w:lvlText w:val="%4."/>
        <w:lvlJc w:val="left"/>
        <w:pPr>
          <w:ind w:left="2880" w:hanging="360"/>
        </w:pPr>
      </w:lvl>
    </w:lvlOverride>
    <w:lvlOverride w:ilvl="4">
      <w:lvl w:ilvl="4" w:tplc="08090019" w:tentative="1">
        <w:start w:val="1"/>
        <w:numFmt w:val="lowerLetter"/>
        <w:lvlText w:val="%5."/>
        <w:lvlJc w:val="left"/>
        <w:pPr>
          <w:ind w:left="3600" w:hanging="360"/>
        </w:pPr>
      </w:lvl>
    </w:lvlOverride>
    <w:lvlOverride w:ilvl="5">
      <w:lvl w:ilvl="5" w:tplc="0809001B" w:tentative="1">
        <w:start w:val="1"/>
        <w:numFmt w:val="lowerRoman"/>
        <w:lvlText w:val="%6."/>
        <w:lvlJc w:val="right"/>
        <w:pPr>
          <w:ind w:left="4320" w:hanging="180"/>
        </w:pPr>
      </w:lvl>
    </w:lvlOverride>
    <w:lvlOverride w:ilvl="6">
      <w:lvl w:ilvl="6" w:tplc="0809000F" w:tentative="1">
        <w:start w:val="1"/>
        <w:numFmt w:val="decimal"/>
        <w:lvlText w:val="%7."/>
        <w:lvlJc w:val="left"/>
        <w:pPr>
          <w:ind w:left="5040" w:hanging="360"/>
        </w:pPr>
      </w:lvl>
    </w:lvlOverride>
    <w:lvlOverride w:ilvl="7">
      <w:lvl w:ilvl="7" w:tplc="08090019" w:tentative="1">
        <w:start w:val="1"/>
        <w:numFmt w:val="lowerLetter"/>
        <w:lvlText w:val="%8."/>
        <w:lvlJc w:val="left"/>
        <w:pPr>
          <w:ind w:left="5760" w:hanging="360"/>
        </w:pPr>
      </w:lvl>
    </w:lvlOverride>
    <w:lvlOverride w:ilvl="8">
      <w:lvl w:ilvl="8" w:tplc="0809001B" w:tentative="1">
        <w:start w:val="1"/>
        <w:numFmt w:val="lowerRoman"/>
        <w:lvlText w:val="%9."/>
        <w:lvlJc w:val="right"/>
        <w:pPr>
          <w:ind w:left="6480" w:hanging="180"/>
        </w:pPr>
      </w:lvl>
    </w:lvlOverride>
  </w:num>
  <w:num w:numId="4" w16cid:durableId="164639369">
    <w:abstractNumId w:val="0"/>
    <w:lvlOverride w:ilvl="0">
      <w:lvl w:ilvl="0" w:tplc="08090011">
        <w:start w:val="1"/>
        <w:numFmt w:val="decimal"/>
        <w:lvlText w:val="%1)"/>
        <w:lvlJc w:val="left"/>
        <w:pPr>
          <w:ind w:left="576" w:hanging="216"/>
        </w:pPr>
        <w:rPr>
          <w:rFonts w:hint="default"/>
        </w:rPr>
      </w:lvl>
    </w:lvlOverride>
    <w:lvlOverride w:ilvl="1">
      <w:lvl w:ilvl="1" w:tplc="08090019" w:tentative="1">
        <w:start w:val="1"/>
        <w:numFmt w:val="lowerLetter"/>
        <w:lvlText w:val="%2."/>
        <w:lvlJc w:val="left"/>
        <w:pPr>
          <w:ind w:left="1440" w:hanging="360"/>
        </w:pPr>
      </w:lvl>
    </w:lvlOverride>
    <w:lvlOverride w:ilvl="2">
      <w:lvl w:ilvl="2" w:tplc="0809001B" w:tentative="1">
        <w:start w:val="1"/>
        <w:numFmt w:val="lowerRoman"/>
        <w:lvlText w:val="%3."/>
        <w:lvlJc w:val="right"/>
        <w:pPr>
          <w:ind w:left="2160" w:hanging="180"/>
        </w:pPr>
      </w:lvl>
    </w:lvlOverride>
    <w:lvlOverride w:ilvl="3">
      <w:lvl w:ilvl="3" w:tplc="0809000F" w:tentative="1">
        <w:start w:val="1"/>
        <w:numFmt w:val="decimal"/>
        <w:lvlText w:val="%4."/>
        <w:lvlJc w:val="left"/>
        <w:pPr>
          <w:ind w:left="2880" w:hanging="360"/>
        </w:pPr>
      </w:lvl>
    </w:lvlOverride>
    <w:lvlOverride w:ilvl="4">
      <w:lvl w:ilvl="4" w:tplc="08090019" w:tentative="1">
        <w:start w:val="1"/>
        <w:numFmt w:val="lowerLetter"/>
        <w:lvlText w:val="%5."/>
        <w:lvlJc w:val="left"/>
        <w:pPr>
          <w:ind w:left="3600" w:hanging="360"/>
        </w:pPr>
      </w:lvl>
    </w:lvlOverride>
    <w:lvlOverride w:ilvl="5">
      <w:lvl w:ilvl="5" w:tplc="0809001B" w:tentative="1">
        <w:start w:val="1"/>
        <w:numFmt w:val="lowerRoman"/>
        <w:lvlText w:val="%6."/>
        <w:lvlJc w:val="right"/>
        <w:pPr>
          <w:ind w:left="4320" w:hanging="180"/>
        </w:pPr>
      </w:lvl>
    </w:lvlOverride>
    <w:lvlOverride w:ilvl="6">
      <w:lvl w:ilvl="6" w:tplc="0809000F" w:tentative="1">
        <w:start w:val="1"/>
        <w:numFmt w:val="decimal"/>
        <w:lvlText w:val="%7."/>
        <w:lvlJc w:val="left"/>
        <w:pPr>
          <w:ind w:left="5040" w:hanging="360"/>
        </w:pPr>
      </w:lvl>
    </w:lvlOverride>
    <w:lvlOverride w:ilvl="7">
      <w:lvl w:ilvl="7" w:tplc="08090019" w:tentative="1">
        <w:start w:val="1"/>
        <w:numFmt w:val="lowerLetter"/>
        <w:lvlText w:val="%8."/>
        <w:lvlJc w:val="left"/>
        <w:pPr>
          <w:ind w:left="5760" w:hanging="360"/>
        </w:pPr>
      </w:lvl>
    </w:lvlOverride>
    <w:lvlOverride w:ilvl="8">
      <w:lvl w:ilvl="8" w:tplc="0809001B" w:tentative="1">
        <w:start w:val="1"/>
        <w:numFmt w:val="lowerRoman"/>
        <w:lvlText w:val="%9."/>
        <w:lvlJc w:val="right"/>
        <w:pPr>
          <w:ind w:left="6480" w:hanging="180"/>
        </w:pPr>
      </w:lvl>
    </w:lvlOverride>
  </w:num>
  <w:num w:numId="5" w16cid:durableId="1851337112">
    <w:abstractNumId w:val="0"/>
    <w:lvlOverride w:ilvl="0">
      <w:lvl w:ilvl="0" w:tplc="08090011">
        <w:start w:val="1"/>
        <w:numFmt w:val="decimal"/>
        <w:lvlText w:val="%1)"/>
        <w:lvlJc w:val="left"/>
        <w:pPr>
          <w:ind w:left="360" w:firstLine="0"/>
        </w:pPr>
        <w:rPr>
          <w:rFonts w:hint="default"/>
        </w:rPr>
      </w:lvl>
    </w:lvlOverride>
    <w:lvlOverride w:ilvl="1">
      <w:lvl w:ilvl="1" w:tplc="08090019" w:tentative="1">
        <w:start w:val="1"/>
        <w:numFmt w:val="lowerLetter"/>
        <w:lvlText w:val="%2."/>
        <w:lvlJc w:val="left"/>
        <w:pPr>
          <w:ind w:left="1440" w:hanging="360"/>
        </w:pPr>
      </w:lvl>
    </w:lvlOverride>
    <w:lvlOverride w:ilvl="2">
      <w:lvl w:ilvl="2" w:tplc="0809001B" w:tentative="1">
        <w:start w:val="1"/>
        <w:numFmt w:val="lowerRoman"/>
        <w:lvlText w:val="%3."/>
        <w:lvlJc w:val="right"/>
        <w:pPr>
          <w:ind w:left="2160" w:hanging="180"/>
        </w:pPr>
      </w:lvl>
    </w:lvlOverride>
    <w:lvlOverride w:ilvl="3">
      <w:lvl w:ilvl="3" w:tplc="0809000F" w:tentative="1">
        <w:start w:val="1"/>
        <w:numFmt w:val="decimal"/>
        <w:lvlText w:val="%4."/>
        <w:lvlJc w:val="left"/>
        <w:pPr>
          <w:ind w:left="2880" w:hanging="360"/>
        </w:pPr>
      </w:lvl>
    </w:lvlOverride>
    <w:lvlOverride w:ilvl="4">
      <w:lvl w:ilvl="4" w:tplc="08090019" w:tentative="1">
        <w:start w:val="1"/>
        <w:numFmt w:val="lowerLetter"/>
        <w:lvlText w:val="%5."/>
        <w:lvlJc w:val="left"/>
        <w:pPr>
          <w:ind w:left="3600" w:hanging="360"/>
        </w:pPr>
      </w:lvl>
    </w:lvlOverride>
    <w:lvlOverride w:ilvl="5">
      <w:lvl w:ilvl="5" w:tplc="0809001B" w:tentative="1">
        <w:start w:val="1"/>
        <w:numFmt w:val="lowerRoman"/>
        <w:lvlText w:val="%6."/>
        <w:lvlJc w:val="right"/>
        <w:pPr>
          <w:ind w:left="4320" w:hanging="180"/>
        </w:pPr>
      </w:lvl>
    </w:lvlOverride>
    <w:lvlOverride w:ilvl="6">
      <w:lvl w:ilvl="6" w:tplc="0809000F" w:tentative="1">
        <w:start w:val="1"/>
        <w:numFmt w:val="decimal"/>
        <w:lvlText w:val="%7."/>
        <w:lvlJc w:val="left"/>
        <w:pPr>
          <w:ind w:left="5040" w:hanging="360"/>
        </w:pPr>
      </w:lvl>
    </w:lvlOverride>
    <w:lvlOverride w:ilvl="7">
      <w:lvl w:ilvl="7" w:tplc="08090019" w:tentative="1">
        <w:start w:val="1"/>
        <w:numFmt w:val="lowerLetter"/>
        <w:lvlText w:val="%8."/>
        <w:lvlJc w:val="left"/>
        <w:pPr>
          <w:ind w:left="5760" w:hanging="360"/>
        </w:pPr>
      </w:lvl>
    </w:lvlOverride>
    <w:lvlOverride w:ilvl="8">
      <w:lvl w:ilvl="8" w:tplc="0809001B" w:tentative="1">
        <w:start w:val="1"/>
        <w:numFmt w:val="lowerRoman"/>
        <w:lvlText w:val="%9."/>
        <w:lvlJc w:val="right"/>
        <w:pPr>
          <w:ind w:left="6480" w:hanging="180"/>
        </w:pPr>
      </w:lvl>
    </w:lvlOverride>
  </w:num>
  <w:num w:numId="6" w16cid:durableId="1289823531">
    <w:abstractNumId w:val="0"/>
    <w:lvlOverride w:ilvl="0">
      <w:lvl w:ilvl="0" w:tplc="08090011">
        <w:start w:val="1"/>
        <w:numFmt w:val="decimal"/>
        <w:lvlText w:val="%1)"/>
        <w:lvlJc w:val="left"/>
        <w:pPr>
          <w:ind w:left="360" w:hanging="72"/>
        </w:pPr>
        <w:rPr>
          <w:rFonts w:hint="default"/>
        </w:rPr>
      </w:lvl>
    </w:lvlOverride>
    <w:lvlOverride w:ilvl="1">
      <w:lvl w:ilvl="1" w:tplc="08090019" w:tentative="1">
        <w:start w:val="1"/>
        <w:numFmt w:val="lowerLetter"/>
        <w:lvlText w:val="%2."/>
        <w:lvlJc w:val="left"/>
        <w:pPr>
          <w:ind w:left="1440" w:hanging="360"/>
        </w:pPr>
      </w:lvl>
    </w:lvlOverride>
    <w:lvlOverride w:ilvl="2">
      <w:lvl w:ilvl="2" w:tplc="0809001B" w:tentative="1">
        <w:start w:val="1"/>
        <w:numFmt w:val="lowerRoman"/>
        <w:lvlText w:val="%3."/>
        <w:lvlJc w:val="right"/>
        <w:pPr>
          <w:ind w:left="2160" w:hanging="180"/>
        </w:pPr>
      </w:lvl>
    </w:lvlOverride>
    <w:lvlOverride w:ilvl="3">
      <w:lvl w:ilvl="3" w:tplc="0809000F" w:tentative="1">
        <w:start w:val="1"/>
        <w:numFmt w:val="decimal"/>
        <w:lvlText w:val="%4."/>
        <w:lvlJc w:val="left"/>
        <w:pPr>
          <w:ind w:left="2880" w:hanging="360"/>
        </w:pPr>
      </w:lvl>
    </w:lvlOverride>
    <w:lvlOverride w:ilvl="4">
      <w:lvl w:ilvl="4" w:tplc="08090019" w:tentative="1">
        <w:start w:val="1"/>
        <w:numFmt w:val="lowerLetter"/>
        <w:lvlText w:val="%5."/>
        <w:lvlJc w:val="left"/>
        <w:pPr>
          <w:ind w:left="3600" w:hanging="360"/>
        </w:pPr>
      </w:lvl>
    </w:lvlOverride>
    <w:lvlOverride w:ilvl="5">
      <w:lvl w:ilvl="5" w:tplc="0809001B" w:tentative="1">
        <w:start w:val="1"/>
        <w:numFmt w:val="lowerRoman"/>
        <w:lvlText w:val="%6."/>
        <w:lvlJc w:val="right"/>
        <w:pPr>
          <w:ind w:left="4320" w:hanging="180"/>
        </w:pPr>
      </w:lvl>
    </w:lvlOverride>
    <w:lvlOverride w:ilvl="6">
      <w:lvl w:ilvl="6" w:tplc="0809000F" w:tentative="1">
        <w:start w:val="1"/>
        <w:numFmt w:val="decimal"/>
        <w:lvlText w:val="%7."/>
        <w:lvlJc w:val="left"/>
        <w:pPr>
          <w:ind w:left="5040" w:hanging="360"/>
        </w:pPr>
      </w:lvl>
    </w:lvlOverride>
    <w:lvlOverride w:ilvl="7">
      <w:lvl w:ilvl="7" w:tplc="08090019" w:tentative="1">
        <w:start w:val="1"/>
        <w:numFmt w:val="lowerLetter"/>
        <w:lvlText w:val="%8."/>
        <w:lvlJc w:val="left"/>
        <w:pPr>
          <w:ind w:left="5760" w:hanging="360"/>
        </w:pPr>
      </w:lvl>
    </w:lvlOverride>
    <w:lvlOverride w:ilvl="8">
      <w:lvl w:ilvl="8" w:tplc="0809001B" w:tentative="1">
        <w:start w:val="1"/>
        <w:numFmt w:val="lowerRoman"/>
        <w:lvlText w:val="%9."/>
        <w:lvlJc w:val="right"/>
        <w:pPr>
          <w:ind w:left="6480" w:hanging="180"/>
        </w:pPr>
      </w:lvl>
    </w:lvlOverride>
  </w:num>
  <w:num w:numId="7" w16cid:durableId="1385913415">
    <w:abstractNumId w:val="0"/>
    <w:lvlOverride w:ilvl="0">
      <w:lvl w:ilvl="0" w:tplc="08090011">
        <w:start w:val="1"/>
        <w:numFmt w:val="decimal"/>
        <w:lvlText w:val="%1)"/>
        <w:lvlJc w:val="left"/>
        <w:pPr>
          <w:ind w:left="720" w:hanging="432"/>
        </w:pPr>
        <w:rPr>
          <w:rFonts w:hint="default"/>
        </w:rPr>
      </w:lvl>
    </w:lvlOverride>
    <w:lvlOverride w:ilvl="1">
      <w:lvl w:ilvl="1" w:tplc="08090019" w:tentative="1">
        <w:start w:val="1"/>
        <w:numFmt w:val="lowerLetter"/>
        <w:lvlText w:val="%2."/>
        <w:lvlJc w:val="left"/>
        <w:pPr>
          <w:ind w:left="1440" w:hanging="360"/>
        </w:pPr>
      </w:lvl>
    </w:lvlOverride>
    <w:lvlOverride w:ilvl="2">
      <w:lvl w:ilvl="2" w:tplc="0809001B" w:tentative="1">
        <w:start w:val="1"/>
        <w:numFmt w:val="lowerRoman"/>
        <w:lvlText w:val="%3."/>
        <w:lvlJc w:val="right"/>
        <w:pPr>
          <w:ind w:left="2160" w:hanging="180"/>
        </w:pPr>
      </w:lvl>
    </w:lvlOverride>
    <w:lvlOverride w:ilvl="3">
      <w:lvl w:ilvl="3" w:tplc="0809000F" w:tentative="1">
        <w:start w:val="1"/>
        <w:numFmt w:val="decimal"/>
        <w:lvlText w:val="%4."/>
        <w:lvlJc w:val="left"/>
        <w:pPr>
          <w:ind w:left="2880" w:hanging="360"/>
        </w:pPr>
      </w:lvl>
    </w:lvlOverride>
    <w:lvlOverride w:ilvl="4">
      <w:lvl w:ilvl="4" w:tplc="08090019" w:tentative="1">
        <w:start w:val="1"/>
        <w:numFmt w:val="lowerLetter"/>
        <w:lvlText w:val="%5."/>
        <w:lvlJc w:val="left"/>
        <w:pPr>
          <w:ind w:left="3600" w:hanging="360"/>
        </w:pPr>
      </w:lvl>
    </w:lvlOverride>
    <w:lvlOverride w:ilvl="5">
      <w:lvl w:ilvl="5" w:tplc="0809001B" w:tentative="1">
        <w:start w:val="1"/>
        <w:numFmt w:val="lowerRoman"/>
        <w:lvlText w:val="%6."/>
        <w:lvlJc w:val="right"/>
        <w:pPr>
          <w:ind w:left="4320" w:hanging="180"/>
        </w:pPr>
      </w:lvl>
    </w:lvlOverride>
    <w:lvlOverride w:ilvl="6">
      <w:lvl w:ilvl="6" w:tplc="0809000F" w:tentative="1">
        <w:start w:val="1"/>
        <w:numFmt w:val="decimal"/>
        <w:lvlText w:val="%7."/>
        <w:lvlJc w:val="left"/>
        <w:pPr>
          <w:ind w:left="5040" w:hanging="360"/>
        </w:pPr>
      </w:lvl>
    </w:lvlOverride>
    <w:lvlOverride w:ilvl="7">
      <w:lvl w:ilvl="7" w:tplc="08090019" w:tentative="1">
        <w:start w:val="1"/>
        <w:numFmt w:val="lowerLetter"/>
        <w:lvlText w:val="%8."/>
        <w:lvlJc w:val="left"/>
        <w:pPr>
          <w:ind w:left="5760" w:hanging="360"/>
        </w:pPr>
      </w:lvl>
    </w:lvlOverride>
    <w:lvlOverride w:ilvl="8">
      <w:lvl w:ilvl="8" w:tplc="0809001B" w:tentative="1">
        <w:start w:val="1"/>
        <w:numFmt w:val="lowerRoman"/>
        <w:lvlText w:val="%9."/>
        <w:lvlJc w:val="right"/>
        <w:pPr>
          <w:ind w:left="6480" w:hanging="180"/>
        </w:pPr>
      </w:lvl>
    </w:lvlOverride>
  </w:num>
  <w:num w:numId="8" w16cid:durableId="209848820">
    <w:abstractNumId w:val="2"/>
  </w:num>
  <w:num w:numId="9" w16cid:durableId="1859654389">
    <w:abstractNumId w:val="10"/>
  </w:num>
  <w:num w:numId="10" w16cid:durableId="1740864985">
    <w:abstractNumId w:val="7"/>
  </w:num>
  <w:num w:numId="11" w16cid:durableId="574320911">
    <w:abstractNumId w:val="1"/>
  </w:num>
  <w:num w:numId="12" w16cid:durableId="1034964514">
    <w:abstractNumId w:val="4"/>
  </w:num>
  <w:num w:numId="13" w16cid:durableId="1771659517">
    <w:abstractNumId w:val="3"/>
  </w:num>
  <w:num w:numId="14" w16cid:durableId="1450469931">
    <w:abstractNumId w:val="5"/>
  </w:num>
  <w:num w:numId="15" w16cid:durableId="250549972">
    <w:abstractNumId w:val="11"/>
  </w:num>
  <w:num w:numId="16" w16cid:durableId="255410821">
    <w:abstractNumId w:val="6"/>
  </w:num>
  <w:num w:numId="17" w16cid:durableId="877549412">
    <w:abstractNumId w:val="8"/>
  </w:num>
  <w:num w:numId="18" w16cid:durableId="42611579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6BAC"/>
    <w:rsid w:val="00012EFB"/>
    <w:rsid w:val="0002482E"/>
    <w:rsid w:val="00026F7B"/>
    <w:rsid w:val="00040057"/>
    <w:rsid w:val="00045955"/>
    <w:rsid w:val="00050324"/>
    <w:rsid w:val="000526EB"/>
    <w:rsid w:val="00065E99"/>
    <w:rsid w:val="000841D0"/>
    <w:rsid w:val="00090CB6"/>
    <w:rsid w:val="000A0150"/>
    <w:rsid w:val="000A5F9A"/>
    <w:rsid w:val="000C7FB8"/>
    <w:rsid w:val="000D15D9"/>
    <w:rsid w:val="000D3795"/>
    <w:rsid w:val="000D75F5"/>
    <w:rsid w:val="000E63C9"/>
    <w:rsid w:val="000E773C"/>
    <w:rsid w:val="000F6BAC"/>
    <w:rsid w:val="001068B4"/>
    <w:rsid w:val="00111174"/>
    <w:rsid w:val="0011337F"/>
    <w:rsid w:val="0011652E"/>
    <w:rsid w:val="00116547"/>
    <w:rsid w:val="00130545"/>
    <w:rsid w:val="00130E9D"/>
    <w:rsid w:val="001324AB"/>
    <w:rsid w:val="00150084"/>
    <w:rsid w:val="00150A6D"/>
    <w:rsid w:val="00151171"/>
    <w:rsid w:val="001576D7"/>
    <w:rsid w:val="00172CA6"/>
    <w:rsid w:val="00185B35"/>
    <w:rsid w:val="001A17FA"/>
    <w:rsid w:val="001A4AED"/>
    <w:rsid w:val="001B33FA"/>
    <w:rsid w:val="001B7D03"/>
    <w:rsid w:val="001C3203"/>
    <w:rsid w:val="001D47A1"/>
    <w:rsid w:val="001F2BC8"/>
    <w:rsid w:val="001F5F6B"/>
    <w:rsid w:val="001F7D0E"/>
    <w:rsid w:val="00206DBC"/>
    <w:rsid w:val="002074CD"/>
    <w:rsid w:val="00213B97"/>
    <w:rsid w:val="0021647D"/>
    <w:rsid w:val="002402C9"/>
    <w:rsid w:val="00243EBC"/>
    <w:rsid w:val="00245A51"/>
    <w:rsid w:val="00246A35"/>
    <w:rsid w:val="00253A5C"/>
    <w:rsid w:val="00255A1A"/>
    <w:rsid w:val="00263D87"/>
    <w:rsid w:val="002723AC"/>
    <w:rsid w:val="00282D2F"/>
    <w:rsid w:val="00284348"/>
    <w:rsid w:val="00285503"/>
    <w:rsid w:val="002A6267"/>
    <w:rsid w:val="002A7020"/>
    <w:rsid w:val="002C432F"/>
    <w:rsid w:val="002C6D91"/>
    <w:rsid w:val="002F4605"/>
    <w:rsid w:val="002F51F5"/>
    <w:rsid w:val="002F5266"/>
    <w:rsid w:val="00312137"/>
    <w:rsid w:val="003146DA"/>
    <w:rsid w:val="00320082"/>
    <w:rsid w:val="00320D3E"/>
    <w:rsid w:val="00330359"/>
    <w:rsid w:val="0033762F"/>
    <w:rsid w:val="00341A51"/>
    <w:rsid w:val="00343FA5"/>
    <w:rsid w:val="00355988"/>
    <w:rsid w:val="00356254"/>
    <w:rsid w:val="00357357"/>
    <w:rsid w:val="00366C7E"/>
    <w:rsid w:val="0037233D"/>
    <w:rsid w:val="003733AB"/>
    <w:rsid w:val="00377233"/>
    <w:rsid w:val="00380B5B"/>
    <w:rsid w:val="003812E6"/>
    <w:rsid w:val="00384EA3"/>
    <w:rsid w:val="00387DBF"/>
    <w:rsid w:val="003928B6"/>
    <w:rsid w:val="003933E5"/>
    <w:rsid w:val="003A372D"/>
    <w:rsid w:val="003A39A1"/>
    <w:rsid w:val="003B1663"/>
    <w:rsid w:val="003C0BCC"/>
    <w:rsid w:val="003C2191"/>
    <w:rsid w:val="003C4A71"/>
    <w:rsid w:val="003C7BD4"/>
    <w:rsid w:val="003D3863"/>
    <w:rsid w:val="003F1CCD"/>
    <w:rsid w:val="00404B7A"/>
    <w:rsid w:val="004110DE"/>
    <w:rsid w:val="00413739"/>
    <w:rsid w:val="0042163A"/>
    <w:rsid w:val="00431073"/>
    <w:rsid w:val="0044085A"/>
    <w:rsid w:val="00452EA7"/>
    <w:rsid w:val="00456CE1"/>
    <w:rsid w:val="004661F2"/>
    <w:rsid w:val="00467622"/>
    <w:rsid w:val="00477E6D"/>
    <w:rsid w:val="00495329"/>
    <w:rsid w:val="004A05DA"/>
    <w:rsid w:val="004B21A5"/>
    <w:rsid w:val="004C0501"/>
    <w:rsid w:val="004C064F"/>
    <w:rsid w:val="004D45C7"/>
    <w:rsid w:val="004E1DBB"/>
    <w:rsid w:val="004E5DF2"/>
    <w:rsid w:val="005037F0"/>
    <w:rsid w:val="00512B60"/>
    <w:rsid w:val="00516A86"/>
    <w:rsid w:val="005239E6"/>
    <w:rsid w:val="00524494"/>
    <w:rsid w:val="00525223"/>
    <w:rsid w:val="005275F6"/>
    <w:rsid w:val="00532494"/>
    <w:rsid w:val="00542C22"/>
    <w:rsid w:val="00545454"/>
    <w:rsid w:val="00554B6D"/>
    <w:rsid w:val="00557316"/>
    <w:rsid w:val="00570409"/>
    <w:rsid w:val="00572102"/>
    <w:rsid w:val="0058647F"/>
    <w:rsid w:val="00591E22"/>
    <w:rsid w:val="005D02D1"/>
    <w:rsid w:val="005D6B06"/>
    <w:rsid w:val="005E1471"/>
    <w:rsid w:val="005F1BB0"/>
    <w:rsid w:val="00600038"/>
    <w:rsid w:val="00617A0A"/>
    <w:rsid w:val="00625960"/>
    <w:rsid w:val="00656C4D"/>
    <w:rsid w:val="006672D3"/>
    <w:rsid w:val="00690681"/>
    <w:rsid w:val="006A35D7"/>
    <w:rsid w:val="006B5F99"/>
    <w:rsid w:val="006C2912"/>
    <w:rsid w:val="006E5716"/>
    <w:rsid w:val="00706BD5"/>
    <w:rsid w:val="00713BCC"/>
    <w:rsid w:val="00724828"/>
    <w:rsid w:val="00727432"/>
    <w:rsid w:val="007302B3"/>
    <w:rsid w:val="00730733"/>
    <w:rsid w:val="00730E3A"/>
    <w:rsid w:val="00736509"/>
    <w:rsid w:val="00736AAF"/>
    <w:rsid w:val="007434DE"/>
    <w:rsid w:val="00751324"/>
    <w:rsid w:val="00765B2A"/>
    <w:rsid w:val="00782C65"/>
    <w:rsid w:val="00783A34"/>
    <w:rsid w:val="007915CB"/>
    <w:rsid w:val="007B6D23"/>
    <w:rsid w:val="007C6B52"/>
    <w:rsid w:val="007D16C5"/>
    <w:rsid w:val="007D3C44"/>
    <w:rsid w:val="007E0D3E"/>
    <w:rsid w:val="007F5A0C"/>
    <w:rsid w:val="008050C6"/>
    <w:rsid w:val="0082065B"/>
    <w:rsid w:val="00824F3F"/>
    <w:rsid w:val="00825380"/>
    <w:rsid w:val="00830A41"/>
    <w:rsid w:val="00835715"/>
    <w:rsid w:val="00844B4D"/>
    <w:rsid w:val="00862FE4"/>
    <w:rsid w:val="0086389A"/>
    <w:rsid w:val="00872201"/>
    <w:rsid w:val="0087605E"/>
    <w:rsid w:val="00893EDD"/>
    <w:rsid w:val="008969DF"/>
    <w:rsid w:val="008A0454"/>
    <w:rsid w:val="008B1FEE"/>
    <w:rsid w:val="008D018F"/>
    <w:rsid w:val="008E5AF8"/>
    <w:rsid w:val="008F2308"/>
    <w:rsid w:val="008F5A4E"/>
    <w:rsid w:val="00903C32"/>
    <w:rsid w:val="00916B16"/>
    <w:rsid w:val="009173B9"/>
    <w:rsid w:val="00920F81"/>
    <w:rsid w:val="00926674"/>
    <w:rsid w:val="0093335D"/>
    <w:rsid w:val="0093613E"/>
    <w:rsid w:val="00943026"/>
    <w:rsid w:val="00966B81"/>
    <w:rsid w:val="009715A7"/>
    <w:rsid w:val="009729FA"/>
    <w:rsid w:val="00984F15"/>
    <w:rsid w:val="00990716"/>
    <w:rsid w:val="009976C5"/>
    <w:rsid w:val="009A3A17"/>
    <w:rsid w:val="009A67A2"/>
    <w:rsid w:val="009C4863"/>
    <w:rsid w:val="009C56A8"/>
    <w:rsid w:val="009C7720"/>
    <w:rsid w:val="009D1D91"/>
    <w:rsid w:val="00A07E39"/>
    <w:rsid w:val="00A157E8"/>
    <w:rsid w:val="00A23458"/>
    <w:rsid w:val="00A23AFA"/>
    <w:rsid w:val="00A27225"/>
    <w:rsid w:val="00A31B3E"/>
    <w:rsid w:val="00A34C35"/>
    <w:rsid w:val="00A5125E"/>
    <w:rsid w:val="00A532F3"/>
    <w:rsid w:val="00A54D78"/>
    <w:rsid w:val="00A83123"/>
    <w:rsid w:val="00A8489E"/>
    <w:rsid w:val="00AA7298"/>
    <w:rsid w:val="00AB00DF"/>
    <w:rsid w:val="00AC0E83"/>
    <w:rsid w:val="00AC27C2"/>
    <w:rsid w:val="00AC29F3"/>
    <w:rsid w:val="00AF0260"/>
    <w:rsid w:val="00AF77BF"/>
    <w:rsid w:val="00B11A9A"/>
    <w:rsid w:val="00B231E5"/>
    <w:rsid w:val="00B518E2"/>
    <w:rsid w:val="00B62A0F"/>
    <w:rsid w:val="00B709E8"/>
    <w:rsid w:val="00B867EF"/>
    <w:rsid w:val="00B93C10"/>
    <w:rsid w:val="00BA3FB8"/>
    <w:rsid w:val="00BA583F"/>
    <w:rsid w:val="00BB0559"/>
    <w:rsid w:val="00BC0A41"/>
    <w:rsid w:val="00BC6AC0"/>
    <w:rsid w:val="00C02B87"/>
    <w:rsid w:val="00C0366D"/>
    <w:rsid w:val="00C34B10"/>
    <w:rsid w:val="00C4086D"/>
    <w:rsid w:val="00C449DD"/>
    <w:rsid w:val="00C87BFB"/>
    <w:rsid w:val="00C90E74"/>
    <w:rsid w:val="00CA02B7"/>
    <w:rsid w:val="00CA1896"/>
    <w:rsid w:val="00CA7F27"/>
    <w:rsid w:val="00CB5B28"/>
    <w:rsid w:val="00CD0CE4"/>
    <w:rsid w:val="00CD1768"/>
    <w:rsid w:val="00CD59BF"/>
    <w:rsid w:val="00CE0429"/>
    <w:rsid w:val="00CE1487"/>
    <w:rsid w:val="00CF5371"/>
    <w:rsid w:val="00D0323A"/>
    <w:rsid w:val="00D0559F"/>
    <w:rsid w:val="00D077E9"/>
    <w:rsid w:val="00D300A3"/>
    <w:rsid w:val="00D3433E"/>
    <w:rsid w:val="00D37657"/>
    <w:rsid w:val="00D42CB7"/>
    <w:rsid w:val="00D5413D"/>
    <w:rsid w:val="00D54E69"/>
    <w:rsid w:val="00D570A9"/>
    <w:rsid w:val="00D60680"/>
    <w:rsid w:val="00D70D02"/>
    <w:rsid w:val="00D770C7"/>
    <w:rsid w:val="00D86945"/>
    <w:rsid w:val="00D90290"/>
    <w:rsid w:val="00DB4885"/>
    <w:rsid w:val="00DD152F"/>
    <w:rsid w:val="00DD25B4"/>
    <w:rsid w:val="00DE213F"/>
    <w:rsid w:val="00DF027C"/>
    <w:rsid w:val="00E00A32"/>
    <w:rsid w:val="00E22ACD"/>
    <w:rsid w:val="00E5062F"/>
    <w:rsid w:val="00E620B0"/>
    <w:rsid w:val="00E81B40"/>
    <w:rsid w:val="00E87651"/>
    <w:rsid w:val="00EA06F1"/>
    <w:rsid w:val="00EA43C4"/>
    <w:rsid w:val="00EA5A29"/>
    <w:rsid w:val="00ED615D"/>
    <w:rsid w:val="00EF555B"/>
    <w:rsid w:val="00F027BB"/>
    <w:rsid w:val="00F11DCF"/>
    <w:rsid w:val="00F1231F"/>
    <w:rsid w:val="00F162EA"/>
    <w:rsid w:val="00F52D27"/>
    <w:rsid w:val="00F7059C"/>
    <w:rsid w:val="00F723E5"/>
    <w:rsid w:val="00F83527"/>
    <w:rsid w:val="00F943E2"/>
    <w:rsid w:val="00F94AE1"/>
    <w:rsid w:val="00F95547"/>
    <w:rsid w:val="00FD1DD1"/>
    <w:rsid w:val="00FD2A90"/>
    <w:rsid w:val="00FD583F"/>
    <w:rsid w:val="00FD72D7"/>
    <w:rsid w:val="00FD7488"/>
    <w:rsid w:val="00FF16B4"/>
  </w:rsids>
  <m:mathPr>
    <m:mathFont m:val="Cambria Math"/>
    <m:brkBin m:val="before"/>
    <m:brkBinSub m:val="--"/>
    <m:smallFrac m:val="0"/>
    <m:dispDef/>
    <m:lMargin m:val="1440"/>
    <m:rMargin m:val="1440"/>
    <m:defJc m:val="centerGroup"/>
    <m:wrapIndent m:val="1440"/>
    <m:intLim m:val="subSup"/>
    <m:naryLim m:val="undOvr"/>
  </m:mathPr>
  <w:attachedSchema w:val="urn:DocumentPartTemplate"/>
  <w:attachedSchema w:val="http://schemas.microsoft.com/temp/samples"/>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442B1C"/>
  <w15:docId w15:val="{49088BC3-C8CD-4126-A1D2-DBD3B95453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4" w:qFormat="1"/>
    <w:lsdException w:name="heading 3" w:semiHidden="1" w:uiPriority="5"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5"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3" w:unhideWhenUsed="1" w:qFormat="1"/>
    <w:lsdException w:name="Hyperlink" w:semiHidden="1" w:unhideWhenUsed="1"/>
    <w:lsdException w:name="FollowedHyperlink" w:semiHidden="1" w:unhideWhenUsed="1"/>
    <w:lsdException w:name="Strong" w:semiHidden="1" w:uiPriority="2" w:unhideWhenUsed="1" w:qFormat="1"/>
    <w:lsdException w:name="Emphasis" w:semiHidden="1" w:uiPriority="2"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6945"/>
    <w:pPr>
      <w:spacing w:after="0"/>
    </w:pPr>
    <w:rPr>
      <w:rFonts w:eastAsiaTheme="minorEastAsia"/>
      <w:b/>
      <w:color w:val="082A75" w:themeColor="text2"/>
      <w:sz w:val="28"/>
      <w:szCs w:val="22"/>
      <w:lang w:val="en-GB"/>
    </w:rPr>
  </w:style>
  <w:style w:type="paragraph" w:styleId="Heading1">
    <w:name w:val="heading 1"/>
    <w:basedOn w:val="Normal"/>
    <w:link w:val="Heading1Char"/>
    <w:uiPriority w:val="9"/>
    <w:qFormat/>
    <w:rsid w:val="00D077E9"/>
    <w:pPr>
      <w:keepNext/>
      <w:spacing w:before="240" w:after="60"/>
      <w:outlineLvl w:val="0"/>
    </w:pPr>
    <w:rPr>
      <w:rFonts w:asciiTheme="majorHAnsi" w:eastAsiaTheme="majorEastAsia" w:hAnsiTheme="majorHAnsi" w:cstheme="majorBidi"/>
      <w:color w:val="061F57" w:themeColor="text2" w:themeShade="BF"/>
      <w:kern w:val="28"/>
      <w:sz w:val="52"/>
      <w:szCs w:val="32"/>
    </w:rPr>
  </w:style>
  <w:style w:type="paragraph" w:styleId="Heading2">
    <w:name w:val="heading 2"/>
    <w:basedOn w:val="Normal"/>
    <w:next w:val="Normal"/>
    <w:link w:val="Heading2Char"/>
    <w:uiPriority w:val="4"/>
    <w:qFormat/>
    <w:rsid w:val="00DF027C"/>
    <w:pPr>
      <w:keepNext/>
      <w:spacing w:after="240" w:line="240" w:lineRule="auto"/>
      <w:outlineLvl w:val="1"/>
    </w:pPr>
    <w:rPr>
      <w:rFonts w:eastAsiaTheme="majorEastAsia" w:cstheme="majorBidi"/>
      <w:b w:val="0"/>
      <w:sz w:val="3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Title">
    <w:name w:val="Title"/>
    <w:basedOn w:val="Normal"/>
    <w:link w:val="TitleChar"/>
    <w:uiPriority w:val="1"/>
    <w:qFormat/>
    <w:rsid w:val="00D86945"/>
    <w:pPr>
      <w:spacing w:after="200" w:line="240" w:lineRule="auto"/>
    </w:pPr>
    <w:rPr>
      <w:rFonts w:asciiTheme="majorHAnsi" w:eastAsiaTheme="majorEastAsia" w:hAnsiTheme="majorHAnsi" w:cstheme="majorBidi"/>
      <w:bCs/>
      <w:sz w:val="72"/>
      <w:szCs w:val="52"/>
    </w:rPr>
  </w:style>
  <w:style w:type="character" w:customStyle="1" w:styleId="TitleChar">
    <w:name w:val="Title Char"/>
    <w:basedOn w:val="DefaultParagraphFont"/>
    <w:link w:val="Title"/>
    <w:uiPriority w:val="1"/>
    <w:rsid w:val="00D86945"/>
    <w:rPr>
      <w:rFonts w:asciiTheme="majorHAnsi" w:eastAsiaTheme="majorEastAsia" w:hAnsiTheme="majorHAnsi" w:cstheme="majorBidi"/>
      <w:b/>
      <w:bCs/>
      <w:color w:val="082A75" w:themeColor="text2"/>
      <w:sz w:val="72"/>
      <w:szCs w:val="52"/>
    </w:rPr>
  </w:style>
  <w:style w:type="paragraph" w:styleId="Subtitle">
    <w:name w:val="Subtitle"/>
    <w:basedOn w:val="Normal"/>
    <w:link w:val="SubtitleChar"/>
    <w:uiPriority w:val="2"/>
    <w:qFormat/>
    <w:rsid w:val="00D86945"/>
    <w:pPr>
      <w:framePr w:hSpace="180" w:wrap="around" w:vAnchor="text" w:hAnchor="margin" w:y="1167"/>
    </w:pPr>
    <w:rPr>
      <w:b w:val="0"/>
      <w:caps/>
      <w:spacing w:val="20"/>
      <w:sz w:val="32"/>
    </w:rPr>
  </w:style>
  <w:style w:type="character" w:customStyle="1" w:styleId="SubtitleChar">
    <w:name w:val="Subtitle Char"/>
    <w:basedOn w:val="DefaultParagraphFont"/>
    <w:link w:val="Subtitle"/>
    <w:uiPriority w:val="2"/>
    <w:rsid w:val="00D86945"/>
    <w:rPr>
      <w:rFonts w:eastAsiaTheme="minorEastAsia"/>
      <w:caps/>
      <w:color w:val="082A75" w:themeColor="text2"/>
      <w:spacing w:val="20"/>
      <w:sz w:val="32"/>
      <w:szCs w:val="22"/>
    </w:rPr>
  </w:style>
  <w:style w:type="character" w:customStyle="1" w:styleId="Heading1Char">
    <w:name w:val="Heading 1 Char"/>
    <w:basedOn w:val="DefaultParagraphFont"/>
    <w:link w:val="Heading1"/>
    <w:uiPriority w:val="9"/>
    <w:rsid w:val="00D077E9"/>
    <w:rPr>
      <w:rFonts w:asciiTheme="majorHAnsi" w:eastAsiaTheme="majorEastAsia" w:hAnsiTheme="majorHAnsi" w:cstheme="majorBidi"/>
      <w:b/>
      <w:color w:val="061F57" w:themeColor="text2" w:themeShade="BF"/>
      <w:kern w:val="28"/>
      <w:sz w:val="52"/>
      <w:szCs w:val="32"/>
    </w:rPr>
  </w:style>
  <w:style w:type="paragraph" w:styleId="Header">
    <w:name w:val="header"/>
    <w:basedOn w:val="Normal"/>
    <w:link w:val="HeaderChar"/>
    <w:uiPriority w:val="8"/>
    <w:unhideWhenUsed/>
    <w:rsid w:val="005037F0"/>
  </w:style>
  <w:style w:type="character" w:customStyle="1" w:styleId="HeaderChar">
    <w:name w:val="Header Char"/>
    <w:basedOn w:val="DefaultParagraphFont"/>
    <w:link w:val="Header"/>
    <w:uiPriority w:val="8"/>
    <w:rsid w:val="0093335D"/>
  </w:style>
  <w:style w:type="paragraph" w:styleId="Footer">
    <w:name w:val="footer"/>
    <w:basedOn w:val="Normal"/>
    <w:link w:val="FooterChar"/>
    <w:uiPriority w:val="99"/>
    <w:unhideWhenUsed/>
    <w:rsid w:val="005037F0"/>
  </w:style>
  <w:style w:type="character" w:customStyle="1" w:styleId="FooterChar">
    <w:name w:val="Footer Char"/>
    <w:basedOn w:val="DefaultParagraphFont"/>
    <w:link w:val="Footer"/>
    <w:uiPriority w:val="99"/>
    <w:rsid w:val="005037F0"/>
    <w:rPr>
      <w:sz w:val="24"/>
      <w:szCs w:val="24"/>
    </w:rPr>
  </w:style>
  <w:style w:type="paragraph" w:customStyle="1" w:styleId="Name">
    <w:name w:val="Name"/>
    <w:basedOn w:val="Normal"/>
    <w:uiPriority w:val="3"/>
    <w:qFormat/>
    <w:rsid w:val="00B231E5"/>
    <w:pPr>
      <w:spacing w:line="240" w:lineRule="auto"/>
      <w:jc w:val="right"/>
    </w:pPr>
  </w:style>
  <w:style w:type="character" w:customStyle="1" w:styleId="Heading2Char">
    <w:name w:val="Heading 2 Char"/>
    <w:basedOn w:val="DefaultParagraphFont"/>
    <w:link w:val="Heading2"/>
    <w:uiPriority w:val="4"/>
    <w:rsid w:val="00DF027C"/>
    <w:rPr>
      <w:rFonts w:eastAsiaTheme="majorEastAsia" w:cstheme="majorBidi"/>
      <w:color w:val="082A75" w:themeColor="text2"/>
      <w:sz w:val="36"/>
      <w:szCs w:val="26"/>
    </w:rPr>
  </w:style>
  <w:style w:type="table" w:styleId="TableGrid">
    <w:name w:val="Table Grid"/>
    <w:basedOn w:val="TableNormal"/>
    <w:uiPriority w:val="1"/>
    <w:rsid w:val="00FF16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unhideWhenUsed/>
    <w:rsid w:val="00D86945"/>
    <w:rPr>
      <w:color w:val="808080"/>
    </w:rPr>
  </w:style>
  <w:style w:type="paragraph" w:customStyle="1" w:styleId="Content">
    <w:name w:val="Content"/>
    <w:basedOn w:val="Normal"/>
    <w:link w:val="ContentChar"/>
    <w:qFormat/>
    <w:rsid w:val="00DF027C"/>
    <w:rPr>
      <w:b w:val="0"/>
    </w:rPr>
  </w:style>
  <w:style w:type="paragraph" w:customStyle="1" w:styleId="EmphasisText">
    <w:name w:val="Emphasis Text"/>
    <w:basedOn w:val="Normal"/>
    <w:link w:val="EmphasisTextChar"/>
    <w:qFormat/>
    <w:rsid w:val="00DF027C"/>
  </w:style>
  <w:style w:type="character" w:customStyle="1" w:styleId="ContentChar">
    <w:name w:val="Content Char"/>
    <w:basedOn w:val="DefaultParagraphFont"/>
    <w:link w:val="Content"/>
    <w:rsid w:val="00DF027C"/>
    <w:rPr>
      <w:rFonts w:eastAsiaTheme="minorEastAsia"/>
      <w:color w:val="082A75" w:themeColor="text2"/>
      <w:sz w:val="28"/>
      <w:szCs w:val="22"/>
    </w:rPr>
  </w:style>
  <w:style w:type="character" w:customStyle="1" w:styleId="EmphasisTextChar">
    <w:name w:val="Emphasis Text Char"/>
    <w:basedOn w:val="DefaultParagraphFont"/>
    <w:link w:val="EmphasisText"/>
    <w:rsid w:val="00DF027C"/>
    <w:rPr>
      <w:rFonts w:eastAsiaTheme="minorEastAsia"/>
      <w:b/>
      <w:color w:val="082A75" w:themeColor="text2"/>
      <w:sz w:val="28"/>
      <w:szCs w:val="22"/>
    </w:rPr>
  </w:style>
  <w:style w:type="paragraph" w:styleId="ListParagraph">
    <w:name w:val="List Paragraph"/>
    <w:basedOn w:val="Normal"/>
    <w:uiPriority w:val="34"/>
    <w:unhideWhenUsed/>
    <w:qFormat/>
    <w:rsid w:val="00090CB6"/>
    <w:pPr>
      <w:ind w:left="720"/>
      <w:contextualSpacing/>
    </w:pPr>
  </w:style>
  <w:style w:type="paragraph" w:styleId="TOCHeading">
    <w:name w:val="TOC Heading"/>
    <w:basedOn w:val="Heading1"/>
    <w:next w:val="Normal"/>
    <w:uiPriority w:val="39"/>
    <w:unhideWhenUsed/>
    <w:qFormat/>
    <w:rsid w:val="00825380"/>
    <w:pPr>
      <w:keepLines/>
      <w:spacing w:after="0" w:line="259" w:lineRule="auto"/>
      <w:outlineLvl w:val="9"/>
    </w:pPr>
    <w:rPr>
      <w:b w:val="0"/>
      <w:color w:val="013A57" w:themeColor="accent1" w:themeShade="BF"/>
      <w:kern w:val="0"/>
      <w:sz w:val="32"/>
      <w:lang w:eastAsia="en-GB"/>
    </w:rPr>
  </w:style>
  <w:style w:type="paragraph" w:styleId="TOC1">
    <w:name w:val="toc 1"/>
    <w:basedOn w:val="Normal"/>
    <w:next w:val="Normal"/>
    <w:autoRedefine/>
    <w:uiPriority w:val="39"/>
    <w:unhideWhenUsed/>
    <w:rsid w:val="00825380"/>
    <w:pPr>
      <w:spacing w:after="100"/>
    </w:pPr>
  </w:style>
  <w:style w:type="character" w:styleId="Hyperlink">
    <w:name w:val="Hyperlink"/>
    <w:basedOn w:val="DefaultParagraphFont"/>
    <w:uiPriority w:val="99"/>
    <w:unhideWhenUsed/>
    <w:rsid w:val="00825380"/>
    <w:rPr>
      <w:color w:val="3592CF" w:themeColor="hyperlink"/>
      <w:u w:val="single"/>
    </w:rPr>
  </w:style>
  <w:style w:type="paragraph" w:styleId="Caption">
    <w:name w:val="caption"/>
    <w:basedOn w:val="Normal"/>
    <w:next w:val="Normal"/>
    <w:uiPriority w:val="99"/>
    <w:unhideWhenUsed/>
    <w:rsid w:val="00EA06F1"/>
    <w:pPr>
      <w:spacing w:after="200" w:line="240" w:lineRule="auto"/>
    </w:pPr>
    <w:rPr>
      <w:i/>
      <w:iCs/>
      <w:sz w:val="18"/>
      <w:szCs w:val="18"/>
    </w:rPr>
  </w:style>
  <w:style w:type="paragraph" w:styleId="TOC2">
    <w:name w:val="toc 2"/>
    <w:basedOn w:val="Normal"/>
    <w:next w:val="Normal"/>
    <w:autoRedefine/>
    <w:uiPriority w:val="39"/>
    <w:unhideWhenUsed/>
    <w:rsid w:val="00B518E2"/>
    <w:pPr>
      <w:spacing w:after="100"/>
      <w:ind w:left="280"/>
    </w:pPr>
  </w:style>
  <w:style w:type="paragraph" w:styleId="TableofFigures">
    <w:name w:val="table of figures"/>
    <w:basedOn w:val="Normal"/>
    <w:next w:val="Normal"/>
    <w:uiPriority w:val="99"/>
    <w:unhideWhenUsed/>
    <w:rsid w:val="00B518E2"/>
  </w:style>
  <w:style w:type="paragraph" w:styleId="Bibliography">
    <w:name w:val="Bibliography"/>
    <w:basedOn w:val="Normal"/>
    <w:next w:val="Normal"/>
    <w:uiPriority w:val="37"/>
    <w:unhideWhenUsed/>
    <w:rsid w:val="009266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822361">
      <w:bodyDiv w:val="1"/>
      <w:marLeft w:val="0"/>
      <w:marRight w:val="0"/>
      <w:marTop w:val="0"/>
      <w:marBottom w:val="0"/>
      <w:divBdr>
        <w:top w:val="none" w:sz="0" w:space="0" w:color="auto"/>
        <w:left w:val="none" w:sz="0" w:space="0" w:color="auto"/>
        <w:bottom w:val="none" w:sz="0" w:space="0" w:color="auto"/>
        <w:right w:val="none" w:sz="0" w:space="0" w:color="auto"/>
      </w:divBdr>
    </w:div>
    <w:div w:id="167527165">
      <w:bodyDiv w:val="1"/>
      <w:marLeft w:val="0"/>
      <w:marRight w:val="0"/>
      <w:marTop w:val="0"/>
      <w:marBottom w:val="0"/>
      <w:divBdr>
        <w:top w:val="none" w:sz="0" w:space="0" w:color="auto"/>
        <w:left w:val="none" w:sz="0" w:space="0" w:color="auto"/>
        <w:bottom w:val="none" w:sz="0" w:space="0" w:color="auto"/>
        <w:right w:val="none" w:sz="0" w:space="0" w:color="auto"/>
      </w:divBdr>
    </w:div>
    <w:div w:id="219482521">
      <w:bodyDiv w:val="1"/>
      <w:marLeft w:val="0"/>
      <w:marRight w:val="0"/>
      <w:marTop w:val="0"/>
      <w:marBottom w:val="0"/>
      <w:divBdr>
        <w:top w:val="none" w:sz="0" w:space="0" w:color="auto"/>
        <w:left w:val="none" w:sz="0" w:space="0" w:color="auto"/>
        <w:bottom w:val="none" w:sz="0" w:space="0" w:color="auto"/>
        <w:right w:val="none" w:sz="0" w:space="0" w:color="auto"/>
      </w:divBdr>
    </w:div>
    <w:div w:id="378015290">
      <w:bodyDiv w:val="1"/>
      <w:marLeft w:val="0"/>
      <w:marRight w:val="0"/>
      <w:marTop w:val="0"/>
      <w:marBottom w:val="0"/>
      <w:divBdr>
        <w:top w:val="none" w:sz="0" w:space="0" w:color="auto"/>
        <w:left w:val="none" w:sz="0" w:space="0" w:color="auto"/>
        <w:bottom w:val="none" w:sz="0" w:space="0" w:color="auto"/>
        <w:right w:val="none" w:sz="0" w:space="0" w:color="auto"/>
      </w:divBdr>
    </w:div>
    <w:div w:id="681779159">
      <w:bodyDiv w:val="1"/>
      <w:marLeft w:val="0"/>
      <w:marRight w:val="0"/>
      <w:marTop w:val="0"/>
      <w:marBottom w:val="0"/>
      <w:divBdr>
        <w:top w:val="none" w:sz="0" w:space="0" w:color="auto"/>
        <w:left w:val="none" w:sz="0" w:space="0" w:color="auto"/>
        <w:bottom w:val="none" w:sz="0" w:space="0" w:color="auto"/>
        <w:right w:val="none" w:sz="0" w:space="0" w:color="auto"/>
      </w:divBdr>
    </w:div>
    <w:div w:id="791095027">
      <w:bodyDiv w:val="1"/>
      <w:marLeft w:val="0"/>
      <w:marRight w:val="0"/>
      <w:marTop w:val="0"/>
      <w:marBottom w:val="0"/>
      <w:divBdr>
        <w:top w:val="none" w:sz="0" w:space="0" w:color="auto"/>
        <w:left w:val="none" w:sz="0" w:space="0" w:color="auto"/>
        <w:bottom w:val="none" w:sz="0" w:space="0" w:color="auto"/>
        <w:right w:val="none" w:sz="0" w:space="0" w:color="auto"/>
      </w:divBdr>
    </w:div>
    <w:div w:id="873663303">
      <w:bodyDiv w:val="1"/>
      <w:marLeft w:val="0"/>
      <w:marRight w:val="0"/>
      <w:marTop w:val="0"/>
      <w:marBottom w:val="0"/>
      <w:divBdr>
        <w:top w:val="none" w:sz="0" w:space="0" w:color="auto"/>
        <w:left w:val="none" w:sz="0" w:space="0" w:color="auto"/>
        <w:bottom w:val="none" w:sz="0" w:space="0" w:color="auto"/>
        <w:right w:val="none" w:sz="0" w:space="0" w:color="auto"/>
      </w:divBdr>
    </w:div>
    <w:div w:id="919867408">
      <w:bodyDiv w:val="1"/>
      <w:marLeft w:val="0"/>
      <w:marRight w:val="0"/>
      <w:marTop w:val="0"/>
      <w:marBottom w:val="0"/>
      <w:divBdr>
        <w:top w:val="none" w:sz="0" w:space="0" w:color="auto"/>
        <w:left w:val="none" w:sz="0" w:space="0" w:color="auto"/>
        <w:bottom w:val="none" w:sz="0" w:space="0" w:color="auto"/>
        <w:right w:val="none" w:sz="0" w:space="0" w:color="auto"/>
      </w:divBdr>
    </w:div>
    <w:div w:id="1058437536">
      <w:bodyDiv w:val="1"/>
      <w:marLeft w:val="0"/>
      <w:marRight w:val="0"/>
      <w:marTop w:val="0"/>
      <w:marBottom w:val="0"/>
      <w:divBdr>
        <w:top w:val="none" w:sz="0" w:space="0" w:color="auto"/>
        <w:left w:val="none" w:sz="0" w:space="0" w:color="auto"/>
        <w:bottom w:val="none" w:sz="0" w:space="0" w:color="auto"/>
        <w:right w:val="none" w:sz="0" w:space="0" w:color="auto"/>
      </w:divBdr>
    </w:div>
    <w:div w:id="1073814755">
      <w:bodyDiv w:val="1"/>
      <w:marLeft w:val="0"/>
      <w:marRight w:val="0"/>
      <w:marTop w:val="0"/>
      <w:marBottom w:val="0"/>
      <w:divBdr>
        <w:top w:val="none" w:sz="0" w:space="0" w:color="auto"/>
        <w:left w:val="none" w:sz="0" w:space="0" w:color="auto"/>
        <w:bottom w:val="none" w:sz="0" w:space="0" w:color="auto"/>
        <w:right w:val="none" w:sz="0" w:space="0" w:color="auto"/>
      </w:divBdr>
    </w:div>
    <w:div w:id="1247032290">
      <w:bodyDiv w:val="1"/>
      <w:marLeft w:val="0"/>
      <w:marRight w:val="0"/>
      <w:marTop w:val="0"/>
      <w:marBottom w:val="0"/>
      <w:divBdr>
        <w:top w:val="none" w:sz="0" w:space="0" w:color="auto"/>
        <w:left w:val="none" w:sz="0" w:space="0" w:color="auto"/>
        <w:bottom w:val="none" w:sz="0" w:space="0" w:color="auto"/>
        <w:right w:val="none" w:sz="0" w:space="0" w:color="auto"/>
      </w:divBdr>
    </w:div>
    <w:div w:id="1284844645">
      <w:bodyDiv w:val="1"/>
      <w:marLeft w:val="0"/>
      <w:marRight w:val="0"/>
      <w:marTop w:val="0"/>
      <w:marBottom w:val="0"/>
      <w:divBdr>
        <w:top w:val="none" w:sz="0" w:space="0" w:color="auto"/>
        <w:left w:val="none" w:sz="0" w:space="0" w:color="auto"/>
        <w:bottom w:val="none" w:sz="0" w:space="0" w:color="auto"/>
        <w:right w:val="none" w:sz="0" w:space="0" w:color="auto"/>
      </w:divBdr>
    </w:div>
    <w:div w:id="1577590150">
      <w:bodyDiv w:val="1"/>
      <w:marLeft w:val="0"/>
      <w:marRight w:val="0"/>
      <w:marTop w:val="0"/>
      <w:marBottom w:val="0"/>
      <w:divBdr>
        <w:top w:val="none" w:sz="0" w:space="0" w:color="auto"/>
        <w:left w:val="none" w:sz="0" w:space="0" w:color="auto"/>
        <w:bottom w:val="none" w:sz="0" w:space="0" w:color="auto"/>
        <w:right w:val="none" w:sz="0" w:space="0" w:color="auto"/>
      </w:divBdr>
    </w:div>
    <w:div w:id="1616982314">
      <w:bodyDiv w:val="1"/>
      <w:marLeft w:val="0"/>
      <w:marRight w:val="0"/>
      <w:marTop w:val="0"/>
      <w:marBottom w:val="0"/>
      <w:divBdr>
        <w:top w:val="none" w:sz="0" w:space="0" w:color="auto"/>
        <w:left w:val="none" w:sz="0" w:space="0" w:color="auto"/>
        <w:bottom w:val="none" w:sz="0" w:space="0" w:color="auto"/>
        <w:right w:val="none" w:sz="0" w:space="0" w:color="auto"/>
      </w:divBdr>
    </w:div>
    <w:div w:id="1758211359">
      <w:bodyDiv w:val="1"/>
      <w:marLeft w:val="0"/>
      <w:marRight w:val="0"/>
      <w:marTop w:val="0"/>
      <w:marBottom w:val="0"/>
      <w:divBdr>
        <w:top w:val="none" w:sz="0" w:space="0" w:color="auto"/>
        <w:left w:val="none" w:sz="0" w:space="0" w:color="auto"/>
        <w:bottom w:val="none" w:sz="0" w:space="0" w:color="auto"/>
        <w:right w:val="none" w:sz="0" w:space="0" w:color="auto"/>
      </w:divBdr>
    </w:div>
    <w:div w:id="1818112365">
      <w:bodyDiv w:val="1"/>
      <w:marLeft w:val="0"/>
      <w:marRight w:val="0"/>
      <w:marTop w:val="0"/>
      <w:marBottom w:val="0"/>
      <w:divBdr>
        <w:top w:val="none" w:sz="0" w:space="0" w:color="auto"/>
        <w:left w:val="none" w:sz="0" w:space="0" w:color="auto"/>
        <w:bottom w:val="none" w:sz="0" w:space="0" w:color="auto"/>
        <w:right w:val="none" w:sz="0" w:space="0" w:color="auto"/>
      </w:divBdr>
    </w:div>
    <w:div w:id="1898395253">
      <w:bodyDiv w:val="1"/>
      <w:marLeft w:val="0"/>
      <w:marRight w:val="0"/>
      <w:marTop w:val="0"/>
      <w:marBottom w:val="0"/>
      <w:divBdr>
        <w:top w:val="none" w:sz="0" w:space="0" w:color="auto"/>
        <w:left w:val="none" w:sz="0" w:space="0" w:color="auto"/>
        <w:bottom w:val="none" w:sz="0" w:space="0" w:color="auto"/>
        <w:right w:val="none" w:sz="0" w:space="0" w:color="auto"/>
      </w:divBdr>
    </w:div>
    <w:div w:id="2123723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numbering" Target="numbering.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chart" Target="charts/chart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tmp"/><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chart" Target="charts/chart2.xml"/><Relationship Id="rId4" Type="http://schemas.openxmlformats.org/officeDocument/2006/relationships/styles" Target="styles.xml"/><Relationship Id="rId9" Type="http://schemas.openxmlformats.org/officeDocument/2006/relationships/chart" Target="charts/chart1.xml"/><Relationship Id="rId14" Type="http://schemas.openxmlformats.org/officeDocument/2006/relationships/image" Target="media/image5.png"/><Relationship Id="rId22"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oleObject" Target="file:///G:\Book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G:\Book1.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G:\Book1.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MEASUREMENTS ON CSR</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8.2891291668251599E-2"/>
          <c:y val="1.6691504040871843E-2"/>
          <c:w val="0.90261135836281348"/>
          <c:h val="0.74605298432596545"/>
        </c:manualLayout>
      </c:layout>
      <c:lineChart>
        <c:grouping val="standard"/>
        <c:varyColors val="0"/>
        <c:ser>
          <c:idx val="0"/>
          <c:order val="0"/>
          <c:tx>
            <c:strRef>
              <c:f>Sheet1!$B$1</c:f>
              <c:strCache>
                <c:ptCount val="1"/>
                <c:pt idx="0">
                  <c:v>CSR</c:v>
                </c:pt>
              </c:strCache>
            </c:strRef>
          </c:tx>
          <c:spPr>
            <a:ln w="28575" cap="rnd">
              <a:solidFill>
                <a:schemeClr val="accent1"/>
              </a:solidFill>
              <a:round/>
            </a:ln>
            <a:effectLst/>
          </c:spPr>
          <c:marker>
            <c:symbol val="none"/>
          </c:marker>
          <c:cat>
            <c:numRef>
              <c:f>Sheet1!$A$2:$A$21</c:f>
              <c:numCache>
                <c:formatCode>m/d/yyyy</c:formatCode>
                <c:ptCount val="20"/>
                <c:pt idx="0">
                  <c:v>44813</c:v>
                </c:pt>
                <c:pt idx="1">
                  <c:v>44814</c:v>
                </c:pt>
                <c:pt idx="2">
                  <c:v>44815</c:v>
                </c:pt>
                <c:pt idx="3">
                  <c:v>44816</c:v>
                </c:pt>
                <c:pt idx="4">
                  <c:v>44817</c:v>
                </c:pt>
                <c:pt idx="5">
                  <c:v>44818</c:v>
                </c:pt>
                <c:pt idx="6">
                  <c:v>44819</c:v>
                </c:pt>
                <c:pt idx="7">
                  <c:v>44820</c:v>
                </c:pt>
                <c:pt idx="8">
                  <c:v>44821</c:v>
                </c:pt>
                <c:pt idx="9">
                  <c:v>44822</c:v>
                </c:pt>
                <c:pt idx="10">
                  <c:v>44823</c:v>
                </c:pt>
                <c:pt idx="11">
                  <c:v>44824</c:v>
                </c:pt>
                <c:pt idx="12">
                  <c:v>44825</c:v>
                </c:pt>
                <c:pt idx="13">
                  <c:v>44826</c:v>
                </c:pt>
                <c:pt idx="14">
                  <c:v>44827</c:v>
                </c:pt>
                <c:pt idx="15">
                  <c:v>44828</c:v>
                </c:pt>
                <c:pt idx="16">
                  <c:v>44829</c:v>
                </c:pt>
                <c:pt idx="17">
                  <c:v>44830</c:v>
                </c:pt>
                <c:pt idx="18">
                  <c:v>44831</c:v>
                </c:pt>
                <c:pt idx="19">
                  <c:v>44832</c:v>
                </c:pt>
              </c:numCache>
            </c:numRef>
          </c:cat>
          <c:val>
            <c:numRef>
              <c:f>Sheet1!$B$2:$B$21</c:f>
              <c:numCache>
                <c:formatCode>General</c:formatCode>
                <c:ptCount val="20"/>
                <c:pt idx="0">
                  <c:v>63</c:v>
                </c:pt>
                <c:pt idx="1">
                  <c:v>61</c:v>
                </c:pt>
                <c:pt idx="2">
                  <c:v>57</c:v>
                </c:pt>
                <c:pt idx="3">
                  <c:v>60</c:v>
                </c:pt>
                <c:pt idx="4">
                  <c:v>61</c:v>
                </c:pt>
                <c:pt idx="5">
                  <c:v>57</c:v>
                </c:pt>
                <c:pt idx="6">
                  <c:v>60</c:v>
                </c:pt>
                <c:pt idx="7">
                  <c:v>58</c:v>
                </c:pt>
                <c:pt idx="8">
                  <c:v>60</c:v>
                </c:pt>
                <c:pt idx="9">
                  <c:v>62</c:v>
                </c:pt>
                <c:pt idx="10">
                  <c:v>57</c:v>
                </c:pt>
                <c:pt idx="11">
                  <c:v>62</c:v>
                </c:pt>
                <c:pt idx="12">
                  <c:v>57</c:v>
                </c:pt>
                <c:pt idx="13">
                  <c:v>61</c:v>
                </c:pt>
                <c:pt idx="14">
                  <c:v>55</c:v>
                </c:pt>
                <c:pt idx="15">
                  <c:v>61</c:v>
                </c:pt>
                <c:pt idx="16">
                  <c:v>59</c:v>
                </c:pt>
                <c:pt idx="17">
                  <c:v>62</c:v>
                </c:pt>
                <c:pt idx="18">
                  <c:v>62</c:v>
                </c:pt>
                <c:pt idx="19">
                  <c:v>63</c:v>
                </c:pt>
              </c:numCache>
            </c:numRef>
          </c:val>
          <c:smooth val="0"/>
          <c:extLst>
            <c:ext xmlns:c16="http://schemas.microsoft.com/office/drawing/2014/chart" uri="{C3380CC4-5D6E-409C-BE32-E72D297353CC}">
              <c16:uniqueId val="{00000000-7141-4F07-95E2-8A3A5FF8CFE5}"/>
            </c:ext>
          </c:extLst>
        </c:ser>
        <c:ser>
          <c:idx val="1"/>
          <c:order val="1"/>
          <c:tx>
            <c:strRef>
              <c:f>Sheet1!$C$1</c:f>
              <c:strCache>
                <c:ptCount val="1"/>
                <c:pt idx="0">
                  <c:v>Average</c:v>
                </c:pt>
              </c:strCache>
            </c:strRef>
          </c:tx>
          <c:spPr>
            <a:ln w="28575" cap="rnd">
              <a:solidFill>
                <a:schemeClr val="accent2"/>
              </a:solidFill>
              <a:round/>
            </a:ln>
            <a:effectLst/>
          </c:spPr>
          <c:marker>
            <c:symbol val="none"/>
          </c:marker>
          <c:cat>
            <c:numRef>
              <c:f>Sheet1!$A$2:$A$21</c:f>
              <c:numCache>
                <c:formatCode>m/d/yyyy</c:formatCode>
                <c:ptCount val="20"/>
                <c:pt idx="0">
                  <c:v>44813</c:v>
                </c:pt>
                <c:pt idx="1">
                  <c:v>44814</c:v>
                </c:pt>
                <c:pt idx="2">
                  <c:v>44815</c:v>
                </c:pt>
                <c:pt idx="3">
                  <c:v>44816</c:v>
                </c:pt>
                <c:pt idx="4">
                  <c:v>44817</c:v>
                </c:pt>
                <c:pt idx="5">
                  <c:v>44818</c:v>
                </c:pt>
                <c:pt idx="6">
                  <c:v>44819</c:v>
                </c:pt>
                <c:pt idx="7">
                  <c:v>44820</c:v>
                </c:pt>
                <c:pt idx="8">
                  <c:v>44821</c:v>
                </c:pt>
                <c:pt idx="9">
                  <c:v>44822</c:v>
                </c:pt>
                <c:pt idx="10">
                  <c:v>44823</c:v>
                </c:pt>
                <c:pt idx="11">
                  <c:v>44824</c:v>
                </c:pt>
                <c:pt idx="12">
                  <c:v>44825</c:v>
                </c:pt>
                <c:pt idx="13">
                  <c:v>44826</c:v>
                </c:pt>
                <c:pt idx="14">
                  <c:v>44827</c:v>
                </c:pt>
                <c:pt idx="15">
                  <c:v>44828</c:v>
                </c:pt>
                <c:pt idx="16">
                  <c:v>44829</c:v>
                </c:pt>
                <c:pt idx="17">
                  <c:v>44830</c:v>
                </c:pt>
                <c:pt idx="18">
                  <c:v>44831</c:v>
                </c:pt>
                <c:pt idx="19">
                  <c:v>44832</c:v>
                </c:pt>
              </c:numCache>
            </c:numRef>
          </c:cat>
          <c:val>
            <c:numRef>
              <c:f>Sheet1!$C$2:$C$21</c:f>
              <c:numCache>
                <c:formatCode>General</c:formatCode>
                <c:ptCount val="20"/>
                <c:pt idx="0">
                  <c:v>59.9</c:v>
                </c:pt>
                <c:pt idx="1">
                  <c:v>59.9</c:v>
                </c:pt>
                <c:pt idx="2">
                  <c:v>59.9</c:v>
                </c:pt>
                <c:pt idx="3">
                  <c:v>59.9</c:v>
                </c:pt>
                <c:pt idx="4">
                  <c:v>59.9</c:v>
                </c:pt>
                <c:pt idx="5">
                  <c:v>59.9</c:v>
                </c:pt>
                <c:pt idx="6">
                  <c:v>59.9</c:v>
                </c:pt>
                <c:pt idx="7">
                  <c:v>59.9</c:v>
                </c:pt>
                <c:pt idx="8">
                  <c:v>59.9</c:v>
                </c:pt>
                <c:pt idx="9">
                  <c:v>59.9</c:v>
                </c:pt>
                <c:pt idx="10">
                  <c:v>59.9</c:v>
                </c:pt>
                <c:pt idx="11">
                  <c:v>59.9</c:v>
                </c:pt>
                <c:pt idx="12">
                  <c:v>59.9</c:v>
                </c:pt>
                <c:pt idx="13">
                  <c:v>59.9</c:v>
                </c:pt>
                <c:pt idx="14">
                  <c:v>59.9</c:v>
                </c:pt>
                <c:pt idx="15">
                  <c:v>59.9</c:v>
                </c:pt>
                <c:pt idx="16">
                  <c:v>59.9</c:v>
                </c:pt>
                <c:pt idx="17">
                  <c:v>59.9</c:v>
                </c:pt>
                <c:pt idx="18">
                  <c:v>59.9</c:v>
                </c:pt>
                <c:pt idx="19">
                  <c:v>59.9</c:v>
                </c:pt>
              </c:numCache>
            </c:numRef>
          </c:val>
          <c:smooth val="0"/>
          <c:extLst>
            <c:ext xmlns:c16="http://schemas.microsoft.com/office/drawing/2014/chart" uri="{C3380CC4-5D6E-409C-BE32-E72D297353CC}">
              <c16:uniqueId val="{00000001-7141-4F07-95E2-8A3A5FF8CFE5}"/>
            </c:ext>
          </c:extLst>
        </c:ser>
        <c:ser>
          <c:idx val="2"/>
          <c:order val="2"/>
          <c:tx>
            <c:strRef>
              <c:f>Sheet1!$D$1</c:f>
              <c:strCache>
                <c:ptCount val="1"/>
                <c:pt idx="0">
                  <c:v>UCL</c:v>
                </c:pt>
              </c:strCache>
            </c:strRef>
          </c:tx>
          <c:spPr>
            <a:ln w="28575" cap="rnd">
              <a:solidFill>
                <a:schemeClr val="accent3"/>
              </a:solidFill>
              <a:round/>
            </a:ln>
            <a:effectLst/>
          </c:spPr>
          <c:marker>
            <c:symbol val="none"/>
          </c:marker>
          <c:cat>
            <c:numRef>
              <c:f>Sheet1!$A$2:$A$21</c:f>
              <c:numCache>
                <c:formatCode>m/d/yyyy</c:formatCode>
                <c:ptCount val="20"/>
                <c:pt idx="0">
                  <c:v>44813</c:v>
                </c:pt>
                <c:pt idx="1">
                  <c:v>44814</c:v>
                </c:pt>
                <c:pt idx="2">
                  <c:v>44815</c:v>
                </c:pt>
                <c:pt idx="3">
                  <c:v>44816</c:v>
                </c:pt>
                <c:pt idx="4">
                  <c:v>44817</c:v>
                </c:pt>
                <c:pt idx="5">
                  <c:v>44818</c:v>
                </c:pt>
                <c:pt idx="6">
                  <c:v>44819</c:v>
                </c:pt>
                <c:pt idx="7">
                  <c:v>44820</c:v>
                </c:pt>
                <c:pt idx="8">
                  <c:v>44821</c:v>
                </c:pt>
                <c:pt idx="9">
                  <c:v>44822</c:v>
                </c:pt>
                <c:pt idx="10">
                  <c:v>44823</c:v>
                </c:pt>
                <c:pt idx="11">
                  <c:v>44824</c:v>
                </c:pt>
                <c:pt idx="12">
                  <c:v>44825</c:v>
                </c:pt>
                <c:pt idx="13">
                  <c:v>44826</c:v>
                </c:pt>
                <c:pt idx="14">
                  <c:v>44827</c:v>
                </c:pt>
                <c:pt idx="15">
                  <c:v>44828</c:v>
                </c:pt>
                <c:pt idx="16">
                  <c:v>44829</c:v>
                </c:pt>
                <c:pt idx="17">
                  <c:v>44830</c:v>
                </c:pt>
                <c:pt idx="18">
                  <c:v>44831</c:v>
                </c:pt>
                <c:pt idx="19">
                  <c:v>44832</c:v>
                </c:pt>
              </c:numCache>
            </c:numRef>
          </c:cat>
          <c:val>
            <c:numRef>
              <c:f>Sheet1!$D$2:$D$21</c:f>
              <c:numCache>
                <c:formatCode>0.0</c:formatCode>
                <c:ptCount val="20"/>
                <c:pt idx="0">
                  <c:v>62.178157149978901</c:v>
                </c:pt>
                <c:pt idx="1">
                  <c:v>62.178157149978901</c:v>
                </c:pt>
                <c:pt idx="2">
                  <c:v>62.178157149978901</c:v>
                </c:pt>
                <c:pt idx="3">
                  <c:v>62.178157149978901</c:v>
                </c:pt>
                <c:pt idx="4">
                  <c:v>62.178157149978901</c:v>
                </c:pt>
                <c:pt idx="5">
                  <c:v>62.178157149978901</c:v>
                </c:pt>
                <c:pt idx="6">
                  <c:v>62.178157149978901</c:v>
                </c:pt>
                <c:pt idx="7">
                  <c:v>62.178157149978901</c:v>
                </c:pt>
                <c:pt idx="8">
                  <c:v>62.178157149978901</c:v>
                </c:pt>
                <c:pt idx="9">
                  <c:v>62.178157149978901</c:v>
                </c:pt>
                <c:pt idx="10">
                  <c:v>62.178157149978901</c:v>
                </c:pt>
                <c:pt idx="11">
                  <c:v>62.178157149978901</c:v>
                </c:pt>
                <c:pt idx="12">
                  <c:v>62.178157149978901</c:v>
                </c:pt>
                <c:pt idx="13">
                  <c:v>62.178157149978901</c:v>
                </c:pt>
                <c:pt idx="14">
                  <c:v>62.178157149978901</c:v>
                </c:pt>
                <c:pt idx="15">
                  <c:v>62.178157149978901</c:v>
                </c:pt>
                <c:pt idx="16">
                  <c:v>62.178157149978901</c:v>
                </c:pt>
                <c:pt idx="17">
                  <c:v>62.178157149978901</c:v>
                </c:pt>
                <c:pt idx="18">
                  <c:v>62.178157149978901</c:v>
                </c:pt>
                <c:pt idx="19">
                  <c:v>62.178157149978901</c:v>
                </c:pt>
              </c:numCache>
            </c:numRef>
          </c:val>
          <c:smooth val="0"/>
          <c:extLst>
            <c:ext xmlns:c16="http://schemas.microsoft.com/office/drawing/2014/chart" uri="{C3380CC4-5D6E-409C-BE32-E72D297353CC}">
              <c16:uniqueId val="{00000002-7141-4F07-95E2-8A3A5FF8CFE5}"/>
            </c:ext>
          </c:extLst>
        </c:ser>
        <c:ser>
          <c:idx val="3"/>
          <c:order val="3"/>
          <c:tx>
            <c:strRef>
              <c:f>Sheet1!$E$1</c:f>
              <c:strCache>
                <c:ptCount val="1"/>
                <c:pt idx="0">
                  <c:v>LCL</c:v>
                </c:pt>
              </c:strCache>
            </c:strRef>
          </c:tx>
          <c:spPr>
            <a:ln w="28575" cap="rnd">
              <a:solidFill>
                <a:schemeClr val="accent4"/>
              </a:solidFill>
              <a:round/>
            </a:ln>
            <a:effectLst/>
          </c:spPr>
          <c:marker>
            <c:symbol val="none"/>
          </c:marker>
          <c:cat>
            <c:numRef>
              <c:f>Sheet1!$A$2:$A$21</c:f>
              <c:numCache>
                <c:formatCode>m/d/yyyy</c:formatCode>
                <c:ptCount val="20"/>
                <c:pt idx="0">
                  <c:v>44813</c:v>
                </c:pt>
                <c:pt idx="1">
                  <c:v>44814</c:v>
                </c:pt>
                <c:pt idx="2">
                  <c:v>44815</c:v>
                </c:pt>
                <c:pt idx="3">
                  <c:v>44816</c:v>
                </c:pt>
                <c:pt idx="4">
                  <c:v>44817</c:v>
                </c:pt>
                <c:pt idx="5">
                  <c:v>44818</c:v>
                </c:pt>
                <c:pt idx="6">
                  <c:v>44819</c:v>
                </c:pt>
                <c:pt idx="7">
                  <c:v>44820</c:v>
                </c:pt>
                <c:pt idx="8">
                  <c:v>44821</c:v>
                </c:pt>
                <c:pt idx="9">
                  <c:v>44822</c:v>
                </c:pt>
                <c:pt idx="10">
                  <c:v>44823</c:v>
                </c:pt>
                <c:pt idx="11">
                  <c:v>44824</c:v>
                </c:pt>
                <c:pt idx="12">
                  <c:v>44825</c:v>
                </c:pt>
                <c:pt idx="13">
                  <c:v>44826</c:v>
                </c:pt>
                <c:pt idx="14">
                  <c:v>44827</c:v>
                </c:pt>
                <c:pt idx="15">
                  <c:v>44828</c:v>
                </c:pt>
                <c:pt idx="16">
                  <c:v>44829</c:v>
                </c:pt>
                <c:pt idx="17">
                  <c:v>44830</c:v>
                </c:pt>
                <c:pt idx="18">
                  <c:v>44831</c:v>
                </c:pt>
                <c:pt idx="19">
                  <c:v>44832</c:v>
                </c:pt>
              </c:numCache>
            </c:numRef>
          </c:cat>
          <c:val>
            <c:numRef>
              <c:f>Sheet1!$E$2:$E$21</c:f>
              <c:numCache>
                <c:formatCode>0.0</c:formatCode>
                <c:ptCount val="20"/>
                <c:pt idx="0">
                  <c:v>57.621842850021096</c:v>
                </c:pt>
                <c:pt idx="1">
                  <c:v>57.621842850021096</c:v>
                </c:pt>
                <c:pt idx="2">
                  <c:v>57.621842850021096</c:v>
                </c:pt>
                <c:pt idx="3">
                  <c:v>57.621842850021096</c:v>
                </c:pt>
                <c:pt idx="4">
                  <c:v>57.621842850021096</c:v>
                </c:pt>
                <c:pt idx="5">
                  <c:v>57.621842850021096</c:v>
                </c:pt>
                <c:pt idx="6">
                  <c:v>57.621842850021096</c:v>
                </c:pt>
                <c:pt idx="7">
                  <c:v>57.621842850021096</c:v>
                </c:pt>
                <c:pt idx="8">
                  <c:v>57.621842850021096</c:v>
                </c:pt>
                <c:pt idx="9">
                  <c:v>57.621842850021096</c:v>
                </c:pt>
                <c:pt idx="10">
                  <c:v>57.621842850021096</c:v>
                </c:pt>
                <c:pt idx="11">
                  <c:v>57.621842850021096</c:v>
                </c:pt>
                <c:pt idx="12">
                  <c:v>57.621842850021096</c:v>
                </c:pt>
                <c:pt idx="13">
                  <c:v>57.621842850021096</c:v>
                </c:pt>
                <c:pt idx="14">
                  <c:v>57.621842850021096</c:v>
                </c:pt>
                <c:pt idx="15">
                  <c:v>57.621842850021096</c:v>
                </c:pt>
                <c:pt idx="16">
                  <c:v>57.621842850021096</c:v>
                </c:pt>
                <c:pt idx="17">
                  <c:v>57.621842850021096</c:v>
                </c:pt>
                <c:pt idx="18">
                  <c:v>57.621842850021096</c:v>
                </c:pt>
                <c:pt idx="19">
                  <c:v>57.621842850021096</c:v>
                </c:pt>
              </c:numCache>
            </c:numRef>
          </c:val>
          <c:smooth val="0"/>
          <c:extLst>
            <c:ext xmlns:c16="http://schemas.microsoft.com/office/drawing/2014/chart" uri="{C3380CC4-5D6E-409C-BE32-E72D297353CC}">
              <c16:uniqueId val="{00000003-7141-4F07-95E2-8A3A5FF8CFE5}"/>
            </c:ext>
          </c:extLst>
        </c:ser>
        <c:dLbls>
          <c:showLegendKey val="0"/>
          <c:showVal val="0"/>
          <c:showCatName val="0"/>
          <c:showSerName val="0"/>
          <c:showPercent val="0"/>
          <c:showBubbleSize val="0"/>
        </c:dLbls>
        <c:smooth val="0"/>
        <c:axId val="518220303"/>
        <c:axId val="518217903"/>
      </c:lineChart>
      <c:dateAx>
        <c:axId val="518220303"/>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Date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m/d/yyyy"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8217903"/>
        <c:crosses val="autoZero"/>
        <c:auto val="1"/>
        <c:lblOffset val="100"/>
        <c:baseTimeUnit val="days"/>
      </c:dateAx>
      <c:valAx>
        <c:axId val="518217903"/>
        <c:scaling>
          <c:orientation val="minMax"/>
          <c:min val="54"/>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CSr reADING</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822030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Vessel Uses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Sheet3!$A$10</c:f>
              <c:strCache>
                <c:ptCount val="1"/>
                <c:pt idx="0">
                  <c:v>Total Uses</c:v>
                </c:pt>
              </c:strCache>
            </c:strRef>
          </c:tx>
          <c:spPr>
            <a:solidFill>
              <a:schemeClr val="accent1"/>
            </a:solidFill>
            <a:ln>
              <a:noFill/>
            </a:ln>
            <a:effectLst/>
          </c:spPr>
          <c:invertIfNegative val="0"/>
          <c:cat>
            <c:strRef>
              <c:f>Sheet3!$B$9:$G$9</c:f>
              <c:strCache>
                <c:ptCount val="6"/>
                <c:pt idx="0">
                  <c:v>D6</c:v>
                </c:pt>
                <c:pt idx="1">
                  <c:v>D7</c:v>
                </c:pt>
                <c:pt idx="2">
                  <c:v>D8</c:v>
                </c:pt>
                <c:pt idx="3">
                  <c:v>C6</c:v>
                </c:pt>
                <c:pt idx="4">
                  <c:v>C7</c:v>
                </c:pt>
                <c:pt idx="5">
                  <c:v>C8</c:v>
                </c:pt>
              </c:strCache>
            </c:strRef>
          </c:cat>
          <c:val>
            <c:numRef>
              <c:f>Sheet3!$B$10:$G$10</c:f>
              <c:numCache>
                <c:formatCode>General</c:formatCode>
                <c:ptCount val="6"/>
                <c:pt idx="0">
                  <c:v>55</c:v>
                </c:pt>
                <c:pt idx="1">
                  <c:v>90</c:v>
                </c:pt>
                <c:pt idx="2">
                  <c:v>205</c:v>
                </c:pt>
                <c:pt idx="3">
                  <c:v>120</c:v>
                </c:pt>
                <c:pt idx="4">
                  <c:v>130</c:v>
                </c:pt>
                <c:pt idx="5">
                  <c:v>115</c:v>
                </c:pt>
              </c:numCache>
            </c:numRef>
          </c:val>
          <c:extLst>
            <c:ext xmlns:c16="http://schemas.microsoft.com/office/drawing/2014/chart" uri="{C3380CC4-5D6E-409C-BE32-E72D297353CC}">
              <c16:uniqueId val="{00000000-752A-4858-BB58-2B449D88E1C9}"/>
            </c:ext>
          </c:extLst>
        </c:ser>
        <c:ser>
          <c:idx val="1"/>
          <c:order val="1"/>
          <c:tx>
            <c:strRef>
              <c:f>Sheet3!$A$11</c:f>
              <c:strCache>
                <c:ptCount val="1"/>
                <c:pt idx="0">
                  <c:v>Morfa Total Uses</c:v>
                </c:pt>
              </c:strCache>
            </c:strRef>
          </c:tx>
          <c:spPr>
            <a:solidFill>
              <a:schemeClr val="accent2"/>
            </a:solidFill>
            <a:ln>
              <a:noFill/>
            </a:ln>
            <a:effectLst/>
          </c:spPr>
          <c:invertIfNegative val="0"/>
          <c:cat>
            <c:strRef>
              <c:f>Sheet3!$B$9:$G$9</c:f>
              <c:strCache>
                <c:ptCount val="6"/>
                <c:pt idx="0">
                  <c:v>D6</c:v>
                </c:pt>
                <c:pt idx="1">
                  <c:v>D7</c:v>
                </c:pt>
                <c:pt idx="2">
                  <c:v>D8</c:v>
                </c:pt>
                <c:pt idx="3">
                  <c:v>C6</c:v>
                </c:pt>
                <c:pt idx="4">
                  <c:v>C7</c:v>
                </c:pt>
                <c:pt idx="5">
                  <c:v>C8</c:v>
                </c:pt>
              </c:strCache>
            </c:strRef>
          </c:cat>
          <c:val>
            <c:numRef>
              <c:f>Sheet3!$B$11:$G$11</c:f>
              <c:numCache>
                <c:formatCode>General</c:formatCode>
                <c:ptCount val="6"/>
                <c:pt idx="0">
                  <c:v>50</c:v>
                </c:pt>
                <c:pt idx="1">
                  <c:v>75</c:v>
                </c:pt>
                <c:pt idx="2">
                  <c:v>155</c:v>
                </c:pt>
                <c:pt idx="3">
                  <c:v>95</c:v>
                </c:pt>
                <c:pt idx="4">
                  <c:v>105</c:v>
                </c:pt>
                <c:pt idx="5">
                  <c:v>80</c:v>
                </c:pt>
              </c:numCache>
            </c:numRef>
          </c:val>
          <c:extLst>
            <c:ext xmlns:c16="http://schemas.microsoft.com/office/drawing/2014/chart" uri="{C3380CC4-5D6E-409C-BE32-E72D297353CC}">
              <c16:uniqueId val="{00000001-752A-4858-BB58-2B449D88E1C9}"/>
            </c:ext>
          </c:extLst>
        </c:ser>
        <c:ser>
          <c:idx val="2"/>
          <c:order val="2"/>
          <c:tx>
            <c:strRef>
              <c:f>Sheet3!$A$12</c:f>
              <c:strCache>
                <c:ptCount val="1"/>
                <c:pt idx="0">
                  <c:v>Pilot Oven Uses</c:v>
                </c:pt>
              </c:strCache>
            </c:strRef>
          </c:tx>
          <c:spPr>
            <a:solidFill>
              <a:schemeClr val="accent3"/>
            </a:solidFill>
            <a:ln>
              <a:noFill/>
            </a:ln>
            <a:effectLst/>
          </c:spPr>
          <c:invertIfNegative val="0"/>
          <c:cat>
            <c:strRef>
              <c:f>Sheet3!$B$9:$G$9</c:f>
              <c:strCache>
                <c:ptCount val="6"/>
                <c:pt idx="0">
                  <c:v>D6</c:v>
                </c:pt>
                <c:pt idx="1">
                  <c:v>D7</c:v>
                </c:pt>
                <c:pt idx="2">
                  <c:v>D8</c:v>
                </c:pt>
                <c:pt idx="3">
                  <c:v>C6</c:v>
                </c:pt>
                <c:pt idx="4">
                  <c:v>C7</c:v>
                </c:pt>
                <c:pt idx="5">
                  <c:v>C8</c:v>
                </c:pt>
              </c:strCache>
            </c:strRef>
          </c:cat>
          <c:val>
            <c:numRef>
              <c:f>Sheet3!$B$12:$G$12</c:f>
              <c:numCache>
                <c:formatCode>General</c:formatCode>
                <c:ptCount val="6"/>
                <c:pt idx="0">
                  <c:v>5</c:v>
                </c:pt>
                <c:pt idx="1">
                  <c:v>10</c:v>
                </c:pt>
                <c:pt idx="2">
                  <c:v>25</c:v>
                </c:pt>
                <c:pt idx="3">
                  <c:v>10</c:v>
                </c:pt>
                <c:pt idx="4">
                  <c:v>25</c:v>
                </c:pt>
                <c:pt idx="5">
                  <c:v>0</c:v>
                </c:pt>
              </c:numCache>
            </c:numRef>
          </c:val>
          <c:extLst>
            <c:ext xmlns:c16="http://schemas.microsoft.com/office/drawing/2014/chart" uri="{C3380CC4-5D6E-409C-BE32-E72D297353CC}">
              <c16:uniqueId val="{00000002-752A-4858-BB58-2B449D88E1C9}"/>
            </c:ext>
          </c:extLst>
        </c:ser>
        <c:ser>
          <c:idx val="3"/>
          <c:order val="3"/>
          <c:tx>
            <c:strRef>
              <c:f>Sheet3!$A$13</c:f>
              <c:strCache>
                <c:ptCount val="1"/>
                <c:pt idx="0">
                  <c:v>STND Uses</c:v>
                </c:pt>
              </c:strCache>
            </c:strRef>
          </c:tx>
          <c:spPr>
            <a:solidFill>
              <a:schemeClr val="accent4"/>
            </a:solidFill>
            <a:ln>
              <a:noFill/>
            </a:ln>
            <a:effectLst/>
          </c:spPr>
          <c:invertIfNegative val="0"/>
          <c:cat>
            <c:strRef>
              <c:f>Sheet3!$B$9:$G$9</c:f>
              <c:strCache>
                <c:ptCount val="6"/>
                <c:pt idx="0">
                  <c:v>D6</c:v>
                </c:pt>
                <c:pt idx="1">
                  <c:v>D7</c:v>
                </c:pt>
                <c:pt idx="2">
                  <c:v>D8</c:v>
                </c:pt>
                <c:pt idx="3">
                  <c:v>C6</c:v>
                </c:pt>
                <c:pt idx="4">
                  <c:v>C7</c:v>
                </c:pt>
                <c:pt idx="5">
                  <c:v>C8</c:v>
                </c:pt>
              </c:strCache>
            </c:strRef>
          </c:cat>
          <c:val>
            <c:numRef>
              <c:f>Sheet3!$B$13:$G$13</c:f>
              <c:numCache>
                <c:formatCode>General</c:formatCode>
                <c:ptCount val="6"/>
                <c:pt idx="0">
                  <c:v>5</c:v>
                </c:pt>
                <c:pt idx="1">
                  <c:v>10</c:v>
                </c:pt>
                <c:pt idx="2">
                  <c:v>30</c:v>
                </c:pt>
                <c:pt idx="3">
                  <c:v>10</c:v>
                </c:pt>
                <c:pt idx="4">
                  <c:v>5</c:v>
                </c:pt>
                <c:pt idx="5">
                  <c:v>15</c:v>
                </c:pt>
              </c:numCache>
            </c:numRef>
          </c:val>
          <c:extLst>
            <c:ext xmlns:c16="http://schemas.microsoft.com/office/drawing/2014/chart" uri="{C3380CC4-5D6E-409C-BE32-E72D297353CC}">
              <c16:uniqueId val="{00000003-752A-4858-BB58-2B449D88E1C9}"/>
            </c:ext>
          </c:extLst>
        </c:ser>
        <c:dLbls>
          <c:showLegendKey val="0"/>
          <c:showVal val="0"/>
          <c:showCatName val="0"/>
          <c:showSerName val="0"/>
          <c:showPercent val="0"/>
          <c:showBubbleSize val="0"/>
        </c:dLbls>
        <c:gapWidth val="219"/>
        <c:overlap val="-27"/>
        <c:axId val="530165935"/>
        <c:axId val="530165455"/>
      </c:barChart>
      <c:catAx>
        <c:axId val="530165935"/>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Vessel ID</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30165455"/>
        <c:crosses val="autoZero"/>
        <c:auto val="1"/>
        <c:lblAlgn val="ctr"/>
        <c:lblOffset val="100"/>
        <c:noMultiLvlLbl val="0"/>
      </c:catAx>
      <c:valAx>
        <c:axId val="53016545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Uses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3016593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Thermocouple Uses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Sheet3!$A$3</c:f>
              <c:strCache>
                <c:ptCount val="1"/>
                <c:pt idx="0">
                  <c:v>Total Uses</c:v>
                </c:pt>
              </c:strCache>
            </c:strRef>
          </c:tx>
          <c:spPr>
            <a:solidFill>
              <a:schemeClr val="accent1"/>
            </a:solidFill>
            <a:ln>
              <a:noFill/>
            </a:ln>
            <a:effectLst/>
          </c:spPr>
          <c:invertIfNegative val="0"/>
          <c:cat>
            <c:strRef>
              <c:f>Sheet3!$B$2:$G$2</c:f>
              <c:strCache>
                <c:ptCount val="6"/>
                <c:pt idx="0">
                  <c:v>D6</c:v>
                </c:pt>
                <c:pt idx="1">
                  <c:v>D7</c:v>
                </c:pt>
                <c:pt idx="2">
                  <c:v>D8</c:v>
                </c:pt>
                <c:pt idx="3">
                  <c:v>C6</c:v>
                </c:pt>
                <c:pt idx="4">
                  <c:v>C7</c:v>
                </c:pt>
                <c:pt idx="5">
                  <c:v>C8</c:v>
                </c:pt>
              </c:strCache>
            </c:strRef>
          </c:cat>
          <c:val>
            <c:numRef>
              <c:f>Sheet3!$B$3:$G$3</c:f>
              <c:numCache>
                <c:formatCode>General</c:formatCode>
                <c:ptCount val="6"/>
                <c:pt idx="0">
                  <c:v>75</c:v>
                </c:pt>
                <c:pt idx="1">
                  <c:v>105</c:v>
                </c:pt>
                <c:pt idx="2">
                  <c:v>155</c:v>
                </c:pt>
                <c:pt idx="3">
                  <c:v>95</c:v>
                </c:pt>
                <c:pt idx="4">
                  <c:v>150</c:v>
                </c:pt>
                <c:pt idx="5">
                  <c:v>130</c:v>
                </c:pt>
              </c:numCache>
            </c:numRef>
          </c:val>
          <c:extLst>
            <c:ext xmlns:c16="http://schemas.microsoft.com/office/drawing/2014/chart" uri="{C3380CC4-5D6E-409C-BE32-E72D297353CC}">
              <c16:uniqueId val="{00000000-4D9D-4951-9173-C87AF0DBB045}"/>
            </c:ext>
          </c:extLst>
        </c:ser>
        <c:ser>
          <c:idx val="1"/>
          <c:order val="1"/>
          <c:tx>
            <c:strRef>
              <c:f>Sheet3!$A$4</c:f>
              <c:strCache>
                <c:ptCount val="1"/>
                <c:pt idx="0">
                  <c:v>Morfa Total Uses</c:v>
                </c:pt>
              </c:strCache>
            </c:strRef>
          </c:tx>
          <c:spPr>
            <a:solidFill>
              <a:schemeClr val="accent2"/>
            </a:solidFill>
            <a:ln>
              <a:noFill/>
            </a:ln>
            <a:effectLst/>
          </c:spPr>
          <c:invertIfNegative val="0"/>
          <c:cat>
            <c:strRef>
              <c:f>Sheet3!$B$2:$G$2</c:f>
              <c:strCache>
                <c:ptCount val="6"/>
                <c:pt idx="0">
                  <c:v>D6</c:v>
                </c:pt>
                <c:pt idx="1">
                  <c:v>D7</c:v>
                </c:pt>
                <c:pt idx="2">
                  <c:v>D8</c:v>
                </c:pt>
                <c:pt idx="3">
                  <c:v>C6</c:v>
                </c:pt>
                <c:pt idx="4">
                  <c:v>C7</c:v>
                </c:pt>
                <c:pt idx="5">
                  <c:v>C8</c:v>
                </c:pt>
              </c:strCache>
            </c:strRef>
          </c:cat>
          <c:val>
            <c:numRef>
              <c:f>Sheet3!$B$4:$G$4</c:f>
              <c:numCache>
                <c:formatCode>General</c:formatCode>
                <c:ptCount val="6"/>
                <c:pt idx="0">
                  <c:v>55</c:v>
                </c:pt>
                <c:pt idx="1">
                  <c:v>75</c:v>
                </c:pt>
                <c:pt idx="2">
                  <c:v>125</c:v>
                </c:pt>
                <c:pt idx="3">
                  <c:v>75</c:v>
                </c:pt>
                <c:pt idx="4">
                  <c:v>110</c:v>
                </c:pt>
                <c:pt idx="5">
                  <c:v>110</c:v>
                </c:pt>
              </c:numCache>
            </c:numRef>
          </c:val>
          <c:extLst>
            <c:ext xmlns:c16="http://schemas.microsoft.com/office/drawing/2014/chart" uri="{C3380CC4-5D6E-409C-BE32-E72D297353CC}">
              <c16:uniqueId val="{00000001-4D9D-4951-9173-C87AF0DBB045}"/>
            </c:ext>
          </c:extLst>
        </c:ser>
        <c:ser>
          <c:idx val="2"/>
          <c:order val="2"/>
          <c:tx>
            <c:strRef>
              <c:f>Sheet3!$A$5</c:f>
              <c:strCache>
                <c:ptCount val="1"/>
                <c:pt idx="0">
                  <c:v>Pilot Oven Uses</c:v>
                </c:pt>
              </c:strCache>
            </c:strRef>
          </c:tx>
          <c:spPr>
            <a:solidFill>
              <a:schemeClr val="accent3"/>
            </a:solidFill>
            <a:ln>
              <a:noFill/>
            </a:ln>
            <a:effectLst/>
          </c:spPr>
          <c:invertIfNegative val="0"/>
          <c:cat>
            <c:strRef>
              <c:f>Sheet3!$B$2:$G$2</c:f>
              <c:strCache>
                <c:ptCount val="6"/>
                <c:pt idx="0">
                  <c:v>D6</c:v>
                </c:pt>
                <c:pt idx="1">
                  <c:v>D7</c:v>
                </c:pt>
                <c:pt idx="2">
                  <c:v>D8</c:v>
                </c:pt>
                <c:pt idx="3">
                  <c:v>C6</c:v>
                </c:pt>
                <c:pt idx="4">
                  <c:v>C7</c:v>
                </c:pt>
                <c:pt idx="5">
                  <c:v>C8</c:v>
                </c:pt>
              </c:strCache>
            </c:strRef>
          </c:cat>
          <c:val>
            <c:numRef>
              <c:f>Sheet3!$B$5:$G$5</c:f>
              <c:numCache>
                <c:formatCode>General</c:formatCode>
                <c:ptCount val="6"/>
                <c:pt idx="0">
                  <c:v>10</c:v>
                </c:pt>
                <c:pt idx="1">
                  <c:v>20</c:v>
                </c:pt>
                <c:pt idx="2">
                  <c:v>20</c:v>
                </c:pt>
                <c:pt idx="3">
                  <c:v>20</c:v>
                </c:pt>
                <c:pt idx="4">
                  <c:v>5</c:v>
                </c:pt>
                <c:pt idx="5">
                  <c:v>10</c:v>
                </c:pt>
              </c:numCache>
            </c:numRef>
          </c:val>
          <c:extLst>
            <c:ext xmlns:c16="http://schemas.microsoft.com/office/drawing/2014/chart" uri="{C3380CC4-5D6E-409C-BE32-E72D297353CC}">
              <c16:uniqueId val="{00000002-4D9D-4951-9173-C87AF0DBB045}"/>
            </c:ext>
          </c:extLst>
        </c:ser>
        <c:ser>
          <c:idx val="3"/>
          <c:order val="3"/>
          <c:tx>
            <c:strRef>
              <c:f>Sheet3!$A$6</c:f>
              <c:strCache>
                <c:ptCount val="1"/>
                <c:pt idx="0">
                  <c:v>STND Uses</c:v>
                </c:pt>
              </c:strCache>
            </c:strRef>
          </c:tx>
          <c:spPr>
            <a:solidFill>
              <a:schemeClr val="accent4"/>
            </a:solidFill>
            <a:ln>
              <a:noFill/>
            </a:ln>
            <a:effectLst/>
          </c:spPr>
          <c:invertIfNegative val="0"/>
          <c:cat>
            <c:strRef>
              <c:f>Sheet3!$B$2:$G$2</c:f>
              <c:strCache>
                <c:ptCount val="6"/>
                <c:pt idx="0">
                  <c:v>D6</c:v>
                </c:pt>
                <c:pt idx="1">
                  <c:v>D7</c:v>
                </c:pt>
                <c:pt idx="2">
                  <c:v>D8</c:v>
                </c:pt>
                <c:pt idx="3">
                  <c:v>C6</c:v>
                </c:pt>
                <c:pt idx="4">
                  <c:v>C7</c:v>
                </c:pt>
                <c:pt idx="5">
                  <c:v>C8</c:v>
                </c:pt>
              </c:strCache>
            </c:strRef>
          </c:cat>
          <c:val>
            <c:numRef>
              <c:f>Sheet3!$B$6:$G$6</c:f>
              <c:numCache>
                <c:formatCode>General</c:formatCode>
                <c:ptCount val="6"/>
                <c:pt idx="0">
                  <c:v>20</c:v>
                </c:pt>
                <c:pt idx="1">
                  <c:v>25</c:v>
                </c:pt>
                <c:pt idx="2">
                  <c:v>15</c:v>
                </c:pt>
                <c:pt idx="3">
                  <c:v>10</c:v>
                </c:pt>
                <c:pt idx="4">
                  <c:v>35</c:v>
                </c:pt>
                <c:pt idx="5">
                  <c:v>5</c:v>
                </c:pt>
              </c:numCache>
            </c:numRef>
          </c:val>
          <c:extLst>
            <c:ext xmlns:c16="http://schemas.microsoft.com/office/drawing/2014/chart" uri="{C3380CC4-5D6E-409C-BE32-E72D297353CC}">
              <c16:uniqueId val="{00000003-4D9D-4951-9173-C87AF0DBB045}"/>
            </c:ext>
          </c:extLst>
        </c:ser>
        <c:dLbls>
          <c:showLegendKey val="0"/>
          <c:showVal val="0"/>
          <c:showCatName val="0"/>
          <c:showSerName val="0"/>
          <c:showPercent val="0"/>
          <c:showBubbleSize val="0"/>
        </c:dLbls>
        <c:gapWidth val="219"/>
        <c:overlap val="-27"/>
        <c:axId val="529357199"/>
        <c:axId val="529352879"/>
      </c:barChart>
      <c:catAx>
        <c:axId val="529357199"/>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Thermocouple ID</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9352879"/>
        <c:crosses val="autoZero"/>
        <c:auto val="1"/>
        <c:lblAlgn val="ctr"/>
        <c:lblOffset val="100"/>
        <c:noMultiLvlLbl val="0"/>
      </c:catAx>
      <c:valAx>
        <c:axId val="52935287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Uses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935719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D93F64550F4407A90F94D562B9FF59F"/>
        <w:category>
          <w:name w:val="General"/>
          <w:gallery w:val="placeholder"/>
        </w:category>
        <w:types>
          <w:type w:val="bbPlcHdr"/>
        </w:types>
        <w:behaviors>
          <w:behavior w:val="content"/>
        </w:behaviors>
        <w:guid w:val="{AAC8CE5A-083F-404E-95CF-52ECC66B0E61}"/>
      </w:docPartPr>
      <w:docPartBody>
        <w:p w:rsidR="00DD4ADD" w:rsidRDefault="00DD4ADD">
          <w:pPr>
            <w:pStyle w:val="5D93F64550F4407A90F94D562B9FF59F"/>
          </w:pPr>
          <w:r>
            <w:t>COMPANY NAME</w:t>
          </w:r>
        </w:p>
      </w:docPartBody>
    </w:docPart>
    <w:docPart>
      <w:docPartPr>
        <w:name w:val="DE240B2A703949FDA2FD256A21AB3673"/>
        <w:category>
          <w:name w:val="General"/>
          <w:gallery w:val="placeholder"/>
        </w:category>
        <w:types>
          <w:type w:val="bbPlcHdr"/>
        </w:types>
        <w:behaviors>
          <w:behavior w:val="content"/>
        </w:behaviors>
        <w:guid w:val="{F7C7F7DD-DE6E-4E79-B1A3-88FB5E27561F}"/>
      </w:docPartPr>
      <w:docPartBody>
        <w:p w:rsidR="00DD4ADD" w:rsidRDefault="00DD4ADD">
          <w:pPr>
            <w:pStyle w:val="DE240B2A703949FDA2FD256A21AB3673"/>
          </w:pPr>
          <w:r>
            <w:t>Your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ptos Narrow">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4ADD"/>
    <w:rsid w:val="000F61CB"/>
    <w:rsid w:val="00A17CF7"/>
    <w:rsid w:val="00DC7AF7"/>
    <w:rsid w:val="00DD4ADD"/>
    <w:rsid w:val="00FE65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link w:val="SubtitleChar"/>
    <w:uiPriority w:val="2"/>
    <w:qFormat/>
    <w:pPr>
      <w:framePr w:hSpace="180" w:wrap="around" w:vAnchor="text" w:hAnchor="margin" w:y="1167"/>
      <w:spacing w:after="0" w:line="276" w:lineRule="auto"/>
    </w:pPr>
    <w:rPr>
      <w:caps/>
      <w:color w:val="44546A" w:themeColor="text2"/>
      <w:spacing w:val="20"/>
      <w:kern w:val="0"/>
      <w:sz w:val="32"/>
      <w:lang w:val="en-US" w:eastAsia="en-US"/>
      <w14:ligatures w14:val="none"/>
    </w:rPr>
  </w:style>
  <w:style w:type="character" w:customStyle="1" w:styleId="SubtitleChar">
    <w:name w:val="Subtitle Char"/>
    <w:basedOn w:val="DefaultParagraphFont"/>
    <w:link w:val="Subtitle"/>
    <w:uiPriority w:val="2"/>
    <w:rPr>
      <w:caps/>
      <w:color w:val="44546A" w:themeColor="text2"/>
      <w:spacing w:val="20"/>
      <w:kern w:val="0"/>
      <w:sz w:val="32"/>
      <w:lang w:val="en-US" w:eastAsia="en-US"/>
      <w14:ligatures w14:val="none"/>
    </w:rPr>
  </w:style>
  <w:style w:type="paragraph" w:customStyle="1" w:styleId="5D93F64550F4407A90F94D562B9FF59F">
    <w:name w:val="5D93F64550F4407A90F94D562B9FF59F"/>
  </w:style>
  <w:style w:type="paragraph" w:customStyle="1" w:styleId="DE240B2A703949FDA2FD256A21AB3673">
    <w:name w:val="DE240B2A703949FDA2FD256A21AB367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Custom Theme">
  <a:themeElements>
    <a:clrScheme name="Custom 29">
      <a:dk1>
        <a:srgbClr val="0F0D29"/>
      </a:dk1>
      <a:lt1>
        <a:srgbClr val="FFFFFF"/>
      </a:lt1>
      <a:dk2>
        <a:srgbClr val="082A75"/>
      </a:dk2>
      <a:lt2>
        <a:srgbClr val="E7E6E6"/>
      </a:lt2>
      <a:accent1>
        <a:srgbClr val="024F75"/>
      </a:accent1>
      <a:accent2>
        <a:srgbClr val="3592CF"/>
      </a:accent2>
      <a:accent3>
        <a:srgbClr val="34ABA2"/>
      </a:accent3>
      <a:accent4>
        <a:srgbClr val="66B2CA"/>
      </a:accent4>
      <a:accent5>
        <a:srgbClr val="C1D9CB"/>
      </a:accent5>
      <a:accent6>
        <a:srgbClr val="34ABA2"/>
      </a:accent6>
      <a:hlink>
        <a:srgbClr val="3592CF"/>
      </a:hlink>
      <a:folHlink>
        <a:srgbClr val="3592CF"/>
      </a:folHlink>
    </a:clrScheme>
    <a:fontScheme name="Custom 20">
      <a:majorFont>
        <a:latin typeface="Arial"/>
        <a:ea typeface=""/>
        <a:cs typeface=""/>
      </a:majorFont>
      <a:minorFont>
        <a:latin typeface="Calibri"/>
        <a:ea typeface=""/>
        <a:cs typeface=""/>
      </a:minorFont>
    </a:fontScheme>
    <a:fmtScheme name="Office Effects">
      <a:fillStyleLst>
        <a:solidFill>
          <a:schemeClr val="phClr">
            <a:tint val="100000"/>
            <a:shade val="100000"/>
            <a:satMod val="100000"/>
          </a:schemeClr>
        </a:solidFill>
        <a:gradFill rotWithShape="1">
          <a:gsLst>
            <a:gs pos="0">
              <a:schemeClr val="phClr">
                <a:tint val="65000"/>
                <a:shade val="100000"/>
                <a:satMod val="133000"/>
              </a:schemeClr>
            </a:gs>
            <a:gs pos="15000">
              <a:schemeClr val="phClr">
                <a:tint val="50000"/>
                <a:shade val="100000"/>
                <a:satMod val="140000"/>
              </a:schemeClr>
            </a:gs>
            <a:gs pos="100000">
              <a:schemeClr val="phClr">
                <a:tint val="10000"/>
                <a:shade val="100000"/>
                <a:satMod val="135000"/>
              </a:schemeClr>
            </a:gs>
          </a:gsLst>
          <a:lin ang="16200000" scaled="1"/>
        </a:gradFill>
        <a:gradFill rotWithShape="1">
          <a:gsLst>
            <a:gs pos="0">
              <a:schemeClr val="phClr">
                <a:tint val="100000"/>
                <a:shade val="75000"/>
                <a:satMod val="160000"/>
              </a:schemeClr>
            </a:gs>
            <a:gs pos="62000">
              <a:schemeClr val="phClr">
                <a:tint val="100000"/>
                <a:shade val="100000"/>
                <a:satMod val="125000"/>
              </a:schemeClr>
            </a:gs>
            <a:gs pos="100000">
              <a:schemeClr val="phClr">
                <a:tint val="80000"/>
                <a:shade val="100000"/>
                <a:satMod val="140000"/>
              </a:schemeClr>
            </a:gs>
          </a:gsLst>
          <a:lin ang="16200000" scaled="1"/>
        </a:gradFill>
      </a:fillStyleLst>
      <a:lnStyleLst>
        <a:ln w="12700">
          <a:solidFill>
            <a:schemeClr val="phClr"/>
          </a:solidFill>
          <a:prstDash val="solid"/>
        </a:ln>
        <a:ln w="25400">
          <a:solidFill>
            <a:schemeClr val="phClr"/>
          </a:solidFill>
          <a:prstDash val="solid"/>
        </a:ln>
        <a:ln w="38100">
          <a:solidFill>
            <a:schemeClr val="phClr"/>
          </a:solidFill>
          <a:prstDash val="solid"/>
        </a:ln>
      </a:lnStyleLst>
      <a:effectStyleLst>
        <a:effectStyle>
          <a:effectLst>
            <a:outerShdw blurRad="50800" dist="25400" dir="5400000">
              <a:srgbClr val="000000">
                <a:alpha val="43137"/>
              </a:srgbClr>
            </a:outerShdw>
          </a:effectLst>
        </a:effectStyle>
        <a:effectStyle>
          <a:effectLst>
            <a:outerShdw blurRad="50800" dist="38100" dir="5400000">
              <a:srgbClr val="000000">
                <a:alpha val="61176"/>
              </a:srgbClr>
            </a:outerShdw>
          </a:effectLst>
          <a:scene3d>
            <a:camera prst="orthographicFront" fov="0">
              <a:rot lat="0" lon="0" rev="0"/>
            </a:camera>
            <a:lightRig rig="contrasting" dir="t">
              <a:rot lat="0" lon="0" rev="16500000"/>
            </a:lightRig>
          </a:scene3d>
          <a:sp3d contourW="12700" prstMaterial="powder">
            <a:bevelT h="50800"/>
            <a:contourClr>
              <a:schemeClr val="phClr">
                <a:tint val="100000"/>
                <a:shade val="100000"/>
                <a:satMod val="100000"/>
              </a:schemeClr>
            </a:contourClr>
          </a:sp3d>
        </a:effectStyle>
        <a:effectStyle>
          <a:effectLst>
            <a:reflection blurRad="12700" stA="25000" endPos="28000" dist="38100" dir="5400000" sy="-100000"/>
          </a:effectLst>
          <a:scene3d>
            <a:camera prst="orthographicFront" fov="0">
              <a:rot lat="0" lon="0" rev="0"/>
            </a:camera>
            <a:lightRig rig="threePt" dir="t">
              <a:rot lat="0" lon="0" rev="0"/>
            </a:lightRig>
          </a:scene3d>
          <a:sp3d>
            <a:bevelT w="139700" h="38100"/>
            <a:contourClr>
              <a:schemeClr val="phClr">
                <a:tint val="100000"/>
                <a:shade val="100000"/>
                <a:satMod val="100000"/>
              </a:schemeClr>
            </a:contourClr>
          </a:sp3d>
        </a:effectStyle>
      </a:effectStyleLst>
      <a:bgFillStyleLst>
        <a:solidFill>
          <a:schemeClr val="phClr">
            <a:tint val="100000"/>
            <a:shade val="100000"/>
            <a:satMod val="100000"/>
          </a:schemeClr>
        </a:solidFill>
        <a:gradFill rotWithShape="1">
          <a:gsLst>
            <a:gs pos="0">
              <a:schemeClr val="phClr">
                <a:tint val="100000"/>
                <a:shade val="50000"/>
                <a:satMod val="145000"/>
              </a:schemeClr>
            </a:gs>
            <a:gs pos="40000">
              <a:schemeClr val="phClr">
                <a:tint val="100000"/>
                <a:shade val="70000"/>
                <a:satMod val="145000"/>
              </a:schemeClr>
            </a:gs>
            <a:gs pos="100000">
              <a:schemeClr val="phClr">
                <a:tint val="85000"/>
                <a:shade val="100000"/>
                <a:satMod val="155000"/>
              </a:schemeClr>
            </a:gs>
          </a:gsLst>
          <a:lin ang="16200000" scaled="1"/>
        </a:gradFill>
        <a:gradFill rotWithShape="1">
          <a:gsLst>
            <a:gs pos="0">
              <a:schemeClr val="phClr">
                <a:tint val="100000"/>
                <a:shade val="50000"/>
                <a:satMod val="145000"/>
              </a:schemeClr>
            </a:gs>
            <a:gs pos="30000">
              <a:schemeClr val="phClr">
                <a:tint val="100000"/>
                <a:shade val="65000"/>
                <a:satMod val="155000"/>
              </a:schemeClr>
            </a:gs>
            <a:gs pos="100000">
              <a:schemeClr val="phClr">
                <a:tint val="60000"/>
                <a:shade val="100000"/>
                <a:satMod val="170000"/>
              </a:schemeClr>
            </a:gs>
          </a:gsLst>
          <a:lin ang="16200000" scaled="1"/>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Alex Greenslade</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Dee22</b:Tag>
    <b:SourceType>JournalArticle</b:SourceType>
    <b:Guid>{BEBE8F25-6F79-45C5-9A13-5A29059B88AE}</b:Guid>
    <b:Title>Variability in Metallurgical Coke Reactivity Index (CRI) and Coke Strength after Reaction (CSR): An Experimental Study</b:Title>
    <b:JournalName>ACS Omega</b:JournalName>
    <b:Year>2022</b:Year>
    <b:Pages>1703-1711</b:Pages>
    <b:Volume>7</b:Volume>
    <b:Issue>2</b:Issue>
    <b:Author>
      <b:Author>
        <b:NameList>
          <b:Person>
            <b:Last>Kumar</b:Last>
            <b:First>Deepak</b:First>
          </b:Person>
          <b:Person>
            <b:Last>Saxena</b:Last>
            <b:First>Vinod</b:First>
            <b:Middle>Kumar</b:Middle>
          </b:Person>
          <b:Person>
            <b:Last>Tiwari</b:Last>
            <b:First>Hari</b:First>
            <b:Middle>Prakash</b:Middle>
          </b:Person>
          <b:Person>
            <b:Last>Nandi</b:Last>
            <b:First>Barun</b:First>
            <b:Middle>Kumar</b:Middle>
          </b:Person>
          <b:Person>
            <b:Last>Verma</b:Last>
            <b:First>Abhilash</b:First>
          </b:Person>
          <b:Person>
            <b:Last>Tiwary</b:Last>
            <b:First>Vijay</b:First>
            <b:Middle>Kumar</b:Middle>
          </b:Person>
        </b:NameList>
      </b:Author>
    </b:Author>
    <b:RefOrder>1</b:RefOrder>
  </b:Source>
  <b:Source>
    <b:Tag>Zde20</b:Tag>
    <b:SourceType>JournalArticle</b:SourceType>
    <b:Guid>{A04D2EDA-EF5E-4A7A-A36B-149022075448}</b:Guid>
    <b:Title>Prediction of CRI and CSR of cokes by two-step correction models for stamp-charged coals – Statistical analysis</b:Title>
    <b:JournalName>Fuel</b:JournalName>
    <b:Year>2020</b:Year>
    <b:Volume>262</b:Volume>
    <b:Author>
      <b:Author>
        <b:NameList>
          <b:Person>
            <b:Last>Klika</b:Last>
            <b:First>Zdeněk</b:First>
          </b:Person>
          <b:Person>
            <b:Last>Serenčíšová</b:Last>
            <b:First>Jana</b:First>
          </b:Person>
          <b:Person>
            <b:Last>Kolomazník</b:Last>
            <b:First>Ivan</b:First>
          </b:Person>
          <b:Person>
            <b:Last>Bartoňová</b:Last>
            <b:First>Lucie</b:First>
          </b:Person>
          <b:Person>
            <b:Last>Baran</b:Last>
            <b:First>Pavel</b:First>
          </b:Person>
        </b:NameList>
      </b:Author>
    </b:Author>
    <b:RefOrder>2</b:RefOrder>
  </b:Source>
  <b:Source>
    <b:Tag>Zur14</b:Tag>
    <b:SourceType>ConferenceProceedings</b:SourceType>
    <b:Guid>{4BB1895B-E118-47B8-BABD-8A521A8D1D43}</b:Guid>
    <b:Title>Value Stream Mapping using Simulation at Metal Manufacturing</b:Title>
    <b:Year>2014</b:Year>
    <b:Author>
      <b:Author>
        <b:NameList>
          <b:Person>
            <b:Last>Zuraidah</b:Last>
            <b:First>Raja</b:First>
          </b:Person>
          <b:Person>
            <b:Last>Abdullah</b:Last>
            <b:First>Rohana</b:First>
          </b:Person>
          <b:Person>
            <b:Last>Mohamed</b:Last>
            <b:First>Suhana</b:First>
          </b:Person>
        </b:NameList>
      </b:Author>
    </b:Author>
    <b:City>Bali, Indonesia</b:City>
    <b:Publisher>International Conference on Industrial Engineering and Operations Management</b:Publisher>
    <b:RefOrder>3</b:RefOrder>
  </b:Source>
  <b:Source>
    <b:Tag>Tat24</b:Tag>
    <b:SourceType>Misc</b:SourceType>
    <b:Guid>{010AFCB8-81BE-4874-8D79-4340239952FB}</b:Guid>
    <b:Title>Standard Operating Procedure of CSR testing at Port Talbot Steel Plant</b:Title>
    <b:Year>2024</b:Year>
    <b:City>Port Talbot</b:City>
    <b:Author>
      <b:Author>
        <b:NameList>
          <b:Person>
            <b:Last>Steel</b:Last>
            <b:First>Tata</b:First>
          </b:Person>
        </b:NameList>
      </b:Author>
    </b:Author>
    <b:RefOrder>4</b:RefOrder>
  </b:Source>
  <b:Source>
    <b:Tag>Rah11</b:Tag>
    <b:SourceType>JournalArticle</b:SourceType>
    <b:Guid>{A97EC8C8-3072-47FF-923C-6BE6F4156270}</b:Guid>
    <b:Title>Framing the corporate responsibility-reputation linkage: The case of Tata Motors in India</b:Title>
    <b:Year>2011</b:Year>
    <b:Pages>392-398</b:Pages>
    <b:Volume>37</b:Volume>
    <b:Issue>4</b:Issue>
    <b:Author>
      <b:Author>
        <b:NameList>
          <b:Person>
            <b:Last>Mitra</b:Last>
            <b:First>Rahul</b:First>
          </b:Person>
        </b:NameList>
      </b:Author>
    </b:Author>
    <b:JournalName>Public Relations Review</b:JournalName>
    <b:RefOrder>5</b:RefOrder>
  </b:Source>
  <b:Source>
    <b:Tag>Tat241</b:Tag>
    <b:SourceType>Misc</b:SourceType>
    <b:Guid>{ADF49D9A-5829-4078-B97F-EFCF5E09E237}</b:Guid>
    <b:Title>CSR Decision Flow Diagram</b:Title>
    <b:Year>2024</b:Year>
    <b:City>Port Talbot</b:City>
    <b:Author>
      <b:Author>
        <b:NameList>
          <b:Person>
            <b:Last>Steel</b:Last>
            <b:First>Tata</b:First>
          </b:Person>
        </b:NameList>
      </b:Author>
    </b:Author>
    <b:RefOrder>7</b:RefOrder>
  </b:Source>
  <b:Source>
    <b:Tag>Dee221</b:Tag>
    <b:SourceType>JournalArticle</b:SourceType>
    <b:Guid>{E61AB60E-77ED-4F21-85EF-6F259331CC8A}</b:Guid>
    <b:Title>Variability in Metallurgical Coke Reactivity Index (CRI) and Coke Strength after Reaction (CSR): An Experimental Study</b:Title>
    <b:Year>2022</b:Year>
    <b:Author>
      <b:Author>
        <b:NameList>
          <b:Person>
            <b:Last>Kumar</b:Last>
            <b:First>Deepak</b:First>
          </b:Person>
          <b:Person>
            <b:Last>Saxena</b:Last>
            <b:First>Vinod</b:First>
            <b:Middle>Kumar</b:Middle>
          </b:Person>
          <b:Person>
            <b:Last>TIWARI</b:Last>
            <b:First>Dr.</b:First>
            <b:Middle>HP</b:Middle>
          </b:Person>
          <b:Person>
            <b:Last>Nandi</b:Last>
            <b:First>Barun</b:First>
            <b:Middle>Kumar</b:Middle>
          </b:Person>
        </b:NameList>
      </b:Author>
    </b:Author>
    <b:RefOrder>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1ECE320-CA4F-43F3-BCB0-E66BCEA87D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24</Pages>
  <Words>4538</Words>
  <Characters>25867</Characters>
  <Application>Microsoft Office Word</Application>
  <DocSecurity>4</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ALEXANDER GREENSLADE</dc:creator>
  <cp:keywords/>
  <cp:lastModifiedBy>ALEXANDER GREENSLADE</cp:lastModifiedBy>
  <cp:revision>2</cp:revision>
  <cp:lastPrinted>2006-08-01T17:47:00Z</cp:lastPrinted>
  <dcterms:created xsi:type="dcterms:W3CDTF">2024-04-24T08:24:00Z</dcterms:created>
  <dcterms:modified xsi:type="dcterms:W3CDTF">2024-04-24T08:24:00Z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TC100670409990</vt:lpwstr>
  </property>
</Properties>
</file>