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1F408" w14:textId="77072CE1" w:rsidR="00CE4DF5" w:rsidRDefault="00CE4DF5" w:rsidP="00CE4DF5">
      <w:r>
        <w:t xml:space="preserve">Assignment 1 </w:t>
      </w:r>
    </w:p>
    <w:p w14:paraId="16D059EE" w14:textId="777D42A0" w:rsidR="00CE4DF5" w:rsidRDefault="00CE4DF5" w:rsidP="00CE4DF5">
      <w:r>
        <w:t>Essay one:</w:t>
      </w:r>
    </w:p>
    <w:p w14:paraId="5216B27D" w14:textId="77777777" w:rsidR="00CE4DF5" w:rsidRDefault="00CE4DF5" w:rsidP="00CE4DF5">
      <w:r>
        <w:t xml:space="preserve">Examine how prominent cases of police misconduct or malpractice have influenced current professional policing policies. Evaluate how these policies have increased community confidence in the police, with reference to the Code of Ethics. </w:t>
      </w:r>
    </w:p>
    <w:p w14:paraId="4BCA33A3" w14:textId="77777777" w:rsidR="00CE4DF5" w:rsidRDefault="00CE4DF5" w:rsidP="00CE4DF5">
      <w:r>
        <w:t>Your answer should be based on academic research rather than personal experience, but you may make reference to relevant case studies.</w:t>
      </w:r>
    </w:p>
    <w:p w14:paraId="272BBFF8" w14:textId="77777777" w:rsidR="00CE4DF5" w:rsidRDefault="00CE4DF5" w:rsidP="00CE4DF5">
      <w:r>
        <w:t>Word limit: 1000 words.</w:t>
      </w:r>
    </w:p>
    <w:p w14:paraId="54705912" w14:textId="77777777" w:rsidR="00CE4DF5" w:rsidRDefault="00CE4DF5" w:rsidP="00CE4DF5">
      <w:r>
        <w:t xml:space="preserve">The subject of police misconduct, here defined as the illegal or inappropriate action engaged in by police officers (Content Team, 2017), has been a hot topic within the world’s media. The most notable case of this in the UK was the investigation into the murder of Stephen Lawrence. The initial murder investigation by the Metropolitan Police was deemed to have been affected by racial bias, leading to The Macpherson Report and systematic changes to policing in the UK.  </w:t>
      </w:r>
    </w:p>
    <w:p w14:paraId="7515E86B" w14:textId="77777777" w:rsidR="00CE4DF5" w:rsidRDefault="00CE4DF5" w:rsidP="00CE4DF5">
      <w:r>
        <w:t>The code of ethics was introduced to UK policing in 2014, and “sets and defines the exemplary standards of behaviour for everyone who works in policing.”  (College of Policing, 2014) with the aim of reducing police misconduct. The main components are 9 policing principles: accountability, fairness, honesty, integrity, leadership, objectivity, openness, respect and fitness for work, and 10 standards of professional behaviour: honesty and integrity, respect and courtesy, equality and diversity, use of force, orders and instructions, duties and responsibilities and confidentiality (Home Office, 2014).</w:t>
      </w:r>
    </w:p>
    <w:p w14:paraId="64824BC0" w14:textId="38FD60D1" w:rsidR="00CE4DF5" w:rsidRDefault="00CE4DF5" w:rsidP="00CE4DF5">
      <w:r>
        <w:t xml:space="preserve">Lawrence’s murder was initially reported as a gang attack by the Metropolitan police, but when investigated his death was found to have been “marred by combination of professional incompetence, institutional racism and a failure of leadership by senior officers” (Macpherson, 1999. p314) and has been castigated for “racial stereotyping and conscious and unconscious prejudices shaping routine police practices. Police were failing to respond to racist attacks on one hand, and, on the other, were overusing their stop and search powers, leaving black communities feeling over-policed and under-protected.” (Bowling, </w:t>
      </w:r>
      <w:r w:rsidR="001546CA">
        <w:t>2018</w:t>
      </w:r>
      <w:r>
        <w:t>).</w:t>
      </w:r>
    </w:p>
    <w:p w14:paraId="75A100C1" w14:textId="77777777" w:rsidR="00CE4DF5" w:rsidRDefault="00CE4DF5" w:rsidP="00CE4DF5">
      <w:r>
        <w:t>Officers and senior officers in charge of the investigation and the Met more widely failed the code of conduct in numerous ways. The investigation lacked accountability, fairness, honesty, integrity, leadership, openness as well as equality and diversity. This is a result of both lack of diversity in the police and racial bias prevalent at the time, meaning the incident was looked at as a gang attack despite accounts and evidence demonstrating that it was racially motivated (Cathcart, 2012).</w:t>
      </w:r>
    </w:p>
    <w:p w14:paraId="3CA6DD8E" w14:textId="77777777" w:rsidR="00CE4DF5" w:rsidRDefault="00CE4DF5" w:rsidP="00CE4DF5">
      <w:r>
        <w:t>Lawrence’s murder led to a loss of confidence in the police that was well documented in the 1999 Lawrence inquiry. This report, by judge William Macpherson, established that racism was a much wider problem in the police.  The subsequent Macpherson report made 70 recommendations – 67 of which led to changes in practice or law within two years of its publication. These included the introduction of detailed targets for the recruitment, retention and promotion of minority officers; the creation of the Independent Police Complaints Commission with powers to appoint its own investigators; and the abolition of the "double jeopardy rule", which stated nobody could be tried for the same crime twice. This led to the convictions of Gary Dobson and David Norris for Lawrence’s murder in 2012 (Travis, 2013).</w:t>
      </w:r>
    </w:p>
    <w:p w14:paraId="688E6AB9" w14:textId="77777777" w:rsidR="00CE4DF5" w:rsidRDefault="00CE4DF5" w:rsidP="00CE4DF5">
      <w:r>
        <w:lastRenderedPageBreak/>
        <w:t>The Macpherson report also led to the legal definition of a racial incident, which obliges police to investigate every incident a victim believes to be racially motivated. Alongside this, there are now heavier penalties from courts, which now recognise that crimes motivated by hatred are unique. ‘Hate crimes’ now cover attacks motivated by somebody's religion, sexuality, disability or gender have also increased public confidence in the willingness of police to tackle hate crimes (Chahal, 1999).</w:t>
      </w:r>
    </w:p>
    <w:p w14:paraId="3AA128C1" w14:textId="77777777" w:rsidR="00CE4DF5" w:rsidRDefault="00CE4DF5" w:rsidP="00CE4DF5">
      <w:r>
        <w:t xml:space="preserve">More recently, the rape and murder of Sarah Everard in 2021 caused major damage to police reputation. The murder showed failures of leadership as PC Wayne </w:t>
      </w:r>
      <w:proofErr w:type="spellStart"/>
      <w:r>
        <w:t>Couzens</w:t>
      </w:r>
      <w:proofErr w:type="spellEnd"/>
      <w:r>
        <w:t xml:space="preserve"> was not correctly vetted or disciplined from previous incidents of misconduct. “Long before he raped and murdered this young woman, </w:t>
      </w:r>
      <w:proofErr w:type="spellStart"/>
      <w:r>
        <w:t>Couzens</w:t>
      </w:r>
      <w:proofErr w:type="spellEnd"/>
      <w:r>
        <w:t xml:space="preserve"> should have been viewed as an ‘insider risk’ […] There have been reports </w:t>
      </w:r>
      <w:proofErr w:type="spellStart"/>
      <w:r>
        <w:t>Couzens</w:t>
      </w:r>
      <w:proofErr w:type="spellEnd"/>
      <w:r>
        <w:t xml:space="preserve"> committed sexual offences and exhibited extremely disturbing behaviour several years before he killed Sarah Everard, and this continued right up until just days before her death.” (</w:t>
      </w:r>
      <w:proofErr w:type="spellStart"/>
      <w:r>
        <w:t>BaMaung</w:t>
      </w:r>
      <w:proofErr w:type="spellEnd"/>
      <w:r>
        <w:t xml:space="preserve">, 2021). The murder caused widespread loss of respect, as a Met officer had murdered a young woman, using police resources to do so when he was duty bound to be safeguarding the public and preventing crimes such as this. </w:t>
      </w:r>
    </w:p>
    <w:p w14:paraId="53A53D05" w14:textId="77777777" w:rsidR="00CE4DF5" w:rsidRDefault="00CE4DF5" w:rsidP="00CE4DF5">
      <w:r>
        <w:t xml:space="preserve">Everard’s murder led to a demand for a higher standard of vetting for police officers during recruitment in order to prevent people like </w:t>
      </w:r>
      <w:proofErr w:type="spellStart"/>
      <w:r>
        <w:t>Couzens</w:t>
      </w:r>
      <w:proofErr w:type="spellEnd"/>
      <w:r>
        <w:t xml:space="preserve"> joining the police. Alongside this, it also encouraged officers to challenge and report improper conduct as per the code of ethics. Examples of changes which have since taken place since include resignations of senior officers, enforcement of policing in pairs, and the requirement of all forces to re-vet their officers by July 2020 (</w:t>
      </w:r>
      <w:proofErr w:type="spellStart"/>
      <w:r>
        <w:t>BaMaung</w:t>
      </w:r>
      <w:proofErr w:type="spellEnd"/>
      <w:r>
        <w:t xml:space="preserve">, 2021) Despite this requirement being implemented, ¼ of all police forces in England, Wales and Northern Ireland have not yet re-vetted all their </w:t>
      </w:r>
      <w:proofErr w:type="gramStart"/>
      <w:r>
        <w:t>officers .</w:t>
      </w:r>
      <w:proofErr w:type="gramEnd"/>
      <w:r>
        <w:t xml:space="preserve"> </w:t>
      </w:r>
      <w:proofErr w:type="spellStart"/>
      <w:r>
        <w:t>Couzen’s</w:t>
      </w:r>
      <w:proofErr w:type="spellEnd"/>
      <w:r>
        <w:t xml:space="preserve"> behaviour demonstrates re-vetting is both necessary, and would increase public confidence in the police, however the delay in this continues to further undermine public confidence in the police.  Another policy brought in since Everard’s murder is that “undercover police will be sent to clubs, bars and popular nightspots to relay intelligence about predatory or suspicious offenders to uniformed officers, in pilots of so-called Project Vigilant, rolled out across the country.” (BBC, 2021), however this policy seemingly misjudged social attitudes. The abuse of power, position, and resources by </w:t>
      </w:r>
      <w:proofErr w:type="spellStart"/>
      <w:r>
        <w:t>Couzens</w:t>
      </w:r>
      <w:proofErr w:type="spellEnd"/>
      <w:r>
        <w:t xml:space="preserve"> was the prevailing factor in public loss of confidence, and therefore placing more officers in environments where they have opportunities to take advantage of their position did little to improve confidence in the police. </w:t>
      </w:r>
    </w:p>
    <w:p w14:paraId="0522B88B" w14:textId="77777777" w:rsidR="00CE4DF5" w:rsidRDefault="00CE4DF5" w:rsidP="00CE4DF5">
      <w:r>
        <w:t xml:space="preserve">Since Lawrence’s murder and the subsequent investigation into the mishandling of this by the police, it is clear changes have been made to mitigate against the influence of racial bias within the British police. The Macpherson report for example brought about a landmark change into the recognition, handling, and conviction of racial hate crimes, “Since 2000, there has been consistent recording of "racially aggravated offences" in England and Wales, which shows a rise from 21,750 to 55,557 in 2018 […] an increase in the number of incidents recorded by the police. But data from official surveys asking people about their experiences of crime suggests racist incidents have fallen from 280,000 to 101,000 over roughly the same time period.” (Shaw, 2019) Despite this positive change misconduct continues to exist within the police, as evidenced by the murder of Sarah Everard by PC </w:t>
      </w:r>
      <w:proofErr w:type="spellStart"/>
      <w:r>
        <w:t>Couzens</w:t>
      </w:r>
      <w:proofErr w:type="spellEnd"/>
      <w:r>
        <w:t>. Whilst steps have been taken here to try to improve community confidence in police, these have in places been misjudged, and highlighted that rather than increasing police presence to improve confidence it’s necessary to work towards a greater degree of introspective accountability in the police. This can be done both through stricter policies on vetting prospective officers, and through ongoing checks and holding officers to account for their behaviour.</w:t>
      </w:r>
    </w:p>
    <w:p w14:paraId="200E6A2A" w14:textId="1ACAF854" w:rsidR="00CE4DF5" w:rsidRDefault="00722335" w:rsidP="00CE4DF5">
      <w:r>
        <w:t>(1098 words)</w:t>
      </w:r>
    </w:p>
    <w:p w14:paraId="640B938A" w14:textId="13F209B5" w:rsidR="00CE4DF5" w:rsidRPr="00135B43" w:rsidRDefault="00135B43" w:rsidP="00CE4DF5">
      <w:pPr>
        <w:rPr>
          <w:u w:val="single"/>
        </w:rPr>
      </w:pPr>
      <w:r w:rsidRPr="00135B43">
        <w:rPr>
          <w:u w:val="single"/>
        </w:rPr>
        <w:lastRenderedPageBreak/>
        <w:t xml:space="preserve">Bibliography </w:t>
      </w:r>
    </w:p>
    <w:p w14:paraId="2B27FD82" w14:textId="77777777" w:rsidR="00CE4DF5" w:rsidRDefault="00CE4DF5" w:rsidP="00CE4DF5">
      <w:r>
        <w:t xml:space="preserve">- </w:t>
      </w:r>
      <w:proofErr w:type="spellStart"/>
      <w:r>
        <w:t>BaMaung</w:t>
      </w:r>
      <w:proofErr w:type="spellEnd"/>
      <w:r>
        <w:t>, D. (2021). How do police regain trust after the murder of Sarah Everard? [online] The Conversation. Available at: https://theconversation.com/how-do-police-regain-trust-after-the-murder-of-sarah-everard-172037.</w:t>
      </w:r>
    </w:p>
    <w:p w14:paraId="38353F0A" w14:textId="77777777" w:rsidR="00CE4DF5" w:rsidRDefault="00CE4DF5" w:rsidP="00CE4DF5">
      <w:r>
        <w:t>- BBC (2021). New safety measures after Sarah Everard killing. BBC News. [online] 16 Mar. Available at: https://www.bbc.co.uk/news/uk-56410943.</w:t>
      </w:r>
    </w:p>
    <w:p w14:paraId="1F52B7F0" w14:textId="55582917" w:rsidR="001546CA" w:rsidRDefault="00CE4DF5" w:rsidP="00CE4DF5">
      <w:r>
        <w:t>- Bowling, B. (</w:t>
      </w:r>
      <w:r w:rsidR="001546CA">
        <w:t>2018</w:t>
      </w:r>
      <w:r>
        <w:t xml:space="preserve">). Stephen Lawrence: his death changed British law forever but trust in police has yet to recover. [online] The Conversation. Available at: </w:t>
      </w:r>
      <w:hyperlink r:id="rId6" w:history="1">
        <w:r w:rsidR="001546CA" w:rsidRPr="00AD19D6">
          <w:rPr>
            <w:rStyle w:val="Hyperlink"/>
          </w:rPr>
          <w:t>https://theconversation.com/stephen-lawrence-his-death-changed-british-law-forever-but-trust-in-police-has-yet-to-recover-95091#:~:text=The%20Lawrence%</w:t>
        </w:r>
        <w:r w:rsidR="001546CA" w:rsidRPr="00AD19D6">
          <w:rPr>
            <w:rStyle w:val="Hyperlink"/>
          </w:rPr>
          <w:t>20inquiry%20made%20recommendations%20that%20changed%20the</w:t>
        </w:r>
      </w:hyperlink>
      <w:r>
        <w:t>.</w:t>
      </w:r>
    </w:p>
    <w:p w14:paraId="03B735CE" w14:textId="77777777" w:rsidR="00CE4DF5" w:rsidRDefault="00CE4DF5" w:rsidP="00CE4DF5">
      <w:r>
        <w:t>- Cathcart, B. (2012). The case of Stephen Lawrence. London: Penguin.</w:t>
      </w:r>
    </w:p>
    <w:p w14:paraId="2697CCB8" w14:textId="77777777" w:rsidR="00CE4DF5" w:rsidRDefault="00CE4DF5" w:rsidP="00CE4DF5">
      <w:r>
        <w:t>- Chahal, K. (1999). The Stephen Lawrence Inquiry Report, Racist Harassment and Racist Incidents: Changing Definitions, Clarifying Meaning? Sociological Research Online, 4(1), pp.1–4. doi:10.5153/sro.240.</w:t>
      </w:r>
    </w:p>
    <w:p w14:paraId="2895811E" w14:textId="77777777" w:rsidR="00CE4DF5" w:rsidRDefault="00CE4DF5" w:rsidP="00CE4DF5">
      <w:r>
        <w:t>- College of Policing (2014). Code of Ethics. [online] College of Policing. Available at: https://www.college.police.uk/ethics/code-of-ethics.</w:t>
      </w:r>
    </w:p>
    <w:p w14:paraId="0A872050" w14:textId="77777777" w:rsidR="00CE4DF5" w:rsidRDefault="00CE4DF5" w:rsidP="00CE4DF5">
      <w:r>
        <w:t>- Content Team (2017). Police Misconduct - Definition, Examples, Cases, Processes. [online] Legal Dictionary. Available at: https://legaldictionary.net/police-misconduct/.</w:t>
      </w:r>
    </w:p>
    <w:p w14:paraId="7CEF4A51" w14:textId="77777777" w:rsidR="00CE4DF5" w:rsidRDefault="00CE4DF5" w:rsidP="00CE4DF5">
      <w:r>
        <w:t>- Home Office (2014). Code of Ethics Launched. [online] GOV.UK. Available at: https://www.gov.uk/government/news/code-of-ethics-launched.</w:t>
      </w:r>
    </w:p>
    <w:p w14:paraId="0302FA8B" w14:textId="77777777" w:rsidR="00CE4DF5" w:rsidRDefault="00CE4DF5" w:rsidP="00CE4DF5">
      <w:r>
        <w:t>- Macpherson, W. (1999). The Stephen Lawrence Inquiry (Macpherson Report). Stationary Office.</w:t>
      </w:r>
    </w:p>
    <w:p w14:paraId="24525661" w14:textId="77777777" w:rsidR="00CE4DF5" w:rsidRDefault="00CE4DF5" w:rsidP="00CE4DF5">
      <w:r>
        <w:t>-Shaw, D. (2019). Stephen Lawrence: How has his murder changed policing? BBC News. [online] 19 Feb. Available at: https://www.bbc.co.uk/news/uk-47161480.</w:t>
      </w:r>
    </w:p>
    <w:p w14:paraId="7BDA5FEC" w14:textId="32303F60" w:rsidR="00CE4DF5" w:rsidRDefault="00CE4DF5" w:rsidP="00CE4DF5">
      <w:r>
        <w:t xml:space="preserve">- Travis, A. (2013). Stephen Lawrence: how his murder changed the legal landscape. [online] the Guardian. Available at: </w:t>
      </w:r>
      <w:hyperlink r:id="rId7" w:history="1">
        <w:r w:rsidR="00074772" w:rsidRPr="00403218">
          <w:rPr>
            <w:rStyle w:val="Hyperlink"/>
          </w:rPr>
          <w:t>https://www.theguardian.com/uk/2013/apr/22/stephen-lawrence-murder-changed-legal-landscape</w:t>
        </w:r>
      </w:hyperlink>
      <w:r>
        <w:t>.</w:t>
      </w:r>
    </w:p>
    <w:p w14:paraId="0C86AC01" w14:textId="7FFC0257" w:rsidR="00074772" w:rsidRDefault="00074772" w:rsidP="00CE4DF5"/>
    <w:p w14:paraId="45B00244" w14:textId="77777777" w:rsidR="00074772" w:rsidRDefault="00074772" w:rsidP="00074772"/>
    <w:p w14:paraId="0479DC3E" w14:textId="77777777" w:rsidR="00074772" w:rsidRDefault="00074772" w:rsidP="00074772"/>
    <w:p w14:paraId="5328A712" w14:textId="77777777" w:rsidR="00074772" w:rsidRDefault="00074772" w:rsidP="00074772"/>
    <w:p w14:paraId="2654CF30" w14:textId="77777777" w:rsidR="00074772" w:rsidRDefault="00074772" w:rsidP="00074772"/>
    <w:p w14:paraId="0DFB630B" w14:textId="77777777" w:rsidR="00074772" w:rsidRDefault="00074772" w:rsidP="00074772"/>
    <w:p w14:paraId="7F340CF0" w14:textId="77777777" w:rsidR="00074772" w:rsidRDefault="00074772" w:rsidP="00074772"/>
    <w:p w14:paraId="7FB0D513" w14:textId="77777777" w:rsidR="00074772" w:rsidRDefault="00074772" w:rsidP="00074772"/>
    <w:p w14:paraId="012731E8" w14:textId="77777777" w:rsidR="00074772" w:rsidRDefault="00074772" w:rsidP="00074772"/>
    <w:p w14:paraId="2DB6696D" w14:textId="57B23DCA" w:rsidR="00074772" w:rsidRDefault="00074772" w:rsidP="00074772">
      <w:r>
        <w:lastRenderedPageBreak/>
        <w:t xml:space="preserve">Essay two: </w:t>
      </w:r>
    </w:p>
    <w:p w14:paraId="49F7441A" w14:textId="77777777" w:rsidR="00074772" w:rsidRDefault="00074772" w:rsidP="00074772">
      <w:r>
        <w:t xml:space="preserve">Examine why certain groups might be vulnerable to being targeted by Serious and Organised Crime </w:t>
      </w:r>
      <w:proofErr w:type="gramStart"/>
      <w:r>
        <w:t>Groups, and</w:t>
      </w:r>
      <w:proofErr w:type="gramEnd"/>
      <w:r>
        <w:t xml:space="preserve"> analyse the effectiveness of police practices to investigate such issues.</w:t>
      </w:r>
    </w:p>
    <w:p w14:paraId="2DFC7A8E" w14:textId="77777777" w:rsidR="00074772" w:rsidRDefault="00074772" w:rsidP="00074772">
      <w:r>
        <w:t>Your answer should be based on academic research rather than personal experience.</w:t>
      </w:r>
    </w:p>
    <w:p w14:paraId="49F65CA5" w14:textId="77777777" w:rsidR="00074772" w:rsidRDefault="00074772" w:rsidP="00074772">
      <w:r>
        <w:t>Word limit: 1000 words.</w:t>
      </w:r>
    </w:p>
    <w:p w14:paraId="0B4D1597" w14:textId="5CBCF186" w:rsidR="00074772" w:rsidRDefault="00074772" w:rsidP="00074772">
      <w:r>
        <w:t xml:space="preserve">Vulnerability, in a policing context, is defined as “the quality or state of being exposed to the possibility of being a being attacked or harmed, either physically or emotionally” (Bryant and Bryant, 2019, p.80) A person is described as vulnerable if, due to their situation or circumstances, they are unable to take care of or protect themselves from harm or exploitation (ibid.). Vulnerability can be caused by personal circumstances, poor communication skills, disability, drug misuse, intoxication, gender, sexual orientation, religion, race, or the status of being a repeat offender or repeat victim (College of Policing, 2021). Individuals can be considered permanently vulnerable due to one or more of these conditions such as having a permanent disability or temporarily vulnerable due to their current circumstances, for example being intoxicated. In both examples the vulnerable individual(s) are at risk, either as victims of crime from serious and organised crime groups (SOCGs) or being exploited by SOCGs, who are involved in crimes including bribery, corruption and sanction evasion, child sexual exploitation, cybercrime, drug trafficking, and immigration crimes (Tackling Serious and Organised Crime: a Local Response Report, </w:t>
      </w:r>
      <w:r w:rsidR="001546CA">
        <w:t>2015</w:t>
      </w:r>
      <w:r>
        <w:t xml:space="preserve">). </w:t>
      </w:r>
    </w:p>
    <w:p w14:paraId="2741E7B2" w14:textId="77777777" w:rsidR="00074772" w:rsidRDefault="00074772" w:rsidP="00074772">
      <w:r>
        <w:t xml:space="preserve">Two common ways SOCGs exploit vulnerable individuals is through cuckooing and drug running. Cuckooing is where “a drug dealer, gang or SOCG takes over a vulnerable adult’s address for criminal purposes, usually […] to supply, store or produce drugs from. Gangs will exploit an individual’s vulnerabilities in order to make a profit and avoid police detection.” (Spicer, 2021, PAGE NUMBER). Meanwhile the national picture on drug running and county lines continues to develop, with recorded cases of children as young as 12 being exploited by gangs to courier drugs out of their local area. White British children are increasingly being targeted because gangs perceive them as more likely to evade police detection, however a person of any ethnicity or nationality may be exploited (Home Office, 2020). In order to bait children into organised crime, SOCGs invite them to undertake a small amount of ‘work’ for a seemingly harmless reward, but which can lead to entrapment within an organised crime group. SOCGs use the vulnerable person to reduce their personal culpability, often persuading them into criminality by telling them they will be punished less due to their age or other vulnerabilities. </w:t>
      </w:r>
    </w:p>
    <w:p w14:paraId="26626717" w14:textId="77777777" w:rsidR="00074772" w:rsidRDefault="00074772" w:rsidP="00074772">
      <w:r>
        <w:t xml:space="preserve">In 2015 the UK Government passed the Serious Crime Act 2015 (SC Act). This brought about a number of proposals made in the Government’s Serious and Organised Crime Strategy (2013) and updated existing laws dealing with cyber-crime, serious crime prevention orders, gang injunctions, child cruelty, female genital mutilation and controlling and coercive behaviour to help protect vulnerable groups in our society. In their study of risk factors contributing to involvement with SOCGs, Hurley and Bolton (2017) found domestic violence to be a contributing risk factor in 61% of cases of individuals involved with SOCGs. The SC Act went some way towards protecting vulnerable people from domestic abuse by making coercive and controlling behaviour which had a serious effect on the individual a crime. It gave the notion of coercive control more weight within a courtroom, helping domestic abuse survivors achieve more successful prosecutions. This being said, the implementation of section 76 of the SC Act which concerned domestic abuse was slow. Wiener (2017) explains that between December 2016-17 there were just 59 recorded convictions for </w:t>
      </w:r>
      <w:r>
        <w:lastRenderedPageBreak/>
        <w:t xml:space="preserve">controlling and coercive behaviour by the Crime Prosecution Service, in stark comparison to the 75,000 cases of partner abuse reported in the Violence Against Women and Girls Crime Report. </w:t>
      </w:r>
    </w:p>
    <w:p w14:paraId="2819A583" w14:textId="77777777" w:rsidR="00074772" w:rsidRDefault="00074772" w:rsidP="00074772">
      <w:r>
        <w:t>To help protect vulnerable individuals, partner agencies should work together and share intelligence to identify individuals at risk in order to intervene at an early stage. Processes such as early identification, followed by mitigating action, can prevent individuals from serious and organised criminality as well as deterring recidivism. Once individuals are identified, partners should then consider which agencies are best placed to offer support. For this the police use personal protection notification reports to pass on relevant information to partner agencies. Vulnerable young people for example are particularly at risk of getting involved in SOCGs, and so it is important that council partners including healthcare services, schools and the police have the appropriate information and policies in place to support their safeguarding duties.</w:t>
      </w:r>
    </w:p>
    <w:p w14:paraId="7AEF695B" w14:textId="77777777" w:rsidR="00074772" w:rsidRDefault="00074772" w:rsidP="00074772">
      <w:r>
        <w:t xml:space="preserve">One change which could help protect vulnerable groups is to give police officers and social workers powers to enter domestic properties where they have concerns.  The power to enter such properties to conduct welfare checks would help identify vulnerable individuals </w:t>
      </w:r>
      <w:proofErr w:type="gramStart"/>
      <w:r>
        <w:t>quicker, and</w:t>
      </w:r>
      <w:proofErr w:type="gramEnd"/>
      <w:r>
        <w:t xml:space="preserve"> deter SOCGs from using these properties to cuckoo (Johnson, 2008). In practice, risk assessments would need to be undertaken before the visit to prevent risk to social workers. A further tool used by the police to protect vulnerable people is neighbourhood policing. The goal of neighbourhood policing is for the local residents and police to work together to address crime in the community, where local residents are recognised as experts in the issues they face (O’Reilly, 2022). Effective police-community relations encourage community members to learn about policing, and in turn police departments learn about local issues which can help to identify and protect those at risk. Neighbourhood policing can be an effective tool in helping to bridge the differences in perceived priorities between communities and the police forces serving them. O’Reilly’s (2022) case study into community policing in a London borough showed for example that ward panels between police and residents worked successfully to improve confidence in the </w:t>
      </w:r>
      <w:proofErr w:type="gramStart"/>
      <w:r>
        <w:t>police, and</w:t>
      </w:r>
      <w:proofErr w:type="gramEnd"/>
      <w:r>
        <w:t xml:space="preserve"> improve feelings around collective security. Improved relationships between police and communities can then allow professional-community partnerships to address problems facing vulnerable people, such as increasing awareness around NGO support services for mental health (Paterson and Best, 2016).</w:t>
      </w:r>
    </w:p>
    <w:p w14:paraId="01F2B3DA" w14:textId="067BCAFB" w:rsidR="00074772" w:rsidRDefault="00074772" w:rsidP="00074772">
      <w:r>
        <w:t>In the current age of policing SOCGs use vulnerable people in order to benefit themselves and others in their wider network. The major issue for police is unless the vulnerable person can be identified and effectively protected before getting involved with the SOCG the individual(s) have to be treated as offenders for their involvement in the offence no matter how much the SOCG has taken advantage of their vulnerabilities. A further issue inhibiting the effectiveness of police actions to help protect vulnerable people is that it requires the person to corporate with the police and if there are already outside factors this is heavily unlikely. This can be improved by measures such as community policing, which in turn can then create a cycle of improving support options for vulnerable people within their neighbourhood. That being said, police powers can only go so far due to resourcing issues which ultimately act as a barrier to their success.</w:t>
      </w:r>
    </w:p>
    <w:p w14:paraId="5626AC37" w14:textId="74A86A32" w:rsidR="00074772" w:rsidRDefault="00074772" w:rsidP="00074772">
      <w:r>
        <w:t>(1096</w:t>
      </w:r>
      <w:r w:rsidR="00F55FEB">
        <w:t xml:space="preserve"> words</w:t>
      </w:r>
      <w:r w:rsidR="00135B43">
        <w:t>)</w:t>
      </w:r>
    </w:p>
    <w:p w14:paraId="198D05F9" w14:textId="77777777" w:rsidR="00074772" w:rsidRDefault="00074772" w:rsidP="00074772"/>
    <w:p w14:paraId="2DA15A59" w14:textId="2213D62F" w:rsidR="00074772" w:rsidRDefault="00074772" w:rsidP="00074772"/>
    <w:p w14:paraId="64CA10E1" w14:textId="77777777" w:rsidR="00135B43" w:rsidRDefault="00135B43" w:rsidP="00074772"/>
    <w:p w14:paraId="2AAA5BA6" w14:textId="77777777" w:rsidR="00135B43" w:rsidRDefault="00135B43" w:rsidP="00074772"/>
    <w:p w14:paraId="368DB914" w14:textId="77777777" w:rsidR="00135B43" w:rsidRDefault="00135B43" w:rsidP="00074772"/>
    <w:p w14:paraId="30434FB4" w14:textId="368F67D4" w:rsidR="00135B43" w:rsidRPr="00135B43" w:rsidRDefault="00135B43" w:rsidP="00074772">
      <w:pPr>
        <w:rPr>
          <w:u w:val="single"/>
        </w:rPr>
      </w:pPr>
      <w:r w:rsidRPr="00135B43">
        <w:rPr>
          <w:u w:val="single"/>
        </w:rPr>
        <w:t xml:space="preserve">Bibliography </w:t>
      </w:r>
    </w:p>
    <w:p w14:paraId="0A5B018B" w14:textId="4E911E46" w:rsidR="00074772" w:rsidRDefault="00074772" w:rsidP="00074772">
      <w:r>
        <w:t>-</w:t>
      </w:r>
      <w:r w:rsidR="00135B43">
        <w:t xml:space="preserve"> </w:t>
      </w:r>
      <w:r>
        <w:t>Bryant, R. and Bryant, S. (2019). Blackstone’s Handbook for Policing Students 2020. 14th ed. Oxford: Oxford University Press, p.80.</w:t>
      </w:r>
    </w:p>
    <w:p w14:paraId="6056DC6E" w14:textId="768EFA95" w:rsidR="00074772" w:rsidRDefault="00074772" w:rsidP="00074772">
      <w:r>
        <w:t>-</w:t>
      </w:r>
      <w:r w:rsidR="00135B43">
        <w:t xml:space="preserve"> </w:t>
      </w:r>
      <w:r>
        <w:t>College of Policing (2021). Identifying vulnerability – new guidelines to support police. [online] College of Policing. Available at: https://www.college.police.uk/article/identifying-vulnerability-new-guidelines-support-police.</w:t>
      </w:r>
    </w:p>
    <w:p w14:paraId="7F5344DE" w14:textId="663019AB" w:rsidR="00074772" w:rsidRDefault="00074772" w:rsidP="00074772">
      <w:r>
        <w:t>-</w:t>
      </w:r>
      <w:r w:rsidR="00135B43">
        <w:t xml:space="preserve"> </w:t>
      </w:r>
      <w:r>
        <w:t>Home Office (2020). Criminal exploitation of children and vulnerable adults: county lines. [online] GOV.UK. Available at: https://www.gov.uk/government/publications/criminal-exploitation-of-children-and-vulnerable-adults-county-lines/criminal-exploitation-of-children-and-vulnerable-adults-county-lines.</w:t>
      </w:r>
    </w:p>
    <w:p w14:paraId="388601D8" w14:textId="5E55928E" w:rsidR="00074772" w:rsidRDefault="00074772" w:rsidP="00074772">
      <w:r>
        <w:t>-</w:t>
      </w:r>
      <w:r w:rsidR="00135B43">
        <w:t xml:space="preserve"> </w:t>
      </w:r>
      <w:r>
        <w:t>Hurley, M. and Boulton, L.J. (2021). Early identification and intervention with individuals at risk of becoming involved in serious and organised crime (SOC). Safer Communities, 20(2), pp.73–84. doi:10.1108/sc-11-2020-0039.</w:t>
      </w:r>
    </w:p>
    <w:p w14:paraId="0801856D" w14:textId="13E43ED6" w:rsidR="00074772" w:rsidRDefault="00074772" w:rsidP="00074772">
      <w:r>
        <w:t>-</w:t>
      </w:r>
      <w:r w:rsidR="00135B43">
        <w:t xml:space="preserve"> </w:t>
      </w:r>
      <w:r>
        <w:t>O’Reilly, C. (2022). Doing the right thing? value conflicts and community policing. Policing and Society, pp.1–17. doi:10.1080/10439463.2022.2071423.</w:t>
      </w:r>
    </w:p>
    <w:p w14:paraId="3D6864CA" w14:textId="364B44C6" w:rsidR="00074772" w:rsidRDefault="00074772" w:rsidP="00074772">
      <w:r>
        <w:t>-</w:t>
      </w:r>
      <w:r w:rsidR="00135B43">
        <w:t xml:space="preserve"> </w:t>
      </w:r>
      <w:r>
        <w:t>Paterson, C. and Best, D. (2015). Policing Vulnerability through building community connections. Policing, 10(2), pp.150–157. doi:10.1093/police/pav036.</w:t>
      </w:r>
    </w:p>
    <w:p w14:paraId="68EF6A14" w14:textId="009A4024" w:rsidR="00074772" w:rsidRDefault="00074772" w:rsidP="00074772">
      <w:r>
        <w:t>-</w:t>
      </w:r>
      <w:r w:rsidR="00135B43">
        <w:t xml:space="preserve"> </w:t>
      </w:r>
      <w:r>
        <w:t xml:space="preserve">Spicer, J. (2021). OUP accepted manuscript. British Journal </w:t>
      </w:r>
      <w:proofErr w:type="gramStart"/>
      <w:r>
        <w:t>Of</w:t>
      </w:r>
      <w:proofErr w:type="gramEnd"/>
      <w:r>
        <w:t xml:space="preserve"> Criminology. doi:10.1093/</w:t>
      </w:r>
      <w:proofErr w:type="spellStart"/>
      <w:r>
        <w:t>bjc</w:t>
      </w:r>
      <w:proofErr w:type="spellEnd"/>
      <w:r>
        <w:t>/azab027.</w:t>
      </w:r>
    </w:p>
    <w:p w14:paraId="43C57328" w14:textId="48EDE51A" w:rsidR="00074772" w:rsidRDefault="00074772" w:rsidP="00074772">
      <w:r>
        <w:t>-</w:t>
      </w:r>
      <w:r w:rsidR="00135B43">
        <w:t xml:space="preserve"> </w:t>
      </w:r>
      <w:r>
        <w:t>Tackling serious and organised crime a local response Report. (</w:t>
      </w:r>
      <w:r w:rsidR="001546CA">
        <w:t>2015</w:t>
      </w:r>
      <w:r>
        <w:t xml:space="preserve">). [online] Available at: </w:t>
      </w:r>
      <w:hyperlink r:id="rId8" w:history="1">
        <w:r w:rsidR="001546CA" w:rsidRPr="00AD19D6">
          <w:rPr>
            <w:rStyle w:val="Hyperlink"/>
          </w:rPr>
          <w:t>https://www.local.gov.uk/sites/default/files/documents/tackling</w:t>
        </w:r>
        <w:r w:rsidR="001546CA" w:rsidRPr="00AD19D6">
          <w:rPr>
            <w:rStyle w:val="Hyperlink"/>
          </w:rPr>
          <w:t>-serious-and-orga-44a.pdf</w:t>
        </w:r>
      </w:hyperlink>
      <w:r>
        <w:t>.</w:t>
      </w:r>
    </w:p>
    <w:p w14:paraId="6E0C9859" w14:textId="4F921FA7" w:rsidR="00074772" w:rsidRDefault="00074772" w:rsidP="00074772">
      <w:r>
        <w:t>-</w:t>
      </w:r>
      <w:r w:rsidR="00135B43">
        <w:t xml:space="preserve"> </w:t>
      </w:r>
      <w:r>
        <w:t>WIENER, C. (2017). Seeing What is ‘Invisible in Plain Sight’: Policing Coercive Control. The Howard Journal of Crime and Justice, 56(4), pp.500–515. doi:10.1111/hojo.12227.</w:t>
      </w:r>
    </w:p>
    <w:p w14:paraId="33D516EC" w14:textId="10DD30A2" w:rsidR="000E0CE7" w:rsidRDefault="000E0CE7" w:rsidP="00074772"/>
    <w:p w14:paraId="4D15079F" w14:textId="77777777" w:rsidR="000E0CE7" w:rsidRDefault="000E0CE7" w:rsidP="000E0CE7"/>
    <w:p w14:paraId="2EC0D2E2" w14:textId="77777777" w:rsidR="000E0CE7" w:rsidRDefault="000E0CE7" w:rsidP="000E0CE7"/>
    <w:p w14:paraId="292CA770" w14:textId="77777777" w:rsidR="000E0CE7" w:rsidRDefault="000E0CE7" w:rsidP="000E0CE7"/>
    <w:p w14:paraId="3F5F24CF" w14:textId="77777777" w:rsidR="000E0CE7" w:rsidRDefault="000E0CE7" w:rsidP="000E0CE7"/>
    <w:p w14:paraId="59BB68A8" w14:textId="77777777" w:rsidR="000E0CE7" w:rsidRDefault="000E0CE7" w:rsidP="000E0CE7"/>
    <w:p w14:paraId="04C0B356" w14:textId="77777777" w:rsidR="000E0CE7" w:rsidRDefault="000E0CE7" w:rsidP="000E0CE7"/>
    <w:p w14:paraId="4970ECF1" w14:textId="77777777" w:rsidR="000E0CE7" w:rsidRDefault="000E0CE7" w:rsidP="000E0CE7"/>
    <w:p w14:paraId="5CFECECA" w14:textId="77777777" w:rsidR="000E0CE7" w:rsidRDefault="000E0CE7" w:rsidP="000E0CE7"/>
    <w:p w14:paraId="3947E649" w14:textId="77777777" w:rsidR="000E0CE7" w:rsidRDefault="000E0CE7" w:rsidP="000E0CE7"/>
    <w:p w14:paraId="244A0418" w14:textId="77777777" w:rsidR="000E0CE7" w:rsidRDefault="000E0CE7" w:rsidP="000E0CE7"/>
    <w:p w14:paraId="7D612CEA" w14:textId="77777777" w:rsidR="000E0CE7" w:rsidRDefault="000E0CE7" w:rsidP="000E0CE7"/>
    <w:p w14:paraId="424F9ED1" w14:textId="468BD46D" w:rsidR="000E0CE7" w:rsidRDefault="000E0CE7" w:rsidP="000E0CE7">
      <w:r>
        <w:lastRenderedPageBreak/>
        <w:t xml:space="preserve">Essay three: </w:t>
      </w:r>
    </w:p>
    <w:p w14:paraId="038C9178" w14:textId="77777777" w:rsidR="000E0CE7" w:rsidRDefault="000E0CE7" w:rsidP="000E0CE7">
      <w:r>
        <w:t xml:space="preserve">Assess the role of MAPPA in managing </w:t>
      </w:r>
      <w:proofErr w:type="gramStart"/>
      <w:r>
        <w:t>offenders, and</w:t>
      </w:r>
      <w:proofErr w:type="gramEnd"/>
      <w:r>
        <w:t xml:space="preserve"> evaluate the effectiveness of current police practices to investigate public protection incidents involving violent and sexual offences.</w:t>
      </w:r>
    </w:p>
    <w:p w14:paraId="42B55E64" w14:textId="77777777" w:rsidR="000E0CE7" w:rsidRDefault="000E0CE7" w:rsidP="000E0CE7">
      <w:r>
        <w:t>You must use academic research to support your answer.</w:t>
      </w:r>
    </w:p>
    <w:p w14:paraId="42F30C34" w14:textId="77777777" w:rsidR="000E0CE7" w:rsidRDefault="000E0CE7" w:rsidP="000E0CE7">
      <w:r>
        <w:t>Word limit: 1000 words.</w:t>
      </w:r>
    </w:p>
    <w:p w14:paraId="0127F39F" w14:textId="77777777" w:rsidR="000E0CE7" w:rsidRDefault="000E0CE7" w:rsidP="000E0CE7">
      <w:r>
        <w:t>Multi-Agency Public Protection Arrangements (MAPPA) were brought in through the Criminal Justice Act 2003, acting as the framework through which various agencies work together to protect the public by managing the risks posed by violent and sexual offenders living in the community. (Gov.uk, 2014). Through MAPPA, relevant offenders are assessed to establish the level of risk of harm they pose to the public and risk management plans are then designed for each offender. MAPPA allows agencies to assess and manage offenders on a multi-agency basis by working together, sharing information and meeting as necessary to ensure that effective plans are put in place.</w:t>
      </w:r>
    </w:p>
    <w:p w14:paraId="74B9CE3C" w14:textId="77777777" w:rsidR="000E0CE7" w:rsidRDefault="000E0CE7" w:rsidP="000E0CE7">
      <w:r>
        <w:t xml:space="preserve">Through MAPPA, offenders are placed into three categories. Category 1 includes registered sexual offenders who are required to comply with Sexual Offences Act 2003. Category 2 includes violent offenders who have been sentenced to 12 months or more in custody, other sex offenders not required to register and therefore not included in Category 1, and offenders in custody either in hospital or under guardianship orders as a result of the Mental Health Act 1983 or because “they have been found unfit to plead or not guilty by reason of insanity” (Taylor &amp; </w:t>
      </w:r>
      <w:proofErr w:type="spellStart"/>
      <w:r>
        <w:t>Yakeley</w:t>
      </w:r>
      <w:proofErr w:type="spellEnd"/>
      <w:r>
        <w:t xml:space="preserve">, 2019, p160). Lastly, Category 3 includes other offenders not included in categories 1 and 2, but who are seen to pose a serious risk of harm to the public. This category is deliberately broad, including offenders who committed violent or sexual crimes prior to the introduction of MAPPA. Offenders falling into these categories can require different levels of management: ordinary risk management where risk can be managed by a lead agency such as the police; active multi-agency management where the risk posed requires the involvement of multiple agencies; and most seriously active enhanced multi-agency management, where management of risk requires senior representation from the different agencies working together such as for high-profile cases involving media scrutiny. The police assess risk by monitoring a number of contributing factors, both positively and negatively. Examples of risk factors include alcohol and drug use, access to potential victims, taking a sexual interest in children, employment status, the strength of their support network, and compliance with any treatment programmes or other requirements set by the agencies supporting them. The MAPPA system cannot guarantee the protection of the public but aims to manage the risk as effectively as possible through the powers of each agency. This encourages that all steps that can be legitimately taken by the agencies are made possible. </w:t>
      </w:r>
    </w:p>
    <w:p w14:paraId="1729CBD6" w14:textId="77777777" w:rsidR="000E0CE7" w:rsidRDefault="000E0CE7" w:rsidP="000E0CE7">
      <w:r>
        <w:t xml:space="preserve">A unique benefit of MAPPA is it gives each offender a personalised management plan in order to mitigate the chances of reoffending and reduces the risk of harm to the public. The unique needs of each offender can then be met using a multi-agency approach. </w:t>
      </w:r>
      <w:proofErr w:type="spellStart"/>
      <w:r>
        <w:t>Yakeley</w:t>
      </w:r>
      <w:proofErr w:type="spellEnd"/>
      <w:r>
        <w:t xml:space="preserve">, Taylor and Cameron (2012. p204) explain that risk has dynamic variables which can be influenced by a variety of factors and circumstances necessitating regular monitoring, and that risk identification and management is a complex and challenging task. Offenders often require multiple angles of support (McSweeney and Hough, 2006) which must consider a wide range of variables and circumstances. As a result, organizations, like probation, rely on outside agencies to assist with these requirements. </w:t>
      </w:r>
      <w:proofErr w:type="spellStart"/>
      <w:r>
        <w:t>Kemshall</w:t>
      </w:r>
      <w:proofErr w:type="spellEnd"/>
      <w:r>
        <w:t xml:space="preserve"> (2003) argues that the most effective method to manage offenders is where all relevant agencies work together towards a common goal.  MAPPA provides the framework which multiple agencies </w:t>
      </w:r>
      <w:r>
        <w:lastRenderedPageBreak/>
        <w:t xml:space="preserve">can collaborate to identify and manage the risks posed by relevant offenders, and then provide the offender the necessary supervision to prevent recidivism. </w:t>
      </w:r>
    </w:p>
    <w:p w14:paraId="397D8F4F" w14:textId="77777777" w:rsidR="000E0CE7" w:rsidRDefault="000E0CE7" w:rsidP="000E0CE7">
      <w:r>
        <w:t>However, there are issues regarding how MAPPA works in practicality. Youth referrals going through MAPPA can be viewed as time consuming and resource intensive for the benefits provided, given that support was already being given through multiple agencies with routine access to the police, health and social services prior to MAPPA. As such, the benefits of information exchange and additional resources for risk management are seen as limited (</w:t>
      </w:r>
      <w:proofErr w:type="spellStart"/>
      <w:r>
        <w:t>Kemshall</w:t>
      </w:r>
      <w:proofErr w:type="spellEnd"/>
      <w:r>
        <w:t xml:space="preserve"> and Wilkinson, 2011). Previous research by </w:t>
      </w:r>
      <w:proofErr w:type="spellStart"/>
      <w:r>
        <w:t>Kemshall</w:t>
      </w:r>
      <w:proofErr w:type="spellEnd"/>
      <w:r>
        <w:t xml:space="preserve"> (2003), also shows that there is confusion amongst workers within the MAPPA framework regarding the section on serious harm, with “many staff seeing it as a method indicating a young person’s vulnerability rather than the risk posed by the young person to others” (p.204) MAPPA decision making is also frequently fraught with dilemmas. For example, a MAPPA panel may decide to disclose information to the public about an offender’s risk to protect the public, however when such a disclosure is made the Panel then loses control of the way that information is used. </w:t>
      </w:r>
    </w:p>
    <w:p w14:paraId="20EF96E1" w14:textId="77777777" w:rsidR="000E0CE7" w:rsidRDefault="000E0CE7" w:rsidP="000E0CE7">
      <w:r>
        <w:t>The success of MAPPA is also based on the assumption that the offender would reoffend (Nash and Walker, 2009), whereas current research into the effectiveness of MAPPA found this assumption to be underdeveloped, although this is unclear due to the fact it is difficult to clarify and measure. MAPPA is also hindered by the fact that it is not an organisation in its own right. This causes problems for individuals under MAPPA, as it’s difficult to find out who is in charge of their management plan and who is responsible for answering questions. It can also cause frustration as decisions about their life are made without them. Alongside this, MAPPA’s status can also cause problems for the organisations carrying out the management plan, as the fact that it is not an organisation in its own right can inhibit the delivery of the plan, particularly as data protection laws make it difficult to freely share personal information. (Understanding the law and what it means for you, n.d.)</w:t>
      </w:r>
    </w:p>
    <w:p w14:paraId="227BECAA" w14:textId="77777777" w:rsidR="000E0CE7" w:rsidRDefault="000E0CE7" w:rsidP="000E0CE7">
      <w:r>
        <w:t xml:space="preserve">MAPPA has been a major development in working towards the competent management of violent and sexual offenders and protecting the public. It provides a framework within which many different agencies can come together, share information and intelligence, and put effective interventions in place that meet the offenders needs as well as the need to protect the public. However, difficulties remain, particularly with regard to the high level of resources needed to access the offender and carry out the management plan. This alongside the fact that the risk assessment is based on fluid factors can mean the management plan can quickly become ineffective due to changes in circumstances without a large number of resources being dedicated to the individual.  All criminal justice agencies have their strengths and weaknesses, and the integration of them all into MAPPA was aimed to create a solution to the weaknesses of each agency and to develop greater strengths (Kieran </w:t>
      </w:r>
      <w:proofErr w:type="spellStart"/>
      <w:r>
        <w:t>Mccartan</w:t>
      </w:r>
      <w:proofErr w:type="spellEnd"/>
      <w:r>
        <w:t xml:space="preserve"> and </w:t>
      </w:r>
      <w:proofErr w:type="spellStart"/>
      <w:r>
        <w:t>Kemshall</w:t>
      </w:r>
      <w:proofErr w:type="spellEnd"/>
      <w:r>
        <w:t xml:space="preserve">, 2017), however it is clear that although some problems can be overcome with enhanced training and clearer boundaries, others require increased resources to meet increasing demands. </w:t>
      </w:r>
    </w:p>
    <w:p w14:paraId="47FC4B07" w14:textId="00CE346D" w:rsidR="000E0CE7" w:rsidRDefault="00DB7104" w:rsidP="000E0CE7">
      <w:r>
        <w:t>(1099 words)</w:t>
      </w:r>
    </w:p>
    <w:p w14:paraId="3A90FC7D" w14:textId="2C76099E" w:rsidR="00DB7104" w:rsidRDefault="00DB7104" w:rsidP="000E0CE7"/>
    <w:p w14:paraId="34D72B01" w14:textId="77777777" w:rsidR="000E0CE7" w:rsidRDefault="000E0CE7" w:rsidP="000E0CE7"/>
    <w:p w14:paraId="3D998893" w14:textId="77777777" w:rsidR="000E0CE7" w:rsidRDefault="000E0CE7" w:rsidP="000E0CE7"/>
    <w:p w14:paraId="4619469E" w14:textId="77777777" w:rsidR="000E0CE7" w:rsidRDefault="000E0CE7" w:rsidP="000E0CE7"/>
    <w:p w14:paraId="52B705B9" w14:textId="77777777" w:rsidR="000E0CE7" w:rsidRPr="00DB7104" w:rsidRDefault="000E0CE7" w:rsidP="000E0CE7">
      <w:pPr>
        <w:rPr>
          <w:u w:val="single"/>
        </w:rPr>
      </w:pPr>
      <w:r w:rsidRPr="00DB7104">
        <w:rPr>
          <w:u w:val="single"/>
        </w:rPr>
        <w:lastRenderedPageBreak/>
        <w:t>Bibliography</w:t>
      </w:r>
    </w:p>
    <w:p w14:paraId="52635A61" w14:textId="68BAB27F" w:rsidR="000E0CE7" w:rsidRDefault="000E0CE7" w:rsidP="000E0CE7">
      <w:r>
        <w:t>-College of Policing. (</w:t>
      </w:r>
      <w:r w:rsidR="00CF365D">
        <w:t>2021</w:t>
      </w:r>
      <w:r>
        <w:t xml:space="preserve">). Multi-agency public protection arrangements (MAPPA). [online] Available at: </w:t>
      </w:r>
      <w:hyperlink r:id="rId9" w:history="1">
        <w:r w:rsidR="00CF365D" w:rsidRPr="00AD19D6">
          <w:rPr>
            <w:rStyle w:val="Hyperlink"/>
          </w:rPr>
          <w:t>https://www.college.police.uk/app/major-investigation-and-public-protection/managing-sexual-offenders-and-violent-offenders/multi-agency-public-protection-arrangements-mappa?highlight=bronze%2</w:t>
        </w:r>
        <w:r w:rsidR="00CF365D" w:rsidRPr="00AD19D6">
          <w:rPr>
            <w:rStyle w:val="Hyperlink"/>
          </w:rPr>
          <w:t>0log</w:t>
        </w:r>
      </w:hyperlink>
      <w:r>
        <w:t>.</w:t>
      </w:r>
    </w:p>
    <w:p w14:paraId="488F22B7" w14:textId="77777777" w:rsidR="000E0CE7" w:rsidRDefault="000E0CE7" w:rsidP="000E0CE7">
      <w:r>
        <w:t>-Gov.uk (2014). Multi-agency public protection arrangements (MAPPA): Guidance. [online] GOV.UK. Available at: https://www.gov.uk/government/publications/multi-agency-public-protection-arrangements-mappa-guidance.</w:t>
      </w:r>
    </w:p>
    <w:p w14:paraId="36339A67" w14:textId="740E0AF0" w:rsidR="000E0CE7" w:rsidRDefault="000E0CE7" w:rsidP="000E0CE7">
      <w:r>
        <w:t>-Gwent Safeguarding. (n.d.). MAPPA. [online] Available at: https://www.gwentsafeguarding.org.uk/en/safeguarding-adults/mappa [Accessed 24 Oct. 2022].</w:t>
      </w:r>
    </w:p>
    <w:p w14:paraId="74B725AD" w14:textId="77777777" w:rsidR="000E0CE7" w:rsidRDefault="000E0CE7" w:rsidP="000E0CE7">
      <w:r>
        <w:t>-</w:t>
      </w:r>
      <w:proofErr w:type="spellStart"/>
      <w:r>
        <w:t>Kemshall</w:t>
      </w:r>
      <w:proofErr w:type="spellEnd"/>
      <w:r>
        <w:t>, H. (2003). Understanding risk in criminal justice. Maidenhead, England: Open University Press</w:t>
      </w:r>
    </w:p>
    <w:p w14:paraId="312D49E5" w14:textId="77777777" w:rsidR="000E0CE7" w:rsidRDefault="000E0CE7" w:rsidP="000E0CE7">
      <w:r>
        <w:t>-</w:t>
      </w:r>
      <w:proofErr w:type="spellStart"/>
      <w:r>
        <w:t>Kemshall</w:t>
      </w:r>
      <w:proofErr w:type="spellEnd"/>
      <w:r>
        <w:t xml:space="preserve">, H. and Wilkinson, B. (2011). Good practice in assessing </w:t>
      </w:r>
      <w:proofErr w:type="gramStart"/>
      <w:r>
        <w:t>risk :</w:t>
      </w:r>
      <w:proofErr w:type="gramEnd"/>
      <w:r>
        <w:t xml:space="preserve"> current knowledge, issues and approaches. London, </w:t>
      </w:r>
      <w:proofErr w:type="spellStart"/>
      <w:proofErr w:type="gramStart"/>
      <w:r>
        <w:t>Uk</w:t>
      </w:r>
      <w:proofErr w:type="spellEnd"/>
      <w:r>
        <w:t xml:space="preserve"> ;</w:t>
      </w:r>
      <w:proofErr w:type="gramEnd"/>
      <w:r>
        <w:t xml:space="preserve"> Philadelphia, Pa: Jessica Kingsley Publishers</w:t>
      </w:r>
    </w:p>
    <w:p w14:paraId="3178AD56" w14:textId="77777777" w:rsidR="000E0CE7" w:rsidRDefault="000E0CE7" w:rsidP="000E0CE7">
      <w:r>
        <w:t xml:space="preserve">-Kieran </w:t>
      </w:r>
      <w:proofErr w:type="spellStart"/>
      <w:r>
        <w:t>Mccartan</w:t>
      </w:r>
      <w:proofErr w:type="spellEnd"/>
      <w:r>
        <w:t xml:space="preserve"> and </w:t>
      </w:r>
      <w:proofErr w:type="spellStart"/>
      <w:r>
        <w:t>Kemshall</w:t>
      </w:r>
      <w:proofErr w:type="spellEnd"/>
      <w:r>
        <w:t>, H. (2017). Contemporary sex offender risk management. Volume 1. Basingstoke, Hampshire: Palgrave Macmillan.</w:t>
      </w:r>
    </w:p>
    <w:p w14:paraId="7D9E793B" w14:textId="77777777" w:rsidR="000E0CE7" w:rsidRDefault="000E0CE7" w:rsidP="000E0CE7">
      <w:r>
        <w:t xml:space="preserve">-McSweeney, T. and Hough, M. (2006). Supporting offenders with multiple needs. Criminology &amp; Criminal Justice, 6(1), pp.107–125. doi:10.1177/1748895806060669.  </w:t>
      </w:r>
    </w:p>
    <w:p w14:paraId="439DC717" w14:textId="4052FB59" w:rsidR="000E0CE7" w:rsidRDefault="000E0CE7" w:rsidP="000E0CE7">
      <w:r>
        <w:t>-</w:t>
      </w:r>
      <w:proofErr w:type="spellStart"/>
      <w:r>
        <w:t>Nacro</w:t>
      </w:r>
      <w:proofErr w:type="spellEnd"/>
      <w:r>
        <w:t xml:space="preserve">. (n.d.). Advice for people under MAPPA. [online] Available at: </w:t>
      </w:r>
      <w:hyperlink r:id="rId10" w:history="1">
        <w:r w:rsidR="00CF365D" w:rsidRPr="00AD19D6">
          <w:rPr>
            <w:rStyle w:val="Hyperlink"/>
          </w:rPr>
          <w:t>https://www.nacro.org.uk/criminal-record-support-service/support-for-individuals/advice-prisoners-people-licence-sex-offenders-mappa/advice</w:t>
        </w:r>
        <w:r w:rsidR="00CF365D" w:rsidRPr="00AD19D6">
          <w:rPr>
            <w:rStyle w:val="Hyperlink"/>
          </w:rPr>
          <w:t>-people-mappa/</w:t>
        </w:r>
      </w:hyperlink>
      <w:r>
        <w:t>.</w:t>
      </w:r>
    </w:p>
    <w:p w14:paraId="16EBA489" w14:textId="77777777" w:rsidR="000E0CE7" w:rsidRDefault="000E0CE7" w:rsidP="000E0CE7">
      <w:r>
        <w:t xml:space="preserve">-Nash, M. and Walker, L. (2009). </w:t>
      </w:r>
      <w:proofErr w:type="spellStart"/>
      <w:r>
        <w:t>Mappa</w:t>
      </w:r>
      <w:proofErr w:type="spellEnd"/>
      <w:r>
        <w:t>--Is Closer Collaboration Really the Key to Effectiveness? Policing, [online] 3(2), pp.172–180. doi:10.1093/police/pap007.</w:t>
      </w:r>
    </w:p>
    <w:p w14:paraId="6913D3D0" w14:textId="77777777" w:rsidR="000E0CE7" w:rsidRDefault="000E0CE7" w:rsidP="000E0CE7">
      <w:r>
        <w:t xml:space="preserve">- Taylor, R. and </w:t>
      </w:r>
      <w:proofErr w:type="spellStart"/>
      <w:r>
        <w:t>Yakeley</w:t>
      </w:r>
      <w:proofErr w:type="spellEnd"/>
      <w:r>
        <w:t xml:space="preserve">, J. (2019). Working with MAPPA: ethics and pragmatics. </w:t>
      </w:r>
      <w:proofErr w:type="spellStart"/>
      <w:r>
        <w:t>BJPsych</w:t>
      </w:r>
      <w:proofErr w:type="spellEnd"/>
      <w:r>
        <w:t xml:space="preserve"> Advances, 25(3), pp.157–165. doi:10.1192/bja.2018.5.</w:t>
      </w:r>
    </w:p>
    <w:p w14:paraId="6018CD8F" w14:textId="3292DD30" w:rsidR="00CF365D" w:rsidRDefault="000E0CE7" w:rsidP="000E0CE7">
      <w:r>
        <w:t>-Understanding the law and what it means for you …. (n.d.). [online] Available at: https://howardleague.org/wp-content/uploads/2016/05/U-R-Boss-MAPPA-Leaflet.pdf#:~:text=One%20of%20the%20problems%20with%20MAPPA%20is%20that [Accessed 4 Nov. 2022].</w:t>
      </w:r>
    </w:p>
    <w:p w14:paraId="109F629D" w14:textId="134B458A" w:rsidR="000E0CE7" w:rsidRDefault="000E0CE7" w:rsidP="000E0CE7">
      <w:r>
        <w:t>-</w:t>
      </w:r>
      <w:proofErr w:type="spellStart"/>
      <w:r>
        <w:t>Yakeley</w:t>
      </w:r>
      <w:proofErr w:type="spellEnd"/>
      <w:r>
        <w:t>, J., Taylor, R. and Cameron, A. (2012). MAPPA and mental health — 10 years of controversy. The Psychiatrist, 36(6), pp.201–204. doi:10.1192/pb.bp.111.03796</w:t>
      </w:r>
    </w:p>
    <w:p w14:paraId="49B76964" w14:textId="1C530C41" w:rsidR="00D27C25" w:rsidRDefault="00D27C25" w:rsidP="000E0CE7"/>
    <w:p w14:paraId="2C670802" w14:textId="77777777" w:rsidR="00D27C25" w:rsidRDefault="00D27C25" w:rsidP="00D27C25"/>
    <w:p w14:paraId="48A83EDB" w14:textId="77777777" w:rsidR="00D27C25" w:rsidRDefault="00D27C25" w:rsidP="00D27C25"/>
    <w:p w14:paraId="467541E8" w14:textId="77777777" w:rsidR="00D27C25" w:rsidRDefault="00D27C25" w:rsidP="00D27C25"/>
    <w:p w14:paraId="6FC4DB96" w14:textId="77777777" w:rsidR="00D27C25" w:rsidRDefault="00D27C25" w:rsidP="00D27C25"/>
    <w:p w14:paraId="33EAAB81" w14:textId="77777777" w:rsidR="00D27C25" w:rsidRDefault="00D27C25" w:rsidP="00D27C25"/>
    <w:p w14:paraId="6826142A" w14:textId="4CC23979" w:rsidR="00D27C25" w:rsidRDefault="00D27C25" w:rsidP="00D27C25">
      <w:r>
        <w:lastRenderedPageBreak/>
        <w:t xml:space="preserve">Essay four: </w:t>
      </w:r>
    </w:p>
    <w:p w14:paraId="17E08041" w14:textId="77777777" w:rsidR="00D27C25" w:rsidRDefault="00D27C25" w:rsidP="00D27C25">
      <w:r>
        <w:t>Critically evaluate the impact of early intervention on young offenders, and young people at risk of becoming involved in gangs. Assess the effectiveness of partnership approaches to prevent or deter involvement in gang-related activity.</w:t>
      </w:r>
    </w:p>
    <w:p w14:paraId="1AA4EDCB" w14:textId="77777777" w:rsidR="00D27C25" w:rsidRDefault="00D27C25" w:rsidP="00D27C25">
      <w:r>
        <w:t>Rather than relying on personal experience, support your answer with relevant evidence drawn from academic sources.</w:t>
      </w:r>
    </w:p>
    <w:p w14:paraId="444356B8" w14:textId="77777777" w:rsidR="00D27C25" w:rsidRDefault="00D27C25" w:rsidP="00D27C25">
      <w:r>
        <w:t>Word limit: 1000 words.</w:t>
      </w:r>
    </w:p>
    <w:p w14:paraId="66629FBE" w14:textId="77777777" w:rsidR="00D27C25" w:rsidRDefault="00D27C25" w:rsidP="00D27C25">
      <w:r>
        <w:t>Early intervention is the procedure of supplying aid to young people and adolescents who are at risk of poor outcomes and tackling their troubles before they worsen. In the modern world of policing and social care it is well established that aspects of a child’s life such as “poor parental supervision, harsh, neglectful, or erratic discipline and social disadvantage significantly increase the risks of involvement in crime and anti-social behaviour.  Children who experience these factors in combination, or at their most extreme are at greatest risk of becoming persistent offenders later in life.” (Anon, 2016). Research in the US shows there are two types of young offenders, those whose antisocial behaviour begins in early childhood, and those whose antisocial behaviour coincides with entry into adolescence. Individuals whose antisocial behaviour begins in childhood are two to three times more likely to perpetrate severe and violent repeat offences than youth whose delinquent behaviours begins in adolescence (Youth.gov, 2000). Crispin Blunt, the former Under-Secretary of State for Prisons and Youth Justice said, “spotting and acting on signs of criminality in a child's early years is crucial to bringing down youth offending in adolescence.” (Ministry of Justice, 2011)</w:t>
      </w:r>
    </w:p>
    <w:p w14:paraId="70972020" w14:textId="77777777" w:rsidR="00D27C25" w:rsidRDefault="00D27C25" w:rsidP="00D27C25">
      <w:r>
        <w:t>There are three main types of early intervention: home visiting programmes; school-based programmes; and mentoring schemes. Home visiting programmes are mainly carried out by social services and are often referred to as ‘early help’. Through these, support is given to families when a problem first emerges. It can be provided at any stage in a child or adolescent’s life. Early help services can be delivered to parents, children or whole families, with the ultimate aim of improving outcomes for children. For example, services may help parents who are living in challenging circumstances provide a safe and loving environment for their child. Or, if a child is displaying risk-taking behaviour, early help practitioners might work with the child and their parents to find cause for the child's behaviour and put strategies in place to help keep them safe. (NSPCC, 2019)</w:t>
      </w:r>
    </w:p>
    <w:p w14:paraId="70B85F3D" w14:textId="77777777" w:rsidR="00D27C25" w:rsidRDefault="00D27C25" w:rsidP="00D27C25">
      <w:r>
        <w:t xml:space="preserve">School-based programmes are designed to improve children’s social and emotional skills. Successful examples of these programmes are age-specific, targeting pre-school children. Programmes for school-aged children still are impactful, but it is less effective. Programmes are most </w:t>
      </w:r>
      <w:proofErr w:type="spellStart"/>
      <w:r>
        <w:t>successul</w:t>
      </w:r>
      <w:proofErr w:type="spellEnd"/>
      <w:r>
        <w:t xml:space="preserve"> when using cognitive and social learning approaches, and the “whole school” approach produces significant evidence of improved general behaviour at all levels of the school community, (Anon, 2016).</w:t>
      </w:r>
    </w:p>
    <w:p w14:paraId="6C2A8B7D" w14:textId="77777777" w:rsidR="00D27C25" w:rsidRDefault="00D27C25" w:rsidP="00D27C25">
      <w:r>
        <w:t>Mentoring schemes such as The Serious Organised Crime Intervention Service (SOCIS) uses peer mentors to help young people who are in danger of falling into organised crime. Many of these mentors are past offenders and are accessible role models for teenagers who have previously resisted other types of mainstream support. SOICS aims at helping "high risk" 11- to 18-years-olds who are at risk of falling into a life of crime, due to the pressures of their personal environment” (Action for Children, 2019).</w:t>
      </w:r>
    </w:p>
    <w:p w14:paraId="37361CA4" w14:textId="77777777" w:rsidR="00D27C25" w:rsidRDefault="00D27C25" w:rsidP="00D27C25">
      <w:r>
        <w:t xml:space="preserve">The importance of early intervention policies cannot be understated. Organised crime is now considered to be a bigger threat to the UK than terrorism, and early intervention policies therefore </w:t>
      </w:r>
      <w:r>
        <w:lastRenderedPageBreak/>
        <w:t xml:space="preserve">not only help the individual child but indirectly support the wider community (Smith, 2013).  With the theory that prevention is better than cure. The aim is to provide early help when problems first arise than to intervene later (Smith 2013) Smith, R. (2013). Straw and Michael (1996), two of the principal architects of youth justice reform, argue that “insufficient attention is given to changing behaviour, to teaching the difference between right and wrong and that too little is done to change youngsters’ behaviour early in their offending career”. Early intervention is crucial in preventing further problems, for example, when included as part of a wider support plan for a child and their family when a child returns home from care. (Action for Children, 2019) Early intervention changes the behaviour at the source so instead of a punitive focus on reoffenders there is more focus placed on rehabilitation. (ibid) discuss for example a project in Glasgow, which showed that “out of 49 young people, only four continued to offend after receiving support. It also </w:t>
      </w:r>
      <w:proofErr w:type="gramStart"/>
      <w:r>
        <w:t>show</w:t>
      </w:r>
      <w:proofErr w:type="gramEnd"/>
      <w:r>
        <w:t xml:space="preserve">[ed] that a teenager who had committed almost 600 offences has not reoffended since being supported by scheme.” </w:t>
      </w:r>
    </w:p>
    <w:p w14:paraId="31F59E83" w14:textId="77777777" w:rsidR="00D27C25" w:rsidRDefault="00D27C25" w:rsidP="00D27C25">
      <w:r>
        <w:t>The ‘risk-based pre-emptive intervention’ however is a problematic feature of early intervention. A broad range of early intervention tools have been introduced focused children and young people who are perceived to be at risk of engaging in anti-social behaviour, disorder and/or offending behaviour.  Early identification of those at risk is said to allow preventative intervention to divert vulnerable children from problematic behaviours. Through actuarial methods of social control, intervention is the instrument by which the future is governed. These methods of social control undermine justice and expose children and adolescents to increasing levels of criminalization, surveillance, and regulation (Goldson, 2019). With guilt no longer the founding principle of criminalisation; intervention can be triggered without an offence, meaning individuals are judged on the condition, character or way of life they are brought up with and if it is judged to be failing or posing 'risk” placed under early intervention. Even without the ethical dilemmas from labelling children and adolescents as ‘potentially delinquent’, there are statistical barriers here. Previous research on the positive correlation between anti-social behaviour and subsequent criminality is currently being reassessed, as substantial numbers of individuals are moving away from criminal behaviour with age. Synonymously, those who are moving towards criminality have more recently not shown any signs of it in their youth. Demonstrating the dangers of assuming that anti-social five-year-olds are the criminals of tomorrow. It can also be heavily argued that early intervention negates the lessons that youth justice research and practice have taught.  (Goldson, 2019)</w:t>
      </w:r>
    </w:p>
    <w:p w14:paraId="36CEE6C0" w14:textId="77777777" w:rsidR="00D27C25" w:rsidRDefault="00D27C25" w:rsidP="00D27C25">
      <w:r>
        <w:t xml:space="preserve"> In summary, early intervention distinguishes child criminalisation as distinct from crime prevention. The national and international evidence illustrates a pressing need to rethink youth justice policy and to re-establish diversion without delay  (Goldson, 2006) While the role of risk in criminology, crime prevention, and penal policy is still up for debate (</w:t>
      </w:r>
      <w:proofErr w:type="spellStart"/>
      <w:r>
        <w:t>Kemshall</w:t>
      </w:r>
      <w:proofErr w:type="spellEnd"/>
      <w:r>
        <w:t>, 2003), there’s little doubt that early identification of risk has become a significant factor in responses to crime, including youth crime (Goldson, 2000) While early intervention has been shown to work with certain individuals already committing high levels of crime to prevent them continuing and joining serious organised crime groups, most effectively from mentoring schemes, currently it lacks the effectiveness to tackle youth crime as a whole and there is little supporting evidence that it prevents criminal activity committed by adults with a vast number of adults who turn to criminality showing no signs of this in their youth.</w:t>
      </w:r>
    </w:p>
    <w:p w14:paraId="3A772174" w14:textId="77777777" w:rsidR="00D27C25" w:rsidRDefault="00D27C25" w:rsidP="00D27C25">
      <w:r>
        <w:t>(1100 words)</w:t>
      </w:r>
    </w:p>
    <w:p w14:paraId="074B207B" w14:textId="77777777" w:rsidR="00D27C25" w:rsidRDefault="00D27C25" w:rsidP="00D27C25"/>
    <w:p w14:paraId="6829D125" w14:textId="77777777" w:rsidR="00D27C25" w:rsidRDefault="00D27C25" w:rsidP="00D27C25"/>
    <w:p w14:paraId="274956B4" w14:textId="77777777" w:rsidR="00D27C25" w:rsidRDefault="00D27C25" w:rsidP="00D27C25">
      <w:r>
        <w:lastRenderedPageBreak/>
        <w:t xml:space="preserve">Bibliography </w:t>
      </w:r>
    </w:p>
    <w:p w14:paraId="438FFE33" w14:textId="77777777" w:rsidR="00D27C25" w:rsidRDefault="00D27C25" w:rsidP="00D27C25">
      <w:r>
        <w:t>-</w:t>
      </w:r>
      <w:r>
        <w:tab/>
        <w:t>Action for Children. (2019). Young people and serious organised crime - how early intervention can help. [online] Available at: https://www.actionforchildren.org.uk/blog/young-people-and-serious-organised-crime-how-early-intervention-can-help/.</w:t>
      </w:r>
    </w:p>
    <w:p w14:paraId="0617B6F5" w14:textId="77777777" w:rsidR="00D27C25" w:rsidRDefault="00D27C25" w:rsidP="00D27C25">
      <w:r>
        <w:t>-</w:t>
      </w:r>
      <w:r>
        <w:tab/>
        <w:t>Anon, (2016). Early Intervention. [online] Available at: https://www.youthcrimecommission.org.uk/early-intervention/ [Accessed 24 Oct. 2022].</w:t>
      </w:r>
    </w:p>
    <w:p w14:paraId="56D292F8" w14:textId="77777777" w:rsidR="00D27C25" w:rsidRDefault="00D27C25" w:rsidP="00D27C25">
      <w:r>
        <w:t>-</w:t>
      </w:r>
      <w:r>
        <w:tab/>
        <w:t xml:space="preserve">Goldson (2000). ‘Children in need’ or ‘young </w:t>
      </w:r>
      <w:proofErr w:type="gramStart"/>
      <w:r>
        <w:t>offenders’</w:t>
      </w:r>
      <w:proofErr w:type="gramEnd"/>
      <w:r>
        <w:t>? Hardening ideology, organizational change and new challenges for social work with children in trouble. Child &amp; Family Social Work, 5(3), pp.255–265. doi:10.1046/j.1365-2206.2000.</w:t>
      </w:r>
      <w:proofErr w:type="gramStart"/>
      <w:r>
        <w:t>00161.x.</w:t>
      </w:r>
      <w:proofErr w:type="gramEnd"/>
    </w:p>
    <w:p w14:paraId="675D163F" w14:textId="77777777" w:rsidR="00D27C25" w:rsidRDefault="00D27C25" w:rsidP="00D27C25">
      <w:r>
        <w:t>-</w:t>
      </w:r>
      <w:r>
        <w:tab/>
        <w:t>Goldson, B. (2006). Editorial. Youth Justice, 6(1), pp.5–6. doi:10.1177/1473225406063448.</w:t>
      </w:r>
    </w:p>
    <w:p w14:paraId="792B6D23" w14:textId="77777777" w:rsidR="00D27C25" w:rsidRDefault="00D27C25" w:rsidP="00D27C25">
      <w:r>
        <w:t>-</w:t>
      </w:r>
      <w:r>
        <w:tab/>
        <w:t>Goldson, B. (2019). Child Criminalisation and the Mistake of Early Intervention | Centre for Crime and Justice Studies. [online] Crimeandjustice.org.uk. Available at: https://www.crimeandjustice.org.uk/publications/cjm/article/child-criminalisation-and-mistake-early-intervention.</w:t>
      </w:r>
    </w:p>
    <w:p w14:paraId="1206DA65" w14:textId="77777777" w:rsidR="00D27C25" w:rsidRDefault="00D27C25" w:rsidP="00D27C25">
      <w:r>
        <w:t>-</w:t>
      </w:r>
      <w:r>
        <w:tab/>
      </w:r>
      <w:proofErr w:type="spellStart"/>
      <w:r>
        <w:t>Kemshall</w:t>
      </w:r>
      <w:proofErr w:type="spellEnd"/>
      <w:r>
        <w:t>, H. (2003). Understanding risk in criminal justice. Maidenhead, England: Open University Press</w:t>
      </w:r>
    </w:p>
    <w:p w14:paraId="2BF4FFC7" w14:textId="77777777" w:rsidR="00D27C25" w:rsidRDefault="00D27C25" w:rsidP="00D27C25">
      <w:r>
        <w:t>-</w:t>
      </w:r>
      <w:r>
        <w:tab/>
        <w:t>Ministry of Justice (2011). Reduce youth crime through early intervention. [online] GOV.UK. Available at: https://www.gov.uk/government/news/reduce-youth-crime-through-early-intervention [Accessed 16 Mar. 2019].</w:t>
      </w:r>
    </w:p>
    <w:p w14:paraId="710539C6" w14:textId="77777777" w:rsidR="00D27C25" w:rsidRDefault="00D27C25" w:rsidP="00D27C25">
      <w:r>
        <w:t>-</w:t>
      </w:r>
      <w:r>
        <w:tab/>
        <w:t>NSPCC (2019). Early Help (or Early intervention). [online] NSPCC Learning. Available at: https://learning.nspcc.org.uk/safeguarding-child-protection/early-help-early-intervention.</w:t>
      </w:r>
    </w:p>
    <w:p w14:paraId="708661E1" w14:textId="77777777" w:rsidR="00D27C25" w:rsidRDefault="00D27C25" w:rsidP="00D27C25">
      <w:r>
        <w:t>-</w:t>
      </w:r>
      <w:r>
        <w:tab/>
        <w:t xml:space="preserve">Smith, K. (2013). Beyond Evidence Based Policy in Public </w:t>
      </w:r>
      <w:proofErr w:type="gramStart"/>
      <w:r>
        <w:t>Health :</w:t>
      </w:r>
      <w:proofErr w:type="gramEnd"/>
      <w:r>
        <w:t xml:space="preserve"> the Interplay of Ideas. London: Palgrave Macmillan </w:t>
      </w:r>
      <w:proofErr w:type="spellStart"/>
      <w:r>
        <w:t>Uk</w:t>
      </w:r>
      <w:proofErr w:type="spellEnd"/>
      <w:r>
        <w:t>.</w:t>
      </w:r>
    </w:p>
    <w:p w14:paraId="6E65E5CD" w14:textId="77777777" w:rsidR="00D27C25" w:rsidRDefault="00D27C25" w:rsidP="00D27C25">
      <w:r>
        <w:t>-</w:t>
      </w:r>
      <w:r>
        <w:tab/>
        <w:t xml:space="preserve">Smith, R. (2013). Youth Justice. Routledge. And “Early intervention can also prevent further problems from developing </w:t>
      </w:r>
    </w:p>
    <w:p w14:paraId="562DED6C" w14:textId="77777777" w:rsidR="00D27C25" w:rsidRDefault="00D27C25" w:rsidP="00D27C25">
      <w:r>
        <w:t>-</w:t>
      </w:r>
      <w:r>
        <w:tab/>
        <w:t>STRAW, J., &amp; MICHAEL, A. (1996). Tackling youth crime: reforming youth justice. Labour Party.</w:t>
      </w:r>
    </w:p>
    <w:p w14:paraId="3909D4CF" w14:textId="3AFA1D21" w:rsidR="00D27C25" w:rsidRDefault="00D27C25" w:rsidP="00D27C25">
      <w:r>
        <w:t>-</w:t>
      </w:r>
      <w:r>
        <w:tab/>
        <w:t>Youth.gov (2000). Prevention &amp; Early Intervention | Youth.gov. [online] Youth.gov. Available at: https://youth.gov/youth-topics/juvenile-justice/prevention-and-early-intervention.</w:t>
      </w:r>
    </w:p>
    <w:sectPr w:rsidR="00D27C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C4363" w14:textId="77777777" w:rsidR="00CE4DF5" w:rsidRDefault="00CE4DF5" w:rsidP="00CE4DF5">
      <w:pPr>
        <w:spacing w:after="0" w:line="240" w:lineRule="auto"/>
      </w:pPr>
      <w:r>
        <w:separator/>
      </w:r>
    </w:p>
  </w:endnote>
  <w:endnote w:type="continuationSeparator" w:id="0">
    <w:p w14:paraId="3CE101F1" w14:textId="77777777" w:rsidR="00CE4DF5" w:rsidRDefault="00CE4DF5" w:rsidP="00CE4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674B2" w14:textId="77777777" w:rsidR="00CE4DF5" w:rsidRDefault="00CE4DF5" w:rsidP="00CE4DF5">
      <w:pPr>
        <w:spacing w:after="0" w:line="240" w:lineRule="auto"/>
      </w:pPr>
      <w:r>
        <w:separator/>
      </w:r>
    </w:p>
  </w:footnote>
  <w:footnote w:type="continuationSeparator" w:id="0">
    <w:p w14:paraId="61385108" w14:textId="77777777" w:rsidR="00CE4DF5" w:rsidRDefault="00CE4DF5" w:rsidP="00CE4D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F5"/>
    <w:rsid w:val="00074772"/>
    <w:rsid w:val="000E0CE7"/>
    <w:rsid w:val="00135B43"/>
    <w:rsid w:val="001546CA"/>
    <w:rsid w:val="00722335"/>
    <w:rsid w:val="00A56BFD"/>
    <w:rsid w:val="00CE4DF5"/>
    <w:rsid w:val="00CF365D"/>
    <w:rsid w:val="00D27C25"/>
    <w:rsid w:val="00DB7104"/>
    <w:rsid w:val="00F55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0BECD4"/>
  <w15:chartTrackingRefBased/>
  <w15:docId w15:val="{DA664D9F-525C-4E29-8BFC-3C95CF475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772"/>
    <w:rPr>
      <w:color w:val="0563C1" w:themeColor="hyperlink"/>
      <w:u w:val="single"/>
    </w:rPr>
  </w:style>
  <w:style w:type="character" w:styleId="UnresolvedMention">
    <w:name w:val="Unresolved Mention"/>
    <w:basedOn w:val="DefaultParagraphFont"/>
    <w:uiPriority w:val="99"/>
    <w:semiHidden/>
    <w:unhideWhenUsed/>
    <w:rsid w:val="00074772"/>
    <w:rPr>
      <w:color w:val="605E5C"/>
      <w:shd w:val="clear" w:color="auto" w:fill="E1DFDD"/>
    </w:rPr>
  </w:style>
  <w:style w:type="character" w:styleId="FollowedHyperlink">
    <w:name w:val="FollowedHyperlink"/>
    <w:basedOn w:val="DefaultParagraphFont"/>
    <w:uiPriority w:val="99"/>
    <w:semiHidden/>
    <w:unhideWhenUsed/>
    <w:rsid w:val="00CF3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tackling-serious-and-orga-44a.pdf" TargetMode="External"/><Relationship Id="rId3" Type="http://schemas.openxmlformats.org/officeDocument/2006/relationships/webSettings" Target="webSettings.xml"/><Relationship Id="rId7" Type="http://schemas.openxmlformats.org/officeDocument/2006/relationships/hyperlink" Target="https://www.theguardian.com/uk/2013/apr/22/stephen-lawrence-murder-changed-legal-landscap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conversation.com/stephen-lawrence-his-death-changed-british-law-forever-but-trust-in-police-has-yet-to-recover-95091#:~:text=The%20Lawrence%20inquiry%20made%20recommendations%20that%20changed%20th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nacro.org.uk/criminal-record-support-service/support-for-individuals/advice-prisoners-people-licence-sex-offenders-mappa/advice-people-mappa/" TargetMode="External"/><Relationship Id="rId4" Type="http://schemas.openxmlformats.org/officeDocument/2006/relationships/footnotes" Target="footnotes.xml"/><Relationship Id="rId9" Type="http://schemas.openxmlformats.org/officeDocument/2006/relationships/hyperlink" Target="https://www.college.police.uk/app/major-investigation-and-public-protection/managing-sexual-offenders-and-violent-offenders/multi-agency-public-protection-arrangements-mappa?highlight=bronze%20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5795</Words>
  <Characters>33034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Simcox,Jack swp8011</dc:creator>
  <cp:keywords/>
  <dc:description/>
  <cp:lastModifiedBy>Simcox,Jack swp8011</cp:lastModifiedBy>
  <cp:revision>2</cp:revision>
  <dcterms:created xsi:type="dcterms:W3CDTF">2022-11-07T23:24:00Z</dcterms:created>
  <dcterms:modified xsi:type="dcterms:W3CDTF">2022-11-07T23:24:00Z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2022-11-07T19:44:46Z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63f59646-4bb5-4857-bb65-d01bb10f818f</vt:lpwstr>
  </property>
  <property fmtid="{D5CDD505-2E9C-101B-9397-08002B2CF9AE}" pid="8" name="MSIP_Label_66cf8fe5-b7b7-4df7-b38d-1c61ac2f6639_ContentBits">
    <vt:lpwstr>0</vt:lpwstr>
  </property>
</Properties>
</file>