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3265A" w:rsidRDefault="00A3265A" w:rsidP="00A3265A">
      <w:pPr>
        <w:ind w:left="360"/>
        <w:rPr>
          <w:b/>
          <w:u w:val="single"/>
        </w:rPr>
      </w:pPr>
      <w:r>
        <w:rPr>
          <w:b/>
          <w:u w:val="single"/>
        </w:rPr>
        <w:t>European Union Context Additional notes.</w:t>
      </w:r>
    </w:p>
    <w:p w:rsidR="00133605" w:rsidRPr="00A3265A" w:rsidRDefault="00133605" w:rsidP="00A3265A">
      <w:pPr>
        <w:ind w:left="360"/>
        <w:rPr>
          <w:b/>
          <w:u w:val="single"/>
        </w:rPr>
      </w:pPr>
      <w:r w:rsidRPr="00A3265A">
        <w:rPr>
          <w:b/>
          <w:u w:val="single"/>
        </w:rPr>
        <w:t>Social Partners</w:t>
      </w:r>
    </w:p>
    <w:p w:rsidR="008A5596" w:rsidRPr="00133605" w:rsidRDefault="008600BF" w:rsidP="00133605">
      <w:pPr>
        <w:ind w:left="360"/>
        <w:rPr>
          <w:b/>
        </w:rPr>
      </w:pPr>
      <w:r w:rsidRPr="00133605">
        <w:rPr>
          <w:b/>
        </w:rPr>
        <w:t>European trade union confederation (ETUC)</w:t>
      </w:r>
    </w:p>
    <w:p w:rsidR="008A5596" w:rsidRPr="00133605" w:rsidRDefault="008600BF" w:rsidP="00133605">
      <w:pPr>
        <w:ind w:left="360"/>
      </w:pPr>
      <w:r w:rsidRPr="00133605">
        <w:t xml:space="preserve">Established in 1973 to provide a trade union counterbalance to the economic forces of European integration. </w:t>
      </w:r>
    </w:p>
    <w:p w:rsidR="008A5596" w:rsidRPr="00133605" w:rsidRDefault="008600BF" w:rsidP="00133605">
      <w:pPr>
        <w:ind w:left="360"/>
      </w:pPr>
      <w:r w:rsidRPr="00133605">
        <w:t xml:space="preserve">Its membership is 78 National Trade Union Confederations from a total of 34 European countries, as well as 11 European industry federations, making a total of 60 million members. </w:t>
      </w:r>
    </w:p>
    <w:p w:rsidR="008A5596" w:rsidRPr="00133605" w:rsidRDefault="008600BF" w:rsidP="00133605">
      <w:pPr>
        <w:ind w:left="360"/>
      </w:pPr>
      <w:r w:rsidRPr="00133605">
        <w:t xml:space="preserve">Other trade Union structures such as Eurocadres (the Council of European Professional and Managerial Staff) and EFREP/FERPA (European Federation of Retired and Elderly Persons) operate under the auspices of the ETUC. </w:t>
      </w:r>
    </w:p>
    <w:p w:rsidR="008A5596" w:rsidRPr="00133605" w:rsidRDefault="008600BF" w:rsidP="00133605">
      <w:pPr>
        <w:ind w:left="360"/>
      </w:pPr>
      <w:r w:rsidRPr="00133605">
        <w:t>Coordinates the activities of the 39 ITUCs (Interregional Trade Union Councils), which organise trade union cooperation at a cross-border level. </w:t>
      </w:r>
    </w:p>
    <w:p w:rsidR="008A5596" w:rsidRPr="00133605" w:rsidRDefault="008600BF" w:rsidP="00133605">
      <w:pPr>
        <w:ind w:left="360"/>
      </w:pPr>
      <w:r w:rsidRPr="00133605">
        <w:t>The ETUC is recognised by the European Union, by the Council of Europe and by The European Free Trade Association (EFTA) as the only representative cross-sectoral trade union organisation at European level.  </w:t>
      </w:r>
    </w:p>
    <w:p w:rsidR="008A5596" w:rsidRPr="00133605" w:rsidRDefault="008600BF" w:rsidP="00133605">
      <w:pPr>
        <w:ind w:left="360"/>
        <w:rPr>
          <w:u w:val="single"/>
        </w:rPr>
      </w:pPr>
      <w:r w:rsidRPr="00133605">
        <w:rPr>
          <w:u w:val="single"/>
        </w:rPr>
        <w:t>Aims and objectives of the ETUC</w:t>
      </w:r>
    </w:p>
    <w:p w:rsidR="008A5596" w:rsidRPr="00133605" w:rsidRDefault="008600BF" w:rsidP="00133605">
      <w:pPr>
        <w:ind w:left="360"/>
      </w:pPr>
      <w:r w:rsidRPr="00133605">
        <w:t>Influence European decision making</w:t>
      </w:r>
    </w:p>
    <w:p w:rsidR="008A5596" w:rsidRPr="00133605" w:rsidRDefault="008600BF" w:rsidP="00133605">
      <w:pPr>
        <w:ind w:left="360"/>
      </w:pPr>
      <w:r w:rsidRPr="00133605">
        <w:rPr>
          <w:lang w:val="fr-BE"/>
        </w:rPr>
        <w:t>European social dialogue </w:t>
      </w:r>
    </w:p>
    <w:p w:rsidR="008A5596" w:rsidRPr="00133605" w:rsidRDefault="008600BF" w:rsidP="00133605">
      <w:pPr>
        <w:ind w:left="360"/>
      </w:pPr>
      <w:r w:rsidRPr="00133605">
        <w:t>Trade union action </w:t>
      </w:r>
      <w:r w:rsidRPr="00133605">
        <w:rPr>
          <w:lang w:val="fr-BE"/>
        </w:rPr>
        <w:t xml:space="preserve"> </w:t>
      </w:r>
    </w:p>
    <w:p w:rsidR="008A5596" w:rsidRPr="00133605" w:rsidRDefault="008600BF" w:rsidP="00133605">
      <w:pPr>
        <w:ind w:left="360"/>
        <w:rPr>
          <w:u w:val="single"/>
        </w:rPr>
      </w:pPr>
      <w:r w:rsidRPr="00133605">
        <w:rPr>
          <w:u w:val="single"/>
        </w:rPr>
        <w:t>ETUC: Influence European decision making</w:t>
      </w:r>
    </w:p>
    <w:p w:rsidR="008A5596" w:rsidRPr="00133605" w:rsidRDefault="008600BF" w:rsidP="00133605">
      <w:pPr>
        <w:ind w:left="360"/>
      </w:pPr>
      <w:r w:rsidRPr="00133605">
        <w:t xml:space="preserve">Seeks to influence European legislation and policies by </w:t>
      </w:r>
    </w:p>
    <w:p w:rsidR="008A5596" w:rsidRPr="00133605" w:rsidRDefault="008600BF" w:rsidP="00133605">
      <w:pPr>
        <w:ind w:left="1080"/>
      </w:pPr>
      <w:r w:rsidRPr="00133605">
        <w:t xml:space="preserve">making direct representations to the various institutions (Commission, Parliament, Council), and by </w:t>
      </w:r>
    </w:p>
    <w:p w:rsidR="008A5596" w:rsidRPr="00133605" w:rsidRDefault="008600BF" w:rsidP="00133605">
      <w:pPr>
        <w:ind w:left="1080"/>
      </w:pPr>
      <w:r w:rsidRPr="00133605">
        <w:t xml:space="preserve">participating in an extensive and multi faced consultation process with the European authorities, involving the Social Partners in areas such as employment, social affairs and macro-economic policy. </w:t>
      </w:r>
    </w:p>
    <w:p w:rsidR="008A5596" w:rsidRPr="00133605" w:rsidRDefault="008600BF" w:rsidP="00133605">
      <w:pPr>
        <w:ind w:left="360"/>
      </w:pPr>
      <w:r w:rsidRPr="00133605">
        <w:t>Coordinates trade union participation in a number of advisory bodies, including the Economic and Social Committee and the EU agencies for vocational training, living and working conditions, health and safety.</w:t>
      </w:r>
    </w:p>
    <w:p w:rsidR="008A5596" w:rsidRPr="00133605" w:rsidRDefault="008600BF" w:rsidP="00133605">
      <w:pPr>
        <w:ind w:left="360"/>
      </w:pPr>
      <w:r w:rsidRPr="00133605">
        <w:t>The European Works Councils directive, the directive on information and consultation rights or the EU Charter on Fundamental Rights are examples of results of ETUC action.  </w:t>
      </w:r>
    </w:p>
    <w:p w:rsidR="008A5596" w:rsidRPr="00133605" w:rsidRDefault="008600BF" w:rsidP="00133605">
      <w:pPr>
        <w:ind w:left="360"/>
        <w:rPr>
          <w:u w:val="single"/>
        </w:rPr>
      </w:pPr>
      <w:r w:rsidRPr="00133605">
        <w:rPr>
          <w:u w:val="single"/>
        </w:rPr>
        <w:t xml:space="preserve">ETUC: </w:t>
      </w:r>
      <w:r w:rsidRPr="00133605">
        <w:rPr>
          <w:u w:val="single"/>
          <w:lang w:val="fr-BE"/>
        </w:rPr>
        <w:t>European social dialogue</w:t>
      </w:r>
    </w:p>
    <w:p w:rsidR="008A5596" w:rsidRPr="00133605" w:rsidRDefault="008600BF" w:rsidP="00133605">
      <w:pPr>
        <w:ind w:left="360"/>
      </w:pPr>
      <w:r w:rsidRPr="00133605">
        <w:lastRenderedPageBreak/>
        <w:t xml:space="preserve">Seeks to establish industrial relations with the employers at European level through the ‘European social dialogue’. </w:t>
      </w:r>
    </w:p>
    <w:p w:rsidR="008A5596" w:rsidRPr="00133605" w:rsidRDefault="008600BF" w:rsidP="00133605">
      <w:pPr>
        <w:ind w:left="360"/>
      </w:pPr>
      <w:r w:rsidRPr="00133605">
        <w:t>This is mirrored in the social dialogue of the various sectors under the responsibility of the European Industry Federations.</w:t>
      </w:r>
    </w:p>
    <w:p w:rsidR="008A5596" w:rsidRPr="00133605" w:rsidRDefault="008600BF" w:rsidP="00133605">
      <w:pPr>
        <w:ind w:left="360"/>
      </w:pPr>
      <w:r w:rsidRPr="00133605">
        <w:t xml:space="preserve">Following the recognition by the EU of the possibility for the Social Partners to negotiate framework agreements at European level, the ETUC has signed cross-sectoral European framework agreements with the European employer counterparts on: </w:t>
      </w:r>
    </w:p>
    <w:p w:rsidR="008A5596" w:rsidRPr="00133605" w:rsidRDefault="008600BF" w:rsidP="00133605">
      <w:pPr>
        <w:pStyle w:val="ListParagraph"/>
        <w:numPr>
          <w:ilvl w:val="0"/>
          <w:numId w:val="2"/>
        </w:numPr>
      </w:pPr>
      <w:r w:rsidRPr="00133605">
        <w:t xml:space="preserve">parental leave, </w:t>
      </w:r>
    </w:p>
    <w:p w:rsidR="008A5596" w:rsidRPr="00133605" w:rsidRDefault="008600BF" w:rsidP="00133605">
      <w:pPr>
        <w:pStyle w:val="ListParagraph"/>
        <w:numPr>
          <w:ilvl w:val="0"/>
          <w:numId w:val="2"/>
        </w:numPr>
      </w:pPr>
      <w:r w:rsidRPr="00133605">
        <w:t xml:space="preserve">part-time work, and </w:t>
      </w:r>
    </w:p>
    <w:p w:rsidR="008A5596" w:rsidRPr="00133605" w:rsidRDefault="008600BF" w:rsidP="00133605">
      <w:pPr>
        <w:pStyle w:val="ListParagraph"/>
        <w:numPr>
          <w:ilvl w:val="0"/>
          <w:numId w:val="2"/>
        </w:numPr>
      </w:pPr>
      <w:r w:rsidRPr="00133605">
        <w:t>fixed-term contracts</w:t>
      </w:r>
    </w:p>
    <w:p w:rsidR="008A5596" w:rsidRPr="00133605" w:rsidRDefault="008600BF" w:rsidP="00133605">
      <w:pPr>
        <w:pStyle w:val="ListParagraph"/>
        <w:numPr>
          <w:ilvl w:val="0"/>
          <w:numId w:val="2"/>
        </w:numPr>
      </w:pPr>
      <w:r w:rsidRPr="00133605">
        <w:t xml:space="preserve">Teleworking </w:t>
      </w:r>
    </w:p>
    <w:p w:rsidR="008A5596" w:rsidRPr="00133605" w:rsidRDefault="008600BF" w:rsidP="00133605">
      <w:pPr>
        <w:pStyle w:val="ListParagraph"/>
        <w:numPr>
          <w:ilvl w:val="0"/>
          <w:numId w:val="2"/>
        </w:numPr>
      </w:pPr>
      <w:r w:rsidRPr="00133605">
        <w:t>Work Related Stress</w:t>
      </w:r>
    </w:p>
    <w:p w:rsidR="008A5596" w:rsidRPr="00133605" w:rsidRDefault="008600BF" w:rsidP="00133605">
      <w:pPr>
        <w:ind w:left="360"/>
      </w:pPr>
      <w:r w:rsidRPr="00133605">
        <w:t>These agreements have been ratified by the Council of Ministers and are now part of European legislation. </w:t>
      </w:r>
    </w:p>
    <w:p w:rsidR="008A5596" w:rsidRPr="00133605" w:rsidRDefault="008600BF" w:rsidP="00133605">
      <w:pPr>
        <w:ind w:left="360"/>
        <w:rPr>
          <w:u w:val="single"/>
        </w:rPr>
      </w:pPr>
      <w:r w:rsidRPr="00133605">
        <w:rPr>
          <w:u w:val="single"/>
        </w:rPr>
        <w:t>ETUC: Trade union action </w:t>
      </w:r>
    </w:p>
    <w:p w:rsidR="008A5596" w:rsidRPr="00133605" w:rsidRDefault="008600BF" w:rsidP="00133605">
      <w:pPr>
        <w:ind w:left="360"/>
      </w:pPr>
      <w:r w:rsidRPr="00133605">
        <w:t xml:space="preserve">To support its claims, the ETUC can call upon its affiliates to take action. </w:t>
      </w:r>
    </w:p>
    <w:p w:rsidR="008A5596" w:rsidRPr="00133605" w:rsidRDefault="008600BF" w:rsidP="00133605">
      <w:pPr>
        <w:ind w:left="360"/>
      </w:pPr>
      <w:r w:rsidRPr="00133605">
        <w:t xml:space="preserve">This has been the case in the last few years, when the ETUC organises major campaigns to achieve the inclusion of new provisions on employment in the EU Treaty. </w:t>
      </w:r>
    </w:p>
    <w:p w:rsidR="008A5596" w:rsidRPr="00133605" w:rsidRDefault="008600BF" w:rsidP="00133605">
      <w:pPr>
        <w:ind w:left="360"/>
      </w:pPr>
      <w:r w:rsidRPr="00133605">
        <w:t xml:space="preserve">A result of ETUC action has been the Directive on workers rights of information and consultation (ICE regulations) </w:t>
      </w:r>
    </w:p>
    <w:p w:rsidR="008A5596" w:rsidRPr="00133605" w:rsidRDefault="008600BF" w:rsidP="00133605">
      <w:pPr>
        <w:ind w:left="360"/>
        <w:rPr>
          <w:b/>
        </w:rPr>
      </w:pPr>
      <w:r w:rsidRPr="00133605">
        <w:rPr>
          <w:b/>
        </w:rPr>
        <w:t>BusinessEurope (UNICE)</w:t>
      </w:r>
    </w:p>
    <w:p w:rsidR="008A5596" w:rsidRPr="00133605" w:rsidRDefault="008600BF" w:rsidP="00133605">
      <w:pPr>
        <w:ind w:left="360"/>
      </w:pPr>
      <w:r w:rsidRPr="00133605">
        <w:t xml:space="preserve">Union des Industries de la Communauté européenne (UNICE)  or The Union of Industrial and Employer's Confederations of Europe - was established  in March 1958 </w:t>
      </w:r>
    </w:p>
    <w:p w:rsidR="008A5596" w:rsidRPr="00133605" w:rsidRDefault="008600BF" w:rsidP="00133605">
      <w:pPr>
        <w:ind w:left="360"/>
      </w:pPr>
      <w:r w:rsidRPr="00133605">
        <w:t>Changed its name to BusinessEurope in 2007.</w:t>
      </w:r>
    </w:p>
    <w:p w:rsidR="008A5596" w:rsidRPr="00133605" w:rsidRDefault="008600BF" w:rsidP="00133605">
      <w:pPr>
        <w:ind w:left="360"/>
      </w:pPr>
      <w:r w:rsidRPr="00133605">
        <w:t>To achieve its objectives it focuses its action in four main areas:</w:t>
      </w:r>
    </w:p>
    <w:p w:rsidR="008A5596" w:rsidRPr="00133605" w:rsidRDefault="008600BF" w:rsidP="00133605">
      <w:pPr>
        <w:pStyle w:val="ListParagraph"/>
        <w:numPr>
          <w:ilvl w:val="0"/>
          <w:numId w:val="3"/>
        </w:numPr>
      </w:pPr>
      <w:r w:rsidRPr="00133605">
        <w:t xml:space="preserve">encouraging entrepreneurship </w:t>
      </w:r>
    </w:p>
    <w:p w:rsidR="008A5596" w:rsidRPr="00133605" w:rsidRDefault="008600BF" w:rsidP="00133605">
      <w:pPr>
        <w:pStyle w:val="ListParagraph"/>
        <w:numPr>
          <w:ilvl w:val="0"/>
          <w:numId w:val="3"/>
        </w:numPr>
      </w:pPr>
      <w:r w:rsidRPr="00133605">
        <w:t xml:space="preserve">creating space for business </w:t>
      </w:r>
    </w:p>
    <w:p w:rsidR="008A5596" w:rsidRPr="00133605" w:rsidRDefault="008600BF" w:rsidP="00133605">
      <w:pPr>
        <w:pStyle w:val="ListParagraph"/>
        <w:numPr>
          <w:ilvl w:val="0"/>
          <w:numId w:val="3"/>
        </w:numPr>
      </w:pPr>
      <w:r w:rsidRPr="00133605">
        <w:t xml:space="preserve">improving labour market flexibility, and </w:t>
      </w:r>
    </w:p>
    <w:p w:rsidR="008A5596" w:rsidRPr="00133605" w:rsidRDefault="008600BF" w:rsidP="00133605">
      <w:pPr>
        <w:pStyle w:val="ListParagraph"/>
        <w:numPr>
          <w:ilvl w:val="0"/>
          <w:numId w:val="3"/>
        </w:numPr>
      </w:pPr>
      <w:r w:rsidRPr="00133605">
        <w:t>promoting a balanced sustainable development policy.</w:t>
      </w:r>
    </w:p>
    <w:p w:rsidR="008A5596" w:rsidRPr="00133605" w:rsidRDefault="008600BF" w:rsidP="00133605">
      <w:pPr>
        <w:ind w:left="360"/>
      </w:pPr>
      <w:r w:rsidRPr="00133605">
        <w:t xml:space="preserve">Wider than the European union is it composed of 39 members and 4 observers from 28 countries, including the European Union countries, the European Economic Area countries, and some central end Eastern European countries. </w:t>
      </w:r>
    </w:p>
    <w:p w:rsidR="008A5596" w:rsidRPr="00133605" w:rsidRDefault="008600BF" w:rsidP="00133605">
      <w:pPr>
        <w:ind w:left="360"/>
        <w:rPr>
          <w:u w:val="single"/>
        </w:rPr>
      </w:pPr>
      <w:r w:rsidRPr="00133605">
        <w:rPr>
          <w:u w:val="single"/>
        </w:rPr>
        <w:t>UNICE - Aims</w:t>
      </w:r>
    </w:p>
    <w:p w:rsidR="008A5596" w:rsidRPr="00133605" w:rsidRDefault="008600BF" w:rsidP="00133605">
      <w:pPr>
        <w:ind w:left="360"/>
      </w:pPr>
      <w:r w:rsidRPr="00133605">
        <w:t xml:space="preserve">Uniting the central industrial federations to foster solidarity between them; </w:t>
      </w:r>
    </w:p>
    <w:p w:rsidR="008A5596" w:rsidRPr="00133605" w:rsidRDefault="008600BF" w:rsidP="00133605">
      <w:pPr>
        <w:ind w:left="360"/>
      </w:pPr>
      <w:r w:rsidRPr="00133605">
        <w:lastRenderedPageBreak/>
        <w:t xml:space="preserve">Encouraging a Europe-wide competitive industrial policy; and </w:t>
      </w:r>
    </w:p>
    <w:p w:rsidR="008A5596" w:rsidRPr="00133605" w:rsidRDefault="008600BF" w:rsidP="00133605">
      <w:pPr>
        <w:ind w:left="360"/>
      </w:pPr>
      <w:r w:rsidRPr="00133605">
        <w:t xml:space="preserve">Acting as a spokesperson body to the European institutions. </w:t>
      </w:r>
    </w:p>
    <w:p w:rsidR="008A5596" w:rsidRPr="00133605" w:rsidRDefault="008600BF" w:rsidP="00133605">
      <w:pPr>
        <w:ind w:left="360"/>
        <w:rPr>
          <w:b/>
        </w:rPr>
      </w:pPr>
      <w:r w:rsidRPr="00133605">
        <w:rPr>
          <w:b/>
        </w:rPr>
        <w:t xml:space="preserve">UEAPME </w:t>
      </w:r>
    </w:p>
    <w:p w:rsidR="008A5596" w:rsidRPr="00133605" w:rsidRDefault="008600BF" w:rsidP="00133605">
      <w:pPr>
        <w:ind w:left="360"/>
      </w:pPr>
      <w:r w:rsidRPr="00133605">
        <w:t xml:space="preserve">Union européenne de l’artisanat et des petites et moyennes entreprises or The European Association of Craft, Small and Medium-sized Enterprises </w:t>
      </w:r>
    </w:p>
    <w:p w:rsidR="008A5596" w:rsidRPr="00133605" w:rsidRDefault="008600BF" w:rsidP="00133605">
      <w:pPr>
        <w:ind w:left="360"/>
      </w:pPr>
      <w:r w:rsidRPr="00133605">
        <w:t xml:space="preserve">It represents the interests of over 11 million crafts, trade and small and medium-sized enterprises (SMEs) in the European Union with nearly 50 million employees. </w:t>
      </w:r>
    </w:p>
    <w:p w:rsidR="008A5596" w:rsidRPr="00133605" w:rsidRDefault="008600BF" w:rsidP="00133605">
      <w:pPr>
        <w:ind w:left="360"/>
      </w:pPr>
      <w:r w:rsidRPr="00133605">
        <w:t xml:space="preserve">It incorporates 79 member organisations consisting of full members and associate members. </w:t>
      </w:r>
    </w:p>
    <w:p w:rsidR="008A5596" w:rsidRPr="00133605" w:rsidRDefault="008600BF" w:rsidP="00133605">
      <w:pPr>
        <w:ind w:left="360"/>
      </w:pPr>
      <w:r w:rsidRPr="00133605">
        <w:t xml:space="preserve">UEAPME was excluded from the social dialogue negotiations which led to the framework agreements on parental leave in 1996, as UNICE was considered to be the body representing the interests of employers. </w:t>
      </w:r>
    </w:p>
    <w:p w:rsidR="008A5596" w:rsidRPr="00133605" w:rsidRDefault="008600BF" w:rsidP="00133605">
      <w:pPr>
        <w:ind w:left="360"/>
      </w:pPr>
      <w:r w:rsidRPr="00133605">
        <w:t xml:space="preserve">As a result, on 5 September 1996, UEAPME contested its exclusion before the European Court of First Instance (CFI) and challenged the validity of the directive. </w:t>
      </w:r>
    </w:p>
    <w:p w:rsidR="008A5596" w:rsidRPr="00133605" w:rsidRDefault="008600BF" w:rsidP="00133605">
      <w:pPr>
        <w:ind w:left="360"/>
      </w:pPr>
      <w:r w:rsidRPr="00133605">
        <w:t>The complaint was dismissed by the CFI on 17 June 1998 on the grounds that UNICE, was sufficiently representative of SMEs</w:t>
      </w:r>
    </w:p>
    <w:p w:rsidR="008A5596" w:rsidRPr="00133605" w:rsidRDefault="008600BF" w:rsidP="00133605">
      <w:pPr>
        <w:ind w:left="360"/>
      </w:pPr>
      <w:r w:rsidRPr="00133605">
        <w:t>Following this legal action the two bodies issued a ‘Proposal for a cooperation agreement between UNICE and UEAPME’, on 12 November 1998.</w:t>
      </w:r>
    </w:p>
    <w:p w:rsidR="008A5596" w:rsidRPr="00133605" w:rsidRDefault="008600BF" w:rsidP="00133605">
      <w:pPr>
        <w:ind w:left="360"/>
      </w:pPr>
      <w:r w:rsidRPr="00133605">
        <w:t xml:space="preserve">The cooperation agreement covered social dialogue meetings, including negotiations where ‘UNICE undertakes to consult UEAPME prior to taking public positions on behalf of the employer group in social dialogue and negotiating meetings’ and </w:t>
      </w:r>
    </w:p>
    <w:p w:rsidR="008A5596" w:rsidRPr="00133605" w:rsidRDefault="008600BF" w:rsidP="00133605">
      <w:pPr>
        <w:ind w:left="360"/>
      </w:pPr>
      <w:r w:rsidRPr="00133605">
        <w:t xml:space="preserve">‘UEAPME representatives fully participate in preparatory meetings of the employer group and in plenary meetings with ETUC’ </w:t>
      </w:r>
    </w:p>
    <w:p w:rsidR="008A5596" w:rsidRPr="00133605" w:rsidRDefault="008600BF" w:rsidP="00133605">
      <w:pPr>
        <w:ind w:left="360"/>
      </w:pPr>
      <w:r w:rsidRPr="00133605">
        <w:t xml:space="preserve"> UEAPME has thereby become a recognised participant in the European social dialogue alongside UNICE. </w:t>
      </w:r>
    </w:p>
    <w:p w:rsidR="008A5596" w:rsidRPr="00133605" w:rsidRDefault="008600BF" w:rsidP="00133605">
      <w:pPr>
        <w:ind w:left="360"/>
        <w:rPr>
          <w:b/>
        </w:rPr>
      </w:pPr>
      <w:r w:rsidRPr="00133605">
        <w:rPr>
          <w:b/>
        </w:rPr>
        <w:t>CEEP</w:t>
      </w:r>
    </w:p>
    <w:p w:rsidR="008A5596" w:rsidRPr="00133605" w:rsidRDefault="008600BF" w:rsidP="00133605">
      <w:pPr>
        <w:ind w:left="360"/>
      </w:pPr>
      <w:r w:rsidRPr="00133605">
        <w:t>Established in  1961, is an European Employers' Association, which has its headquarters in Brussels</w:t>
      </w:r>
    </w:p>
    <w:p w:rsidR="008A5596" w:rsidRPr="00133605" w:rsidRDefault="008600BF" w:rsidP="00133605">
      <w:pPr>
        <w:ind w:left="360"/>
      </w:pPr>
      <w:r w:rsidRPr="00133605">
        <w:t>Is recognised as a Social Partner by the European Commission. </w:t>
      </w:r>
    </w:p>
    <w:p w:rsidR="008A5596" w:rsidRPr="00133605" w:rsidRDefault="008600BF" w:rsidP="00133605">
      <w:pPr>
        <w:ind w:left="360"/>
      </w:pPr>
      <w:r w:rsidRPr="00133605">
        <w:t>CEEP membership is drawn from  a wide range of professional and employer associations.</w:t>
      </w:r>
    </w:p>
    <w:p w:rsidR="008A5596" w:rsidRPr="00133605" w:rsidRDefault="008600BF" w:rsidP="00133605">
      <w:pPr>
        <w:pStyle w:val="ListParagraph"/>
        <w:numPr>
          <w:ilvl w:val="0"/>
          <w:numId w:val="4"/>
        </w:numPr>
      </w:pPr>
      <w:r w:rsidRPr="00133605">
        <w:t xml:space="preserve">full members belong to European Union countries </w:t>
      </w:r>
    </w:p>
    <w:p w:rsidR="008600BF" w:rsidRDefault="008600BF" w:rsidP="00133605">
      <w:pPr>
        <w:pStyle w:val="ListParagraph"/>
        <w:numPr>
          <w:ilvl w:val="0"/>
          <w:numId w:val="4"/>
        </w:numPr>
      </w:pPr>
      <w:r w:rsidRPr="00133605">
        <w:t>associated members are from enterprises in non-EU countries</w:t>
      </w:r>
    </w:p>
    <w:p w:rsidR="00B22381" w:rsidRDefault="00B22381">
      <w:r>
        <w:br w:type="page"/>
      </w:r>
    </w:p>
    <w:p w:rsidR="004F42DA" w:rsidRPr="004F42DA" w:rsidRDefault="004F42DA" w:rsidP="004F42DA">
      <w:pPr>
        <w:autoSpaceDE w:val="0"/>
        <w:autoSpaceDN w:val="0"/>
        <w:adjustRightInd w:val="0"/>
        <w:spacing w:after="0" w:line="240" w:lineRule="auto"/>
        <w:rPr>
          <w:rFonts w:cs="MinionPro-It"/>
          <w:b/>
          <w:i/>
          <w:iCs/>
        </w:rPr>
      </w:pPr>
      <w:r w:rsidRPr="004F42DA">
        <w:rPr>
          <w:rFonts w:cs="MinionPro-It"/>
          <w:b/>
          <w:i/>
          <w:iCs/>
        </w:rPr>
        <w:lastRenderedPageBreak/>
        <w:t>EU Codes</w:t>
      </w:r>
    </w:p>
    <w:p w:rsidR="004F42DA" w:rsidRDefault="004F42DA" w:rsidP="004F42DA">
      <w:pPr>
        <w:autoSpaceDE w:val="0"/>
        <w:autoSpaceDN w:val="0"/>
        <w:adjustRightInd w:val="0"/>
        <w:spacing w:after="0" w:line="240" w:lineRule="auto"/>
        <w:rPr>
          <w:rFonts w:cs="MinionPro-It"/>
          <w:i/>
          <w:iCs/>
        </w:rPr>
      </w:pPr>
    </w:p>
    <w:p w:rsidR="004F42DA" w:rsidRPr="004F42DA" w:rsidRDefault="004F42DA" w:rsidP="004F42DA">
      <w:pPr>
        <w:autoSpaceDE w:val="0"/>
        <w:autoSpaceDN w:val="0"/>
        <w:adjustRightInd w:val="0"/>
        <w:spacing w:after="0" w:line="240" w:lineRule="auto"/>
        <w:rPr>
          <w:rFonts w:cs="MinionPro-It"/>
          <w:i/>
          <w:iCs/>
        </w:rPr>
      </w:pPr>
      <w:r w:rsidRPr="004F42DA">
        <w:rPr>
          <w:rFonts w:cs="MinionPro-It"/>
          <w:i/>
          <w:iCs/>
        </w:rPr>
        <w:t>EU-6 (Belgium, France, (Federal Republic of) Germany, Italy, Luxembourg, the Netherlands),</w:t>
      </w:r>
    </w:p>
    <w:p w:rsidR="004F42DA" w:rsidRPr="004F42DA" w:rsidRDefault="004F42DA" w:rsidP="004F42DA">
      <w:pPr>
        <w:autoSpaceDE w:val="0"/>
        <w:autoSpaceDN w:val="0"/>
        <w:adjustRightInd w:val="0"/>
        <w:spacing w:after="0" w:line="240" w:lineRule="auto"/>
        <w:rPr>
          <w:rFonts w:cs="MinionPro-It"/>
          <w:i/>
          <w:iCs/>
        </w:rPr>
      </w:pPr>
      <w:r w:rsidRPr="004F42DA">
        <w:rPr>
          <w:rFonts w:cs="MinionPro-It"/>
          <w:i/>
          <w:iCs/>
        </w:rPr>
        <w:t>EU-9 (+ Denmark, Ireland, United Kingdom),</w:t>
      </w:r>
    </w:p>
    <w:p w:rsidR="004F42DA" w:rsidRPr="004F42DA" w:rsidRDefault="004F42DA" w:rsidP="004F42DA">
      <w:pPr>
        <w:autoSpaceDE w:val="0"/>
        <w:autoSpaceDN w:val="0"/>
        <w:adjustRightInd w:val="0"/>
        <w:spacing w:after="0" w:line="240" w:lineRule="auto"/>
        <w:rPr>
          <w:rFonts w:cs="MinionPro-It"/>
          <w:i/>
          <w:iCs/>
        </w:rPr>
      </w:pPr>
      <w:r w:rsidRPr="004F42DA">
        <w:rPr>
          <w:rFonts w:cs="MinionPro-It"/>
          <w:i/>
          <w:iCs/>
        </w:rPr>
        <w:t>EU-12 (+ Greece, Spain, Portugal),</w:t>
      </w:r>
    </w:p>
    <w:p w:rsidR="004F42DA" w:rsidRPr="004F42DA" w:rsidRDefault="004F42DA" w:rsidP="004F42DA">
      <w:pPr>
        <w:autoSpaceDE w:val="0"/>
        <w:autoSpaceDN w:val="0"/>
        <w:adjustRightInd w:val="0"/>
        <w:spacing w:after="0" w:line="240" w:lineRule="auto"/>
        <w:rPr>
          <w:rFonts w:cs="MinionPro-It"/>
          <w:i/>
          <w:iCs/>
        </w:rPr>
      </w:pPr>
      <w:r w:rsidRPr="004F42DA">
        <w:rPr>
          <w:rFonts w:cs="MinionPro-It"/>
          <w:i/>
          <w:iCs/>
        </w:rPr>
        <w:t>EU-15 (+ Austria, Finland, Sweden),</w:t>
      </w:r>
    </w:p>
    <w:p w:rsidR="004F42DA" w:rsidRPr="004F42DA" w:rsidRDefault="004F42DA" w:rsidP="004F42DA">
      <w:pPr>
        <w:autoSpaceDE w:val="0"/>
        <w:autoSpaceDN w:val="0"/>
        <w:adjustRightInd w:val="0"/>
        <w:spacing w:after="0" w:line="240" w:lineRule="auto"/>
        <w:rPr>
          <w:rFonts w:cs="MinionPro-It"/>
          <w:i/>
          <w:iCs/>
        </w:rPr>
      </w:pPr>
      <w:r w:rsidRPr="004F42DA">
        <w:rPr>
          <w:rFonts w:cs="MinionPro-It"/>
          <w:i/>
          <w:iCs/>
        </w:rPr>
        <w:t>NMS (Bulgaria, Cyprus, Czech Republic, Estonia, Hungary, Latvia, Lithuania, Malta,</w:t>
      </w:r>
    </w:p>
    <w:p w:rsidR="004F42DA" w:rsidRPr="004F42DA" w:rsidRDefault="004F42DA" w:rsidP="004F42DA">
      <w:pPr>
        <w:autoSpaceDE w:val="0"/>
        <w:autoSpaceDN w:val="0"/>
        <w:adjustRightInd w:val="0"/>
        <w:spacing w:after="0" w:line="240" w:lineRule="auto"/>
        <w:rPr>
          <w:rFonts w:cs="MinionPro-It"/>
          <w:i/>
          <w:iCs/>
        </w:rPr>
      </w:pPr>
      <w:r w:rsidRPr="004F42DA">
        <w:rPr>
          <w:rFonts w:cs="MinionPro-It"/>
          <w:i/>
          <w:iCs/>
        </w:rPr>
        <w:t>Poland, Romania, Slovenia, Slovakia),</w:t>
      </w:r>
    </w:p>
    <w:p w:rsidR="004F42DA" w:rsidRPr="004F42DA" w:rsidRDefault="004F42DA" w:rsidP="004F42DA">
      <w:pPr>
        <w:autoSpaceDE w:val="0"/>
        <w:autoSpaceDN w:val="0"/>
        <w:adjustRightInd w:val="0"/>
        <w:spacing w:after="0" w:line="240" w:lineRule="auto"/>
        <w:rPr>
          <w:rFonts w:cs="MinionPro-Bold"/>
          <w:b/>
          <w:bCs/>
        </w:rPr>
      </w:pPr>
      <w:r w:rsidRPr="004F42DA">
        <w:rPr>
          <w:rFonts w:cs="MinionPro-It"/>
          <w:i/>
          <w:iCs/>
        </w:rPr>
        <w:t>EU-27 (all)</w:t>
      </w:r>
    </w:p>
    <w:p w:rsidR="004F42DA" w:rsidRPr="004F42DA" w:rsidRDefault="004F42DA" w:rsidP="00B22381">
      <w:pPr>
        <w:autoSpaceDE w:val="0"/>
        <w:autoSpaceDN w:val="0"/>
        <w:adjustRightInd w:val="0"/>
        <w:spacing w:after="0" w:line="240" w:lineRule="auto"/>
        <w:rPr>
          <w:rFonts w:cs="MinionPro-Bold"/>
          <w:b/>
          <w:bCs/>
        </w:rPr>
      </w:pPr>
    </w:p>
    <w:p w:rsidR="004F42DA" w:rsidRDefault="004F42DA" w:rsidP="00B22381">
      <w:pPr>
        <w:autoSpaceDE w:val="0"/>
        <w:autoSpaceDN w:val="0"/>
        <w:adjustRightInd w:val="0"/>
        <w:spacing w:after="0" w:line="240" w:lineRule="auto"/>
        <w:rPr>
          <w:rFonts w:cs="MinionPro-Bold"/>
          <w:b/>
          <w:bCs/>
        </w:rPr>
      </w:pPr>
    </w:p>
    <w:p w:rsidR="00B22381" w:rsidRDefault="00BC45BB" w:rsidP="00B22381">
      <w:pPr>
        <w:autoSpaceDE w:val="0"/>
        <w:autoSpaceDN w:val="0"/>
        <w:adjustRightInd w:val="0"/>
        <w:spacing w:after="0" w:line="240" w:lineRule="auto"/>
        <w:rPr>
          <w:rFonts w:cs="MinionPro-Bold"/>
          <w:b/>
          <w:bCs/>
        </w:rPr>
      </w:pPr>
      <w:r>
        <w:rPr>
          <w:rFonts w:cs="MinionPro-Bold"/>
          <w:b/>
          <w:bCs/>
        </w:rPr>
        <w:t>Bargaining Coverage</w:t>
      </w:r>
    </w:p>
    <w:p w:rsidR="00B22381" w:rsidRPr="00B22381" w:rsidRDefault="00B22381" w:rsidP="00B22381">
      <w:pPr>
        <w:autoSpaceDE w:val="0"/>
        <w:autoSpaceDN w:val="0"/>
        <w:adjustRightInd w:val="0"/>
        <w:spacing w:after="0" w:line="240" w:lineRule="auto"/>
        <w:rPr>
          <w:rFonts w:cs="MinionPro-Bold"/>
          <w:b/>
          <w:bCs/>
        </w:rPr>
      </w:pPr>
    </w:p>
    <w:p w:rsidR="00B22381" w:rsidRPr="00B22381" w:rsidRDefault="00B22381" w:rsidP="00B22381">
      <w:pPr>
        <w:autoSpaceDE w:val="0"/>
        <w:autoSpaceDN w:val="0"/>
        <w:adjustRightInd w:val="0"/>
        <w:spacing w:after="0" w:line="240" w:lineRule="auto"/>
        <w:rPr>
          <w:rFonts w:eastAsia="MinionPro-Regular" w:cs="MinionPro-Regular"/>
        </w:rPr>
      </w:pPr>
      <w:r w:rsidRPr="00B22381">
        <w:rPr>
          <w:rFonts w:eastAsia="MinionPro-Regular" w:cs="MinionPro-Regular"/>
        </w:rPr>
        <w:t>5 = economy-wide bargaining: based on enforceable agreements between the central organisations</w:t>
      </w:r>
      <w:r>
        <w:rPr>
          <w:rFonts w:eastAsia="MinionPro-Regular" w:cs="MinionPro-Regular"/>
        </w:rPr>
        <w:t xml:space="preserve">  </w:t>
      </w:r>
      <w:r w:rsidRPr="00B22381">
        <w:rPr>
          <w:rFonts w:eastAsia="MinionPro-Regular" w:cs="MinionPro-Regular"/>
        </w:rPr>
        <w:t>of unions and employers affecting the entire economy or entire private</w:t>
      </w:r>
      <w:r>
        <w:rPr>
          <w:rFonts w:eastAsia="MinionPro-Regular" w:cs="MinionPro-Regular"/>
        </w:rPr>
        <w:t xml:space="preserve"> </w:t>
      </w:r>
      <w:r w:rsidRPr="00B22381">
        <w:rPr>
          <w:rFonts w:eastAsia="MinionPro-Regular" w:cs="MinionPro-Regular"/>
        </w:rPr>
        <w:t>sector, or by government imposition of a wage schedule, freeze, or ceiling.</w:t>
      </w:r>
    </w:p>
    <w:p w:rsidR="00B22381" w:rsidRPr="00B22381" w:rsidRDefault="00B22381" w:rsidP="00B22381">
      <w:pPr>
        <w:autoSpaceDE w:val="0"/>
        <w:autoSpaceDN w:val="0"/>
        <w:adjustRightInd w:val="0"/>
        <w:spacing w:after="0" w:line="240" w:lineRule="auto"/>
        <w:rPr>
          <w:rFonts w:eastAsia="MinionPro-Regular" w:cs="MinionPro-Regular"/>
        </w:rPr>
      </w:pPr>
      <w:r w:rsidRPr="00B22381">
        <w:rPr>
          <w:rFonts w:eastAsia="MinionPro-Regular" w:cs="MinionPro-Regular"/>
        </w:rPr>
        <w:t>4 = mixed sector and economy-wide bargaining: central organisations negotiate non-enforceable</w:t>
      </w:r>
      <w:r>
        <w:rPr>
          <w:rFonts w:eastAsia="MinionPro-Regular" w:cs="MinionPro-Regular"/>
        </w:rPr>
        <w:t xml:space="preserve"> </w:t>
      </w:r>
      <w:r w:rsidRPr="00B22381">
        <w:rPr>
          <w:rFonts w:eastAsia="MinionPro-Regular" w:cs="MinionPro-Regular"/>
        </w:rPr>
        <w:t>central agreements (guidelines) and/or key unions and employers associations</w:t>
      </w:r>
      <w:r>
        <w:rPr>
          <w:rFonts w:eastAsia="MinionPro-Regular" w:cs="MinionPro-Regular"/>
        </w:rPr>
        <w:t xml:space="preserve"> </w:t>
      </w:r>
      <w:r w:rsidRPr="00B22381">
        <w:rPr>
          <w:rFonts w:eastAsia="MinionPro-Regular" w:cs="MinionPro-Regular"/>
        </w:rPr>
        <w:t>set pattern for the entire economy.</w:t>
      </w:r>
    </w:p>
    <w:p w:rsidR="00B22381" w:rsidRPr="00B22381" w:rsidRDefault="00B22381" w:rsidP="00B22381">
      <w:pPr>
        <w:autoSpaceDE w:val="0"/>
        <w:autoSpaceDN w:val="0"/>
        <w:adjustRightInd w:val="0"/>
        <w:spacing w:after="0" w:line="240" w:lineRule="auto"/>
        <w:rPr>
          <w:rFonts w:eastAsia="MinionPro-Regular" w:cs="MinionPro-Regular"/>
        </w:rPr>
      </w:pPr>
      <w:r w:rsidRPr="00B22381">
        <w:rPr>
          <w:rFonts w:eastAsia="MinionPro-Regular" w:cs="MinionPro-Regular"/>
        </w:rPr>
        <w:t>3 = sector bargaining with no or irregular pattern setting: limited involvement of central</w:t>
      </w:r>
      <w:r>
        <w:rPr>
          <w:rFonts w:eastAsia="MinionPro-Regular" w:cs="MinionPro-Regular"/>
        </w:rPr>
        <w:t xml:space="preserve"> </w:t>
      </w:r>
      <w:r w:rsidRPr="00B22381">
        <w:rPr>
          <w:rFonts w:eastAsia="MinionPro-Regular" w:cs="MinionPro-Regular"/>
        </w:rPr>
        <w:t>organisations and limited freedoms for company bargaining.</w:t>
      </w:r>
    </w:p>
    <w:p w:rsidR="00B22381" w:rsidRPr="00B22381" w:rsidRDefault="00B22381" w:rsidP="00B22381">
      <w:pPr>
        <w:autoSpaceDE w:val="0"/>
        <w:autoSpaceDN w:val="0"/>
        <w:adjustRightInd w:val="0"/>
        <w:spacing w:after="0" w:line="240" w:lineRule="auto"/>
        <w:rPr>
          <w:rFonts w:eastAsia="MinionPro-Regular" w:cs="MinionPro-Regular"/>
        </w:rPr>
      </w:pPr>
      <w:r w:rsidRPr="00B22381">
        <w:rPr>
          <w:rFonts w:eastAsia="MinionPro-Regular" w:cs="MinionPro-Regular"/>
        </w:rPr>
        <w:t>2 = mixed sector- and firm-level bargaining: with weak enforceability of industry agreements</w:t>
      </w:r>
    </w:p>
    <w:p w:rsidR="00B22381" w:rsidRPr="00B22381" w:rsidRDefault="00B22381" w:rsidP="00B22381">
      <w:pPr>
        <w:autoSpaceDE w:val="0"/>
        <w:autoSpaceDN w:val="0"/>
        <w:adjustRightInd w:val="0"/>
        <w:spacing w:after="0" w:line="240" w:lineRule="auto"/>
        <w:rPr>
          <w:rFonts w:eastAsia="MinionPro-Regular" w:cs="MinionPro-Regular"/>
        </w:rPr>
      </w:pPr>
      <w:r w:rsidRPr="00B22381">
        <w:rPr>
          <w:rFonts w:eastAsia="MinionPro-Regular" w:cs="MinionPro-Regular"/>
        </w:rPr>
        <w:t>1 = none of the above: fragmented bargaining, mostly at company level.</w:t>
      </w:r>
    </w:p>
    <w:p w:rsidR="00B22381" w:rsidRDefault="00B22381" w:rsidP="00B22381">
      <w:pPr>
        <w:autoSpaceDE w:val="0"/>
        <w:autoSpaceDN w:val="0"/>
        <w:adjustRightInd w:val="0"/>
        <w:spacing w:after="0" w:line="240" w:lineRule="auto"/>
        <w:rPr>
          <w:rFonts w:eastAsia="MinionPro-Regular" w:cs="MinionPro-Regular"/>
        </w:rPr>
      </w:pPr>
    </w:p>
    <w:p w:rsidR="00B22381" w:rsidRDefault="00B22381" w:rsidP="00B22381">
      <w:pPr>
        <w:autoSpaceDE w:val="0"/>
        <w:autoSpaceDN w:val="0"/>
        <w:adjustRightInd w:val="0"/>
        <w:spacing w:after="0" w:line="240" w:lineRule="auto"/>
        <w:rPr>
          <w:rFonts w:eastAsia="MinionPro-Regular" w:cs="MinionPro-Regular"/>
        </w:rPr>
      </w:pPr>
      <w:r w:rsidRPr="00B22381">
        <w:rPr>
          <w:rFonts w:eastAsia="MinionPro-Regular" w:cs="MinionPro-Regular"/>
        </w:rPr>
        <w:t>This index is based on Kenworthy (2001) and applied with some small modifications. Traxler,</w:t>
      </w:r>
      <w:r>
        <w:rPr>
          <w:rFonts w:eastAsia="MinionPro-Regular" w:cs="MinionPro-Regular"/>
        </w:rPr>
        <w:t xml:space="preserve"> </w:t>
      </w:r>
      <w:r w:rsidRPr="00B22381">
        <w:rPr>
          <w:rFonts w:eastAsia="MinionPro-Regular" w:cs="MinionPro-Regular"/>
        </w:rPr>
        <w:t>Blaschke and Kittel. (2001) offer an alternative two-dimensional index, in which the</w:t>
      </w:r>
      <w:r>
        <w:rPr>
          <w:rFonts w:eastAsia="MinionPro-Regular" w:cs="MinionPro-Regular"/>
        </w:rPr>
        <w:t xml:space="preserve"> </w:t>
      </w:r>
      <w:r w:rsidRPr="00B22381">
        <w:rPr>
          <w:rFonts w:eastAsia="MinionPro-Regular" w:cs="MinionPro-Regular"/>
        </w:rPr>
        <w:t>level of bargaining, and coordination, is distinguished from the capacity of organisations</w:t>
      </w:r>
      <w:r>
        <w:rPr>
          <w:rFonts w:eastAsia="MinionPro-Regular" w:cs="MinionPro-Regular"/>
        </w:rPr>
        <w:t xml:space="preserve"> </w:t>
      </w:r>
      <w:r w:rsidRPr="00B22381">
        <w:rPr>
          <w:rFonts w:eastAsia="MinionPro-Regular" w:cs="MinionPro-Regular"/>
        </w:rPr>
        <w:t>to enforce, jointly or individually, their commitments. Important as this is, this element is</w:t>
      </w:r>
      <w:r>
        <w:rPr>
          <w:rFonts w:eastAsia="MinionPro-Regular" w:cs="MinionPro-Regular"/>
        </w:rPr>
        <w:t xml:space="preserve"> </w:t>
      </w:r>
      <w:r w:rsidRPr="00B22381">
        <w:rPr>
          <w:rFonts w:eastAsia="MinionPro-Regular" w:cs="MinionPro-Regular"/>
        </w:rPr>
        <w:t>picked u</w:t>
      </w:r>
      <w:r>
        <w:rPr>
          <w:rFonts w:eastAsia="MinionPro-Regular" w:cs="MinionPro-Regular"/>
        </w:rPr>
        <w:t>p in the centralisation measure.</w:t>
      </w:r>
    </w:p>
    <w:p w:rsidR="003E6E35" w:rsidRDefault="003E6E35" w:rsidP="00B22381">
      <w:pPr>
        <w:autoSpaceDE w:val="0"/>
        <w:autoSpaceDN w:val="0"/>
        <w:adjustRightInd w:val="0"/>
        <w:spacing w:after="0" w:line="240" w:lineRule="auto"/>
        <w:rPr>
          <w:rFonts w:eastAsia="MinionPro-Regular" w:cs="MinionPro-Regular"/>
        </w:rPr>
      </w:pPr>
    </w:p>
    <w:p w:rsidR="003E6E35" w:rsidRPr="003E6E35" w:rsidRDefault="003E6E35" w:rsidP="00B22381">
      <w:pPr>
        <w:autoSpaceDE w:val="0"/>
        <w:autoSpaceDN w:val="0"/>
        <w:adjustRightInd w:val="0"/>
        <w:spacing w:after="0" w:line="240" w:lineRule="auto"/>
        <w:rPr>
          <w:rFonts w:eastAsia="MinionPro-Regular" w:cs="MinionPro-Regular"/>
          <w:b/>
        </w:rPr>
      </w:pPr>
      <w:r w:rsidRPr="003E6E35">
        <w:rPr>
          <w:rFonts w:eastAsia="MinionPro-Regular" w:cs="MinionPro-Regular"/>
          <w:b/>
        </w:rPr>
        <w:t>Sectoral Bargaining</w:t>
      </w:r>
    </w:p>
    <w:p w:rsidR="003E6E35" w:rsidRPr="003E6E35" w:rsidRDefault="003E6E35" w:rsidP="00B22381">
      <w:pPr>
        <w:autoSpaceDE w:val="0"/>
        <w:autoSpaceDN w:val="0"/>
        <w:adjustRightInd w:val="0"/>
        <w:spacing w:after="0" w:line="240" w:lineRule="auto"/>
        <w:rPr>
          <w:rFonts w:eastAsia="MinionPro-Regular" w:cs="MinionPro-Regular"/>
        </w:rPr>
      </w:pPr>
    </w:p>
    <w:p w:rsidR="003E6E35" w:rsidRDefault="003E6E35" w:rsidP="003E6E35">
      <w:pPr>
        <w:autoSpaceDE w:val="0"/>
        <w:autoSpaceDN w:val="0"/>
        <w:adjustRightInd w:val="0"/>
        <w:spacing w:after="0" w:line="240" w:lineRule="auto"/>
        <w:rPr>
          <w:rFonts w:eastAsia="MinionPro-Regular" w:cs="MinionPro-Regular"/>
        </w:rPr>
      </w:pPr>
      <w:r w:rsidRPr="003E6E35">
        <w:rPr>
          <w:rFonts w:eastAsia="MinionPro-Regular" w:cs="MinionPro-Regular"/>
        </w:rPr>
        <w:t xml:space="preserve">The cornerstone of bargaining coverage and of the ability of unions to reduce the pay differentials between workers employed in different firms is the organisation of </w:t>
      </w:r>
      <w:r w:rsidRPr="003E6E35">
        <w:rPr>
          <w:rFonts w:eastAsia="MinionPro-Regular" w:cs="MinionPro-Bold"/>
          <w:b/>
          <w:bCs/>
        </w:rPr>
        <w:t xml:space="preserve">bargaining at the level of sectors or above </w:t>
      </w:r>
      <w:r w:rsidRPr="003E6E35">
        <w:rPr>
          <w:rFonts w:eastAsia="MinionPro-Regular" w:cs="MinionPro-Regular"/>
        </w:rPr>
        <w:t xml:space="preserve">(Teulings and Hartog, 1998; Streeck, 2005, Traxler et al., 2001). </w:t>
      </w:r>
    </w:p>
    <w:p w:rsidR="003E6E35" w:rsidRDefault="003E6E35" w:rsidP="003E6E35">
      <w:pPr>
        <w:autoSpaceDE w:val="0"/>
        <w:autoSpaceDN w:val="0"/>
        <w:adjustRightInd w:val="0"/>
        <w:spacing w:after="0" w:line="240" w:lineRule="auto"/>
        <w:rPr>
          <w:rFonts w:eastAsia="MinionPro-Regular" w:cs="MinionPro-Regular"/>
        </w:rPr>
      </w:pPr>
    </w:p>
    <w:p w:rsidR="003E6E35" w:rsidRDefault="003E6E35" w:rsidP="003E6E35">
      <w:pPr>
        <w:autoSpaceDE w:val="0"/>
        <w:autoSpaceDN w:val="0"/>
        <w:adjustRightInd w:val="0"/>
        <w:spacing w:after="0" w:line="240" w:lineRule="auto"/>
        <w:rPr>
          <w:rFonts w:eastAsia="MinionPro-Regular" w:cs="MinionPro-Regular"/>
        </w:rPr>
      </w:pPr>
      <w:r w:rsidRPr="003E6E35">
        <w:rPr>
          <w:rFonts w:eastAsia="MinionPro-Regular" w:cs="MinionPro-Regular"/>
        </w:rPr>
        <w:t xml:space="preserve">The figures in Tables are based on a three-point scale. </w:t>
      </w:r>
    </w:p>
    <w:p w:rsidR="003E6E35" w:rsidRDefault="003E6E35" w:rsidP="003E6E35">
      <w:pPr>
        <w:autoSpaceDE w:val="0"/>
        <w:autoSpaceDN w:val="0"/>
        <w:adjustRightInd w:val="0"/>
        <w:spacing w:after="0" w:line="240" w:lineRule="auto"/>
        <w:rPr>
          <w:rFonts w:eastAsia="MinionPro-Regular" w:cs="MinionPro-Regular"/>
        </w:rPr>
      </w:pPr>
      <w:r w:rsidRPr="003E6E35">
        <w:rPr>
          <w:rFonts w:eastAsia="MinionPro-Regular" w:cs="MinionPro-Regular"/>
        </w:rPr>
        <w:t xml:space="preserve">If bargaining in the market sector occurs at the sectoral level, or above the sector at the national level for the entire economy or private sector, a score of ‘2’ is given. </w:t>
      </w:r>
    </w:p>
    <w:p w:rsidR="003E6E35" w:rsidRDefault="003E6E35" w:rsidP="003E6E35">
      <w:pPr>
        <w:autoSpaceDE w:val="0"/>
        <w:autoSpaceDN w:val="0"/>
        <w:adjustRightInd w:val="0"/>
        <w:spacing w:after="0" w:line="240" w:lineRule="auto"/>
        <w:rPr>
          <w:rFonts w:eastAsia="MinionPro-Regular" w:cs="MinionPro-Regular"/>
        </w:rPr>
      </w:pPr>
      <w:r w:rsidRPr="003E6E35">
        <w:rPr>
          <w:rFonts w:eastAsia="MinionPro-Regular" w:cs="MinionPro-Regular"/>
        </w:rPr>
        <w:t xml:space="preserve">If sectoral bargaining is shared or alternated with company bargaining, with limited authority of national unions over local bargainers, the score is ‘1’. </w:t>
      </w:r>
    </w:p>
    <w:p w:rsidR="003E6E35" w:rsidRDefault="003E6E35" w:rsidP="003E6E35">
      <w:pPr>
        <w:autoSpaceDE w:val="0"/>
        <w:autoSpaceDN w:val="0"/>
        <w:adjustRightInd w:val="0"/>
        <w:spacing w:after="0" w:line="240" w:lineRule="auto"/>
        <w:rPr>
          <w:rFonts w:eastAsia="MinionPro-Regular" w:cs="MinionPro-Regular"/>
        </w:rPr>
      </w:pPr>
      <w:r w:rsidRPr="003E6E35">
        <w:rPr>
          <w:rFonts w:eastAsia="MinionPro-Regular" w:cs="MinionPro-Regular"/>
        </w:rPr>
        <w:t xml:space="preserve">If sectoral bargaining is absent or rare, the score is ‘0’. </w:t>
      </w:r>
    </w:p>
    <w:p w:rsidR="003E6E35" w:rsidRDefault="003E6E35" w:rsidP="003E6E35">
      <w:pPr>
        <w:autoSpaceDE w:val="0"/>
        <w:autoSpaceDN w:val="0"/>
        <w:adjustRightInd w:val="0"/>
        <w:spacing w:after="0" w:line="240" w:lineRule="auto"/>
        <w:rPr>
          <w:rFonts w:eastAsia="MinionPro-Regular" w:cs="MinionPro-Regular"/>
        </w:rPr>
      </w:pPr>
    </w:p>
    <w:p w:rsidR="003E6E35" w:rsidRDefault="003E6E35" w:rsidP="003E6E35">
      <w:pPr>
        <w:autoSpaceDE w:val="0"/>
        <w:autoSpaceDN w:val="0"/>
        <w:adjustRightInd w:val="0"/>
        <w:spacing w:after="0" w:line="240" w:lineRule="auto"/>
        <w:rPr>
          <w:rFonts w:eastAsia="MinionPro-Regular" w:cs="MinionPro-Regular"/>
        </w:rPr>
      </w:pPr>
      <w:r w:rsidRPr="003E6E35">
        <w:rPr>
          <w:rFonts w:eastAsia="MinionPro-Regular" w:cs="MinionPro-Regular"/>
        </w:rPr>
        <w:t>The average statistics calculated for the EU Member States indicate that the sectoral model is predominant in Europe, though weakening since the 2004–07 enlargements, as it has had difficulties establishing itself in most of the new Member States. On this account, the variation between Member States has increased.</w:t>
      </w:r>
    </w:p>
    <w:p w:rsidR="003E6E35" w:rsidRDefault="003E6E35" w:rsidP="003E6E35">
      <w:pPr>
        <w:autoSpaceDE w:val="0"/>
        <w:autoSpaceDN w:val="0"/>
        <w:adjustRightInd w:val="0"/>
        <w:spacing w:after="0" w:line="240" w:lineRule="auto"/>
        <w:rPr>
          <w:rFonts w:eastAsia="MinionPro-Regular" w:cs="MinionPro-Regular"/>
        </w:rPr>
      </w:pPr>
    </w:p>
    <w:p w:rsidR="00BC45BB" w:rsidRDefault="00BC45BB" w:rsidP="003E6E35">
      <w:pPr>
        <w:autoSpaceDE w:val="0"/>
        <w:autoSpaceDN w:val="0"/>
        <w:adjustRightInd w:val="0"/>
        <w:spacing w:after="0" w:line="240" w:lineRule="auto"/>
        <w:rPr>
          <w:b/>
        </w:rPr>
      </w:pPr>
    </w:p>
    <w:p w:rsidR="00BC45BB" w:rsidRDefault="00BC45BB" w:rsidP="003E6E35">
      <w:pPr>
        <w:autoSpaceDE w:val="0"/>
        <w:autoSpaceDN w:val="0"/>
        <w:adjustRightInd w:val="0"/>
        <w:spacing w:after="0" w:line="240" w:lineRule="auto"/>
        <w:rPr>
          <w:b/>
        </w:rPr>
      </w:pPr>
    </w:p>
    <w:p w:rsidR="00BC45BB" w:rsidRDefault="00BC45BB" w:rsidP="003E6E35">
      <w:pPr>
        <w:autoSpaceDE w:val="0"/>
        <w:autoSpaceDN w:val="0"/>
        <w:adjustRightInd w:val="0"/>
        <w:spacing w:after="0" w:line="240" w:lineRule="auto"/>
        <w:rPr>
          <w:b/>
        </w:rPr>
      </w:pPr>
    </w:p>
    <w:sectPr w:rsidR="00BC45BB" w:rsidSect="006B2B47">
      <w:footerReference w:type="default" r:id="rId7"/>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AC7574" w:rsidRDefault="00AC7574" w:rsidP="00133605">
      <w:pPr>
        <w:spacing w:after="0" w:line="240" w:lineRule="auto"/>
      </w:pPr>
      <w:r>
        <w:separator/>
      </w:r>
    </w:p>
  </w:endnote>
  <w:endnote w:type="continuationSeparator" w:id="1">
    <w:p w:rsidR="00AC7574" w:rsidRDefault="00AC7574" w:rsidP="00133605">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MinionPro-It">
    <w:panose1 w:val="00000000000000000000"/>
    <w:charset w:val="00"/>
    <w:family w:val="roman"/>
    <w:notTrueType/>
    <w:pitch w:val="default"/>
    <w:sig w:usb0="00000003" w:usb1="00000000" w:usb2="00000000" w:usb3="00000000" w:csb0="00000001" w:csb1="00000000"/>
  </w:font>
  <w:font w:name="MinionPro-Bold">
    <w:panose1 w:val="00000000000000000000"/>
    <w:charset w:val="00"/>
    <w:family w:val="roman"/>
    <w:notTrueType/>
    <w:pitch w:val="default"/>
    <w:sig w:usb0="00000003" w:usb1="00000000" w:usb2="00000000" w:usb3="00000000" w:csb0="00000001" w:csb1="00000000"/>
  </w:font>
  <w:font w:name="MinionPro-Regular">
    <w:altName w:val="MS Mincho"/>
    <w:panose1 w:val="00000000000000000000"/>
    <w:charset w:val="80"/>
    <w:family w:val="roman"/>
    <w:notTrueType/>
    <w:pitch w:val="default"/>
    <w:sig w:usb0="00000001" w:usb1="08070000" w:usb2="00000010" w:usb3="00000000" w:csb0="00020000"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3597188"/>
      <w:docPartObj>
        <w:docPartGallery w:val="Page Numbers (Bottom of Page)"/>
        <w:docPartUnique/>
      </w:docPartObj>
    </w:sdtPr>
    <w:sdtContent>
      <w:p w:rsidR="00133605" w:rsidRDefault="007C3218">
        <w:pPr>
          <w:pStyle w:val="Footer"/>
          <w:jc w:val="right"/>
        </w:pPr>
        <w:fldSimple w:instr=" PAGE   \* MERGEFORMAT ">
          <w:r w:rsidR="00BC312C">
            <w:rPr>
              <w:noProof/>
            </w:rPr>
            <w:t>1</w:t>
          </w:r>
        </w:fldSimple>
      </w:p>
    </w:sdtContent>
  </w:sdt>
  <w:p w:rsidR="00133605" w:rsidRDefault="00133605">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AC7574" w:rsidRDefault="00AC7574" w:rsidP="00133605">
      <w:pPr>
        <w:spacing w:after="0" w:line="240" w:lineRule="auto"/>
      </w:pPr>
      <w:r>
        <w:separator/>
      </w:r>
    </w:p>
  </w:footnote>
  <w:footnote w:type="continuationSeparator" w:id="1">
    <w:p w:rsidR="00AC7574" w:rsidRDefault="00AC7574" w:rsidP="00133605">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4C922BC"/>
    <w:multiLevelType w:val="hybridMultilevel"/>
    <w:tmpl w:val="A0C67946"/>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
    <w:nsid w:val="36A6429A"/>
    <w:multiLevelType w:val="hybridMultilevel"/>
    <w:tmpl w:val="B2BEA7E4"/>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
    <w:nsid w:val="62F75960"/>
    <w:multiLevelType w:val="hybridMultilevel"/>
    <w:tmpl w:val="D436CF30"/>
    <w:lvl w:ilvl="0" w:tplc="DB1EA7C0">
      <w:start w:val="1"/>
      <w:numFmt w:val="bullet"/>
      <w:lvlText w:val="•"/>
      <w:lvlJc w:val="left"/>
      <w:pPr>
        <w:tabs>
          <w:tab w:val="num" w:pos="720"/>
        </w:tabs>
        <w:ind w:left="720" w:hanging="360"/>
      </w:pPr>
      <w:rPr>
        <w:rFonts w:ascii="Times New Roman" w:hAnsi="Times New Roman" w:hint="default"/>
      </w:rPr>
    </w:lvl>
    <w:lvl w:ilvl="1" w:tplc="F6C0DAE6">
      <w:start w:val="1258"/>
      <w:numFmt w:val="bullet"/>
      <w:lvlText w:val="–"/>
      <w:lvlJc w:val="left"/>
      <w:pPr>
        <w:tabs>
          <w:tab w:val="num" w:pos="1440"/>
        </w:tabs>
        <w:ind w:left="1440" w:hanging="360"/>
      </w:pPr>
      <w:rPr>
        <w:rFonts w:ascii="Times New Roman" w:hAnsi="Times New Roman" w:hint="default"/>
      </w:rPr>
    </w:lvl>
    <w:lvl w:ilvl="2" w:tplc="4F54DE68" w:tentative="1">
      <w:start w:val="1"/>
      <w:numFmt w:val="bullet"/>
      <w:lvlText w:val="•"/>
      <w:lvlJc w:val="left"/>
      <w:pPr>
        <w:tabs>
          <w:tab w:val="num" w:pos="2160"/>
        </w:tabs>
        <w:ind w:left="2160" w:hanging="360"/>
      </w:pPr>
      <w:rPr>
        <w:rFonts w:ascii="Times New Roman" w:hAnsi="Times New Roman" w:hint="default"/>
      </w:rPr>
    </w:lvl>
    <w:lvl w:ilvl="3" w:tplc="C68CA1EA" w:tentative="1">
      <w:start w:val="1"/>
      <w:numFmt w:val="bullet"/>
      <w:lvlText w:val="•"/>
      <w:lvlJc w:val="left"/>
      <w:pPr>
        <w:tabs>
          <w:tab w:val="num" w:pos="2880"/>
        </w:tabs>
        <w:ind w:left="2880" w:hanging="360"/>
      </w:pPr>
      <w:rPr>
        <w:rFonts w:ascii="Times New Roman" w:hAnsi="Times New Roman" w:hint="default"/>
      </w:rPr>
    </w:lvl>
    <w:lvl w:ilvl="4" w:tplc="1EBC6A34" w:tentative="1">
      <w:start w:val="1"/>
      <w:numFmt w:val="bullet"/>
      <w:lvlText w:val="•"/>
      <w:lvlJc w:val="left"/>
      <w:pPr>
        <w:tabs>
          <w:tab w:val="num" w:pos="3600"/>
        </w:tabs>
        <w:ind w:left="3600" w:hanging="360"/>
      </w:pPr>
      <w:rPr>
        <w:rFonts w:ascii="Times New Roman" w:hAnsi="Times New Roman" w:hint="default"/>
      </w:rPr>
    </w:lvl>
    <w:lvl w:ilvl="5" w:tplc="CA76B052" w:tentative="1">
      <w:start w:val="1"/>
      <w:numFmt w:val="bullet"/>
      <w:lvlText w:val="•"/>
      <w:lvlJc w:val="left"/>
      <w:pPr>
        <w:tabs>
          <w:tab w:val="num" w:pos="4320"/>
        </w:tabs>
        <w:ind w:left="4320" w:hanging="360"/>
      </w:pPr>
      <w:rPr>
        <w:rFonts w:ascii="Times New Roman" w:hAnsi="Times New Roman" w:hint="default"/>
      </w:rPr>
    </w:lvl>
    <w:lvl w:ilvl="6" w:tplc="CCECFA7C" w:tentative="1">
      <w:start w:val="1"/>
      <w:numFmt w:val="bullet"/>
      <w:lvlText w:val="•"/>
      <w:lvlJc w:val="left"/>
      <w:pPr>
        <w:tabs>
          <w:tab w:val="num" w:pos="5040"/>
        </w:tabs>
        <w:ind w:left="5040" w:hanging="360"/>
      </w:pPr>
      <w:rPr>
        <w:rFonts w:ascii="Times New Roman" w:hAnsi="Times New Roman" w:hint="default"/>
      </w:rPr>
    </w:lvl>
    <w:lvl w:ilvl="7" w:tplc="2F647A30" w:tentative="1">
      <w:start w:val="1"/>
      <w:numFmt w:val="bullet"/>
      <w:lvlText w:val="•"/>
      <w:lvlJc w:val="left"/>
      <w:pPr>
        <w:tabs>
          <w:tab w:val="num" w:pos="5760"/>
        </w:tabs>
        <w:ind w:left="5760" w:hanging="360"/>
      </w:pPr>
      <w:rPr>
        <w:rFonts w:ascii="Times New Roman" w:hAnsi="Times New Roman" w:hint="default"/>
      </w:rPr>
    </w:lvl>
    <w:lvl w:ilvl="8" w:tplc="2488D66E" w:tentative="1">
      <w:start w:val="1"/>
      <w:numFmt w:val="bullet"/>
      <w:lvlText w:val="•"/>
      <w:lvlJc w:val="left"/>
      <w:pPr>
        <w:tabs>
          <w:tab w:val="num" w:pos="6480"/>
        </w:tabs>
        <w:ind w:left="6480" w:hanging="360"/>
      </w:pPr>
      <w:rPr>
        <w:rFonts w:ascii="Times New Roman" w:hAnsi="Times New Roman" w:hint="default"/>
      </w:rPr>
    </w:lvl>
  </w:abstractNum>
  <w:abstractNum w:abstractNumId="3">
    <w:nsid w:val="6A4D5D52"/>
    <w:multiLevelType w:val="hybridMultilevel"/>
    <w:tmpl w:val="9F4E1D06"/>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4">
    <w:nsid w:val="74AD7410"/>
    <w:multiLevelType w:val="hybridMultilevel"/>
    <w:tmpl w:val="90A807EE"/>
    <w:lvl w:ilvl="0" w:tplc="89CAB1FE">
      <w:start w:val="1"/>
      <w:numFmt w:val="bullet"/>
      <w:lvlText w:val="•"/>
      <w:lvlJc w:val="left"/>
      <w:pPr>
        <w:tabs>
          <w:tab w:val="num" w:pos="720"/>
        </w:tabs>
        <w:ind w:left="720" w:hanging="360"/>
      </w:pPr>
      <w:rPr>
        <w:rFonts w:ascii="Times New Roman" w:hAnsi="Times New Roman" w:hint="default"/>
      </w:rPr>
    </w:lvl>
    <w:lvl w:ilvl="1" w:tplc="F7C0330A" w:tentative="1">
      <w:start w:val="1"/>
      <w:numFmt w:val="bullet"/>
      <w:lvlText w:val="•"/>
      <w:lvlJc w:val="left"/>
      <w:pPr>
        <w:tabs>
          <w:tab w:val="num" w:pos="1440"/>
        </w:tabs>
        <w:ind w:left="1440" w:hanging="360"/>
      </w:pPr>
      <w:rPr>
        <w:rFonts w:ascii="Times New Roman" w:hAnsi="Times New Roman" w:hint="default"/>
      </w:rPr>
    </w:lvl>
    <w:lvl w:ilvl="2" w:tplc="919A596E" w:tentative="1">
      <w:start w:val="1"/>
      <w:numFmt w:val="bullet"/>
      <w:lvlText w:val="•"/>
      <w:lvlJc w:val="left"/>
      <w:pPr>
        <w:tabs>
          <w:tab w:val="num" w:pos="2160"/>
        </w:tabs>
        <w:ind w:left="2160" w:hanging="360"/>
      </w:pPr>
      <w:rPr>
        <w:rFonts w:ascii="Times New Roman" w:hAnsi="Times New Roman" w:hint="default"/>
      </w:rPr>
    </w:lvl>
    <w:lvl w:ilvl="3" w:tplc="26B675B4" w:tentative="1">
      <w:start w:val="1"/>
      <w:numFmt w:val="bullet"/>
      <w:lvlText w:val="•"/>
      <w:lvlJc w:val="left"/>
      <w:pPr>
        <w:tabs>
          <w:tab w:val="num" w:pos="2880"/>
        </w:tabs>
        <w:ind w:left="2880" w:hanging="360"/>
      </w:pPr>
      <w:rPr>
        <w:rFonts w:ascii="Times New Roman" w:hAnsi="Times New Roman" w:hint="default"/>
      </w:rPr>
    </w:lvl>
    <w:lvl w:ilvl="4" w:tplc="F3D0FBC6" w:tentative="1">
      <w:start w:val="1"/>
      <w:numFmt w:val="bullet"/>
      <w:lvlText w:val="•"/>
      <w:lvlJc w:val="left"/>
      <w:pPr>
        <w:tabs>
          <w:tab w:val="num" w:pos="3600"/>
        </w:tabs>
        <w:ind w:left="3600" w:hanging="360"/>
      </w:pPr>
      <w:rPr>
        <w:rFonts w:ascii="Times New Roman" w:hAnsi="Times New Roman" w:hint="default"/>
      </w:rPr>
    </w:lvl>
    <w:lvl w:ilvl="5" w:tplc="9E4E932E" w:tentative="1">
      <w:start w:val="1"/>
      <w:numFmt w:val="bullet"/>
      <w:lvlText w:val="•"/>
      <w:lvlJc w:val="left"/>
      <w:pPr>
        <w:tabs>
          <w:tab w:val="num" w:pos="4320"/>
        </w:tabs>
        <w:ind w:left="4320" w:hanging="360"/>
      </w:pPr>
      <w:rPr>
        <w:rFonts w:ascii="Times New Roman" w:hAnsi="Times New Roman" w:hint="default"/>
      </w:rPr>
    </w:lvl>
    <w:lvl w:ilvl="6" w:tplc="E940DD9E" w:tentative="1">
      <w:start w:val="1"/>
      <w:numFmt w:val="bullet"/>
      <w:lvlText w:val="•"/>
      <w:lvlJc w:val="left"/>
      <w:pPr>
        <w:tabs>
          <w:tab w:val="num" w:pos="5040"/>
        </w:tabs>
        <w:ind w:left="5040" w:hanging="360"/>
      </w:pPr>
      <w:rPr>
        <w:rFonts w:ascii="Times New Roman" w:hAnsi="Times New Roman" w:hint="default"/>
      </w:rPr>
    </w:lvl>
    <w:lvl w:ilvl="7" w:tplc="AAD4384A" w:tentative="1">
      <w:start w:val="1"/>
      <w:numFmt w:val="bullet"/>
      <w:lvlText w:val="•"/>
      <w:lvlJc w:val="left"/>
      <w:pPr>
        <w:tabs>
          <w:tab w:val="num" w:pos="5760"/>
        </w:tabs>
        <w:ind w:left="5760" w:hanging="360"/>
      </w:pPr>
      <w:rPr>
        <w:rFonts w:ascii="Times New Roman" w:hAnsi="Times New Roman" w:hint="default"/>
      </w:rPr>
    </w:lvl>
    <w:lvl w:ilvl="8" w:tplc="DE5E4140" w:tentative="1">
      <w:start w:val="1"/>
      <w:numFmt w:val="bullet"/>
      <w:lvlText w:val="•"/>
      <w:lvlJc w:val="left"/>
      <w:pPr>
        <w:tabs>
          <w:tab w:val="num" w:pos="6480"/>
        </w:tabs>
        <w:ind w:left="6480" w:hanging="360"/>
      </w:pPr>
      <w:rPr>
        <w:rFonts w:ascii="Times New Roman" w:hAnsi="Times New Roman" w:hint="default"/>
      </w:rPr>
    </w:lvl>
  </w:abstractNum>
  <w:num w:numId="1">
    <w:abstractNumId w:val="2"/>
  </w:num>
  <w:num w:numId="2">
    <w:abstractNumId w:val="1"/>
  </w:num>
  <w:num w:numId="3">
    <w:abstractNumId w:val="0"/>
  </w:num>
  <w:num w:numId="4">
    <w:abstractNumId w:val="3"/>
  </w:num>
  <w:num w:numId="5">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A17A78"/>
    <w:rsid w:val="00133605"/>
    <w:rsid w:val="002940E1"/>
    <w:rsid w:val="003E6E35"/>
    <w:rsid w:val="004F42DA"/>
    <w:rsid w:val="006B2B47"/>
    <w:rsid w:val="007C3218"/>
    <w:rsid w:val="008600BF"/>
    <w:rsid w:val="008826BE"/>
    <w:rsid w:val="008A5596"/>
    <w:rsid w:val="00A17A78"/>
    <w:rsid w:val="00A3265A"/>
    <w:rsid w:val="00AC7574"/>
    <w:rsid w:val="00B22381"/>
    <w:rsid w:val="00B454E5"/>
    <w:rsid w:val="00BC312C"/>
    <w:rsid w:val="00BC45BB"/>
    <w:rsid w:val="00EA12CE"/>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B2B47"/>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133605"/>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133605"/>
  </w:style>
  <w:style w:type="paragraph" w:styleId="Footer">
    <w:name w:val="footer"/>
    <w:basedOn w:val="Normal"/>
    <w:link w:val="FooterChar"/>
    <w:uiPriority w:val="99"/>
    <w:unhideWhenUsed/>
    <w:rsid w:val="001336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3605"/>
  </w:style>
  <w:style w:type="paragraph" w:styleId="ListParagraph">
    <w:name w:val="List Paragraph"/>
    <w:basedOn w:val="Normal"/>
    <w:uiPriority w:val="34"/>
    <w:qFormat/>
    <w:rsid w:val="00133605"/>
    <w:pPr>
      <w:ind w:left="720"/>
      <w:contextualSpacing/>
    </w:pPr>
  </w:style>
</w:styles>
</file>

<file path=word/webSettings.xml><?xml version="1.0" encoding="utf-8"?>
<w:webSettings xmlns:r="http://schemas.openxmlformats.org/officeDocument/2006/relationships" xmlns:w="http://schemas.openxmlformats.org/wordprocessingml/2006/main">
  <w:divs>
    <w:div w:id="280234607">
      <w:bodyDiv w:val="1"/>
      <w:marLeft w:val="0"/>
      <w:marRight w:val="0"/>
      <w:marTop w:val="0"/>
      <w:marBottom w:val="0"/>
      <w:divBdr>
        <w:top w:val="none" w:sz="0" w:space="0" w:color="auto"/>
        <w:left w:val="none" w:sz="0" w:space="0" w:color="auto"/>
        <w:bottom w:val="none" w:sz="0" w:space="0" w:color="auto"/>
        <w:right w:val="none" w:sz="0" w:space="0" w:color="auto"/>
      </w:divBdr>
      <w:divsChild>
        <w:div w:id="1390886126">
          <w:marLeft w:val="547"/>
          <w:marRight w:val="0"/>
          <w:marTop w:val="154"/>
          <w:marBottom w:val="0"/>
          <w:divBdr>
            <w:top w:val="none" w:sz="0" w:space="0" w:color="auto"/>
            <w:left w:val="none" w:sz="0" w:space="0" w:color="auto"/>
            <w:bottom w:val="none" w:sz="0" w:space="0" w:color="auto"/>
            <w:right w:val="none" w:sz="0" w:space="0" w:color="auto"/>
          </w:divBdr>
        </w:div>
        <w:div w:id="410156995">
          <w:marLeft w:val="547"/>
          <w:marRight w:val="0"/>
          <w:marTop w:val="154"/>
          <w:marBottom w:val="0"/>
          <w:divBdr>
            <w:top w:val="none" w:sz="0" w:space="0" w:color="auto"/>
            <w:left w:val="none" w:sz="0" w:space="0" w:color="auto"/>
            <w:bottom w:val="none" w:sz="0" w:space="0" w:color="auto"/>
            <w:right w:val="none" w:sz="0" w:space="0" w:color="auto"/>
          </w:divBdr>
        </w:div>
      </w:divsChild>
    </w:div>
    <w:div w:id="1530483703">
      <w:bodyDiv w:val="1"/>
      <w:marLeft w:val="0"/>
      <w:marRight w:val="0"/>
      <w:marTop w:val="0"/>
      <w:marBottom w:val="0"/>
      <w:divBdr>
        <w:top w:val="none" w:sz="0" w:space="0" w:color="auto"/>
        <w:left w:val="none" w:sz="0" w:space="0" w:color="auto"/>
        <w:bottom w:val="none" w:sz="0" w:space="0" w:color="auto"/>
        <w:right w:val="none" w:sz="0" w:space="0" w:color="auto"/>
      </w:divBdr>
      <w:divsChild>
        <w:div w:id="2076705736">
          <w:marLeft w:val="547"/>
          <w:marRight w:val="0"/>
          <w:marTop w:val="154"/>
          <w:marBottom w:val="0"/>
          <w:divBdr>
            <w:top w:val="none" w:sz="0" w:space="0" w:color="auto"/>
            <w:left w:val="none" w:sz="0" w:space="0" w:color="auto"/>
            <w:bottom w:val="none" w:sz="0" w:space="0" w:color="auto"/>
            <w:right w:val="none" w:sz="0" w:space="0" w:color="auto"/>
          </w:divBdr>
        </w:div>
        <w:div w:id="328679805">
          <w:marLeft w:val="547"/>
          <w:marRight w:val="0"/>
          <w:marTop w:val="115"/>
          <w:marBottom w:val="0"/>
          <w:divBdr>
            <w:top w:val="none" w:sz="0" w:space="0" w:color="auto"/>
            <w:left w:val="none" w:sz="0" w:space="0" w:color="auto"/>
            <w:bottom w:val="none" w:sz="0" w:space="0" w:color="auto"/>
            <w:right w:val="none" w:sz="0" w:space="0" w:color="auto"/>
          </w:divBdr>
        </w:div>
        <w:div w:id="1729374929">
          <w:marLeft w:val="547"/>
          <w:marRight w:val="0"/>
          <w:marTop w:val="115"/>
          <w:marBottom w:val="0"/>
          <w:divBdr>
            <w:top w:val="none" w:sz="0" w:space="0" w:color="auto"/>
            <w:left w:val="none" w:sz="0" w:space="0" w:color="auto"/>
            <w:bottom w:val="none" w:sz="0" w:space="0" w:color="auto"/>
            <w:right w:val="none" w:sz="0" w:space="0" w:color="auto"/>
          </w:divBdr>
        </w:div>
        <w:div w:id="840126353">
          <w:marLeft w:val="547"/>
          <w:marRight w:val="0"/>
          <w:marTop w:val="115"/>
          <w:marBottom w:val="0"/>
          <w:divBdr>
            <w:top w:val="none" w:sz="0" w:space="0" w:color="auto"/>
            <w:left w:val="none" w:sz="0" w:space="0" w:color="auto"/>
            <w:bottom w:val="none" w:sz="0" w:space="0" w:color="auto"/>
            <w:right w:val="none" w:sz="0" w:space="0" w:color="auto"/>
          </w:divBdr>
        </w:div>
        <w:div w:id="253515425">
          <w:marLeft w:val="547"/>
          <w:marRight w:val="0"/>
          <w:marTop w:val="154"/>
          <w:marBottom w:val="0"/>
          <w:divBdr>
            <w:top w:val="none" w:sz="0" w:space="0" w:color="auto"/>
            <w:left w:val="none" w:sz="0" w:space="0" w:color="auto"/>
            <w:bottom w:val="none" w:sz="0" w:space="0" w:color="auto"/>
            <w:right w:val="none" w:sz="0" w:space="0" w:color="auto"/>
          </w:divBdr>
        </w:div>
        <w:div w:id="263877771">
          <w:marLeft w:val="547"/>
          <w:marRight w:val="0"/>
          <w:marTop w:val="134"/>
          <w:marBottom w:val="0"/>
          <w:divBdr>
            <w:top w:val="none" w:sz="0" w:space="0" w:color="auto"/>
            <w:left w:val="none" w:sz="0" w:space="0" w:color="auto"/>
            <w:bottom w:val="none" w:sz="0" w:space="0" w:color="auto"/>
            <w:right w:val="none" w:sz="0" w:space="0" w:color="auto"/>
          </w:divBdr>
        </w:div>
        <w:div w:id="744955809">
          <w:marLeft w:val="547"/>
          <w:marRight w:val="0"/>
          <w:marTop w:val="134"/>
          <w:marBottom w:val="0"/>
          <w:divBdr>
            <w:top w:val="none" w:sz="0" w:space="0" w:color="auto"/>
            <w:left w:val="none" w:sz="0" w:space="0" w:color="auto"/>
            <w:bottom w:val="none" w:sz="0" w:space="0" w:color="auto"/>
            <w:right w:val="none" w:sz="0" w:space="0" w:color="auto"/>
          </w:divBdr>
        </w:div>
        <w:div w:id="1944681196">
          <w:marLeft w:val="547"/>
          <w:marRight w:val="0"/>
          <w:marTop w:val="154"/>
          <w:marBottom w:val="0"/>
          <w:divBdr>
            <w:top w:val="none" w:sz="0" w:space="0" w:color="auto"/>
            <w:left w:val="none" w:sz="0" w:space="0" w:color="auto"/>
            <w:bottom w:val="none" w:sz="0" w:space="0" w:color="auto"/>
            <w:right w:val="none" w:sz="0" w:space="0" w:color="auto"/>
          </w:divBdr>
        </w:div>
        <w:div w:id="1796026175">
          <w:marLeft w:val="547"/>
          <w:marRight w:val="0"/>
          <w:marTop w:val="154"/>
          <w:marBottom w:val="0"/>
          <w:divBdr>
            <w:top w:val="none" w:sz="0" w:space="0" w:color="auto"/>
            <w:left w:val="none" w:sz="0" w:space="0" w:color="auto"/>
            <w:bottom w:val="none" w:sz="0" w:space="0" w:color="auto"/>
            <w:right w:val="none" w:sz="0" w:space="0" w:color="auto"/>
          </w:divBdr>
        </w:div>
        <w:div w:id="133717730">
          <w:marLeft w:val="547"/>
          <w:marRight w:val="0"/>
          <w:marTop w:val="154"/>
          <w:marBottom w:val="0"/>
          <w:divBdr>
            <w:top w:val="none" w:sz="0" w:space="0" w:color="auto"/>
            <w:left w:val="none" w:sz="0" w:space="0" w:color="auto"/>
            <w:bottom w:val="none" w:sz="0" w:space="0" w:color="auto"/>
            <w:right w:val="none" w:sz="0" w:space="0" w:color="auto"/>
          </w:divBdr>
        </w:div>
        <w:div w:id="717127121">
          <w:marLeft w:val="547"/>
          <w:marRight w:val="0"/>
          <w:marTop w:val="154"/>
          <w:marBottom w:val="0"/>
          <w:divBdr>
            <w:top w:val="none" w:sz="0" w:space="0" w:color="auto"/>
            <w:left w:val="none" w:sz="0" w:space="0" w:color="auto"/>
            <w:bottom w:val="none" w:sz="0" w:space="0" w:color="auto"/>
            <w:right w:val="none" w:sz="0" w:space="0" w:color="auto"/>
          </w:divBdr>
        </w:div>
        <w:div w:id="1472479395">
          <w:marLeft w:val="547"/>
          <w:marRight w:val="0"/>
          <w:marTop w:val="154"/>
          <w:marBottom w:val="0"/>
          <w:divBdr>
            <w:top w:val="none" w:sz="0" w:space="0" w:color="auto"/>
            <w:left w:val="none" w:sz="0" w:space="0" w:color="auto"/>
            <w:bottom w:val="none" w:sz="0" w:space="0" w:color="auto"/>
            <w:right w:val="none" w:sz="0" w:space="0" w:color="auto"/>
          </w:divBdr>
        </w:div>
        <w:div w:id="1312441908">
          <w:marLeft w:val="547"/>
          <w:marRight w:val="0"/>
          <w:marTop w:val="96"/>
          <w:marBottom w:val="0"/>
          <w:divBdr>
            <w:top w:val="none" w:sz="0" w:space="0" w:color="auto"/>
            <w:left w:val="none" w:sz="0" w:space="0" w:color="auto"/>
            <w:bottom w:val="none" w:sz="0" w:space="0" w:color="auto"/>
            <w:right w:val="none" w:sz="0" w:space="0" w:color="auto"/>
          </w:divBdr>
        </w:div>
        <w:div w:id="1566335988">
          <w:marLeft w:val="1166"/>
          <w:marRight w:val="0"/>
          <w:marTop w:val="86"/>
          <w:marBottom w:val="0"/>
          <w:divBdr>
            <w:top w:val="none" w:sz="0" w:space="0" w:color="auto"/>
            <w:left w:val="none" w:sz="0" w:space="0" w:color="auto"/>
            <w:bottom w:val="none" w:sz="0" w:space="0" w:color="auto"/>
            <w:right w:val="none" w:sz="0" w:space="0" w:color="auto"/>
          </w:divBdr>
        </w:div>
        <w:div w:id="1008022418">
          <w:marLeft w:val="1166"/>
          <w:marRight w:val="0"/>
          <w:marTop w:val="86"/>
          <w:marBottom w:val="0"/>
          <w:divBdr>
            <w:top w:val="none" w:sz="0" w:space="0" w:color="auto"/>
            <w:left w:val="none" w:sz="0" w:space="0" w:color="auto"/>
            <w:bottom w:val="none" w:sz="0" w:space="0" w:color="auto"/>
            <w:right w:val="none" w:sz="0" w:space="0" w:color="auto"/>
          </w:divBdr>
        </w:div>
        <w:div w:id="1889487934">
          <w:marLeft w:val="547"/>
          <w:marRight w:val="0"/>
          <w:marTop w:val="96"/>
          <w:marBottom w:val="0"/>
          <w:divBdr>
            <w:top w:val="none" w:sz="0" w:space="0" w:color="auto"/>
            <w:left w:val="none" w:sz="0" w:space="0" w:color="auto"/>
            <w:bottom w:val="none" w:sz="0" w:space="0" w:color="auto"/>
            <w:right w:val="none" w:sz="0" w:space="0" w:color="auto"/>
          </w:divBdr>
        </w:div>
        <w:div w:id="315845249">
          <w:marLeft w:val="547"/>
          <w:marRight w:val="0"/>
          <w:marTop w:val="96"/>
          <w:marBottom w:val="0"/>
          <w:divBdr>
            <w:top w:val="none" w:sz="0" w:space="0" w:color="auto"/>
            <w:left w:val="none" w:sz="0" w:space="0" w:color="auto"/>
            <w:bottom w:val="none" w:sz="0" w:space="0" w:color="auto"/>
            <w:right w:val="none" w:sz="0" w:space="0" w:color="auto"/>
          </w:divBdr>
        </w:div>
        <w:div w:id="1828665781">
          <w:marLeft w:val="547"/>
          <w:marRight w:val="0"/>
          <w:marTop w:val="192"/>
          <w:marBottom w:val="0"/>
          <w:divBdr>
            <w:top w:val="none" w:sz="0" w:space="0" w:color="auto"/>
            <w:left w:val="none" w:sz="0" w:space="0" w:color="auto"/>
            <w:bottom w:val="none" w:sz="0" w:space="0" w:color="auto"/>
            <w:right w:val="none" w:sz="0" w:space="0" w:color="auto"/>
          </w:divBdr>
        </w:div>
        <w:div w:id="2139906237">
          <w:marLeft w:val="547"/>
          <w:marRight w:val="0"/>
          <w:marTop w:val="154"/>
          <w:marBottom w:val="0"/>
          <w:divBdr>
            <w:top w:val="none" w:sz="0" w:space="0" w:color="auto"/>
            <w:left w:val="none" w:sz="0" w:space="0" w:color="auto"/>
            <w:bottom w:val="none" w:sz="0" w:space="0" w:color="auto"/>
            <w:right w:val="none" w:sz="0" w:space="0" w:color="auto"/>
          </w:divBdr>
        </w:div>
        <w:div w:id="1663971643">
          <w:marLeft w:val="547"/>
          <w:marRight w:val="0"/>
          <w:marTop w:val="154"/>
          <w:marBottom w:val="0"/>
          <w:divBdr>
            <w:top w:val="none" w:sz="0" w:space="0" w:color="auto"/>
            <w:left w:val="none" w:sz="0" w:space="0" w:color="auto"/>
            <w:bottom w:val="none" w:sz="0" w:space="0" w:color="auto"/>
            <w:right w:val="none" w:sz="0" w:space="0" w:color="auto"/>
          </w:divBdr>
        </w:div>
        <w:div w:id="1008481219">
          <w:marLeft w:val="547"/>
          <w:marRight w:val="0"/>
          <w:marTop w:val="192"/>
          <w:marBottom w:val="0"/>
          <w:divBdr>
            <w:top w:val="none" w:sz="0" w:space="0" w:color="auto"/>
            <w:left w:val="none" w:sz="0" w:space="0" w:color="auto"/>
            <w:bottom w:val="none" w:sz="0" w:space="0" w:color="auto"/>
            <w:right w:val="none" w:sz="0" w:space="0" w:color="auto"/>
          </w:divBdr>
        </w:div>
        <w:div w:id="1157300678">
          <w:marLeft w:val="547"/>
          <w:marRight w:val="0"/>
          <w:marTop w:val="115"/>
          <w:marBottom w:val="0"/>
          <w:divBdr>
            <w:top w:val="none" w:sz="0" w:space="0" w:color="auto"/>
            <w:left w:val="none" w:sz="0" w:space="0" w:color="auto"/>
            <w:bottom w:val="none" w:sz="0" w:space="0" w:color="auto"/>
            <w:right w:val="none" w:sz="0" w:space="0" w:color="auto"/>
          </w:divBdr>
        </w:div>
        <w:div w:id="121970512">
          <w:marLeft w:val="1166"/>
          <w:marRight w:val="0"/>
          <w:marTop w:val="96"/>
          <w:marBottom w:val="0"/>
          <w:divBdr>
            <w:top w:val="none" w:sz="0" w:space="0" w:color="auto"/>
            <w:left w:val="none" w:sz="0" w:space="0" w:color="auto"/>
            <w:bottom w:val="none" w:sz="0" w:space="0" w:color="auto"/>
            <w:right w:val="none" w:sz="0" w:space="0" w:color="auto"/>
          </w:divBdr>
        </w:div>
        <w:div w:id="1136027850">
          <w:marLeft w:val="1166"/>
          <w:marRight w:val="0"/>
          <w:marTop w:val="96"/>
          <w:marBottom w:val="0"/>
          <w:divBdr>
            <w:top w:val="none" w:sz="0" w:space="0" w:color="auto"/>
            <w:left w:val="none" w:sz="0" w:space="0" w:color="auto"/>
            <w:bottom w:val="none" w:sz="0" w:space="0" w:color="auto"/>
            <w:right w:val="none" w:sz="0" w:space="0" w:color="auto"/>
          </w:divBdr>
        </w:div>
        <w:div w:id="761337048">
          <w:marLeft w:val="1166"/>
          <w:marRight w:val="0"/>
          <w:marTop w:val="96"/>
          <w:marBottom w:val="0"/>
          <w:divBdr>
            <w:top w:val="none" w:sz="0" w:space="0" w:color="auto"/>
            <w:left w:val="none" w:sz="0" w:space="0" w:color="auto"/>
            <w:bottom w:val="none" w:sz="0" w:space="0" w:color="auto"/>
            <w:right w:val="none" w:sz="0" w:space="0" w:color="auto"/>
          </w:divBdr>
        </w:div>
        <w:div w:id="754131504">
          <w:marLeft w:val="1166"/>
          <w:marRight w:val="0"/>
          <w:marTop w:val="96"/>
          <w:marBottom w:val="0"/>
          <w:divBdr>
            <w:top w:val="none" w:sz="0" w:space="0" w:color="auto"/>
            <w:left w:val="none" w:sz="0" w:space="0" w:color="auto"/>
            <w:bottom w:val="none" w:sz="0" w:space="0" w:color="auto"/>
            <w:right w:val="none" w:sz="0" w:space="0" w:color="auto"/>
          </w:divBdr>
        </w:div>
        <w:div w:id="440808521">
          <w:marLeft w:val="1166"/>
          <w:marRight w:val="0"/>
          <w:marTop w:val="96"/>
          <w:marBottom w:val="0"/>
          <w:divBdr>
            <w:top w:val="none" w:sz="0" w:space="0" w:color="auto"/>
            <w:left w:val="none" w:sz="0" w:space="0" w:color="auto"/>
            <w:bottom w:val="none" w:sz="0" w:space="0" w:color="auto"/>
            <w:right w:val="none" w:sz="0" w:space="0" w:color="auto"/>
          </w:divBdr>
        </w:div>
        <w:div w:id="1578593987">
          <w:marLeft w:val="547"/>
          <w:marRight w:val="0"/>
          <w:marTop w:val="115"/>
          <w:marBottom w:val="0"/>
          <w:divBdr>
            <w:top w:val="none" w:sz="0" w:space="0" w:color="auto"/>
            <w:left w:val="none" w:sz="0" w:space="0" w:color="auto"/>
            <w:bottom w:val="none" w:sz="0" w:space="0" w:color="auto"/>
            <w:right w:val="none" w:sz="0" w:space="0" w:color="auto"/>
          </w:divBdr>
        </w:div>
        <w:div w:id="1333876515">
          <w:marLeft w:val="547"/>
          <w:marRight w:val="0"/>
          <w:marTop w:val="154"/>
          <w:marBottom w:val="0"/>
          <w:divBdr>
            <w:top w:val="none" w:sz="0" w:space="0" w:color="auto"/>
            <w:left w:val="none" w:sz="0" w:space="0" w:color="auto"/>
            <w:bottom w:val="none" w:sz="0" w:space="0" w:color="auto"/>
            <w:right w:val="none" w:sz="0" w:space="0" w:color="auto"/>
          </w:divBdr>
        </w:div>
        <w:div w:id="2044940291">
          <w:marLeft w:val="547"/>
          <w:marRight w:val="0"/>
          <w:marTop w:val="134"/>
          <w:marBottom w:val="0"/>
          <w:divBdr>
            <w:top w:val="none" w:sz="0" w:space="0" w:color="auto"/>
            <w:left w:val="none" w:sz="0" w:space="0" w:color="auto"/>
            <w:bottom w:val="none" w:sz="0" w:space="0" w:color="auto"/>
            <w:right w:val="none" w:sz="0" w:space="0" w:color="auto"/>
          </w:divBdr>
        </w:div>
        <w:div w:id="364840415">
          <w:marLeft w:val="547"/>
          <w:marRight w:val="0"/>
          <w:marTop w:val="134"/>
          <w:marBottom w:val="0"/>
          <w:divBdr>
            <w:top w:val="none" w:sz="0" w:space="0" w:color="auto"/>
            <w:left w:val="none" w:sz="0" w:space="0" w:color="auto"/>
            <w:bottom w:val="none" w:sz="0" w:space="0" w:color="auto"/>
            <w:right w:val="none" w:sz="0" w:space="0" w:color="auto"/>
          </w:divBdr>
        </w:div>
        <w:div w:id="892884089">
          <w:marLeft w:val="547"/>
          <w:marRight w:val="0"/>
          <w:marTop w:val="134"/>
          <w:marBottom w:val="0"/>
          <w:divBdr>
            <w:top w:val="none" w:sz="0" w:space="0" w:color="auto"/>
            <w:left w:val="none" w:sz="0" w:space="0" w:color="auto"/>
            <w:bottom w:val="none" w:sz="0" w:space="0" w:color="auto"/>
            <w:right w:val="none" w:sz="0" w:space="0" w:color="auto"/>
          </w:divBdr>
        </w:div>
        <w:div w:id="918756206">
          <w:marLeft w:val="547"/>
          <w:marRight w:val="0"/>
          <w:marTop w:val="154"/>
          <w:marBottom w:val="0"/>
          <w:divBdr>
            <w:top w:val="none" w:sz="0" w:space="0" w:color="auto"/>
            <w:left w:val="none" w:sz="0" w:space="0" w:color="auto"/>
            <w:bottom w:val="none" w:sz="0" w:space="0" w:color="auto"/>
            <w:right w:val="none" w:sz="0" w:space="0" w:color="auto"/>
          </w:divBdr>
        </w:div>
        <w:div w:id="1569684863">
          <w:marLeft w:val="547"/>
          <w:marRight w:val="0"/>
          <w:marTop w:val="134"/>
          <w:marBottom w:val="0"/>
          <w:divBdr>
            <w:top w:val="none" w:sz="0" w:space="0" w:color="auto"/>
            <w:left w:val="none" w:sz="0" w:space="0" w:color="auto"/>
            <w:bottom w:val="none" w:sz="0" w:space="0" w:color="auto"/>
            <w:right w:val="none" w:sz="0" w:space="0" w:color="auto"/>
          </w:divBdr>
        </w:div>
        <w:div w:id="339504353">
          <w:marLeft w:val="547"/>
          <w:marRight w:val="0"/>
          <w:marTop w:val="134"/>
          <w:marBottom w:val="0"/>
          <w:divBdr>
            <w:top w:val="none" w:sz="0" w:space="0" w:color="auto"/>
            <w:left w:val="none" w:sz="0" w:space="0" w:color="auto"/>
            <w:bottom w:val="none" w:sz="0" w:space="0" w:color="auto"/>
            <w:right w:val="none" w:sz="0" w:space="0" w:color="auto"/>
          </w:divBdr>
        </w:div>
        <w:div w:id="628782402">
          <w:marLeft w:val="547"/>
          <w:marRight w:val="0"/>
          <w:marTop w:val="134"/>
          <w:marBottom w:val="0"/>
          <w:divBdr>
            <w:top w:val="none" w:sz="0" w:space="0" w:color="auto"/>
            <w:left w:val="none" w:sz="0" w:space="0" w:color="auto"/>
            <w:bottom w:val="none" w:sz="0" w:space="0" w:color="auto"/>
            <w:right w:val="none" w:sz="0" w:space="0" w:color="auto"/>
          </w:divBdr>
        </w:div>
        <w:div w:id="2101245987">
          <w:marLeft w:val="1166"/>
          <w:marRight w:val="0"/>
          <w:marTop w:val="115"/>
          <w:marBottom w:val="0"/>
          <w:divBdr>
            <w:top w:val="none" w:sz="0" w:space="0" w:color="auto"/>
            <w:left w:val="none" w:sz="0" w:space="0" w:color="auto"/>
            <w:bottom w:val="none" w:sz="0" w:space="0" w:color="auto"/>
            <w:right w:val="none" w:sz="0" w:space="0" w:color="auto"/>
          </w:divBdr>
        </w:div>
        <w:div w:id="85032488">
          <w:marLeft w:val="1166"/>
          <w:marRight w:val="0"/>
          <w:marTop w:val="115"/>
          <w:marBottom w:val="0"/>
          <w:divBdr>
            <w:top w:val="none" w:sz="0" w:space="0" w:color="auto"/>
            <w:left w:val="none" w:sz="0" w:space="0" w:color="auto"/>
            <w:bottom w:val="none" w:sz="0" w:space="0" w:color="auto"/>
            <w:right w:val="none" w:sz="0" w:space="0" w:color="auto"/>
          </w:divBdr>
        </w:div>
        <w:div w:id="2056271025">
          <w:marLeft w:val="1166"/>
          <w:marRight w:val="0"/>
          <w:marTop w:val="115"/>
          <w:marBottom w:val="0"/>
          <w:divBdr>
            <w:top w:val="none" w:sz="0" w:space="0" w:color="auto"/>
            <w:left w:val="none" w:sz="0" w:space="0" w:color="auto"/>
            <w:bottom w:val="none" w:sz="0" w:space="0" w:color="auto"/>
            <w:right w:val="none" w:sz="0" w:space="0" w:color="auto"/>
          </w:divBdr>
        </w:div>
        <w:div w:id="1902251680">
          <w:marLeft w:val="1166"/>
          <w:marRight w:val="0"/>
          <w:marTop w:val="115"/>
          <w:marBottom w:val="0"/>
          <w:divBdr>
            <w:top w:val="none" w:sz="0" w:space="0" w:color="auto"/>
            <w:left w:val="none" w:sz="0" w:space="0" w:color="auto"/>
            <w:bottom w:val="none" w:sz="0" w:space="0" w:color="auto"/>
            <w:right w:val="none" w:sz="0" w:space="0" w:color="auto"/>
          </w:divBdr>
        </w:div>
        <w:div w:id="356078090">
          <w:marLeft w:val="547"/>
          <w:marRight w:val="0"/>
          <w:marTop w:val="154"/>
          <w:marBottom w:val="0"/>
          <w:divBdr>
            <w:top w:val="none" w:sz="0" w:space="0" w:color="auto"/>
            <w:left w:val="none" w:sz="0" w:space="0" w:color="auto"/>
            <w:bottom w:val="none" w:sz="0" w:space="0" w:color="auto"/>
            <w:right w:val="none" w:sz="0" w:space="0" w:color="auto"/>
          </w:divBdr>
        </w:div>
        <w:div w:id="1495418144">
          <w:marLeft w:val="547"/>
          <w:marRight w:val="0"/>
          <w:marTop w:val="154"/>
          <w:marBottom w:val="0"/>
          <w:divBdr>
            <w:top w:val="none" w:sz="0" w:space="0" w:color="auto"/>
            <w:left w:val="none" w:sz="0" w:space="0" w:color="auto"/>
            <w:bottom w:val="none" w:sz="0" w:space="0" w:color="auto"/>
            <w:right w:val="none" w:sz="0" w:space="0" w:color="auto"/>
          </w:divBdr>
        </w:div>
        <w:div w:id="1942831968">
          <w:marLeft w:val="547"/>
          <w:marRight w:val="0"/>
          <w:marTop w:val="154"/>
          <w:marBottom w:val="0"/>
          <w:divBdr>
            <w:top w:val="none" w:sz="0" w:space="0" w:color="auto"/>
            <w:left w:val="none" w:sz="0" w:space="0" w:color="auto"/>
            <w:bottom w:val="none" w:sz="0" w:space="0" w:color="auto"/>
            <w:right w:val="none" w:sz="0" w:space="0" w:color="auto"/>
          </w:divBdr>
        </w:div>
        <w:div w:id="1400515269">
          <w:marLeft w:val="547"/>
          <w:marRight w:val="0"/>
          <w:marTop w:val="154"/>
          <w:marBottom w:val="0"/>
          <w:divBdr>
            <w:top w:val="none" w:sz="0" w:space="0" w:color="auto"/>
            <w:left w:val="none" w:sz="0" w:space="0" w:color="auto"/>
            <w:bottom w:val="none" w:sz="0" w:space="0" w:color="auto"/>
            <w:right w:val="none" w:sz="0" w:space="0" w:color="auto"/>
          </w:divBdr>
        </w:div>
        <w:div w:id="1654140782">
          <w:marLeft w:val="547"/>
          <w:marRight w:val="0"/>
          <w:marTop w:val="154"/>
          <w:marBottom w:val="0"/>
          <w:divBdr>
            <w:top w:val="none" w:sz="0" w:space="0" w:color="auto"/>
            <w:left w:val="none" w:sz="0" w:space="0" w:color="auto"/>
            <w:bottom w:val="none" w:sz="0" w:space="0" w:color="auto"/>
            <w:right w:val="none" w:sz="0" w:space="0" w:color="auto"/>
          </w:divBdr>
        </w:div>
        <w:div w:id="651452108">
          <w:marLeft w:val="547"/>
          <w:marRight w:val="0"/>
          <w:marTop w:val="154"/>
          <w:marBottom w:val="0"/>
          <w:divBdr>
            <w:top w:val="none" w:sz="0" w:space="0" w:color="auto"/>
            <w:left w:val="none" w:sz="0" w:space="0" w:color="auto"/>
            <w:bottom w:val="none" w:sz="0" w:space="0" w:color="auto"/>
            <w:right w:val="none" w:sz="0" w:space="0" w:color="auto"/>
          </w:divBdr>
        </w:div>
        <w:div w:id="1463768925">
          <w:marLeft w:val="547"/>
          <w:marRight w:val="0"/>
          <w:marTop w:val="154"/>
          <w:marBottom w:val="0"/>
          <w:divBdr>
            <w:top w:val="none" w:sz="0" w:space="0" w:color="auto"/>
            <w:left w:val="none" w:sz="0" w:space="0" w:color="auto"/>
            <w:bottom w:val="none" w:sz="0" w:space="0" w:color="auto"/>
            <w:right w:val="none" w:sz="0" w:space="0" w:color="auto"/>
          </w:divBdr>
        </w:div>
        <w:div w:id="501555853">
          <w:marLeft w:val="547"/>
          <w:marRight w:val="0"/>
          <w:marTop w:val="134"/>
          <w:marBottom w:val="0"/>
          <w:divBdr>
            <w:top w:val="none" w:sz="0" w:space="0" w:color="auto"/>
            <w:left w:val="none" w:sz="0" w:space="0" w:color="auto"/>
            <w:bottom w:val="none" w:sz="0" w:space="0" w:color="auto"/>
            <w:right w:val="none" w:sz="0" w:space="0" w:color="auto"/>
          </w:divBdr>
        </w:div>
        <w:div w:id="388385169">
          <w:marLeft w:val="547"/>
          <w:marRight w:val="0"/>
          <w:marTop w:val="134"/>
          <w:marBottom w:val="0"/>
          <w:divBdr>
            <w:top w:val="none" w:sz="0" w:space="0" w:color="auto"/>
            <w:left w:val="none" w:sz="0" w:space="0" w:color="auto"/>
            <w:bottom w:val="none" w:sz="0" w:space="0" w:color="auto"/>
            <w:right w:val="none" w:sz="0" w:space="0" w:color="auto"/>
          </w:divBdr>
        </w:div>
        <w:div w:id="1344042299">
          <w:marLeft w:val="547"/>
          <w:marRight w:val="0"/>
          <w:marTop w:val="134"/>
          <w:marBottom w:val="0"/>
          <w:divBdr>
            <w:top w:val="none" w:sz="0" w:space="0" w:color="auto"/>
            <w:left w:val="none" w:sz="0" w:space="0" w:color="auto"/>
            <w:bottom w:val="none" w:sz="0" w:space="0" w:color="auto"/>
            <w:right w:val="none" w:sz="0" w:space="0" w:color="auto"/>
          </w:divBdr>
        </w:div>
        <w:div w:id="297077439">
          <w:marLeft w:val="547"/>
          <w:marRight w:val="0"/>
          <w:marTop w:val="154"/>
          <w:marBottom w:val="0"/>
          <w:divBdr>
            <w:top w:val="none" w:sz="0" w:space="0" w:color="auto"/>
            <w:left w:val="none" w:sz="0" w:space="0" w:color="auto"/>
            <w:bottom w:val="none" w:sz="0" w:space="0" w:color="auto"/>
            <w:right w:val="none" w:sz="0" w:space="0" w:color="auto"/>
          </w:divBdr>
        </w:div>
        <w:div w:id="1399788527">
          <w:marLeft w:val="547"/>
          <w:marRight w:val="0"/>
          <w:marTop w:val="115"/>
          <w:marBottom w:val="0"/>
          <w:divBdr>
            <w:top w:val="none" w:sz="0" w:space="0" w:color="auto"/>
            <w:left w:val="none" w:sz="0" w:space="0" w:color="auto"/>
            <w:bottom w:val="none" w:sz="0" w:space="0" w:color="auto"/>
            <w:right w:val="none" w:sz="0" w:space="0" w:color="auto"/>
          </w:divBdr>
        </w:div>
        <w:div w:id="1240674690">
          <w:marLeft w:val="547"/>
          <w:marRight w:val="0"/>
          <w:marTop w:val="115"/>
          <w:marBottom w:val="0"/>
          <w:divBdr>
            <w:top w:val="none" w:sz="0" w:space="0" w:color="auto"/>
            <w:left w:val="none" w:sz="0" w:space="0" w:color="auto"/>
            <w:bottom w:val="none" w:sz="0" w:space="0" w:color="auto"/>
            <w:right w:val="none" w:sz="0" w:space="0" w:color="auto"/>
          </w:divBdr>
        </w:div>
        <w:div w:id="1906522881">
          <w:marLeft w:val="547"/>
          <w:marRight w:val="0"/>
          <w:marTop w:val="115"/>
          <w:marBottom w:val="0"/>
          <w:divBdr>
            <w:top w:val="none" w:sz="0" w:space="0" w:color="auto"/>
            <w:left w:val="none" w:sz="0" w:space="0" w:color="auto"/>
            <w:bottom w:val="none" w:sz="0" w:space="0" w:color="auto"/>
            <w:right w:val="none" w:sz="0" w:space="0" w:color="auto"/>
          </w:divBdr>
        </w:div>
        <w:div w:id="510535295">
          <w:marLeft w:val="547"/>
          <w:marRight w:val="0"/>
          <w:marTop w:val="154"/>
          <w:marBottom w:val="0"/>
          <w:divBdr>
            <w:top w:val="none" w:sz="0" w:space="0" w:color="auto"/>
            <w:left w:val="none" w:sz="0" w:space="0" w:color="auto"/>
            <w:bottom w:val="none" w:sz="0" w:space="0" w:color="auto"/>
            <w:right w:val="none" w:sz="0" w:space="0" w:color="auto"/>
          </w:divBdr>
        </w:div>
        <w:div w:id="2046177644">
          <w:marLeft w:val="547"/>
          <w:marRight w:val="0"/>
          <w:marTop w:val="115"/>
          <w:marBottom w:val="0"/>
          <w:divBdr>
            <w:top w:val="none" w:sz="0" w:space="0" w:color="auto"/>
            <w:left w:val="none" w:sz="0" w:space="0" w:color="auto"/>
            <w:bottom w:val="none" w:sz="0" w:space="0" w:color="auto"/>
            <w:right w:val="none" w:sz="0" w:space="0" w:color="auto"/>
          </w:divBdr>
        </w:div>
        <w:div w:id="209075659">
          <w:marLeft w:val="547"/>
          <w:marRight w:val="0"/>
          <w:marTop w:val="115"/>
          <w:marBottom w:val="0"/>
          <w:divBdr>
            <w:top w:val="none" w:sz="0" w:space="0" w:color="auto"/>
            <w:left w:val="none" w:sz="0" w:space="0" w:color="auto"/>
            <w:bottom w:val="none" w:sz="0" w:space="0" w:color="auto"/>
            <w:right w:val="none" w:sz="0" w:space="0" w:color="auto"/>
          </w:divBdr>
        </w:div>
        <w:div w:id="654992955">
          <w:marLeft w:val="547"/>
          <w:marRight w:val="0"/>
          <w:marTop w:val="115"/>
          <w:marBottom w:val="0"/>
          <w:divBdr>
            <w:top w:val="none" w:sz="0" w:space="0" w:color="auto"/>
            <w:left w:val="none" w:sz="0" w:space="0" w:color="auto"/>
            <w:bottom w:val="none" w:sz="0" w:space="0" w:color="auto"/>
            <w:right w:val="none" w:sz="0" w:space="0" w:color="auto"/>
          </w:divBdr>
        </w:div>
        <w:div w:id="59639635">
          <w:marLeft w:val="547"/>
          <w:marRight w:val="0"/>
          <w:marTop w:val="115"/>
          <w:marBottom w:val="0"/>
          <w:divBdr>
            <w:top w:val="none" w:sz="0" w:space="0" w:color="auto"/>
            <w:left w:val="none" w:sz="0" w:space="0" w:color="auto"/>
            <w:bottom w:val="none" w:sz="0" w:space="0" w:color="auto"/>
            <w:right w:val="none" w:sz="0" w:space="0" w:color="auto"/>
          </w:divBdr>
        </w:div>
        <w:div w:id="2111121133">
          <w:marLeft w:val="547"/>
          <w:marRight w:val="0"/>
          <w:marTop w:val="154"/>
          <w:marBottom w:val="0"/>
          <w:divBdr>
            <w:top w:val="none" w:sz="0" w:space="0" w:color="auto"/>
            <w:left w:val="none" w:sz="0" w:space="0" w:color="auto"/>
            <w:bottom w:val="none" w:sz="0" w:space="0" w:color="auto"/>
            <w:right w:val="none" w:sz="0" w:space="0" w:color="auto"/>
          </w:divBdr>
        </w:div>
        <w:div w:id="1413427759">
          <w:marLeft w:val="547"/>
          <w:marRight w:val="0"/>
          <w:marTop w:val="134"/>
          <w:marBottom w:val="0"/>
          <w:divBdr>
            <w:top w:val="none" w:sz="0" w:space="0" w:color="auto"/>
            <w:left w:val="none" w:sz="0" w:space="0" w:color="auto"/>
            <w:bottom w:val="none" w:sz="0" w:space="0" w:color="auto"/>
            <w:right w:val="none" w:sz="0" w:space="0" w:color="auto"/>
          </w:divBdr>
        </w:div>
        <w:div w:id="1210535146">
          <w:marLeft w:val="547"/>
          <w:marRight w:val="0"/>
          <w:marTop w:val="134"/>
          <w:marBottom w:val="0"/>
          <w:divBdr>
            <w:top w:val="none" w:sz="0" w:space="0" w:color="auto"/>
            <w:left w:val="none" w:sz="0" w:space="0" w:color="auto"/>
            <w:bottom w:val="none" w:sz="0" w:space="0" w:color="auto"/>
            <w:right w:val="none" w:sz="0" w:space="0" w:color="auto"/>
          </w:divBdr>
        </w:div>
        <w:div w:id="1455707042">
          <w:marLeft w:val="547"/>
          <w:marRight w:val="0"/>
          <w:marTop w:val="134"/>
          <w:marBottom w:val="0"/>
          <w:divBdr>
            <w:top w:val="none" w:sz="0" w:space="0" w:color="auto"/>
            <w:left w:val="none" w:sz="0" w:space="0" w:color="auto"/>
            <w:bottom w:val="none" w:sz="0" w:space="0" w:color="auto"/>
            <w:right w:val="none" w:sz="0" w:space="0" w:color="auto"/>
          </w:divBdr>
        </w:div>
        <w:div w:id="154958216">
          <w:marLeft w:val="1166"/>
          <w:marRight w:val="0"/>
          <w:marTop w:val="115"/>
          <w:marBottom w:val="0"/>
          <w:divBdr>
            <w:top w:val="none" w:sz="0" w:space="0" w:color="auto"/>
            <w:left w:val="none" w:sz="0" w:space="0" w:color="auto"/>
            <w:bottom w:val="none" w:sz="0" w:space="0" w:color="auto"/>
            <w:right w:val="none" w:sz="0" w:space="0" w:color="auto"/>
          </w:divBdr>
        </w:div>
        <w:div w:id="18431256">
          <w:marLeft w:val="1166"/>
          <w:marRight w:val="0"/>
          <w:marTop w:val="115"/>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40</TotalTime>
  <Pages>4</Pages>
  <Words>1241</Words>
  <Characters>7075</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8300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Glen Jenkins</dc:creator>
  <cp:keywords/>
  <dc:description/>
  <cp:lastModifiedBy>Glen Jenkins</cp:lastModifiedBy>
  <cp:revision>9</cp:revision>
  <dcterms:created xsi:type="dcterms:W3CDTF">2011-10-24T11:30:00Z</dcterms:created>
  <dcterms:modified xsi:type="dcterms:W3CDTF">2011-10-25T14:50:00Z</dcterms:modified>
</cp:coreProperties>
</file>