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88041" w14:textId="77777777" w:rsidR="00FB2585" w:rsidRDefault="00FB2585"/>
    <w:p w14:paraId="480BACC9" w14:textId="77777777" w:rsidR="00FB2585" w:rsidRDefault="00FB2585" w:rsidP="00FB2585">
      <w:r>
        <w:t>Student name: Alexander Rees</w:t>
      </w:r>
    </w:p>
    <w:p w14:paraId="02F083B3" w14:textId="77777777" w:rsidR="00FB2585" w:rsidRDefault="00FB2585" w:rsidP="00FB2585">
      <w:r>
        <w:t xml:space="preserve">Student ID number: 2222263 </w:t>
      </w:r>
    </w:p>
    <w:p w14:paraId="5FF913FC" w14:textId="77777777" w:rsidR="00FB2585" w:rsidRDefault="00FB2585" w:rsidP="00FB2585">
      <w:r>
        <w:t xml:space="preserve">Programme: BSc Professional Policing Practice </w:t>
      </w:r>
    </w:p>
    <w:p w14:paraId="71809FF6" w14:textId="77777777" w:rsidR="00FB2585" w:rsidRDefault="00FB2585" w:rsidP="00FB2585">
      <w:r>
        <w:t xml:space="preserve">Module: Operational Police Practice 2 </w:t>
      </w:r>
    </w:p>
    <w:p w14:paraId="6E85830C" w14:textId="77777777" w:rsidR="00FB2585" w:rsidRDefault="00FB2585" w:rsidP="00FB2585">
      <w:r>
        <w:t>Module code: BMPP5002D</w:t>
      </w:r>
    </w:p>
    <w:p w14:paraId="7665165E" w14:textId="4C1F0C9F" w:rsidR="00E847B0" w:rsidRDefault="00E847B0" w:rsidP="00FB2585">
      <w:r>
        <w:t>Assignment title: Assignment 2</w:t>
      </w:r>
    </w:p>
    <w:p w14:paraId="130145BE" w14:textId="77777777" w:rsidR="00FB2585" w:rsidRDefault="00FB2585" w:rsidP="00FB2585">
      <w:r>
        <w:t xml:space="preserve">Tutor Dr Rhiannon Sandy </w:t>
      </w:r>
    </w:p>
    <w:p w14:paraId="2B282A3B" w14:textId="77777777" w:rsidR="00FB2585" w:rsidRDefault="00FB2585"/>
    <w:p w14:paraId="086AE5E2" w14:textId="77777777" w:rsidR="00FB2585" w:rsidRDefault="00FB2585"/>
    <w:p w14:paraId="471C733B" w14:textId="77777777" w:rsidR="00FB2585" w:rsidRDefault="00FB2585"/>
    <w:p w14:paraId="4C84B239" w14:textId="77777777" w:rsidR="00FB2585" w:rsidRDefault="00FB2585"/>
    <w:p w14:paraId="79A65387" w14:textId="77777777" w:rsidR="00FB2585" w:rsidRDefault="00FB2585"/>
    <w:p w14:paraId="1E113BEF" w14:textId="77777777" w:rsidR="00FB2585" w:rsidRDefault="00FB2585"/>
    <w:p w14:paraId="095DD787" w14:textId="77777777" w:rsidR="00FB2585" w:rsidRDefault="00FB2585"/>
    <w:p w14:paraId="6364158A" w14:textId="77777777" w:rsidR="00FB2585" w:rsidRDefault="00FB2585"/>
    <w:p w14:paraId="0CC3F8FD" w14:textId="77777777" w:rsidR="00FB2585" w:rsidRDefault="00FB2585"/>
    <w:p w14:paraId="3CB99D84" w14:textId="77777777" w:rsidR="00FB2585" w:rsidRDefault="00FB2585"/>
    <w:p w14:paraId="26210FF9" w14:textId="77777777" w:rsidR="00FB2585" w:rsidRDefault="00FB2585"/>
    <w:p w14:paraId="76140F9C" w14:textId="77777777" w:rsidR="00FB2585" w:rsidRDefault="00FB2585"/>
    <w:p w14:paraId="0FEBB2FE" w14:textId="77777777" w:rsidR="00FB2585" w:rsidRDefault="00FB2585"/>
    <w:p w14:paraId="56B1A8A9" w14:textId="77777777" w:rsidR="00FB2585" w:rsidRDefault="00FB2585"/>
    <w:p w14:paraId="38462C84" w14:textId="77777777" w:rsidR="00FB2585" w:rsidRDefault="00FB2585"/>
    <w:p w14:paraId="20383E25" w14:textId="77777777" w:rsidR="00FB2585" w:rsidRDefault="00FB2585"/>
    <w:p w14:paraId="3A9FB549" w14:textId="77777777" w:rsidR="00FB2585" w:rsidRDefault="00FB2585"/>
    <w:p w14:paraId="7320785A" w14:textId="77777777" w:rsidR="00FB2585" w:rsidRDefault="00FB2585"/>
    <w:p w14:paraId="48048506" w14:textId="77777777" w:rsidR="00FB2585" w:rsidRDefault="00FB2585"/>
    <w:p w14:paraId="17FBCAF6" w14:textId="77777777" w:rsidR="00FB2585" w:rsidRDefault="00FB2585"/>
    <w:p w14:paraId="4ACEA730" w14:textId="77777777" w:rsidR="00FB2585" w:rsidRDefault="00FB2585"/>
    <w:p w14:paraId="4F9F29B5" w14:textId="77777777" w:rsidR="00FB2585" w:rsidRDefault="00FB2585"/>
    <w:p w14:paraId="2D84ACB3" w14:textId="77777777" w:rsidR="0016609D" w:rsidRDefault="0016609D"/>
    <w:p w14:paraId="64AB2652" w14:textId="51FE8D6F" w:rsidR="00FB2585" w:rsidRDefault="00FB2585">
      <w:r>
        <w:lastRenderedPageBreak/>
        <w:t xml:space="preserve">Question one: </w:t>
      </w:r>
    </w:p>
    <w:p w14:paraId="158AB4C3" w14:textId="77777777" w:rsidR="00FB2585" w:rsidRPr="00FB2585" w:rsidRDefault="00FB2585"/>
    <w:p w14:paraId="543051B1" w14:textId="4B966B9C" w:rsidR="00341AE0" w:rsidRDefault="004B69AE">
      <w:pPr>
        <w:rPr>
          <w:b/>
          <w:bCs/>
        </w:rPr>
      </w:pPr>
      <w:r w:rsidRPr="004B69AE">
        <w:rPr>
          <w:b/>
          <w:bCs/>
        </w:rPr>
        <w:t>Evaluate the role of police within joint emergency services operations and examine the potential impact that critical and major incidents can have on officers’ mental wellbeing. Your answer must be based on academic research, but you may refer to relevant high-profile incidents.</w:t>
      </w:r>
    </w:p>
    <w:p w14:paraId="12D34C12" w14:textId="77777777" w:rsidR="005569EF" w:rsidRDefault="005569EF">
      <w:pPr>
        <w:rPr>
          <w:b/>
          <w:bCs/>
        </w:rPr>
      </w:pPr>
    </w:p>
    <w:p w14:paraId="3E21A782" w14:textId="77777777" w:rsidR="001F360C" w:rsidRDefault="001F360C">
      <w:pPr>
        <w:rPr>
          <w:b/>
          <w:bCs/>
        </w:rPr>
      </w:pPr>
    </w:p>
    <w:p w14:paraId="372DD897" w14:textId="2916A291" w:rsidR="005818C6" w:rsidRDefault="00545C4D">
      <w:r>
        <w:t xml:space="preserve">In this essay I will be evaluating </w:t>
      </w:r>
      <w:r w:rsidR="00835975">
        <w:t>how joint emergency service operations work and the police</w:t>
      </w:r>
      <w:r w:rsidR="00EA4D48">
        <w:t xml:space="preserve"> </w:t>
      </w:r>
      <w:r w:rsidR="00835975">
        <w:t>s</w:t>
      </w:r>
      <w:r w:rsidR="00EA4D48">
        <w:t>ervices</w:t>
      </w:r>
      <w:r w:rsidR="00835975">
        <w:t xml:space="preserve"> role within them</w:t>
      </w:r>
      <w:r w:rsidR="00B42D7D">
        <w:t xml:space="preserve">, along with the role of the other emergency </w:t>
      </w:r>
      <w:r w:rsidR="00CC2ABD">
        <w:t>services</w:t>
      </w:r>
      <w:r w:rsidR="00B42D7D">
        <w:t>.</w:t>
      </w:r>
      <w:r w:rsidR="005818C6">
        <w:t xml:space="preserve"> I</w:t>
      </w:r>
      <w:r w:rsidR="00B42D7D">
        <w:t xml:space="preserve"> </w:t>
      </w:r>
      <w:r w:rsidR="005818C6">
        <w:t>w</w:t>
      </w:r>
      <w:r w:rsidR="00B42D7D">
        <w:t>ill</w:t>
      </w:r>
      <w:r w:rsidR="00551B4B">
        <w:t xml:space="preserve"> outline the positives of working in collaboration with the other emergency services and highlight high-profile incidents where there have been positive effects as well as </w:t>
      </w:r>
      <w:r w:rsidR="00BF3079">
        <w:t xml:space="preserve">highlighting the areas which can be improved. I will also discuss police </w:t>
      </w:r>
      <w:r w:rsidR="00CC2ABD">
        <w:t>officers’</w:t>
      </w:r>
      <w:r w:rsidR="00BF3079">
        <w:t xml:space="preserve"> mental health and how </w:t>
      </w:r>
      <w:r w:rsidR="00C67D36">
        <w:t xml:space="preserve">major and </w:t>
      </w:r>
      <w:r w:rsidR="00CC2ABD">
        <w:t>critical</w:t>
      </w:r>
      <w:r w:rsidR="00C67D36">
        <w:t xml:space="preserve"> incidents can </w:t>
      </w:r>
      <w:r w:rsidR="00CC2ABD">
        <w:t>affect</w:t>
      </w:r>
      <w:r w:rsidR="00C67D36">
        <w:t xml:space="preserve"> this, and the importance of understanding this to ensure officers are not adversely affected by these incidents.</w:t>
      </w:r>
      <w:r w:rsidR="00CC2ABD">
        <w:t xml:space="preserve"> </w:t>
      </w:r>
    </w:p>
    <w:p w14:paraId="71E8CCDC" w14:textId="77777777" w:rsidR="00190D73" w:rsidRPr="00190D73" w:rsidRDefault="00190D73"/>
    <w:p w14:paraId="751B58DD" w14:textId="1EE7E6BC" w:rsidR="002607F8" w:rsidRDefault="00906F03" w:rsidP="002607F8">
      <w:pPr>
        <w:shd w:val="clear" w:color="auto" w:fill="FFFFFF"/>
        <w:spacing w:before="100" w:beforeAutospacing="1" w:after="225" w:line="240" w:lineRule="auto"/>
        <w:rPr>
          <w:rFonts w:eastAsia="Times New Roman" w:cstheme="minorHAnsi"/>
          <w:color w:val="333333"/>
          <w:kern w:val="0"/>
          <w:lang w:eastAsia="en-GB"/>
          <w14:ligatures w14:val="none"/>
        </w:rPr>
      </w:pPr>
      <w:r w:rsidRPr="007F6263">
        <w:rPr>
          <w:rFonts w:cstheme="minorHAnsi"/>
        </w:rPr>
        <w:t xml:space="preserve">Joint emergency services operations </w:t>
      </w:r>
      <w:r w:rsidR="009B4840" w:rsidRPr="007F6263">
        <w:rPr>
          <w:rFonts w:cstheme="minorHAnsi"/>
        </w:rPr>
        <w:t xml:space="preserve">are in basic terms, all the emergency services of the United Kingdom working </w:t>
      </w:r>
      <w:r w:rsidR="00073818" w:rsidRPr="007F6263">
        <w:rPr>
          <w:rFonts w:cstheme="minorHAnsi"/>
        </w:rPr>
        <w:t>together</w:t>
      </w:r>
      <w:r w:rsidR="00CC4EFA" w:rsidRPr="007F6263">
        <w:rPr>
          <w:rFonts w:cstheme="minorHAnsi"/>
        </w:rPr>
        <w:t>, effectively</w:t>
      </w:r>
      <w:r w:rsidR="0030743C" w:rsidRPr="007F6263">
        <w:rPr>
          <w:rFonts w:cstheme="minorHAnsi"/>
        </w:rPr>
        <w:t>,</w:t>
      </w:r>
      <w:r w:rsidR="00CC4EFA" w:rsidRPr="007F6263">
        <w:rPr>
          <w:rFonts w:cstheme="minorHAnsi"/>
        </w:rPr>
        <w:t xml:space="preserve"> in times of </w:t>
      </w:r>
      <w:r w:rsidR="00274A16" w:rsidRPr="007F6263">
        <w:rPr>
          <w:rFonts w:cstheme="minorHAnsi"/>
        </w:rPr>
        <w:t>major or critical</w:t>
      </w:r>
      <w:r w:rsidR="00CC4EFA" w:rsidRPr="007F6263">
        <w:rPr>
          <w:rFonts w:cstheme="minorHAnsi"/>
        </w:rPr>
        <w:t xml:space="preserve"> incidents</w:t>
      </w:r>
      <w:r w:rsidR="0030743C" w:rsidRPr="007F6263">
        <w:rPr>
          <w:rFonts w:cstheme="minorHAnsi"/>
        </w:rPr>
        <w:t>. T</w:t>
      </w:r>
      <w:r w:rsidR="00A92F78" w:rsidRPr="007F6263">
        <w:rPr>
          <w:rFonts w:cstheme="minorHAnsi"/>
        </w:rPr>
        <w:t xml:space="preserve">hese emergency services include the police, fire service and ambulance service </w:t>
      </w:r>
      <w:r w:rsidR="006812E6" w:rsidRPr="007F6263">
        <w:rPr>
          <w:rFonts w:cstheme="minorHAnsi"/>
        </w:rPr>
        <w:t>(</w:t>
      </w:r>
      <w:r w:rsidR="006812E6" w:rsidRPr="007F6263">
        <w:rPr>
          <w:rFonts w:cstheme="minorHAnsi"/>
          <w:color w:val="000000"/>
        </w:rPr>
        <w:t>His Majesty’s Inspectorate of Constabulary and Fire &amp; Rescue Services, 2016).</w:t>
      </w:r>
      <w:r w:rsidR="006812E6" w:rsidRPr="007F6263">
        <w:rPr>
          <w:rFonts w:cstheme="minorHAnsi"/>
          <w:color w:val="000000"/>
          <w:sz w:val="27"/>
          <w:szCs w:val="27"/>
        </w:rPr>
        <w:t> </w:t>
      </w:r>
      <w:r w:rsidR="009B77C6" w:rsidRPr="007F6263">
        <w:rPr>
          <w:rFonts w:cstheme="minorHAnsi"/>
          <w:color w:val="000000"/>
        </w:rPr>
        <w:t xml:space="preserve">Emergency services in the United Kingdom follow a set of principles known as the </w:t>
      </w:r>
      <w:r w:rsidR="004321E7" w:rsidRPr="007F6263">
        <w:rPr>
          <w:rFonts w:cstheme="minorHAnsi"/>
          <w:color w:val="000000"/>
        </w:rPr>
        <w:t xml:space="preserve">‘JESIP’ principles/models </w:t>
      </w:r>
      <w:r w:rsidR="00CB763E" w:rsidRPr="007F6263">
        <w:rPr>
          <w:rFonts w:eastAsia="Times New Roman" w:cstheme="minorHAnsi"/>
          <w:kern w:val="0"/>
          <w:lang w:eastAsia="en-GB"/>
          <w14:ligatures w14:val="none"/>
        </w:rPr>
        <w:t xml:space="preserve">(JESIP, 2018). </w:t>
      </w:r>
      <w:r w:rsidR="006B1A81" w:rsidRPr="007F6263">
        <w:rPr>
          <w:rFonts w:eastAsia="Times New Roman" w:cstheme="minorHAnsi"/>
          <w:kern w:val="0"/>
          <w:lang w:eastAsia="en-GB"/>
          <w14:ligatures w14:val="none"/>
        </w:rPr>
        <w:t>The</w:t>
      </w:r>
      <w:r w:rsidR="006347E5" w:rsidRPr="007F6263">
        <w:rPr>
          <w:rFonts w:eastAsia="Times New Roman" w:cstheme="minorHAnsi"/>
          <w:kern w:val="0"/>
          <w:lang w:eastAsia="en-GB"/>
          <w14:ligatures w14:val="none"/>
        </w:rPr>
        <w:t xml:space="preserve"> JESIP website (2024)</w:t>
      </w:r>
      <w:r w:rsidR="006B1A81" w:rsidRPr="007F6263">
        <w:rPr>
          <w:rFonts w:eastAsia="Times New Roman" w:cstheme="minorHAnsi"/>
          <w:kern w:val="0"/>
          <w:lang w:eastAsia="en-GB"/>
          <w14:ligatures w14:val="none"/>
        </w:rPr>
        <w:t xml:space="preserve"> defines a Major Incident as “</w:t>
      </w:r>
      <w:r w:rsidR="002607F8" w:rsidRPr="007F6263">
        <w:rPr>
          <w:rFonts w:eastAsia="Times New Roman" w:cstheme="minorHAnsi"/>
          <w:color w:val="333333"/>
          <w:kern w:val="0"/>
          <w:lang w:eastAsia="en-GB"/>
          <w14:ligatures w14:val="none"/>
        </w:rPr>
        <w:t xml:space="preserve">A major incident is beyond the scope of business-as-usual operations, and is likely to involve serious harm, damage, disruption or risk to human life or welfare, essential services, the environment, or national security.” </w:t>
      </w:r>
      <w:r w:rsidR="008C619A" w:rsidRPr="007F6263">
        <w:rPr>
          <w:rFonts w:eastAsia="Times New Roman" w:cstheme="minorHAnsi"/>
          <w:color w:val="333333"/>
          <w:kern w:val="0"/>
          <w:lang w:eastAsia="en-GB"/>
          <w14:ligatures w14:val="none"/>
        </w:rPr>
        <w:t xml:space="preserve">This is a clear variation to what the College </w:t>
      </w:r>
      <w:r w:rsidR="000E1A1C" w:rsidRPr="007F6263">
        <w:rPr>
          <w:rFonts w:eastAsia="Times New Roman" w:cstheme="minorHAnsi"/>
          <w:color w:val="333333"/>
          <w:kern w:val="0"/>
          <w:lang w:eastAsia="en-GB"/>
          <w14:ligatures w14:val="none"/>
        </w:rPr>
        <w:t>of</w:t>
      </w:r>
      <w:r w:rsidR="008C619A" w:rsidRPr="007F6263">
        <w:rPr>
          <w:rFonts w:eastAsia="Times New Roman" w:cstheme="minorHAnsi"/>
          <w:color w:val="333333"/>
          <w:kern w:val="0"/>
          <w:lang w:eastAsia="en-GB"/>
          <w14:ligatures w14:val="none"/>
        </w:rPr>
        <w:t xml:space="preserve"> Policing (2018) define a</w:t>
      </w:r>
      <w:r w:rsidR="00C33F2C" w:rsidRPr="007F6263">
        <w:rPr>
          <w:rFonts w:eastAsia="Times New Roman" w:cstheme="minorHAnsi"/>
          <w:color w:val="333333"/>
          <w:kern w:val="0"/>
          <w:lang w:eastAsia="en-GB"/>
          <w14:ligatures w14:val="none"/>
        </w:rPr>
        <w:t xml:space="preserve">s a critical incident. They state that a critical incident is an incident in which the way to police </w:t>
      </w:r>
      <w:r w:rsidR="000E1A1C" w:rsidRPr="007F6263">
        <w:rPr>
          <w:rFonts w:eastAsia="Times New Roman" w:cstheme="minorHAnsi"/>
          <w:color w:val="333333"/>
          <w:kern w:val="0"/>
          <w:lang w:eastAsia="en-GB"/>
          <w14:ligatures w14:val="none"/>
        </w:rPr>
        <w:t>responds the</w:t>
      </w:r>
      <w:r w:rsidR="00E453F7" w:rsidRPr="007F6263">
        <w:rPr>
          <w:rFonts w:eastAsia="Times New Roman" w:cstheme="minorHAnsi"/>
          <w:color w:val="333333"/>
          <w:kern w:val="0"/>
          <w:lang w:eastAsia="en-GB"/>
          <w14:ligatures w14:val="none"/>
        </w:rPr>
        <w:t xml:space="preserve"> incident can have major </w:t>
      </w:r>
      <w:r w:rsidR="000E1A1C" w:rsidRPr="007F6263">
        <w:rPr>
          <w:rFonts w:eastAsia="Times New Roman" w:cstheme="minorHAnsi"/>
          <w:color w:val="333333"/>
          <w:kern w:val="0"/>
          <w:lang w:eastAsia="en-GB"/>
          <w14:ligatures w14:val="none"/>
        </w:rPr>
        <w:t xml:space="preserve">impact on the confidence of the public. </w:t>
      </w:r>
      <w:r w:rsidR="00490577" w:rsidRPr="007F6263">
        <w:rPr>
          <w:rFonts w:eastAsia="Times New Roman" w:cstheme="minorHAnsi"/>
          <w:color w:val="333333"/>
          <w:kern w:val="0"/>
          <w:lang w:eastAsia="en-GB"/>
          <w14:ligatures w14:val="none"/>
        </w:rPr>
        <w:t xml:space="preserve">The aim of the JESIP principles and therefore </w:t>
      </w:r>
      <w:r w:rsidR="00405459" w:rsidRPr="007F6263">
        <w:rPr>
          <w:rFonts w:eastAsia="Times New Roman" w:cstheme="minorHAnsi"/>
          <w:color w:val="333333"/>
          <w:kern w:val="0"/>
          <w:lang w:eastAsia="en-GB"/>
          <w14:ligatures w14:val="none"/>
        </w:rPr>
        <w:t>effective collaboration between emer</w:t>
      </w:r>
      <w:r w:rsidR="000900BF" w:rsidRPr="007F6263">
        <w:rPr>
          <w:rFonts w:eastAsia="Times New Roman" w:cstheme="minorHAnsi"/>
          <w:color w:val="333333"/>
          <w:kern w:val="0"/>
          <w:lang w:eastAsia="en-GB"/>
          <w14:ligatures w14:val="none"/>
        </w:rPr>
        <w:t xml:space="preserve">gency services is </w:t>
      </w:r>
      <w:r w:rsidR="005820FB" w:rsidRPr="007F6263">
        <w:rPr>
          <w:rFonts w:eastAsia="Times New Roman" w:cstheme="minorHAnsi"/>
          <w:color w:val="333333"/>
          <w:kern w:val="0"/>
          <w:lang w:eastAsia="en-GB"/>
          <w14:ligatures w14:val="none"/>
        </w:rPr>
        <w:t xml:space="preserve">to ensure that </w:t>
      </w:r>
      <w:r w:rsidR="000641FB" w:rsidRPr="007F6263">
        <w:rPr>
          <w:rFonts w:eastAsia="Times New Roman" w:cstheme="minorHAnsi"/>
          <w:color w:val="333333"/>
          <w:kern w:val="0"/>
          <w:lang w:eastAsia="en-GB"/>
          <w14:ligatures w14:val="none"/>
        </w:rPr>
        <w:t xml:space="preserve">the services are sufficiently trained </w:t>
      </w:r>
      <w:r w:rsidR="00F03628" w:rsidRPr="007F6263">
        <w:rPr>
          <w:rFonts w:eastAsia="Times New Roman" w:cstheme="minorHAnsi"/>
          <w:color w:val="333333"/>
          <w:kern w:val="0"/>
          <w:lang w:eastAsia="en-GB"/>
          <w14:ligatures w14:val="none"/>
        </w:rPr>
        <w:t xml:space="preserve">to respond effectively to major incidents to save as many lives as possible </w:t>
      </w:r>
      <w:r w:rsidR="009667E5" w:rsidRPr="007F6263">
        <w:rPr>
          <w:rFonts w:eastAsia="Times New Roman" w:cstheme="minorHAnsi"/>
          <w:color w:val="333333"/>
          <w:kern w:val="0"/>
          <w:lang w:eastAsia="en-GB"/>
          <w14:ligatures w14:val="none"/>
        </w:rPr>
        <w:t>(JESIP, 2018).</w:t>
      </w:r>
    </w:p>
    <w:p w14:paraId="6CD15614" w14:textId="77777777" w:rsidR="00190D73" w:rsidRPr="007F6263" w:rsidRDefault="00190D73" w:rsidP="002607F8">
      <w:pPr>
        <w:shd w:val="clear" w:color="auto" w:fill="FFFFFF"/>
        <w:spacing w:before="100" w:beforeAutospacing="1" w:after="225" w:line="240" w:lineRule="auto"/>
        <w:rPr>
          <w:rFonts w:eastAsia="Times New Roman" w:cstheme="minorHAnsi"/>
          <w:color w:val="333333"/>
          <w:kern w:val="0"/>
          <w:sz w:val="24"/>
          <w:szCs w:val="24"/>
          <w:lang w:eastAsia="en-GB"/>
          <w14:ligatures w14:val="none"/>
        </w:rPr>
      </w:pPr>
    </w:p>
    <w:p w14:paraId="4A8E5431" w14:textId="4B6AAF4C" w:rsidR="002C3726" w:rsidRDefault="008A4901" w:rsidP="002C3726">
      <w:pPr>
        <w:rPr>
          <w:rFonts w:eastAsia="Times New Roman" w:cstheme="minorHAnsi"/>
          <w:kern w:val="0"/>
          <w:lang w:eastAsia="en-GB"/>
          <w14:ligatures w14:val="none"/>
        </w:rPr>
      </w:pPr>
      <w:r>
        <w:rPr>
          <w:rFonts w:eastAsia="Times New Roman" w:cstheme="minorHAnsi"/>
          <w:kern w:val="0"/>
          <w:lang w:eastAsia="en-GB"/>
          <w14:ligatures w14:val="none"/>
        </w:rPr>
        <w:t>The fundamental role of the police is to protect life and limb</w:t>
      </w:r>
      <w:r w:rsidR="00A73B88">
        <w:rPr>
          <w:rFonts w:eastAsia="Times New Roman" w:cstheme="minorHAnsi"/>
          <w:kern w:val="0"/>
          <w:lang w:eastAsia="en-GB"/>
          <w14:ligatures w14:val="none"/>
        </w:rPr>
        <w:t xml:space="preserve">, preventing the commission of offences and bringing offenders to justice </w:t>
      </w:r>
      <w:r w:rsidR="002C3726" w:rsidRPr="002C3726">
        <w:rPr>
          <w:rFonts w:eastAsia="Times New Roman" w:cstheme="minorHAnsi"/>
          <w:kern w:val="0"/>
          <w:lang w:eastAsia="en-GB"/>
          <w14:ligatures w14:val="none"/>
        </w:rPr>
        <w:t>(College of Policing, 2013)</w:t>
      </w:r>
      <w:r w:rsidR="00E047B0">
        <w:rPr>
          <w:rFonts w:eastAsia="Times New Roman" w:cstheme="minorHAnsi"/>
          <w:kern w:val="0"/>
          <w:lang w:eastAsia="en-GB"/>
          <w14:ligatures w14:val="none"/>
        </w:rPr>
        <w:t xml:space="preserve">. Given the role of the police, </w:t>
      </w:r>
      <w:r w:rsidR="00591A3C">
        <w:rPr>
          <w:rFonts w:eastAsia="Times New Roman" w:cstheme="minorHAnsi"/>
          <w:kern w:val="0"/>
          <w:lang w:eastAsia="en-GB"/>
          <w14:ligatures w14:val="none"/>
        </w:rPr>
        <w:t>their responsibility during a major incident is substantial. Along with other emergency services</w:t>
      </w:r>
      <w:r w:rsidR="00BD1177">
        <w:rPr>
          <w:rFonts w:eastAsia="Times New Roman" w:cstheme="minorHAnsi"/>
          <w:kern w:val="0"/>
          <w:lang w:eastAsia="en-GB"/>
          <w14:ligatures w14:val="none"/>
        </w:rPr>
        <w:t xml:space="preserve"> they are expected to </w:t>
      </w:r>
      <w:r w:rsidR="008856BF">
        <w:rPr>
          <w:rFonts w:eastAsia="Times New Roman" w:cstheme="minorHAnsi"/>
          <w:kern w:val="0"/>
          <w:lang w:eastAsia="en-GB"/>
          <w14:ligatures w14:val="none"/>
        </w:rPr>
        <w:t>abide by the principles of JESIP, such as clear communication,</w:t>
      </w:r>
      <w:r w:rsidR="00D7163A">
        <w:rPr>
          <w:rFonts w:eastAsia="Times New Roman" w:cstheme="minorHAnsi"/>
          <w:kern w:val="0"/>
          <w:lang w:eastAsia="en-GB"/>
          <w14:ligatures w14:val="none"/>
        </w:rPr>
        <w:t xml:space="preserve"> identifying priorities and sharing information about risks and hazards</w:t>
      </w:r>
      <w:r w:rsidR="003666B6">
        <w:rPr>
          <w:rFonts w:eastAsia="Times New Roman" w:cstheme="minorHAnsi"/>
          <w:kern w:val="0"/>
          <w:lang w:eastAsia="en-GB"/>
          <w14:ligatures w14:val="none"/>
        </w:rPr>
        <w:t xml:space="preserve"> (JESIP, 2024). </w:t>
      </w:r>
      <w:r w:rsidR="00EC0A60">
        <w:rPr>
          <w:rFonts w:eastAsia="Times New Roman" w:cstheme="minorHAnsi"/>
          <w:kern w:val="0"/>
          <w:lang w:eastAsia="en-GB"/>
          <w14:ligatures w14:val="none"/>
        </w:rPr>
        <w:t>First responders from all the emergency serv</w:t>
      </w:r>
      <w:r w:rsidR="001656FE">
        <w:rPr>
          <w:rFonts w:eastAsia="Times New Roman" w:cstheme="minorHAnsi"/>
          <w:kern w:val="0"/>
          <w:lang w:eastAsia="en-GB"/>
          <w14:ligatures w14:val="none"/>
        </w:rPr>
        <w:t xml:space="preserve">ices are expected to understand the ‘METHANE’ </w:t>
      </w:r>
      <w:r w:rsidR="00C13C05">
        <w:rPr>
          <w:rFonts w:eastAsia="Times New Roman" w:cstheme="minorHAnsi"/>
          <w:kern w:val="0"/>
          <w:lang w:eastAsia="en-GB"/>
          <w14:ligatures w14:val="none"/>
        </w:rPr>
        <w:t xml:space="preserve">mnemonic </w:t>
      </w:r>
      <w:r w:rsidR="00D04B95">
        <w:rPr>
          <w:rFonts w:eastAsia="Times New Roman" w:cstheme="minorHAnsi"/>
          <w:kern w:val="0"/>
          <w:lang w:eastAsia="en-GB"/>
          <w14:ligatures w14:val="none"/>
        </w:rPr>
        <w:t xml:space="preserve">and </w:t>
      </w:r>
      <w:r w:rsidR="00F94538">
        <w:rPr>
          <w:rFonts w:eastAsia="Times New Roman" w:cstheme="minorHAnsi"/>
          <w:kern w:val="0"/>
          <w:lang w:eastAsia="en-GB"/>
          <w14:ligatures w14:val="none"/>
        </w:rPr>
        <w:t xml:space="preserve">use it on attendance to a major incident, this </w:t>
      </w:r>
      <w:r w:rsidR="00205D82">
        <w:rPr>
          <w:rFonts w:eastAsia="Times New Roman" w:cstheme="minorHAnsi"/>
          <w:kern w:val="0"/>
          <w:lang w:eastAsia="en-GB"/>
          <w14:ligatures w14:val="none"/>
        </w:rPr>
        <w:t>mnemonic</w:t>
      </w:r>
      <w:r w:rsidR="001C08ED">
        <w:rPr>
          <w:rFonts w:eastAsia="Times New Roman" w:cstheme="minorHAnsi"/>
          <w:kern w:val="0"/>
          <w:lang w:eastAsia="en-GB"/>
          <w14:ligatures w14:val="none"/>
        </w:rPr>
        <w:t xml:space="preserve"> stands for; Major incident, exact location, type of incident, </w:t>
      </w:r>
      <w:r w:rsidR="004E3E97">
        <w:rPr>
          <w:rFonts w:eastAsia="Times New Roman" w:cstheme="minorHAnsi"/>
          <w:kern w:val="0"/>
          <w:lang w:eastAsia="en-GB"/>
          <w14:ligatures w14:val="none"/>
        </w:rPr>
        <w:t>hazards, access, number of casualties and emergency services (College of Policing, 2023)</w:t>
      </w:r>
      <w:r w:rsidR="00465921">
        <w:rPr>
          <w:rFonts w:eastAsia="Times New Roman" w:cstheme="minorHAnsi"/>
          <w:kern w:val="0"/>
          <w:lang w:eastAsia="en-GB"/>
          <w14:ligatures w14:val="none"/>
        </w:rPr>
        <w:t xml:space="preserve">. It is important for police officers to know this and </w:t>
      </w:r>
      <w:r w:rsidR="009D47CD">
        <w:rPr>
          <w:rFonts w:eastAsia="Times New Roman" w:cstheme="minorHAnsi"/>
          <w:kern w:val="0"/>
          <w:lang w:eastAsia="en-GB"/>
          <w14:ligatures w14:val="none"/>
        </w:rPr>
        <w:t>effectively</w:t>
      </w:r>
      <w:r w:rsidR="00465921">
        <w:rPr>
          <w:rFonts w:eastAsia="Times New Roman" w:cstheme="minorHAnsi"/>
          <w:kern w:val="0"/>
          <w:lang w:eastAsia="en-GB"/>
          <w14:ligatures w14:val="none"/>
        </w:rPr>
        <w:t xml:space="preserve"> communicate the </w:t>
      </w:r>
      <w:r w:rsidR="009D47CD">
        <w:rPr>
          <w:rFonts w:eastAsia="Times New Roman" w:cstheme="minorHAnsi"/>
          <w:kern w:val="0"/>
          <w:lang w:eastAsia="en-GB"/>
          <w14:ligatures w14:val="none"/>
        </w:rPr>
        <w:t xml:space="preserve">information needed as soon as practicable for the most effective joint response. </w:t>
      </w:r>
      <w:r w:rsidR="00FB4B39">
        <w:rPr>
          <w:rFonts w:eastAsia="Times New Roman" w:cstheme="minorHAnsi"/>
          <w:kern w:val="0"/>
          <w:lang w:eastAsia="en-GB"/>
          <w14:ligatures w14:val="none"/>
        </w:rPr>
        <w:t xml:space="preserve">There is also a requirement </w:t>
      </w:r>
      <w:r w:rsidR="00B245D7">
        <w:rPr>
          <w:rFonts w:eastAsia="Times New Roman" w:cstheme="minorHAnsi"/>
          <w:kern w:val="0"/>
          <w:lang w:eastAsia="en-GB"/>
          <w14:ligatures w14:val="none"/>
        </w:rPr>
        <w:t xml:space="preserve">for all emergency services, including police, to use the Joint </w:t>
      </w:r>
      <w:r w:rsidR="00D572B1">
        <w:rPr>
          <w:rFonts w:eastAsia="Times New Roman" w:cstheme="minorHAnsi"/>
          <w:kern w:val="0"/>
          <w:lang w:eastAsia="en-GB"/>
          <w14:ligatures w14:val="none"/>
        </w:rPr>
        <w:t>Decision-Making</w:t>
      </w:r>
      <w:r w:rsidR="00B245D7">
        <w:rPr>
          <w:rFonts w:eastAsia="Times New Roman" w:cstheme="minorHAnsi"/>
          <w:kern w:val="0"/>
          <w:lang w:eastAsia="en-GB"/>
          <w14:ligatures w14:val="none"/>
        </w:rPr>
        <w:t xml:space="preserve"> Model at all major incidents </w:t>
      </w:r>
      <w:r w:rsidR="00567AF5">
        <w:rPr>
          <w:rFonts w:eastAsia="Times New Roman" w:cstheme="minorHAnsi"/>
          <w:kern w:val="0"/>
          <w:lang w:eastAsia="en-GB"/>
          <w14:ligatures w14:val="none"/>
        </w:rPr>
        <w:t xml:space="preserve">which aims to assist in making better decisions collaboratively </w:t>
      </w:r>
      <w:r w:rsidR="00B245D7">
        <w:rPr>
          <w:rFonts w:eastAsia="Times New Roman" w:cstheme="minorHAnsi"/>
          <w:kern w:val="0"/>
          <w:lang w:eastAsia="en-GB"/>
          <w14:ligatures w14:val="none"/>
        </w:rPr>
        <w:t xml:space="preserve">(JESIP, </w:t>
      </w:r>
      <w:r w:rsidR="00361ADE">
        <w:rPr>
          <w:rFonts w:eastAsia="Times New Roman" w:cstheme="minorHAnsi"/>
          <w:kern w:val="0"/>
          <w:lang w:eastAsia="en-GB"/>
          <w14:ligatures w14:val="none"/>
        </w:rPr>
        <w:t>2024)</w:t>
      </w:r>
      <w:r w:rsidR="00567AF5">
        <w:rPr>
          <w:rFonts w:eastAsia="Times New Roman" w:cstheme="minorHAnsi"/>
          <w:kern w:val="0"/>
          <w:lang w:eastAsia="en-GB"/>
          <w14:ligatures w14:val="none"/>
        </w:rPr>
        <w:t>.</w:t>
      </w:r>
      <w:r w:rsidR="00D9699D">
        <w:rPr>
          <w:rFonts w:eastAsia="Times New Roman" w:cstheme="minorHAnsi"/>
          <w:kern w:val="0"/>
          <w:lang w:eastAsia="en-GB"/>
          <w14:ligatures w14:val="none"/>
        </w:rPr>
        <w:t xml:space="preserve"> </w:t>
      </w:r>
    </w:p>
    <w:p w14:paraId="044B7803" w14:textId="77777777" w:rsidR="00190D73" w:rsidRDefault="00190D73" w:rsidP="00D42FB6">
      <w:pPr>
        <w:rPr>
          <w:rFonts w:eastAsia="Times New Roman" w:cstheme="minorHAnsi"/>
          <w:kern w:val="0"/>
          <w:lang w:eastAsia="en-GB"/>
          <w14:ligatures w14:val="none"/>
        </w:rPr>
      </w:pPr>
    </w:p>
    <w:p w14:paraId="188666E7" w14:textId="203DF778" w:rsidR="002A59D5" w:rsidRPr="00D42FB6" w:rsidRDefault="00D9699D" w:rsidP="00D42FB6">
      <w:pPr>
        <w:rPr>
          <w:rFonts w:ascii="Times New Roman" w:eastAsia="Times New Roman" w:hAnsi="Times New Roman" w:cs="Times New Roman"/>
          <w:kern w:val="0"/>
          <w:sz w:val="24"/>
          <w:szCs w:val="24"/>
          <w:lang w:eastAsia="en-GB"/>
          <w14:ligatures w14:val="none"/>
        </w:rPr>
      </w:pPr>
      <w:r>
        <w:rPr>
          <w:rFonts w:eastAsia="Times New Roman" w:cstheme="minorHAnsi"/>
          <w:kern w:val="0"/>
          <w:lang w:eastAsia="en-GB"/>
          <w14:ligatures w14:val="none"/>
        </w:rPr>
        <w:lastRenderedPageBreak/>
        <w:t>I</w:t>
      </w:r>
      <w:r w:rsidR="00B816C3">
        <w:rPr>
          <w:rFonts w:eastAsia="Times New Roman" w:cstheme="minorHAnsi"/>
          <w:kern w:val="0"/>
          <w:lang w:eastAsia="en-GB"/>
          <w14:ligatures w14:val="none"/>
        </w:rPr>
        <w:t xml:space="preserve">t could also be argued that </w:t>
      </w:r>
      <w:r w:rsidR="00D93CEF">
        <w:rPr>
          <w:rFonts w:eastAsia="Times New Roman" w:cstheme="minorHAnsi"/>
          <w:kern w:val="0"/>
          <w:lang w:eastAsia="en-GB"/>
          <w14:ligatures w14:val="none"/>
        </w:rPr>
        <w:t xml:space="preserve">given the </w:t>
      </w:r>
      <w:r w:rsidR="00B816C3">
        <w:rPr>
          <w:rFonts w:eastAsia="Times New Roman" w:cstheme="minorHAnsi"/>
          <w:kern w:val="0"/>
          <w:lang w:eastAsia="en-GB"/>
          <w14:ligatures w14:val="none"/>
        </w:rPr>
        <w:t xml:space="preserve">police have a role and responsibility to effectively communicate </w:t>
      </w:r>
      <w:r w:rsidR="00B5004E">
        <w:rPr>
          <w:rFonts w:eastAsia="Times New Roman" w:cstheme="minorHAnsi"/>
          <w:kern w:val="0"/>
          <w:lang w:eastAsia="en-GB"/>
          <w14:ligatures w14:val="none"/>
        </w:rPr>
        <w:t>with the other services during joint operations</w:t>
      </w:r>
      <w:r w:rsidR="00D93CEF">
        <w:rPr>
          <w:rFonts w:eastAsia="Times New Roman" w:cstheme="minorHAnsi"/>
          <w:kern w:val="0"/>
          <w:lang w:eastAsia="en-GB"/>
          <w14:ligatures w14:val="none"/>
        </w:rPr>
        <w:t xml:space="preserve">, </w:t>
      </w:r>
      <w:r w:rsidR="00B5004E">
        <w:rPr>
          <w:rFonts w:eastAsia="Times New Roman" w:cstheme="minorHAnsi"/>
          <w:kern w:val="0"/>
          <w:lang w:eastAsia="en-GB"/>
          <w14:ligatures w14:val="none"/>
        </w:rPr>
        <w:t xml:space="preserve">this may become difficult </w:t>
      </w:r>
      <w:r w:rsidR="00293611">
        <w:rPr>
          <w:rFonts w:eastAsia="Times New Roman" w:cstheme="minorHAnsi"/>
          <w:kern w:val="0"/>
          <w:lang w:eastAsia="en-GB"/>
          <w14:ligatures w14:val="none"/>
        </w:rPr>
        <w:t xml:space="preserve">as despite the need to </w:t>
      </w:r>
      <w:r w:rsidR="00365B17">
        <w:rPr>
          <w:rFonts w:eastAsia="Times New Roman" w:cstheme="minorHAnsi"/>
          <w:kern w:val="0"/>
          <w:lang w:eastAsia="en-GB"/>
          <w14:ligatures w14:val="none"/>
        </w:rPr>
        <w:t>cooperate</w:t>
      </w:r>
      <w:r w:rsidR="00F77AF0">
        <w:rPr>
          <w:rFonts w:eastAsia="Times New Roman" w:cstheme="minorHAnsi"/>
          <w:kern w:val="0"/>
          <w:lang w:eastAsia="en-GB"/>
          <w14:ligatures w14:val="none"/>
        </w:rPr>
        <w:t xml:space="preserve"> </w:t>
      </w:r>
      <w:r w:rsidR="00F0734B">
        <w:rPr>
          <w:rFonts w:eastAsia="Times New Roman" w:cstheme="minorHAnsi"/>
          <w:kern w:val="0"/>
          <w:lang w:eastAsia="en-GB"/>
          <w14:ligatures w14:val="none"/>
        </w:rPr>
        <w:t xml:space="preserve">whilst utilising each organisations skillset this is difficult due to differing working practices </w:t>
      </w:r>
      <w:r w:rsidR="002F7154">
        <w:rPr>
          <w:rFonts w:eastAsia="Times New Roman" w:cstheme="minorHAnsi"/>
          <w:kern w:val="0"/>
          <w:lang w:eastAsia="en-GB"/>
          <w14:ligatures w14:val="none"/>
        </w:rPr>
        <w:t xml:space="preserve">and the irregular </w:t>
      </w:r>
      <w:r w:rsidR="003F77D4">
        <w:rPr>
          <w:rFonts w:eastAsia="Times New Roman" w:cstheme="minorHAnsi"/>
          <w:kern w:val="0"/>
          <w:lang w:eastAsia="en-GB"/>
          <w14:ligatures w14:val="none"/>
        </w:rPr>
        <w:t>concept of doing so given they mostly work independently</w:t>
      </w:r>
      <w:r w:rsidR="00BC0D49">
        <w:rPr>
          <w:rFonts w:eastAsia="Times New Roman" w:cstheme="minorHAnsi"/>
          <w:kern w:val="0"/>
          <w:lang w:eastAsia="en-GB"/>
          <w14:ligatures w14:val="none"/>
        </w:rPr>
        <w:t xml:space="preserve"> </w:t>
      </w:r>
      <w:r w:rsidR="00BC0D49" w:rsidRPr="00BC0D49">
        <w:rPr>
          <w:rFonts w:eastAsia="Times New Roman" w:cstheme="minorHAnsi"/>
          <w:kern w:val="0"/>
          <w:lang w:eastAsia="en-GB"/>
          <w14:ligatures w14:val="none"/>
        </w:rPr>
        <w:t>(Power et al., 2023)</w:t>
      </w:r>
    </w:p>
    <w:p w14:paraId="45AFA02D" w14:textId="77777777" w:rsidR="00190D73" w:rsidRDefault="00190D73" w:rsidP="005B7A5D"/>
    <w:p w14:paraId="6E96D45C" w14:textId="00CCA3AC" w:rsidR="002278A5" w:rsidRDefault="00AE08D3" w:rsidP="005B7A5D">
      <w:pPr>
        <w:rPr>
          <w:rFonts w:eastAsia="Times New Roman" w:cstheme="minorHAnsi"/>
          <w:kern w:val="0"/>
          <w:lang w:eastAsia="en-GB"/>
          <w14:ligatures w14:val="none"/>
        </w:rPr>
      </w:pPr>
      <w:r>
        <w:t>Given the nature of major and crit</w:t>
      </w:r>
      <w:r w:rsidR="005C2E1C">
        <w:t xml:space="preserve">ical incidents there are many challenges faced by police which must be mitigated to ensure the safety of the public and the </w:t>
      </w:r>
      <w:r w:rsidR="00121B37">
        <w:t xml:space="preserve">reputation of the organisation. </w:t>
      </w:r>
      <w:r w:rsidR="004E4569">
        <w:t xml:space="preserve"> One such challenge as</w:t>
      </w:r>
      <w:r w:rsidR="005B7A5D">
        <w:t xml:space="preserve"> outlined </w:t>
      </w:r>
      <w:r w:rsidR="005B7A5D" w:rsidRPr="00620C45">
        <w:rPr>
          <w:rFonts w:cstheme="minorHAnsi"/>
        </w:rPr>
        <w:t xml:space="preserve">by </w:t>
      </w:r>
      <w:r w:rsidR="005B7A5D" w:rsidRPr="00620C45">
        <w:rPr>
          <w:rFonts w:eastAsia="Times New Roman" w:cstheme="minorHAnsi"/>
          <w:kern w:val="0"/>
          <w:lang w:eastAsia="en-GB"/>
          <w14:ligatures w14:val="none"/>
        </w:rPr>
        <w:t xml:space="preserve">Brown, </w:t>
      </w:r>
      <w:r w:rsidR="008D58B7" w:rsidRPr="00620C45">
        <w:rPr>
          <w:rFonts w:eastAsia="Times New Roman" w:cstheme="minorHAnsi"/>
          <w:kern w:val="0"/>
          <w:lang w:eastAsia="en-GB"/>
          <w14:ligatures w14:val="none"/>
        </w:rPr>
        <w:t>Power,</w:t>
      </w:r>
      <w:r w:rsidR="005B7A5D" w:rsidRPr="00620C45">
        <w:rPr>
          <w:rFonts w:eastAsia="Times New Roman" w:cstheme="minorHAnsi"/>
          <w:kern w:val="0"/>
          <w:lang w:eastAsia="en-GB"/>
          <w14:ligatures w14:val="none"/>
        </w:rPr>
        <w:t xml:space="preserve"> and Conchie </w:t>
      </w:r>
      <w:r w:rsidR="00620C45">
        <w:rPr>
          <w:rFonts w:eastAsia="Times New Roman" w:cstheme="minorHAnsi"/>
          <w:kern w:val="0"/>
          <w:lang w:eastAsia="en-GB"/>
          <w14:ligatures w14:val="none"/>
        </w:rPr>
        <w:t>(</w:t>
      </w:r>
      <w:r w:rsidR="005B7A5D" w:rsidRPr="00620C45">
        <w:rPr>
          <w:rFonts w:eastAsia="Times New Roman" w:cstheme="minorHAnsi"/>
          <w:kern w:val="0"/>
          <w:lang w:eastAsia="en-GB"/>
          <w14:ligatures w14:val="none"/>
        </w:rPr>
        <w:t>2021</w:t>
      </w:r>
      <w:r w:rsidR="00620C45">
        <w:rPr>
          <w:rFonts w:eastAsia="Times New Roman" w:cstheme="minorHAnsi"/>
          <w:kern w:val="0"/>
          <w:lang w:eastAsia="en-GB"/>
          <w14:ligatures w14:val="none"/>
        </w:rPr>
        <w:t xml:space="preserve">) </w:t>
      </w:r>
      <w:r w:rsidR="00316071">
        <w:rPr>
          <w:rFonts w:eastAsia="Times New Roman" w:cstheme="minorHAnsi"/>
          <w:kern w:val="0"/>
          <w:lang w:eastAsia="en-GB"/>
          <w14:ligatures w14:val="none"/>
        </w:rPr>
        <w:t xml:space="preserve">is the communication during the early phases of a major incident whilst </w:t>
      </w:r>
      <w:r w:rsidR="00DD00F6">
        <w:rPr>
          <w:rFonts w:eastAsia="Times New Roman" w:cstheme="minorHAnsi"/>
          <w:kern w:val="0"/>
          <w:lang w:eastAsia="en-GB"/>
          <w14:ligatures w14:val="none"/>
        </w:rPr>
        <w:t xml:space="preserve">the incident is unfolding and before any recovery phase begins. They argue that the police take a </w:t>
      </w:r>
      <w:r w:rsidR="003C4D75">
        <w:rPr>
          <w:rFonts w:eastAsia="Times New Roman" w:cstheme="minorHAnsi"/>
          <w:kern w:val="0"/>
          <w:lang w:eastAsia="en-GB"/>
          <w14:ligatures w14:val="none"/>
        </w:rPr>
        <w:t xml:space="preserve">dominant role during the early phases </w:t>
      </w:r>
      <w:r w:rsidR="008D58B7">
        <w:rPr>
          <w:rFonts w:eastAsia="Times New Roman" w:cstheme="minorHAnsi"/>
          <w:kern w:val="0"/>
          <w:lang w:eastAsia="en-GB"/>
          <w14:ligatures w14:val="none"/>
        </w:rPr>
        <w:t xml:space="preserve">which therefore limits the possibility and effectiveness of joint decision making. </w:t>
      </w:r>
      <w:r w:rsidR="006E62A3">
        <w:rPr>
          <w:rFonts w:eastAsia="Times New Roman" w:cstheme="minorHAnsi"/>
          <w:kern w:val="0"/>
          <w:lang w:eastAsia="en-GB"/>
          <w14:ligatures w14:val="none"/>
        </w:rPr>
        <w:t xml:space="preserve">They go further to state that due to </w:t>
      </w:r>
      <w:r w:rsidR="007F6263">
        <w:rPr>
          <w:rFonts w:eastAsia="Times New Roman" w:cstheme="minorHAnsi"/>
          <w:kern w:val="0"/>
          <w:lang w:eastAsia="en-GB"/>
          <w14:ligatures w14:val="none"/>
        </w:rPr>
        <w:t>this;</w:t>
      </w:r>
      <w:r w:rsidR="006E62A3">
        <w:rPr>
          <w:rFonts w:eastAsia="Times New Roman" w:cstheme="minorHAnsi"/>
          <w:kern w:val="0"/>
          <w:lang w:eastAsia="en-GB"/>
          <w14:ligatures w14:val="none"/>
        </w:rPr>
        <w:t xml:space="preserve"> police commanders can miss vital information which </w:t>
      </w:r>
      <w:r w:rsidR="00F231BA">
        <w:rPr>
          <w:rFonts w:eastAsia="Times New Roman" w:cstheme="minorHAnsi"/>
          <w:kern w:val="0"/>
          <w:lang w:eastAsia="en-GB"/>
          <w14:ligatures w14:val="none"/>
        </w:rPr>
        <w:t xml:space="preserve">can be passed from other agencies which can lower the effectiveness of the multi-agency response. </w:t>
      </w:r>
      <w:r w:rsidR="007F6263">
        <w:rPr>
          <w:rFonts w:eastAsia="Times New Roman" w:cstheme="minorHAnsi"/>
          <w:kern w:val="0"/>
          <w:lang w:eastAsia="en-GB"/>
          <w14:ligatures w14:val="none"/>
        </w:rPr>
        <w:t xml:space="preserve">Given the principles of JESIP (JESIP, 2018), this dominance of police communication and </w:t>
      </w:r>
      <w:r w:rsidR="009B775C">
        <w:rPr>
          <w:rFonts w:eastAsia="Times New Roman" w:cstheme="minorHAnsi"/>
          <w:kern w:val="0"/>
          <w:lang w:eastAsia="en-GB"/>
          <w14:ligatures w14:val="none"/>
        </w:rPr>
        <w:t xml:space="preserve">potential poor sharing/ taking of </w:t>
      </w:r>
      <w:r w:rsidR="002278A5">
        <w:rPr>
          <w:rFonts w:eastAsia="Times New Roman" w:cstheme="minorHAnsi"/>
          <w:kern w:val="0"/>
          <w:lang w:eastAsia="en-GB"/>
          <w14:ligatures w14:val="none"/>
        </w:rPr>
        <w:t>information</w:t>
      </w:r>
      <w:r w:rsidR="009B775C">
        <w:rPr>
          <w:rFonts w:eastAsia="Times New Roman" w:cstheme="minorHAnsi"/>
          <w:kern w:val="0"/>
          <w:lang w:eastAsia="en-GB"/>
          <w14:ligatures w14:val="none"/>
        </w:rPr>
        <w:t xml:space="preserve"> from police commanders could </w:t>
      </w:r>
      <w:r w:rsidR="002278A5">
        <w:rPr>
          <w:rFonts w:eastAsia="Times New Roman" w:cstheme="minorHAnsi"/>
          <w:kern w:val="0"/>
          <w:lang w:eastAsia="en-GB"/>
          <w14:ligatures w14:val="none"/>
        </w:rPr>
        <w:t xml:space="preserve">hinder the effective processes they outline. </w:t>
      </w:r>
    </w:p>
    <w:p w14:paraId="7F9F1184" w14:textId="77777777" w:rsidR="002278A5" w:rsidRDefault="002278A5" w:rsidP="005B7A5D">
      <w:pPr>
        <w:rPr>
          <w:rFonts w:eastAsia="Times New Roman" w:cstheme="minorHAnsi"/>
          <w:kern w:val="0"/>
          <w:lang w:eastAsia="en-GB"/>
          <w14:ligatures w14:val="none"/>
        </w:rPr>
      </w:pPr>
    </w:p>
    <w:p w14:paraId="2A5F1930" w14:textId="257E7010" w:rsidR="00DD5829" w:rsidRPr="009E10B9" w:rsidRDefault="002278A5" w:rsidP="00DD5829">
      <w:pPr>
        <w:rPr>
          <w:rFonts w:eastAsia="Times New Roman" w:cstheme="minorHAnsi"/>
          <w:kern w:val="0"/>
          <w:sz w:val="24"/>
          <w:szCs w:val="24"/>
          <w:lang w:eastAsia="en-GB"/>
          <w14:ligatures w14:val="none"/>
        </w:rPr>
      </w:pPr>
      <w:r>
        <w:rPr>
          <w:rFonts w:eastAsia="Times New Roman" w:cstheme="minorHAnsi"/>
          <w:kern w:val="0"/>
          <w:lang w:eastAsia="en-GB"/>
          <w14:ligatures w14:val="none"/>
        </w:rPr>
        <w:t xml:space="preserve">In addition to this challenge, </w:t>
      </w:r>
      <w:r w:rsidR="004D4872">
        <w:rPr>
          <w:rFonts w:eastAsia="Times New Roman" w:cstheme="minorHAnsi"/>
          <w:kern w:val="0"/>
          <w:lang w:eastAsia="en-GB"/>
          <w14:ligatures w14:val="none"/>
        </w:rPr>
        <w:t xml:space="preserve">the stress of a major incident </w:t>
      </w:r>
      <w:r w:rsidR="001C172B">
        <w:rPr>
          <w:rFonts w:eastAsia="Times New Roman" w:cstheme="minorHAnsi"/>
          <w:kern w:val="0"/>
          <w:lang w:eastAsia="en-GB"/>
          <w14:ligatures w14:val="none"/>
        </w:rPr>
        <w:t xml:space="preserve">can have both positive and negative effects on decision makers. </w:t>
      </w:r>
      <w:r w:rsidR="00A51A00">
        <w:rPr>
          <w:rFonts w:eastAsia="Times New Roman" w:cstheme="minorHAnsi"/>
          <w:kern w:val="0"/>
          <w:lang w:eastAsia="en-GB"/>
          <w14:ligatures w14:val="none"/>
        </w:rPr>
        <w:t xml:space="preserve">The police service operates with a gold, </w:t>
      </w:r>
      <w:r w:rsidR="00FB18A9">
        <w:rPr>
          <w:rFonts w:eastAsia="Times New Roman" w:cstheme="minorHAnsi"/>
          <w:kern w:val="0"/>
          <w:lang w:eastAsia="en-GB"/>
          <w14:ligatures w14:val="none"/>
        </w:rPr>
        <w:t>silver,</w:t>
      </w:r>
      <w:r w:rsidR="00A51A00">
        <w:rPr>
          <w:rFonts w:eastAsia="Times New Roman" w:cstheme="minorHAnsi"/>
          <w:kern w:val="0"/>
          <w:lang w:eastAsia="en-GB"/>
          <w14:ligatures w14:val="none"/>
        </w:rPr>
        <w:t xml:space="preserve"> and bronze command structure where decisions are passed down from the top (</w:t>
      </w:r>
      <w:r w:rsidR="00CA2442">
        <w:rPr>
          <w:rFonts w:eastAsia="Times New Roman" w:cstheme="minorHAnsi"/>
          <w:kern w:val="0"/>
          <w:lang w:eastAsia="en-GB"/>
          <w14:ligatures w14:val="none"/>
        </w:rPr>
        <w:t>g</w:t>
      </w:r>
      <w:r w:rsidR="00A51A00">
        <w:rPr>
          <w:rFonts w:eastAsia="Times New Roman" w:cstheme="minorHAnsi"/>
          <w:kern w:val="0"/>
          <w:lang w:eastAsia="en-GB"/>
          <w14:ligatures w14:val="none"/>
        </w:rPr>
        <w:t xml:space="preserve">old) to the more operational </w:t>
      </w:r>
      <w:r w:rsidR="00CA2442">
        <w:rPr>
          <w:rFonts w:eastAsia="Times New Roman" w:cstheme="minorHAnsi"/>
          <w:kern w:val="0"/>
          <w:lang w:eastAsia="en-GB"/>
          <w14:ligatures w14:val="none"/>
        </w:rPr>
        <w:t>bronze</w:t>
      </w:r>
      <w:r w:rsidR="00A51A00">
        <w:rPr>
          <w:rFonts w:eastAsia="Times New Roman" w:cstheme="minorHAnsi"/>
          <w:kern w:val="0"/>
          <w:lang w:eastAsia="en-GB"/>
          <w14:ligatures w14:val="none"/>
        </w:rPr>
        <w:t xml:space="preserve"> commander (College of Policing, 2013) and it is empirically known that the other emergency services of the United Kingdom have a similar command structure. </w:t>
      </w:r>
      <w:r w:rsidR="00DD5829">
        <w:rPr>
          <w:rFonts w:eastAsia="Times New Roman" w:cstheme="minorHAnsi"/>
          <w:kern w:val="0"/>
          <w:lang w:eastAsia="en-GB"/>
          <w14:ligatures w14:val="none"/>
        </w:rPr>
        <w:t xml:space="preserve">In a paper by </w:t>
      </w:r>
      <w:r w:rsidR="00DD5829" w:rsidRPr="00DD5829">
        <w:rPr>
          <w:rFonts w:eastAsia="Times New Roman" w:cstheme="minorHAnsi"/>
          <w:kern w:val="0"/>
          <w:lang w:eastAsia="en-GB"/>
          <w14:ligatures w14:val="none"/>
        </w:rPr>
        <w:t xml:space="preserve">House, </w:t>
      </w:r>
      <w:r w:rsidR="00CA2442" w:rsidRPr="00DD5829">
        <w:rPr>
          <w:rFonts w:eastAsia="Times New Roman" w:cstheme="minorHAnsi"/>
          <w:kern w:val="0"/>
          <w:lang w:eastAsia="en-GB"/>
          <w14:ligatures w14:val="none"/>
        </w:rPr>
        <w:t>Power,</w:t>
      </w:r>
      <w:r w:rsidR="00DD5829" w:rsidRPr="00DD5829">
        <w:rPr>
          <w:rFonts w:eastAsia="Times New Roman" w:cstheme="minorHAnsi"/>
          <w:kern w:val="0"/>
          <w:lang w:eastAsia="en-GB"/>
          <w14:ligatures w14:val="none"/>
        </w:rPr>
        <w:t xml:space="preserve"> and Alison</w:t>
      </w:r>
      <w:r w:rsidR="00DD5829">
        <w:rPr>
          <w:rFonts w:eastAsia="Times New Roman" w:cstheme="minorHAnsi"/>
          <w:kern w:val="0"/>
          <w:lang w:eastAsia="en-GB"/>
          <w14:ligatures w14:val="none"/>
        </w:rPr>
        <w:t xml:space="preserve"> (</w:t>
      </w:r>
      <w:r w:rsidR="00DD5829" w:rsidRPr="00DD5829">
        <w:rPr>
          <w:rFonts w:eastAsia="Times New Roman" w:cstheme="minorHAnsi"/>
          <w:kern w:val="0"/>
          <w:lang w:eastAsia="en-GB"/>
          <w14:ligatures w14:val="none"/>
        </w:rPr>
        <w:t>2013)</w:t>
      </w:r>
      <w:r w:rsidR="00DD5829">
        <w:rPr>
          <w:rFonts w:eastAsia="Times New Roman" w:cstheme="minorHAnsi"/>
          <w:kern w:val="0"/>
          <w:lang w:eastAsia="en-GB"/>
          <w14:ligatures w14:val="none"/>
        </w:rPr>
        <w:t xml:space="preserve"> it is discussed that </w:t>
      </w:r>
      <w:r w:rsidR="003614B6">
        <w:rPr>
          <w:rFonts w:eastAsia="Times New Roman" w:cstheme="minorHAnsi"/>
          <w:kern w:val="0"/>
          <w:lang w:eastAsia="en-GB"/>
          <w14:ligatures w14:val="none"/>
        </w:rPr>
        <w:t xml:space="preserve">the more information available to commanders can </w:t>
      </w:r>
      <w:r w:rsidR="0085126F">
        <w:rPr>
          <w:rFonts w:eastAsia="Times New Roman" w:cstheme="minorHAnsi"/>
          <w:kern w:val="0"/>
          <w:lang w:eastAsia="en-GB"/>
          <w14:ligatures w14:val="none"/>
        </w:rPr>
        <w:t>assist in more informed and lower risk decision making to a level, however, they also argue that an excessive amounts of</w:t>
      </w:r>
      <w:r w:rsidR="00A450AA">
        <w:rPr>
          <w:rFonts w:eastAsia="Times New Roman" w:cstheme="minorHAnsi"/>
          <w:kern w:val="0"/>
          <w:lang w:eastAsia="en-GB"/>
          <w14:ligatures w14:val="none"/>
        </w:rPr>
        <w:t xml:space="preserve"> information available to commanders can result in </w:t>
      </w:r>
      <w:r w:rsidR="000C28DA">
        <w:rPr>
          <w:rFonts w:eastAsia="Times New Roman" w:cstheme="minorHAnsi"/>
          <w:kern w:val="0"/>
          <w:lang w:eastAsia="en-GB"/>
          <w14:ligatures w14:val="none"/>
        </w:rPr>
        <w:t>less effective decision making</w:t>
      </w:r>
      <w:r w:rsidR="0085126F">
        <w:rPr>
          <w:rFonts w:eastAsia="Times New Roman" w:cstheme="minorHAnsi"/>
          <w:kern w:val="0"/>
          <w:lang w:eastAsia="en-GB"/>
          <w14:ligatures w14:val="none"/>
        </w:rPr>
        <w:t xml:space="preserve"> due to cognitive overload. This would suggest </w:t>
      </w:r>
      <w:r w:rsidR="005C0DF3">
        <w:rPr>
          <w:rFonts w:eastAsia="Times New Roman" w:cstheme="minorHAnsi"/>
          <w:kern w:val="0"/>
          <w:lang w:eastAsia="en-GB"/>
          <w14:ligatures w14:val="none"/>
        </w:rPr>
        <w:t xml:space="preserve">that major incidents can possess a very difficult situation for decision makers </w:t>
      </w:r>
      <w:r w:rsidR="00CA2442">
        <w:rPr>
          <w:rFonts w:eastAsia="Times New Roman" w:cstheme="minorHAnsi"/>
          <w:kern w:val="0"/>
          <w:lang w:eastAsia="en-GB"/>
          <w14:ligatures w14:val="none"/>
        </w:rPr>
        <w:t xml:space="preserve">when receiving information from operational responders at scene and being able to process what is being passed to them. </w:t>
      </w:r>
      <w:r w:rsidR="00A01A19">
        <w:rPr>
          <w:rFonts w:eastAsia="Times New Roman" w:cstheme="minorHAnsi"/>
          <w:kern w:val="0"/>
          <w:lang w:eastAsia="en-GB"/>
          <w14:ligatures w14:val="none"/>
        </w:rPr>
        <w:t xml:space="preserve">House, </w:t>
      </w:r>
      <w:r w:rsidR="00022E4F">
        <w:rPr>
          <w:rFonts w:eastAsia="Times New Roman" w:cstheme="minorHAnsi"/>
          <w:kern w:val="0"/>
          <w:lang w:eastAsia="en-GB"/>
          <w14:ligatures w14:val="none"/>
        </w:rPr>
        <w:t>Power,</w:t>
      </w:r>
      <w:r w:rsidR="00A01A19">
        <w:rPr>
          <w:rFonts w:eastAsia="Times New Roman" w:cstheme="minorHAnsi"/>
          <w:kern w:val="0"/>
          <w:lang w:eastAsia="en-GB"/>
          <w14:ligatures w14:val="none"/>
        </w:rPr>
        <w:t xml:space="preserve"> and Alison (2013) do however state that </w:t>
      </w:r>
      <w:r w:rsidR="00B07DBE">
        <w:rPr>
          <w:rFonts w:eastAsia="Times New Roman" w:cstheme="minorHAnsi"/>
          <w:kern w:val="0"/>
          <w:lang w:eastAsia="en-GB"/>
          <w14:ligatures w14:val="none"/>
        </w:rPr>
        <w:t xml:space="preserve">sharing of information between trusted agencies </w:t>
      </w:r>
      <w:r w:rsidR="004738F8">
        <w:rPr>
          <w:rFonts w:eastAsia="Times New Roman" w:cstheme="minorHAnsi"/>
          <w:kern w:val="0"/>
          <w:lang w:eastAsia="en-GB"/>
          <w14:ligatures w14:val="none"/>
        </w:rPr>
        <w:t xml:space="preserve">can assist in better decision making as they are </w:t>
      </w:r>
      <w:r w:rsidR="004738F8" w:rsidRPr="009E10B9">
        <w:rPr>
          <w:rFonts w:eastAsia="Times New Roman" w:cstheme="minorHAnsi"/>
          <w:kern w:val="0"/>
          <w:lang w:eastAsia="en-GB"/>
          <w14:ligatures w14:val="none"/>
        </w:rPr>
        <w:t xml:space="preserve">shared in the risk of the decisions made. </w:t>
      </w:r>
    </w:p>
    <w:p w14:paraId="25FA52D5" w14:textId="1D561E55" w:rsidR="002278A5" w:rsidRDefault="002278A5" w:rsidP="005B7A5D">
      <w:pPr>
        <w:rPr>
          <w:rFonts w:eastAsia="Times New Roman" w:cstheme="minorHAnsi"/>
          <w:kern w:val="0"/>
          <w:lang w:eastAsia="en-GB"/>
          <w14:ligatures w14:val="none"/>
        </w:rPr>
      </w:pPr>
    </w:p>
    <w:p w14:paraId="3AE5E776" w14:textId="10A04890" w:rsidR="004859C0" w:rsidRDefault="0044381C" w:rsidP="004859C0">
      <w:pPr>
        <w:spacing w:after="0" w:line="240" w:lineRule="auto"/>
        <w:rPr>
          <w:rFonts w:eastAsia="Times New Roman" w:cstheme="minorHAnsi"/>
          <w:kern w:val="0"/>
          <w:lang w:eastAsia="en-GB"/>
          <w14:ligatures w14:val="none"/>
        </w:rPr>
      </w:pPr>
      <w:r>
        <w:rPr>
          <w:rFonts w:eastAsia="Times New Roman" w:cstheme="minorHAnsi"/>
          <w:kern w:val="0"/>
          <w:lang w:eastAsia="en-GB"/>
          <w14:ligatures w14:val="none"/>
        </w:rPr>
        <w:t xml:space="preserve">Another challenge to </w:t>
      </w:r>
      <w:r w:rsidR="00CB6E18">
        <w:rPr>
          <w:rFonts w:eastAsia="Times New Roman" w:cstheme="minorHAnsi"/>
          <w:kern w:val="0"/>
          <w:lang w:eastAsia="en-GB"/>
          <w14:ligatures w14:val="none"/>
        </w:rPr>
        <w:t>the police</w:t>
      </w:r>
      <w:r w:rsidR="002D4B52">
        <w:rPr>
          <w:rFonts w:eastAsia="Times New Roman" w:cstheme="minorHAnsi"/>
          <w:kern w:val="0"/>
          <w:lang w:eastAsia="en-GB"/>
          <w14:ligatures w14:val="none"/>
        </w:rPr>
        <w:t xml:space="preserve"> </w:t>
      </w:r>
      <w:r w:rsidR="00CB6E18">
        <w:rPr>
          <w:rFonts w:eastAsia="Times New Roman" w:cstheme="minorHAnsi"/>
          <w:kern w:val="0"/>
          <w:lang w:eastAsia="en-GB"/>
          <w14:ligatures w14:val="none"/>
        </w:rPr>
        <w:t>s</w:t>
      </w:r>
      <w:r w:rsidR="002D4B52">
        <w:rPr>
          <w:rFonts w:eastAsia="Times New Roman" w:cstheme="minorHAnsi"/>
          <w:kern w:val="0"/>
          <w:lang w:eastAsia="en-GB"/>
          <w14:ligatures w14:val="none"/>
        </w:rPr>
        <w:t>ervices</w:t>
      </w:r>
      <w:r w:rsidR="00CB6E18">
        <w:rPr>
          <w:rFonts w:eastAsia="Times New Roman" w:cstheme="minorHAnsi"/>
          <w:kern w:val="0"/>
          <w:lang w:eastAsia="en-GB"/>
          <w14:ligatures w14:val="none"/>
        </w:rPr>
        <w:t xml:space="preserve"> response to major incidents is the allocation of resources. </w:t>
      </w:r>
      <w:r w:rsidR="009A764B">
        <w:rPr>
          <w:rFonts w:eastAsia="Times New Roman" w:cstheme="minorHAnsi"/>
          <w:kern w:val="0"/>
          <w:lang w:eastAsia="en-GB"/>
          <w14:ligatures w14:val="none"/>
        </w:rPr>
        <w:t xml:space="preserve">Given the nature of major and critical incidents, </w:t>
      </w:r>
      <w:r w:rsidR="004859C0">
        <w:rPr>
          <w:rFonts w:eastAsia="Times New Roman" w:cstheme="minorHAnsi"/>
          <w:kern w:val="0"/>
          <w:lang w:eastAsia="en-GB"/>
          <w14:ligatures w14:val="none"/>
        </w:rPr>
        <w:t xml:space="preserve">significant resources would be required, however, </w:t>
      </w:r>
      <w:r w:rsidR="002863ED">
        <w:rPr>
          <w:rFonts w:eastAsia="Times New Roman" w:cstheme="minorHAnsi"/>
          <w:kern w:val="0"/>
          <w:lang w:eastAsia="en-GB"/>
          <w14:ligatures w14:val="none"/>
        </w:rPr>
        <w:t xml:space="preserve">Romundstad et al (2004) argues that depending on the size of the incident, flooding resources can be </w:t>
      </w:r>
      <w:r w:rsidR="007B255F">
        <w:rPr>
          <w:rFonts w:eastAsia="Times New Roman" w:cstheme="minorHAnsi"/>
          <w:kern w:val="0"/>
          <w:lang w:eastAsia="en-GB"/>
          <w14:ligatures w14:val="none"/>
        </w:rPr>
        <w:t>counterproductive</w:t>
      </w:r>
      <w:r w:rsidR="002863ED">
        <w:rPr>
          <w:rFonts w:eastAsia="Times New Roman" w:cstheme="minorHAnsi"/>
          <w:kern w:val="0"/>
          <w:lang w:eastAsia="en-GB"/>
          <w14:ligatures w14:val="none"/>
        </w:rPr>
        <w:t xml:space="preserve">. They argue that this is because to many personal can obstruct the </w:t>
      </w:r>
      <w:r w:rsidR="007B255F">
        <w:rPr>
          <w:rFonts w:eastAsia="Times New Roman" w:cstheme="minorHAnsi"/>
          <w:kern w:val="0"/>
          <w:lang w:eastAsia="en-GB"/>
          <w14:ligatures w14:val="none"/>
        </w:rPr>
        <w:t xml:space="preserve">response needed. </w:t>
      </w:r>
    </w:p>
    <w:p w14:paraId="6F6D623C" w14:textId="77777777" w:rsidR="00190D73" w:rsidRDefault="00190D73" w:rsidP="00491BE7">
      <w:pPr>
        <w:rPr>
          <w:b/>
          <w:bCs/>
        </w:rPr>
      </w:pPr>
    </w:p>
    <w:p w14:paraId="0F3F891A" w14:textId="77777777" w:rsidR="00190D73" w:rsidRDefault="00190D73" w:rsidP="00491BE7">
      <w:pPr>
        <w:rPr>
          <w:b/>
          <w:bCs/>
        </w:rPr>
      </w:pPr>
    </w:p>
    <w:p w14:paraId="1689E5E8" w14:textId="525E85CA" w:rsidR="00491BE7" w:rsidRPr="00491BE7" w:rsidRDefault="00B31E5E" w:rsidP="00491BE7">
      <w:pPr>
        <w:rPr>
          <w:rFonts w:ascii="Times New Roman" w:eastAsia="Times New Roman" w:hAnsi="Times New Roman" w:cs="Times New Roman"/>
          <w:kern w:val="0"/>
          <w:sz w:val="24"/>
          <w:szCs w:val="24"/>
          <w:lang w:eastAsia="en-GB"/>
          <w14:ligatures w14:val="none"/>
        </w:rPr>
      </w:pPr>
      <w:r w:rsidRPr="009E10B9">
        <w:t xml:space="preserve">There have been numerous major incidents in the United Kingdom in recent years and some have resulted in subsequent </w:t>
      </w:r>
      <w:r w:rsidR="00E030D5">
        <w:t>i</w:t>
      </w:r>
      <w:r w:rsidRPr="009E10B9">
        <w:t xml:space="preserve">nquires evaluating the response, including that of the police service. </w:t>
      </w:r>
      <w:r w:rsidR="00F60C48" w:rsidRPr="009E10B9">
        <w:t xml:space="preserve">Two </w:t>
      </w:r>
      <w:r w:rsidRPr="009E10B9">
        <w:t xml:space="preserve">such major </w:t>
      </w:r>
      <w:r w:rsidRPr="009E10B9">
        <w:rPr>
          <w:rFonts w:cstheme="minorHAnsi"/>
        </w:rPr>
        <w:t>incidents are the 2005 London Bombing</w:t>
      </w:r>
      <w:r w:rsidR="00F60C48" w:rsidRPr="009E10B9">
        <w:rPr>
          <w:rFonts w:cstheme="minorHAnsi"/>
        </w:rPr>
        <w:t>s and t</w:t>
      </w:r>
      <w:r w:rsidRPr="009E10B9">
        <w:rPr>
          <w:rFonts w:cstheme="minorHAnsi"/>
        </w:rPr>
        <w:t xml:space="preserve">he </w:t>
      </w:r>
      <w:r w:rsidR="00010D7B" w:rsidRPr="009E10B9">
        <w:rPr>
          <w:rFonts w:cstheme="minorHAnsi"/>
        </w:rPr>
        <w:t>2017 Manchester arena bombing</w:t>
      </w:r>
      <w:r w:rsidR="00F60C48" w:rsidRPr="009E10B9">
        <w:rPr>
          <w:rFonts w:cstheme="minorHAnsi"/>
        </w:rPr>
        <w:t xml:space="preserve">s. </w:t>
      </w:r>
      <w:r w:rsidR="003B307A" w:rsidRPr="009E10B9">
        <w:rPr>
          <w:rFonts w:cstheme="minorHAnsi"/>
        </w:rPr>
        <w:t>Firstly, the London bombings which occurred on July the 7</w:t>
      </w:r>
      <w:r w:rsidR="003B307A" w:rsidRPr="009E10B9">
        <w:rPr>
          <w:rFonts w:cstheme="minorHAnsi"/>
          <w:vertAlign w:val="superscript"/>
        </w:rPr>
        <w:t>th</w:t>
      </w:r>
      <w:r w:rsidR="003B307A" w:rsidRPr="009E10B9">
        <w:rPr>
          <w:rFonts w:cstheme="minorHAnsi"/>
        </w:rPr>
        <w:t xml:space="preserve"> </w:t>
      </w:r>
      <w:r w:rsidR="007A4767" w:rsidRPr="009E10B9">
        <w:rPr>
          <w:rFonts w:cstheme="minorHAnsi"/>
        </w:rPr>
        <w:t xml:space="preserve">2005 killed 52 people and </w:t>
      </w:r>
      <w:r w:rsidR="00BC0A16" w:rsidRPr="009E10B9">
        <w:rPr>
          <w:rFonts w:cstheme="minorHAnsi"/>
        </w:rPr>
        <w:t xml:space="preserve">had an injury count in the hundreds </w:t>
      </w:r>
      <w:r w:rsidR="009E10B9" w:rsidRPr="009E10B9">
        <w:rPr>
          <w:rFonts w:eastAsia="Times New Roman" w:cstheme="minorHAnsi"/>
          <w:kern w:val="0"/>
          <w:lang w:eastAsia="en-GB"/>
          <w14:ligatures w14:val="none"/>
        </w:rPr>
        <w:t>(Rodgers, Qurashi, and Connor, 2015)</w:t>
      </w:r>
      <w:r w:rsidR="009E10B9">
        <w:rPr>
          <w:rFonts w:eastAsia="Times New Roman" w:cstheme="minorHAnsi"/>
          <w:kern w:val="0"/>
          <w:lang w:eastAsia="en-GB"/>
          <w14:ligatures w14:val="none"/>
        </w:rPr>
        <w:t>. This r</w:t>
      </w:r>
      <w:r w:rsidR="00442330">
        <w:rPr>
          <w:rFonts w:eastAsia="Times New Roman" w:cstheme="minorHAnsi"/>
          <w:kern w:val="0"/>
          <w:lang w:eastAsia="en-GB"/>
          <w14:ligatures w14:val="none"/>
        </w:rPr>
        <w:t xml:space="preserve">equired a substantial response from the </w:t>
      </w:r>
      <w:r w:rsidR="00D80837">
        <w:rPr>
          <w:rFonts w:eastAsia="Times New Roman" w:cstheme="minorHAnsi"/>
          <w:kern w:val="0"/>
          <w:lang w:eastAsia="en-GB"/>
          <w14:ligatures w14:val="none"/>
        </w:rPr>
        <w:t>M</w:t>
      </w:r>
      <w:r w:rsidR="00442330">
        <w:rPr>
          <w:rFonts w:eastAsia="Times New Roman" w:cstheme="minorHAnsi"/>
          <w:kern w:val="0"/>
          <w:lang w:eastAsia="en-GB"/>
          <w14:ligatures w14:val="none"/>
        </w:rPr>
        <w:t xml:space="preserve">etropolitan police </w:t>
      </w:r>
      <w:r w:rsidR="00491BE7">
        <w:rPr>
          <w:rFonts w:eastAsia="Times New Roman" w:cstheme="minorHAnsi"/>
          <w:kern w:val="0"/>
          <w:lang w:eastAsia="en-GB"/>
          <w14:ligatures w14:val="none"/>
        </w:rPr>
        <w:t xml:space="preserve">and some learnings were published in a report into the bombings by </w:t>
      </w:r>
      <w:r w:rsidR="00491BE7">
        <w:rPr>
          <w:rFonts w:eastAsia="Times New Roman" w:cstheme="minorHAnsi"/>
          <w:kern w:val="0"/>
          <w:lang w:eastAsia="en-GB"/>
          <w14:ligatures w14:val="none"/>
        </w:rPr>
        <w:lastRenderedPageBreak/>
        <w:t>the Intelligence and Security Committee (2006)</w:t>
      </w:r>
      <w:r w:rsidR="001613D3">
        <w:rPr>
          <w:rFonts w:eastAsia="Times New Roman" w:cstheme="minorHAnsi"/>
          <w:kern w:val="0"/>
          <w:lang w:eastAsia="en-GB"/>
          <w14:ligatures w14:val="none"/>
        </w:rPr>
        <w:t xml:space="preserve">. </w:t>
      </w:r>
      <w:r w:rsidR="00320271">
        <w:rPr>
          <w:rFonts w:eastAsia="Times New Roman" w:cstheme="minorHAnsi"/>
          <w:kern w:val="0"/>
          <w:lang w:eastAsia="en-GB"/>
          <w14:ligatures w14:val="none"/>
        </w:rPr>
        <w:t>Th</w:t>
      </w:r>
      <w:r w:rsidR="00F132E7">
        <w:rPr>
          <w:rFonts w:eastAsia="Times New Roman" w:cstheme="minorHAnsi"/>
          <w:kern w:val="0"/>
          <w:lang w:eastAsia="en-GB"/>
          <w14:ligatures w14:val="none"/>
        </w:rPr>
        <w:t xml:space="preserve">is report recognises that </w:t>
      </w:r>
      <w:r w:rsidR="00ED18B7">
        <w:rPr>
          <w:rFonts w:eastAsia="Times New Roman" w:cstheme="minorHAnsi"/>
          <w:kern w:val="0"/>
          <w:lang w:eastAsia="en-GB"/>
          <w14:ligatures w14:val="none"/>
        </w:rPr>
        <w:t>to</w:t>
      </w:r>
      <w:r w:rsidR="00F132E7">
        <w:rPr>
          <w:rFonts w:eastAsia="Times New Roman" w:cstheme="minorHAnsi"/>
          <w:kern w:val="0"/>
          <w:lang w:eastAsia="en-GB"/>
          <w14:ligatures w14:val="none"/>
        </w:rPr>
        <w:t xml:space="preserve"> </w:t>
      </w:r>
      <w:r w:rsidR="00E22D86">
        <w:rPr>
          <w:rFonts w:eastAsia="Times New Roman" w:cstheme="minorHAnsi"/>
          <w:kern w:val="0"/>
          <w:lang w:eastAsia="en-GB"/>
          <w14:ligatures w14:val="none"/>
        </w:rPr>
        <w:t xml:space="preserve">mitigate the threat of terrorism which results in the major incident, that closer working between the police and intelligence services would be desirable to mitigate such a threat. </w:t>
      </w:r>
      <w:r w:rsidR="00B26C80">
        <w:rPr>
          <w:rFonts w:eastAsia="Times New Roman" w:cstheme="minorHAnsi"/>
          <w:kern w:val="0"/>
          <w:lang w:eastAsia="en-GB"/>
          <w14:ligatures w14:val="none"/>
        </w:rPr>
        <w:t xml:space="preserve">The Royal United Services Institute (2007) found that </w:t>
      </w:r>
      <w:r w:rsidR="00FF53B9">
        <w:rPr>
          <w:rFonts w:eastAsia="Times New Roman" w:cstheme="minorHAnsi"/>
          <w:kern w:val="0"/>
          <w:lang w:eastAsia="en-GB"/>
          <w14:ligatures w14:val="none"/>
        </w:rPr>
        <w:t xml:space="preserve">first responders including police consistently </w:t>
      </w:r>
      <w:r w:rsidR="00ED18B7">
        <w:rPr>
          <w:rFonts w:eastAsia="Times New Roman" w:cstheme="minorHAnsi"/>
          <w:kern w:val="0"/>
          <w:lang w:eastAsia="en-GB"/>
          <w14:ligatures w14:val="none"/>
        </w:rPr>
        <w:t>believed</w:t>
      </w:r>
      <w:r w:rsidR="00FF53B9">
        <w:rPr>
          <w:rFonts w:eastAsia="Times New Roman" w:cstheme="minorHAnsi"/>
          <w:kern w:val="0"/>
          <w:lang w:eastAsia="en-GB"/>
          <w14:ligatures w14:val="none"/>
        </w:rPr>
        <w:t xml:space="preserve"> that the </w:t>
      </w:r>
      <w:r w:rsidR="00BD63D4">
        <w:rPr>
          <w:rFonts w:eastAsia="Times New Roman" w:cstheme="minorHAnsi"/>
          <w:kern w:val="0"/>
          <w:lang w:eastAsia="en-GB"/>
          <w14:ligatures w14:val="none"/>
        </w:rPr>
        <w:t xml:space="preserve">plans in place for such an attack worked well and effective however did </w:t>
      </w:r>
      <w:r w:rsidR="00ED18B7">
        <w:rPr>
          <w:rFonts w:eastAsia="Times New Roman" w:cstheme="minorHAnsi"/>
          <w:kern w:val="0"/>
          <w:lang w:eastAsia="en-GB"/>
          <w14:ligatures w14:val="none"/>
        </w:rPr>
        <w:t>acknowledge</w:t>
      </w:r>
      <w:r w:rsidR="00BD63D4">
        <w:rPr>
          <w:rFonts w:eastAsia="Times New Roman" w:cstheme="minorHAnsi"/>
          <w:kern w:val="0"/>
          <w:lang w:eastAsia="en-GB"/>
          <w14:ligatures w14:val="none"/>
        </w:rPr>
        <w:t xml:space="preserve"> that there were issues with the communicating information</w:t>
      </w:r>
      <w:r w:rsidR="00BE6567">
        <w:rPr>
          <w:rFonts w:eastAsia="Times New Roman" w:cstheme="minorHAnsi"/>
          <w:kern w:val="0"/>
          <w:lang w:eastAsia="en-GB"/>
          <w14:ligatures w14:val="none"/>
        </w:rPr>
        <w:t xml:space="preserve"> during the event. </w:t>
      </w:r>
    </w:p>
    <w:p w14:paraId="01C5B798" w14:textId="1B5AF1BE" w:rsidR="00B31E5E" w:rsidRDefault="00B31E5E">
      <w:pPr>
        <w:rPr>
          <w:rFonts w:ascii="Times New Roman" w:eastAsia="Times New Roman" w:hAnsi="Times New Roman" w:cs="Times New Roman"/>
          <w:kern w:val="0"/>
          <w:lang w:eastAsia="en-GB"/>
          <w14:ligatures w14:val="none"/>
        </w:rPr>
      </w:pPr>
    </w:p>
    <w:p w14:paraId="187D0547" w14:textId="634DD751" w:rsidR="00E22584" w:rsidRPr="00E22584" w:rsidRDefault="00E22584" w:rsidP="00B43536">
      <w:r>
        <w:t xml:space="preserve">The Manchester Arena Inquiry (2022) </w:t>
      </w:r>
      <w:r w:rsidR="0032007A">
        <w:t>found multiple failures by Greater Manchester Police in its initial response to the bom</w:t>
      </w:r>
      <w:r w:rsidR="009C4A99">
        <w:t xml:space="preserve">bings, including significant failures within their responsibilities in line with JESIP requirements. </w:t>
      </w:r>
      <w:r w:rsidR="00A01B91">
        <w:t xml:space="preserve">The inquiry found that there with a significant </w:t>
      </w:r>
      <w:r w:rsidR="00B95354">
        <w:t xml:space="preserve">lack of communication between the emergency services, it found that delays in a major incident being declared by the police service and the </w:t>
      </w:r>
      <w:r w:rsidR="000A4D18">
        <w:t xml:space="preserve">knowledge gap from commanders in procedure resulted in </w:t>
      </w:r>
      <w:r w:rsidR="003F40BE">
        <w:t xml:space="preserve">failures in the response. </w:t>
      </w:r>
      <w:r w:rsidR="00223194">
        <w:t xml:space="preserve">The </w:t>
      </w:r>
      <w:r w:rsidR="00B056D7">
        <w:t>inquiry</w:t>
      </w:r>
      <w:r w:rsidR="00223194">
        <w:t xml:space="preserve"> does note however that </w:t>
      </w:r>
      <w:r w:rsidR="00B056D7">
        <w:t xml:space="preserve">Greater Manchester Police did adequately resource the major </w:t>
      </w:r>
      <w:r w:rsidR="00F42BF1">
        <w:t>incident.</w:t>
      </w:r>
      <w:r w:rsidR="00B43536">
        <w:t xml:space="preserve"> Lowe (2020) also adds that the lack of </w:t>
      </w:r>
      <w:r w:rsidR="00D16B8E">
        <w:t xml:space="preserve">communication greatly damaged the effectiveness of the emergency response between the agencies however </w:t>
      </w:r>
      <w:r w:rsidR="000354EF">
        <w:t>does note that there were many examples of good practice among the responders</w:t>
      </w:r>
      <w:r w:rsidR="00022E4F">
        <w:t xml:space="preserve">. This is encouraging as with the lessons that can be learned, the services should be well equipped should a future attack occur. </w:t>
      </w:r>
    </w:p>
    <w:p w14:paraId="6C0C01AC" w14:textId="77777777" w:rsidR="00121B37" w:rsidRDefault="00121B37">
      <w:pPr>
        <w:rPr>
          <w:b/>
          <w:bCs/>
        </w:rPr>
      </w:pPr>
    </w:p>
    <w:p w14:paraId="3C9EE000" w14:textId="29FE791A" w:rsidR="007A7905" w:rsidRDefault="00305CEE" w:rsidP="00B93EAB">
      <w:r>
        <w:t xml:space="preserve">Major and critical incidents can have a profound effect on the mental health and wellbeing of officers, this can be down to the traumatic </w:t>
      </w:r>
      <w:r w:rsidR="0033609D">
        <w:t>nature of them</w:t>
      </w:r>
      <w:r w:rsidR="00632E7A">
        <w:t xml:space="preserve">. One </w:t>
      </w:r>
      <w:r w:rsidR="0033609D">
        <w:t xml:space="preserve">such </w:t>
      </w:r>
      <w:r w:rsidR="00632E7A">
        <w:t>incident is</w:t>
      </w:r>
      <w:r w:rsidR="0033609D">
        <w:t xml:space="preserve"> the Grenfell Tower fire in 2017</w:t>
      </w:r>
      <w:r w:rsidR="00632E7A">
        <w:t>, where there are now</w:t>
      </w:r>
      <w:r w:rsidR="0033609D">
        <w:t xml:space="preserve"> over thirty current and former police officers </w:t>
      </w:r>
      <w:r w:rsidR="00756FA7">
        <w:t>suing</w:t>
      </w:r>
      <w:r w:rsidR="0033609D">
        <w:t xml:space="preserve"> the </w:t>
      </w:r>
      <w:r w:rsidR="00541D7D">
        <w:t>M</w:t>
      </w:r>
      <w:r w:rsidR="0033609D">
        <w:t xml:space="preserve">etropolitan police </w:t>
      </w:r>
      <w:r w:rsidR="00DD1306">
        <w:t>for the trauma suffered (</w:t>
      </w:r>
      <w:r w:rsidR="00756FA7">
        <w:t>BBC, 2024)</w:t>
      </w:r>
      <w:r w:rsidR="00286C86">
        <w:t>.</w:t>
      </w:r>
      <w:r w:rsidR="00B82A58">
        <w:t xml:space="preserve"> A study by Kerswell et al (20</w:t>
      </w:r>
      <w:r w:rsidR="00F92417">
        <w:t xml:space="preserve">19) </w:t>
      </w:r>
      <w:r w:rsidR="00770083">
        <w:t xml:space="preserve">found that following </w:t>
      </w:r>
      <w:r w:rsidR="006C4D48">
        <w:t xml:space="preserve">a potentially traumatic event attended by police personal, 24% of those had increased </w:t>
      </w:r>
      <w:r w:rsidR="009A4031">
        <w:t xml:space="preserve">levels of distress. In addition to this, the study found that 13% of personnel displayed symptoms of </w:t>
      </w:r>
      <w:r w:rsidR="005F1F63">
        <w:t>post-traumatic</w:t>
      </w:r>
      <w:r w:rsidR="009A4031">
        <w:t xml:space="preserve"> stress disorder</w:t>
      </w:r>
      <w:r w:rsidR="005F1F63">
        <w:t xml:space="preserve"> (PTSD)</w:t>
      </w:r>
      <w:r w:rsidR="009A4031">
        <w:t xml:space="preserve"> and found that females were </w:t>
      </w:r>
      <w:r w:rsidR="005F1F63">
        <w:t>affected</w:t>
      </w:r>
      <w:r w:rsidR="009A4031">
        <w:t xml:space="preserve"> to a greater extent to their male colleagues. </w:t>
      </w:r>
      <w:r w:rsidR="00475869">
        <w:t>In comparison to this study</w:t>
      </w:r>
      <w:r w:rsidR="008F4C43">
        <w:t xml:space="preserve">, Regehr et al (2019) found that police officers responding to potentially traumatic events display a lower </w:t>
      </w:r>
      <w:r w:rsidR="005F1F63">
        <w:t>prevalence</w:t>
      </w:r>
      <w:r w:rsidR="008F4C43">
        <w:t xml:space="preserve"> of </w:t>
      </w:r>
      <w:r w:rsidR="005F1F63">
        <w:t>PTSD compared to civilians who have been involved in the same event. It could be argued that due to the nature of policing and past experiences of dealing with traumatic events</w:t>
      </w:r>
      <w:r w:rsidR="00871DE6">
        <w:t xml:space="preserve">, police attend between 400 and 600 traumatic events during their careers compared to civilians </w:t>
      </w:r>
      <w:r w:rsidR="007972E2">
        <w:t xml:space="preserve">3 to 4 </w:t>
      </w:r>
      <w:r w:rsidR="00A7673D">
        <w:t>(Avon and Somerset Police Federation, 2021)</w:t>
      </w:r>
      <w:r w:rsidR="00A438BD">
        <w:t>, that they are more resilient to deal with such incidents</w:t>
      </w:r>
      <w:r w:rsidR="000B3663">
        <w:t xml:space="preserve">. However given the frequency of police witnesses traumatic events, any </w:t>
      </w:r>
      <w:r w:rsidR="00F21F64">
        <w:t xml:space="preserve">mental health impact should be of concern. </w:t>
      </w:r>
      <w:r w:rsidR="00FB14DA">
        <w:t>A study by Craddock and Telesco (</w:t>
      </w:r>
      <w:r w:rsidR="003605DF">
        <w:t xml:space="preserve">2022) </w:t>
      </w:r>
      <w:r w:rsidR="0043651C">
        <w:t xml:space="preserve">found that continued exposure to traumatic events does have a negative effect on the </w:t>
      </w:r>
      <w:r w:rsidR="009C0A9E">
        <w:t>officer’s</w:t>
      </w:r>
      <w:r w:rsidR="0043651C">
        <w:t xml:space="preserve"> mental well-being</w:t>
      </w:r>
      <w:r w:rsidR="00F66F31">
        <w:t xml:space="preserve"> and can lower their </w:t>
      </w:r>
      <w:r w:rsidR="009C0A9E">
        <w:t xml:space="preserve">faith in other humans. </w:t>
      </w:r>
      <w:r w:rsidR="00B93EAB">
        <w:t xml:space="preserve"> Velazquez and Hernandez (2019) go further, they </w:t>
      </w:r>
      <w:r w:rsidR="00C14F77">
        <w:t xml:space="preserve">found that not only can the trauma related to being a police officer decrease an </w:t>
      </w:r>
      <w:r w:rsidR="007A7905">
        <w:t>officer’s</w:t>
      </w:r>
      <w:r w:rsidR="00C14F77">
        <w:t xml:space="preserve"> mental well-being, but also </w:t>
      </w:r>
      <w:r w:rsidR="007A7905">
        <w:t xml:space="preserve">lead to depression (in addition to PTSD), substance abuse and sometimes even suicide. This finding is further concerning given the number of traumatic events attended by police officers including major and critical incidents. </w:t>
      </w:r>
    </w:p>
    <w:p w14:paraId="1A2E3797" w14:textId="77777777" w:rsidR="00E83F9F" w:rsidRDefault="00E83F9F" w:rsidP="00B93EAB"/>
    <w:p w14:paraId="75FAB96C" w14:textId="61501C8D" w:rsidR="003B0466" w:rsidRDefault="007A7905">
      <w:pPr>
        <w:rPr>
          <w:rFonts w:ascii="Times New Roman" w:eastAsia="Times New Roman" w:hAnsi="Times New Roman" w:cs="Times New Roman"/>
          <w:kern w:val="0"/>
          <w:sz w:val="24"/>
          <w:szCs w:val="24"/>
          <w:lang w:eastAsia="en-GB"/>
          <w14:ligatures w14:val="none"/>
        </w:rPr>
      </w:pPr>
      <w:r>
        <w:t xml:space="preserve">There are however methods and strategies which can be used by police officers and police forces to try and mitigate the risk associated with the attending of traumatic major and critical incidents. </w:t>
      </w:r>
      <w:r w:rsidR="005221EF">
        <w:t xml:space="preserve">One such way police forces attempt to support </w:t>
      </w:r>
      <w:r w:rsidR="00D37627">
        <w:t>officers’</w:t>
      </w:r>
      <w:r w:rsidR="005221EF">
        <w:t xml:space="preserve"> wellbeing is by </w:t>
      </w:r>
      <w:r w:rsidR="00630867">
        <w:t>using the Trauma Risk</w:t>
      </w:r>
      <w:r w:rsidR="00BB6D25">
        <w:t xml:space="preserve"> Incident</w:t>
      </w:r>
      <w:r w:rsidR="00630867">
        <w:t xml:space="preserve"> Manage</w:t>
      </w:r>
      <w:r w:rsidR="00BB6D25">
        <w:t>ment (TRIM) process,</w:t>
      </w:r>
      <w:r w:rsidR="00664997">
        <w:t xml:space="preserve"> it is intended to support the needs of officers who have experienced a</w:t>
      </w:r>
      <w:r w:rsidR="00DD2BB8">
        <w:t xml:space="preserve"> traumatic event and reduce the risk of them developing </w:t>
      </w:r>
      <w:r w:rsidR="00C32824">
        <w:t>long term conditions such as PTSD</w:t>
      </w:r>
      <w:r w:rsidR="006F10E3">
        <w:t xml:space="preserve"> (Kent </w:t>
      </w:r>
      <w:r w:rsidR="006F10E3">
        <w:lastRenderedPageBreak/>
        <w:t xml:space="preserve">Police, 2021). </w:t>
      </w:r>
      <w:r w:rsidR="00D37627">
        <w:t xml:space="preserve">Despite this being a good and positive intervention by police forces, </w:t>
      </w:r>
      <w:r w:rsidR="00AB7055">
        <w:t xml:space="preserve">research by </w:t>
      </w:r>
      <w:proofErr w:type="spellStart"/>
      <w:r w:rsidR="00AB7055">
        <w:t>Demou</w:t>
      </w:r>
      <w:proofErr w:type="spellEnd"/>
      <w:r w:rsidR="00AB7055">
        <w:t xml:space="preserve">, Hale and Hunt (2020) found that there needs to be </w:t>
      </w:r>
      <w:r w:rsidR="00DF1537">
        <w:t xml:space="preserve">a greater availability of counselling as well as improved mental health training for officers and staff. </w:t>
      </w:r>
      <w:r w:rsidR="008A6FA4">
        <w:t>They also conclude that off</w:t>
      </w:r>
      <w:r w:rsidR="004540B2">
        <w:t xml:space="preserve">icers and staff need to be better informed and aware of triggers to their own and </w:t>
      </w:r>
      <w:r w:rsidR="007B00D8">
        <w:t>colleagues’</w:t>
      </w:r>
      <w:r w:rsidR="004540B2">
        <w:t xml:space="preserve"> mental health.</w:t>
      </w:r>
      <w:r w:rsidR="007B00D8">
        <w:t xml:space="preserve"> There is also work being undertaken by the Police Federation of England and Wales</w:t>
      </w:r>
      <w:r w:rsidR="001075EA">
        <w:t xml:space="preserve"> to improve the mental health of police officers, some of this work includes the provision of a </w:t>
      </w:r>
      <w:r w:rsidR="00D5616B">
        <w:t>9-point</w:t>
      </w:r>
      <w:r w:rsidR="001075EA">
        <w:t xml:space="preserve"> plan do assist police forces </w:t>
      </w:r>
      <w:r w:rsidR="00834EEB">
        <w:t xml:space="preserve">(PFEW, no date). </w:t>
      </w:r>
      <w:r w:rsidR="00D667D9">
        <w:t xml:space="preserve">Part of this plan was to ensure chief constables signed up to the Oscar Kilo </w:t>
      </w:r>
      <w:r w:rsidR="000930B1">
        <w:t xml:space="preserve">service which was founded in 2019 and provides guidance to those forces </w:t>
      </w:r>
      <w:r w:rsidR="00A47617">
        <w:t>to assist in improving officer wellbeing</w:t>
      </w:r>
      <w:r w:rsidR="00D5616B">
        <w:t xml:space="preserve"> (Oscar Kilo, 2024). </w:t>
      </w:r>
    </w:p>
    <w:p w14:paraId="236779DB" w14:textId="77777777" w:rsidR="00511FD9" w:rsidRDefault="00511FD9">
      <w:pPr>
        <w:rPr>
          <w:rFonts w:ascii="Times New Roman" w:eastAsia="Times New Roman" w:hAnsi="Times New Roman" w:cs="Times New Roman"/>
          <w:kern w:val="0"/>
          <w:sz w:val="24"/>
          <w:szCs w:val="24"/>
          <w:lang w:eastAsia="en-GB"/>
          <w14:ligatures w14:val="none"/>
        </w:rPr>
      </w:pPr>
    </w:p>
    <w:p w14:paraId="6823AEAE" w14:textId="1C21AABA" w:rsidR="00BC3918" w:rsidRPr="00BC3918" w:rsidRDefault="00BC3918">
      <w:pPr>
        <w:rPr>
          <w:rFonts w:eastAsia="Times New Roman" w:cstheme="minorHAnsi"/>
          <w:kern w:val="0"/>
          <w:lang w:eastAsia="en-GB"/>
          <w14:ligatures w14:val="none"/>
        </w:rPr>
      </w:pPr>
      <w:proofErr w:type="gramStart"/>
      <w:r>
        <w:rPr>
          <w:rFonts w:eastAsia="Times New Roman" w:cstheme="minorHAnsi"/>
          <w:kern w:val="0"/>
          <w:lang w:eastAsia="en-GB"/>
          <w14:ligatures w14:val="none"/>
        </w:rPr>
        <w:t>It is clear that the</w:t>
      </w:r>
      <w:proofErr w:type="gramEnd"/>
      <w:r>
        <w:rPr>
          <w:rFonts w:eastAsia="Times New Roman" w:cstheme="minorHAnsi"/>
          <w:kern w:val="0"/>
          <w:lang w:eastAsia="en-GB"/>
          <w14:ligatures w14:val="none"/>
        </w:rPr>
        <w:t xml:space="preserve"> police services within the United Kingdom </w:t>
      </w:r>
      <w:r w:rsidR="0097362E">
        <w:rPr>
          <w:rFonts w:eastAsia="Times New Roman" w:cstheme="minorHAnsi"/>
          <w:kern w:val="0"/>
          <w:lang w:eastAsia="en-GB"/>
          <w14:ligatures w14:val="none"/>
        </w:rPr>
        <w:t xml:space="preserve">have a crucial and leading role in joint emergency services operations, however </w:t>
      </w:r>
      <w:r w:rsidR="00C76A76">
        <w:rPr>
          <w:rFonts w:eastAsia="Times New Roman" w:cstheme="minorHAnsi"/>
          <w:kern w:val="0"/>
          <w:lang w:eastAsia="en-GB"/>
          <w14:ligatures w14:val="none"/>
        </w:rPr>
        <w:t xml:space="preserve">there is a theme from the literature that although there are positives from previous operations, </w:t>
      </w:r>
      <w:r w:rsidR="00DF4466">
        <w:rPr>
          <w:rFonts w:eastAsia="Times New Roman" w:cstheme="minorHAnsi"/>
          <w:kern w:val="0"/>
          <w:lang w:eastAsia="en-GB"/>
          <w14:ligatures w14:val="none"/>
        </w:rPr>
        <w:t>communication</w:t>
      </w:r>
      <w:r w:rsidR="00C76A76">
        <w:rPr>
          <w:rFonts w:eastAsia="Times New Roman" w:cstheme="minorHAnsi"/>
          <w:kern w:val="0"/>
          <w:lang w:eastAsia="en-GB"/>
          <w14:ligatures w14:val="none"/>
        </w:rPr>
        <w:t xml:space="preserve"> between the services does appear to hinder the effective responses. To further conclude, </w:t>
      </w:r>
      <w:r w:rsidR="00DF4466">
        <w:rPr>
          <w:rFonts w:eastAsia="Times New Roman" w:cstheme="minorHAnsi"/>
          <w:kern w:val="0"/>
          <w:lang w:eastAsia="en-GB"/>
          <w14:ligatures w14:val="none"/>
        </w:rPr>
        <w:t xml:space="preserve">police officers’ mental health can be affected by such major and critical incidents as many can be traumatic, and further work to mitigate this problem should be force priorities. </w:t>
      </w:r>
    </w:p>
    <w:p w14:paraId="36AB9D21" w14:textId="77777777" w:rsidR="00511FD9" w:rsidRPr="00B56B63" w:rsidRDefault="00511FD9">
      <w:pPr>
        <w:rPr>
          <w:rFonts w:ascii="Times New Roman" w:eastAsia="Times New Roman" w:hAnsi="Times New Roman" w:cs="Times New Roman"/>
          <w:kern w:val="0"/>
          <w:sz w:val="24"/>
          <w:szCs w:val="24"/>
          <w:lang w:eastAsia="en-GB"/>
          <w14:ligatures w14:val="none"/>
        </w:rPr>
      </w:pPr>
    </w:p>
    <w:p w14:paraId="09A116CA" w14:textId="2D7D2ABE" w:rsidR="003B0466" w:rsidRPr="00DF4466" w:rsidRDefault="00DF4466">
      <w:pPr>
        <w:rPr>
          <w:b/>
          <w:bCs/>
        </w:rPr>
      </w:pPr>
      <w:r>
        <w:rPr>
          <w:b/>
          <w:bCs/>
        </w:rPr>
        <w:t>Word count: 18</w:t>
      </w:r>
      <w:r w:rsidR="00190D73">
        <w:rPr>
          <w:b/>
          <w:bCs/>
        </w:rPr>
        <w:t>56</w:t>
      </w:r>
    </w:p>
    <w:p w14:paraId="5A09D1B5" w14:textId="77777777" w:rsidR="00C13789" w:rsidRDefault="00C13789">
      <w:pPr>
        <w:rPr>
          <w:b/>
          <w:bCs/>
        </w:rPr>
      </w:pPr>
    </w:p>
    <w:p w14:paraId="48D798EC" w14:textId="77777777" w:rsidR="00C13789" w:rsidRDefault="00C13789">
      <w:pPr>
        <w:rPr>
          <w:b/>
          <w:bCs/>
        </w:rPr>
      </w:pPr>
    </w:p>
    <w:p w14:paraId="4A5EF3A5" w14:textId="77777777" w:rsidR="00C13789" w:rsidRDefault="00C13789">
      <w:pPr>
        <w:rPr>
          <w:b/>
          <w:bCs/>
        </w:rPr>
      </w:pPr>
    </w:p>
    <w:p w14:paraId="1083148E" w14:textId="77777777" w:rsidR="00C13789" w:rsidRDefault="00C13789">
      <w:pPr>
        <w:rPr>
          <w:b/>
          <w:bCs/>
        </w:rPr>
      </w:pPr>
    </w:p>
    <w:p w14:paraId="2BBF6A52" w14:textId="77777777" w:rsidR="00C13789" w:rsidRDefault="00C13789">
      <w:pPr>
        <w:rPr>
          <w:b/>
          <w:bCs/>
        </w:rPr>
      </w:pPr>
    </w:p>
    <w:p w14:paraId="6C7E2042" w14:textId="77777777" w:rsidR="00C13789" w:rsidRDefault="00C13789">
      <w:pPr>
        <w:rPr>
          <w:b/>
          <w:bCs/>
        </w:rPr>
      </w:pPr>
    </w:p>
    <w:p w14:paraId="000CC220" w14:textId="77777777" w:rsidR="00C13789" w:rsidRDefault="00C13789">
      <w:pPr>
        <w:rPr>
          <w:b/>
          <w:bCs/>
        </w:rPr>
      </w:pPr>
    </w:p>
    <w:p w14:paraId="3E2AB91C" w14:textId="77777777" w:rsidR="00C13789" w:rsidRDefault="00C13789">
      <w:pPr>
        <w:rPr>
          <w:b/>
          <w:bCs/>
        </w:rPr>
      </w:pPr>
    </w:p>
    <w:p w14:paraId="56955753" w14:textId="77777777" w:rsidR="00C13789" w:rsidRDefault="00C13789">
      <w:pPr>
        <w:rPr>
          <w:b/>
          <w:bCs/>
        </w:rPr>
      </w:pPr>
    </w:p>
    <w:p w14:paraId="5CAB93CD" w14:textId="77777777" w:rsidR="00C13789" w:rsidRDefault="00C13789">
      <w:pPr>
        <w:rPr>
          <w:b/>
          <w:bCs/>
        </w:rPr>
      </w:pPr>
    </w:p>
    <w:p w14:paraId="1073DA18" w14:textId="77777777" w:rsidR="00C13789" w:rsidRDefault="00C13789">
      <w:pPr>
        <w:rPr>
          <w:b/>
          <w:bCs/>
        </w:rPr>
      </w:pPr>
    </w:p>
    <w:p w14:paraId="767A7B73" w14:textId="77777777" w:rsidR="00C13789" w:rsidRDefault="00C13789">
      <w:pPr>
        <w:rPr>
          <w:b/>
          <w:bCs/>
        </w:rPr>
      </w:pPr>
    </w:p>
    <w:p w14:paraId="2A56AC05" w14:textId="77777777" w:rsidR="00C13789" w:rsidRDefault="00C13789">
      <w:pPr>
        <w:rPr>
          <w:b/>
          <w:bCs/>
        </w:rPr>
      </w:pPr>
    </w:p>
    <w:p w14:paraId="7D973C18" w14:textId="77777777" w:rsidR="00C13789" w:rsidRDefault="00C13789">
      <w:pPr>
        <w:rPr>
          <w:b/>
          <w:bCs/>
        </w:rPr>
      </w:pPr>
    </w:p>
    <w:p w14:paraId="6EB49956" w14:textId="77777777" w:rsidR="00C13789" w:rsidRDefault="00C13789">
      <w:pPr>
        <w:rPr>
          <w:b/>
          <w:bCs/>
        </w:rPr>
      </w:pPr>
    </w:p>
    <w:p w14:paraId="32322829" w14:textId="77777777" w:rsidR="00C13789" w:rsidRDefault="00C13789">
      <w:pPr>
        <w:rPr>
          <w:b/>
          <w:bCs/>
        </w:rPr>
      </w:pPr>
    </w:p>
    <w:p w14:paraId="670E1416" w14:textId="77777777" w:rsidR="00C13789" w:rsidRDefault="00C13789">
      <w:pPr>
        <w:rPr>
          <w:b/>
          <w:bCs/>
        </w:rPr>
      </w:pPr>
    </w:p>
    <w:p w14:paraId="2C24B977" w14:textId="77777777" w:rsidR="00DF4466" w:rsidRDefault="00DF4466">
      <w:pPr>
        <w:rPr>
          <w:b/>
          <w:bCs/>
        </w:rPr>
      </w:pPr>
    </w:p>
    <w:p w14:paraId="1516EB7A" w14:textId="77777777" w:rsidR="00C13789" w:rsidRDefault="00C13789">
      <w:pPr>
        <w:rPr>
          <w:b/>
          <w:bCs/>
        </w:rPr>
      </w:pPr>
    </w:p>
    <w:p w14:paraId="03F0E1A8" w14:textId="0468381D" w:rsidR="00C13789" w:rsidRDefault="00C13789">
      <w:pPr>
        <w:rPr>
          <w:b/>
          <w:bCs/>
        </w:rPr>
      </w:pPr>
      <w:r>
        <w:rPr>
          <w:b/>
          <w:bCs/>
        </w:rPr>
        <w:t>References</w:t>
      </w:r>
    </w:p>
    <w:p w14:paraId="30E0BE3D" w14:textId="77777777" w:rsidR="00FD52D6" w:rsidRPr="004B69AE" w:rsidRDefault="00FD52D6">
      <w:pPr>
        <w:rPr>
          <w:b/>
          <w:bCs/>
        </w:rPr>
      </w:pPr>
    </w:p>
    <w:p w14:paraId="38EEEA39"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Avon and Somerset Police Federation (2021). </w:t>
      </w:r>
      <w:r w:rsidRPr="00CD7DD6">
        <w:rPr>
          <w:rFonts w:asciiTheme="minorHAnsi" w:hAnsiTheme="minorHAnsi" w:cstheme="minorHAnsi"/>
          <w:i/>
          <w:iCs/>
          <w:sz w:val="22"/>
          <w:szCs w:val="22"/>
        </w:rPr>
        <w:t xml:space="preserve">Capture Data </w:t>
      </w:r>
      <w:proofErr w:type="gramStart"/>
      <w:r w:rsidRPr="00CD7DD6">
        <w:rPr>
          <w:rFonts w:asciiTheme="minorHAnsi" w:hAnsiTheme="minorHAnsi" w:cstheme="minorHAnsi"/>
          <w:i/>
          <w:iCs/>
          <w:sz w:val="22"/>
          <w:szCs w:val="22"/>
        </w:rPr>
        <w:t>On</w:t>
      </w:r>
      <w:proofErr w:type="gramEnd"/>
      <w:r w:rsidRPr="00CD7DD6">
        <w:rPr>
          <w:rFonts w:asciiTheme="minorHAnsi" w:hAnsiTheme="minorHAnsi" w:cstheme="minorHAnsi"/>
          <w:i/>
          <w:iCs/>
          <w:sz w:val="22"/>
          <w:szCs w:val="22"/>
        </w:rPr>
        <w:t xml:space="preserve"> Traumatic Incidents</w:t>
      </w:r>
      <w:r w:rsidRPr="00CD7DD6">
        <w:rPr>
          <w:rFonts w:asciiTheme="minorHAnsi" w:hAnsiTheme="minorHAnsi" w:cstheme="minorHAnsi"/>
          <w:sz w:val="22"/>
          <w:szCs w:val="22"/>
        </w:rPr>
        <w:t>. [online] www.polfed.org. Available at: https://www.polfed.org/avonsom/news/news-articles/capture-data-on-traumatic-incidents/#:~:text=He%20continued%3A%20%E2%80%9CDuring%20their%20careers%2C%20each%20police%20officer [Accessed 2 Jun. 2024].</w:t>
      </w:r>
    </w:p>
    <w:p w14:paraId="409C7229"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BBC (2024). Grenfell: Met officers suing force over ‘trauma’ suffered. </w:t>
      </w:r>
      <w:r w:rsidRPr="00CD7DD6">
        <w:rPr>
          <w:rFonts w:asciiTheme="minorHAnsi" w:hAnsiTheme="minorHAnsi" w:cstheme="minorHAnsi"/>
          <w:i/>
          <w:iCs/>
          <w:sz w:val="22"/>
          <w:szCs w:val="22"/>
        </w:rPr>
        <w:t>BBC News</w:t>
      </w:r>
      <w:r w:rsidRPr="00CD7DD6">
        <w:rPr>
          <w:rFonts w:asciiTheme="minorHAnsi" w:hAnsiTheme="minorHAnsi" w:cstheme="minorHAnsi"/>
          <w:sz w:val="22"/>
          <w:szCs w:val="22"/>
        </w:rPr>
        <w:t>. [online] 10 Mar. Available at: https://www.bbc.co.uk/news/uk-england-london-68529159 [Accessed 2 Jun. 2024].</w:t>
      </w:r>
    </w:p>
    <w:p w14:paraId="4CD4667C"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Brown, O., Power, </w:t>
      </w:r>
      <w:proofErr w:type="gramStart"/>
      <w:r w:rsidRPr="00CD7DD6">
        <w:rPr>
          <w:rFonts w:asciiTheme="minorHAnsi" w:hAnsiTheme="minorHAnsi" w:cstheme="minorHAnsi"/>
          <w:sz w:val="22"/>
          <w:szCs w:val="22"/>
        </w:rPr>
        <w:t>N.</w:t>
      </w:r>
      <w:proofErr w:type="gramEnd"/>
      <w:r w:rsidRPr="00CD7DD6">
        <w:rPr>
          <w:rFonts w:asciiTheme="minorHAnsi" w:hAnsiTheme="minorHAnsi" w:cstheme="minorHAnsi"/>
          <w:sz w:val="22"/>
          <w:szCs w:val="22"/>
        </w:rPr>
        <w:t xml:space="preserve"> and Conchie, S.M. (2021). Communication and Coordination across Event phases: a Multi‐team System Emergency Response. </w:t>
      </w:r>
      <w:r w:rsidRPr="00CD7DD6">
        <w:rPr>
          <w:rFonts w:asciiTheme="minorHAnsi" w:hAnsiTheme="minorHAnsi" w:cstheme="minorHAnsi"/>
          <w:i/>
          <w:iCs/>
          <w:sz w:val="22"/>
          <w:szCs w:val="22"/>
        </w:rPr>
        <w:t>Journal of Occupational and Organizational Psychology</w:t>
      </w:r>
      <w:r w:rsidRPr="00CD7DD6">
        <w:rPr>
          <w:rFonts w:asciiTheme="minorHAnsi" w:hAnsiTheme="minorHAnsi" w:cstheme="minorHAnsi"/>
          <w:sz w:val="22"/>
          <w:szCs w:val="22"/>
        </w:rPr>
        <w:t xml:space="preserve">, 94(3), pp.591–615. </w:t>
      </w:r>
      <w:proofErr w:type="spellStart"/>
      <w:proofErr w:type="gramStart"/>
      <w:r w:rsidRPr="00CD7DD6">
        <w:rPr>
          <w:rFonts w:asciiTheme="minorHAnsi" w:hAnsiTheme="minorHAnsi" w:cstheme="minorHAnsi"/>
          <w:sz w:val="22"/>
          <w:szCs w:val="22"/>
        </w:rPr>
        <w:t>doi:https</w:t>
      </w:r>
      <w:proofErr w:type="spellEnd"/>
      <w:r w:rsidRPr="00CD7DD6">
        <w:rPr>
          <w:rFonts w:asciiTheme="minorHAnsi" w:hAnsiTheme="minorHAnsi" w:cstheme="minorHAnsi"/>
          <w:sz w:val="22"/>
          <w:szCs w:val="22"/>
        </w:rPr>
        <w:t>://doi.org/10.1111/joop.12349</w:t>
      </w:r>
      <w:proofErr w:type="gramEnd"/>
      <w:r w:rsidRPr="00CD7DD6">
        <w:rPr>
          <w:rFonts w:asciiTheme="minorHAnsi" w:hAnsiTheme="minorHAnsi" w:cstheme="minorHAnsi"/>
          <w:sz w:val="22"/>
          <w:szCs w:val="22"/>
        </w:rPr>
        <w:t>.</w:t>
      </w:r>
    </w:p>
    <w:p w14:paraId="0B6C89DA"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College of Policing (2013). </w:t>
      </w:r>
      <w:r w:rsidRPr="00CD7DD6">
        <w:rPr>
          <w:rFonts w:asciiTheme="minorHAnsi" w:hAnsiTheme="minorHAnsi" w:cstheme="minorHAnsi"/>
          <w:i/>
          <w:iCs/>
          <w:sz w:val="22"/>
          <w:szCs w:val="22"/>
        </w:rPr>
        <w:t>Core Planning Principles</w:t>
      </w:r>
      <w:r w:rsidRPr="00CD7DD6">
        <w:rPr>
          <w:rFonts w:asciiTheme="minorHAnsi" w:hAnsiTheme="minorHAnsi" w:cstheme="minorHAnsi"/>
          <w:sz w:val="22"/>
          <w:szCs w:val="22"/>
        </w:rPr>
        <w:t xml:space="preserve">. [online] College of Policing. Available at: </w:t>
      </w:r>
      <w:hyperlink r:id="rId6" w:history="1">
        <w:r w:rsidRPr="00CD7DD6">
          <w:rPr>
            <w:rStyle w:val="Hyperlink"/>
            <w:rFonts w:asciiTheme="minorHAnsi" w:hAnsiTheme="minorHAnsi" w:cstheme="minorHAnsi"/>
            <w:color w:val="auto"/>
            <w:sz w:val="22"/>
            <w:szCs w:val="22"/>
            <w:u w:val="none"/>
          </w:rPr>
          <w:t>https://www.college.police.uk/app/operations/operational-planning/core-planning-principles</w:t>
        </w:r>
      </w:hyperlink>
      <w:r w:rsidRPr="00CD7DD6">
        <w:rPr>
          <w:rFonts w:asciiTheme="minorHAnsi" w:hAnsiTheme="minorHAnsi" w:cstheme="minorHAnsi"/>
          <w:sz w:val="22"/>
          <w:szCs w:val="22"/>
        </w:rPr>
        <w:t>. (Accessed: 29 May 2024)</w:t>
      </w:r>
    </w:p>
    <w:p w14:paraId="5DF12BC3" w14:textId="1F959E7A"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College of Policing (2013). </w:t>
      </w:r>
      <w:r w:rsidRPr="00CD7DD6">
        <w:rPr>
          <w:rFonts w:asciiTheme="minorHAnsi" w:hAnsiTheme="minorHAnsi" w:cstheme="minorHAnsi"/>
          <w:i/>
          <w:iCs/>
          <w:sz w:val="22"/>
          <w:szCs w:val="22"/>
        </w:rPr>
        <w:t>Command Structures</w:t>
      </w:r>
      <w:r w:rsidRPr="00CD7DD6">
        <w:rPr>
          <w:rFonts w:asciiTheme="minorHAnsi" w:hAnsiTheme="minorHAnsi" w:cstheme="minorHAnsi"/>
          <w:sz w:val="22"/>
          <w:szCs w:val="22"/>
        </w:rPr>
        <w:t xml:space="preserve">. [online] College of Policing. Available at: </w:t>
      </w:r>
      <w:hyperlink r:id="rId7" w:history="1">
        <w:r w:rsidRPr="00CD7DD6">
          <w:rPr>
            <w:rStyle w:val="Hyperlink"/>
            <w:rFonts w:asciiTheme="minorHAnsi" w:hAnsiTheme="minorHAnsi" w:cstheme="minorHAnsi"/>
            <w:color w:val="auto"/>
            <w:sz w:val="22"/>
            <w:szCs w:val="22"/>
            <w:u w:val="none"/>
          </w:rPr>
          <w:t>https://www.college.police.uk/app/operations/command-and-control/command-structures</w:t>
        </w:r>
      </w:hyperlink>
      <w:r w:rsidRPr="00CD7DD6">
        <w:rPr>
          <w:rFonts w:asciiTheme="minorHAnsi" w:hAnsiTheme="minorHAnsi" w:cstheme="minorHAnsi"/>
          <w:sz w:val="22"/>
          <w:szCs w:val="22"/>
        </w:rPr>
        <w:t>.</w:t>
      </w:r>
    </w:p>
    <w:p w14:paraId="0828C131"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College of Policing (2018). </w:t>
      </w:r>
      <w:r w:rsidRPr="00CD7DD6">
        <w:rPr>
          <w:rFonts w:asciiTheme="minorHAnsi" w:hAnsiTheme="minorHAnsi" w:cstheme="minorHAnsi"/>
          <w:i/>
          <w:iCs/>
          <w:sz w:val="22"/>
          <w:szCs w:val="22"/>
        </w:rPr>
        <w:t>Definitions</w:t>
      </w:r>
      <w:r w:rsidRPr="00CD7DD6">
        <w:rPr>
          <w:rFonts w:asciiTheme="minorHAnsi" w:hAnsiTheme="minorHAnsi" w:cstheme="minorHAnsi"/>
          <w:sz w:val="22"/>
          <w:szCs w:val="22"/>
        </w:rPr>
        <w:t xml:space="preserve">. [online] College of Policing. Available at: </w:t>
      </w:r>
      <w:hyperlink r:id="rId8" w:history="1">
        <w:r w:rsidRPr="00CD7DD6">
          <w:rPr>
            <w:rStyle w:val="Hyperlink"/>
            <w:rFonts w:asciiTheme="minorHAnsi" w:hAnsiTheme="minorHAnsi" w:cstheme="minorHAnsi"/>
            <w:color w:val="auto"/>
            <w:sz w:val="22"/>
            <w:szCs w:val="22"/>
            <w:u w:val="none"/>
          </w:rPr>
          <w:t>https://www.college.police.uk/app/civil-emergencies/disaster-victim-identification/definitions</w:t>
        </w:r>
      </w:hyperlink>
      <w:r w:rsidRPr="00CD7DD6">
        <w:rPr>
          <w:rFonts w:asciiTheme="minorHAnsi" w:hAnsiTheme="minorHAnsi" w:cstheme="minorHAnsi"/>
          <w:sz w:val="22"/>
          <w:szCs w:val="22"/>
        </w:rPr>
        <w:t>. (Accessed: 29 May 2024)</w:t>
      </w:r>
    </w:p>
    <w:p w14:paraId="1E88371D" w14:textId="77777777" w:rsidR="00FD52D6" w:rsidRPr="00CD7DD6" w:rsidRDefault="00FD52D6" w:rsidP="00190D73">
      <w:pPr>
        <w:ind w:left="720" w:hanging="720"/>
        <w:rPr>
          <w:rFonts w:cstheme="minorHAnsi"/>
          <w:shd w:val="clear" w:color="auto" w:fill="FFFFFF"/>
        </w:rPr>
      </w:pPr>
      <w:r w:rsidRPr="00CD7DD6">
        <w:rPr>
          <w:rFonts w:cstheme="minorHAnsi"/>
          <w:shd w:val="clear" w:color="auto" w:fill="FFFFFF"/>
        </w:rPr>
        <w:t>Craddock, T.B. and Telesco, G., 2022. Police stress and deleterious outcomes: Efforts towards improving police mental health. </w:t>
      </w:r>
      <w:r w:rsidRPr="00CD7DD6">
        <w:rPr>
          <w:rFonts w:cstheme="minorHAnsi"/>
          <w:i/>
          <w:iCs/>
          <w:shd w:val="clear" w:color="auto" w:fill="FFFFFF"/>
        </w:rPr>
        <w:t>Journal of police and criminal psychology</w:t>
      </w:r>
      <w:r w:rsidRPr="00CD7DD6">
        <w:rPr>
          <w:rFonts w:cstheme="minorHAnsi"/>
          <w:shd w:val="clear" w:color="auto" w:fill="FFFFFF"/>
        </w:rPr>
        <w:t>, </w:t>
      </w:r>
      <w:r w:rsidRPr="00CD7DD6">
        <w:rPr>
          <w:rFonts w:cstheme="minorHAnsi"/>
          <w:i/>
          <w:iCs/>
          <w:shd w:val="clear" w:color="auto" w:fill="FFFFFF"/>
        </w:rPr>
        <w:t>37</w:t>
      </w:r>
      <w:r w:rsidRPr="00CD7DD6">
        <w:rPr>
          <w:rFonts w:cstheme="minorHAnsi"/>
          <w:shd w:val="clear" w:color="auto" w:fill="FFFFFF"/>
        </w:rPr>
        <w:t>(1), pp.173-182</w:t>
      </w:r>
    </w:p>
    <w:p w14:paraId="6AB723DB"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proofErr w:type="spellStart"/>
      <w:r w:rsidRPr="00CD7DD6">
        <w:rPr>
          <w:rFonts w:asciiTheme="minorHAnsi" w:hAnsiTheme="minorHAnsi" w:cstheme="minorHAnsi"/>
          <w:sz w:val="22"/>
          <w:szCs w:val="22"/>
        </w:rPr>
        <w:t>Demou</w:t>
      </w:r>
      <w:proofErr w:type="spellEnd"/>
      <w:r w:rsidRPr="00CD7DD6">
        <w:rPr>
          <w:rFonts w:asciiTheme="minorHAnsi" w:hAnsiTheme="minorHAnsi" w:cstheme="minorHAnsi"/>
          <w:sz w:val="22"/>
          <w:szCs w:val="22"/>
        </w:rPr>
        <w:t xml:space="preserve">, E., Hale, H. and Hunt, K. (2020). Understanding the mental health and wellbeing needs of police officers and staff in Scotland. </w:t>
      </w:r>
      <w:r w:rsidRPr="00CD7DD6">
        <w:rPr>
          <w:rFonts w:asciiTheme="minorHAnsi" w:hAnsiTheme="minorHAnsi" w:cstheme="minorHAnsi"/>
          <w:i/>
          <w:iCs/>
          <w:sz w:val="22"/>
          <w:szCs w:val="22"/>
        </w:rPr>
        <w:t>Police Practice and Research</w:t>
      </w:r>
      <w:r w:rsidRPr="00CD7DD6">
        <w:rPr>
          <w:rFonts w:asciiTheme="minorHAnsi" w:hAnsiTheme="minorHAnsi" w:cstheme="minorHAnsi"/>
          <w:sz w:val="22"/>
          <w:szCs w:val="22"/>
        </w:rPr>
        <w:t xml:space="preserve">, [online] 21(6), pp.1–15. </w:t>
      </w:r>
      <w:proofErr w:type="spellStart"/>
      <w:proofErr w:type="gramStart"/>
      <w:r w:rsidRPr="00CD7DD6">
        <w:rPr>
          <w:rFonts w:asciiTheme="minorHAnsi" w:hAnsiTheme="minorHAnsi" w:cstheme="minorHAnsi"/>
          <w:sz w:val="22"/>
          <w:szCs w:val="22"/>
        </w:rPr>
        <w:t>doi:https</w:t>
      </w:r>
      <w:proofErr w:type="spellEnd"/>
      <w:r w:rsidRPr="00CD7DD6">
        <w:rPr>
          <w:rFonts w:asciiTheme="minorHAnsi" w:hAnsiTheme="minorHAnsi" w:cstheme="minorHAnsi"/>
          <w:sz w:val="22"/>
          <w:szCs w:val="22"/>
        </w:rPr>
        <w:t>://doi.org/10.1080/15614263.2020.1772782</w:t>
      </w:r>
      <w:proofErr w:type="gramEnd"/>
      <w:r w:rsidRPr="00CD7DD6">
        <w:rPr>
          <w:rFonts w:asciiTheme="minorHAnsi" w:hAnsiTheme="minorHAnsi" w:cstheme="minorHAnsi"/>
          <w:sz w:val="22"/>
          <w:szCs w:val="22"/>
        </w:rPr>
        <w:t>.</w:t>
      </w:r>
    </w:p>
    <w:p w14:paraId="0EE77DF9" w14:textId="77777777" w:rsidR="00FD52D6" w:rsidRDefault="00FD52D6" w:rsidP="00190D73">
      <w:pPr>
        <w:pStyle w:val="NormalWeb"/>
        <w:spacing w:before="0" w:beforeAutospacing="0" w:after="0" w:afterAutospacing="0" w:line="360" w:lineRule="atLeast"/>
        <w:ind w:left="720" w:hanging="720"/>
        <w:rPr>
          <w:rFonts w:asciiTheme="minorHAnsi" w:hAnsiTheme="minorHAnsi" w:cstheme="minorHAnsi"/>
          <w:sz w:val="22"/>
          <w:szCs w:val="22"/>
        </w:rPr>
      </w:pPr>
      <w:r w:rsidRPr="00CD7DD6">
        <w:rPr>
          <w:rFonts w:asciiTheme="minorHAnsi" w:hAnsiTheme="minorHAnsi" w:cstheme="minorHAnsi"/>
          <w:sz w:val="22"/>
          <w:szCs w:val="22"/>
        </w:rPr>
        <w:t>His Majesty’s Inspectorate of Constabulary and Fire &amp; Rescue Services. (2016). </w:t>
      </w:r>
      <w:r w:rsidRPr="00CD7DD6">
        <w:rPr>
          <w:rFonts w:asciiTheme="minorHAnsi" w:hAnsiTheme="minorHAnsi" w:cstheme="minorHAnsi"/>
          <w:i/>
          <w:iCs/>
          <w:sz w:val="22"/>
          <w:szCs w:val="22"/>
        </w:rPr>
        <w:t>The tri-service review of the Joint Emergency Services Interoperability Principles</w:t>
      </w:r>
      <w:r w:rsidRPr="00CD7DD6">
        <w:rPr>
          <w:rFonts w:asciiTheme="minorHAnsi" w:hAnsiTheme="minorHAnsi" w:cstheme="minorHAnsi"/>
          <w:sz w:val="22"/>
          <w:szCs w:val="22"/>
        </w:rPr>
        <w:t>. [online] Available at: https://hmicfrs.justiceinspectorates.gov.uk/publications/the-tri-service-review-of-the-joint-</w:t>
      </w:r>
      <w:r w:rsidRPr="00CD7DD6">
        <w:rPr>
          <w:rFonts w:asciiTheme="minorHAnsi" w:hAnsiTheme="minorHAnsi" w:cstheme="minorHAnsi"/>
          <w:sz w:val="22"/>
          <w:szCs w:val="22"/>
        </w:rPr>
        <w:lastRenderedPageBreak/>
        <w:t>emergency-services-interoperability-principles/#:~:text=In%20times%20of%20emergency%2C%20the%20emergency%20services%20of [Accessed 29 May 2024].</w:t>
      </w:r>
    </w:p>
    <w:p w14:paraId="37E0E654" w14:textId="77777777" w:rsidR="0016609D" w:rsidRPr="00CD7DD6" w:rsidRDefault="0016609D" w:rsidP="00190D73">
      <w:pPr>
        <w:pStyle w:val="NormalWeb"/>
        <w:spacing w:before="0" w:beforeAutospacing="0" w:after="0" w:afterAutospacing="0" w:line="360" w:lineRule="atLeast"/>
        <w:ind w:left="720" w:hanging="720"/>
        <w:rPr>
          <w:rFonts w:asciiTheme="minorHAnsi" w:hAnsiTheme="minorHAnsi" w:cstheme="minorHAnsi"/>
          <w:sz w:val="22"/>
          <w:szCs w:val="22"/>
        </w:rPr>
      </w:pPr>
    </w:p>
    <w:p w14:paraId="61D88522"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House, A., Power, N. and Alison, L. (2013). A systematic review of the potential hurdles of interoperability to the emergency services in major incidents: recommendations for solutions and alternatives. </w:t>
      </w:r>
      <w:r w:rsidRPr="00CD7DD6">
        <w:rPr>
          <w:rFonts w:asciiTheme="minorHAnsi" w:hAnsiTheme="minorHAnsi" w:cstheme="minorHAnsi"/>
          <w:i/>
          <w:iCs/>
          <w:sz w:val="22"/>
          <w:szCs w:val="22"/>
        </w:rPr>
        <w:t>Cognition, Technology &amp; Work</w:t>
      </w:r>
      <w:r w:rsidRPr="00CD7DD6">
        <w:rPr>
          <w:rFonts w:asciiTheme="minorHAnsi" w:hAnsiTheme="minorHAnsi" w:cstheme="minorHAnsi"/>
          <w:sz w:val="22"/>
          <w:szCs w:val="22"/>
        </w:rPr>
        <w:t xml:space="preserve">, [online] 16(3), pp.319–335. </w:t>
      </w:r>
      <w:proofErr w:type="spellStart"/>
      <w:proofErr w:type="gramStart"/>
      <w:r w:rsidRPr="00CD7DD6">
        <w:rPr>
          <w:rFonts w:asciiTheme="minorHAnsi" w:hAnsiTheme="minorHAnsi" w:cstheme="minorHAnsi"/>
          <w:sz w:val="22"/>
          <w:szCs w:val="22"/>
        </w:rPr>
        <w:t>doi:https</w:t>
      </w:r>
      <w:proofErr w:type="spellEnd"/>
      <w:r w:rsidRPr="00CD7DD6">
        <w:rPr>
          <w:rFonts w:asciiTheme="minorHAnsi" w:hAnsiTheme="minorHAnsi" w:cstheme="minorHAnsi"/>
          <w:sz w:val="22"/>
          <w:szCs w:val="22"/>
        </w:rPr>
        <w:t>://doi.org/10.1007/s10111-013-0259-6</w:t>
      </w:r>
      <w:proofErr w:type="gramEnd"/>
      <w:r w:rsidRPr="00CD7DD6">
        <w:rPr>
          <w:rFonts w:asciiTheme="minorHAnsi" w:hAnsiTheme="minorHAnsi" w:cstheme="minorHAnsi"/>
          <w:sz w:val="22"/>
          <w:szCs w:val="22"/>
        </w:rPr>
        <w:t>.</w:t>
      </w:r>
    </w:p>
    <w:p w14:paraId="4A7854B9"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Intelligence and Security Committee (2006). </w:t>
      </w:r>
      <w:r w:rsidRPr="00CD7DD6">
        <w:rPr>
          <w:rFonts w:asciiTheme="minorHAnsi" w:hAnsiTheme="minorHAnsi" w:cstheme="minorHAnsi"/>
          <w:i/>
          <w:iCs/>
          <w:sz w:val="22"/>
          <w:szCs w:val="22"/>
        </w:rPr>
        <w:t>Report into the London Terrorist Attacks on 7 July 2005</w:t>
      </w:r>
      <w:r w:rsidRPr="00CD7DD6">
        <w:rPr>
          <w:rFonts w:asciiTheme="minorHAnsi" w:hAnsiTheme="minorHAnsi" w:cstheme="minorHAnsi"/>
          <w:sz w:val="22"/>
          <w:szCs w:val="22"/>
        </w:rPr>
        <w:t>. [online] Available at: https://assets.publishing.service.gov.uk/media/5a7c470140f0b62dffde1050/isc_terrorist_attacks_7july_report.pdf [Accessed 2 Jun. 2024].</w:t>
      </w:r>
    </w:p>
    <w:p w14:paraId="05572237"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‌JESIP (2018). </w:t>
      </w:r>
      <w:r w:rsidRPr="00CD7DD6">
        <w:rPr>
          <w:rFonts w:asciiTheme="minorHAnsi" w:hAnsiTheme="minorHAnsi" w:cstheme="minorHAnsi"/>
          <w:i/>
          <w:iCs/>
          <w:sz w:val="22"/>
          <w:szCs w:val="22"/>
        </w:rPr>
        <w:t>About JESIP</w:t>
      </w:r>
      <w:r w:rsidRPr="00CD7DD6">
        <w:rPr>
          <w:rFonts w:asciiTheme="minorHAnsi" w:hAnsiTheme="minorHAnsi" w:cstheme="minorHAnsi"/>
          <w:sz w:val="22"/>
          <w:szCs w:val="22"/>
        </w:rPr>
        <w:t xml:space="preserve">. [online] JESIP Website. Available at: </w:t>
      </w:r>
      <w:hyperlink r:id="rId9" w:history="1">
        <w:r w:rsidRPr="00CD7DD6">
          <w:rPr>
            <w:rStyle w:val="Hyperlink"/>
            <w:rFonts w:asciiTheme="minorHAnsi" w:hAnsiTheme="minorHAnsi" w:cstheme="minorHAnsi"/>
            <w:color w:val="auto"/>
            <w:sz w:val="22"/>
            <w:szCs w:val="22"/>
            <w:u w:val="none"/>
          </w:rPr>
          <w:t>https://www.jesip.org.uk/about-jesip/#</w:t>
        </w:r>
      </w:hyperlink>
      <w:r w:rsidRPr="00CD7DD6">
        <w:rPr>
          <w:rFonts w:asciiTheme="minorHAnsi" w:hAnsiTheme="minorHAnsi" w:cstheme="minorHAnsi"/>
          <w:sz w:val="22"/>
          <w:szCs w:val="22"/>
        </w:rPr>
        <w:t xml:space="preserve">. </w:t>
      </w:r>
      <w:bookmarkStart w:id="0" w:name="_Hlk167880999"/>
      <w:r w:rsidRPr="00CD7DD6">
        <w:rPr>
          <w:rFonts w:asciiTheme="minorHAnsi" w:hAnsiTheme="minorHAnsi" w:cstheme="minorHAnsi"/>
          <w:sz w:val="22"/>
          <w:szCs w:val="22"/>
        </w:rPr>
        <w:t>(Accessed: 29 May 2024)</w:t>
      </w:r>
      <w:bookmarkEnd w:id="0"/>
    </w:p>
    <w:p w14:paraId="7AC845C2"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JESIP (2024). </w:t>
      </w:r>
      <w:r w:rsidRPr="00CD7DD6">
        <w:rPr>
          <w:rFonts w:asciiTheme="minorHAnsi" w:hAnsiTheme="minorHAnsi" w:cstheme="minorHAnsi"/>
          <w:i/>
          <w:iCs/>
          <w:sz w:val="22"/>
          <w:szCs w:val="22"/>
        </w:rPr>
        <w:t>JESIP - Major Incident</w:t>
      </w:r>
      <w:r w:rsidRPr="00CD7DD6">
        <w:rPr>
          <w:rFonts w:asciiTheme="minorHAnsi" w:hAnsiTheme="minorHAnsi" w:cstheme="minorHAnsi"/>
          <w:sz w:val="22"/>
          <w:szCs w:val="22"/>
        </w:rPr>
        <w:t xml:space="preserve">. [online] www.jesip.org.uk. Available at: </w:t>
      </w:r>
      <w:hyperlink r:id="rId10" w:history="1">
        <w:r w:rsidRPr="00CD7DD6">
          <w:rPr>
            <w:rStyle w:val="Hyperlink"/>
            <w:rFonts w:asciiTheme="minorHAnsi" w:hAnsiTheme="minorHAnsi" w:cstheme="minorHAnsi"/>
            <w:color w:val="auto"/>
            <w:sz w:val="22"/>
            <w:szCs w:val="22"/>
            <w:u w:val="none"/>
          </w:rPr>
          <w:t>https://www.jesip.org.uk/webapp/major.html</w:t>
        </w:r>
      </w:hyperlink>
      <w:r w:rsidRPr="00CD7DD6">
        <w:rPr>
          <w:rFonts w:asciiTheme="minorHAnsi" w:hAnsiTheme="minorHAnsi" w:cstheme="minorHAnsi"/>
          <w:sz w:val="22"/>
          <w:szCs w:val="22"/>
        </w:rPr>
        <w:t>. (Accessed: 29 May 2024)</w:t>
      </w:r>
    </w:p>
    <w:p w14:paraId="70292300"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JESIP (2024). </w:t>
      </w:r>
      <w:r w:rsidRPr="00CD7DD6">
        <w:rPr>
          <w:rFonts w:asciiTheme="minorHAnsi" w:hAnsiTheme="minorHAnsi" w:cstheme="minorHAnsi"/>
          <w:i/>
          <w:iCs/>
          <w:sz w:val="22"/>
          <w:szCs w:val="22"/>
        </w:rPr>
        <w:t>Joint Doctrine: The Interoperability Framework</w:t>
      </w:r>
      <w:r w:rsidRPr="00CD7DD6">
        <w:rPr>
          <w:rFonts w:asciiTheme="minorHAnsi" w:hAnsiTheme="minorHAnsi" w:cstheme="minorHAnsi"/>
          <w:sz w:val="22"/>
          <w:szCs w:val="22"/>
        </w:rPr>
        <w:t xml:space="preserve">. [online] p.12. Available at: file:///C:/Users/SWP8395/Downloads/JESIP-Joint-Doctrine-Update-April-2024-Web.pdf [Accessed 29 May 2024]. </w:t>
      </w:r>
    </w:p>
    <w:p w14:paraId="7530BD32"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JESIP (2024). </w:t>
      </w:r>
      <w:r w:rsidRPr="00CD7DD6">
        <w:rPr>
          <w:rFonts w:asciiTheme="minorHAnsi" w:hAnsiTheme="minorHAnsi" w:cstheme="minorHAnsi"/>
          <w:i/>
          <w:iCs/>
          <w:sz w:val="22"/>
          <w:szCs w:val="22"/>
        </w:rPr>
        <w:t>Joint Doctrine: The Interoperability Framework</w:t>
      </w:r>
      <w:r w:rsidRPr="00CD7DD6">
        <w:rPr>
          <w:rFonts w:asciiTheme="minorHAnsi" w:hAnsiTheme="minorHAnsi" w:cstheme="minorHAnsi"/>
          <w:sz w:val="22"/>
          <w:szCs w:val="22"/>
        </w:rPr>
        <w:t xml:space="preserve">. [online] p.23. Available at: file:///C:/Users/SWP8395/Downloads/JESIP-Joint-Doctrine-Update-April-2024-Web.pdf [Accessed 29 May 2024]. </w:t>
      </w:r>
    </w:p>
    <w:p w14:paraId="69D70D4A"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Kent Police (2021). </w:t>
      </w:r>
      <w:r w:rsidRPr="00CD7DD6">
        <w:rPr>
          <w:rFonts w:asciiTheme="minorHAnsi" w:hAnsiTheme="minorHAnsi" w:cstheme="minorHAnsi"/>
          <w:i/>
          <w:iCs/>
          <w:sz w:val="22"/>
          <w:szCs w:val="22"/>
        </w:rPr>
        <w:t>Human Resources - Trauma Risk Incident Management (TRIM) protocol (L11260)</w:t>
      </w:r>
      <w:r w:rsidRPr="00CD7DD6">
        <w:rPr>
          <w:rFonts w:asciiTheme="minorHAnsi" w:hAnsiTheme="minorHAnsi" w:cstheme="minorHAnsi"/>
          <w:sz w:val="22"/>
          <w:szCs w:val="22"/>
        </w:rPr>
        <w:t>. [online] Available at: https://www.kent.police.uk/foi-ai/kent-police/Policy/human-resources/trauma-risk-incident-management-trim-protocol-l11260/ [Accessed 2 Jun. 2024].</w:t>
      </w:r>
    </w:p>
    <w:p w14:paraId="7A25BFE6"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Kerswell, N.L., Strodl, E., Johnson, L. and Konstantinou, E. (2019). Mental Health Outcomes Following a Large-Scale Potentially Traumatic Event Involving Police Officers and Civilian Staff of the Queensland Police Service. </w:t>
      </w:r>
      <w:r w:rsidRPr="00CD7DD6">
        <w:rPr>
          <w:rFonts w:asciiTheme="minorHAnsi" w:hAnsiTheme="minorHAnsi" w:cstheme="minorHAnsi"/>
          <w:i/>
          <w:iCs/>
          <w:sz w:val="22"/>
          <w:szCs w:val="22"/>
        </w:rPr>
        <w:t>Journal of Police and Criminal Psychology</w:t>
      </w:r>
      <w:r w:rsidRPr="00CD7DD6">
        <w:rPr>
          <w:rFonts w:asciiTheme="minorHAnsi" w:hAnsiTheme="minorHAnsi" w:cstheme="minorHAnsi"/>
          <w:sz w:val="22"/>
          <w:szCs w:val="22"/>
        </w:rPr>
        <w:t xml:space="preserve">. </w:t>
      </w:r>
      <w:proofErr w:type="spellStart"/>
      <w:proofErr w:type="gramStart"/>
      <w:r w:rsidRPr="00CD7DD6">
        <w:rPr>
          <w:rFonts w:asciiTheme="minorHAnsi" w:hAnsiTheme="minorHAnsi" w:cstheme="minorHAnsi"/>
          <w:sz w:val="22"/>
          <w:szCs w:val="22"/>
        </w:rPr>
        <w:t>doi:https</w:t>
      </w:r>
      <w:proofErr w:type="spellEnd"/>
      <w:r w:rsidRPr="00CD7DD6">
        <w:rPr>
          <w:rFonts w:asciiTheme="minorHAnsi" w:hAnsiTheme="minorHAnsi" w:cstheme="minorHAnsi"/>
          <w:sz w:val="22"/>
          <w:szCs w:val="22"/>
        </w:rPr>
        <w:t>://doi.org/10.1007/s11896-018-9310-0</w:t>
      </w:r>
      <w:proofErr w:type="gramEnd"/>
      <w:r w:rsidRPr="00CD7DD6">
        <w:rPr>
          <w:rFonts w:asciiTheme="minorHAnsi" w:hAnsiTheme="minorHAnsi" w:cstheme="minorHAnsi"/>
          <w:sz w:val="22"/>
          <w:szCs w:val="22"/>
        </w:rPr>
        <w:t>.</w:t>
      </w:r>
    </w:p>
    <w:p w14:paraId="153FC99A"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lastRenderedPageBreak/>
        <w:t xml:space="preserve">Lowe, D., 2020. Manchester Arena Bombings: main lessons that have been learned. </w:t>
      </w:r>
      <w:r w:rsidRPr="00CD7DD6">
        <w:rPr>
          <w:rFonts w:asciiTheme="minorHAnsi" w:hAnsiTheme="minorHAnsi" w:cstheme="minorHAnsi"/>
          <w:i/>
          <w:iCs/>
          <w:sz w:val="22"/>
          <w:szCs w:val="22"/>
        </w:rPr>
        <w:t xml:space="preserve">Counter IED </w:t>
      </w:r>
      <w:proofErr w:type="gramStart"/>
      <w:r w:rsidRPr="00CD7DD6">
        <w:rPr>
          <w:rFonts w:asciiTheme="minorHAnsi" w:hAnsiTheme="minorHAnsi" w:cstheme="minorHAnsi"/>
          <w:i/>
          <w:iCs/>
          <w:sz w:val="22"/>
          <w:szCs w:val="22"/>
        </w:rPr>
        <w:t>Report .</w:t>
      </w:r>
      <w:proofErr w:type="gramEnd"/>
      <w:r w:rsidRPr="00CD7DD6">
        <w:rPr>
          <w:rFonts w:asciiTheme="minorHAnsi" w:hAnsiTheme="minorHAnsi" w:cstheme="minorHAnsi"/>
          <w:sz w:val="22"/>
          <w:szCs w:val="22"/>
        </w:rPr>
        <w:t xml:space="preserve"> Available at: </w:t>
      </w:r>
      <w:hyperlink r:id="rId11" w:history="1">
        <w:r w:rsidRPr="00CD7DD6">
          <w:rPr>
            <w:rFonts w:asciiTheme="minorHAnsi" w:eastAsiaTheme="minorHAnsi" w:hAnsiTheme="minorHAnsi" w:cstheme="minorHAnsi"/>
            <w:kern w:val="2"/>
            <w:sz w:val="22"/>
            <w:szCs w:val="22"/>
            <w:lang w:eastAsia="en-US"/>
            <w14:ligatures w14:val="standardContextual"/>
          </w:rPr>
          <w:t>ManchesterArenaBombingsMainLessonsThatHaveBeenLearntPV-LOWE.pdf (leedsbeckett.ac.uk)</w:t>
        </w:r>
      </w:hyperlink>
      <w:r w:rsidRPr="00CD7DD6">
        <w:rPr>
          <w:rFonts w:asciiTheme="minorHAnsi" w:eastAsiaTheme="minorHAnsi" w:hAnsiTheme="minorHAnsi" w:cstheme="minorHAnsi"/>
          <w:kern w:val="2"/>
          <w:sz w:val="22"/>
          <w:szCs w:val="22"/>
          <w:lang w:eastAsia="en-US"/>
          <w14:ligatures w14:val="standardContextual"/>
        </w:rPr>
        <w:t xml:space="preserve"> </w:t>
      </w:r>
      <w:r w:rsidRPr="00CD7DD6">
        <w:rPr>
          <w:rFonts w:asciiTheme="minorHAnsi" w:hAnsiTheme="minorHAnsi" w:cstheme="minorHAnsi"/>
          <w:sz w:val="22"/>
          <w:szCs w:val="22"/>
        </w:rPr>
        <w:t>[Accessed 2 Jun. 2024].</w:t>
      </w:r>
    </w:p>
    <w:p w14:paraId="4B25D3EA"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Manchester Arena Inquiry (2022). </w:t>
      </w:r>
      <w:r w:rsidRPr="00CD7DD6">
        <w:rPr>
          <w:rFonts w:asciiTheme="minorHAnsi" w:hAnsiTheme="minorHAnsi" w:cstheme="minorHAnsi"/>
          <w:i/>
          <w:iCs/>
          <w:sz w:val="22"/>
          <w:szCs w:val="22"/>
        </w:rPr>
        <w:t>Report of the Public Inquiry into the Attack on Manchester Arena on 22nd May 2017</w:t>
      </w:r>
      <w:r w:rsidRPr="00CD7DD6">
        <w:rPr>
          <w:rFonts w:asciiTheme="minorHAnsi" w:hAnsiTheme="minorHAnsi" w:cstheme="minorHAnsi"/>
          <w:sz w:val="22"/>
          <w:szCs w:val="22"/>
        </w:rPr>
        <w:t>. [online] Available at: https://assets.publishing.service.gov.uk/media/6363d508e90e0705a935f36d/MAI-Vol2-_Part_i_Accessible_.pdf [Accessed 2 Jun. 2024].</w:t>
      </w:r>
    </w:p>
    <w:p w14:paraId="053F8FFA"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Oscar Kilo (2024). </w:t>
      </w:r>
      <w:r w:rsidRPr="00CD7DD6">
        <w:rPr>
          <w:rFonts w:asciiTheme="minorHAnsi" w:hAnsiTheme="minorHAnsi" w:cstheme="minorHAnsi"/>
          <w:i/>
          <w:iCs/>
          <w:sz w:val="22"/>
          <w:szCs w:val="22"/>
        </w:rPr>
        <w:t>About us</w:t>
      </w:r>
      <w:r w:rsidRPr="00CD7DD6">
        <w:rPr>
          <w:rFonts w:asciiTheme="minorHAnsi" w:hAnsiTheme="minorHAnsi" w:cstheme="minorHAnsi"/>
          <w:sz w:val="22"/>
          <w:szCs w:val="22"/>
        </w:rPr>
        <w:t>. [online] Oscar Kilo. Available at: https://www.oscarkilo.org.uk/about-us [Accessed 2 Jun. 2024].</w:t>
      </w:r>
    </w:p>
    <w:p w14:paraId="728326BC"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PFEW (n.d.). </w:t>
      </w:r>
      <w:r w:rsidRPr="00CD7DD6">
        <w:rPr>
          <w:rFonts w:asciiTheme="minorHAnsi" w:hAnsiTheme="minorHAnsi" w:cstheme="minorHAnsi"/>
          <w:i/>
          <w:iCs/>
          <w:sz w:val="22"/>
          <w:szCs w:val="22"/>
        </w:rPr>
        <w:t>Mental health</w:t>
      </w:r>
      <w:r w:rsidRPr="00CD7DD6">
        <w:rPr>
          <w:rFonts w:asciiTheme="minorHAnsi" w:hAnsiTheme="minorHAnsi" w:cstheme="minorHAnsi"/>
          <w:sz w:val="22"/>
          <w:szCs w:val="22"/>
        </w:rPr>
        <w:t>. [online] www.polfed.org. Available at: https://www.polfed.org/mentalhealth [Accessed 2 Jun. 2024].</w:t>
      </w:r>
    </w:p>
    <w:p w14:paraId="2C71EDFD"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Power, N., Alcock, J., Philpot, R.M. and Levine, M. (2023). The Psychology of Interoperability: </w:t>
      </w:r>
      <w:proofErr w:type="gramStart"/>
      <w:r w:rsidRPr="00CD7DD6">
        <w:rPr>
          <w:rFonts w:asciiTheme="minorHAnsi" w:hAnsiTheme="minorHAnsi" w:cstheme="minorHAnsi"/>
          <w:sz w:val="22"/>
          <w:szCs w:val="22"/>
        </w:rPr>
        <w:t>a</w:t>
      </w:r>
      <w:proofErr w:type="gramEnd"/>
      <w:r w:rsidRPr="00CD7DD6">
        <w:rPr>
          <w:rFonts w:asciiTheme="minorHAnsi" w:hAnsiTheme="minorHAnsi" w:cstheme="minorHAnsi"/>
          <w:sz w:val="22"/>
          <w:szCs w:val="22"/>
        </w:rPr>
        <w:t xml:space="preserve"> Systematic Review of Joint Working between the UK Emergency Services. </w:t>
      </w:r>
      <w:r w:rsidRPr="00CD7DD6">
        <w:rPr>
          <w:rFonts w:asciiTheme="minorHAnsi" w:hAnsiTheme="minorHAnsi" w:cstheme="minorHAnsi"/>
          <w:i/>
          <w:iCs/>
          <w:sz w:val="22"/>
          <w:szCs w:val="22"/>
        </w:rPr>
        <w:t>Journal of Occupational and Organizational Psychology</w:t>
      </w:r>
      <w:r w:rsidRPr="00CD7DD6">
        <w:rPr>
          <w:rFonts w:asciiTheme="minorHAnsi" w:hAnsiTheme="minorHAnsi" w:cstheme="minorHAnsi"/>
          <w:sz w:val="22"/>
          <w:szCs w:val="22"/>
        </w:rPr>
        <w:t xml:space="preserve">, 97(1). </w:t>
      </w:r>
      <w:proofErr w:type="spellStart"/>
      <w:proofErr w:type="gramStart"/>
      <w:r w:rsidRPr="00CD7DD6">
        <w:rPr>
          <w:rFonts w:asciiTheme="minorHAnsi" w:hAnsiTheme="minorHAnsi" w:cstheme="minorHAnsi"/>
          <w:sz w:val="22"/>
          <w:szCs w:val="22"/>
        </w:rPr>
        <w:t>doi:https</w:t>
      </w:r>
      <w:proofErr w:type="spellEnd"/>
      <w:r w:rsidRPr="00CD7DD6">
        <w:rPr>
          <w:rFonts w:asciiTheme="minorHAnsi" w:hAnsiTheme="minorHAnsi" w:cstheme="minorHAnsi"/>
          <w:sz w:val="22"/>
          <w:szCs w:val="22"/>
        </w:rPr>
        <w:t>://doi.org/10.1111/joop.12469</w:t>
      </w:r>
      <w:proofErr w:type="gramEnd"/>
      <w:r w:rsidRPr="00CD7DD6">
        <w:rPr>
          <w:rFonts w:asciiTheme="minorHAnsi" w:hAnsiTheme="minorHAnsi" w:cstheme="minorHAnsi"/>
          <w:sz w:val="22"/>
          <w:szCs w:val="22"/>
        </w:rPr>
        <w:t>.</w:t>
      </w:r>
    </w:p>
    <w:p w14:paraId="29C3C7C5"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Regehr, C., Carey, M.G., Wagner, S., Alden, L.E., Buys, N., Corneil, W., Fyfe, T., Matthews, L., Randall, C., White, M., </w:t>
      </w:r>
      <w:proofErr w:type="spellStart"/>
      <w:r w:rsidRPr="00CD7DD6">
        <w:rPr>
          <w:rFonts w:asciiTheme="minorHAnsi" w:hAnsiTheme="minorHAnsi" w:cstheme="minorHAnsi"/>
          <w:sz w:val="22"/>
          <w:szCs w:val="22"/>
        </w:rPr>
        <w:t>Fraess</w:t>
      </w:r>
      <w:proofErr w:type="spellEnd"/>
      <w:r w:rsidRPr="00CD7DD6">
        <w:rPr>
          <w:rFonts w:asciiTheme="minorHAnsi" w:hAnsiTheme="minorHAnsi" w:cstheme="minorHAnsi"/>
          <w:sz w:val="22"/>
          <w:szCs w:val="22"/>
        </w:rPr>
        <w:t xml:space="preserve">-Phillips, A., </w:t>
      </w:r>
      <w:proofErr w:type="spellStart"/>
      <w:r w:rsidRPr="00CD7DD6">
        <w:rPr>
          <w:rFonts w:asciiTheme="minorHAnsi" w:hAnsiTheme="minorHAnsi" w:cstheme="minorHAnsi"/>
          <w:sz w:val="22"/>
          <w:szCs w:val="22"/>
        </w:rPr>
        <w:t>Krutop</w:t>
      </w:r>
      <w:proofErr w:type="spellEnd"/>
      <w:r w:rsidRPr="00CD7DD6">
        <w:rPr>
          <w:rFonts w:asciiTheme="minorHAnsi" w:hAnsiTheme="minorHAnsi" w:cstheme="minorHAnsi"/>
          <w:sz w:val="22"/>
          <w:szCs w:val="22"/>
        </w:rPr>
        <w:t xml:space="preserve">, E., White, N. and Fleischmann, M. (2019). A systematic review of mental health symptoms in police officers following extreme traumatic exposures. </w:t>
      </w:r>
      <w:r w:rsidRPr="00CD7DD6">
        <w:rPr>
          <w:rFonts w:asciiTheme="minorHAnsi" w:hAnsiTheme="minorHAnsi" w:cstheme="minorHAnsi"/>
          <w:i/>
          <w:iCs/>
          <w:sz w:val="22"/>
          <w:szCs w:val="22"/>
        </w:rPr>
        <w:t>Police Practice and Research</w:t>
      </w:r>
      <w:r w:rsidRPr="00CD7DD6">
        <w:rPr>
          <w:rFonts w:asciiTheme="minorHAnsi" w:hAnsiTheme="minorHAnsi" w:cstheme="minorHAnsi"/>
          <w:sz w:val="22"/>
          <w:szCs w:val="22"/>
        </w:rPr>
        <w:t xml:space="preserve">, 22(1), pp.1–15. </w:t>
      </w:r>
      <w:proofErr w:type="spellStart"/>
      <w:proofErr w:type="gramStart"/>
      <w:r w:rsidRPr="00CD7DD6">
        <w:rPr>
          <w:rFonts w:asciiTheme="minorHAnsi" w:hAnsiTheme="minorHAnsi" w:cstheme="minorHAnsi"/>
          <w:sz w:val="22"/>
          <w:szCs w:val="22"/>
        </w:rPr>
        <w:t>doi:https</w:t>
      </w:r>
      <w:proofErr w:type="spellEnd"/>
      <w:r w:rsidRPr="00CD7DD6">
        <w:rPr>
          <w:rFonts w:asciiTheme="minorHAnsi" w:hAnsiTheme="minorHAnsi" w:cstheme="minorHAnsi"/>
          <w:sz w:val="22"/>
          <w:szCs w:val="22"/>
        </w:rPr>
        <w:t>://doi.org/10.1080/15614263.2019.1689129</w:t>
      </w:r>
      <w:proofErr w:type="gramEnd"/>
      <w:r w:rsidRPr="00CD7DD6">
        <w:rPr>
          <w:rFonts w:asciiTheme="minorHAnsi" w:hAnsiTheme="minorHAnsi" w:cstheme="minorHAnsi"/>
          <w:sz w:val="22"/>
          <w:szCs w:val="22"/>
        </w:rPr>
        <w:t>.</w:t>
      </w:r>
    </w:p>
    <w:p w14:paraId="56D3A7A2"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Rodgers, L., Qurashi, S. and Connor, S. (2015). 7 July London bombings: What happened that day? </w:t>
      </w:r>
      <w:r w:rsidRPr="00CD7DD6">
        <w:rPr>
          <w:rFonts w:asciiTheme="minorHAnsi" w:hAnsiTheme="minorHAnsi" w:cstheme="minorHAnsi"/>
          <w:i/>
          <w:iCs/>
          <w:sz w:val="22"/>
          <w:szCs w:val="22"/>
        </w:rPr>
        <w:t>BBC News</w:t>
      </w:r>
      <w:r w:rsidRPr="00CD7DD6">
        <w:rPr>
          <w:rFonts w:asciiTheme="minorHAnsi" w:hAnsiTheme="minorHAnsi" w:cstheme="minorHAnsi"/>
          <w:sz w:val="22"/>
          <w:szCs w:val="22"/>
        </w:rPr>
        <w:t>. [online] 3 Jul. Available at: https://www.bbc.co.uk/news/uk-33253598.</w:t>
      </w:r>
    </w:p>
    <w:p w14:paraId="10D2CE3E"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Romundstad, L., Sundnes, K.O., </w:t>
      </w:r>
      <w:proofErr w:type="spellStart"/>
      <w:r w:rsidRPr="00CD7DD6">
        <w:rPr>
          <w:rFonts w:asciiTheme="minorHAnsi" w:hAnsiTheme="minorHAnsi" w:cstheme="minorHAnsi"/>
          <w:sz w:val="22"/>
          <w:szCs w:val="22"/>
        </w:rPr>
        <w:t>Pillgram</w:t>
      </w:r>
      <w:proofErr w:type="spellEnd"/>
      <w:r w:rsidRPr="00CD7DD6">
        <w:rPr>
          <w:rFonts w:asciiTheme="minorHAnsi" w:hAnsiTheme="minorHAnsi" w:cstheme="minorHAnsi"/>
          <w:sz w:val="22"/>
          <w:szCs w:val="22"/>
        </w:rPr>
        <w:t xml:space="preserve">-Larsen, J., Røste, G.K. and Gilbert, M. (2004). Challenges of Major Incident Management When Excess Resources are Allocated: Experiences from a Mass Casualty Incident after Roof Collapse of a Military Command </w:t>
      </w:r>
      <w:proofErr w:type="spellStart"/>
      <w:r w:rsidRPr="00CD7DD6">
        <w:rPr>
          <w:rFonts w:asciiTheme="minorHAnsi" w:hAnsiTheme="minorHAnsi" w:cstheme="minorHAnsi"/>
          <w:sz w:val="22"/>
          <w:szCs w:val="22"/>
        </w:rPr>
        <w:t>Center</w:t>
      </w:r>
      <w:proofErr w:type="spellEnd"/>
      <w:r w:rsidRPr="00CD7DD6">
        <w:rPr>
          <w:rFonts w:asciiTheme="minorHAnsi" w:hAnsiTheme="minorHAnsi" w:cstheme="minorHAnsi"/>
          <w:sz w:val="22"/>
          <w:szCs w:val="22"/>
        </w:rPr>
        <w:t xml:space="preserve">. </w:t>
      </w:r>
      <w:r w:rsidRPr="00CD7DD6">
        <w:rPr>
          <w:rFonts w:asciiTheme="minorHAnsi" w:hAnsiTheme="minorHAnsi" w:cstheme="minorHAnsi"/>
          <w:i/>
          <w:iCs/>
          <w:sz w:val="22"/>
          <w:szCs w:val="22"/>
        </w:rPr>
        <w:t>Prehospital and Disaster Medicine</w:t>
      </w:r>
      <w:r w:rsidRPr="00CD7DD6">
        <w:rPr>
          <w:rFonts w:asciiTheme="minorHAnsi" w:hAnsiTheme="minorHAnsi" w:cstheme="minorHAnsi"/>
          <w:sz w:val="22"/>
          <w:szCs w:val="22"/>
        </w:rPr>
        <w:t xml:space="preserve">, 19(2), pp.179–184. </w:t>
      </w:r>
      <w:proofErr w:type="spellStart"/>
      <w:proofErr w:type="gramStart"/>
      <w:r w:rsidRPr="00CD7DD6">
        <w:rPr>
          <w:rFonts w:asciiTheme="minorHAnsi" w:hAnsiTheme="minorHAnsi" w:cstheme="minorHAnsi"/>
          <w:sz w:val="22"/>
          <w:szCs w:val="22"/>
        </w:rPr>
        <w:t>doi:https</w:t>
      </w:r>
      <w:proofErr w:type="spellEnd"/>
      <w:r w:rsidRPr="00CD7DD6">
        <w:rPr>
          <w:rFonts w:asciiTheme="minorHAnsi" w:hAnsiTheme="minorHAnsi" w:cstheme="minorHAnsi"/>
          <w:sz w:val="22"/>
          <w:szCs w:val="22"/>
        </w:rPr>
        <w:t>://doi.org/10.1017/s1049023x00001710</w:t>
      </w:r>
      <w:proofErr w:type="gramEnd"/>
      <w:r w:rsidRPr="00CD7DD6">
        <w:rPr>
          <w:rFonts w:asciiTheme="minorHAnsi" w:hAnsiTheme="minorHAnsi" w:cstheme="minorHAnsi"/>
          <w:sz w:val="22"/>
          <w:szCs w:val="22"/>
        </w:rPr>
        <w:t>.</w:t>
      </w:r>
    </w:p>
    <w:p w14:paraId="023ED294" w14:textId="77777777" w:rsidR="00FD52D6" w:rsidRPr="00CD7D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t xml:space="preserve">The Royal United Services Institute (RUSI) (2007). </w:t>
      </w:r>
      <w:r w:rsidRPr="00CD7DD6">
        <w:rPr>
          <w:rFonts w:asciiTheme="minorHAnsi" w:hAnsiTheme="minorHAnsi" w:cstheme="minorHAnsi"/>
          <w:i/>
          <w:iCs/>
          <w:sz w:val="22"/>
          <w:szCs w:val="22"/>
        </w:rPr>
        <w:t>London bombings: lessons from the first responders</w:t>
      </w:r>
      <w:r w:rsidRPr="00CD7DD6">
        <w:rPr>
          <w:rFonts w:asciiTheme="minorHAnsi" w:hAnsiTheme="minorHAnsi" w:cstheme="minorHAnsi"/>
          <w:sz w:val="22"/>
          <w:szCs w:val="22"/>
        </w:rPr>
        <w:t xml:space="preserve">. [online] </w:t>
      </w:r>
      <w:proofErr w:type="spellStart"/>
      <w:proofErr w:type="gramStart"/>
      <w:r w:rsidRPr="00CD7DD6">
        <w:rPr>
          <w:rFonts w:asciiTheme="minorHAnsi" w:hAnsiTheme="minorHAnsi" w:cstheme="minorHAnsi"/>
          <w:sz w:val="22"/>
          <w:szCs w:val="22"/>
        </w:rPr>
        <w:t>rusi.orghttps</w:t>
      </w:r>
      <w:proofErr w:type="spellEnd"/>
      <w:proofErr w:type="gramEnd"/>
      <w:r w:rsidRPr="00CD7DD6">
        <w:rPr>
          <w:rFonts w:asciiTheme="minorHAnsi" w:hAnsiTheme="minorHAnsi" w:cstheme="minorHAnsi"/>
          <w:sz w:val="22"/>
          <w:szCs w:val="22"/>
        </w:rPr>
        <w:t>. Available at: https://www.rusi.org/publication/london-bombings-lessons-first-responders-0.</w:t>
      </w:r>
    </w:p>
    <w:p w14:paraId="3F213821" w14:textId="77777777" w:rsidR="00FD52D6" w:rsidRDefault="00FD52D6" w:rsidP="00190D73">
      <w:pPr>
        <w:pStyle w:val="NormalWeb"/>
        <w:spacing w:before="0" w:beforeAutospacing="0" w:after="240" w:afterAutospacing="0" w:line="360" w:lineRule="auto"/>
        <w:ind w:left="720" w:hanging="720"/>
        <w:rPr>
          <w:rFonts w:asciiTheme="minorHAnsi" w:hAnsiTheme="minorHAnsi" w:cstheme="minorHAnsi"/>
          <w:sz w:val="22"/>
          <w:szCs w:val="22"/>
        </w:rPr>
      </w:pPr>
      <w:r w:rsidRPr="00CD7DD6">
        <w:rPr>
          <w:rFonts w:asciiTheme="minorHAnsi" w:hAnsiTheme="minorHAnsi" w:cstheme="minorHAnsi"/>
          <w:sz w:val="22"/>
          <w:szCs w:val="22"/>
        </w:rPr>
        <w:lastRenderedPageBreak/>
        <w:t xml:space="preserve">Velazquez, E. and Hernandez, M. (2019). Effects of police officer exposure to traumatic experiences and recognizing the stigma associated with police officer mental health. </w:t>
      </w:r>
      <w:r w:rsidRPr="00CD7DD6">
        <w:rPr>
          <w:rFonts w:asciiTheme="minorHAnsi" w:hAnsiTheme="minorHAnsi" w:cstheme="minorHAnsi"/>
          <w:i/>
          <w:iCs/>
          <w:sz w:val="22"/>
          <w:szCs w:val="22"/>
        </w:rPr>
        <w:t>Policing: An International Journal</w:t>
      </w:r>
      <w:r w:rsidRPr="00CD7DD6">
        <w:rPr>
          <w:rFonts w:asciiTheme="minorHAnsi" w:hAnsiTheme="minorHAnsi" w:cstheme="minorHAnsi"/>
          <w:sz w:val="22"/>
          <w:szCs w:val="22"/>
        </w:rPr>
        <w:t xml:space="preserve">, 42(4), pp.711–724. </w:t>
      </w:r>
      <w:proofErr w:type="spellStart"/>
      <w:proofErr w:type="gramStart"/>
      <w:r w:rsidRPr="00CD7DD6">
        <w:rPr>
          <w:rFonts w:asciiTheme="minorHAnsi" w:hAnsiTheme="minorHAnsi" w:cstheme="minorHAnsi"/>
          <w:sz w:val="22"/>
          <w:szCs w:val="22"/>
        </w:rPr>
        <w:t>doi:https</w:t>
      </w:r>
      <w:proofErr w:type="spellEnd"/>
      <w:r w:rsidRPr="00CD7DD6">
        <w:rPr>
          <w:rFonts w:asciiTheme="minorHAnsi" w:hAnsiTheme="minorHAnsi" w:cstheme="minorHAnsi"/>
          <w:sz w:val="22"/>
          <w:szCs w:val="22"/>
        </w:rPr>
        <w:t>://doi.org/10.1108/pijpsm-09-2018-0147</w:t>
      </w:r>
      <w:proofErr w:type="gramEnd"/>
      <w:r w:rsidRPr="00CD7DD6">
        <w:rPr>
          <w:rFonts w:asciiTheme="minorHAnsi" w:hAnsiTheme="minorHAnsi" w:cstheme="minorHAnsi"/>
          <w:sz w:val="22"/>
          <w:szCs w:val="22"/>
        </w:rPr>
        <w:t>.</w:t>
      </w:r>
    </w:p>
    <w:p w14:paraId="071CC2E4"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7EF59919"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15AFF67E"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1FD28BA8"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3B9D528B"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15F4A70A"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04217C53"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2A51B986"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6C4223FE"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7E32CEB5"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35F6F995"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2C90C851"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40FFBF88"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3F3922DE"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04CB53C2"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77313936"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03235245"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15BA9040"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00B1B916"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3F199109" w14:textId="77777777" w:rsidR="000E10C1"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p w14:paraId="4939F310" w14:textId="77777777" w:rsidR="000E10C1" w:rsidRPr="000E10C1" w:rsidRDefault="000E10C1" w:rsidP="000E10C1">
      <w:pPr>
        <w:rPr>
          <w:b/>
          <w:bCs/>
        </w:rPr>
      </w:pPr>
      <w:r w:rsidRPr="000E10C1">
        <w:rPr>
          <w:b/>
          <w:bCs/>
        </w:rPr>
        <w:lastRenderedPageBreak/>
        <w:t>Why might certain groups within society be reluctant to engage with police? How effective have current or recent neighbourhood policing strategies been as a means of improving community engagement? Your answer must be based on academic research, although you may refer to relevant case studies.</w:t>
      </w:r>
    </w:p>
    <w:p w14:paraId="4F2E81B5" w14:textId="77777777" w:rsidR="000E10C1" w:rsidRPr="000E10C1" w:rsidRDefault="000E10C1" w:rsidP="000E10C1">
      <w:pPr>
        <w:rPr>
          <w:b/>
          <w:bCs/>
        </w:rPr>
      </w:pPr>
    </w:p>
    <w:p w14:paraId="4632CEE0" w14:textId="77777777" w:rsidR="000E10C1" w:rsidRPr="000E10C1" w:rsidRDefault="000E10C1" w:rsidP="000E10C1">
      <w:pPr>
        <w:rPr>
          <w:rFonts w:cstheme="minorHAnsi"/>
        </w:rPr>
      </w:pPr>
      <w:r w:rsidRPr="000E10C1">
        <w:rPr>
          <w:rFonts w:cstheme="minorHAnsi"/>
        </w:rPr>
        <w:t xml:space="preserve">Engagement between the public and the police is crucial for an effective police service. In this essay I will discuss why this engagement is important as well as barriers from both the police and the public in engaging with each other. I will evaluate why some members of society including different socio-economic groups are less likely or less willing to engage with the police service. I will also discuss and evaluate the neighbourhood policing strategy currently used within the United Kingdom police forces and its effectiveness whilst discussing the importance of this collaboration between the public and the police. </w:t>
      </w:r>
    </w:p>
    <w:p w14:paraId="26374437" w14:textId="77777777" w:rsidR="000E10C1" w:rsidRPr="000E10C1" w:rsidRDefault="000E10C1" w:rsidP="000E10C1">
      <w:pPr>
        <w:rPr>
          <w:rFonts w:cstheme="minorHAnsi"/>
        </w:rPr>
      </w:pPr>
    </w:p>
    <w:p w14:paraId="3140A77B" w14:textId="77777777" w:rsidR="000E10C1" w:rsidRPr="000E10C1" w:rsidRDefault="000E10C1" w:rsidP="000E10C1">
      <w:pPr>
        <w:rPr>
          <w:rFonts w:eastAsia="Times New Roman" w:cstheme="minorHAnsi"/>
          <w:kern w:val="0"/>
          <w:lang w:eastAsia="en-GB"/>
          <w14:ligatures w14:val="none"/>
        </w:rPr>
      </w:pPr>
      <w:r w:rsidRPr="000E10C1">
        <w:rPr>
          <w:rFonts w:cstheme="minorHAnsi"/>
        </w:rPr>
        <w:t xml:space="preserve">Cooperation and collaboration between the differing groups in society and the police is a key factor in the effectiveness of the police, as the police services in the United Kingdom police by the philosophy of ‘Policing by Consent’ (Home Office, 2012). This ‘Policing by Consent’ that the power and ability of the police to </w:t>
      </w:r>
      <w:proofErr w:type="spellStart"/>
      <w:r w:rsidRPr="000E10C1">
        <w:rPr>
          <w:rFonts w:cstheme="minorHAnsi"/>
        </w:rPr>
        <w:t>carryout</w:t>
      </w:r>
      <w:proofErr w:type="spellEnd"/>
      <w:r w:rsidRPr="000E10C1">
        <w:rPr>
          <w:rFonts w:cstheme="minorHAnsi"/>
        </w:rPr>
        <w:t xml:space="preserve"> their lawful functions are dependent on the trust and respect of the public they serve. It has been found that the public are losing trust in the UK police forces with the confidence in the police falling from 78% to 69% between 2017/2018 to 2021/2022, another survey found even more concerning statistics with only 49% of adults having confidence in the police in November 2022 </w:t>
      </w:r>
      <w:r w:rsidRPr="000E10C1">
        <w:rPr>
          <w:rFonts w:eastAsia="Times New Roman" w:cstheme="minorHAnsi"/>
          <w:kern w:val="0"/>
          <w:lang w:eastAsia="en-GB"/>
          <w14:ligatures w14:val="none"/>
        </w:rPr>
        <w:t xml:space="preserve">(Brown and Hobbs, 2023). It is also stated in a report by Brown and Hobbs (2023) that people from White or Asian groups have a higher confidence in the police than Black people, and that women have a slightly higher confidence in police than men. These statistics were also backed up by Brunson (2007) who found that 82.5% of black people believed that the police often or sometimes harassed or mistreated people within their neighbourhood. Brunson (2007) also states that officers often require the support of the public in the performance of their duties (detecting crimes, witnesses etc) and that the public are more willing to do so when they have a favourable view of the police. </w:t>
      </w:r>
    </w:p>
    <w:p w14:paraId="1865E7B0" w14:textId="77777777" w:rsidR="000E10C1" w:rsidRPr="000E10C1" w:rsidRDefault="000E10C1" w:rsidP="000E10C1">
      <w:pPr>
        <w:rPr>
          <w:rFonts w:eastAsia="Times New Roman" w:cstheme="minorHAnsi"/>
          <w:kern w:val="0"/>
          <w:lang w:eastAsia="en-GB"/>
          <w14:ligatures w14:val="none"/>
        </w:rPr>
      </w:pPr>
    </w:p>
    <w:p w14:paraId="187601CA" w14:textId="77777777" w:rsidR="000E10C1" w:rsidRPr="000E10C1" w:rsidRDefault="000E10C1" w:rsidP="000E10C1">
      <w:pPr>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There are multiple reasons why people may not engage with police such as negative public perceptions of police, negative media coverage and police misconduct (Brown and Hobbs, 2023). Therefore, it can be argued that historic events and experiences between the police and certain societal groups can contribute positively or negatively to their engagement or reluctance to engage with the service. One such incident is the negative media coverage which is still available today regarding the Brixton Riots and the Scarman report which suggested there was racial prejudice by some officers in the sweeping use of stop and search around the time of the disorder (Leslie, 2020). However perhaps more pressing is the McPherson report into the Stephen Lawrence murder which branded United Kingdom police forces ‘Institutionally Racist’ (McPherson, 1999). This strong language and broad labelling of every force may well contribute to lowering confidence and willingness to engage by black minority communities and to this present day this language is being echoed by some police chiefs, notably Chief Constable Sir Iain Livingston (BBC, 2023). </w:t>
      </w:r>
    </w:p>
    <w:p w14:paraId="022F545D" w14:textId="77777777" w:rsidR="000E10C1" w:rsidRPr="000E10C1" w:rsidRDefault="000E10C1" w:rsidP="000E10C1">
      <w:pPr>
        <w:rPr>
          <w:rFonts w:eastAsia="Times New Roman" w:cstheme="minorHAnsi"/>
          <w:kern w:val="0"/>
          <w:lang w:eastAsia="en-GB"/>
          <w14:ligatures w14:val="none"/>
        </w:rPr>
      </w:pPr>
    </w:p>
    <w:p w14:paraId="6CC42D2E" w14:textId="77777777" w:rsidR="000E10C1" w:rsidRPr="000E10C1" w:rsidRDefault="000E10C1" w:rsidP="000E10C1">
      <w:pPr>
        <w:rPr>
          <w:rFonts w:eastAsia="Times New Roman" w:cstheme="minorHAnsi"/>
          <w:kern w:val="0"/>
          <w:lang w:eastAsia="en-GB"/>
          <w14:ligatures w14:val="none"/>
        </w:rPr>
      </w:pPr>
      <w:r w:rsidRPr="000E10C1">
        <w:rPr>
          <w:rFonts w:eastAsia="Times New Roman" w:cstheme="minorHAnsi"/>
          <w:kern w:val="0"/>
          <w:lang w:eastAsia="en-GB"/>
          <w14:ligatures w14:val="none"/>
        </w:rPr>
        <w:lastRenderedPageBreak/>
        <w:t xml:space="preserve">There are also historical perceptions of police brutality amongst the black Asian and minority ethnic groups (BAME) which may contribute to a reluctance to engage. Two high profile incidents of the murder of George Floyd and manslaughter of Dalian Atkinson resulted in lengthy custodial sentences for the police officers responsible, which has bought the police’s accountability of police related deaths up for discussion (Baker, 2022). Baker (2022) also argues that families who have been affected by police related deaths have different perceptions of how a family member died as opposed to official rulings, which could be argued would contribute to further distrust amongst the family members and wider members of their community. In another study it was found that of a sample group, 44% of them believe that officers are agents for police brutality (Chaney and Robertson, 2013). </w:t>
      </w:r>
    </w:p>
    <w:p w14:paraId="3D061CCC" w14:textId="77777777" w:rsidR="000E10C1" w:rsidRPr="000E10C1" w:rsidRDefault="000E10C1" w:rsidP="000E10C1">
      <w:pPr>
        <w:rPr>
          <w:rFonts w:eastAsia="Times New Roman" w:cstheme="minorHAnsi"/>
          <w:kern w:val="0"/>
          <w:lang w:eastAsia="en-GB"/>
          <w14:ligatures w14:val="none"/>
        </w:rPr>
      </w:pPr>
    </w:p>
    <w:p w14:paraId="2E8B9BD9" w14:textId="77777777" w:rsidR="000E10C1" w:rsidRPr="000E10C1" w:rsidRDefault="000E10C1" w:rsidP="000E10C1">
      <w:pPr>
        <w:rPr>
          <w:rFonts w:eastAsia="Times New Roman" w:cstheme="minorHAnsi"/>
          <w:kern w:val="0"/>
          <w:lang w:eastAsia="en-GB"/>
          <w14:ligatures w14:val="none"/>
        </w:rPr>
      </w:pPr>
      <w:r w:rsidRPr="000E10C1">
        <w:rPr>
          <w:rFonts w:eastAsia="Times New Roman" w:cstheme="minorHAnsi"/>
          <w:kern w:val="0"/>
          <w:lang w:eastAsia="en-GB"/>
          <w14:ligatures w14:val="none"/>
        </w:rPr>
        <w:t>The criminal justice system is also found to disproportionately affect persons of a BAME background compared to persons who are white (Ministry of Justice, 2016). It has also been found that due to some people of a BAME background having an already established mistrust in police that they are more likely not to admit an offence in interview or go ‘no comment’ ruling them ineligible for out of court action such as a caution, thus, potentially harsher outcomes (Phillips and Bowling, 2017)</w:t>
      </w:r>
    </w:p>
    <w:p w14:paraId="3CE6903A" w14:textId="77777777" w:rsidR="000E10C1" w:rsidRPr="000E10C1" w:rsidRDefault="000E10C1" w:rsidP="000E10C1">
      <w:pPr>
        <w:rPr>
          <w:rFonts w:eastAsia="Times New Roman" w:cstheme="minorHAnsi"/>
          <w:kern w:val="0"/>
          <w:lang w:eastAsia="en-GB"/>
          <w14:ligatures w14:val="none"/>
        </w:rPr>
      </w:pPr>
    </w:p>
    <w:p w14:paraId="7437C3FA" w14:textId="77777777" w:rsidR="000E10C1" w:rsidRPr="000E10C1" w:rsidRDefault="000E10C1" w:rsidP="000E10C1">
      <w:pPr>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Another possible reason why some groups are reluctant to engage with police is the disparities in stop search figures. Stop and search powers in the United Kingdom can be used if an officer has reasonable suspicion that a person has a prohibited article on them and there are strict guidelines for its use which is governed by PACE Code A (GOV.UK, 2023). Although stop searches must only be conducted when there is reasonable suspicion, GOV.UK (2023) figures show that persons whose ethnicity was recorded as black had a stop search rate of 27.2 per 1000 population or Asian of 8.9 per 1000 of population, this compares to only 5.6 per 1000 population for those whose ethnicity was recorded as white. </w:t>
      </w:r>
    </w:p>
    <w:p w14:paraId="1A6655E5" w14:textId="77777777" w:rsidR="000E10C1" w:rsidRPr="000E10C1" w:rsidRDefault="000E10C1" w:rsidP="000E10C1">
      <w:pPr>
        <w:rPr>
          <w:rFonts w:eastAsia="Times New Roman" w:cstheme="minorHAnsi"/>
          <w:kern w:val="0"/>
          <w:lang w:eastAsia="en-GB"/>
          <w14:ligatures w14:val="none"/>
        </w:rPr>
      </w:pPr>
    </w:p>
    <w:p w14:paraId="62F9E045" w14:textId="77777777" w:rsidR="000E10C1" w:rsidRPr="000E10C1" w:rsidRDefault="000E10C1" w:rsidP="000E10C1">
      <w:pPr>
        <w:rPr>
          <w:rFonts w:eastAsia="Times New Roman" w:cstheme="minorHAnsi"/>
          <w:kern w:val="0"/>
          <w:lang w:eastAsia="en-GB"/>
          <w14:ligatures w14:val="none"/>
        </w:rPr>
      </w:pPr>
      <w:r w:rsidRPr="000E10C1">
        <w:rPr>
          <w:rFonts w:eastAsia="Times New Roman" w:cstheme="minorHAnsi"/>
          <w:kern w:val="0"/>
          <w:lang w:eastAsia="en-GB"/>
          <w14:ligatures w14:val="none"/>
        </w:rPr>
        <w:t>In a study by Minhas and Walsh (2021) it was found that police often use stereotypes to construct reasonable suspicion, finding that officers were more likely to be suspicious of young persons in potentially more deprived areas who were out on the street. This may contribute to persons of socio-economic groups who may reside in more deprived areas being less supportive of police and less likely to engage as stop searching based on an officer’s unconscious bias may be result in the search being unlawful. Bowling and Phillips (2007) also argue that discrimination is used in stop searches however does note that crime trends also need to be evaluated to come to a more informed conclusion of whether minorities are targeted. However, Bowling and Phillips (2007) do also state that these interactions negatively impact the law-abiding citizens as there is a low arrest rate of the stop searches, which in turn could impact willingness to engage with police.</w:t>
      </w:r>
    </w:p>
    <w:p w14:paraId="271DAC1B" w14:textId="77777777" w:rsidR="000E10C1" w:rsidRPr="000E10C1" w:rsidRDefault="000E10C1" w:rsidP="000E10C1">
      <w:pPr>
        <w:rPr>
          <w:rFonts w:eastAsia="Times New Roman" w:cstheme="minorHAnsi"/>
          <w:kern w:val="0"/>
          <w:lang w:eastAsia="en-GB"/>
          <w14:ligatures w14:val="none"/>
        </w:rPr>
      </w:pPr>
    </w:p>
    <w:p w14:paraId="38605702" w14:textId="77777777" w:rsidR="000E10C1" w:rsidRPr="000E10C1" w:rsidRDefault="000E10C1" w:rsidP="000E10C1">
      <w:pPr>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A report by Keeling (2017) published findings regarding stop searching persons from BAME backgrounds, one of those findings was that when stop search is used unfairly it had a lasting effect on the person searched and largely impacted their willingness to cooperate with police enquires which is a hindrance to the service. Keeling also found that three quarters of BAME communities felt they are targeted and often feel harassed by police. </w:t>
      </w:r>
    </w:p>
    <w:p w14:paraId="62F6C157" w14:textId="77777777" w:rsidR="000E10C1" w:rsidRPr="000E10C1" w:rsidRDefault="000E10C1" w:rsidP="000E10C1">
      <w:pPr>
        <w:rPr>
          <w:rFonts w:eastAsia="Times New Roman" w:cstheme="minorHAnsi"/>
          <w:kern w:val="0"/>
          <w:lang w:eastAsia="en-GB"/>
          <w14:ligatures w14:val="none"/>
        </w:rPr>
      </w:pPr>
    </w:p>
    <w:p w14:paraId="2F6409BD" w14:textId="77777777" w:rsidR="000E10C1" w:rsidRPr="000E10C1" w:rsidRDefault="000E10C1" w:rsidP="000E10C1">
      <w:pPr>
        <w:rPr>
          <w:rFonts w:eastAsia="Times New Roman" w:cstheme="minorHAnsi"/>
          <w:kern w:val="0"/>
          <w:lang w:eastAsia="en-GB"/>
          <w14:ligatures w14:val="none"/>
        </w:rPr>
      </w:pPr>
      <w:r w:rsidRPr="000E10C1">
        <w:rPr>
          <w:rFonts w:eastAsia="Times New Roman" w:cstheme="minorHAnsi"/>
          <w:kern w:val="0"/>
          <w:lang w:eastAsia="en-GB"/>
          <w14:ligatures w14:val="none"/>
        </w:rPr>
        <w:lastRenderedPageBreak/>
        <w:t xml:space="preserve">Miller et al (2020) also found that stop searches do disproportionately effect persons from minority ethnic backgrounds however do note that additional training and awareness courses for police personnel can influence this and lower the effects of bias, which could be hypothesised would assist the police service in improving confidence and increasing engagement. Furthermore, the police services are trying to tackle this problem, with the Police Race Action Plan published in 2022 attempting to improve the service the police provide for black communities which includes a zero-tolerance policy on racism and involving the black community more in its work (National Police Chiefs Council, 2022). </w:t>
      </w:r>
    </w:p>
    <w:p w14:paraId="2BD6570D" w14:textId="77777777" w:rsidR="000E10C1" w:rsidRPr="000E10C1" w:rsidRDefault="000E10C1" w:rsidP="000E10C1">
      <w:pPr>
        <w:rPr>
          <w:rFonts w:eastAsia="Times New Roman" w:cstheme="minorHAnsi"/>
          <w:kern w:val="0"/>
          <w:lang w:eastAsia="en-GB"/>
          <w14:ligatures w14:val="none"/>
        </w:rPr>
      </w:pPr>
    </w:p>
    <w:p w14:paraId="58D65AD3" w14:textId="77777777" w:rsidR="000E10C1" w:rsidRPr="000E10C1" w:rsidRDefault="000E10C1" w:rsidP="000E10C1">
      <w:pPr>
        <w:rPr>
          <w:rFonts w:eastAsia="Times New Roman" w:cstheme="minorHAnsi"/>
          <w:kern w:val="0"/>
          <w:lang w:eastAsia="en-GB"/>
          <w14:ligatures w14:val="none"/>
        </w:rPr>
      </w:pPr>
    </w:p>
    <w:p w14:paraId="326726F9" w14:textId="77777777" w:rsidR="000E10C1" w:rsidRPr="000E10C1" w:rsidRDefault="000E10C1" w:rsidP="000E10C1">
      <w:pPr>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A study conducted by Fox-Williams (2018) looked at the way in which young people engaged with police. It was found that young people often tried to avoid engaging with police by not making eye contact or moving clear and it was found young men deployed this strategy more than women. It was also discussed that young men do this to avoid police due to a fear of harm coming to them (bodily harm/ death) which is amplified by the some of the high-profile incidents where harm has occurred during police contact. This is a concerning conclusion given the police services role to protect the public and that young men may have a reluctance to engage with them.  </w:t>
      </w:r>
    </w:p>
    <w:p w14:paraId="3A4EDB86" w14:textId="77777777" w:rsidR="000E10C1" w:rsidRPr="000E10C1" w:rsidRDefault="000E10C1" w:rsidP="000E10C1">
      <w:pPr>
        <w:rPr>
          <w:rFonts w:eastAsia="Times New Roman" w:cstheme="minorHAnsi"/>
          <w:kern w:val="0"/>
          <w:lang w:eastAsia="en-GB"/>
          <w14:ligatures w14:val="none"/>
        </w:rPr>
      </w:pPr>
    </w:p>
    <w:p w14:paraId="7E487EF0" w14:textId="77777777" w:rsidR="000E10C1" w:rsidRPr="000E10C1" w:rsidRDefault="000E10C1" w:rsidP="000E10C1">
      <w:pPr>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Awan et al (2018) found that a person’s first interaction with the police will greatly contribute to any future satisfaction or dissatisfaction in the service and that a positive initial interaction will result in a person viewing the police more favourably. It could therefore be argued that a </w:t>
      </w:r>
      <w:proofErr w:type="spellStart"/>
      <w:r w:rsidRPr="000E10C1">
        <w:rPr>
          <w:rFonts w:eastAsia="Times New Roman" w:cstheme="minorHAnsi"/>
          <w:kern w:val="0"/>
          <w:lang w:eastAsia="en-GB"/>
          <w14:ligatures w14:val="none"/>
        </w:rPr>
        <w:t>persons</w:t>
      </w:r>
      <w:proofErr w:type="spellEnd"/>
      <w:r w:rsidRPr="000E10C1">
        <w:rPr>
          <w:rFonts w:eastAsia="Times New Roman" w:cstheme="minorHAnsi"/>
          <w:kern w:val="0"/>
          <w:lang w:eastAsia="en-GB"/>
          <w14:ligatures w14:val="none"/>
        </w:rPr>
        <w:t xml:space="preserve"> negative first interaction with the police may result in them being less willing to engage with police in future. </w:t>
      </w:r>
    </w:p>
    <w:p w14:paraId="3E3AC688" w14:textId="77777777" w:rsidR="000E10C1" w:rsidRPr="000E10C1" w:rsidRDefault="000E10C1" w:rsidP="000E10C1">
      <w:pPr>
        <w:rPr>
          <w:rFonts w:eastAsia="Times New Roman" w:cstheme="minorHAnsi"/>
          <w:kern w:val="0"/>
          <w:lang w:eastAsia="en-GB"/>
          <w14:ligatures w14:val="none"/>
        </w:rPr>
      </w:pPr>
    </w:p>
    <w:p w14:paraId="6FDF274B" w14:textId="77777777" w:rsidR="000E10C1" w:rsidRPr="000E10C1" w:rsidRDefault="000E10C1" w:rsidP="000E10C1">
      <w:pPr>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Neighbourhood and community policing is one strategy utilised by the Police in the United Kingdom to build relationships with it being believed to be a central force in improving public confidence (O’Reilly, Agnew-Pauley and Lundrigan, 2022). The College of Policing (2021) states that neighbourhood policing has incorporates officers having a visible presence in communities, having a two-way dialogue between the police and members of the public and aiming to engage in a way to better understand the communities they serve. The effectiveness of the current model is debated with O’Reilly, Agnew-Pauley and Lundrigan (2022) arguing that previous methods of community policing were more effective. However, Kahn et al (2019) found that increased community policing patrols did increase the amount of positive police contacts, mostly due to increased frequency of encounters, however they did not find that there was any improvement in community attitude despite the positive contacts. </w:t>
      </w:r>
    </w:p>
    <w:p w14:paraId="5EF36AEB" w14:textId="77777777" w:rsidR="000E10C1" w:rsidRPr="000E10C1" w:rsidRDefault="000E10C1" w:rsidP="000E10C1">
      <w:pPr>
        <w:rPr>
          <w:rFonts w:eastAsia="Times New Roman" w:cstheme="minorHAnsi"/>
          <w:kern w:val="0"/>
          <w:lang w:eastAsia="en-GB"/>
          <w14:ligatures w14:val="none"/>
        </w:rPr>
      </w:pPr>
    </w:p>
    <w:p w14:paraId="3B59B12F" w14:textId="77777777" w:rsidR="000E10C1" w:rsidRPr="000E10C1" w:rsidRDefault="000E10C1" w:rsidP="000E10C1">
      <w:pPr>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Innes et al (2020) state that neighbourhood policing model was originally working however point to the current model as being under resourced given the way in which the officers on neighbourhood policing teams are often abstracted from the community duties elsewhere, which then prevents the focus on community engagement which was previously one of the key aims. Furthermore, Bullock and Sindall (2014) state the effectiveness of community policing in engaging the public can be argued as marginal as most of the public do not have awareness of local neighbourhood policing plans or the activities of the local teams, however, note that where there is an awareness there is greater participation from members of the public. It could be argued that neighbourhood policing </w:t>
      </w:r>
      <w:r w:rsidRPr="000E10C1">
        <w:rPr>
          <w:rFonts w:eastAsia="Times New Roman" w:cstheme="minorHAnsi"/>
          <w:kern w:val="0"/>
          <w:lang w:eastAsia="en-GB"/>
          <w14:ligatures w14:val="none"/>
        </w:rPr>
        <w:lastRenderedPageBreak/>
        <w:t xml:space="preserve">teams need to focus on educating the local communities they work in about what they do and what their aims are, as this may increase the engagement and participation of the community. There are also considerable challenges faced by neighbourhood police officers and communities when engaging with one another. Research carried out by Bullock and Johnson (2017) highlights this within the Muslim communities, firstly stating that forces need to find ways to break the mistrust from the Muslim community and acknowledge that the current counter-terrorism strategy may erect barriers between the police and community by not fully understanding the wider Muslim identity within the UK and also marginalising Muslim women in the interactions between the forces and the community. </w:t>
      </w:r>
    </w:p>
    <w:p w14:paraId="7AEF1C8E" w14:textId="77777777" w:rsidR="000E10C1" w:rsidRPr="000E10C1" w:rsidRDefault="000E10C1" w:rsidP="000E10C1">
      <w:pPr>
        <w:rPr>
          <w:rFonts w:eastAsia="Times New Roman" w:cstheme="minorHAnsi"/>
          <w:kern w:val="0"/>
          <w:lang w:eastAsia="en-GB"/>
          <w14:ligatures w14:val="none"/>
        </w:rPr>
      </w:pPr>
    </w:p>
    <w:p w14:paraId="4227748A" w14:textId="77777777" w:rsidR="000E10C1" w:rsidRPr="000E10C1" w:rsidRDefault="000E10C1" w:rsidP="000E10C1">
      <w:pPr>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Neighbourhood policing can have its benefits with the use of police engagement generating community intelligence assisting in the detection of crime and assist in plugging intelligence gaps needed by counter terrorism police (Thomas, 2016). It has also been recognised that community cooperation is vital for mitigating terrorism threats however generating community trust can be difficult (Cherney and Hartley, 2015). </w:t>
      </w:r>
    </w:p>
    <w:p w14:paraId="7EAE9CD5" w14:textId="77777777" w:rsidR="000E10C1" w:rsidRPr="000E10C1" w:rsidRDefault="000E10C1" w:rsidP="000E10C1">
      <w:pPr>
        <w:spacing w:after="0" w:line="240" w:lineRule="auto"/>
        <w:rPr>
          <w:rFonts w:eastAsia="Times New Roman" w:cstheme="minorHAnsi"/>
          <w:kern w:val="0"/>
          <w:sz w:val="24"/>
          <w:szCs w:val="24"/>
          <w:lang w:eastAsia="en-GB"/>
          <w14:ligatures w14:val="none"/>
        </w:rPr>
      </w:pPr>
    </w:p>
    <w:p w14:paraId="0BC39B42" w14:textId="77777777" w:rsidR="000E10C1" w:rsidRPr="000E10C1" w:rsidRDefault="000E10C1" w:rsidP="000E10C1">
      <w:pPr>
        <w:spacing w:after="0" w:line="240" w:lineRule="auto"/>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There appear to be many different reasons why some communities are reluctant to engage with police, including from historical tensions and perceived bias. There also seems to be conflicting views on the effectiveness of community policing on improving engagement of the public. It could be argued that community policing needs new ideas to bolster its effectiveness which in turn could help in improving engagement by communities which are currently reluctant to do so. </w:t>
      </w:r>
    </w:p>
    <w:p w14:paraId="6A27DA76" w14:textId="77777777" w:rsidR="000E10C1" w:rsidRPr="000E10C1" w:rsidRDefault="000E10C1" w:rsidP="000E10C1">
      <w:pPr>
        <w:rPr>
          <w:rFonts w:ascii="Times New Roman" w:eastAsia="Times New Roman" w:hAnsi="Times New Roman" w:cs="Times New Roman"/>
          <w:kern w:val="0"/>
          <w:sz w:val="24"/>
          <w:szCs w:val="24"/>
          <w:lang w:eastAsia="en-GB"/>
          <w14:ligatures w14:val="none"/>
        </w:rPr>
      </w:pPr>
    </w:p>
    <w:p w14:paraId="15F4D682" w14:textId="77777777" w:rsidR="000E10C1" w:rsidRPr="000E10C1" w:rsidRDefault="000E10C1" w:rsidP="000E10C1">
      <w:pPr>
        <w:rPr>
          <w:rFonts w:eastAsia="Times New Roman" w:cstheme="minorHAnsi"/>
          <w:b/>
          <w:bCs/>
          <w:kern w:val="0"/>
          <w:lang w:eastAsia="en-GB"/>
          <w14:ligatures w14:val="none"/>
        </w:rPr>
      </w:pPr>
      <w:r w:rsidRPr="000E10C1">
        <w:rPr>
          <w:rFonts w:eastAsia="Times New Roman" w:cstheme="minorHAnsi"/>
          <w:b/>
          <w:bCs/>
          <w:kern w:val="0"/>
          <w:lang w:eastAsia="en-GB"/>
          <w14:ligatures w14:val="none"/>
        </w:rPr>
        <w:t>Word Count: 1888</w:t>
      </w:r>
    </w:p>
    <w:p w14:paraId="6CD5F372" w14:textId="77777777" w:rsidR="000E10C1" w:rsidRPr="000E10C1" w:rsidRDefault="000E10C1" w:rsidP="000E10C1">
      <w:pPr>
        <w:spacing w:after="0" w:line="240" w:lineRule="auto"/>
        <w:rPr>
          <w:rFonts w:ascii="Times New Roman" w:eastAsia="Times New Roman" w:hAnsi="Times New Roman" w:cs="Times New Roman"/>
          <w:kern w:val="0"/>
          <w:sz w:val="24"/>
          <w:szCs w:val="24"/>
          <w:lang w:eastAsia="en-GB"/>
          <w14:ligatures w14:val="none"/>
        </w:rPr>
      </w:pPr>
    </w:p>
    <w:p w14:paraId="66E93B6C" w14:textId="77777777" w:rsidR="000E10C1" w:rsidRPr="000E10C1" w:rsidRDefault="000E10C1" w:rsidP="000E10C1">
      <w:pPr>
        <w:rPr>
          <w:rFonts w:eastAsia="Times New Roman" w:cstheme="minorHAnsi"/>
          <w:kern w:val="0"/>
          <w:lang w:eastAsia="en-GB"/>
          <w14:ligatures w14:val="none"/>
        </w:rPr>
      </w:pPr>
    </w:p>
    <w:p w14:paraId="1C99845D" w14:textId="77777777" w:rsidR="000E10C1" w:rsidRPr="000E10C1" w:rsidRDefault="000E10C1" w:rsidP="000E10C1">
      <w:pPr>
        <w:rPr>
          <w:rFonts w:eastAsia="Times New Roman" w:cstheme="minorHAnsi"/>
          <w:kern w:val="0"/>
          <w:lang w:eastAsia="en-GB"/>
          <w14:ligatures w14:val="none"/>
        </w:rPr>
      </w:pPr>
    </w:p>
    <w:p w14:paraId="4877AD5D" w14:textId="77777777" w:rsidR="000E10C1" w:rsidRPr="000E10C1" w:rsidRDefault="000E10C1" w:rsidP="000E10C1">
      <w:pPr>
        <w:rPr>
          <w:rFonts w:eastAsia="Times New Roman" w:cstheme="minorHAnsi"/>
          <w:kern w:val="0"/>
          <w:lang w:eastAsia="en-GB"/>
          <w14:ligatures w14:val="none"/>
        </w:rPr>
      </w:pPr>
    </w:p>
    <w:p w14:paraId="3242B0DD" w14:textId="77777777" w:rsidR="000E10C1" w:rsidRPr="000E10C1" w:rsidRDefault="000E10C1" w:rsidP="000E10C1">
      <w:pPr>
        <w:rPr>
          <w:rFonts w:eastAsia="Times New Roman" w:cstheme="minorHAnsi"/>
          <w:kern w:val="0"/>
          <w:lang w:eastAsia="en-GB"/>
          <w14:ligatures w14:val="none"/>
        </w:rPr>
      </w:pPr>
    </w:p>
    <w:p w14:paraId="4387CD3A" w14:textId="77777777" w:rsidR="000E10C1" w:rsidRPr="000E10C1" w:rsidRDefault="000E10C1" w:rsidP="000E10C1">
      <w:pPr>
        <w:rPr>
          <w:rFonts w:eastAsia="Times New Roman" w:cstheme="minorHAnsi"/>
          <w:kern w:val="0"/>
          <w:lang w:eastAsia="en-GB"/>
          <w14:ligatures w14:val="none"/>
        </w:rPr>
      </w:pPr>
    </w:p>
    <w:p w14:paraId="4BD8F3B9" w14:textId="77777777" w:rsidR="000E10C1" w:rsidRPr="000E10C1" w:rsidRDefault="000E10C1" w:rsidP="000E10C1">
      <w:pPr>
        <w:rPr>
          <w:rFonts w:eastAsia="Times New Roman" w:cstheme="minorHAnsi"/>
          <w:kern w:val="0"/>
          <w:lang w:eastAsia="en-GB"/>
          <w14:ligatures w14:val="none"/>
        </w:rPr>
      </w:pPr>
    </w:p>
    <w:p w14:paraId="5D0AEF40" w14:textId="77777777" w:rsidR="000E10C1" w:rsidRPr="000E10C1" w:rsidRDefault="000E10C1" w:rsidP="000E10C1">
      <w:pPr>
        <w:rPr>
          <w:rFonts w:eastAsia="Times New Roman" w:cstheme="minorHAnsi"/>
          <w:kern w:val="0"/>
          <w:lang w:eastAsia="en-GB"/>
          <w14:ligatures w14:val="none"/>
        </w:rPr>
      </w:pPr>
    </w:p>
    <w:p w14:paraId="07894B70" w14:textId="77777777" w:rsidR="000E10C1" w:rsidRPr="000E10C1" w:rsidRDefault="000E10C1" w:rsidP="000E10C1">
      <w:pPr>
        <w:rPr>
          <w:rFonts w:eastAsia="Times New Roman" w:cstheme="minorHAnsi"/>
          <w:kern w:val="0"/>
          <w:lang w:eastAsia="en-GB"/>
          <w14:ligatures w14:val="none"/>
        </w:rPr>
      </w:pPr>
    </w:p>
    <w:p w14:paraId="391FAB5B" w14:textId="77777777" w:rsidR="000E10C1" w:rsidRPr="000E10C1" w:rsidRDefault="000E10C1" w:rsidP="000E10C1">
      <w:pPr>
        <w:rPr>
          <w:rFonts w:eastAsia="Times New Roman" w:cstheme="minorHAnsi"/>
          <w:kern w:val="0"/>
          <w:lang w:eastAsia="en-GB"/>
          <w14:ligatures w14:val="none"/>
        </w:rPr>
      </w:pPr>
    </w:p>
    <w:p w14:paraId="0EFD8739" w14:textId="77777777" w:rsidR="000E10C1" w:rsidRPr="000E10C1" w:rsidRDefault="000E10C1" w:rsidP="000E10C1">
      <w:pPr>
        <w:rPr>
          <w:rFonts w:eastAsia="Times New Roman" w:cstheme="minorHAnsi"/>
          <w:kern w:val="0"/>
          <w:lang w:eastAsia="en-GB"/>
          <w14:ligatures w14:val="none"/>
        </w:rPr>
      </w:pPr>
    </w:p>
    <w:p w14:paraId="2F393BEC" w14:textId="77777777" w:rsidR="000E10C1" w:rsidRPr="000E10C1" w:rsidRDefault="000E10C1" w:rsidP="000E10C1">
      <w:pPr>
        <w:rPr>
          <w:rFonts w:eastAsia="Times New Roman" w:cstheme="minorHAnsi"/>
          <w:kern w:val="0"/>
          <w:lang w:eastAsia="en-GB"/>
          <w14:ligatures w14:val="none"/>
        </w:rPr>
      </w:pPr>
    </w:p>
    <w:p w14:paraId="41BC98A3" w14:textId="77777777" w:rsidR="000E10C1" w:rsidRPr="000E10C1" w:rsidRDefault="000E10C1" w:rsidP="000E10C1">
      <w:pPr>
        <w:rPr>
          <w:rFonts w:eastAsia="Times New Roman" w:cstheme="minorHAnsi"/>
          <w:kern w:val="0"/>
          <w:lang w:eastAsia="en-GB"/>
          <w14:ligatures w14:val="none"/>
        </w:rPr>
      </w:pPr>
    </w:p>
    <w:p w14:paraId="7B387F20" w14:textId="77777777" w:rsidR="000E10C1" w:rsidRPr="000E10C1" w:rsidRDefault="000E10C1" w:rsidP="000E10C1">
      <w:pPr>
        <w:rPr>
          <w:rFonts w:eastAsia="Times New Roman" w:cstheme="minorHAnsi"/>
          <w:kern w:val="0"/>
          <w:lang w:eastAsia="en-GB"/>
          <w14:ligatures w14:val="none"/>
        </w:rPr>
      </w:pPr>
    </w:p>
    <w:p w14:paraId="4171EDA1" w14:textId="77777777" w:rsidR="000E10C1" w:rsidRPr="000E10C1" w:rsidRDefault="000E10C1" w:rsidP="000E10C1">
      <w:pPr>
        <w:rPr>
          <w:rFonts w:eastAsia="Times New Roman" w:cstheme="minorHAnsi"/>
          <w:kern w:val="0"/>
          <w:lang w:eastAsia="en-GB"/>
          <w14:ligatures w14:val="none"/>
        </w:rPr>
      </w:pPr>
    </w:p>
    <w:p w14:paraId="4AB60ED5" w14:textId="77777777" w:rsidR="000E10C1" w:rsidRPr="000E10C1" w:rsidRDefault="000E10C1" w:rsidP="000E10C1">
      <w:pPr>
        <w:rPr>
          <w:rFonts w:cstheme="minorHAnsi"/>
          <w:b/>
          <w:bCs/>
        </w:rPr>
      </w:pPr>
      <w:r w:rsidRPr="000E10C1">
        <w:rPr>
          <w:rFonts w:cstheme="minorHAnsi"/>
          <w:b/>
          <w:bCs/>
        </w:rPr>
        <w:lastRenderedPageBreak/>
        <w:t>References:</w:t>
      </w:r>
    </w:p>
    <w:p w14:paraId="4563D6F2" w14:textId="77777777" w:rsidR="000E10C1" w:rsidRPr="000E10C1" w:rsidRDefault="000E10C1" w:rsidP="000E10C1">
      <w:pPr>
        <w:rPr>
          <w:rFonts w:cstheme="minorHAnsi"/>
          <w:b/>
          <w:bCs/>
        </w:rPr>
      </w:pPr>
    </w:p>
    <w:p w14:paraId="2239EC64"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Awan, I., Brookes, M., Powell, M. and Stanwell, S. (2018). Understanding the Public Perception and Satisfaction of a UK Police Constabulary. </w:t>
      </w:r>
      <w:r w:rsidRPr="000E10C1">
        <w:rPr>
          <w:rFonts w:eastAsia="Times New Roman" w:cstheme="minorHAnsi"/>
          <w:i/>
          <w:iCs/>
          <w:kern w:val="0"/>
          <w:lang w:eastAsia="en-GB"/>
          <w14:ligatures w14:val="none"/>
        </w:rPr>
        <w:t>Police Practice and Research</w:t>
      </w:r>
      <w:r w:rsidRPr="000E10C1">
        <w:rPr>
          <w:rFonts w:eastAsia="Times New Roman" w:cstheme="minorHAnsi"/>
          <w:kern w:val="0"/>
          <w:lang w:eastAsia="en-GB"/>
          <w14:ligatures w14:val="none"/>
        </w:rPr>
        <w:t xml:space="preserve">, [online] 20(2), pp.172–184. </w:t>
      </w:r>
      <w:proofErr w:type="spellStart"/>
      <w:proofErr w:type="gramStart"/>
      <w:r w:rsidRPr="000E10C1">
        <w:rPr>
          <w:rFonts w:eastAsia="Times New Roman" w:cstheme="minorHAnsi"/>
          <w:kern w:val="0"/>
          <w:lang w:eastAsia="en-GB"/>
          <w14:ligatures w14:val="none"/>
        </w:rPr>
        <w:t>doi:https</w:t>
      </w:r>
      <w:proofErr w:type="spellEnd"/>
      <w:r w:rsidRPr="000E10C1">
        <w:rPr>
          <w:rFonts w:eastAsia="Times New Roman" w:cstheme="minorHAnsi"/>
          <w:kern w:val="0"/>
          <w:lang w:eastAsia="en-GB"/>
          <w14:ligatures w14:val="none"/>
        </w:rPr>
        <w:t>://doi.org/10.1080/15614263.2018.1428098</w:t>
      </w:r>
      <w:proofErr w:type="gramEnd"/>
      <w:r w:rsidRPr="000E10C1">
        <w:rPr>
          <w:rFonts w:eastAsia="Times New Roman" w:cstheme="minorHAnsi"/>
          <w:kern w:val="0"/>
          <w:lang w:eastAsia="en-GB"/>
          <w14:ligatures w14:val="none"/>
        </w:rPr>
        <w:t>.</w:t>
      </w:r>
    </w:p>
    <w:p w14:paraId="232E7014"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Baker, D. (2022). Accountability in the aftermath of police related deaths in the US and England and Wales: processes and outcomes. </w:t>
      </w:r>
      <w:r w:rsidRPr="000E10C1">
        <w:rPr>
          <w:rFonts w:eastAsia="Times New Roman" w:cstheme="minorHAnsi"/>
          <w:i/>
          <w:iCs/>
          <w:kern w:val="0"/>
          <w:lang w:eastAsia="en-GB"/>
          <w14:ligatures w14:val="none"/>
        </w:rPr>
        <w:t>Policing: An International Journal</w:t>
      </w:r>
      <w:r w:rsidRPr="000E10C1">
        <w:rPr>
          <w:rFonts w:eastAsia="Times New Roman" w:cstheme="minorHAnsi"/>
          <w:kern w:val="0"/>
          <w:lang w:eastAsia="en-GB"/>
          <w14:ligatures w14:val="none"/>
        </w:rPr>
        <w:t xml:space="preserve">, 45(4), pp.556–569. </w:t>
      </w:r>
      <w:proofErr w:type="spellStart"/>
      <w:proofErr w:type="gramStart"/>
      <w:r w:rsidRPr="000E10C1">
        <w:rPr>
          <w:rFonts w:eastAsia="Times New Roman" w:cstheme="minorHAnsi"/>
          <w:kern w:val="0"/>
          <w:lang w:eastAsia="en-GB"/>
          <w14:ligatures w14:val="none"/>
        </w:rPr>
        <w:t>doi:https</w:t>
      </w:r>
      <w:proofErr w:type="spellEnd"/>
      <w:r w:rsidRPr="000E10C1">
        <w:rPr>
          <w:rFonts w:eastAsia="Times New Roman" w:cstheme="minorHAnsi"/>
          <w:kern w:val="0"/>
          <w:lang w:eastAsia="en-GB"/>
          <w14:ligatures w14:val="none"/>
        </w:rPr>
        <w:t>://doi.org/10.1108/pijpsm-08-2021-0115</w:t>
      </w:r>
      <w:proofErr w:type="gramEnd"/>
      <w:r w:rsidRPr="000E10C1">
        <w:rPr>
          <w:rFonts w:eastAsia="Times New Roman" w:cstheme="minorHAnsi"/>
          <w:kern w:val="0"/>
          <w:lang w:eastAsia="en-GB"/>
          <w14:ligatures w14:val="none"/>
        </w:rPr>
        <w:t>.</w:t>
      </w:r>
    </w:p>
    <w:p w14:paraId="478E6823"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BBC (2023). Police Scotland chief says force is institutionally racist. </w:t>
      </w:r>
      <w:r w:rsidRPr="000E10C1">
        <w:rPr>
          <w:rFonts w:eastAsia="Times New Roman" w:cstheme="minorHAnsi"/>
          <w:i/>
          <w:iCs/>
          <w:kern w:val="0"/>
          <w:lang w:eastAsia="en-GB"/>
          <w14:ligatures w14:val="none"/>
        </w:rPr>
        <w:t>BBC News</w:t>
      </w:r>
      <w:r w:rsidRPr="000E10C1">
        <w:rPr>
          <w:rFonts w:eastAsia="Times New Roman" w:cstheme="minorHAnsi"/>
          <w:kern w:val="0"/>
          <w:lang w:eastAsia="en-GB"/>
          <w14:ligatures w14:val="none"/>
        </w:rPr>
        <w:t>. [online] 25 May. Available at: https://www.bbc.co.uk/news/uk-scotland-65706748 [Accessed 3 Jun. 2024].</w:t>
      </w:r>
    </w:p>
    <w:p w14:paraId="3D3DDB62"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Bowling, B. and Phillips, C. (2007). Disproportionate and Discriminatory: Reviewing the Evidence on Police Stop and Search. </w:t>
      </w:r>
      <w:r w:rsidRPr="000E10C1">
        <w:rPr>
          <w:rFonts w:eastAsia="Times New Roman" w:cstheme="minorHAnsi"/>
          <w:i/>
          <w:iCs/>
          <w:kern w:val="0"/>
          <w:lang w:eastAsia="en-GB"/>
          <w14:ligatures w14:val="none"/>
        </w:rPr>
        <w:t>Modern Law Review</w:t>
      </w:r>
      <w:r w:rsidRPr="000E10C1">
        <w:rPr>
          <w:rFonts w:eastAsia="Times New Roman" w:cstheme="minorHAnsi"/>
          <w:kern w:val="0"/>
          <w:lang w:eastAsia="en-GB"/>
          <w14:ligatures w14:val="none"/>
        </w:rPr>
        <w:t>, [online] 70(6), pp.936–961. Available at: https://doi.org/10.1111/j.1468-2230.2007.00671.x.</w:t>
      </w:r>
    </w:p>
    <w:p w14:paraId="0916222F"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Brown, R. and Hobbs, A. (2023). Trust in the police. </w:t>
      </w:r>
      <w:r w:rsidRPr="000E10C1">
        <w:rPr>
          <w:rFonts w:eastAsia="Times New Roman" w:cstheme="minorHAnsi"/>
          <w:i/>
          <w:iCs/>
          <w:kern w:val="0"/>
          <w:lang w:eastAsia="en-GB"/>
          <w14:ligatures w14:val="none"/>
        </w:rPr>
        <w:t>Trust in the police</w:t>
      </w:r>
      <w:r w:rsidRPr="000E10C1">
        <w:rPr>
          <w:rFonts w:eastAsia="Times New Roman" w:cstheme="minorHAnsi"/>
          <w:kern w:val="0"/>
          <w:lang w:eastAsia="en-GB"/>
          <w14:ligatures w14:val="none"/>
        </w:rPr>
        <w:t xml:space="preserve">. [online] </w:t>
      </w:r>
      <w:proofErr w:type="spellStart"/>
      <w:proofErr w:type="gramStart"/>
      <w:r w:rsidRPr="000E10C1">
        <w:rPr>
          <w:rFonts w:eastAsia="Times New Roman" w:cstheme="minorHAnsi"/>
          <w:kern w:val="0"/>
          <w:lang w:eastAsia="en-GB"/>
          <w14:ligatures w14:val="none"/>
        </w:rPr>
        <w:t>doi:https</w:t>
      </w:r>
      <w:proofErr w:type="spellEnd"/>
      <w:r w:rsidRPr="000E10C1">
        <w:rPr>
          <w:rFonts w:eastAsia="Times New Roman" w:cstheme="minorHAnsi"/>
          <w:kern w:val="0"/>
          <w:lang w:eastAsia="en-GB"/>
          <w14:ligatures w14:val="none"/>
        </w:rPr>
        <w:t>://doi.org/10.58248/pn693</w:t>
      </w:r>
      <w:proofErr w:type="gramEnd"/>
      <w:r w:rsidRPr="000E10C1">
        <w:rPr>
          <w:rFonts w:eastAsia="Times New Roman" w:cstheme="minorHAnsi"/>
          <w:kern w:val="0"/>
          <w:lang w:eastAsia="en-GB"/>
          <w14:ligatures w14:val="none"/>
        </w:rPr>
        <w:t>.</w:t>
      </w:r>
    </w:p>
    <w:p w14:paraId="312A27E9" w14:textId="77777777" w:rsidR="000E10C1" w:rsidRPr="000E10C1" w:rsidRDefault="000E10C1" w:rsidP="000E10C1">
      <w:pPr>
        <w:spacing w:after="0" w:line="24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BRUNSON, R.K. (2007) ‘“POLICE DON’T LIKE BLACK PEOPLE”: </w:t>
      </w:r>
      <w:proofErr w:type="gramStart"/>
      <w:r w:rsidRPr="000E10C1">
        <w:rPr>
          <w:rFonts w:eastAsia="Times New Roman" w:cstheme="minorHAnsi"/>
          <w:kern w:val="0"/>
          <w:lang w:eastAsia="en-GB"/>
          <w14:ligatures w14:val="none"/>
        </w:rPr>
        <w:t>AFRICAN-AMERICAN</w:t>
      </w:r>
      <w:proofErr w:type="gramEnd"/>
      <w:r w:rsidRPr="000E10C1">
        <w:rPr>
          <w:rFonts w:eastAsia="Times New Roman" w:cstheme="minorHAnsi"/>
          <w:kern w:val="0"/>
          <w:lang w:eastAsia="en-GB"/>
          <w14:ligatures w14:val="none"/>
        </w:rPr>
        <w:t xml:space="preserve"> YOUNG MEN’S ACCUMULATED POLICE EXPERIENCES’, </w:t>
      </w:r>
      <w:r w:rsidRPr="000E10C1">
        <w:rPr>
          <w:rFonts w:eastAsia="Times New Roman" w:cstheme="minorHAnsi"/>
          <w:i/>
          <w:iCs/>
          <w:kern w:val="0"/>
          <w:lang w:eastAsia="en-GB"/>
          <w14:ligatures w14:val="none"/>
        </w:rPr>
        <w:t>Criminology &amp; public policy</w:t>
      </w:r>
      <w:r w:rsidRPr="000E10C1">
        <w:rPr>
          <w:rFonts w:eastAsia="Times New Roman" w:cstheme="minorHAnsi"/>
          <w:kern w:val="0"/>
          <w:lang w:eastAsia="en-GB"/>
          <w14:ligatures w14:val="none"/>
        </w:rPr>
        <w:t xml:space="preserve">, 6(1), pp. 71–101. Available at: </w:t>
      </w:r>
      <w:hyperlink r:id="rId12" w:history="1">
        <w:r w:rsidRPr="000E10C1">
          <w:rPr>
            <w:rFonts w:eastAsia="Times New Roman" w:cstheme="minorHAnsi"/>
            <w:kern w:val="0"/>
            <w:lang w:eastAsia="en-GB"/>
            <w14:ligatures w14:val="none"/>
          </w:rPr>
          <w:t>https://doi.org/10.1111/j.1745-9133.2007.00423.x</w:t>
        </w:r>
      </w:hyperlink>
      <w:r w:rsidRPr="000E10C1">
        <w:rPr>
          <w:rFonts w:eastAsia="Times New Roman" w:cstheme="minorHAnsi"/>
          <w:kern w:val="0"/>
          <w:lang w:eastAsia="en-GB"/>
          <w14:ligatures w14:val="none"/>
        </w:rPr>
        <w:t>.</w:t>
      </w:r>
    </w:p>
    <w:p w14:paraId="3949F062" w14:textId="77777777" w:rsidR="000E10C1" w:rsidRPr="000E10C1" w:rsidRDefault="000E10C1" w:rsidP="000E10C1">
      <w:pPr>
        <w:spacing w:after="0" w:line="240" w:lineRule="auto"/>
        <w:ind w:left="720" w:hanging="720"/>
        <w:rPr>
          <w:rFonts w:eastAsia="Times New Roman" w:cstheme="minorHAnsi"/>
          <w:kern w:val="0"/>
          <w:lang w:eastAsia="en-GB"/>
          <w14:ligatures w14:val="none"/>
        </w:rPr>
      </w:pPr>
    </w:p>
    <w:p w14:paraId="6497B82A"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Bullock, K. and Johnson, P. (2017). Police engagement with Muslim communities: breaking out, breaking in, and breaking through. </w:t>
      </w:r>
      <w:r w:rsidRPr="000E10C1">
        <w:rPr>
          <w:rFonts w:eastAsia="Times New Roman" w:cstheme="minorHAnsi"/>
          <w:i/>
          <w:iCs/>
          <w:kern w:val="0"/>
          <w:lang w:eastAsia="en-GB"/>
          <w14:ligatures w14:val="none"/>
        </w:rPr>
        <w:t>Policing and Society</w:t>
      </w:r>
      <w:r w:rsidRPr="000E10C1">
        <w:rPr>
          <w:rFonts w:eastAsia="Times New Roman" w:cstheme="minorHAnsi"/>
          <w:kern w:val="0"/>
          <w:lang w:eastAsia="en-GB"/>
          <w14:ligatures w14:val="none"/>
        </w:rPr>
        <w:t xml:space="preserve">, 28(8), pp.879–897. </w:t>
      </w:r>
      <w:proofErr w:type="spellStart"/>
      <w:proofErr w:type="gramStart"/>
      <w:r w:rsidRPr="000E10C1">
        <w:rPr>
          <w:rFonts w:eastAsia="Times New Roman" w:cstheme="minorHAnsi"/>
          <w:kern w:val="0"/>
          <w:lang w:eastAsia="en-GB"/>
          <w14:ligatures w14:val="none"/>
        </w:rPr>
        <w:t>doi:https</w:t>
      </w:r>
      <w:proofErr w:type="spellEnd"/>
      <w:r w:rsidRPr="000E10C1">
        <w:rPr>
          <w:rFonts w:eastAsia="Times New Roman" w:cstheme="minorHAnsi"/>
          <w:kern w:val="0"/>
          <w:lang w:eastAsia="en-GB"/>
          <w14:ligatures w14:val="none"/>
        </w:rPr>
        <w:t>://doi.org/10.1080/10439463.2017.1339706</w:t>
      </w:r>
      <w:proofErr w:type="gramEnd"/>
      <w:r w:rsidRPr="000E10C1">
        <w:rPr>
          <w:rFonts w:eastAsia="Times New Roman" w:cstheme="minorHAnsi"/>
          <w:kern w:val="0"/>
          <w:lang w:eastAsia="en-GB"/>
          <w14:ligatures w14:val="none"/>
        </w:rPr>
        <w:t>.</w:t>
      </w:r>
    </w:p>
    <w:p w14:paraId="2B8117EC"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Bullock, K. and Sindall, K. (2014). Examining the nature and extent of public participation in neighbourhood policing. </w:t>
      </w:r>
      <w:r w:rsidRPr="000E10C1">
        <w:rPr>
          <w:rFonts w:eastAsia="Times New Roman" w:cstheme="minorHAnsi"/>
          <w:i/>
          <w:iCs/>
          <w:kern w:val="0"/>
          <w:lang w:eastAsia="en-GB"/>
          <w14:ligatures w14:val="none"/>
        </w:rPr>
        <w:t>Policing and Society</w:t>
      </w:r>
      <w:r w:rsidRPr="000E10C1">
        <w:rPr>
          <w:rFonts w:eastAsia="Times New Roman" w:cstheme="minorHAnsi"/>
          <w:kern w:val="0"/>
          <w:lang w:eastAsia="en-GB"/>
          <w14:ligatures w14:val="none"/>
        </w:rPr>
        <w:t xml:space="preserve">, 24(4), pp.385–404. </w:t>
      </w:r>
      <w:proofErr w:type="spellStart"/>
      <w:proofErr w:type="gramStart"/>
      <w:r w:rsidRPr="000E10C1">
        <w:rPr>
          <w:rFonts w:eastAsia="Times New Roman" w:cstheme="minorHAnsi"/>
          <w:kern w:val="0"/>
          <w:lang w:eastAsia="en-GB"/>
          <w14:ligatures w14:val="none"/>
        </w:rPr>
        <w:t>doi:https</w:t>
      </w:r>
      <w:proofErr w:type="spellEnd"/>
      <w:r w:rsidRPr="000E10C1">
        <w:rPr>
          <w:rFonts w:eastAsia="Times New Roman" w:cstheme="minorHAnsi"/>
          <w:kern w:val="0"/>
          <w:lang w:eastAsia="en-GB"/>
          <w14:ligatures w14:val="none"/>
        </w:rPr>
        <w:t>://doi.org/10.1080/10439463.2013.844130</w:t>
      </w:r>
      <w:proofErr w:type="gramEnd"/>
      <w:r w:rsidRPr="000E10C1">
        <w:rPr>
          <w:rFonts w:eastAsia="Times New Roman" w:cstheme="minorHAnsi"/>
          <w:kern w:val="0"/>
          <w:lang w:eastAsia="en-GB"/>
          <w14:ligatures w14:val="none"/>
        </w:rPr>
        <w:t>.</w:t>
      </w:r>
    </w:p>
    <w:p w14:paraId="127F8B75"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Chaney, </w:t>
      </w:r>
      <w:proofErr w:type="gramStart"/>
      <w:r w:rsidRPr="000E10C1">
        <w:rPr>
          <w:rFonts w:eastAsia="Times New Roman" w:cstheme="minorHAnsi"/>
          <w:kern w:val="0"/>
          <w:lang w:eastAsia="en-GB"/>
          <w14:ligatures w14:val="none"/>
        </w:rPr>
        <w:t>C.</w:t>
      </w:r>
      <w:proofErr w:type="gramEnd"/>
      <w:r w:rsidRPr="000E10C1">
        <w:rPr>
          <w:rFonts w:eastAsia="Times New Roman" w:cstheme="minorHAnsi"/>
          <w:kern w:val="0"/>
          <w:lang w:eastAsia="en-GB"/>
          <w14:ligatures w14:val="none"/>
        </w:rPr>
        <w:t xml:space="preserve"> and Robertson, R.V. (2013). Racism and Police Brutality in America. </w:t>
      </w:r>
      <w:r w:rsidRPr="000E10C1">
        <w:rPr>
          <w:rFonts w:eastAsia="Times New Roman" w:cstheme="minorHAnsi"/>
          <w:i/>
          <w:iCs/>
          <w:kern w:val="0"/>
          <w:lang w:eastAsia="en-GB"/>
          <w14:ligatures w14:val="none"/>
        </w:rPr>
        <w:t>Journal of African American Studies</w:t>
      </w:r>
      <w:r w:rsidRPr="000E10C1">
        <w:rPr>
          <w:rFonts w:eastAsia="Times New Roman" w:cstheme="minorHAnsi"/>
          <w:kern w:val="0"/>
          <w:lang w:eastAsia="en-GB"/>
          <w14:ligatures w14:val="none"/>
        </w:rPr>
        <w:t xml:space="preserve">, [online] 17(4), pp.480–505. </w:t>
      </w:r>
      <w:proofErr w:type="spellStart"/>
      <w:proofErr w:type="gramStart"/>
      <w:r w:rsidRPr="000E10C1">
        <w:rPr>
          <w:rFonts w:eastAsia="Times New Roman" w:cstheme="minorHAnsi"/>
          <w:kern w:val="0"/>
          <w:lang w:eastAsia="en-GB"/>
          <w14:ligatures w14:val="none"/>
        </w:rPr>
        <w:t>doi:https</w:t>
      </w:r>
      <w:proofErr w:type="spellEnd"/>
      <w:r w:rsidRPr="000E10C1">
        <w:rPr>
          <w:rFonts w:eastAsia="Times New Roman" w:cstheme="minorHAnsi"/>
          <w:kern w:val="0"/>
          <w:lang w:eastAsia="en-GB"/>
          <w14:ligatures w14:val="none"/>
        </w:rPr>
        <w:t>://doi.org/10.1007/s12111-013-9246-5</w:t>
      </w:r>
      <w:proofErr w:type="gramEnd"/>
      <w:r w:rsidRPr="000E10C1">
        <w:rPr>
          <w:rFonts w:eastAsia="Times New Roman" w:cstheme="minorHAnsi"/>
          <w:kern w:val="0"/>
          <w:lang w:eastAsia="en-GB"/>
          <w14:ligatures w14:val="none"/>
        </w:rPr>
        <w:t>.</w:t>
      </w:r>
    </w:p>
    <w:p w14:paraId="4215CF5C"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Cherney, A. and Hartley, J. (2015). Community engagement to tackle terrorism and violent extremism: challenges, </w:t>
      </w:r>
      <w:proofErr w:type="gramStart"/>
      <w:r w:rsidRPr="000E10C1">
        <w:rPr>
          <w:rFonts w:eastAsia="Times New Roman" w:cstheme="minorHAnsi"/>
          <w:kern w:val="0"/>
          <w:lang w:eastAsia="en-GB"/>
          <w14:ligatures w14:val="none"/>
        </w:rPr>
        <w:t>tensions</w:t>
      </w:r>
      <w:proofErr w:type="gramEnd"/>
      <w:r w:rsidRPr="000E10C1">
        <w:rPr>
          <w:rFonts w:eastAsia="Times New Roman" w:cstheme="minorHAnsi"/>
          <w:kern w:val="0"/>
          <w:lang w:eastAsia="en-GB"/>
          <w14:ligatures w14:val="none"/>
        </w:rPr>
        <w:t xml:space="preserve"> and pitfalls. </w:t>
      </w:r>
      <w:r w:rsidRPr="000E10C1">
        <w:rPr>
          <w:rFonts w:eastAsia="Times New Roman" w:cstheme="minorHAnsi"/>
          <w:i/>
          <w:iCs/>
          <w:kern w:val="0"/>
          <w:lang w:eastAsia="en-GB"/>
          <w14:ligatures w14:val="none"/>
        </w:rPr>
        <w:t>Policing and Society</w:t>
      </w:r>
      <w:r w:rsidRPr="000E10C1">
        <w:rPr>
          <w:rFonts w:eastAsia="Times New Roman" w:cstheme="minorHAnsi"/>
          <w:kern w:val="0"/>
          <w:lang w:eastAsia="en-GB"/>
          <w14:ligatures w14:val="none"/>
        </w:rPr>
        <w:t xml:space="preserve">, 27(7), pp.750–763. </w:t>
      </w:r>
      <w:proofErr w:type="spellStart"/>
      <w:proofErr w:type="gramStart"/>
      <w:r w:rsidRPr="000E10C1">
        <w:rPr>
          <w:rFonts w:eastAsia="Times New Roman" w:cstheme="minorHAnsi"/>
          <w:kern w:val="0"/>
          <w:lang w:eastAsia="en-GB"/>
          <w14:ligatures w14:val="none"/>
        </w:rPr>
        <w:t>doi:https</w:t>
      </w:r>
      <w:proofErr w:type="spellEnd"/>
      <w:r w:rsidRPr="000E10C1">
        <w:rPr>
          <w:rFonts w:eastAsia="Times New Roman" w:cstheme="minorHAnsi"/>
          <w:kern w:val="0"/>
          <w:lang w:eastAsia="en-GB"/>
          <w14:ligatures w14:val="none"/>
        </w:rPr>
        <w:t>://doi.org/10.1080/10439463.2015.1089871</w:t>
      </w:r>
      <w:proofErr w:type="gramEnd"/>
      <w:r w:rsidRPr="000E10C1">
        <w:rPr>
          <w:rFonts w:eastAsia="Times New Roman" w:cstheme="minorHAnsi"/>
          <w:kern w:val="0"/>
          <w:lang w:eastAsia="en-GB"/>
          <w14:ligatures w14:val="none"/>
        </w:rPr>
        <w:t>.</w:t>
      </w:r>
    </w:p>
    <w:p w14:paraId="59C0DDAD"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lastRenderedPageBreak/>
        <w:t xml:space="preserve">College of Policing (2021). </w:t>
      </w:r>
      <w:r w:rsidRPr="000E10C1">
        <w:rPr>
          <w:rFonts w:eastAsia="Times New Roman" w:cstheme="minorHAnsi"/>
          <w:i/>
          <w:iCs/>
          <w:kern w:val="0"/>
          <w:lang w:eastAsia="en-GB"/>
          <w14:ligatures w14:val="none"/>
        </w:rPr>
        <w:t>Engaging communities</w:t>
      </w:r>
      <w:r w:rsidRPr="000E10C1">
        <w:rPr>
          <w:rFonts w:eastAsia="Times New Roman" w:cstheme="minorHAnsi"/>
          <w:kern w:val="0"/>
          <w:lang w:eastAsia="en-GB"/>
          <w14:ligatures w14:val="none"/>
        </w:rPr>
        <w:t>. [online] College of Policing. Available at: https://www.college.police.uk/guidance/neighbourhood-policing/engaging-communities [Accessed 3 Jun. 2024].</w:t>
      </w:r>
    </w:p>
    <w:p w14:paraId="57052D35"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Fox‐Williams, B.N. (2018). The Rules of (Dis)engagement: Black Youth and Their Strategies for Navigating Police Contact. </w:t>
      </w:r>
      <w:r w:rsidRPr="000E10C1">
        <w:rPr>
          <w:rFonts w:eastAsia="Times New Roman" w:cstheme="minorHAnsi"/>
          <w:i/>
          <w:iCs/>
          <w:kern w:val="0"/>
          <w:lang w:eastAsia="en-GB"/>
          <w14:ligatures w14:val="none"/>
        </w:rPr>
        <w:t>Sociological Forum</w:t>
      </w:r>
      <w:r w:rsidRPr="000E10C1">
        <w:rPr>
          <w:rFonts w:eastAsia="Times New Roman" w:cstheme="minorHAnsi"/>
          <w:kern w:val="0"/>
          <w:lang w:eastAsia="en-GB"/>
          <w14:ligatures w14:val="none"/>
        </w:rPr>
        <w:t xml:space="preserve">, 34(1). </w:t>
      </w:r>
      <w:proofErr w:type="spellStart"/>
      <w:proofErr w:type="gramStart"/>
      <w:r w:rsidRPr="000E10C1">
        <w:rPr>
          <w:rFonts w:eastAsia="Times New Roman" w:cstheme="minorHAnsi"/>
          <w:kern w:val="0"/>
          <w:lang w:eastAsia="en-GB"/>
          <w14:ligatures w14:val="none"/>
        </w:rPr>
        <w:t>doi:https</w:t>
      </w:r>
      <w:proofErr w:type="spellEnd"/>
      <w:r w:rsidRPr="000E10C1">
        <w:rPr>
          <w:rFonts w:eastAsia="Times New Roman" w:cstheme="minorHAnsi"/>
          <w:kern w:val="0"/>
          <w:lang w:eastAsia="en-GB"/>
          <w14:ligatures w14:val="none"/>
        </w:rPr>
        <w:t>://doi.org/10.1111/socf.12484</w:t>
      </w:r>
      <w:proofErr w:type="gramEnd"/>
      <w:r w:rsidRPr="000E10C1">
        <w:rPr>
          <w:rFonts w:eastAsia="Times New Roman" w:cstheme="minorHAnsi"/>
          <w:kern w:val="0"/>
          <w:lang w:eastAsia="en-GB"/>
          <w14:ligatures w14:val="none"/>
        </w:rPr>
        <w:t>.</w:t>
      </w:r>
    </w:p>
    <w:p w14:paraId="7CA431A7"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GOV.UK (2023). </w:t>
      </w:r>
      <w:r w:rsidRPr="000E10C1">
        <w:rPr>
          <w:rFonts w:eastAsia="Times New Roman" w:cstheme="minorHAnsi"/>
          <w:i/>
          <w:iCs/>
          <w:kern w:val="0"/>
          <w:lang w:eastAsia="en-GB"/>
          <w14:ligatures w14:val="none"/>
        </w:rPr>
        <w:t>Code A revised (accessible)</w:t>
      </w:r>
      <w:r w:rsidRPr="000E10C1">
        <w:rPr>
          <w:rFonts w:eastAsia="Times New Roman" w:cstheme="minorHAnsi"/>
          <w:kern w:val="0"/>
          <w:lang w:eastAsia="en-GB"/>
          <w14:ligatures w14:val="none"/>
        </w:rPr>
        <w:t>. [online] GOV.UK. Available at: https://www.gov.uk/government/publications/pace-code-a-2015/code-a-revised-accessible#principles-governing-stop-and-search [Accessed 3 Jun. 2024].</w:t>
      </w:r>
    </w:p>
    <w:p w14:paraId="4211C6FC"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GOV.UK (2023b). </w:t>
      </w:r>
      <w:r w:rsidRPr="000E10C1">
        <w:rPr>
          <w:rFonts w:eastAsia="Times New Roman" w:cstheme="minorHAnsi"/>
          <w:i/>
          <w:iCs/>
          <w:kern w:val="0"/>
          <w:lang w:eastAsia="en-GB"/>
          <w14:ligatures w14:val="none"/>
        </w:rPr>
        <w:t>Stop and search</w:t>
      </w:r>
      <w:r w:rsidRPr="000E10C1">
        <w:rPr>
          <w:rFonts w:eastAsia="Times New Roman" w:cstheme="minorHAnsi"/>
          <w:kern w:val="0"/>
          <w:lang w:eastAsia="en-GB"/>
          <w14:ligatures w14:val="none"/>
        </w:rPr>
        <w:t>. [online] www.ethnicity-facts-figures.service.gov.uk. Available at: https://www.ethnicity-facts-figures.service.gov.uk/crime-justice-and-the-law/policing/stop-and-search/latest/ [Accessed 3 Jun. 2024].</w:t>
      </w:r>
    </w:p>
    <w:p w14:paraId="3F0B7A01" w14:textId="77777777" w:rsidR="000E10C1" w:rsidRPr="000E10C1" w:rsidRDefault="000E10C1" w:rsidP="000E10C1">
      <w:pPr>
        <w:ind w:left="720" w:hanging="720"/>
        <w:rPr>
          <w:rFonts w:cstheme="minorHAnsi"/>
        </w:rPr>
      </w:pPr>
      <w:r w:rsidRPr="000E10C1">
        <w:rPr>
          <w:rFonts w:cstheme="minorHAnsi"/>
        </w:rPr>
        <w:t xml:space="preserve">Home Office (2012). </w:t>
      </w:r>
      <w:r w:rsidRPr="000E10C1">
        <w:rPr>
          <w:rFonts w:cstheme="minorHAnsi"/>
          <w:i/>
          <w:iCs/>
        </w:rPr>
        <w:t>Definition of Policing by Consent</w:t>
      </w:r>
      <w:r w:rsidRPr="000E10C1">
        <w:rPr>
          <w:rFonts w:cstheme="minorHAnsi"/>
        </w:rPr>
        <w:t>. [online] gov.uk. Available at: https://www.gov.uk/government/publications/policing-by-consent/definition-of-policing-by-consent [Accessed 3 Jun. 2024].</w:t>
      </w:r>
    </w:p>
    <w:p w14:paraId="365444A4" w14:textId="77777777" w:rsidR="000E10C1" w:rsidRPr="000E10C1" w:rsidRDefault="000E10C1" w:rsidP="000E10C1">
      <w:pPr>
        <w:ind w:left="720" w:hanging="720"/>
        <w:rPr>
          <w:rFonts w:cstheme="minorHAnsi"/>
        </w:rPr>
      </w:pPr>
      <w:r w:rsidRPr="000E10C1">
        <w:rPr>
          <w:rFonts w:eastAsia="Times New Roman" w:cstheme="minorHAnsi"/>
          <w:kern w:val="0"/>
          <w:lang w:eastAsia="en-GB"/>
          <w14:ligatures w14:val="none"/>
        </w:rPr>
        <w:t xml:space="preserve">Innes, M. </w:t>
      </w:r>
      <w:r w:rsidRPr="000E10C1">
        <w:rPr>
          <w:rFonts w:eastAsia="Times New Roman" w:cstheme="minorHAnsi"/>
          <w:i/>
          <w:iCs/>
          <w:kern w:val="0"/>
          <w:lang w:eastAsia="en-GB"/>
          <w14:ligatures w14:val="none"/>
        </w:rPr>
        <w:t>et al.</w:t>
      </w:r>
      <w:r w:rsidRPr="000E10C1">
        <w:rPr>
          <w:rFonts w:eastAsia="Times New Roman" w:cstheme="minorHAnsi"/>
          <w:kern w:val="0"/>
          <w:lang w:eastAsia="en-GB"/>
          <w14:ligatures w14:val="none"/>
        </w:rPr>
        <w:t xml:space="preserve"> (2020) </w:t>
      </w:r>
      <w:r w:rsidRPr="000E10C1">
        <w:rPr>
          <w:rFonts w:eastAsia="Times New Roman" w:cstheme="minorHAnsi"/>
          <w:i/>
          <w:iCs/>
          <w:kern w:val="0"/>
          <w:lang w:eastAsia="en-GB"/>
          <w14:ligatures w14:val="none"/>
        </w:rPr>
        <w:t xml:space="preserve">Neighbourhood </w:t>
      </w:r>
      <w:proofErr w:type="gramStart"/>
      <w:r w:rsidRPr="000E10C1">
        <w:rPr>
          <w:rFonts w:eastAsia="Times New Roman" w:cstheme="minorHAnsi"/>
          <w:i/>
          <w:iCs/>
          <w:kern w:val="0"/>
          <w:lang w:eastAsia="en-GB"/>
          <w14:ligatures w14:val="none"/>
        </w:rPr>
        <w:t>policing :</w:t>
      </w:r>
      <w:proofErr w:type="gramEnd"/>
      <w:r w:rsidRPr="000E10C1">
        <w:rPr>
          <w:rFonts w:eastAsia="Times New Roman" w:cstheme="minorHAnsi"/>
          <w:i/>
          <w:iCs/>
          <w:kern w:val="0"/>
          <w:lang w:eastAsia="en-GB"/>
          <w14:ligatures w14:val="none"/>
        </w:rPr>
        <w:t xml:space="preserve"> the rise and fall of a policing model</w:t>
      </w:r>
      <w:r w:rsidRPr="000E10C1">
        <w:rPr>
          <w:rFonts w:eastAsia="Times New Roman" w:cstheme="minorHAnsi"/>
          <w:kern w:val="0"/>
          <w:lang w:eastAsia="en-GB"/>
          <w14:ligatures w14:val="none"/>
        </w:rPr>
        <w:t>. First edition. Oxford, England: Oxford University Press.</w:t>
      </w:r>
    </w:p>
    <w:p w14:paraId="59DA1DF8" w14:textId="77777777" w:rsidR="000E10C1" w:rsidRPr="000E10C1" w:rsidRDefault="000E10C1" w:rsidP="000E10C1">
      <w:pPr>
        <w:spacing w:after="0" w:line="240" w:lineRule="auto"/>
        <w:ind w:left="720" w:hanging="720"/>
        <w:rPr>
          <w:rFonts w:eastAsia="Times New Roman" w:cstheme="minorHAnsi"/>
          <w:kern w:val="0"/>
          <w:lang w:eastAsia="en-GB"/>
          <w14:ligatures w14:val="none"/>
        </w:rPr>
      </w:pPr>
    </w:p>
    <w:p w14:paraId="1FBC9D7F"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Kahn, K.B., Henning, K., Stewart, G., </w:t>
      </w:r>
      <w:proofErr w:type="spellStart"/>
      <w:r w:rsidRPr="000E10C1">
        <w:rPr>
          <w:rFonts w:eastAsia="Times New Roman" w:cstheme="minorHAnsi"/>
          <w:kern w:val="0"/>
          <w:lang w:eastAsia="en-GB"/>
          <w14:ligatures w14:val="none"/>
        </w:rPr>
        <w:t>Renauer</w:t>
      </w:r>
      <w:proofErr w:type="spellEnd"/>
      <w:r w:rsidRPr="000E10C1">
        <w:rPr>
          <w:rFonts w:eastAsia="Times New Roman" w:cstheme="minorHAnsi"/>
          <w:kern w:val="0"/>
          <w:lang w:eastAsia="en-GB"/>
          <w14:ligatures w14:val="none"/>
        </w:rPr>
        <w:t xml:space="preserve">, B.C., Peterson, C., Mitchell, R.J., Labissiere, Y. and Sothern, S. (2019). Public response to community engagement patrols in high crime areas. </w:t>
      </w:r>
      <w:r w:rsidRPr="000E10C1">
        <w:rPr>
          <w:rFonts w:eastAsia="Times New Roman" w:cstheme="minorHAnsi"/>
          <w:i/>
          <w:iCs/>
          <w:kern w:val="0"/>
          <w:lang w:eastAsia="en-GB"/>
          <w14:ligatures w14:val="none"/>
        </w:rPr>
        <w:t>Policing: An International Journal</w:t>
      </w:r>
      <w:r w:rsidRPr="000E10C1">
        <w:rPr>
          <w:rFonts w:eastAsia="Times New Roman" w:cstheme="minorHAnsi"/>
          <w:kern w:val="0"/>
          <w:lang w:eastAsia="en-GB"/>
          <w14:ligatures w14:val="none"/>
        </w:rPr>
        <w:t xml:space="preserve">, 42(5), pp.917–930. </w:t>
      </w:r>
      <w:proofErr w:type="spellStart"/>
      <w:proofErr w:type="gramStart"/>
      <w:r w:rsidRPr="000E10C1">
        <w:rPr>
          <w:rFonts w:eastAsia="Times New Roman" w:cstheme="minorHAnsi"/>
          <w:kern w:val="0"/>
          <w:lang w:eastAsia="en-GB"/>
          <w14:ligatures w14:val="none"/>
        </w:rPr>
        <w:t>doi:https</w:t>
      </w:r>
      <w:proofErr w:type="spellEnd"/>
      <w:r w:rsidRPr="000E10C1">
        <w:rPr>
          <w:rFonts w:eastAsia="Times New Roman" w:cstheme="minorHAnsi"/>
          <w:kern w:val="0"/>
          <w:lang w:eastAsia="en-GB"/>
          <w14:ligatures w14:val="none"/>
        </w:rPr>
        <w:t>://doi.org/10.1108/pijpsm-04-2019-0051</w:t>
      </w:r>
      <w:proofErr w:type="gramEnd"/>
      <w:r w:rsidRPr="000E10C1">
        <w:rPr>
          <w:rFonts w:eastAsia="Times New Roman" w:cstheme="minorHAnsi"/>
          <w:kern w:val="0"/>
          <w:lang w:eastAsia="en-GB"/>
          <w14:ligatures w14:val="none"/>
        </w:rPr>
        <w:t>.</w:t>
      </w:r>
    </w:p>
    <w:p w14:paraId="21F2C1EB" w14:textId="77777777" w:rsidR="000E10C1" w:rsidRPr="000E10C1" w:rsidRDefault="000E10C1" w:rsidP="000E10C1">
      <w:pPr>
        <w:ind w:left="720" w:hanging="720"/>
        <w:rPr>
          <w:rFonts w:cstheme="minorHAnsi"/>
          <w:shd w:val="clear" w:color="auto" w:fill="FFFFFF"/>
        </w:rPr>
      </w:pPr>
      <w:r w:rsidRPr="000E10C1">
        <w:rPr>
          <w:rFonts w:cstheme="minorHAnsi"/>
          <w:shd w:val="clear" w:color="auto" w:fill="FFFFFF"/>
        </w:rPr>
        <w:t>Keeling, P., (2017). No respect: Young BAME men, the police and stop and search. </w:t>
      </w:r>
      <w:r w:rsidRPr="000E10C1">
        <w:rPr>
          <w:rFonts w:cstheme="minorHAnsi"/>
          <w:i/>
          <w:iCs/>
          <w:shd w:val="clear" w:color="auto" w:fill="FFFFFF"/>
        </w:rPr>
        <w:t>Criminal justice alliance</w:t>
      </w:r>
      <w:r w:rsidRPr="000E10C1">
        <w:rPr>
          <w:rFonts w:cstheme="minorHAnsi"/>
          <w:shd w:val="clear" w:color="auto" w:fill="FFFFFF"/>
        </w:rPr>
        <w:t>.</w:t>
      </w:r>
    </w:p>
    <w:p w14:paraId="7906115C"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Leslie, C. (2020). Police racism inquiries in the UK: Do they change how things work? </w:t>
      </w:r>
      <w:r w:rsidRPr="000E10C1">
        <w:rPr>
          <w:rFonts w:eastAsia="Times New Roman" w:cstheme="minorHAnsi"/>
          <w:i/>
          <w:iCs/>
          <w:kern w:val="0"/>
          <w:lang w:eastAsia="en-GB"/>
          <w14:ligatures w14:val="none"/>
        </w:rPr>
        <w:t>BBC</w:t>
      </w:r>
      <w:r w:rsidRPr="000E10C1">
        <w:rPr>
          <w:rFonts w:eastAsia="Times New Roman" w:cstheme="minorHAnsi"/>
          <w:kern w:val="0"/>
          <w:lang w:eastAsia="en-GB"/>
          <w14:ligatures w14:val="none"/>
        </w:rPr>
        <w:t>. [online] 10 Aug. Available at: https://www.bbc.co.uk/news/newsbeat-53365011 [Accessed 3 Jun. 2024].</w:t>
      </w:r>
    </w:p>
    <w:p w14:paraId="78D4F114"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Macpherson, W (1999) </w:t>
      </w:r>
      <w:r w:rsidRPr="000E10C1">
        <w:rPr>
          <w:rFonts w:eastAsia="Times New Roman" w:cstheme="minorHAnsi"/>
          <w:i/>
          <w:iCs/>
          <w:kern w:val="0"/>
          <w:lang w:eastAsia="en-GB"/>
          <w14:ligatures w14:val="none"/>
        </w:rPr>
        <w:t>‘The Stephen Lawrence enquiry’</w:t>
      </w:r>
      <w:r w:rsidRPr="000E10C1">
        <w:rPr>
          <w:rFonts w:eastAsia="Times New Roman" w:cstheme="minorHAnsi"/>
          <w:kern w:val="0"/>
          <w:lang w:eastAsia="en-GB"/>
          <w14:ligatures w14:val="none"/>
        </w:rPr>
        <w:t xml:space="preserve">. Available at: </w:t>
      </w:r>
      <w:hyperlink r:id="rId13" w:history="1">
        <w:r w:rsidRPr="000E10C1">
          <w:rPr>
            <w:rFonts w:eastAsia="Times New Roman" w:cstheme="minorHAnsi"/>
            <w:kern w:val="0"/>
            <w:lang w:eastAsia="en-GB"/>
            <w14:ligatures w14:val="none"/>
          </w:rPr>
          <w:t>https://assets.publishing.service.gov.uk/media/5a7c2af540f0b645ba3c7202/4262.pdf</w:t>
        </w:r>
      </w:hyperlink>
      <w:r w:rsidRPr="000E10C1">
        <w:rPr>
          <w:rFonts w:eastAsia="Times New Roman" w:cstheme="minorHAnsi"/>
          <w:kern w:val="0"/>
          <w:lang w:eastAsia="en-GB"/>
          <w14:ligatures w14:val="none"/>
        </w:rPr>
        <w:t xml:space="preserve"> (Accessed: 03/06/2024) </w:t>
      </w:r>
    </w:p>
    <w:p w14:paraId="1C317372"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lastRenderedPageBreak/>
        <w:t xml:space="preserve">Miller, J., Quinton, P., Alexandrou, B. and Packham, D. (2020). Can police training reduce ethnic/racial disparities in stop and search? Evidence from a multisite UK trial. </w:t>
      </w:r>
      <w:r w:rsidRPr="000E10C1">
        <w:rPr>
          <w:rFonts w:eastAsia="Times New Roman" w:cstheme="minorHAnsi"/>
          <w:i/>
          <w:iCs/>
          <w:kern w:val="0"/>
          <w:lang w:eastAsia="en-GB"/>
          <w14:ligatures w14:val="none"/>
        </w:rPr>
        <w:t>Criminology &amp; Public Policy</w:t>
      </w:r>
      <w:r w:rsidRPr="000E10C1">
        <w:rPr>
          <w:rFonts w:eastAsia="Times New Roman" w:cstheme="minorHAnsi"/>
          <w:kern w:val="0"/>
          <w:lang w:eastAsia="en-GB"/>
          <w14:ligatures w14:val="none"/>
        </w:rPr>
        <w:t>, 19(4).</w:t>
      </w:r>
    </w:p>
    <w:p w14:paraId="30269489"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Minhas, R. and Walsh, D. (2021). The Role of Prejudicial Stereotypes in the Formation of suspicion: an Examination of Operational Procedures in Stop and Search Practices. </w:t>
      </w:r>
      <w:r w:rsidRPr="000E10C1">
        <w:rPr>
          <w:rFonts w:eastAsia="Times New Roman" w:cstheme="minorHAnsi"/>
          <w:i/>
          <w:iCs/>
          <w:kern w:val="0"/>
          <w:lang w:eastAsia="en-GB"/>
          <w14:ligatures w14:val="none"/>
        </w:rPr>
        <w:t>International Journal of Police Science &amp; Management</w:t>
      </w:r>
      <w:r w:rsidRPr="000E10C1">
        <w:rPr>
          <w:rFonts w:eastAsia="Times New Roman" w:cstheme="minorHAnsi"/>
          <w:kern w:val="0"/>
          <w:lang w:eastAsia="en-GB"/>
          <w14:ligatures w14:val="none"/>
        </w:rPr>
        <w:t xml:space="preserve">, [online] 23(3), pp.293–305. </w:t>
      </w:r>
      <w:proofErr w:type="spellStart"/>
      <w:proofErr w:type="gramStart"/>
      <w:r w:rsidRPr="000E10C1">
        <w:rPr>
          <w:rFonts w:eastAsia="Times New Roman" w:cstheme="minorHAnsi"/>
          <w:kern w:val="0"/>
          <w:lang w:eastAsia="en-GB"/>
          <w14:ligatures w14:val="none"/>
        </w:rPr>
        <w:t>doi:https</w:t>
      </w:r>
      <w:proofErr w:type="spellEnd"/>
      <w:r w:rsidRPr="000E10C1">
        <w:rPr>
          <w:rFonts w:eastAsia="Times New Roman" w:cstheme="minorHAnsi"/>
          <w:kern w:val="0"/>
          <w:lang w:eastAsia="en-GB"/>
          <w14:ligatures w14:val="none"/>
        </w:rPr>
        <w:t>://doi.org/10.1177/14613557211016499</w:t>
      </w:r>
      <w:proofErr w:type="gramEnd"/>
      <w:r w:rsidRPr="000E10C1">
        <w:rPr>
          <w:rFonts w:eastAsia="Times New Roman" w:cstheme="minorHAnsi"/>
          <w:kern w:val="0"/>
          <w:lang w:eastAsia="en-GB"/>
          <w14:ligatures w14:val="none"/>
        </w:rPr>
        <w:t>.</w:t>
      </w:r>
    </w:p>
    <w:p w14:paraId="531D277B"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Ministry of Justice (2016). </w:t>
      </w:r>
      <w:r w:rsidRPr="000E10C1">
        <w:rPr>
          <w:rFonts w:eastAsia="Times New Roman" w:cstheme="minorHAnsi"/>
          <w:i/>
          <w:iCs/>
          <w:kern w:val="0"/>
          <w:lang w:eastAsia="en-GB"/>
          <w14:ligatures w14:val="none"/>
        </w:rPr>
        <w:t xml:space="preserve">Black, </w:t>
      </w:r>
      <w:proofErr w:type="gramStart"/>
      <w:r w:rsidRPr="000E10C1">
        <w:rPr>
          <w:rFonts w:eastAsia="Times New Roman" w:cstheme="minorHAnsi"/>
          <w:i/>
          <w:iCs/>
          <w:kern w:val="0"/>
          <w:lang w:eastAsia="en-GB"/>
          <w14:ligatures w14:val="none"/>
        </w:rPr>
        <w:t>Asian</w:t>
      </w:r>
      <w:proofErr w:type="gramEnd"/>
      <w:r w:rsidRPr="000E10C1">
        <w:rPr>
          <w:rFonts w:eastAsia="Times New Roman" w:cstheme="minorHAnsi"/>
          <w:i/>
          <w:iCs/>
          <w:kern w:val="0"/>
          <w:lang w:eastAsia="en-GB"/>
          <w14:ligatures w14:val="none"/>
        </w:rPr>
        <w:t xml:space="preserve"> and Minority Ethnic disproportionality in the Criminal Justice System in England and Wales</w:t>
      </w:r>
      <w:r w:rsidRPr="000E10C1">
        <w:rPr>
          <w:rFonts w:eastAsia="Times New Roman" w:cstheme="minorHAnsi"/>
          <w:kern w:val="0"/>
          <w:lang w:eastAsia="en-GB"/>
          <w14:ligatures w14:val="none"/>
        </w:rPr>
        <w:t>. [online] Available at: https://assets.publishing.service.gov.uk/government/uploads/system/uploads/attachment_data/file/639261/bame-disproportionality-in-the-cjs.pdf [Accessed 3 Jun. 2024].</w:t>
      </w:r>
    </w:p>
    <w:p w14:paraId="2080801D"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National Police Chiefs Council (2022). </w:t>
      </w:r>
      <w:r w:rsidRPr="000E10C1">
        <w:rPr>
          <w:rFonts w:eastAsia="Times New Roman" w:cstheme="minorHAnsi"/>
          <w:i/>
          <w:iCs/>
          <w:kern w:val="0"/>
          <w:lang w:eastAsia="en-GB"/>
          <w14:ligatures w14:val="none"/>
        </w:rPr>
        <w:t>Police Race Action Plan Improving policing for Black people</w:t>
      </w:r>
      <w:r w:rsidRPr="000E10C1">
        <w:rPr>
          <w:rFonts w:eastAsia="Times New Roman" w:cstheme="minorHAnsi"/>
          <w:kern w:val="0"/>
          <w:lang w:eastAsia="en-GB"/>
          <w14:ligatures w14:val="none"/>
        </w:rPr>
        <w:t>. [online] Available at: https://www.npcc.police.uk/our-work/police-race-action-plan/ [Accessed 3 Jun. 2024].</w:t>
      </w:r>
    </w:p>
    <w:p w14:paraId="7CBF979F"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O’Reilly, C., Agnew-Pauley, W. and Lundrigan, S. (2022). Restoring public confidence through the delivery of improved community policing in </w:t>
      </w:r>
      <w:proofErr w:type="spellStart"/>
      <w:r w:rsidRPr="000E10C1">
        <w:rPr>
          <w:rFonts w:eastAsia="Times New Roman" w:cstheme="minorHAnsi"/>
          <w:kern w:val="0"/>
          <w:lang w:eastAsia="en-GB"/>
          <w14:ligatures w14:val="none"/>
        </w:rPr>
        <w:t>Rackhamshire</w:t>
      </w:r>
      <w:proofErr w:type="spellEnd"/>
      <w:r w:rsidRPr="000E10C1">
        <w:rPr>
          <w:rFonts w:eastAsia="Times New Roman" w:cstheme="minorHAnsi"/>
          <w:kern w:val="0"/>
          <w:lang w:eastAsia="en-GB"/>
          <w14:ligatures w14:val="none"/>
        </w:rPr>
        <w:t xml:space="preserve">. </w:t>
      </w:r>
      <w:r w:rsidRPr="000E10C1">
        <w:rPr>
          <w:rFonts w:eastAsia="Times New Roman" w:cstheme="minorHAnsi"/>
          <w:i/>
          <w:iCs/>
          <w:kern w:val="0"/>
          <w:lang w:eastAsia="en-GB"/>
          <w14:ligatures w14:val="none"/>
        </w:rPr>
        <w:t>Safer Communities</w:t>
      </w:r>
      <w:r w:rsidRPr="000E10C1">
        <w:rPr>
          <w:rFonts w:eastAsia="Times New Roman" w:cstheme="minorHAnsi"/>
          <w:kern w:val="0"/>
          <w:lang w:eastAsia="en-GB"/>
          <w14:ligatures w14:val="none"/>
        </w:rPr>
        <w:t xml:space="preserve">, 21(2). </w:t>
      </w:r>
      <w:proofErr w:type="spellStart"/>
      <w:proofErr w:type="gramStart"/>
      <w:r w:rsidRPr="000E10C1">
        <w:rPr>
          <w:rFonts w:eastAsia="Times New Roman" w:cstheme="minorHAnsi"/>
          <w:kern w:val="0"/>
          <w:lang w:eastAsia="en-GB"/>
          <w14:ligatures w14:val="none"/>
        </w:rPr>
        <w:t>doi:https</w:t>
      </w:r>
      <w:proofErr w:type="spellEnd"/>
      <w:r w:rsidRPr="000E10C1">
        <w:rPr>
          <w:rFonts w:eastAsia="Times New Roman" w:cstheme="minorHAnsi"/>
          <w:kern w:val="0"/>
          <w:lang w:eastAsia="en-GB"/>
          <w14:ligatures w14:val="none"/>
        </w:rPr>
        <w:t>://doi.org/10.1108/sc-03-2021-0008</w:t>
      </w:r>
      <w:proofErr w:type="gramEnd"/>
      <w:r w:rsidRPr="000E10C1">
        <w:rPr>
          <w:rFonts w:eastAsia="Times New Roman" w:cstheme="minorHAnsi"/>
          <w:kern w:val="0"/>
          <w:lang w:eastAsia="en-GB"/>
          <w14:ligatures w14:val="none"/>
        </w:rPr>
        <w:t>.</w:t>
      </w:r>
    </w:p>
    <w:p w14:paraId="5D28ACB7" w14:textId="77777777" w:rsidR="000E10C1" w:rsidRPr="000E10C1" w:rsidRDefault="000E10C1" w:rsidP="000E10C1">
      <w:pPr>
        <w:spacing w:after="240" w:line="360" w:lineRule="auto"/>
        <w:ind w:left="720" w:hanging="720"/>
        <w:rPr>
          <w:rFonts w:eastAsia="Times New Roman" w:cstheme="minorHAnsi"/>
          <w:i/>
          <w:iCs/>
          <w:kern w:val="0"/>
          <w:lang w:eastAsia="en-GB"/>
          <w14:ligatures w14:val="none"/>
        </w:rPr>
      </w:pPr>
      <w:r w:rsidRPr="000E10C1">
        <w:rPr>
          <w:rFonts w:eastAsia="Times New Roman" w:cstheme="minorHAnsi"/>
          <w:kern w:val="0"/>
          <w:lang w:eastAsia="en-GB"/>
          <w14:ligatures w14:val="none"/>
        </w:rPr>
        <w:t xml:space="preserve">Phillips, C. and Bowling, B., (2017). Ethnicities, racism, </w:t>
      </w:r>
      <w:proofErr w:type="gramStart"/>
      <w:r w:rsidRPr="000E10C1">
        <w:rPr>
          <w:rFonts w:eastAsia="Times New Roman" w:cstheme="minorHAnsi"/>
          <w:kern w:val="0"/>
          <w:lang w:eastAsia="en-GB"/>
          <w14:ligatures w14:val="none"/>
        </w:rPr>
        <w:t>crime</w:t>
      </w:r>
      <w:proofErr w:type="gramEnd"/>
      <w:r w:rsidRPr="000E10C1">
        <w:rPr>
          <w:rFonts w:eastAsia="Times New Roman" w:cstheme="minorHAnsi"/>
          <w:kern w:val="0"/>
          <w:lang w:eastAsia="en-GB"/>
          <w14:ligatures w14:val="none"/>
        </w:rPr>
        <w:t xml:space="preserve"> and criminal justice. </w:t>
      </w:r>
      <w:r w:rsidRPr="000E10C1">
        <w:rPr>
          <w:rFonts w:eastAsia="Times New Roman" w:cstheme="minorHAnsi"/>
          <w:i/>
          <w:iCs/>
          <w:kern w:val="0"/>
          <w:lang w:eastAsia="en-GB"/>
          <w14:ligatures w14:val="none"/>
        </w:rPr>
        <w:t xml:space="preserve">The Oxford handbook of criminology, pp. 190-212. </w:t>
      </w:r>
    </w:p>
    <w:p w14:paraId="7C76CF5B" w14:textId="77777777" w:rsidR="000E10C1" w:rsidRPr="000E10C1" w:rsidRDefault="000E10C1" w:rsidP="000E10C1">
      <w:pPr>
        <w:spacing w:after="240" w:line="360" w:lineRule="auto"/>
        <w:ind w:left="720" w:hanging="720"/>
        <w:rPr>
          <w:rFonts w:eastAsia="Times New Roman" w:cstheme="minorHAnsi"/>
          <w:kern w:val="0"/>
          <w:lang w:eastAsia="en-GB"/>
          <w14:ligatures w14:val="none"/>
        </w:rPr>
      </w:pPr>
      <w:r w:rsidRPr="000E10C1">
        <w:rPr>
          <w:rFonts w:eastAsia="Times New Roman" w:cstheme="minorHAnsi"/>
          <w:kern w:val="0"/>
          <w:lang w:eastAsia="en-GB"/>
          <w14:ligatures w14:val="none"/>
        </w:rPr>
        <w:t xml:space="preserve">Thomas, G. (2016). A case for local neighbourhood policing and community intelligence in counter terrorism. </w:t>
      </w:r>
      <w:r w:rsidRPr="000E10C1">
        <w:rPr>
          <w:rFonts w:eastAsia="Times New Roman" w:cstheme="minorHAnsi"/>
          <w:i/>
          <w:iCs/>
          <w:kern w:val="0"/>
          <w:lang w:eastAsia="en-GB"/>
          <w14:ligatures w14:val="none"/>
        </w:rPr>
        <w:t>The Police Journal: Theory, Practice and Principles</w:t>
      </w:r>
      <w:r w:rsidRPr="000E10C1">
        <w:rPr>
          <w:rFonts w:eastAsia="Times New Roman" w:cstheme="minorHAnsi"/>
          <w:kern w:val="0"/>
          <w:lang w:eastAsia="en-GB"/>
          <w14:ligatures w14:val="none"/>
        </w:rPr>
        <w:t xml:space="preserve">, 89(1), pp.31–54. </w:t>
      </w:r>
      <w:proofErr w:type="spellStart"/>
      <w:proofErr w:type="gramStart"/>
      <w:r w:rsidRPr="000E10C1">
        <w:rPr>
          <w:rFonts w:eastAsia="Times New Roman" w:cstheme="minorHAnsi"/>
          <w:kern w:val="0"/>
          <w:lang w:eastAsia="en-GB"/>
          <w14:ligatures w14:val="none"/>
        </w:rPr>
        <w:t>doi:https</w:t>
      </w:r>
      <w:proofErr w:type="spellEnd"/>
      <w:r w:rsidRPr="000E10C1">
        <w:rPr>
          <w:rFonts w:eastAsia="Times New Roman" w:cstheme="minorHAnsi"/>
          <w:kern w:val="0"/>
          <w:lang w:eastAsia="en-GB"/>
          <w14:ligatures w14:val="none"/>
        </w:rPr>
        <w:t>://doi.org/10.1177/0032258x16630489</w:t>
      </w:r>
      <w:proofErr w:type="gramEnd"/>
      <w:r w:rsidRPr="000E10C1">
        <w:rPr>
          <w:rFonts w:eastAsia="Times New Roman" w:cstheme="minorHAnsi"/>
          <w:kern w:val="0"/>
          <w:lang w:eastAsia="en-GB"/>
          <w14:ligatures w14:val="none"/>
        </w:rPr>
        <w:t>.</w:t>
      </w:r>
    </w:p>
    <w:p w14:paraId="154734F0" w14:textId="77777777" w:rsidR="000E10C1" w:rsidRPr="00CD7DD6" w:rsidRDefault="000E10C1" w:rsidP="00190D73">
      <w:pPr>
        <w:pStyle w:val="NormalWeb"/>
        <w:spacing w:before="0" w:beforeAutospacing="0" w:after="240" w:afterAutospacing="0" w:line="360" w:lineRule="auto"/>
        <w:ind w:left="720" w:hanging="720"/>
        <w:rPr>
          <w:rFonts w:asciiTheme="minorHAnsi" w:hAnsiTheme="minorHAnsi" w:cstheme="minorHAnsi"/>
          <w:sz w:val="22"/>
          <w:szCs w:val="22"/>
        </w:rPr>
      </w:pPr>
    </w:p>
    <w:sectPr w:rsidR="000E10C1" w:rsidRPr="00CD7D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A6805"/>
    <w:multiLevelType w:val="hybridMultilevel"/>
    <w:tmpl w:val="851AA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608E9"/>
    <w:multiLevelType w:val="multilevel"/>
    <w:tmpl w:val="1324A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5E7FDC"/>
    <w:multiLevelType w:val="hybridMultilevel"/>
    <w:tmpl w:val="FAFE8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3D0B1E"/>
    <w:multiLevelType w:val="hybridMultilevel"/>
    <w:tmpl w:val="6964A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450054">
    <w:abstractNumId w:val="3"/>
  </w:num>
  <w:num w:numId="2" w16cid:durableId="2103060671">
    <w:abstractNumId w:val="2"/>
  </w:num>
  <w:num w:numId="3" w16cid:durableId="507451899">
    <w:abstractNumId w:val="1"/>
  </w:num>
  <w:num w:numId="4" w16cid:durableId="2144930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9AE"/>
    <w:rsid w:val="00010D7B"/>
    <w:rsid w:val="00010F27"/>
    <w:rsid w:val="00022E4F"/>
    <w:rsid w:val="000354EF"/>
    <w:rsid w:val="000641FB"/>
    <w:rsid w:val="00071EBD"/>
    <w:rsid w:val="00073818"/>
    <w:rsid w:val="00073EAC"/>
    <w:rsid w:val="000900BF"/>
    <w:rsid w:val="000930B1"/>
    <w:rsid w:val="000A4D18"/>
    <w:rsid w:val="000B3663"/>
    <w:rsid w:val="000B47E3"/>
    <w:rsid w:val="000C28DA"/>
    <w:rsid w:val="000C373F"/>
    <w:rsid w:val="000D1D28"/>
    <w:rsid w:val="000E10C1"/>
    <w:rsid w:val="000E1A1C"/>
    <w:rsid w:val="000E2EE7"/>
    <w:rsid w:val="001075EA"/>
    <w:rsid w:val="00121B37"/>
    <w:rsid w:val="001613D3"/>
    <w:rsid w:val="001656FE"/>
    <w:rsid w:val="0016609D"/>
    <w:rsid w:val="00190D73"/>
    <w:rsid w:val="001934CD"/>
    <w:rsid w:val="001C08ED"/>
    <w:rsid w:val="001C172B"/>
    <w:rsid w:val="001F360C"/>
    <w:rsid w:val="00205D82"/>
    <w:rsid w:val="00211386"/>
    <w:rsid w:val="00223194"/>
    <w:rsid w:val="002275B4"/>
    <w:rsid w:val="002278A5"/>
    <w:rsid w:val="002607F8"/>
    <w:rsid w:val="00263CF4"/>
    <w:rsid w:val="00274A16"/>
    <w:rsid w:val="002831A6"/>
    <w:rsid w:val="002863ED"/>
    <w:rsid w:val="00286C86"/>
    <w:rsid w:val="00293611"/>
    <w:rsid w:val="002A59D5"/>
    <w:rsid w:val="002C3726"/>
    <w:rsid w:val="002D4B52"/>
    <w:rsid w:val="002F7154"/>
    <w:rsid w:val="00305CEE"/>
    <w:rsid w:val="00306704"/>
    <w:rsid w:val="0030743C"/>
    <w:rsid w:val="00316071"/>
    <w:rsid w:val="0032007A"/>
    <w:rsid w:val="00320271"/>
    <w:rsid w:val="00323A1E"/>
    <w:rsid w:val="0033609D"/>
    <w:rsid w:val="00341AE0"/>
    <w:rsid w:val="003605DF"/>
    <w:rsid w:val="003614B6"/>
    <w:rsid w:val="00361ADE"/>
    <w:rsid w:val="00365B17"/>
    <w:rsid w:val="003666B6"/>
    <w:rsid w:val="003A337E"/>
    <w:rsid w:val="003B0466"/>
    <w:rsid w:val="003B307A"/>
    <w:rsid w:val="003C4D75"/>
    <w:rsid w:val="003E57CD"/>
    <w:rsid w:val="003F40BE"/>
    <w:rsid w:val="003F77D4"/>
    <w:rsid w:val="00405459"/>
    <w:rsid w:val="004111CF"/>
    <w:rsid w:val="004321E7"/>
    <w:rsid w:val="0043651C"/>
    <w:rsid w:val="00442330"/>
    <w:rsid w:val="0044381C"/>
    <w:rsid w:val="004540B2"/>
    <w:rsid w:val="004633EC"/>
    <w:rsid w:val="00465921"/>
    <w:rsid w:val="004738F8"/>
    <w:rsid w:val="00475869"/>
    <w:rsid w:val="004859C0"/>
    <w:rsid w:val="00490577"/>
    <w:rsid w:val="00491BE7"/>
    <w:rsid w:val="004B69AE"/>
    <w:rsid w:val="004C4B22"/>
    <w:rsid w:val="004D4872"/>
    <w:rsid w:val="004E3E97"/>
    <w:rsid w:val="004E4569"/>
    <w:rsid w:val="004E7FF5"/>
    <w:rsid w:val="004F5D12"/>
    <w:rsid w:val="00511FD9"/>
    <w:rsid w:val="005221EF"/>
    <w:rsid w:val="00540239"/>
    <w:rsid w:val="00541D7D"/>
    <w:rsid w:val="00545C4D"/>
    <w:rsid w:val="00551B4B"/>
    <w:rsid w:val="005569EF"/>
    <w:rsid w:val="00567AF5"/>
    <w:rsid w:val="005818C6"/>
    <w:rsid w:val="005820FB"/>
    <w:rsid w:val="00591A3C"/>
    <w:rsid w:val="005975C4"/>
    <w:rsid w:val="005A5F5F"/>
    <w:rsid w:val="005B7A5D"/>
    <w:rsid w:val="005C0DF3"/>
    <w:rsid w:val="005C2E1C"/>
    <w:rsid w:val="005C432D"/>
    <w:rsid w:val="005E3678"/>
    <w:rsid w:val="005E7565"/>
    <w:rsid w:val="005F1F63"/>
    <w:rsid w:val="00620C45"/>
    <w:rsid w:val="00630867"/>
    <w:rsid w:val="00632E7A"/>
    <w:rsid w:val="006347E5"/>
    <w:rsid w:val="0063744E"/>
    <w:rsid w:val="006546C7"/>
    <w:rsid w:val="00664997"/>
    <w:rsid w:val="00674DA4"/>
    <w:rsid w:val="006812E6"/>
    <w:rsid w:val="00687702"/>
    <w:rsid w:val="00695419"/>
    <w:rsid w:val="006B1A81"/>
    <w:rsid w:val="006B24A6"/>
    <w:rsid w:val="006C4D48"/>
    <w:rsid w:val="006E62A3"/>
    <w:rsid w:val="006F0725"/>
    <w:rsid w:val="006F10E3"/>
    <w:rsid w:val="006F32F0"/>
    <w:rsid w:val="007014E9"/>
    <w:rsid w:val="00707B0B"/>
    <w:rsid w:val="00723918"/>
    <w:rsid w:val="00745802"/>
    <w:rsid w:val="00756FA7"/>
    <w:rsid w:val="00770083"/>
    <w:rsid w:val="007972E2"/>
    <w:rsid w:val="007A4767"/>
    <w:rsid w:val="007A7905"/>
    <w:rsid w:val="007B00D8"/>
    <w:rsid w:val="007B255F"/>
    <w:rsid w:val="007C5959"/>
    <w:rsid w:val="007D0E11"/>
    <w:rsid w:val="007F6263"/>
    <w:rsid w:val="00834EEB"/>
    <w:rsid w:val="00835975"/>
    <w:rsid w:val="0085126F"/>
    <w:rsid w:val="00866F5F"/>
    <w:rsid w:val="00871DE6"/>
    <w:rsid w:val="008856BF"/>
    <w:rsid w:val="008A4901"/>
    <w:rsid w:val="008A6FA4"/>
    <w:rsid w:val="008C619A"/>
    <w:rsid w:val="008D58B7"/>
    <w:rsid w:val="008F4C43"/>
    <w:rsid w:val="00906F03"/>
    <w:rsid w:val="0090710F"/>
    <w:rsid w:val="00941791"/>
    <w:rsid w:val="00944E4F"/>
    <w:rsid w:val="00960BBB"/>
    <w:rsid w:val="009667E5"/>
    <w:rsid w:val="0097362E"/>
    <w:rsid w:val="009A4031"/>
    <w:rsid w:val="009A764B"/>
    <w:rsid w:val="009B4840"/>
    <w:rsid w:val="009B775C"/>
    <w:rsid w:val="009B77C6"/>
    <w:rsid w:val="009C0A9E"/>
    <w:rsid w:val="009C4A99"/>
    <w:rsid w:val="009D47CD"/>
    <w:rsid w:val="009E10B9"/>
    <w:rsid w:val="009F6D51"/>
    <w:rsid w:val="00A01A19"/>
    <w:rsid w:val="00A01B91"/>
    <w:rsid w:val="00A06D93"/>
    <w:rsid w:val="00A411B3"/>
    <w:rsid w:val="00A438BD"/>
    <w:rsid w:val="00A450AA"/>
    <w:rsid w:val="00A47617"/>
    <w:rsid w:val="00A515F0"/>
    <w:rsid w:val="00A51A00"/>
    <w:rsid w:val="00A73B88"/>
    <w:rsid w:val="00A7673D"/>
    <w:rsid w:val="00A92F78"/>
    <w:rsid w:val="00AB7055"/>
    <w:rsid w:val="00AE08D3"/>
    <w:rsid w:val="00AF2C10"/>
    <w:rsid w:val="00B056D7"/>
    <w:rsid w:val="00B07DBE"/>
    <w:rsid w:val="00B245D7"/>
    <w:rsid w:val="00B26C80"/>
    <w:rsid w:val="00B31E5E"/>
    <w:rsid w:val="00B37DAE"/>
    <w:rsid w:val="00B42D7D"/>
    <w:rsid w:val="00B43536"/>
    <w:rsid w:val="00B5004E"/>
    <w:rsid w:val="00B56B63"/>
    <w:rsid w:val="00B816C3"/>
    <w:rsid w:val="00B81848"/>
    <w:rsid w:val="00B82A58"/>
    <w:rsid w:val="00B93EAB"/>
    <w:rsid w:val="00B95354"/>
    <w:rsid w:val="00BA0702"/>
    <w:rsid w:val="00BB6D25"/>
    <w:rsid w:val="00BC0A16"/>
    <w:rsid w:val="00BC0D49"/>
    <w:rsid w:val="00BC3918"/>
    <w:rsid w:val="00BD1177"/>
    <w:rsid w:val="00BD320C"/>
    <w:rsid w:val="00BD63D4"/>
    <w:rsid w:val="00BE1164"/>
    <w:rsid w:val="00BE6567"/>
    <w:rsid w:val="00BF3079"/>
    <w:rsid w:val="00C065EC"/>
    <w:rsid w:val="00C13789"/>
    <w:rsid w:val="00C13C05"/>
    <w:rsid w:val="00C14F77"/>
    <w:rsid w:val="00C320EB"/>
    <w:rsid w:val="00C32824"/>
    <w:rsid w:val="00C330A6"/>
    <w:rsid w:val="00C33F2C"/>
    <w:rsid w:val="00C67D36"/>
    <w:rsid w:val="00C7446A"/>
    <w:rsid w:val="00C76106"/>
    <w:rsid w:val="00C76A76"/>
    <w:rsid w:val="00C931EE"/>
    <w:rsid w:val="00CA2442"/>
    <w:rsid w:val="00CB5106"/>
    <w:rsid w:val="00CB6E18"/>
    <w:rsid w:val="00CB763E"/>
    <w:rsid w:val="00CC2ABD"/>
    <w:rsid w:val="00CC4EFA"/>
    <w:rsid w:val="00CD7DD6"/>
    <w:rsid w:val="00D04B95"/>
    <w:rsid w:val="00D16B8E"/>
    <w:rsid w:val="00D30DD3"/>
    <w:rsid w:val="00D37627"/>
    <w:rsid w:val="00D40A4E"/>
    <w:rsid w:val="00D42FB6"/>
    <w:rsid w:val="00D5616B"/>
    <w:rsid w:val="00D572B1"/>
    <w:rsid w:val="00D667D9"/>
    <w:rsid w:val="00D7163A"/>
    <w:rsid w:val="00D80837"/>
    <w:rsid w:val="00D83C2F"/>
    <w:rsid w:val="00D93CEF"/>
    <w:rsid w:val="00D9699D"/>
    <w:rsid w:val="00DD00F6"/>
    <w:rsid w:val="00DD1306"/>
    <w:rsid w:val="00DD2BB8"/>
    <w:rsid w:val="00DD5829"/>
    <w:rsid w:val="00DF1537"/>
    <w:rsid w:val="00DF4466"/>
    <w:rsid w:val="00E030D5"/>
    <w:rsid w:val="00E047B0"/>
    <w:rsid w:val="00E22584"/>
    <w:rsid w:val="00E22D86"/>
    <w:rsid w:val="00E24024"/>
    <w:rsid w:val="00E453F7"/>
    <w:rsid w:val="00E5404E"/>
    <w:rsid w:val="00E83D21"/>
    <w:rsid w:val="00E83F9F"/>
    <w:rsid w:val="00E847B0"/>
    <w:rsid w:val="00EA4D48"/>
    <w:rsid w:val="00EC0A60"/>
    <w:rsid w:val="00ED18B7"/>
    <w:rsid w:val="00F03628"/>
    <w:rsid w:val="00F0734B"/>
    <w:rsid w:val="00F132E7"/>
    <w:rsid w:val="00F21F64"/>
    <w:rsid w:val="00F231BA"/>
    <w:rsid w:val="00F42BF1"/>
    <w:rsid w:val="00F60C48"/>
    <w:rsid w:val="00F66F31"/>
    <w:rsid w:val="00F77AF0"/>
    <w:rsid w:val="00F92417"/>
    <w:rsid w:val="00F94538"/>
    <w:rsid w:val="00FA07C2"/>
    <w:rsid w:val="00FB14DA"/>
    <w:rsid w:val="00FB18A9"/>
    <w:rsid w:val="00FB2585"/>
    <w:rsid w:val="00FB4B39"/>
    <w:rsid w:val="00FD52D6"/>
    <w:rsid w:val="00FF5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007E8"/>
  <w15:chartTrackingRefBased/>
  <w15:docId w15:val="{53A28C4E-1206-4102-B303-F2C75E124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34CD"/>
    <w:pPr>
      <w:ind w:left="720"/>
      <w:contextualSpacing/>
    </w:pPr>
  </w:style>
  <w:style w:type="paragraph" w:styleId="NormalWeb">
    <w:name w:val="Normal (Web)"/>
    <w:basedOn w:val="Normal"/>
    <w:uiPriority w:val="99"/>
    <w:semiHidden/>
    <w:unhideWhenUsed/>
    <w:rsid w:val="00C137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45802"/>
    <w:rPr>
      <w:color w:val="0563C1" w:themeColor="hyperlink"/>
      <w:u w:val="single"/>
    </w:rPr>
  </w:style>
  <w:style w:type="character" w:styleId="UnresolvedMention">
    <w:name w:val="Unresolved Mention"/>
    <w:basedOn w:val="DefaultParagraphFont"/>
    <w:uiPriority w:val="99"/>
    <w:semiHidden/>
    <w:unhideWhenUsed/>
    <w:rsid w:val="007458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6830">
      <w:bodyDiv w:val="1"/>
      <w:marLeft w:val="0"/>
      <w:marRight w:val="0"/>
      <w:marTop w:val="0"/>
      <w:marBottom w:val="0"/>
      <w:divBdr>
        <w:top w:val="none" w:sz="0" w:space="0" w:color="auto"/>
        <w:left w:val="none" w:sz="0" w:space="0" w:color="auto"/>
        <w:bottom w:val="none" w:sz="0" w:space="0" w:color="auto"/>
        <w:right w:val="none" w:sz="0" w:space="0" w:color="auto"/>
      </w:divBdr>
      <w:divsChild>
        <w:div w:id="2051881608">
          <w:marLeft w:val="0"/>
          <w:marRight w:val="0"/>
          <w:marTop w:val="0"/>
          <w:marBottom w:val="0"/>
          <w:divBdr>
            <w:top w:val="none" w:sz="0" w:space="0" w:color="auto"/>
            <w:left w:val="none" w:sz="0" w:space="0" w:color="auto"/>
            <w:bottom w:val="none" w:sz="0" w:space="0" w:color="auto"/>
            <w:right w:val="none" w:sz="0" w:space="0" w:color="auto"/>
          </w:divBdr>
        </w:div>
      </w:divsChild>
    </w:div>
    <w:div w:id="142165458">
      <w:bodyDiv w:val="1"/>
      <w:marLeft w:val="0"/>
      <w:marRight w:val="0"/>
      <w:marTop w:val="0"/>
      <w:marBottom w:val="0"/>
      <w:divBdr>
        <w:top w:val="none" w:sz="0" w:space="0" w:color="auto"/>
        <w:left w:val="none" w:sz="0" w:space="0" w:color="auto"/>
        <w:bottom w:val="none" w:sz="0" w:space="0" w:color="auto"/>
        <w:right w:val="none" w:sz="0" w:space="0" w:color="auto"/>
      </w:divBdr>
      <w:divsChild>
        <w:div w:id="395055809">
          <w:marLeft w:val="0"/>
          <w:marRight w:val="0"/>
          <w:marTop w:val="0"/>
          <w:marBottom w:val="0"/>
          <w:divBdr>
            <w:top w:val="none" w:sz="0" w:space="0" w:color="auto"/>
            <w:left w:val="none" w:sz="0" w:space="0" w:color="auto"/>
            <w:bottom w:val="none" w:sz="0" w:space="0" w:color="auto"/>
            <w:right w:val="none" w:sz="0" w:space="0" w:color="auto"/>
          </w:divBdr>
        </w:div>
      </w:divsChild>
    </w:div>
    <w:div w:id="172644516">
      <w:bodyDiv w:val="1"/>
      <w:marLeft w:val="0"/>
      <w:marRight w:val="0"/>
      <w:marTop w:val="0"/>
      <w:marBottom w:val="0"/>
      <w:divBdr>
        <w:top w:val="none" w:sz="0" w:space="0" w:color="auto"/>
        <w:left w:val="none" w:sz="0" w:space="0" w:color="auto"/>
        <w:bottom w:val="none" w:sz="0" w:space="0" w:color="auto"/>
        <w:right w:val="none" w:sz="0" w:space="0" w:color="auto"/>
      </w:divBdr>
      <w:divsChild>
        <w:div w:id="383022986">
          <w:marLeft w:val="0"/>
          <w:marRight w:val="0"/>
          <w:marTop w:val="0"/>
          <w:marBottom w:val="0"/>
          <w:divBdr>
            <w:top w:val="none" w:sz="0" w:space="0" w:color="auto"/>
            <w:left w:val="none" w:sz="0" w:space="0" w:color="auto"/>
            <w:bottom w:val="none" w:sz="0" w:space="0" w:color="auto"/>
            <w:right w:val="none" w:sz="0" w:space="0" w:color="auto"/>
          </w:divBdr>
        </w:div>
      </w:divsChild>
    </w:div>
    <w:div w:id="175072994">
      <w:bodyDiv w:val="1"/>
      <w:marLeft w:val="0"/>
      <w:marRight w:val="0"/>
      <w:marTop w:val="0"/>
      <w:marBottom w:val="0"/>
      <w:divBdr>
        <w:top w:val="none" w:sz="0" w:space="0" w:color="auto"/>
        <w:left w:val="none" w:sz="0" w:space="0" w:color="auto"/>
        <w:bottom w:val="none" w:sz="0" w:space="0" w:color="auto"/>
        <w:right w:val="none" w:sz="0" w:space="0" w:color="auto"/>
      </w:divBdr>
    </w:div>
    <w:div w:id="404185319">
      <w:bodyDiv w:val="1"/>
      <w:marLeft w:val="0"/>
      <w:marRight w:val="0"/>
      <w:marTop w:val="0"/>
      <w:marBottom w:val="0"/>
      <w:divBdr>
        <w:top w:val="none" w:sz="0" w:space="0" w:color="auto"/>
        <w:left w:val="none" w:sz="0" w:space="0" w:color="auto"/>
        <w:bottom w:val="none" w:sz="0" w:space="0" w:color="auto"/>
        <w:right w:val="none" w:sz="0" w:space="0" w:color="auto"/>
      </w:divBdr>
    </w:div>
    <w:div w:id="437525959">
      <w:bodyDiv w:val="1"/>
      <w:marLeft w:val="0"/>
      <w:marRight w:val="0"/>
      <w:marTop w:val="0"/>
      <w:marBottom w:val="0"/>
      <w:divBdr>
        <w:top w:val="none" w:sz="0" w:space="0" w:color="auto"/>
        <w:left w:val="none" w:sz="0" w:space="0" w:color="auto"/>
        <w:bottom w:val="none" w:sz="0" w:space="0" w:color="auto"/>
        <w:right w:val="none" w:sz="0" w:space="0" w:color="auto"/>
      </w:divBdr>
    </w:div>
    <w:div w:id="480854286">
      <w:bodyDiv w:val="1"/>
      <w:marLeft w:val="0"/>
      <w:marRight w:val="0"/>
      <w:marTop w:val="0"/>
      <w:marBottom w:val="0"/>
      <w:divBdr>
        <w:top w:val="none" w:sz="0" w:space="0" w:color="auto"/>
        <w:left w:val="none" w:sz="0" w:space="0" w:color="auto"/>
        <w:bottom w:val="none" w:sz="0" w:space="0" w:color="auto"/>
        <w:right w:val="none" w:sz="0" w:space="0" w:color="auto"/>
      </w:divBdr>
      <w:divsChild>
        <w:div w:id="1504248292">
          <w:marLeft w:val="0"/>
          <w:marRight w:val="0"/>
          <w:marTop w:val="0"/>
          <w:marBottom w:val="0"/>
          <w:divBdr>
            <w:top w:val="none" w:sz="0" w:space="0" w:color="auto"/>
            <w:left w:val="none" w:sz="0" w:space="0" w:color="auto"/>
            <w:bottom w:val="none" w:sz="0" w:space="0" w:color="auto"/>
            <w:right w:val="none" w:sz="0" w:space="0" w:color="auto"/>
          </w:divBdr>
        </w:div>
      </w:divsChild>
    </w:div>
    <w:div w:id="530188179">
      <w:bodyDiv w:val="1"/>
      <w:marLeft w:val="0"/>
      <w:marRight w:val="0"/>
      <w:marTop w:val="0"/>
      <w:marBottom w:val="0"/>
      <w:divBdr>
        <w:top w:val="none" w:sz="0" w:space="0" w:color="auto"/>
        <w:left w:val="none" w:sz="0" w:space="0" w:color="auto"/>
        <w:bottom w:val="none" w:sz="0" w:space="0" w:color="auto"/>
        <w:right w:val="none" w:sz="0" w:space="0" w:color="auto"/>
      </w:divBdr>
      <w:divsChild>
        <w:div w:id="1459103958">
          <w:marLeft w:val="0"/>
          <w:marRight w:val="0"/>
          <w:marTop w:val="0"/>
          <w:marBottom w:val="0"/>
          <w:divBdr>
            <w:top w:val="none" w:sz="0" w:space="0" w:color="auto"/>
            <w:left w:val="none" w:sz="0" w:space="0" w:color="auto"/>
            <w:bottom w:val="none" w:sz="0" w:space="0" w:color="auto"/>
            <w:right w:val="none" w:sz="0" w:space="0" w:color="auto"/>
          </w:divBdr>
        </w:div>
      </w:divsChild>
    </w:div>
    <w:div w:id="546071410">
      <w:bodyDiv w:val="1"/>
      <w:marLeft w:val="0"/>
      <w:marRight w:val="0"/>
      <w:marTop w:val="0"/>
      <w:marBottom w:val="0"/>
      <w:divBdr>
        <w:top w:val="none" w:sz="0" w:space="0" w:color="auto"/>
        <w:left w:val="none" w:sz="0" w:space="0" w:color="auto"/>
        <w:bottom w:val="none" w:sz="0" w:space="0" w:color="auto"/>
        <w:right w:val="none" w:sz="0" w:space="0" w:color="auto"/>
      </w:divBdr>
      <w:divsChild>
        <w:div w:id="898832613">
          <w:marLeft w:val="0"/>
          <w:marRight w:val="0"/>
          <w:marTop w:val="0"/>
          <w:marBottom w:val="0"/>
          <w:divBdr>
            <w:top w:val="none" w:sz="0" w:space="0" w:color="auto"/>
            <w:left w:val="none" w:sz="0" w:space="0" w:color="auto"/>
            <w:bottom w:val="none" w:sz="0" w:space="0" w:color="auto"/>
            <w:right w:val="none" w:sz="0" w:space="0" w:color="auto"/>
          </w:divBdr>
        </w:div>
      </w:divsChild>
    </w:div>
    <w:div w:id="588780468">
      <w:bodyDiv w:val="1"/>
      <w:marLeft w:val="0"/>
      <w:marRight w:val="0"/>
      <w:marTop w:val="0"/>
      <w:marBottom w:val="0"/>
      <w:divBdr>
        <w:top w:val="none" w:sz="0" w:space="0" w:color="auto"/>
        <w:left w:val="none" w:sz="0" w:space="0" w:color="auto"/>
        <w:bottom w:val="none" w:sz="0" w:space="0" w:color="auto"/>
        <w:right w:val="none" w:sz="0" w:space="0" w:color="auto"/>
      </w:divBdr>
    </w:div>
    <w:div w:id="609119161">
      <w:bodyDiv w:val="1"/>
      <w:marLeft w:val="0"/>
      <w:marRight w:val="0"/>
      <w:marTop w:val="0"/>
      <w:marBottom w:val="0"/>
      <w:divBdr>
        <w:top w:val="none" w:sz="0" w:space="0" w:color="auto"/>
        <w:left w:val="none" w:sz="0" w:space="0" w:color="auto"/>
        <w:bottom w:val="none" w:sz="0" w:space="0" w:color="auto"/>
        <w:right w:val="none" w:sz="0" w:space="0" w:color="auto"/>
      </w:divBdr>
    </w:div>
    <w:div w:id="762343431">
      <w:bodyDiv w:val="1"/>
      <w:marLeft w:val="0"/>
      <w:marRight w:val="0"/>
      <w:marTop w:val="0"/>
      <w:marBottom w:val="0"/>
      <w:divBdr>
        <w:top w:val="none" w:sz="0" w:space="0" w:color="auto"/>
        <w:left w:val="none" w:sz="0" w:space="0" w:color="auto"/>
        <w:bottom w:val="none" w:sz="0" w:space="0" w:color="auto"/>
        <w:right w:val="none" w:sz="0" w:space="0" w:color="auto"/>
      </w:divBdr>
    </w:div>
    <w:div w:id="763107806">
      <w:bodyDiv w:val="1"/>
      <w:marLeft w:val="0"/>
      <w:marRight w:val="0"/>
      <w:marTop w:val="0"/>
      <w:marBottom w:val="0"/>
      <w:divBdr>
        <w:top w:val="none" w:sz="0" w:space="0" w:color="auto"/>
        <w:left w:val="none" w:sz="0" w:space="0" w:color="auto"/>
        <w:bottom w:val="none" w:sz="0" w:space="0" w:color="auto"/>
        <w:right w:val="none" w:sz="0" w:space="0" w:color="auto"/>
      </w:divBdr>
      <w:divsChild>
        <w:div w:id="789589557">
          <w:marLeft w:val="0"/>
          <w:marRight w:val="0"/>
          <w:marTop w:val="0"/>
          <w:marBottom w:val="0"/>
          <w:divBdr>
            <w:top w:val="none" w:sz="0" w:space="0" w:color="auto"/>
            <w:left w:val="none" w:sz="0" w:space="0" w:color="auto"/>
            <w:bottom w:val="none" w:sz="0" w:space="0" w:color="auto"/>
            <w:right w:val="none" w:sz="0" w:space="0" w:color="auto"/>
          </w:divBdr>
        </w:div>
      </w:divsChild>
    </w:div>
    <w:div w:id="823660875">
      <w:bodyDiv w:val="1"/>
      <w:marLeft w:val="0"/>
      <w:marRight w:val="0"/>
      <w:marTop w:val="0"/>
      <w:marBottom w:val="0"/>
      <w:divBdr>
        <w:top w:val="none" w:sz="0" w:space="0" w:color="auto"/>
        <w:left w:val="none" w:sz="0" w:space="0" w:color="auto"/>
        <w:bottom w:val="none" w:sz="0" w:space="0" w:color="auto"/>
        <w:right w:val="none" w:sz="0" w:space="0" w:color="auto"/>
      </w:divBdr>
    </w:div>
    <w:div w:id="845293610">
      <w:bodyDiv w:val="1"/>
      <w:marLeft w:val="0"/>
      <w:marRight w:val="0"/>
      <w:marTop w:val="0"/>
      <w:marBottom w:val="0"/>
      <w:divBdr>
        <w:top w:val="none" w:sz="0" w:space="0" w:color="auto"/>
        <w:left w:val="none" w:sz="0" w:space="0" w:color="auto"/>
        <w:bottom w:val="none" w:sz="0" w:space="0" w:color="auto"/>
        <w:right w:val="none" w:sz="0" w:space="0" w:color="auto"/>
      </w:divBdr>
    </w:div>
    <w:div w:id="856817864">
      <w:bodyDiv w:val="1"/>
      <w:marLeft w:val="0"/>
      <w:marRight w:val="0"/>
      <w:marTop w:val="0"/>
      <w:marBottom w:val="0"/>
      <w:divBdr>
        <w:top w:val="none" w:sz="0" w:space="0" w:color="auto"/>
        <w:left w:val="none" w:sz="0" w:space="0" w:color="auto"/>
        <w:bottom w:val="none" w:sz="0" w:space="0" w:color="auto"/>
        <w:right w:val="none" w:sz="0" w:space="0" w:color="auto"/>
      </w:divBdr>
      <w:divsChild>
        <w:div w:id="2064212283">
          <w:marLeft w:val="0"/>
          <w:marRight w:val="0"/>
          <w:marTop w:val="0"/>
          <w:marBottom w:val="0"/>
          <w:divBdr>
            <w:top w:val="none" w:sz="0" w:space="0" w:color="auto"/>
            <w:left w:val="none" w:sz="0" w:space="0" w:color="auto"/>
            <w:bottom w:val="none" w:sz="0" w:space="0" w:color="auto"/>
            <w:right w:val="none" w:sz="0" w:space="0" w:color="auto"/>
          </w:divBdr>
        </w:div>
      </w:divsChild>
    </w:div>
    <w:div w:id="899512704">
      <w:bodyDiv w:val="1"/>
      <w:marLeft w:val="0"/>
      <w:marRight w:val="0"/>
      <w:marTop w:val="0"/>
      <w:marBottom w:val="0"/>
      <w:divBdr>
        <w:top w:val="none" w:sz="0" w:space="0" w:color="auto"/>
        <w:left w:val="none" w:sz="0" w:space="0" w:color="auto"/>
        <w:bottom w:val="none" w:sz="0" w:space="0" w:color="auto"/>
        <w:right w:val="none" w:sz="0" w:space="0" w:color="auto"/>
      </w:divBdr>
    </w:div>
    <w:div w:id="916208570">
      <w:bodyDiv w:val="1"/>
      <w:marLeft w:val="0"/>
      <w:marRight w:val="0"/>
      <w:marTop w:val="0"/>
      <w:marBottom w:val="0"/>
      <w:divBdr>
        <w:top w:val="none" w:sz="0" w:space="0" w:color="auto"/>
        <w:left w:val="none" w:sz="0" w:space="0" w:color="auto"/>
        <w:bottom w:val="none" w:sz="0" w:space="0" w:color="auto"/>
        <w:right w:val="none" w:sz="0" w:space="0" w:color="auto"/>
      </w:divBdr>
    </w:div>
    <w:div w:id="963078157">
      <w:bodyDiv w:val="1"/>
      <w:marLeft w:val="0"/>
      <w:marRight w:val="0"/>
      <w:marTop w:val="0"/>
      <w:marBottom w:val="0"/>
      <w:divBdr>
        <w:top w:val="none" w:sz="0" w:space="0" w:color="auto"/>
        <w:left w:val="none" w:sz="0" w:space="0" w:color="auto"/>
        <w:bottom w:val="none" w:sz="0" w:space="0" w:color="auto"/>
        <w:right w:val="none" w:sz="0" w:space="0" w:color="auto"/>
      </w:divBdr>
      <w:divsChild>
        <w:div w:id="75833658">
          <w:marLeft w:val="0"/>
          <w:marRight w:val="0"/>
          <w:marTop w:val="0"/>
          <w:marBottom w:val="0"/>
          <w:divBdr>
            <w:top w:val="none" w:sz="0" w:space="0" w:color="auto"/>
            <w:left w:val="none" w:sz="0" w:space="0" w:color="auto"/>
            <w:bottom w:val="none" w:sz="0" w:space="0" w:color="auto"/>
            <w:right w:val="none" w:sz="0" w:space="0" w:color="auto"/>
          </w:divBdr>
        </w:div>
      </w:divsChild>
    </w:div>
    <w:div w:id="980770519">
      <w:bodyDiv w:val="1"/>
      <w:marLeft w:val="0"/>
      <w:marRight w:val="0"/>
      <w:marTop w:val="0"/>
      <w:marBottom w:val="0"/>
      <w:divBdr>
        <w:top w:val="none" w:sz="0" w:space="0" w:color="auto"/>
        <w:left w:val="none" w:sz="0" w:space="0" w:color="auto"/>
        <w:bottom w:val="none" w:sz="0" w:space="0" w:color="auto"/>
        <w:right w:val="none" w:sz="0" w:space="0" w:color="auto"/>
      </w:divBdr>
    </w:div>
    <w:div w:id="1006640628">
      <w:bodyDiv w:val="1"/>
      <w:marLeft w:val="0"/>
      <w:marRight w:val="0"/>
      <w:marTop w:val="0"/>
      <w:marBottom w:val="0"/>
      <w:divBdr>
        <w:top w:val="none" w:sz="0" w:space="0" w:color="auto"/>
        <w:left w:val="none" w:sz="0" w:space="0" w:color="auto"/>
        <w:bottom w:val="none" w:sz="0" w:space="0" w:color="auto"/>
        <w:right w:val="none" w:sz="0" w:space="0" w:color="auto"/>
      </w:divBdr>
      <w:divsChild>
        <w:div w:id="340351597">
          <w:marLeft w:val="0"/>
          <w:marRight w:val="0"/>
          <w:marTop w:val="0"/>
          <w:marBottom w:val="0"/>
          <w:divBdr>
            <w:top w:val="none" w:sz="0" w:space="0" w:color="auto"/>
            <w:left w:val="none" w:sz="0" w:space="0" w:color="auto"/>
            <w:bottom w:val="none" w:sz="0" w:space="0" w:color="auto"/>
            <w:right w:val="none" w:sz="0" w:space="0" w:color="auto"/>
          </w:divBdr>
        </w:div>
      </w:divsChild>
    </w:div>
    <w:div w:id="1052969042">
      <w:bodyDiv w:val="1"/>
      <w:marLeft w:val="0"/>
      <w:marRight w:val="0"/>
      <w:marTop w:val="0"/>
      <w:marBottom w:val="0"/>
      <w:divBdr>
        <w:top w:val="none" w:sz="0" w:space="0" w:color="auto"/>
        <w:left w:val="none" w:sz="0" w:space="0" w:color="auto"/>
        <w:bottom w:val="none" w:sz="0" w:space="0" w:color="auto"/>
        <w:right w:val="none" w:sz="0" w:space="0" w:color="auto"/>
      </w:divBdr>
      <w:divsChild>
        <w:div w:id="63262570">
          <w:marLeft w:val="0"/>
          <w:marRight w:val="0"/>
          <w:marTop w:val="0"/>
          <w:marBottom w:val="0"/>
          <w:divBdr>
            <w:top w:val="none" w:sz="0" w:space="0" w:color="auto"/>
            <w:left w:val="none" w:sz="0" w:space="0" w:color="auto"/>
            <w:bottom w:val="none" w:sz="0" w:space="0" w:color="auto"/>
            <w:right w:val="none" w:sz="0" w:space="0" w:color="auto"/>
          </w:divBdr>
        </w:div>
      </w:divsChild>
    </w:div>
    <w:div w:id="1293897880">
      <w:bodyDiv w:val="1"/>
      <w:marLeft w:val="0"/>
      <w:marRight w:val="0"/>
      <w:marTop w:val="0"/>
      <w:marBottom w:val="0"/>
      <w:divBdr>
        <w:top w:val="none" w:sz="0" w:space="0" w:color="auto"/>
        <w:left w:val="none" w:sz="0" w:space="0" w:color="auto"/>
        <w:bottom w:val="none" w:sz="0" w:space="0" w:color="auto"/>
        <w:right w:val="none" w:sz="0" w:space="0" w:color="auto"/>
      </w:divBdr>
      <w:divsChild>
        <w:div w:id="464473461">
          <w:marLeft w:val="0"/>
          <w:marRight w:val="0"/>
          <w:marTop w:val="0"/>
          <w:marBottom w:val="0"/>
          <w:divBdr>
            <w:top w:val="none" w:sz="0" w:space="0" w:color="auto"/>
            <w:left w:val="none" w:sz="0" w:space="0" w:color="auto"/>
            <w:bottom w:val="none" w:sz="0" w:space="0" w:color="auto"/>
            <w:right w:val="none" w:sz="0" w:space="0" w:color="auto"/>
          </w:divBdr>
        </w:div>
      </w:divsChild>
    </w:div>
    <w:div w:id="1354963670">
      <w:bodyDiv w:val="1"/>
      <w:marLeft w:val="0"/>
      <w:marRight w:val="0"/>
      <w:marTop w:val="0"/>
      <w:marBottom w:val="0"/>
      <w:divBdr>
        <w:top w:val="none" w:sz="0" w:space="0" w:color="auto"/>
        <w:left w:val="none" w:sz="0" w:space="0" w:color="auto"/>
        <w:bottom w:val="none" w:sz="0" w:space="0" w:color="auto"/>
        <w:right w:val="none" w:sz="0" w:space="0" w:color="auto"/>
      </w:divBdr>
      <w:divsChild>
        <w:div w:id="1132601545">
          <w:marLeft w:val="0"/>
          <w:marRight w:val="0"/>
          <w:marTop w:val="0"/>
          <w:marBottom w:val="0"/>
          <w:divBdr>
            <w:top w:val="none" w:sz="0" w:space="0" w:color="auto"/>
            <w:left w:val="none" w:sz="0" w:space="0" w:color="auto"/>
            <w:bottom w:val="none" w:sz="0" w:space="0" w:color="auto"/>
            <w:right w:val="none" w:sz="0" w:space="0" w:color="auto"/>
          </w:divBdr>
        </w:div>
      </w:divsChild>
    </w:div>
    <w:div w:id="1437822770">
      <w:bodyDiv w:val="1"/>
      <w:marLeft w:val="0"/>
      <w:marRight w:val="0"/>
      <w:marTop w:val="0"/>
      <w:marBottom w:val="0"/>
      <w:divBdr>
        <w:top w:val="none" w:sz="0" w:space="0" w:color="auto"/>
        <w:left w:val="none" w:sz="0" w:space="0" w:color="auto"/>
        <w:bottom w:val="none" w:sz="0" w:space="0" w:color="auto"/>
        <w:right w:val="none" w:sz="0" w:space="0" w:color="auto"/>
      </w:divBdr>
    </w:div>
    <w:div w:id="1478306847">
      <w:bodyDiv w:val="1"/>
      <w:marLeft w:val="0"/>
      <w:marRight w:val="0"/>
      <w:marTop w:val="0"/>
      <w:marBottom w:val="0"/>
      <w:divBdr>
        <w:top w:val="none" w:sz="0" w:space="0" w:color="auto"/>
        <w:left w:val="none" w:sz="0" w:space="0" w:color="auto"/>
        <w:bottom w:val="none" w:sz="0" w:space="0" w:color="auto"/>
        <w:right w:val="none" w:sz="0" w:space="0" w:color="auto"/>
      </w:divBdr>
    </w:div>
    <w:div w:id="1519386744">
      <w:bodyDiv w:val="1"/>
      <w:marLeft w:val="0"/>
      <w:marRight w:val="0"/>
      <w:marTop w:val="0"/>
      <w:marBottom w:val="0"/>
      <w:divBdr>
        <w:top w:val="none" w:sz="0" w:space="0" w:color="auto"/>
        <w:left w:val="none" w:sz="0" w:space="0" w:color="auto"/>
        <w:bottom w:val="none" w:sz="0" w:space="0" w:color="auto"/>
        <w:right w:val="none" w:sz="0" w:space="0" w:color="auto"/>
      </w:divBdr>
      <w:divsChild>
        <w:div w:id="341205631">
          <w:marLeft w:val="0"/>
          <w:marRight w:val="0"/>
          <w:marTop w:val="0"/>
          <w:marBottom w:val="0"/>
          <w:divBdr>
            <w:top w:val="none" w:sz="0" w:space="0" w:color="auto"/>
            <w:left w:val="none" w:sz="0" w:space="0" w:color="auto"/>
            <w:bottom w:val="none" w:sz="0" w:space="0" w:color="auto"/>
            <w:right w:val="none" w:sz="0" w:space="0" w:color="auto"/>
          </w:divBdr>
        </w:div>
      </w:divsChild>
    </w:div>
    <w:div w:id="1524438395">
      <w:bodyDiv w:val="1"/>
      <w:marLeft w:val="0"/>
      <w:marRight w:val="0"/>
      <w:marTop w:val="0"/>
      <w:marBottom w:val="0"/>
      <w:divBdr>
        <w:top w:val="none" w:sz="0" w:space="0" w:color="auto"/>
        <w:left w:val="none" w:sz="0" w:space="0" w:color="auto"/>
        <w:bottom w:val="none" w:sz="0" w:space="0" w:color="auto"/>
        <w:right w:val="none" w:sz="0" w:space="0" w:color="auto"/>
      </w:divBdr>
      <w:divsChild>
        <w:div w:id="593250852">
          <w:marLeft w:val="0"/>
          <w:marRight w:val="0"/>
          <w:marTop w:val="0"/>
          <w:marBottom w:val="0"/>
          <w:divBdr>
            <w:top w:val="none" w:sz="0" w:space="0" w:color="auto"/>
            <w:left w:val="none" w:sz="0" w:space="0" w:color="auto"/>
            <w:bottom w:val="none" w:sz="0" w:space="0" w:color="auto"/>
            <w:right w:val="none" w:sz="0" w:space="0" w:color="auto"/>
          </w:divBdr>
        </w:div>
      </w:divsChild>
    </w:div>
    <w:div w:id="1553690568">
      <w:bodyDiv w:val="1"/>
      <w:marLeft w:val="0"/>
      <w:marRight w:val="0"/>
      <w:marTop w:val="0"/>
      <w:marBottom w:val="0"/>
      <w:divBdr>
        <w:top w:val="none" w:sz="0" w:space="0" w:color="auto"/>
        <w:left w:val="none" w:sz="0" w:space="0" w:color="auto"/>
        <w:bottom w:val="none" w:sz="0" w:space="0" w:color="auto"/>
        <w:right w:val="none" w:sz="0" w:space="0" w:color="auto"/>
      </w:divBdr>
      <w:divsChild>
        <w:div w:id="1551266563">
          <w:marLeft w:val="0"/>
          <w:marRight w:val="0"/>
          <w:marTop w:val="0"/>
          <w:marBottom w:val="0"/>
          <w:divBdr>
            <w:top w:val="none" w:sz="0" w:space="0" w:color="auto"/>
            <w:left w:val="none" w:sz="0" w:space="0" w:color="auto"/>
            <w:bottom w:val="none" w:sz="0" w:space="0" w:color="auto"/>
            <w:right w:val="none" w:sz="0" w:space="0" w:color="auto"/>
          </w:divBdr>
        </w:div>
      </w:divsChild>
    </w:div>
    <w:div w:id="1592935245">
      <w:bodyDiv w:val="1"/>
      <w:marLeft w:val="0"/>
      <w:marRight w:val="0"/>
      <w:marTop w:val="0"/>
      <w:marBottom w:val="0"/>
      <w:divBdr>
        <w:top w:val="none" w:sz="0" w:space="0" w:color="auto"/>
        <w:left w:val="none" w:sz="0" w:space="0" w:color="auto"/>
        <w:bottom w:val="none" w:sz="0" w:space="0" w:color="auto"/>
        <w:right w:val="none" w:sz="0" w:space="0" w:color="auto"/>
      </w:divBdr>
      <w:divsChild>
        <w:div w:id="2142914007">
          <w:marLeft w:val="0"/>
          <w:marRight w:val="0"/>
          <w:marTop w:val="0"/>
          <w:marBottom w:val="0"/>
          <w:divBdr>
            <w:top w:val="none" w:sz="0" w:space="0" w:color="auto"/>
            <w:left w:val="none" w:sz="0" w:space="0" w:color="auto"/>
            <w:bottom w:val="none" w:sz="0" w:space="0" w:color="auto"/>
            <w:right w:val="none" w:sz="0" w:space="0" w:color="auto"/>
          </w:divBdr>
        </w:div>
      </w:divsChild>
    </w:div>
    <w:div w:id="1630041159">
      <w:bodyDiv w:val="1"/>
      <w:marLeft w:val="0"/>
      <w:marRight w:val="0"/>
      <w:marTop w:val="0"/>
      <w:marBottom w:val="0"/>
      <w:divBdr>
        <w:top w:val="none" w:sz="0" w:space="0" w:color="auto"/>
        <w:left w:val="none" w:sz="0" w:space="0" w:color="auto"/>
        <w:bottom w:val="none" w:sz="0" w:space="0" w:color="auto"/>
        <w:right w:val="none" w:sz="0" w:space="0" w:color="auto"/>
      </w:divBdr>
      <w:divsChild>
        <w:div w:id="1727532679">
          <w:marLeft w:val="0"/>
          <w:marRight w:val="0"/>
          <w:marTop w:val="0"/>
          <w:marBottom w:val="0"/>
          <w:divBdr>
            <w:top w:val="none" w:sz="0" w:space="0" w:color="auto"/>
            <w:left w:val="none" w:sz="0" w:space="0" w:color="auto"/>
            <w:bottom w:val="none" w:sz="0" w:space="0" w:color="auto"/>
            <w:right w:val="none" w:sz="0" w:space="0" w:color="auto"/>
          </w:divBdr>
        </w:div>
      </w:divsChild>
    </w:div>
    <w:div w:id="1630474855">
      <w:bodyDiv w:val="1"/>
      <w:marLeft w:val="0"/>
      <w:marRight w:val="0"/>
      <w:marTop w:val="0"/>
      <w:marBottom w:val="0"/>
      <w:divBdr>
        <w:top w:val="none" w:sz="0" w:space="0" w:color="auto"/>
        <w:left w:val="none" w:sz="0" w:space="0" w:color="auto"/>
        <w:bottom w:val="none" w:sz="0" w:space="0" w:color="auto"/>
        <w:right w:val="none" w:sz="0" w:space="0" w:color="auto"/>
      </w:divBdr>
    </w:div>
    <w:div w:id="1652522632">
      <w:bodyDiv w:val="1"/>
      <w:marLeft w:val="0"/>
      <w:marRight w:val="0"/>
      <w:marTop w:val="0"/>
      <w:marBottom w:val="0"/>
      <w:divBdr>
        <w:top w:val="none" w:sz="0" w:space="0" w:color="auto"/>
        <w:left w:val="none" w:sz="0" w:space="0" w:color="auto"/>
        <w:bottom w:val="none" w:sz="0" w:space="0" w:color="auto"/>
        <w:right w:val="none" w:sz="0" w:space="0" w:color="auto"/>
      </w:divBdr>
      <w:divsChild>
        <w:div w:id="1547833107">
          <w:marLeft w:val="0"/>
          <w:marRight w:val="0"/>
          <w:marTop w:val="0"/>
          <w:marBottom w:val="0"/>
          <w:divBdr>
            <w:top w:val="none" w:sz="0" w:space="0" w:color="auto"/>
            <w:left w:val="none" w:sz="0" w:space="0" w:color="auto"/>
            <w:bottom w:val="none" w:sz="0" w:space="0" w:color="auto"/>
            <w:right w:val="none" w:sz="0" w:space="0" w:color="auto"/>
          </w:divBdr>
        </w:div>
      </w:divsChild>
    </w:div>
    <w:div w:id="1697930072">
      <w:bodyDiv w:val="1"/>
      <w:marLeft w:val="0"/>
      <w:marRight w:val="0"/>
      <w:marTop w:val="0"/>
      <w:marBottom w:val="0"/>
      <w:divBdr>
        <w:top w:val="none" w:sz="0" w:space="0" w:color="auto"/>
        <w:left w:val="none" w:sz="0" w:space="0" w:color="auto"/>
        <w:bottom w:val="none" w:sz="0" w:space="0" w:color="auto"/>
        <w:right w:val="none" w:sz="0" w:space="0" w:color="auto"/>
      </w:divBdr>
      <w:divsChild>
        <w:div w:id="415633902">
          <w:marLeft w:val="0"/>
          <w:marRight w:val="0"/>
          <w:marTop w:val="0"/>
          <w:marBottom w:val="0"/>
          <w:divBdr>
            <w:top w:val="none" w:sz="0" w:space="0" w:color="auto"/>
            <w:left w:val="none" w:sz="0" w:space="0" w:color="auto"/>
            <w:bottom w:val="none" w:sz="0" w:space="0" w:color="auto"/>
            <w:right w:val="none" w:sz="0" w:space="0" w:color="auto"/>
          </w:divBdr>
        </w:div>
      </w:divsChild>
    </w:div>
    <w:div w:id="1720324999">
      <w:bodyDiv w:val="1"/>
      <w:marLeft w:val="0"/>
      <w:marRight w:val="0"/>
      <w:marTop w:val="0"/>
      <w:marBottom w:val="0"/>
      <w:divBdr>
        <w:top w:val="none" w:sz="0" w:space="0" w:color="auto"/>
        <w:left w:val="none" w:sz="0" w:space="0" w:color="auto"/>
        <w:bottom w:val="none" w:sz="0" w:space="0" w:color="auto"/>
        <w:right w:val="none" w:sz="0" w:space="0" w:color="auto"/>
      </w:divBdr>
    </w:div>
    <w:div w:id="1739354823">
      <w:bodyDiv w:val="1"/>
      <w:marLeft w:val="0"/>
      <w:marRight w:val="0"/>
      <w:marTop w:val="0"/>
      <w:marBottom w:val="0"/>
      <w:divBdr>
        <w:top w:val="none" w:sz="0" w:space="0" w:color="auto"/>
        <w:left w:val="none" w:sz="0" w:space="0" w:color="auto"/>
        <w:bottom w:val="none" w:sz="0" w:space="0" w:color="auto"/>
        <w:right w:val="none" w:sz="0" w:space="0" w:color="auto"/>
      </w:divBdr>
    </w:div>
    <w:div w:id="1758092738">
      <w:bodyDiv w:val="1"/>
      <w:marLeft w:val="0"/>
      <w:marRight w:val="0"/>
      <w:marTop w:val="0"/>
      <w:marBottom w:val="0"/>
      <w:divBdr>
        <w:top w:val="none" w:sz="0" w:space="0" w:color="auto"/>
        <w:left w:val="none" w:sz="0" w:space="0" w:color="auto"/>
        <w:bottom w:val="none" w:sz="0" w:space="0" w:color="auto"/>
        <w:right w:val="none" w:sz="0" w:space="0" w:color="auto"/>
      </w:divBdr>
      <w:divsChild>
        <w:div w:id="1447237790">
          <w:marLeft w:val="0"/>
          <w:marRight w:val="0"/>
          <w:marTop w:val="0"/>
          <w:marBottom w:val="0"/>
          <w:divBdr>
            <w:top w:val="none" w:sz="0" w:space="0" w:color="auto"/>
            <w:left w:val="none" w:sz="0" w:space="0" w:color="auto"/>
            <w:bottom w:val="none" w:sz="0" w:space="0" w:color="auto"/>
            <w:right w:val="none" w:sz="0" w:space="0" w:color="auto"/>
          </w:divBdr>
        </w:div>
      </w:divsChild>
    </w:div>
    <w:div w:id="1884051833">
      <w:bodyDiv w:val="1"/>
      <w:marLeft w:val="0"/>
      <w:marRight w:val="0"/>
      <w:marTop w:val="0"/>
      <w:marBottom w:val="0"/>
      <w:divBdr>
        <w:top w:val="none" w:sz="0" w:space="0" w:color="auto"/>
        <w:left w:val="none" w:sz="0" w:space="0" w:color="auto"/>
        <w:bottom w:val="none" w:sz="0" w:space="0" w:color="auto"/>
        <w:right w:val="none" w:sz="0" w:space="0" w:color="auto"/>
      </w:divBdr>
    </w:div>
    <w:div w:id="1968924960">
      <w:bodyDiv w:val="1"/>
      <w:marLeft w:val="0"/>
      <w:marRight w:val="0"/>
      <w:marTop w:val="0"/>
      <w:marBottom w:val="0"/>
      <w:divBdr>
        <w:top w:val="none" w:sz="0" w:space="0" w:color="auto"/>
        <w:left w:val="none" w:sz="0" w:space="0" w:color="auto"/>
        <w:bottom w:val="none" w:sz="0" w:space="0" w:color="auto"/>
        <w:right w:val="none" w:sz="0" w:space="0" w:color="auto"/>
      </w:divBdr>
    </w:div>
    <w:div w:id="1986201197">
      <w:bodyDiv w:val="1"/>
      <w:marLeft w:val="0"/>
      <w:marRight w:val="0"/>
      <w:marTop w:val="0"/>
      <w:marBottom w:val="0"/>
      <w:divBdr>
        <w:top w:val="none" w:sz="0" w:space="0" w:color="auto"/>
        <w:left w:val="none" w:sz="0" w:space="0" w:color="auto"/>
        <w:bottom w:val="none" w:sz="0" w:space="0" w:color="auto"/>
        <w:right w:val="none" w:sz="0" w:space="0" w:color="auto"/>
      </w:divBdr>
      <w:divsChild>
        <w:div w:id="1925451913">
          <w:marLeft w:val="0"/>
          <w:marRight w:val="0"/>
          <w:marTop w:val="0"/>
          <w:marBottom w:val="0"/>
          <w:divBdr>
            <w:top w:val="none" w:sz="0" w:space="0" w:color="auto"/>
            <w:left w:val="none" w:sz="0" w:space="0" w:color="auto"/>
            <w:bottom w:val="none" w:sz="0" w:space="0" w:color="auto"/>
            <w:right w:val="none" w:sz="0" w:space="0" w:color="auto"/>
          </w:divBdr>
        </w:div>
      </w:divsChild>
    </w:div>
    <w:div w:id="1986810312">
      <w:bodyDiv w:val="1"/>
      <w:marLeft w:val="0"/>
      <w:marRight w:val="0"/>
      <w:marTop w:val="0"/>
      <w:marBottom w:val="0"/>
      <w:divBdr>
        <w:top w:val="none" w:sz="0" w:space="0" w:color="auto"/>
        <w:left w:val="none" w:sz="0" w:space="0" w:color="auto"/>
        <w:bottom w:val="none" w:sz="0" w:space="0" w:color="auto"/>
        <w:right w:val="none" w:sz="0" w:space="0" w:color="auto"/>
      </w:divBdr>
    </w:div>
    <w:div w:id="2058578080">
      <w:bodyDiv w:val="1"/>
      <w:marLeft w:val="0"/>
      <w:marRight w:val="0"/>
      <w:marTop w:val="0"/>
      <w:marBottom w:val="0"/>
      <w:divBdr>
        <w:top w:val="none" w:sz="0" w:space="0" w:color="auto"/>
        <w:left w:val="none" w:sz="0" w:space="0" w:color="auto"/>
        <w:bottom w:val="none" w:sz="0" w:space="0" w:color="auto"/>
        <w:right w:val="none" w:sz="0" w:space="0" w:color="auto"/>
      </w:divBdr>
      <w:divsChild>
        <w:div w:id="1630473624">
          <w:marLeft w:val="0"/>
          <w:marRight w:val="0"/>
          <w:marTop w:val="0"/>
          <w:marBottom w:val="0"/>
          <w:divBdr>
            <w:top w:val="none" w:sz="0" w:space="0" w:color="auto"/>
            <w:left w:val="none" w:sz="0" w:space="0" w:color="auto"/>
            <w:bottom w:val="none" w:sz="0" w:space="0" w:color="auto"/>
            <w:right w:val="none" w:sz="0" w:space="0" w:color="auto"/>
          </w:divBdr>
        </w:div>
      </w:divsChild>
    </w:div>
    <w:div w:id="2075347788">
      <w:bodyDiv w:val="1"/>
      <w:marLeft w:val="0"/>
      <w:marRight w:val="0"/>
      <w:marTop w:val="0"/>
      <w:marBottom w:val="0"/>
      <w:divBdr>
        <w:top w:val="none" w:sz="0" w:space="0" w:color="auto"/>
        <w:left w:val="none" w:sz="0" w:space="0" w:color="auto"/>
        <w:bottom w:val="none" w:sz="0" w:space="0" w:color="auto"/>
        <w:right w:val="none" w:sz="0" w:space="0" w:color="auto"/>
      </w:divBdr>
      <w:divsChild>
        <w:div w:id="106387095">
          <w:marLeft w:val="0"/>
          <w:marRight w:val="0"/>
          <w:marTop w:val="0"/>
          <w:marBottom w:val="0"/>
          <w:divBdr>
            <w:top w:val="none" w:sz="0" w:space="0" w:color="auto"/>
            <w:left w:val="none" w:sz="0" w:space="0" w:color="auto"/>
            <w:bottom w:val="none" w:sz="0" w:space="0" w:color="auto"/>
            <w:right w:val="none" w:sz="0" w:space="0" w:color="auto"/>
          </w:divBdr>
        </w:div>
      </w:divsChild>
    </w:div>
    <w:div w:id="2100635495">
      <w:bodyDiv w:val="1"/>
      <w:marLeft w:val="0"/>
      <w:marRight w:val="0"/>
      <w:marTop w:val="0"/>
      <w:marBottom w:val="0"/>
      <w:divBdr>
        <w:top w:val="none" w:sz="0" w:space="0" w:color="auto"/>
        <w:left w:val="none" w:sz="0" w:space="0" w:color="auto"/>
        <w:bottom w:val="none" w:sz="0" w:space="0" w:color="auto"/>
        <w:right w:val="none" w:sz="0" w:space="0" w:color="auto"/>
      </w:divBdr>
      <w:divsChild>
        <w:div w:id="355693139">
          <w:marLeft w:val="0"/>
          <w:marRight w:val="0"/>
          <w:marTop w:val="0"/>
          <w:marBottom w:val="0"/>
          <w:divBdr>
            <w:top w:val="none" w:sz="0" w:space="0" w:color="auto"/>
            <w:left w:val="none" w:sz="0" w:space="0" w:color="auto"/>
            <w:bottom w:val="none" w:sz="0" w:space="0" w:color="auto"/>
            <w:right w:val="none" w:sz="0" w:space="0" w:color="auto"/>
          </w:divBdr>
        </w:div>
      </w:divsChild>
    </w:div>
    <w:div w:id="2112316513">
      <w:bodyDiv w:val="1"/>
      <w:marLeft w:val="0"/>
      <w:marRight w:val="0"/>
      <w:marTop w:val="0"/>
      <w:marBottom w:val="0"/>
      <w:divBdr>
        <w:top w:val="none" w:sz="0" w:space="0" w:color="auto"/>
        <w:left w:val="none" w:sz="0" w:space="0" w:color="auto"/>
        <w:bottom w:val="none" w:sz="0" w:space="0" w:color="auto"/>
        <w:right w:val="none" w:sz="0" w:space="0" w:color="auto"/>
      </w:divBdr>
      <w:divsChild>
        <w:div w:id="11658989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civil-emergencies/disaster-victim-identification/definitions" TargetMode="External"/><Relationship Id="rId13" Type="http://schemas.openxmlformats.org/officeDocument/2006/relationships/hyperlink" Target="https://assets.publishing.service.gov.uk/media/5a7c2af540f0b645ba3c7202/4262.pdf" TargetMode="External"/><Relationship Id="rId3" Type="http://schemas.openxmlformats.org/officeDocument/2006/relationships/styles" Target="styles.xml"/><Relationship Id="rId7" Type="http://schemas.openxmlformats.org/officeDocument/2006/relationships/hyperlink" Target="https://www.college.police.uk/app/operations/command-and-control/command-structures" TargetMode="External"/><Relationship Id="rId12" Type="http://schemas.openxmlformats.org/officeDocument/2006/relationships/hyperlink" Target="https://doi.org/10.1111/j.1745-9133.2007.00423.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ollege.police.uk/app/operations/operational-planning/core-planning-principles" TargetMode="External"/><Relationship Id="rId11" Type="http://schemas.openxmlformats.org/officeDocument/2006/relationships/hyperlink" Target="https://eprints.leedsbeckett.ac.uk/id/eprint/7450/1/ManchesterArenaBombingsMainLessonsThatHaveBeenLearntPV-LOWE.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jesip.org.uk/webapp/major.html" TargetMode="External"/><Relationship Id="rId4" Type="http://schemas.openxmlformats.org/officeDocument/2006/relationships/settings" Target="settings.xml"/><Relationship Id="rId9" Type="http://schemas.openxmlformats.org/officeDocument/2006/relationships/hyperlink" Target="https://www.jesip.org.uk/about-jesi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02C48A-DDD7-483A-A17A-EF3B87ED3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1257</TotalTime>
  <Pages>16</Pages>
  <Words>5600</Words>
  <Characters>31920</Characters>
  <Application>Microsoft Office Word</Application>
  <DocSecurity>0</DocSecurity>
  <Lines>266</Lines>
  <Paragraphs>74</Paragraphs>
  <ScaleCrop>false</ScaleCrop>
  <Company>South Wales Police</Company>
  <LinksUpToDate>false</LinksUpToDate>
  <CharactersWithSpaces>37446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Rees,Alexander swp8395</dc:creator>
  <cp:keywords/>
  <dc:description/>
  <cp:lastModifiedBy>Rees,Alexander swp8395</cp:lastModifiedBy>
  <cp:revision>277</cp:revision>
  <dcterms:created xsi:type="dcterms:W3CDTF">2024-05-14T14:53:00Z</dcterms:created>
  <dcterms:modified xsi:type="dcterms:W3CDTF">2024-06-03T18:30:00Z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2024-05-14T15:34:23Z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543a2a9c-9ed9-424b-9c94-93a406ba63f8</vt:lpwstr>
  </property>
  <property fmtid="{D5CDD505-2E9C-101B-9397-08002B2CF9AE}" pid="8" name="MSIP_Label_66cf8fe5-b7b7-4df7-b38d-1c61ac2f6639_ContentBits">
    <vt:lpwstr>0</vt:lpwstr>
  </property>
</Properties>
</file>