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D9766" w14:textId="77777777" w:rsidR="008D479A" w:rsidRDefault="008D479A" w:rsidP="008D479A">
      <w:pPr>
        <w:spacing w:after="0" w:line="360" w:lineRule="auto"/>
        <w:contextualSpacing/>
        <w:jc w:val="center"/>
        <w:rPr>
          <w:rFonts w:ascii="Times New Roman" w:hAnsi="Times New Roman" w:cs="Times New Roman"/>
          <w:b/>
          <w:bCs/>
          <w:color w:val="000000" w:themeColor="text1"/>
          <w:sz w:val="44"/>
          <w:szCs w:val="44"/>
        </w:rPr>
      </w:pPr>
    </w:p>
    <w:p w14:paraId="6C454B07" w14:textId="77777777" w:rsidR="008D479A" w:rsidRDefault="008D479A" w:rsidP="008D479A">
      <w:pPr>
        <w:spacing w:after="0" w:line="360" w:lineRule="auto"/>
        <w:contextualSpacing/>
        <w:jc w:val="center"/>
        <w:rPr>
          <w:rFonts w:ascii="Times New Roman" w:hAnsi="Times New Roman" w:cs="Times New Roman"/>
          <w:b/>
          <w:bCs/>
          <w:color w:val="000000" w:themeColor="text1"/>
          <w:sz w:val="44"/>
          <w:szCs w:val="44"/>
        </w:rPr>
      </w:pPr>
    </w:p>
    <w:p w14:paraId="241D9835" w14:textId="77777777" w:rsidR="008D479A" w:rsidRDefault="008D479A" w:rsidP="008D479A">
      <w:pPr>
        <w:spacing w:after="0" w:line="360" w:lineRule="auto"/>
        <w:contextualSpacing/>
        <w:jc w:val="center"/>
        <w:rPr>
          <w:rFonts w:ascii="Times New Roman" w:hAnsi="Times New Roman" w:cs="Times New Roman"/>
          <w:b/>
          <w:bCs/>
          <w:color w:val="000000" w:themeColor="text1"/>
          <w:sz w:val="44"/>
          <w:szCs w:val="44"/>
        </w:rPr>
      </w:pPr>
    </w:p>
    <w:p w14:paraId="22CD318F" w14:textId="77777777" w:rsidR="008D479A" w:rsidRDefault="008D479A" w:rsidP="008D479A">
      <w:pPr>
        <w:spacing w:after="0" w:line="360" w:lineRule="auto"/>
        <w:contextualSpacing/>
        <w:jc w:val="center"/>
        <w:rPr>
          <w:rFonts w:ascii="Times New Roman" w:hAnsi="Times New Roman" w:cs="Times New Roman"/>
          <w:b/>
          <w:bCs/>
          <w:color w:val="000000" w:themeColor="text1"/>
          <w:sz w:val="44"/>
          <w:szCs w:val="44"/>
        </w:rPr>
      </w:pPr>
    </w:p>
    <w:p w14:paraId="5CE3904E" w14:textId="77777777" w:rsidR="00FB1DEC" w:rsidRDefault="00FB1DEC" w:rsidP="008D479A">
      <w:pPr>
        <w:spacing w:after="0" w:line="360" w:lineRule="auto"/>
        <w:contextualSpacing/>
        <w:jc w:val="center"/>
        <w:rPr>
          <w:rFonts w:ascii="Times New Roman" w:hAnsi="Times New Roman" w:cs="Times New Roman"/>
          <w:b/>
          <w:bCs/>
          <w:color w:val="000000" w:themeColor="text1"/>
          <w:sz w:val="44"/>
          <w:szCs w:val="44"/>
        </w:rPr>
      </w:pPr>
    </w:p>
    <w:p w14:paraId="6915E1B9" w14:textId="77777777" w:rsidR="008D479A" w:rsidRDefault="008D479A" w:rsidP="008D479A">
      <w:pPr>
        <w:spacing w:after="0" w:line="360" w:lineRule="auto"/>
        <w:contextualSpacing/>
        <w:jc w:val="center"/>
        <w:rPr>
          <w:rFonts w:ascii="Times New Roman" w:hAnsi="Times New Roman" w:cs="Times New Roman"/>
          <w:b/>
          <w:bCs/>
          <w:color w:val="000000" w:themeColor="text1"/>
          <w:sz w:val="44"/>
          <w:szCs w:val="44"/>
        </w:rPr>
      </w:pPr>
    </w:p>
    <w:p w14:paraId="3C904B35" w14:textId="0781542C" w:rsidR="008427B0" w:rsidRPr="008B276E" w:rsidRDefault="008427B0" w:rsidP="008D479A">
      <w:pPr>
        <w:spacing w:after="0" w:line="360" w:lineRule="auto"/>
        <w:contextualSpacing/>
        <w:jc w:val="center"/>
        <w:rPr>
          <w:rFonts w:ascii="Times New Roman" w:hAnsi="Times New Roman" w:cs="Times New Roman"/>
          <w:b/>
          <w:bCs/>
          <w:color w:val="000000" w:themeColor="text1"/>
          <w:sz w:val="44"/>
          <w:szCs w:val="44"/>
        </w:rPr>
      </w:pPr>
      <w:r w:rsidRPr="008B276E">
        <w:rPr>
          <w:rFonts w:ascii="Times New Roman" w:hAnsi="Times New Roman" w:cs="Times New Roman"/>
          <w:b/>
          <w:bCs/>
          <w:color w:val="000000" w:themeColor="text1"/>
          <w:sz w:val="44"/>
          <w:szCs w:val="44"/>
        </w:rPr>
        <w:t>Assessment Component 1 BMHP5015</w:t>
      </w:r>
    </w:p>
    <w:p w14:paraId="06A2102A" w14:textId="72617AB8" w:rsidR="008427B0" w:rsidRPr="008B276E" w:rsidRDefault="008427B0" w:rsidP="008D479A">
      <w:pPr>
        <w:spacing w:after="0" w:line="360" w:lineRule="auto"/>
        <w:contextualSpacing/>
        <w:jc w:val="center"/>
        <w:rPr>
          <w:rFonts w:ascii="Times New Roman" w:hAnsi="Times New Roman" w:cs="Times New Roman"/>
          <w:b/>
          <w:bCs/>
          <w:color w:val="000000" w:themeColor="text1"/>
          <w:sz w:val="44"/>
          <w:szCs w:val="44"/>
          <w:lang w:val="en-GB"/>
        </w:rPr>
      </w:pPr>
      <w:r w:rsidRPr="008B276E">
        <w:rPr>
          <w:rFonts w:ascii="Times New Roman" w:hAnsi="Times New Roman" w:cs="Times New Roman"/>
          <w:b/>
          <w:bCs/>
          <w:color w:val="000000" w:themeColor="text1"/>
          <w:sz w:val="44"/>
          <w:szCs w:val="44"/>
          <w:lang w:val="en-GB"/>
        </w:rPr>
        <w:t>Changemakers: Building your Personal Brand for Sustainable Employment</w:t>
      </w:r>
    </w:p>
    <w:p w14:paraId="20ADCA86" w14:textId="50AFEF77" w:rsidR="008427B0" w:rsidRPr="008B276E" w:rsidRDefault="008427B0" w:rsidP="008D479A">
      <w:pPr>
        <w:spacing w:after="0" w:line="360" w:lineRule="auto"/>
        <w:contextualSpacing/>
        <w:jc w:val="center"/>
        <w:rPr>
          <w:rFonts w:ascii="Times New Roman" w:hAnsi="Times New Roman" w:cs="Times New Roman"/>
          <w:b/>
          <w:bCs/>
          <w:color w:val="000000" w:themeColor="text1"/>
          <w:sz w:val="44"/>
          <w:szCs w:val="44"/>
          <w:lang w:val="en-GB"/>
        </w:rPr>
      </w:pPr>
      <w:r w:rsidRPr="008B276E">
        <w:rPr>
          <w:rFonts w:ascii="Times New Roman" w:hAnsi="Times New Roman" w:cs="Times New Roman"/>
          <w:b/>
          <w:bCs/>
          <w:color w:val="000000" w:themeColor="text1"/>
          <w:sz w:val="44"/>
          <w:szCs w:val="44"/>
          <w:lang w:val="en-GB"/>
        </w:rPr>
        <w:t xml:space="preserve">Name </w:t>
      </w:r>
      <w:r w:rsidR="00F417C8">
        <w:rPr>
          <w:rFonts w:ascii="Times New Roman" w:hAnsi="Times New Roman" w:cs="Times New Roman"/>
          <w:b/>
          <w:bCs/>
          <w:color w:val="000000" w:themeColor="text1"/>
          <w:sz w:val="44"/>
          <w:szCs w:val="44"/>
          <w:lang w:val="en-GB"/>
        </w:rPr>
        <w:t xml:space="preserve">Belinda </w:t>
      </w:r>
      <w:proofErr w:type="spellStart"/>
      <w:r w:rsidR="00F417C8">
        <w:rPr>
          <w:rFonts w:ascii="Times New Roman" w:hAnsi="Times New Roman" w:cs="Times New Roman"/>
          <w:b/>
          <w:bCs/>
          <w:color w:val="000000" w:themeColor="text1"/>
          <w:sz w:val="44"/>
          <w:szCs w:val="44"/>
          <w:lang w:val="en-GB"/>
        </w:rPr>
        <w:t>matembe</w:t>
      </w:r>
      <w:proofErr w:type="spellEnd"/>
      <w:r w:rsidR="00F417C8">
        <w:rPr>
          <w:rFonts w:ascii="Times New Roman" w:hAnsi="Times New Roman" w:cs="Times New Roman"/>
          <w:b/>
          <w:bCs/>
          <w:color w:val="000000" w:themeColor="text1"/>
          <w:sz w:val="44"/>
          <w:szCs w:val="44"/>
          <w:lang w:val="en-GB"/>
        </w:rPr>
        <w:t xml:space="preserve"> </w:t>
      </w:r>
    </w:p>
    <w:p w14:paraId="1920EDBC" w14:textId="233198AD" w:rsidR="008427B0" w:rsidRPr="008B276E" w:rsidRDefault="00F417C8" w:rsidP="008D479A">
      <w:pPr>
        <w:spacing w:after="0" w:line="360" w:lineRule="auto"/>
        <w:contextualSpacing/>
        <w:jc w:val="center"/>
        <w:rPr>
          <w:rFonts w:ascii="Times New Roman" w:hAnsi="Times New Roman" w:cs="Times New Roman"/>
          <w:b/>
          <w:bCs/>
          <w:color w:val="000000" w:themeColor="text1"/>
          <w:sz w:val="44"/>
          <w:szCs w:val="44"/>
          <w:lang w:val="en-GB"/>
        </w:rPr>
      </w:pPr>
      <w:proofErr w:type="spellStart"/>
      <w:r>
        <w:rPr>
          <w:rFonts w:ascii="Times New Roman" w:hAnsi="Times New Roman" w:cs="Times New Roman"/>
          <w:b/>
          <w:bCs/>
          <w:color w:val="000000" w:themeColor="text1"/>
          <w:sz w:val="44"/>
          <w:szCs w:val="44"/>
          <w:lang w:val="en-GB"/>
        </w:rPr>
        <w:t>Studend</w:t>
      </w:r>
      <w:proofErr w:type="spellEnd"/>
      <w:r>
        <w:rPr>
          <w:rFonts w:ascii="Times New Roman" w:hAnsi="Times New Roman" w:cs="Times New Roman"/>
          <w:b/>
          <w:bCs/>
          <w:color w:val="000000" w:themeColor="text1"/>
          <w:sz w:val="44"/>
          <w:szCs w:val="44"/>
          <w:lang w:val="en-GB"/>
        </w:rPr>
        <w:t xml:space="preserve"> Number </w:t>
      </w:r>
      <w:r w:rsidR="00A842C6">
        <w:rPr>
          <w:rFonts w:ascii="Times New Roman" w:hAnsi="Times New Roman" w:cs="Times New Roman"/>
          <w:b/>
          <w:bCs/>
          <w:color w:val="000000" w:themeColor="text1"/>
          <w:sz w:val="44"/>
          <w:szCs w:val="44"/>
          <w:lang w:val="en-GB"/>
        </w:rPr>
        <w:t>2313066</w:t>
      </w:r>
    </w:p>
    <w:p w14:paraId="06B9C0C1" w14:textId="40BFE015" w:rsidR="008427B0" w:rsidRDefault="00A842C6" w:rsidP="008D479A">
      <w:pPr>
        <w:spacing w:after="0" w:line="360" w:lineRule="auto"/>
        <w:contextualSpacing/>
        <w:jc w:val="center"/>
        <w:rPr>
          <w:rFonts w:ascii="Times New Roman" w:hAnsi="Times New Roman" w:cs="Times New Roman"/>
          <w:b/>
          <w:bCs/>
          <w:color w:val="000000" w:themeColor="text1"/>
          <w:sz w:val="44"/>
          <w:szCs w:val="44"/>
          <w:lang w:val="en-GB"/>
        </w:rPr>
      </w:pPr>
      <w:r>
        <w:rPr>
          <w:rFonts w:ascii="Times New Roman" w:hAnsi="Times New Roman" w:cs="Times New Roman"/>
          <w:b/>
          <w:bCs/>
          <w:color w:val="000000" w:themeColor="text1"/>
          <w:sz w:val="44"/>
          <w:szCs w:val="44"/>
          <w:lang w:val="en-GB"/>
        </w:rPr>
        <w:t>Lecture Name Caroline Salami</w:t>
      </w:r>
    </w:p>
    <w:p w14:paraId="6BCCF2EC" w14:textId="4AB709CC" w:rsidR="00A842C6" w:rsidRPr="008B276E" w:rsidRDefault="00A842C6" w:rsidP="008D479A">
      <w:pPr>
        <w:spacing w:after="0" w:line="360" w:lineRule="auto"/>
        <w:contextualSpacing/>
        <w:jc w:val="center"/>
        <w:rPr>
          <w:rFonts w:ascii="Times New Roman" w:hAnsi="Times New Roman" w:cs="Times New Roman"/>
          <w:b/>
          <w:bCs/>
          <w:color w:val="000000" w:themeColor="text1"/>
          <w:sz w:val="44"/>
          <w:szCs w:val="44"/>
          <w:lang w:val="en-GB"/>
        </w:rPr>
      </w:pPr>
      <w:r>
        <w:rPr>
          <w:rFonts w:ascii="Times New Roman" w:hAnsi="Times New Roman" w:cs="Times New Roman"/>
          <w:b/>
          <w:bCs/>
          <w:color w:val="000000" w:themeColor="text1"/>
          <w:sz w:val="44"/>
          <w:szCs w:val="44"/>
          <w:lang w:val="en-GB"/>
        </w:rPr>
        <w:t>Fryday 05/12/2025</w:t>
      </w:r>
    </w:p>
    <w:p w14:paraId="52D9B904" w14:textId="77777777" w:rsidR="008427B0" w:rsidRPr="008B276E" w:rsidRDefault="008427B0" w:rsidP="008D479A">
      <w:pPr>
        <w:spacing w:after="0" w:line="360" w:lineRule="auto"/>
        <w:contextualSpacing/>
        <w:rPr>
          <w:rFonts w:ascii="Times New Roman" w:hAnsi="Times New Roman" w:cs="Times New Roman"/>
          <w:b/>
          <w:bCs/>
          <w:color w:val="000000" w:themeColor="text1"/>
          <w:sz w:val="24"/>
          <w:szCs w:val="24"/>
        </w:rPr>
      </w:pPr>
      <w:r w:rsidRPr="008B276E">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rPr>
        <w:id w:val="-793902251"/>
        <w:docPartObj>
          <w:docPartGallery w:val="Table of Contents"/>
          <w:docPartUnique/>
        </w:docPartObj>
      </w:sdtPr>
      <w:sdtEndPr>
        <w:rPr>
          <w:b/>
          <w:bCs/>
          <w:noProof/>
        </w:rPr>
      </w:sdtEndPr>
      <w:sdtContent>
        <w:p w14:paraId="762CC895" w14:textId="74687B89" w:rsidR="00B57BB4" w:rsidRPr="008B276E" w:rsidRDefault="0006009A" w:rsidP="008D479A">
          <w:pPr>
            <w:pStyle w:val="TOCHeading"/>
            <w:spacing w:before="0" w:line="360" w:lineRule="auto"/>
            <w:contextualSpacing/>
            <w:jc w:val="center"/>
            <w:rPr>
              <w:rFonts w:ascii="Times New Roman" w:hAnsi="Times New Roman" w:cs="Times New Roman"/>
              <w:b/>
              <w:bCs/>
              <w:color w:val="000000" w:themeColor="text1"/>
              <w:sz w:val="24"/>
              <w:szCs w:val="24"/>
            </w:rPr>
          </w:pPr>
          <w:r w:rsidRPr="008B276E">
            <w:rPr>
              <w:rFonts w:ascii="Times New Roman" w:hAnsi="Times New Roman" w:cs="Times New Roman"/>
              <w:b/>
              <w:bCs/>
              <w:color w:val="000000" w:themeColor="text1"/>
              <w:sz w:val="24"/>
              <w:szCs w:val="24"/>
            </w:rPr>
            <w:t>TABLE OF CONTENTS</w:t>
          </w:r>
        </w:p>
        <w:p w14:paraId="13EAC917" w14:textId="77777777" w:rsidR="00B57BB4" w:rsidRPr="008B276E" w:rsidRDefault="00B57BB4" w:rsidP="008D479A">
          <w:pPr>
            <w:spacing w:after="0" w:line="360" w:lineRule="auto"/>
            <w:contextualSpacing/>
            <w:rPr>
              <w:rFonts w:ascii="Times New Roman" w:hAnsi="Times New Roman" w:cs="Times New Roman"/>
              <w:color w:val="000000" w:themeColor="text1"/>
              <w:sz w:val="24"/>
              <w:szCs w:val="24"/>
            </w:rPr>
          </w:pPr>
        </w:p>
        <w:p w14:paraId="7DB198EC" w14:textId="2C3EEC5F"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r w:rsidRPr="008B276E">
            <w:rPr>
              <w:rFonts w:ascii="Times New Roman" w:hAnsi="Times New Roman" w:cs="Times New Roman"/>
              <w:color w:val="000000" w:themeColor="text1"/>
              <w:sz w:val="24"/>
              <w:szCs w:val="24"/>
            </w:rPr>
            <w:fldChar w:fldCharType="begin"/>
          </w:r>
          <w:r w:rsidRPr="008B276E">
            <w:rPr>
              <w:rFonts w:ascii="Times New Roman" w:hAnsi="Times New Roman" w:cs="Times New Roman"/>
              <w:color w:val="000000" w:themeColor="text1"/>
              <w:sz w:val="24"/>
              <w:szCs w:val="24"/>
            </w:rPr>
            <w:instrText xml:space="preserve"> TOC \o "1-3" \h \z \u </w:instrText>
          </w:r>
          <w:r w:rsidRPr="008B276E">
            <w:rPr>
              <w:rFonts w:ascii="Times New Roman" w:hAnsi="Times New Roman" w:cs="Times New Roman"/>
              <w:color w:val="000000" w:themeColor="text1"/>
              <w:sz w:val="24"/>
              <w:szCs w:val="24"/>
            </w:rPr>
            <w:fldChar w:fldCharType="separate"/>
          </w:r>
          <w:hyperlink w:anchor="_Toc213793898" w:history="1">
            <w:r w:rsidRPr="008B276E">
              <w:rPr>
                <w:rStyle w:val="Hyperlink"/>
                <w:rFonts w:ascii="Times New Roman" w:hAnsi="Times New Roman" w:cs="Times New Roman"/>
                <w:noProof/>
                <w:color w:val="000000" w:themeColor="text1"/>
                <w:sz w:val="24"/>
                <w:szCs w:val="24"/>
              </w:rPr>
              <w:t>Introduction</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_Toc213793898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3</w:t>
            </w:r>
            <w:r w:rsidRPr="008B276E">
              <w:rPr>
                <w:rFonts w:ascii="Times New Roman" w:hAnsi="Times New Roman" w:cs="Times New Roman"/>
                <w:noProof/>
                <w:webHidden/>
                <w:color w:val="000000" w:themeColor="text1"/>
                <w:sz w:val="24"/>
                <w:szCs w:val="24"/>
              </w:rPr>
              <w:fldChar w:fldCharType="end"/>
            </w:r>
          </w:hyperlink>
        </w:p>
        <w:p w14:paraId="21448C0C" w14:textId="3DFE2232"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13793899" w:history="1">
            <w:r w:rsidRPr="008B276E">
              <w:rPr>
                <w:rStyle w:val="Hyperlink"/>
                <w:rFonts w:ascii="Times New Roman" w:hAnsi="Times New Roman" w:cs="Times New Roman"/>
                <w:noProof/>
                <w:color w:val="000000" w:themeColor="text1"/>
                <w:sz w:val="24"/>
                <w:szCs w:val="24"/>
              </w:rPr>
              <w:t>Task 1 – Reflection on Unit 1: Brand You</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_Toc213793899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3</w:t>
            </w:r>
            <w:r w:rsidRPr="008B276E">
              <w:rPr>
                <w:rFonts w:ascii="Times New Roman" w:hAnsi="Times New Roman" w:cs="Times New Roman"/>
                <w:noProof/>
                <w:webHidden/>
                <w:color w:val="000000" w:themeColor="text1"/>
                <w:sz w:val="24"/>
                <w:szCs w:val="24"/>
              </w:rPr>
              <w:fldChar w:fldCharType="end"/>
            </w:r>
          </w:hyperlink>
        </w:p>
        <w:p w14:paraId="5DBD7B01" w14:textId="2103D7F3"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13793900" w:history="1">
            <w:r w:rsidRPr="008B276E">
              <w:rPr>
                <w:rStyle w:val="Hyperlink"/>
                <w:rFonts w:ascii="Times New Roman" w:hAnsi="Times New Roman" w:cs="Times New Roman"/>
                <w:noProof/>
                <w:color w:val="000000" w:themeColor="text1"/>
                <w:sz w:val="24"/>
                <w:szCs w:val="24"/>
              </w:rPr>
              <w:t>Task 2 – Reflection on Unit 2: It’s a Small World</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_Toc213793900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4</w:t>
            </w:r>
            <w:r w:rsidRPr="008B276E">
              <w:rPr>
                <w:rFonts w:ascii="Times New Roman" w:hAnsi="Times New Roman" w:cs="Times New Roman"/>
                <w:noProof/>
                <w:webHidden/>
                <w:color w:val="000000" w:themeColor="text1"/>
                <w:sz w:val="24"/>
                <w:szCs w:val="24"/>
              </w:rPr>
              <w:fldChar w:fldCharType="end"/>
            </w:r>
          </w:hyperlink>
        </w:p>
        <w:p w14:paraId="4924BC9D" w14:textId="748EED6F"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13793901" w:history="1">
            <w:r w:rsidRPr="008B276E">
              <w:rPr>
                <w:rStyle w:val="Hyperlink"/>
                <w:rFonts w:ascii="Times New Roman" w:hAnsi="Times New Roman" w:cs="Times New Roman"/>
                <w:noProof/>
                <w:color w:val="000000" w:themeColor="text1"/>
                <w:sz w:val="24"/>
                <w:szCs w:val="24"/>
              </w:rPr>
              <w:t>Task 3 – Reflection on Unit 3: Opportunity Knocks</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_Toc213793901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5</w:t>
            </w:r>
            <w:r w:rsidRPr="008B276E">
              <w:rPr>
                <w:rFonts w:ascii="Times New Roman" w:hAnsi="Times New Roman" w:cs="Times New Roman"/>
                <w:noProof/>
                <w:webHidden/>
                <w:color w:val="000000" w:themeColor="text1"/>
                <w:sz w:val="24"/>
                <w:szCs w:val="24"/>
              </w:rPr>
              <w:fldChar w:fldCharType="end"/>
            </w:r>
          </w:hyperlink>
        </w:p>
        <w:p w14:paraId="2164B86A" w14:textId="3419DEB5"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13793902" w:history="1">
            <w:r w:rsidRPr="008B276E">
              <w:rPr>
                <w:rStyle w:val="Hyperlink"/>
                <w:rFonts w:ascii="Times New Roman" w:hAnsi="Times New Roman" w:cs="Times New Roman"/>
                <w:noProof/>
                <w:color w:val="000000" w:themeColor="text1"/>
                <w:sz w:val="24"/>
                <w:szCs w:val="24"/>
              </w:rPr>
              <w:t>Task 4 – Reflection on Unit 4: The Pursuit of Happiness</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_Toc213793902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7</w:t>
            </w:r>
            <w:r w:rsidRPr="008B276E">
              <w:rPr>
                <w:rFonts w:ascii="Times New Roman" w:hAnsi="Times New Roman" w:cs="Times New Roman"/>
                <w:noProof/>
                <w:webHidden/>
                <w:color w:val="000000" w:themeColor="text1"/>
                <w:sz w:val="24"/>
                <w:szCs w:val="24"/>
              </w:rPr>
              <w:fldChar w:fldCharType="end"/>
            </w:r>
          </w:hyperlink>
        </w:p>
        <w:p w14:paraId="30038B22" w14:textId="0BD43062"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13793903" w:history="1">
            <w:r w:rsidRPr="008B276E">
              <w:rPr>
                <w:rStyle w:val="Hyperlink"/>
                <w:rFonts w:ascii="Times New Roman" w:hAnsi="Times New Roman" w:cs="Times New Roman"/>
                <w:noProof/>
                <w:color w:val="000000" w:themeColor="text1"/>
                <w:sz w:val="24"/>
                <w:szCs w:val="24"/>
              </w:rPr>
              <w:t>Conclusion</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_Toc213793903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8</w:t>
            </w:r>
            <w:r w:rsidRPr="008B276E">
              <w:rPr>
                <w:rFonts w:ascii="Times New Roman" w:hAnsi="Times New Roman" w:cs="Times New Roman"/>
                <w:noProof/>
                <w:webHidden/>
                <w:color w:val="000000" w:themeColor="text1"/>
                <w:sz w:val="24"/>
                <w:szCs w:val="24"/>
              </w:rPr>
              <w:fldChar w:fldCharType="end"/>
            </w:r>
          </w:hyperlink>
        </w:p>
        <w:p w14:paraId="12FD5BEA" w14:textId="4833FB9D" w:rsidR="00B57BB4" w:rsidRPr="008B276E" w:rsidRDefault="00B57BB4" w:rsidP="008D479A">
          <w:pPr>
            <w:pStyle w:val="TOC1"/>
            <w:tabs>
              <w:tab w:val="right" w:leader="dot" w:pos="9350"/>
            </w:tabs>
            <w:spacing w:after="0" w:line="360" w:lineRule="auto"/>
            <w:contextualSpacing/>
            <w:rPr>
              <w:rFonts w:ascii="Times New Roman" w:hAnsi="Times New Roman" w:cs="Times New Roman"/>
              <w:noProof/>
              <w:color w:val="000000" w:themeColor="text1"/>
              <w:sz w:val="24"/>
              <w:szCs w:val="24"/>
            </w:rPr>
          </w:pPr>
          <w:hyperlink w:anchor="_Toc213793904" w:history="1">
            <w:r w:rsidRPr="008B276E">
              <w:rPr>
                <w:rStyle w:val="Hyperlink"/>
                <w:rFonts w:ascii="Times New Roman" w:hAnsi="Times New Roman" w:cs="Times New Roman"/>
                <w:noProof/>
                <w:color w:val="000000" w:themeColor="text1"/>
                <w:sz w:val="24"/>
                <w:szCs w:val="24"/>
              </w:rPr>
              <w:t>REFERENCES</w:t>
            </w:r>
            <w:r w:rsidRPr="008B276E">
              <w:rPr>
                <w:rFonts w:ascii="Times New Roman" w:hAnsi="Times New Roman" w:cs="Times New Roman"/>
                <w:noProof/>
                <w:webHidden/>
                <w:color w:val="000000" w:themeColor="text1"/>
                <w:sz w:val="24"/>
                <w:szCs w:val="24"/>
              </w:rPr>
              <w:tab/>
            </w:r>
            <w:r w:rsidRPr="008B276E">
              <w:rPr>
                <w:rFonts w:ascii="Times New Roman" w:hAnsi="Times New Roman" w:cs="Times New Roman"/>
                <w:noProof/>
                <w:webHidden/>
                <w:color w:val="000000" w:themeColor="text1"/>
                <w:sz w:val="24"/>
                <w:szCs w:val="24"/>
              </w:rPr>
              <w:fldChar w:fldCharType="begin"/>
            </w:r>
            <w:r w:rsidRPr="008B276E">
              <w:rPr>
                <w:rFonts w:ascii="Times New Roman" w:hAnsi="Times New Roman" w:cs="Times New Roman"/>
                <w:noProof/>
                <w:webHidden/>
                <w:color w:val="000000" w:themeColor="text1"/>
                <w:sz w:val="24"/>
                <w:szCs w:val="24"/>
              </w:rPr>
              <w:instrText xml:space="preserve"> PAGEREF _Toc213793904 \h </w:instrText>
            </w:r>
            <w:r w:rsidRPr="008B276E">
              <w:rPr>
                <w:rFonts w:ascii="Times New Roman" w:hAnsi="Times New Roman" w:cs="Times New Roman"/>
                <w:noProof/>
                <w:webHidden/>
                <w:color w:val="000000" w:themeColor="text1"/>
                <w:sz w:val="24"/>
                <w:szCs w:val="24"/>
              </w:rPr>
            </w:r>
            <w:r w:rsidRPr="008B276E">
              <w:rPr>
                <w:rFonts w:ascii="Times New Roman" w:hAnsi="Times New Roman" w:cs="Times New Roman"/>
                <w:noProof/>
                <w:webHidden/>
                <w:color w:val="000000" w:themeColor="text1"/>
                <w:sz w:val="24"/>
                <w:szCs w:val="24"/>
              </w:rPr>
              <w:fldChar w:fldCharType="separate"/>
            </w:r>
            <w:r w:rsidR="008D479A" w:rsidRPr="008B276E">
              <w:rPr>
                <w:rFonts w:ascii="Times New Roman" w:hAnsi="Times New Roman" w:cs="Times New Roman"/>
                <w:noProof/>
                <w:webHidden/>
                <w:color w:val="000000" w:themeColor="text1"/>
                <w:sz w:val="24"/>
                <w:szCs w:val="24"/>
              </w:rPr>
              <w:t>9</w:t>
            </w:r>
            <w:r w:rsidRPr="008B276E">
              <w:rPr>
                <w:rFonts w:ascii="Times New Roman" w:hAnsi="Times New Roman" w:cs="Times New Roman"/>
                <w:noProof/>
                <w:webHidden/>
                <w:color w:val="000000" w:themeColor="text1"/>
                <w:sz w:val="24"/>
                <w:szCs w:val="24"/>
              </w:rPr>
              <w:fldChar w:fldCharType="end"/>
            </w:r>
          </w:hyperlink>
        </w:p>
        <w:p w14:paraId="2F17F058" w14:textId="6B16F163" w:rsidR="00B57BB4" w:rsidRPr="008B276E" w:rsidRDefault="00B57BB4" w:rsidP="008D479A">
          <w:pPr>
            <w:spacing w:after="0" w:line="360" w:lineRule="auto"/>
            <w:contextualSpacing/>
            <w:rPr>
              <w:rFonts w:ascii="Times New Roman" w:hAnsi="Times New Roman" w:cs="Times New Roman"/>
              <w:color w:val="000000" w:themeColor="text1"/>
              <w:sz w:val="24"/>
              <w:szCs w:val="24"/>
            </w:rPr>
          </w:pPr>
          <w:r w:rsidRPr="008B276E">
            <w:rPr>
              <w:rFonts w:ascii="Times New Roman" w:hAnsi="Times New Roman" w:cs="Times New Roman"/>
              <w:b/>
              <w:bCs/>
              <w:noProof/>
              <w:color w:val="000000" w:themeColor="text1"/>
              <w:sz w:val="24"/>
              <w:szCs w:val="24"/>
            </w:rPr>
            <w:fldChar w:fldCharType="end"/>
          </w:r>
        </w:p>
      </w:sdtContent>
    </w:sdt>
    <w:p w14:paraId="7B809E37" w14:textId="7A4461AF" w:rsidR="008B2B0C" w:rsidRDefault="00FB1DEC" w:rsidP="008D479A">
      <w:pPr>
        <w:spacing w:after="0" w:line="360" w:lineRule="auto"/>
        <w:contextualSpacing/>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mc:AlternateContent>
          <mc:Choice Requires="wps">
            <w:drawing>
              <wp:anchor distT="0" distB="0" distL="114300" distR="114300" simplePos="0" relativeHeight="251659264" behindDoc="0" locked="0" layoutInCell="1" allowOverlap="1" wp14:anchorId="2C647BE0" wp14:editId="3D4B2ED6">
                <wp:simplePos x="0" y="0"/>
                <wp:positionH relativeFrom="column">
                  <wp:posOffset>5053263</wp:posOffset>
                </wp:positionH>
                <wp:positionV relativeFrom="paragraph">
                  <wp:posOffset>66174</wp:posOffset>
                </wp:positionV>
                <wp:extent cx="962526" cy="794084"/>
                <wp:effectExtent l="0" t="0" r="15875" b="19050"/>
                <wp:wrapNone/>
                <wp:docPr id="924725763" name="Snip and Round Single Corner of Rectangle 1"/>
                <wp:cNvGraphicFramePr/>
                <a:graphic xmlns:a="http://schemas.openxmlformats.org/drawingml/2006/main">
                  <a:graphicData uri="http://schemas.microsoft.com/office/word/2010/wordprocessingShape">
                    <wps:wsp>
                      <wps:cNvSpPr/>
                      <wps:spPr>
                        <a:xfrm>
                          <a:off x="0" y="0"/>
                          <a:ext cx="962526" cy="794084"/>
                        </a:xfrm>
                        <a:prstGeom prst="snip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A380A5" w14:textId="4C526775" w:rsidR="00FB1DEC" w:rsidRPr="00FB1DEC" w:rsidRDefault="00FB1DEC" w:rsidP="00FB1DEC">
                            <w:pPr>
                              <w:jc w:val="center"/>
                              <w:rPr>
                                <w:lang w:val="en-GB"/>
                              </w:rPr>
                            </w:pPr>
                            <w:r>
                              <w:rPr>
                                <w:lang w:val="en-GB"/>
                              </w:rPr>
                              <w:t>Class activities in Moodle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47BE0" id="Snip and Round Single Corner of Rectangle 1" o:spid="_x0000_s1026" style="position:absolute;margin-left:397.9pt;margin-top:5.2pt;width:75.8pt;height:6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62526,794084"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" adj="-11796480,,5400" path="m132350,l830176,,962526,132350r,661734l,794084,,132350c,59255,59255,,132350,xe" fillcolor="#4472c4 [3204]" strokecolor="#09101d [484]" strokeweight="1pt">
                <v:stroke joinstyle="miter"/>
                <v:formulas/>
                <v:path arrowok="t" o:connecttype="custom" o:connectlocs="132350,0;830176,0;962526,132350;962526,794084;0,794084;0,132350;132350,0" o:connectangles="0,0,0,0,0,0,0" textboxrect="0,0,962526,794084"/>
                <v:textbox>
                  <w:txbxContent>
                    <w:p w14:paraId="33A380A5" w14:textId="4C526775" w:rsidR="00FB1DEC" w:rsidRPr="00FB1DEC" w:rsidRDefault="00FB1DEC" w:rsidP="00FB1DEC">
                      <w:pPr>
                        <w:jc w:val="center"/>
                        <w:rPr>
                          <w:lang w:val="en-GB"/>
                        </w:rPr>
                      </w:pPr>
                      <w:r>
                        <w:rPr>
                          <w:lang w:val="en-GB"/>
                        </w:rPr>
                        <w:t>Class activities in Moodle</w:t>
                      </w:r>
                    </w:p>
                  </w:txbxContent>
                </v:textbox>
              </v:shape>
            </w:pict>
          </mc:Fallback>
        </mc:AlternateContent>
      </w:r>
      <w:r w:rsidR="0022556A" w:rsidRPr="0022556A">
        <w:rPr>
          <w:rFonts w:ascii="Times New Roman" w:hAnsi="Times New Roman" w:cs="Times New Roman"/>
          <w:b/>
          <w:bCs/>
          <w:color w:val="000000" w:themeColor="text1"/>
          <w:sz w:val="24"/>
          <w:szCs w:val="24"/>
        </w:rPr>
        <w:drawing>
          <wp:inline distT="0" distB="0" distL="0" distR="0" wp14:anchorId="02C05C87" wp14:editId="0D067D7D">
            <wp:extent cx="1354908" cy="2887579"/>
            <wp:effectExtent l="0" t="0" r="4445" b="0"/>
            <wp:docPr id="1316289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289739" name=""/>
                    <pic:cNvPicPr/>
                  </pic:nvPicPr>
                  <pic:blipFill>
                    <a:blip r:embed="rId7"/>
                    <a:stretch>
                      <a:fillRect/>
                    </a:stretch>
                  </pic:blipFill>
                  <pic:spPr>
                    <a:xfrm>
                      <a:off x="0" y="0"/>
                      <a:ext cx="1500249" cy="3197329"/>
                    </a:xfrm>
                    <a:prstGeom prst="rect">
                      <a:avLst/>
                    </a:prstGeom>
                  </pic:spPr>
                </pic:pic>
              </a:graphicData>
            </a:graphic>
          </wp:inline>
        </w:drawing>
      </w:r>
      <w:r w:rsidR="00475DB7" w:rsidRPr="00475DB7">
        <w:rPr>
          <w:rFonts w:ascii="Times New Roman" w:hAnsi="Times New Roman" w:cs="Times New Roman"/>
          <w:b/>
          <w:bCs/>
          <w:color w:val="000000" w:themeColor="text1"/>
          <w:sz w:val="24"/>
          <w:szCs w:val="24"/>
        </w:rPr>
        <w:drawing>
          <wp:inline distT="0" distB="0" distL="0" distR="0" wp14:anchorId="6DD8CC28" wp14:editId="2896BA8F">
            <wp:extent cx="1227222" cy="2734372"/>
            <wp:effectExtent l="0" t="0" r="5080" b="0"/>
            <wp:docPr id="1089716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16921" name=""/>
                    <pic:cNvPicPr/>
                  </pic:nvPicPr>
                  <pic:blipFill>
                    <a:blip r:embed="rId8"/>
                    <a:stretch>
                      <a:fillRect/>
                    </a:stretch>
                  </pic:blipFill>
                  <pic:spPr>
                    <a:xfrm>
                      <a:off x="0" y="0"/>
                      <a:ext cx="1315604" cy="2931296"/>
                    </a:xfrm>
                    <a:prstGeom prst="rect">
                      <a:avLst/>
                    </a:prstGeom>
                  </pic:spPr>
                </pic:pic>
              </a:graphicData>
            </a:graphic>
          </wp:inline>
        </w:drawing>
      </w:r>
      <w:r w:rsidR="00475DB7" w:rsidRPr="00475DB7">
        <w:rPr>
          <w:rFonts w:ascii="Times New Roman" w:hAnsi="Times New Roman" w:cs="Times New Roman"/>
          <w:b/>
          <w:bCs/>
          <w:color w:val="000000" w:themeColor="text1"/>
          <w:sz w:val="24"/>
          <w:szCs w:val="24"/>
        </w:rPr>
        <w:drawing>
          <wp:inline distT="0" distB="0" distL="0" distR="0" wp14:anchorId="36D7AB50" wp14:editId="5CAB188E">
            <wp:extent cx="1253603" cy="2534653"/>
            <wp:effectExtent l="0" t="0" r="3810" b="5715"/>
            <wp:docPr id="1317033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33246" name=""/>
                    <pic:cNvPicPr/>
                  </pic:nvPicPr>
                  <pic:blipFill>
                    <a:blip r:embed="rId8"/>
                    <a:stretch>
                      <a:fillRect/>
                    </a:stretch>
                  </pic:blipFill>
                  <pic:spPr>
                    <a:xfrm>
                      <a:off x="0" y="0"/>
                      <a:ext cx="1341802" cy="2712982"/>
                    </a:xfrm>
                    <a:prstGeom prst="rect">
                      <a:avLst/>
                    </a:prstGeom>
                  </pic:spPr>
                </pic:pic>
              </a:graphicData>
            </a:graphic>
          </wp:inline>
        </w:drawing>
      </w:r>
      <w:r w:rsidR="008B2B0C" w:rsidRPr="008B2B0C">
        <w:rPr>
          <w:rFonts w:ascii="Times New Roman" w:hAnsi="Times New Roman" w:cs="Times New Roman"/>
          <w:b/>
          <w:bCs/>
          <w:color w:val="000000" w:themeColor="text1"/>
          <w:sz w:val="24"/>
          <w:szCs w:val="24"/>
        </w:rPr>
        <w:drawing>
          <wp:inline distT="0" distB="0" distL="0" distR="0" wp14:anchorId="7F63EEB1" wp14:editId="7190CB1D">
            <wp:extent cx="1330960" cy="2310064"/>
            <wp:effectExtent l="0" t="0" r="2540" b="1905"/>
            <wp:docPr id="15529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403" name=""/>
                    <pic:cNvPicPr/>
                  </pic:nvPicPr>
                  <pic:blipFill>
                    <a:blip r:embed="rId9"/>
                    <a:stretch>
                      <a:fillRect/>
                    </a:stretch>
                  </pic:blipFill>
                  <pic:spPr>
                    <a:xfrm>
                      <a:off x="0" y="0"/>
                      <a:ext cx="1476103" cy="2561980"/>
                    </a:xfrm>
                    <a:prstGeom prst="rect">
                      <a:avLst/>
                    </a:prstGeom>
                  </pic:spPr>
                </pic:pic>
              </a:graphicData>
            </a:graphic>
          </wp:inline>
        </w:drawing>
      </w:r>
      <w:r w:rsidR="008B2B0C" w:rsidRPr="008B2B0C">
        <w:rPr>
          <w:rFonts w:ascii="Times New Roman" w:hAnsi="Times New Roman" w:cs="Times New Roman"/>
          <w:b/>
          <w:bCs/>
          <w:color w:val="000000" w:themeColor="text1"/>
          <w:sz w:val="24"/>
          <w:szCs w:val="24"/>
        </w:rPr>
        <w:drawing>
          <wp:inline distT="0" distB="0" distL="0" distR="0" wp14:anchorId="04C5D806" wp14:editId="427558AF">
            <wp:extent cx="1724526" cy="2309175"/>
            <wp:effectExtent l="0" t="0" r="3175" b="2540"/>
            <wp:docPr id="147966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6622" name=""/>
                    <pic:cNvPicPr/>
                  </pic:nvPicPr>
                  <pic:blipFill>
                    <a:blip r:embed="rId10"/>
                    <a:stretch>
                      <a:fillRect/>
                    </a:stretch>
                  </pic:blipFill>
                  <pic:spPr>
                    <a:xfrm>
                      <a:off x="0" y="0"/>
                      <a:ext cx="1855077" cy="2483985"/>
                    </a:xfrm>
                    <a:prstGeom prst="rect">
                      <a:avLst/>
                    </a:prstGeom>
                  </pic:spPr>
                </pic:pic>
              </a:graphicData>
            </a:graphic>
          </wp:inline>
        </w:drawing>
      </w:r>
    </w:p>
    <w:p w14:paraId="65096E9E" w14:textId="77777777" w:rsidR="008B2B0C" w:rsidRDefault="008B2B0C" w:rsidP="008D479A">
      <w:pPr>
        <w:spacing w:after="0" w:line="360" w:lineRule="auto"/>
        <w:contextualSpacing/>
        <w:rPr>
          <w:rFonts w:ascii="Times New Roman" w:hAnsi="Times New Roman" w:cs="Times New Roman"/>
          <w:b/>
          <w:bCs/>
          <w:color w:val="000000" w:themeColor="text1"/>
          <w:sz w:val="24"/>
          <w:szCs w:val="24"/>
        </w:rPr>
      </w:pPr>
    </w:p>
    <w:p w14:paraId="42687654" w14:textId="77777777" w:rsidR="008427B0" w:rsidRPr="008B276E" w:rsidRDefault="00475DB7" w:rsidP="008D479A">
      <w:pPr>
        <w:spacing w:after="0" w:line="360" w:lineRule="auto"/>
        <w:contextualSpacing/>
        <w:rPr>
          <w:rFonts w:ascii="Times New Roman" w:hAnsi="Times New Roman" w:cs="Times New Roman"/>
          <w:b/>
          <w:bCs/>
          <w:color w:val="000000" w:themeColor="text1"/>
          <w:sz w:val="24"/>
          <w:szCs w:val="24"/>
        </w:rPr>
      </w:pPr>
      <w:r w:rsidRPr="008B276E">
        <w:rPr>
          <w:rFonts w:ascii="Times New Roman" w:hAnsi="Times New Roman" w:cs="Times New Roman"/>
          <w:b/>
          <w:bCs/>
          <w:color w:val="000000" w:themeColor="text1"/>
          <w:sz w:val="24"/>
          <w:szCs w:val="24"/>
        </w:rPr>
        <w:br w:type="page"/>
      </w:r>
      <w:r w:rsidRPr="008B276E">
        <w:rPr>
          <w:rFonts w:ascii="Times New Roman" w:hAnsi="Times New Roman" w:cs="Times New Roman"/>
          <w:b/>
          <w:bCs/>
          <w:color w:val="000000" w:themeColor="text1"/>
          <w:sz w:val="24"/>
          <w:szCs w:val="24"/>
        </w:rPr>
        <w:br w:type="page"/>
      </w:r>
    </w:p>
    <w:p w14:paraId="2E2294B1" w14:textId="059BBB2E" w:rsidR="009270A5" w:rsidRPr="002B32E3" w:rsidRDefault="009270A5" w:rsidP="008D479A">
      <w:pPr>
        <w:spacing w:after="0" w:line="360" w:lineRule="auto"/>
        <w:contextualSpacing/>
        <w:jc w:val="center"/>
        <w:rPr>
          <w:rFonts w:ascii="Times New Roman" w:hAnsi="Times New Roman" w:cs="Times New Roman"/>
          <w:b/>
          <w:bCs/>
          <w:color w:val="000000" w:themeColor="text1"/>
          <w:sz w:val="32"/>
          <w:szCs w:val="32"/>
        </w:rPr>
      </w:pPr>
      <w:r w:rsidRPr="002B32E3">
        <w:rPr>
          <w:rFonts w:ascii="Times New Roman" w:hAnsi="Times New Roman" w:cs="Times New Roman"/>
          <w:b/>
          <w:bCs/>
          <w:color w:val="000000" w:themeColor="text1"/>
          <w:sz w:val="32"/>
          <w:szCs w:val="32"/>
        </w:rPr>
        <w:t>Assessment Component 1 BMHP5015</w:t>
      </w:r>
    </w:p>
    <w:p w14:paraId="7A4CEC1A" w14:textId="78C8DBC3" w:rsidR="009270A5" w:rsidRPr="002B32E3" w:rsidRDefault="009270A5" w:rsidP="008D479A">
      <w:pPr>
        <w:spacing w:after="0" w:line="360" w:lineRule="auto"/>
        <w:contextualSpacing/>
        <w:jc w:val="center"/>
        <w:rPr>
          <w:rFonts w:ascii="Times New Roman" w:hAnsi="Times New Roman" w:cs="Times New Roman"/>
          <w:b/>
          <w:bCs/>
          <w:color w:val="000000" w:themeColor="text1"/>
          <w:sz w:val="32"/>
          <w:szCs w:val="32"/>
          <w:lang w:val="en-GB"/>
        </w:rPr>
      </w:pPr>
      <w:r w:rsidRPr="002B32E3">
        <w:rPr>
          <w:rFonts w:ascii="Times New Roman" w:hAnsi="Times New Roman" w:cs="Times New Roman"/>
          <w:b/>
          <w:bCs/>
          <w:color w:val="000000" w:themeColor="text1"/>
          <w:sz w:val="32"/>
          <w:szCs w:val="32"/>
          <w:lang w:val="en-GB"/>
        </w:rPr>
        <w:t>Changemakers: Building your Personal Brand for Sustainable Employment</w:t>
      </w:r>
    </w:p>
    <w:p w14:paraId="5777E896" w14:textId="77777777" w:rsidR="009270A5" w:rsidRPr="008B276E" w:rsidRDefault="009270A5" w:rsidP="008D479A">
      <w:pPr>
        <w:spacing w:after="0" w:line="360" w:lineRule="auto"/>
        <w:contextualSpacing/>
        <w:jc w:val="both"/>
        <w:rPr>
          <w:rFonts w:ascii="Times New Roman" w:hAnsi="Times New Roman" w:cs="Times New Roman"/>
          <w:color w:val="000000" w:themeColor="text1"/>
          <w:sz w:val="24"/>
          <w:szCs w:val="24"/>
          <w:lang w:val="en-GB"/>
        </w:rPr>
      </w:pPr>
    </w:p>
    <w:p w14:paraId="7F329F24" w14:textId="740AA564" w:rsidR="00484FB6" w:rsidRPr="008B276E" w:rsidRDefault="00484FB6" w:rsidP="008D479A">
      <w:pPr>
        <w:pStyle w:val="Heading1"/>
        <w:spacing w:before="0" w:line="360" w:lineRule="auto"/>
        <w:contextualSpacing/>
      </w:pPr>
      <w:bookmarkStart w:id="0" w:name="_Toc213793898"/>
      <w:r w:rsidRPr="008B276E">
        <w:t>Introduction</w:t>
      </w:r>
      <w:bookmarkEnd w:id="0"/>
    </w:p>
    <w:p w14:paraId="541026EE" w14:textId="1A16DC90" w:rsidR="00484FB6"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This portfolio is a reflection of my learning in four units in the module. This assignment is aimed at demonstrating how I learned about the online activities and how they assisted me to acquire personal and professional skills that are relevant to work in the field of health and social care. The module made me reflect on who I am, what I want to achieve, and where I am heading. I also got to know that personal and professional growth is a continuous process that needs to be reflected on and improved constantly (Farahmand et al., 2022). The online activities also made me realise that health and social care professionals should continue developing to ensure that their knowledge remains up-to-date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The career development theory also helped me to understand that career development is a result of learning, experience, and reflection with time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 In this portfolio, I explain what I have learned in each unit and how it has enabled me to acquire skills that will assist me in achieving my career and personal development in the health and social care sector.</w:t>
      </w:r>
    </w:p>
    <w:p w14:paraId="0AB2663C" w14:textId="77777777" w:rsidR="00484FB6" w:rsidRPr="008B276E" w:rsidRDefault="00484FB6" w:rsidP="008D479A">
      <w:pPr>
        <w:spacing w:after="0" w:line="360" w:lineRule="auto"/>
        <w:contextualSpacing/>
        <w:jc w:val="both"/>
        <w:rPr>
          <w:rFonts w:ascii="Times New Roman" w:hAnsi="Times New Roman" w:cs="Times New Roman"/>
          <w:color w:val="000000" w:themeColor="text1"/>
          <w:sz w:val="24"/>
          <w:szCs w:val="24"/>
          <w:lang w:val="en-GB"/>
        </w:rPr>
      </w:pPr>
    </w:p>
    <w:p w14:paraId="60370B3F" w14:textId="5E465702" w:rsidR="00484FB6" w:rsidRPr="008B276E" w:rsidRDefault="00484FB6" w:rsidP="008D479A">
      <w:pPr>
        <w:pStyle w:val="Heading1"/>
        <w:spacing w:before="0" w:line="360" w:lineRule="auto"/>
        <w:contextualSpacing/>
      </w:pPr>
      <w:bookmarkStart w:id="1" w:name="_Toc213793899"/>
      <w:r w:rsidRPr="008B276E">
        <w:t>Task 1 – Reflection on Unit 1: Brand You</w:t>
      </w:r>
      <w:bookmarkEnd w:id="1"/>
    </w:p>
    <w:p w14:paraId="736837C1" w14:textId="240B256E" w:rsidR="00C63562" w:rsidRDefault="00C63562" w:rsidP="008D479A">
      <w:pPr>
        <w:spacing w:after="0" w:line="360" w:lineRule="auto"/>
        <w:ind w:firstLine="720"/>
        <w:contextualSpacing/>
        <w:jc w:val="both"/>
        <w:rPr>
          <w:noProof/>
        </w:rPr>
      </w:pPr>
      <w:r w:rsidRPr="008B276E">
        <w:rPr>
          <w:rFonts w:ascii="Times New Roman" w:hAnsi="Times New Roman" w:cs="Times New Roman"/>
          <w:color w:val="000000" w:themeColor="text1"/>
          <w:sz w:val="24"/>
          <w:szCs w:val="24"/>
          <w:lang w:val="en-GB"/>
        </w:rPr>
        <w:t>Unit 1 taught me that personal development is essential and that one should know themselves before making any plans about a future career. The unit helped me to reflect on my strengths, weaknesses and values. I also got to know that experience, feedback, and self-awareness influence personal development, which is a significant factor in enhancing professional practise (Farahmand et al., 2022). I also realised that self-reflection will enable me to know the skills that I should work on to enable me to develop both personally and professionally. I also realised that the ongoing development is a task of any person working in the field of health and social care since knowledge should be updated on a regular basis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The career development theory made me realise that personal and career planning are interrelated and people should actively strive to develop their identity to progress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w:t>
      </w:r>
      <w:r w:rsidR="00133D44" w:rsidRPr="00133D44">
        <w:rPr>
          <w:noProof/>
        </w:rPr>
        <w:t xml:space="preserve"> </w:t>
      </w:r>
    </w:p>
    <w:p w14:paraId="2A1FBBA7" w14:textId="3F705786" w:rsidR="00133D44" w:rsidRDefault="00133D44" w:rsidP="008D479A">
      <w:pPr>
        <w:spacing w:after="0" w:line="360" w:lineRule="auto"/>
        <w:ind w:firstLine="720"/>
        <w:contextualSpacing/>
        <w:jc w:val="both"/>
        <w:rPr>
          <w:noProof/>
        </w:rPr>
      </w:pPr>
    </w:p>
    <w:p w14:paraId="5404F25D" w14:textId="77777777" w:rsidR="00133D44" w:rsidRPr="008B276E" w:rsidRDefault="00133D44" w:rsidP="008D479A">
      <w:pPr>
        <w:spacing w:after="0" w:line="360" w:lineRule="auto"/>
        <w:ind w:firstLine="720"/>
        <w:contextualSpacing/>
        <w:jc w:val="both"/>
        <w:rPr>
          <w:rFonts w:ascii="Times New Roman" w:hAnsi="Times New Roman" w:cs="Times New Roman"/>
          <w:color w:val="000000" w:themeColor="text1"/>
          <w:sz w:val="24"/>
          <w:szCs w:val="24"/>
          <w:lang w:val="en-GB"/>
        </w:rPr>
      </w:pPr>
    </w:p>
    <w:p w14:paraId="002FE718"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Self-awareness was one of the concepts that I learned. Self-awareness assists professionals to know their behaviours and modify them at the workplace. Research indicates that self-awareness helps to make health and social care decisions better and enhance personal development (Farahmand et al., 2022). Self-awareness is also related to the ongoing development since educators and professionals need to know themselves to learn and develop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This concept is supported by career development theory which states that the initial step in building a powerful professional identity is to comprehend oneself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w:t>
      </w:r>
    </w:p>
    <w:p w14:paraId="48C1407C"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The second idea I acquired was communication. Communication skills are good and enhance teamwork. I also got to know that health professionals need to communicate to ensure trust and deliver safe care (Farahmand et al., 2022). The ongoing development activities assist professionals in enhancing their communication skills, which facilitate their teaching and practise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The career development theory also demonstrates that communication skills impact career development since they assist people in developing relationships and professional networks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w:t>
      </w:r>
    </w:p>
    <w:p w14:paraId="6D9472E2" w14:textId="38D3BACD" w:rsidR="00484FB6"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The third principle was professionalism. Professionalism is concerned with being ethical, respectful, and responsible. I also got to know that professionalism assists individuals to establish a good personal identity and reputation (Farahmand et al., 2022). Constant improvement is an aspect that promotes professionalism since professionals should constantly enhance their knowledge and behaviour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Professionalism is a key element of career success and personal branding emphasised by career theory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 Unit 1 helped me realise that personal branding needs to be done with awareness, communication, and professionalism.</w:t>
      </w:r>
    </w:p>
    <w:p w14:paraId="73084BF9" w14:textId="77777777" w:rsidR="00484FB6" w:rsidRPr="008B276E" w:rsidRDefault="00484FB6" w:rsidP="008D479A">
      <w:pPr>
        <w:spacing w:after="0" w:line="360" w:lineRule="auto"/>
        <w:contextualSpacing/>
        <w:jc w:val="both"/>
        <w:rPr>
          <w:rFonts w:ascii="Times New Roman" w:hAnsi="Times New Roman" w:cs="Times New Roman"/>
          <w:color w:val="000000" w:themeColor="text1"/>
          <w:sz w:val="24"/>
          <w:szCs w:val="24"/>
          <w:lang w:val="en-GB"/>
        </w:rPr>
      </w:pPr>
    </w:p>
    <w:p w14:paraId="58632CD5" w14:textId="4A5DC142" w:rsidR="00484FB6" w:rsidRPr="008B276E" w:rsidRDefault="00484FB6" w:rsidP="008D479A">
      <w:pPr>
        <w:pStyle w:val="Heading1"/>
        <w:spacing w:before="0" w:line="360" w:lineRule="auto"/>
        <w:contextualSpacing/>
      </w:pPr>
      <w:bookmarkStart w:id="2" w:name="_Toc213793900"/>
      <w:r w:rsidRPr="008B276E">
        <w:t>Task 2 – Reflection on Unit 2: It’s a Small World</w:t>
      </w:r>
      <w:bookmarkEnd w:id="2"/>
    </w:p>
    <w:p w14:paraId="3CC88E78"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Unit 2 taught me about world consciousness and the impact of world events on health and social care. The unit has taught me that professionals must be aware of changes taking place in the world in order to be ready to face challenges. I also got to know that education systems and training should be flexible to the evolving global conditions, particularly following such massive disruptions like the pandemic (Frenk et al., 2022). I realised that the world events influence the way professionals learn, work, and the functioning of health systems. I also got to know that remote work environments affect career development and social interactions (Yarberry and Sims, 2021). The other significant observation was that social media can be advantageous and harmful to professionals, and it should be utilised thoughtfully to ensure professionalism (</w:t>
      </w:r>
      <w:proofErr w:type="spellStart"/>
      <w:r w:rsidRPr="008B276E">
        <w:rPr>
          <w:rFonts w:ascii="Times New Roman" w:hAnsi="Times New Roman" w:cs="Times New Roman"/>
          <w:color w:val="000000" w:themeColor="text1"/>
          <w:sz w:val="24"/>
          <w:szCs w:val="24"/>
          <w:lang w:val="en-GB"/>
        </w:rPr>
        <w:t>Vukusic</w:t>
      </w:r>
      <w:proofErr w:type="spellEnd"/>
      <w:r w:rsidRPr="008B276E">
        <w:rPr>
          <w:rFonts w:ascii="Times New Roman" w:hAnsi="Times New Roman" w:cs="Times New Roman"/>
          <w:color w:val="000000" w:themeColor="text1"/>
          <w:sz w:val="24"/>
          <w:szCs w:val="24"/>
          <w:lang w:val="en-GB"/>
        </w:rPr>
        <w:t xml:space="preserve"> Rukavina et al., 2021).</w:t>
      </w:r>
    </w:p>
    <w:p w14:paraId="750E6B6E"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Global communication was one of the concepts of this unit. I also got to know that health and social care usually entails dealing with individuals of diverse backgrounds and cultures. Global communication assists professionals to collaborate in sharing knowledge and solving problems (Frenk et al., 2022). Remote work also introduced new communication patterns, in which individuals were forced to remain connected and feel belonging even when they are far away (Yarberry and Sims, 2021). Social media platforms were turned into communication tools and posed threats in terms of professionalism when used improperly (</w:t>
      </w:r>
      <w:proofErr w:type="spellStart"/>
      <w:r w:rsidRPr="008B276E">
        <w:rPr>
          <w:rFonts w:ascii="Times New Roman" w:hAnsi="Times New Roman" w:cs="Times New Roman"/>
          <w:color w:val="000000" w:themeColor="text1"/>
          <w:sz w:val="24"/>
          <w:szCs w:val="24"/>
          <w:lang w:val="en-GB"/>
        </w:rPr>
        <w:t>Vukusic</w:t>
      </w:r>
      <w:proofErr w:type="spellEnd"/>
      <w:r w:rsidRPr="008B276E">
        <w:rPr>
          <w:rFonts w:ascii="Times New Roman" w:hAnsi="Times New Roman" w:cs="Times New Roman"/>
          <w:color w:val="000000" w:themeColor="text1"/>
          <w:sz w:val="24"/>
          <w:szCs w:val="24"/>
          <w:lang w:val="en-GB"/>
        </w:rPr>
        <w:t xml:space="preserve"> Rukavina et al., 2021).</w:t>
      </w:r>
    </w:p>
    <w:p w14:paraId="453C52FF"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Cultural awareness was another concept. I was taught that cultural knowledge can assist professionals to deliver superior and more accommodating care. The health systems should be adjusted to various communities and various cultural requirements (Frenk et al., 2022). Remote work introduced new dimensions to cultural awareness since employees were not the same at home and had different ways of communication (Yarberry and Sims, 2021). Social media also makes professionals open to other cultures and perspectives, yet it must be used responsibly to preserve respect and professionalism (</w:t>
      </w:r>
      <w:proofErr w:type="spellStart"/>
      <w:r w:rsidRPr="008B276E">
        <w:rPr>
          <w:rFonts w:ascii="Times New Roman" w:hAnsi="Times New Roman" w:cs="Times New Roman"/>
          <w:color w:val="000000" w:themeColor="text1"/>
          <w:sz w:val="24"/>
          <w:szCs w:val="24"/>
          <w:lang w:val="en-GB"/>
        </w:rPr>
        <w:t>Vukusic</w:t>
      </w:r>
      <w:proofErr w:type="spellEnd"/>
      <w:r w:rsidRPr="008B276E">
        <w:rPr>
          <w:rFonts w:ascii="Times New Roman" w:hAnsi="Times New Roman" w:cs="Times New Roman"/>
          <w:color w:val="000000" w:themeColor="text1"/>
          <w:sz w:val="24"/>
          <w:szCs w:val="24"/>
          <w:lang w:val="en-GB"/>
        </w:rPr>
        <w:t xml:space="preserve"> Rukavina et al., 2021).</w:t>
      </w:r>
    </w:p>
    <w:p w14:paraId="67D898B9" w14:textId="3648DA2D" w:rsidR="00484FB6"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The third concept was global responsibility that made me realise that health and social care professionals should be responsible since their decisions influence the safety of the people and the health of the community. I got to know that the global events, including pandemics, demonstrate how fast the situation may change and why professionals need to adjust their skills and address emerging challenges (Frenk et al., 2022). I also got to know that remote work introduced new tasks, as individuals were required to take care of their time, remain motivated, and demonstrate independence when working outside the office (Yarberry and Sims, 2021). The other significant aspect was the issue of digital responsibility since the use of social media can influence the credibility of health professionals. Unprofessional behaviour in the Internet can negatively affect the trust of the population and professional image (</w:t>
      </w:r>
      <w:proofErr w:type="spellStart"/>
      <w:r w:rsidRPr="008B276E">
        <w:rPr>
          <w:rFonts w:ascii="Times New Roman" w:hAnsi="Times New Roman" w:cs="Times New Roman"/>
          <w:color w:val="000000" w:themeColor="text1"/>
          <w:sz w:val="24"/>
          <w:szCs w:val="24"/>
          <w:lang w:val="en-GB"/>
        </w:rPr>
        <w:t>Vukusic</w:t>
      </w:r>
      <w:proofErr w:type="spellEnd"/>
      <w:r w:rsidRPr="008B276E">
        <w:rPr>
          <w:rFonts w:ascii="Times New Roman" w:hAnsi="Times New Roman" w:cs="Times New Roman"/>
          <w:color w:val="000000" w:themeColor="text1"/>
          <w:sz w:val="24"/>
          <w:szCs w:val="24"/>
          <w:lang w:val="en-GB"/>
        </w:rPr>
        <w:t xml:space="preserve"> Rukavina et al., 2021). These concepts helped me to understand that global responsibility is a significant concept in contemporary practise and that the work of health and social care is related to the global systems and demands.</w:t>
      </w:r>
    </w:p>
    <w:p w14:paraId="60E7B11B" w14:textId="77777777" w:rsidR="00484FB6" w:rsidRPr="008B276E" w:rsidRDefault="00484FB6" w:rsidP="008D479A">
      <w:pPr>
        <w:spacing w:after="0" w:line="360" w:lineRule="auto"/>
        <w:contextualSpacing/>
        <w:jc w:val="both"/>
        <w:rPr>
          <w:rFonts w:ascii="Times New Roman" w:hAnsi="Times New Roman" w:cs="Times New Roman"/>
          <w:color w:val="000000" w:themeColor="text1"/>
          <w:sz w:val="24"/>
          <w:szCs w:val="24"/>
          <w:lang w:val="en-GB"/>
        </w:rPr>
      </w:pPr>
    </w:p>
    <w:p w14:paraId="5C75D86C" w14:textId="095EB306" w:rsidR="00484FB6" w:rsidRPr="008B276E" w:rsidRDefault="00484FB6" w:rsidP="008D479A">
      <w:pPr>
        <w:pStyle w:val="Heading1"/>
        <w:spacing w:before="0" w:line="360" w:lineRule="auto"/>
        <w:contextualSpacing/>
      </w:pPr>
      <w:bookmarkStart w:id="3" w:name="_Toc213793901"/>
      <w:r w:rsidRPr="008B276E">
        <w:t>Task 3 – Reflection on Unit 3: Opportunity Knocks</w:t>
      </w:r>
      <w:bookmarkEnd w:id="3"/>
    </w:p>
    <w:p w14:paraId="6239200D"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Unit 3 helped me to identify areas of improvement. I also got to know that reflection, development, and knowledge of personal goals can be an opportunity. Professional development occurs when one considers their development and tries to advance (Farahmand et al., 2022). I also got to know that lifelong learning enables health and social care professionals to refresh their knowledge and discover new learning opportunities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The theory of career development made me realise that opportunities do not just come on a silver platter, people have to seek them and be ready to find them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w:t>
      </w:r>
    </w:p>
    <w:p w14:paraId="448F7DCC"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Learning through difficulties was one of the concepts I paid attention to. The challenges usually open new opportunities to develop. As an illustration, the world upheavals necessitated novel methods of learning and training in the health care sector (Frenk et al., 2022). Remote work also posed some challenges that prompted people to become independent and digital (Yarberry and Sims, 2021). The challenges posed by social media prompted professionals to consider the way they present themselves and how they can be digitally professional (</w:t>
      </w:r>
      <w:proofErr w:type="spellStart"/>
      <w:r w:rsidRPr="008B276E">
        <w:rPr>
          <w:rFonts w:ascii="Times New Roman" w:hAnsi="Times New Roman" w:cs="Times New Roman"/>
          <w:color w:val="000000" w:themeColor="text1"/>
          <w:sz w:val="24"/>
          <w:szCs w:val="24"/>
          <w:lang w:val="en-GB"/>
        </w:rPr>
        <w:t>Vukusic</w:t>
      </w:r>
      <w:proofErr w:type="spellEnd"/>
      <w:r w:rsidRPr="008B276E">
        <w:rPr>
          <w:rFonts w:ascii="Times New Roman" w:hAnsi="Times New Roman" w:cs="Times New Roman"/>
          <w:color w:val="000000" w:themeColor="text1"/>
          <w:sz w:val="24"/>
          <w:szCs w:val="24"/>
          <w:lang w:val="en-GB"/>
        </w:rPr>
        <w:t xml:space="preserve"> Rukavina et al., 2021).</w:t>
      </w:r>
    </w:p>
    <w:p w14:paraId="4FD9C43D"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The other idea was the application of technology, which I was taught is highly essential in personal and professional growth. Technology opens numerous learning possibilities and facilitates the accessibility of information. The use of AI tools, like ChatGPT, can assist students with the explanation of complex issues, providing examples, and assisting in various study techniques, which makes the learning process more adaptable and customised (Atlas, 2023). I also came to know that digital tools assist teachers in their tasks to create new teaching methods, online materials, and innovative developmental paths that enhance the learning process among students (Sancar et al., 2021). Technology is also applied in health and social care to facilitate further development since nurses and other professionals require new knowledge and practical skills to deliver safe and effective care (Vazquez-Calatayud et al., 2021). This demonstrated to me that technology is not only beneficial in studying but it is also necessary in continuous professional development in the health sector.</w:t>
      </w:r>
    </w:p>
    <w:p w14:paraId="68F425C9" w14:textId="704A3CC9" w:rsidR="00484FB6"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The third notion was involvement and participation. I also got to know that opportunities in health and social care increase when professionals engage service users in decision-making. It has been found that patient involvement enhances safety and outcomes (</w:t>
      </w:r>
      <w:proofErr w:type="spellStart"/>
      <w:r w:rsidRPr="008B276E">
        <w:rPr>
          <w:rFonts w:ascii="Times New Roman" w:hAnsi="Times New Roman" w:cs="Times New Roman"/>
          <w:color w:val="000000" w:themeColor="text1"/>
          <w:sz w:val="24"/>
          <w:szCs w:val="24"/>
          <w:lang w:val="en-GB"/>
        </w:rPr>
        <w:t>Ocloo</w:t>
      </w:r>
      <w:proofErr w:type="spellEnd"/>
      <w:r w:rsidRPr="008B276E">
        <w:rPr>
          <w:rFonts w:ascii="Times New Roman" w:hAnsi="Times New Roman" w:cs="Times New Roman"/>
          <w:color w:val="000000" w:themeColor="text1"/>
          <w:sz w:val="24"/>
          <w:szCs w:val="24"/>
          <w:lang w:val="en-GB"/>
        </w:rPr>
        <w:t xml:space="preserve"> et al., 2021). The opportunities to work towards healthier communities and environments are also provided by sustainable healthcare education (Shaw et al., 2021). The awareness of climate change opens up the chances of health professionals to assume leadership positions in the advocacy of community health (Kotcher et al., 2021). This unit made me realise that I should see opportunities and act on them to achieve my skills.</w:t>
      </w:r>
    </w:p>
    <w:p w14:paraId="795A6F7A" w14:textId="77777777" w:rsidR="00484FB6" w:rsidRPr="008B276E" w:rsidRDefault="00484FB6" w:rsidP="008D479A">
      <w:pPr>
        <w:spacing w:after="0" w:line="360" w:lineRule="auto"/>
        <w:contextualSpacing/>
        <w:jc w:val="both"/>
        <w:rPr>
          <w:rFonts w:ascii="Times New Roman" w:hAnsi="Times New Roman" w:cs="Times New Roman"/>
          <w:color w:val="000000" w:themeColor="text1"/>
          <w:sz w:val="24"/>
          <w:szCs w:val="24"/>
          <w:lang w:val="en-GB"/>
        </w:rPr>
      </w:pPr>
    </w:p>
    <w:p w14:paraId="73BE1C7B" w14:textId="62F7612A" w:rsidR="00484FB6" w:rsidRPr="008B276E" w:rsidRDefault="00484FB6" w:rsidP="008D479A">
      <w:pPr>
        <w:pStyle w:val="Heading1"/>
        <w:spacing w:before="0" w:line="360" w:lineRule="auto"/>
        <w:contextualSpacing/>
      </w:pPr>
      <w:bookmarkStart w:id="4" w:name="_Toc213793902"/>
      <w:r w:rsidRPr="008B276E">
        <w:t>Task 4 – Reflection on Unit 4: The Pursuit of Happiness</w:t>
      </w:r>
      <w:bookmarkEnd w:id="4"/>
      <w:r w:rsidRPr="008B276E">
        <w:t xml:space="preserve"> </w:t>
      </w:r>
    </w:p>
    <w:p w14:paraId="4507F365"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Unit 4 taught me about wellbeing and its significance in personal and professional life. The unit made me realise that happiness affects performance, motivation and relationships at the workplace. Personal development is beneficial to wellbeing as it enables people to cope with stress and acquire positive coping mechanisms (Farahmand et al., 2022). On-going development also enhances wellbeing since professionals become confident when they enhance their skills (</w:t>
      </w:r>
      <w:proofErr w:type="spellStart"/>
      <w:r w:rsidRPr="008B276E">
        <w:rPr>
          <w:rFonts w:ascii="Times New Roman" w:hAnsi="Times New Roman" w:cs="Times New Roman"/>
          <w:color w:val="000000" w:themeColor="text1"/>
          <w:sz w:val="24"/>
          <w:szCs w:val="24"/>
          <w:lang w:val="en-GB"/>
        </w:rPr>
        <w:t>Koskimaki</w:t>
      </w:r>
      <w:proofErr w:type="spellEnd"/>
      <w:r w:rsidRPr="008B276E">
        <w:rPr>
          <w:rFonts w:ascii="Times New Roman" w:hAnsi="Times New Roman" w:cs="Times New Roman"/>
          <w:color w:val="000000" w:themeColor="text1"/>
          <w:sz w:val="24"/>
          <w:szCs w:val="24"/>
          <w:lang w:val="en-GB"/>
        </w:rPr>
        <w:t xml:space="preserve"> et al., 2021). The theory of career development allowed me to realise that personal happiness is related to career satisfaction and long-term development (</w:t>
      </w:r>
      <w:proofErr w:type="spellStart"/>
      <w:r w:rsidRPr="008B276E">
        <w:rPr>
          <w:rFonts w:ascii="Times New Roman" w:hAnsi="Times New Roman" w:cs="Times New Roman"/>
          <w:color w:val="000000" w:themeColor="text1"/>
          <w:sz w:val="24"/>
          <w:szCs w:val="24"/>
          <w:lang w:val="en-GB"/>
        </w:rPr>
        <w:t>Rachmad</w:t>
      </w:r>
      <w:proofErr w:type="spellEnd"/>
      <w:r w:rsidRPr="008B276E">
        <w:rPr>
          <w:rFonts w:ascii="Times New Roman" w:hAnsi="Times New Roman" w:cs="Times New Roman"/>
          <w:color w:val="000000" w:themeColor="text1"/>
          <w:sz w:val="24"/>
          <w:szCs w:val="24"/>
          <w:lang w:val="en-GB"/>
        </w:rPr>
        <w:t>, 2022).</w:t>
      </w:r>
    </w:p>
    <w:p w14:paraId="5D114328"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Work-life balance was one of the concepts. I also came to know that health and social care professionals have challenging jobs that may have an impact on their wellbeing. The post-pandemic challenges necessitated professionals to change their learning and work patterns (Frenk et al., 2022). The wellbeing was also impacted by remote work settings since employees needed to establish their sense of belonging and self-empowerment (Yarberry and Sims, 2021). Social media has an impact on wellbeing as well; although it may facilitate connexion, it may also pose professional risks and stress (</w:t>
      </w:r>
      <w:proofErr w:type="spellStart"/>
      <w:r w:rsidRPr="008B276E">
        <w:rPr>
          <w:rFonts w:ascii="Times New Roman" w:hAnsi="Times New Roman" w:cs="Times New Roman"/>
          <w:color w:val="000000" w:themeColor="text1"/>
          <w:sz w:val="24"/>
          <w:szCs w:val="24"/>
          <w:lang w:val="en-GB"/>
        </w:rPr>
        <w:t>Vukusic</w:t>
      </w:r>
      <w:proofErr w:type="spellEnd"/>
      <w:r w:rsidRPr="008B276E">
        <w:rPr>
          <w:rFonts w:ascii="Times New Roman" w:hAnsi="Times New Roman" w:cs="Times New Roman"/>
          <w:color w:val="000000" w:themeColor="text1"/>
          <w:sz w:val="24"/>
          <w:szCs w:val="24"/>
          <w:lang w:val="en-GB"/>
        </w:rPr>
        <w:t xml:space="preserve"> Rukavina et al., 2021).</w:t>
      </w:r>
    </w:p>
    <w:p w14:paraId="7A4A2AB9" w14:textId="77777777" w:rsidR="00C63562"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The other concept was resilience. Resilience assists practitioners to cope with challenging circumstances and overcome stress. Training and education can assist people to develop resilience through the acquisition of new coping mechanisms and problem-solving techniques (Frenk et al., 2022). Resilience can also be supported with the help of AI tools that will allow students to cope with the workload and enhance the efficiency of learning (Atlas, 2023). Professional development models assist teachers to develop resilience and improve the quality of teaching (Sancar et al., 2021).</w:t>
      </w:r>
    </w:p>
    <w:p w14:paraId="580739AD" w14:textId="38600B61" w:rsidR="00484FB6"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Sustainability and responsibility were the third concept. Professionals should consider the long-term wellbeing of the communities and the environment. Sustainable health education promotes responsible practise to ensure the safety of the planet and future generations (Shaw et al., 2021). The awareness of climate change also affects professional duties since health workers are to be ready to face environmental health issues (Kotcher et al., 2021). Wellbeing and quality of care also get better with patient involvement (</w:t>
      </w:r>
      <w:proofErr w:type="spellStart"/>
      <w:r w:rsidRPr="008B276E">
        <w:rPr>
          <w:rFonts w:ascii="Times New Roman" w:hAnsi="Times New Roman" w:cs="Times New Roman"/>
          <w:color w:val="000000" w:themeColor="text1"/>
          <w:sz w:val="24"/>
          <w:szCs w:val="24"/>
          <w:lang w:val="en-GB"/>
        </w:rPr>
        <w:t>Ocloo</w:t>
      </w:r>
      <w:proofErr w:type="spellEnd"/>
      <w:r w:rsidRPr="008B276E">
        <w:rPr>
          <w:rFonts w:ascii="Times New Roman" w:hAnsi="Times New Roman" w:cs="Times New Roman"/>
          <w:color w:val="000000" w:themeColor="text1"/>
          <w:sz w:val="24"/>
          <w:szCs w:val="24"/>
          <w:lang w:val="en-GB"/>
        </w:rPr>
        <w:t xml:space="preserve"> et al., 2021). Unit 4 made me consider happiness as a mixture of individual accountability, strength, and equilibrium.</w:t>
      </w:r>
    </w:p>
    <w:p w14:paraId="283C8355" w14:textId="77777777" w:rsidR="00484FB6" w:rsidRPr="008B276E" w:rsidRDefault="00484FB6" w:rsidP="008D479A">
      <w:pPr>
        <w:spacing w:after="0" w:line="360" w:lineRule="auto"/>
        <w:contextualSpacing/>
        <w:jc w:val="both"/>
        <w:rPr>
          <w:rFonts w:ascii="Times New Roman" w:hAnsi="Times New Roman" w:cs="Times New Roman"/>
          <w:color w:val="000000" w:themeColor="text1"/>
          <w:sz w:val="24"/>
          <w:szCs w:val="24"/>
          <w:lang w:val="en-GB"/>
        </w:rPr>
      </w:pPr>
    </w:p>
    <w:p w14:paraId="3D00CAE9" w14:textId="44C30AAE" w:rsidR="00484FB6" w:rsidRPr="008B276E" w:rsidRDefault="00484FB6" w:rsidP="008D479A">
      <w:pPr>
        <w:pStyle w:val="Heading1"/>
        <w:spacing w:before="0" w:line="360" w:lineRule="auto"/>
        <w:contextualSpacing/>
      </w:pPr>
      <w:bookmarkStart w:id="5" w:name="_Toc213793903"/>
      <w:r w:rsidRPr="008B276E">
        <w:t>Conclusion</w:t>
      </w:r>
      <w:bookmarkEnd w:id="5"/>
    </w:p>
    <w:p w14:paraId="68A9EC73" w14:textId="0566DF09" w:rsidR="00484FB6" w:rsidRPr="008B276E" w:rsidRDefault="00C63562" w:rsidP="008D479A">
      <w:pPr>
        <w:spacing w:after="0" w:line="360" w:lineRule="auto"/>
        <w:ind w:firstLine="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lang w:val="en-GB"/>
        </w:rPr>
        <w:t>This module made me gain a better insight into personal growth, international consciousness, identification of opportunities and wellbeing. I also got to know that development needs constant reflection, constant learning, and constant self-assessment to enhance personal and professional competencies. I also learnt that health and social care professionals must keep up to date in order to ensure safe and quality practise in an ever-evolving environment. The module made me realise the relationship between personal identity, motivation, and professional goals and how they relate to future career decisions. The activities helped me to become more confident because I was taught the significance of effective communication, reflective practise, and professional responsibility. I also learned to understand the role of resilience and adaptability in assisting individuals to cope with difficulties and stay well. All in all, this module helped me to grow by enhancing my competencies, broadening my consciousness, and equipping me with future advancement in a challenging and competitive professional sphere.</w:t>
      </w:r>
      <w:r w:rsidR="00484FB6" w:rsidRPr="008B276E">
        <w:rPr>
          <w:rFonts w:ascii="Times New Roman" w:hAnsi="Times New Roman" w:cs="Times New Roman"/>
          <w:color w:val="000000" w:themeColor="text1"/>
          <w:sz w:val="24"/>
          <w:szCs w:val="24"/>
          <w:lang w:val="en-GB"/>
        </w:rPr>
        <w:br w:type="page"/>
      </w:r>
    </w:p>
    <w:p w14:paraId="2FB74460" w14:textId="3B849737" w:rsidR="00984C21" w:rsidRPr="008B276E" w:rsidRDefault="00984C21" w:rsidP="008D479A">
      <w:pPr>
        <w:pStyle w:val="Heading1"/>
        <w:spacing w:before="0" w:line="360" w:lineRule="auto"/>
        <w:contextualSpacing/>
      </w:pPr>
      <w:bookmarkStart w:id="6" w:name="_Toc213793904"/>
      <w:r w:rsidRPr="008B276E">
        <w:t>REFERENCES</w:t>
      </w:r>
      <w:bookmarkEnd w:id="6"/>
    </w:p>
    <w:p w14:paraId="4CEFF3C0"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lang w:val="en-GB"/>
        </w:rPr>
      </w:pPr>
    </w:p>
    <w:p w14:paraId="2C66FAE5"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Atlas, S., 2023. ChatGPT for higher education and professional development: A guide to conversational AI.</w:t>
      </w:r>
    </w:p>
    <w:p w14:paraId="05B3FD7C"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Farahmand, S., Rad, E.M. and Keshmiri, F., 2022. Exploring the effective elements on the personal and professional development among health-care providers: a qualitative study. </w:t>
      </w:r>
      <w:r w:rsidRPr="008B276E">
        <w:rPr>
          <w:rFonts w:ascii="Times New Roman" w:hAnsi="Times New Roman" w:cs="Times New Roman"/>
          <w:i/>
          <w:iCs/>
          <w:color w:val="000000" w:themeColor="text1"/>
          <w:sz w:val="24"/>
          <w:szCs w:val="24"/>
          <w:shd w:val="clear" w:color="auto" w:fill="FFFFFF"/>
          <w:lang w:val="en-GB"/>
        </w:rPr>
        <w:t>Journal of Education and Health Promotion</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11</w:t>
      </w:r>
      <w:r w:rsidRPr="008B276E">
        <w:rPr>
          <w:rFonts w:ascii="Times New Roman" w:hAnsi="Times New Roman" w:cs="Times New Roman"/>
          <w:color w:val="000000" w:themeColor="text1"/>
          <w:sz w:val="24"/>
          <w:szCs w:val="24"/>
          <w:shd w:val="clear" w:color="auto" w:fill="FFFFFF"/>
          <w:lang w:val="en-GB"/>
        </w:rPr>
        <w:t>(1), p.256.</w:t>
      </w:r>
    </w:p>
    <w:p w14:paraId="65102CCD"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 xml:space="preserve">Frenk, J., Chen, L.C., Chandran, L., Groff, E.O., King, R., </w:t>
      </w:r>
      <w:proofErr w:type="spellStart"/>
      <w:r w:rsidRPr="008B276E">
        <w:rPr>
          <w:rFonts w:ascii="Times New Roman" w:hAnsi="Times New Roman" w:cs="Times New Roman"/>
          <w:color w:val="000000" w:themeColor="text1"/>
          <w:sz w:val="24"/>
          <w:szCs w:val="24"/>
          <w:shd w:val="clear" w:color="auto" w:fill="FFFFFF"/>
          <w:lang w:val="en-GB"/>
        </w:rPr>
        <w:t>Meleis</w:t>
      </w:r>
      <w:proofErr w:type="spellEnd"/>
      <w:r w:rsidRPr="008B276E">
        <w:rPr>
          <w:rFonts w:ascii="Times New Roman" w:hAnsi="Times New Roman" w:cs="Times New Roman"/>
          <w:color w:val="000000" w:themeColor="text1"/>
          <w:sz w:val="24"/>
          <w:szCs w:val="24"/>
          <w:shd w:val="clear" w:color="auto" w:fill="FFFFFF"/>
          <w:lang w:val="en-GB"/>
        </w:rPr>
        <w:t>, A. and Fineberg, H.V., 2022. Challenges and opportunities for educating health professionals after the COVID-19 pandemic. </w:t>
      </w:r>
      <w:r w:rsidRPr="008B276E">
        <w:rPr>
          <w:rFonts w:ascii="Times New Roman" w:hAnsi="Times New Roman" w:cs="Times New Roman"/>
          <w:i/>
          <w:iCs/>
          <w:color w:val="000000" w:themeColor="text1"/>
          <w:sz w:val="24"/>
          <w:szCs w:val="24"/>
          <w:shd w:val="clear" w:color="auto" w:fill="FFFFFF"/>
          <w:lang w:val="en-GB"/>
        </w:rPr>
        <w:t>The Lancet</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400</w:t>
      </w:r>
      <w:r w:rsidRPr="008B276E">
        <w:rPr>
          <w:rFonts w:ascii="Times New Roman" w:hAnsi="Times New Roman" w:cs="Times New Roman"/>
          <w:color w:val="000000" w:themeColor="text1"/>
          <w:sz w:val="24"/>
          <w:szCs w:val="24"/>
          <w:shd w:val="clear" w:color="auto" w:fill="FFFFFF"/>
          <w:lang w:val="en-GB"/>
        </w:rPr>
        <w:t>(10362), pp.1539-1556.</w:t>
      </w:r>
    </w:p>
    <w:p w14:paraId="38939B80"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8B276E">
        <w:rPr>
          <w:rFonts w:ascii="Times New Roman" w:hAnsi="Times New Roman" w:cs="Times New Roman"/>
          <w:color w:val="000000" w:themeColor="text1"/>
          <w:sz w:val="24"/>
          <w:szCs w:val="24"/>
          <w:shd w:val="clear" w:color="auto" w:fill="FFFFFF"/>
          <w:lang w:val="en-GB"/>
        </w:rPr>
        <w:t>Koskimäki</w:t>
      </w:r>
      <w:proofErr w:type="spellEnd"/>
      <w:r w:rsidRPr="008B276E">
        <w:rPr>
          <w:rFonts w:ascii="Times New Roman" w:hAnsi="Times New Roman" w:cs="Times New Roman"/>
          <w:color w:val="000000" w:themeColor="text1"/>
          <w:sz w:val="24"/>
          <w:szCs w:val="24"/>
          <w:shd w:val="clear" w:color="auto" w:fill="FFFFFF"/>
          <w:lang w:val="en-GB"/>
        </w:rPr>
        <w:t>, M., Lähteenmäki, M.L., Mikkonen, K., Kääriäinen, M., Koskinen, C., Mäki‐Hakola, H., Sjögren, T. and Koivula, M., 2021. Continuing professional development among social‐and health‐care educators. </w:t>
      </w:r>
      <w:r w:rsidRPr="008B276E">
        <w:rPr>
          <w:rFonts w:ascii="Times New Roman" w:hAnsi="Times New Roman" w:cs="Times New Roman"/>
          <w:i/>
          <w:iCs/>
          <w:color w:val="000000" w:themeColor="text1"/>
          <w:sz w:val="24"/>
          <w:szCs w:val="24"/>
          <w:shd w:val="clear" w:color="auto" w:fill="FFFFFF"/>
          <w:lang w:val="en-GB"/>
        </w:rPr>
        <w:t>Scandinavian Journal of Caring Sciences</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35</w:t>
      </w:r>
      <w:r w:rsidRPr="008B276E">
        <w:rPr>
          <w:rFonts w:ascii="Times New Roman" w:hAnsi="Times New Roman" w:cs="Times New Roman"/>
          <w:color w:val="000000" w:themeColor="text1"/>
          <w:sz w:val="24"/>
          <w:szCs w:val="24"/>
          <w:shd w:val="clear" w:color="auto" w:fill="FFFFFF"/>
          <w:lang w:val="en-GB"/>
        </w:rPr>
        <w:t>(2), pp.668-677.</w:t>
      </w:r>
    </w:p>
    <w:p w14:paraId="11C14DFA"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lang w:val="en-GB"/>
        </w:rPr>
      </w:pPr>
      <w:r w:rsidRPr="008B276E">
        <w:rPr>
          <w:rFonts w:ascii="Times New Roman" w:hAnsi="Times New Roman" w:cs="Times New Roman"/>
          <w:color w:val="000000" w:themeColor="text1"/>
          <w:sz w:val="24"/>
          <w:szCs w:val="24"/>
          <w:shd w:val="clear" w:color="auto" w:fill="FFFFFF"/>
          <w:lang w:val="en-GB"/>
        </w:rPr>
        <w:t xml:space="preserve">Kotcher, J., Maibach, E., Miller, J., Campbell, E., </w:t>
      </w:r>
      <w:proofErr w:type="spellStart"/>
      <w:r w:rsidRPr="008B276E">
        <w:rPr>
          <w:rFonts w:ascii="Times New Roman" w:hAnsi="Times New Roman" w:cs="Times New Roman"/>
          <w:color w:val="000000" w:themeColor="text1"/>
          <w:sz w:val="24"/>
          <w:szCs w:val="24"/>
          <w:shd w:val="clear" w:color="auto" w:fill="FFFFFF"/>
          <w:lang w:val="en-GB"/>
        </w:rPr>
        <w:t>Alqodmani</w:t>
      </w:r>
      <w:proofErr w:type="spellEnd"/>
      <w:r w:rsidRPr="008B276E">
        <w:rPr>
          <w:rFonts w:ascii="Times New Roman" w:hAnsi="Times New Roman" w:cs="Times New Roman"/>
          <w:color w:val="000000" w:themeColor="text1"/>
          <w:sz w:val="24"/>
          <w:szCs w:val="24"/>
          <w:shd w:val="clear" w:color="auto" w:fill="FFFFFF"/>
          <w:lang w:val="en-GB"/>
        </w:rPr>
        <w:t xml:space="preserve">, L., </w:t>
      </w:r>
      <w:proofErr w:type="spellStart"/>
      <w:r w:rsidRPr="008B276E">
        <w:rPr>
          <w:rFonts w:ascii="Times New Roman" w:hAnsi="Times New Roman" w:cs="Times New Roman"/>
          <w:color w:val="000000" w:themeColor="text1"/>
          <w:sz w:val="24"/>
          <w:szCs w:val="24"/>
          <w:shd w:val="clear" w:color="auto" w:fill="FFFFFF"/>
          <w:lang w:val="en-GB"/>
        </w:rPr>
        <w:t>Maiero</w:t>
      </w:r>
      <w:proofErr w:type="spellEnd"/>
      <w:r w:rsidRPr="008B276E">
        <w:rPr>
          <w:rFonts w:ascii="Times New Roman" w:hAnsi="Times New Roman" w:cs="Times New Roman"/>
          <w:color w:val="000000" w:themeColor="text1"/>
          <w:sz w:val="24"/>
          <w:szCs w:val="24"/>
          <w:shd w:val="clear" w:color="auto" w:fill="FFFFFF"/>
          <w:lang w:val="en-GB"/>
        </w:rPr>
        <w:t>, M. and Wyns, A., 2021. Views of health professionals on climate change and health: a multinational survey study. </w:t>
      </w:r>
      <w:r w:rsidRPr="008B276E">
        <w:rPr>
          <w:rFonts w:ascii="Times New Roman" w:hAnsi="Times New Roman" w:cs="Times New Roman"/>
          <w:i/>
          <w:iCs/>
          <w:color w:val="000000" w:themeColor="text1"/>
          <w:sz w:val="24"/>
          <w:szCs w:val="24"/>
          <w:shd w:val="clear" w:color="auto" w:fill="FFFFFF"/>
          <w:lang w:val="en-GB"/>
        </w:rPr>
        <w:t>The Lancet Planetary Health</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5</w:t>
      </w:r>
      <w:r w:rsidRPr="008B276E">
        <w:rPr>
          <w:rFonts w:ascii="Times New Roman" w:hAnsi="Times New Roman" w:cs="Times New Roman"/>
          <w:color w:val="000000" w:themeColor="text1"/>
          <w:sz w:val="24"/>
          <w:szCs w:val="24"/>
          <w:shd w:val="clear" w:color="auto" w:fill="FFFFFF"/>
          <w:lang w:val="en-GB"/>
        </w:rPr>
        <w:t xml:space="preserve">(5), </w:t>
      </w:r>
      <w:proofErr w:type="gramStart"/>
      <w:r w:rsidRPr="008B276E">
        <w:rPr>
          <w:rFonts w:ascii="Times New Roman" w:hAnsi="Times New Roman" w:cs="Times New Roman"/>
          <w:color w:val="000000" w:themeColor="text1"/>
          <w:sz w:val="24"/>
          <w:szCs w:val="24"/>
          <w:shd w:val="clear" w:color="auto" w:fill="FFFFFF"/>
          <w:lang w:val="en-GB"/>
        </w:rPr>
        <w:t>pp.e</w:t>
      </w:r>
      <w:proofErr w:type="gramEnd"/>
      <w:r w:rsidRPr="008B276E">
        <w:rPr>
          <w:rFonts w:ascii="Times New Roman" w:hAnsi="Times New Roman" w:cs="Times New Roman"/>
          <w:color w:val="000000" w:themeColor="text1"/>
          <w:sz w:val="24"/>
          <w:szCs w:val="24"/>
          <w:shd w:val="clear" w:color="auto" w:fill="FFFFFF"/>
          <w:lang w:val="en-GB"/>
        </w:rPr>
        <w:t>316-e323.</w:t>
      </w:r>
    </w:p>
    <w:p w14:paraId="3FD92672"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8B276E">
        <w:rPr>
          <w:rFonts w:ascii="Times New Roman" w:hAnsi="Times New Roman" w:cs="Times New Roman"/>
          <w:color w:val="000000" w:themeColor="text1"/>
          <w:sz w:val="24"/>
          <w:szCs w:val="24"/>
          <w:shd w:val="clear" w:color="auto" w:fill="FFFFFF"/>
          <w:lang w:val="en-GB"/>
        </w:rPr>
        <w:t>Ocloo</w:t>
      </w:r>
      <w:proofErr w:type="spellEnd"/>
      <w:r w:rsidRPr="008B276E">
        <w:rPr>
          <w:rFonts w:ascii="Times New Roman" w:hAnsi="Times New Roman" w:cs="Times New Roman"/>
          <w:color w:val="000000" w:themeColor="text1"/>
          <w:sz w:val="24"/>
          <w:szCs w:val="24"/>
          <w:shd w:val="clear" w:color="auto" w:fill="FFFFFF"/>
          <w:lang w:val="en-GB"/>
        </w:rPr>
        <w:t>, J., Garfield, S., Franklin, B.D. and Dawson, S., 2021. Exploring the theory, barriers and enablers for patient and public involvement across health, social care and patient safety: a systematic review of reviews. </w:t>
      </w:r>
      <w:r w:rsidRPr="008B276E">
        <w:rPr>
          <w:rFonts w:ascii="Times New Roman" w:hAnsi="Times New Roman" w:cs="Times New Roman"/>
          <w:i/>
          <w:iCs/>
          <w:color w:val="000000" w:themeColor="text1"/>
          <w:sz w:val="24"/>
          <w:szCs w:val="24"/>
          <w:shd w:val="clear" w:color="auto" w:fill="FFFFFF"/>
          <w:lang w:val="en-GB"/>
        </w:rPr>
        <w:t>Health research policy and systems</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19</w:t>
      </w:r>
      <w:r w:rsidRPr="008B276E">
        <w:rPr>
          <w:rFonts w:ascii="Times New Roman" w:hAnsi="Times New Roman" w:cs="Times New Roman"/>
          <w:color w:val="000000" w:themeColor="text1"/>
          <w:sz w:val="24"/>
          <w:szCs w:val="24"/>
          <w:shd w:val="clear" w:color="auto" w:fill="FFFFFF"/>
          <w:lang w:val="en-GB"/>
        </w:rPr>
        <w:t>(1), p.8.</w:t>
      </w:r>
    </w:p>
    <w:p w14:paraId="08A4A6DA"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8B276E">
        <w:rPr>
          <w:rFonts w:ascii="Times New Roman" w:hAnsi="Times New Roman" w:cs="Times New Roman"/>
          <w:color w:val="000000" w:themeColor="text1"/>
          <w:sz w:val="24"/>
          <w:szCs w:val="24"/>
          <w:shd w:val="clear" w:color="auto" w:fill="FFFFFF"/>
          <w:lang w:val="en-GB"/>
        </w:rPr>
        <w:t>Rachmad</w:t>
      </w:r>
      <w:proofErr w:type="spellEnd"/>
      <w:r w:rsidRPr="008B276E">
        <w:rPr>
          <w:rFonts w:ascii="Times New Roman" w:hAnsi="Times New Roman" w:cs="Times New Roman"/>
          <w:color w:val="000000" w:themeColor="text1"/>
          <w:sz w:val="24"/>
          <w:szCs w:val="24"/>
          <w:shd w:val="clear" w:color="auto" w:fill="FFFFFF"/>
          <w:lang w:val="en-GB"/>
        </w:rPr>
        <w:t>, Y.E., 2022. Career Development Theory.</w:t>
      </w:r>
    </w:p>
    <w:p w14:paraId="2FA1BEF4"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 xml:space="preserve">Sancar, R., Atal, D. and </w:t>
      </w:r>
      <w:proofErr w:type="spellStart"/>
      <w:r w:rsidRPr="008B276E">
        <w:rPr>
          <w:rFonts w:ascii="Times New Roman" w:hAnsi="Times New Roman" w:cs="Times New Roman"/>
          <w:color w:val="000000" w:themeColor="text1"/>
          <w:sz w:val="24"/>
          <w:szCs w:val="24"/>
          <w:shd w:val="clear" w:color="auto" w:fill="FFFFFF"/>
          <w:lang w:val="en-GB"/>
        </w:rPr>
        <w:t>Deryakulu</w:t>
      </w:r>
      <w:proofErr w:type="spellEnd"/>
      <w:r w:rsidRPr="008B276E">
        <w:rPr>
          <w:rFonts w:ascii="Times New Roman" w:hAnsi="Times New Roman" w:cs="Times New Roman"/>
          <w:color w:val="000000" w:themeColor="text1"/>
          <w:sz w:val="24"/>
          <w:szCs w:val="24"/>
          <w:shd w:val="clear" w:color="auto" w:fill="FFFFFF"/>
          <w:lang w:val="en-GB"/>
        </w:rPr>
        <w:t>, D., 2021. A new framework for teachers’ professional development. </w:t>
      </w:r>
      <w:r w:rsidRPr="008B276E">
        <w:rPr>
          <w:rFonts w:ascii="Times New Roman" w:hAnsi="Times New Roman" w:cs="Times New Roman"/>
          <w:i/>
          <w:iCs/>
          <w:color w:val="000000" w:themeColor="text1"/>
          <w:sz w:val="24"/>
          <w:szCs w:val="24"/>
          <w:shd w:val="clear" w:color="auto" w:fill="FFFFFF"/>
          <w:lang w:val="en-GB"/>
        </w:rPr>
        <w:t>Teaching and teacher education</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101</w:t>
      </w:r>
      <w:r w:rsidRPr="008B276E">
        <w:rPr>
          <w:rFonts w:ascii="Times New Roman" w:hAnsi="Times New Roman" w:cs="Times New Roman"/>
          <w:color w:val="000000" w:themeColor="text1"/>
          <w:sz w:val="24"/>
          <w:szCs w:val="24"/>
          <w:shd w:val="clear" w:color="auto" w:fill="FFFFFF"/>
          <w:lang w:val="en-GB"/>
        </w:rPr>
        <w:t>, p.103305.</w:t>
      </w:r>
    </w:p>
    <w:p w14:paraId="6B277499"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Shaw, E., Walpole, S., McLean, M., Alvarez-Nieto, C., Barna, S., Bazin, K., Behrens, G., Chase, H., Duane, B., El Omrani, O. and Elf, M., 2021. AMEE Consensus Statement: Planetary health and education for sustainable healthcare. </w:t>
      </w:r>
      <w:r w:rsidRPr="008B276E">
        <w:rPr>
          <w:rFonts w:ascii="Times New Roman" w:hAnsi="Times New Roman" w:cs="Times New Roman"/>
          <w:i/>
          <w:iCs/>
          <w:color w:val="000000" w:themeColor="text1"/>
          <w:sz w:val="24"/>
          <w:szCs w:val="24"/>
          <w:shd w:val="clear" w:color="auto" w:fill="FFFFFF"/>
          <w:lang w:val="en-GB"/>
        </w:rPr>
        <w:t>Medical teacher</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43</w:t>
      </w:r>
      <w:r w:rsidRPr="008B276E">
        <w:rPr>
          <w:rFonts w:ascii="Times New Roman" w:hAnsi="Times New Roman" w:cs="Times New Roman"/>
          <w:color w:val="000000" w:themeColor="text1"/>
          <w:sz w:val="24"/>
          <w:szCs w:val="24"/>
          <w:shd w:val="clear" w:color="auto" w:fill="FFFFFF"/>
          <w:lang w:val="en-GB"/>
        </w:rPr>
        <w:t>(3), pp.272-286.</w:t>
      </w:r>
    </w:p>
    <w:p w14:paraId="63B1093E"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 xml:space="preserve">Vázquez-Calatayud, M., </w:t>
      </w:r>
      <w:proofErr w:type="spellStart"/>
      <w:r w:rsidRPr="008B276E">
        <w:rPr>
          <w:rFonts w:ascii="Times New Roman" w:hAnsi="Times New Roman" w:cs="Times New Roman"/>
          <w:color w:val="000000" w:themeColor="text1"/>
          <w:sz w:val="24"/>
          <w:szCs w:val="24"/>
          <w:shd w:val="clear" w:color="auto" w:fill="FFFFFF"/>
          <w:lang w:val="en-GB"/>
        </w:rPr>
        <w:t>Errasti</w:t>
      </w:r>
      <w:proofErr w:type="spellEnd"/>
      <w:r w:rsidRPr="008B276E">
        <w:rPr>
          <w:rFonts w:ascii="Times New Roman" w:hAnsi="Times New Roman" w:cs="Times New Roman"/>
          <w:color w:val="000000" w:themeColor="text1"/>
          <w:sz w:val="24"/>
          <w:szCs w:val="24"/>
          <w:shd w:val="clear" w:color="auto" w:fill="FFFFFF"/>
          <w:lang w:val="en-GB"/>
        </w:rPr>
        <w:t xml:space="preserve">-Ibarrondo, B. and </w:t>
      </w:r>
      <w:proofErr w:type="spellStart"/>
      <w:r w:rsidRPr="008B276E">
        <w:rPr>
          <w:rFonts w:ascii="Times New Roman" w:hAnsi="Times New Roman" w:cs="Times New Roman"/>
          <w:color w:val="000000" w:themeColor="text1"/>
          <w:sz w:val="24"/>
          <w:szCs w:val="24"/>
          <w:shd w:val="clear" w:color="auto" w:fill="FFFFFF"/>
          <w:lang w:val="en-GB"/>
        </w:rPr>
        <w:t>Choperena</w:t>
      </w:r>
      <w:proofErr w:type="spellEnd"/>
      <w:r w:rsidRPr="008B276E">
        <w:rPr>
          <w:rFonts w:ascii="Times New Roman" w:hAnsi="Times New Roman" w:cs="Times New Roman"/>
          <w:color w:val="000000" w:themeColor="text1"/>
          <w:sz w:val="24"/>
          <w:szCs w:val="24"/>
          <w:shd w:val="clear" w:color="auto" w:fill="FFFFFF"/>
          <w:lang w:val="en-GB"/>
        </w:rPr>
        <w:t>, A., 2021. Nurses’ continuing professional development: A systematic literature review. </w:t>
      </w:r>
      <w:r w:rsidRPr="008B276E">
        <w:rPr>
          <w:rFonts w:ascii="Times New Roman" w:hAnsi="Times New Roman" w:cs="Times New Roman"/>
          <w:i/>
          <w:iCs/>
          <w:color w:val="000000" w:themeColor="text1"/>
          <w:sz w:val="24"/>
          <w:szCs w:val="24"/>
          <w:shd w:val="clear" w:color="auto" w:fill="FFFFFF"/>
          <w:lang w:val="en-GB"/>
        </w:rPr>
        <w:t>Nurse education in practice</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50</w:t>
      </w:r>
      <w:r w:rsidRPr="008B276E">
        <w:rPr>
          <w:rFonts w:ascii="Times New Roman" w:hAnsi="Times New Roman" w:cs="Times New Roman"/>
          <w:color w:val="000000" w:themeColor="text1"/>
          <w:sz w:val="24"/>
          <w:szCs w:val="24"/>
          <w:shd w:val="clear" w:color="auto" w:fill="FFFFFF"/>
          <w:lang w:val="en-GB"/>
        </w:rPr>
        <w:t>, p.102963.</w:t>
      </w:r>
    </w:p>
    <w:p w14:paraId="19BC6C83"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 xml:space="preserve">Vukušić Rukavina, T., </w:t>
      </w:r>
      <w:proofErr w:type="spellStart"/>
      <w:r w:rsidRPr="008B276E">
        <w:rPr>
          <w:rFonts w:ascii="Times New Roman" w:hAnsi="Times New Roman" w:cs="Times New Roman"/>
          <w:color w:val="000000" w:themeColor="text1"/>
          <w:sz w:val="24"/>
          <w:szCs w:val="24"/>
          <w:shd w:val="clear" w:color="auto" w:fill="FFFFFF"/>
          <w:lang w:val="en-GB"/>
        </w:rPr>
        <w:t>Viskić</w:t>
      </w:r>
      <w:proofErr w:type="spellEnd"/>
      <w:r w:rsidRPr="008B276E">
        <w:rPr>
          <w:rFonts w:ascii="Times New Roman" w:hAnsi="Times New Roman" w:cs="Times New Roman"/>
          <w:color w:val="000000" w:themeColor="text1"/>
          <w:sz w:val="24"/>
          <w:szCs w:val="24"/>
          <w:shd w:val="clear" w:color="auto" w:fill="FFFFFF"/>
          <w:lang w:val="en-GB"/>
        </w:rPr>
        <w:t xml:space="preserve">, J., Machala </w:t>
      </w:r>
      <w:proofErr w:type="spellStart"/>
      <w:r w:rsidRPr="008B276E">
        <w:rPr>
          <w:rFonts w:ascii="Times New Roman" w:hAnsi="Times New Roman" w:cs="Times New Roman"/>
          <w:color w:val="000000" w:themeColor="text1"/>
          <w:sz w:val="24"/>
          <w:szCs w:val="24"/>
          <w:shd w:val="clear" w:color="auto" w:fill="FFFFFF"/>
          <w:lang w:val="en-GB"/>
        </w:rPr>
        <w:t>Poplašen</w:t>
      </w:r>
      <w:proofErr w:type="spellEnd"/>
      <w:r w:rsidRPr="008B276E">
        <w:rPr>
          <w:rFonts w:ascii="Times New Roman" w:hAnsi="Times New Roman" w:cs="Times New Roman"/>
          <w:color w:val="000000" w:themeColor="text1"/>
          <w:sz w:val="24"/>
          <w:szCs w:val="24"/>
          <w:shd w:val="clear" w:color="auto" w:fill="FFFFFF"/>
          <w:lang w:val="en-GB"/>
        </w:rPr>
        <w:t xml:space="preserve">, L., </w:t>
      </w:r>
      <w:proofErr w:type="spellStart"/>
      <w:r w:rsidRPr="008B276E">
        <w:rPr>
          <w:rFonts w:ascii="Times New Roman" w:hAnsi="Times New Roman" w:cs="Times New Roman"/>
          <w:color w:val="000000" w:themeColor="text1"/>
          <w:sz w:val="24"/>
          <w:szCs w:val="24"/>
          <w:shd w:val="clear" w:color="auto" w:fill="FFFFFF"/>
          <w:lang w:val="en-GB"/>
        </w:rPr>
        <w:t>Relić</w:t>
      </w:r>
      <w:proofErr w:type="spellEnd"/>
      <w:r w:rsidRPr="008B276E">
        <w:rPr>
          <w:rFonts w:ascii="Times New Roman" w:hAnsi="Times New Roman" w:cs="Times New Roman"/>
          <w:color w:val="000000" w:themeColor="text1"/>
          <w:sz w:val="24"/>
          <w:szCs w:val="24"/>
          <w:shd w:val="clear" w:color="auto" w:fill="FFFFFF"/>
          <w:lang w:val="en-GB"/>
        </w:rPr>
        <w:t xml:space="preserve">, D., </w:t>
      </w:r>
      <w:proofErr w:type="spellStart"/>
      <w:r w:rsidRPr="008B276E">
        <w:rPr>
          <w:rFonts w:ascii="Times New Roman" w:hAnsi="Times New Roman" w:cs="Times New Roman"/>
          <w:color w:val="000000" w:themeColor="text1"/>
          <w:sz w:val="24"/>
          <w:szCs w:val="24"/>
          <w:shd w:val="clear" w:color="auto" w:fill="FFFFFF"/>
          <w:lang w:val="en-GB"/>
        </w:rPr>
        <w:t>Marelić</w:t>
      </w:r>
      <w:proofErr w:type="spellEnd"/>
      <w:r w:rsidRPr="008B276E">
        <w:rPr>
          <w:rFonts w:ascii="Times New Roman" w:hAnsi="Times New Roman" w:cs="Times New Roman"/>
          <w:color w:val="000000" w:themeColor="text1"/>
          <w:sz w:val="24"/>
          <w:szCs w:val="24"/>
          <w:shd w:val="clear" w:color="auto" w:fill="FFFFFF"/>
          <w:lang w:val="en-GB"/>
        </w:rPr>
        <w:t xml:space="preserve">, M., Jokic, D. and </w:t>
      </w:r>
      <w:proofErr w:type="spellStart"/>
      <w:r w:rsidRPr="008B276E">
        <w:rPr>
          <w:rFonts w:ascii="Times New Roman" w:hAnsi="Times New Roman" w:cs="Times New Roman"/>
          <w:color w:val="000000" w:themeColor="text1"/>
          <w:sz w:val="24"/>
          <w:szCs w:val="24"/>
          <w:shd w:val="clear" w:color="auto" w:fill="FFFFFF"/>
          <w:lang w:val="en-GB"/>
        </w:rPr>
        <w:t>Sedak</w:t>
      </w:r>
      <w:proofErr w:type="spellEnd"/>
      <w:r w:rsidRPr="008B276E">
        <w:rPr>
          <w:rFonts w:ascii="Times New Roman" w:hAnsi="Times New Roman" w:cs="Times New Roman"/>
          <w:color w:val="000000" w:themeColor="text1"/>
          <w:sz w:val="24"/>
          <w:szCs w:val="24"/>
          <w:shd w:val="clear" w:color="auto" w:fill="FFFFFF"/>
          <w:lang w:val="en-GB"/>
        </w:rPr>
        <w:t>, K., 2021. Dangers and benefits of social media on e-professionalism of health care professionals: scoping review. </w:t>
      </w:r>
      <w:r w:rsidRPr="008B276E">
        <w:rPr>
          <w:rFonts w:ascii="Times New Roman" w:hAnsi="Times New Roman" w:cs="Times New Roman"/>
          <w:i/>
          <w:iCs/>
          <w:color w:val="000000" w:themeColor="text1"/>
          <w:sz w:val="24"/>
          <w:szCs w:val="24"/>
          <w:shd w:val="clear" w:color="auto" w:fill="FFFFFF"/>
          <w:lang w:val="en-GB"/>
        </w:rPr>
        <w:t>Journal of medical Internet research</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23</w:t>
      </w:r>
      <w:r w:rsidRPr="008B276E">
        <w:rPr>
          <w:rFonts w:ascii="Times New Roman" w:hAnsi="Times New Roman" w:cs="Times New Roman"/>
          <w:color w:val="000000" w:themeColor="text1"/>
          <w:sz w:val="24"/>
          <w:szCs w:val="24"/>
          <w:shd w:val="clear" w:color="auto" w:fill="FFFFFF"/>
          <w:lang w:val="en-GB"/>
        </w:rPr>
        <w:t>(11), p.e25770.</w:t>
      </w:r>
    </w:p>
    <w:p w14:paraId="6C9BA106" w14:textId="77777777" w:rsidR="008427B0" w:rsidRPr="008B276E" w:rsidRDefault="008427B0" w:rsidP="008D479A">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B276E">
        <w:rPr>
          <w:rFonts w:ascii="Times New Roman" w:hAnsi="Times New Roman" w:cs="Times New Roman"/>
          <w:color w:val="000000" w:themeColor="text1"/>
          <w:sz w:val="24"/>
          <w:szCs w:val="24"/>
          <w:shd w:val="clear" w:color="auto" w:fill="FFFFFF"/>
          <w:lang w:val="en-GB"/>
        </w:rPr>
        <w:t>Yarberry, S. and Sims, C., 2021. The impact of COVID-19-prompted virtual/remote work environments on employees’ career development: Social learning theory, belongingness, and self-empowerment. </w:t>
      </w:r>
      <w:r w:rsidRPr="008B276E">
        <w:rPr>
          <w:rFonts w:ascii="Times New Roman" w:hAnsi="Times New Roman" w:cs="Times New Roman"/>
          <w:i/>
          <w:iCs/>
          <w:color w:val="000000" w:themeColor="text1"/>
          <w:sz w:val="24"/>
          <w:szCs w:val="24"/>
          <w:shd w:val="clear" w:color="auto" w:fill="FFFFFF"/>
          <w:lang w:val="en-GB"/>
        </w:rPr>
        <w:t>Advances in Developing Human Resources</w:t>
      </w:r>
      <w:r w:rsidRPr="008B276E">
        <w:rPr>
          <w:rFonts w:ascii="Times New Roman" w:hAnsi="Times New Roman" w:cs="Times New Roman"/>
          <w:color w:val="000000" w:themeColor="text1"/>
          <w:sz w:val="24"/>
          <w:szCs w:val="24"/>
          <w:shd w:val="clear" w:color="auto" w:fill="FFFFFF"/>
          <w:lang w:val="en-GB"/>
        </w:rPr>
        <w:t>, </w:t>
      </w:r>
      <w:r w:rsidRPr="008B276E">
        <w:rPr>
          <w:rFonts w:ascii="Times New Roman" w:hAnsi="Times New Roman" w:cs="Times New Roman"/>
          <w:i/>
          <w:iCs/>
          <w:color w:val="000000" w:themeColor="text1"/>
          <w:sz w:val="24"/>
          <w:szCs w:val="24"/>
          <w:shd w:val="clear" w:color="auto" w:fill="FFFFFF"/>
          <w:lang w:val="en-GB"/>
        </w:rPr>
        <w:t>23</w:t>
      </w:r>
      <w:r w:rsidRPr="008B276E">
        <w:rPr>
          <w:rFonts w:ascii="Times New Roman" w:hAnsi="Times New Roman" w:cs="Times New Roman"/>
          <w:color w:val="000000" w:themeColor="text1"/>
          <w:sz w:val="24"/>
          <w:szCs w:val="24"/>
          <w:shd w:val="clear" w:color="auto" w:fill="FFFFFF"/>
          <w:lang w:val="en-GB"/>
        </w:rPr>
        <w:t>(3), pp.237-252.</w:t>
      </w:r>
    </w:p>
    <w:sectPr w:rsidR="008427B0" w:rsidRPr="008B276E" w:rsidSect="008B276E">
      <w:head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8AFD3" w14:textId="77777777" w:rsidR="006376F9" w:rsidRDefault="006376F9" w:rsidP="008427B0">
      <w:pPr>
        <w:spacing w:after="0" w:line="240" w:lineRule="auto"/>
      </w:pPr>
      <w:r>
        <w:separator/>
      </w:r>
    </w:p>
  </w:endnote>
  <w:endnote w:type="continuationSeparator" w:id="0">
    <w:p w14:paraId="14009A8A" w14:textId="77777777" w:rsidR="006376F9" w:rsidRDefault="006376F9" w:rsidP="00842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7F535" w14:textId="77777777" w:rsidR="006376F9" w:rsidRDefault="006376F9" w:rsidP="008427B0">
      <w:pPr>
        <w:spacing w:after="0" w:line="240" w:lineRule="auto"/>
      </w:pPr>
      <w:r>
        <w:separator/>
      </w:r>
    </w:p>
  </w:footnote>
  <w:footnote w:type="continuationSeparator" w:id="0">
    <w:p w14:paraId="6C4054CD" w14:textId="77777777" w:rsidR="006376F9" w:rsidRDefault="006376F9" w:rsidP="00842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color w:val="000000" w:themeColor="text1"/>
        <w:sz w:val="24"/>
        <w:szCs w:val="24"/>
      </w:rPr>
      <w:id w:val="-1210416627"/>
      <w:docPartObj>
        <w:docPartGallery w:val="Page Numbers (Top of Page)"/>
        <w:docPartUnique/>
      </w:docPartObj>
    </w:sdtPr>
    <w:sdtEndPr>
      <w:rPr>
        <w:noProof/>
      </w:rPr>
    </w:sdtEndPr>
    <w:sdtContent>
      <w:p w14:paraId="7D3C92DA" w14:textId="187E7AC4" w:rsidR="008427B0" w:rsidRPr="008427B0" w:rsidRDefault="008427B0">
        <w:pPr>
          <w:pStyle w:val="Header"/>
          <w:jc w:val="right"/>
          <w:rPr>
            <w:rFonts w:ascii="Times New Roman" w:hAnsi="Times New Roman" w:cs="Times New Roman"/>
            <w:color w:val="000000" w:themeColor="text1"/>
            <w:sz w:val="24"/>
            <w:szCs w:val="24"/>
          </w:rPr>
        </w:pPr>
        <w:r w:rsidRPr="008427B0">
          <w:rPr>
            <w:rFonts w:ascii="Times New Roman" w:hAnsi="Times New Roman" w:cs="Times New Roman"/>
            <w:color w:val="000000" w:themeColor="text1"/>
            <w:sz w:val="24"/>
            <w:szCs w:val="24"/>
          </w:rPr>
          <w:t xml:space="preserve">BMHP5015           </w:t>
        </w:r>
        <w:r w:rsidRPr="008427B0">
          <w:rPr>
            <w:rFonts w:ascii="Times New Roman" w:hAnsi="Times New Roman" w:cs="Times New Roman"/>
            <w:color w:val="000000" w:themeColor="text1"/>
            <w:sz w:val="24"/>
            <w:szCs w:val="24"/>
          </w:rPr>
          <w:fldChar w:fldCharType="begin"/>
        </w:r>
        <w:r w:rsidRPr="008427B0">
          <w:rPr>
            <w:rFonts w:ascii="Times New Roman" w:hAnsi="Times New Roman" w:cs="Times New Roman"/>
            <w:color w:val="000000" w:themeColor="text1"/>
            <w:sz w:val="24"/>
            <w:szCs w:val="24"/>
          </w:rPr>
          <w:instrText xml:space="preserve"> PAGE   \* MERGEFORMAT </w:instrText>
        </w:r>
        <w:r w:rsidRPr="008427B0">
          <w:rPr>
            <w:rFonts w:ascii="Times New Roman" w:hAnsi="Times New Roman" w:cs="Times New Roman"/>
            <w:color w:val="000000" w:themeColor="text1"/>
            <w:sz w:val="24"/>
            <w:szCs w:val="24"/>
          </w:rPr>
          <w:fldChar w:fldCharType="separate"/>
        </w:r>
        <w:r w:rsidRPr="008427B0">
          <w:rPr>
            <w:rFonts w:ascii="Times New Roman" w:hAnsi="Times New Roman" w:cs="Times New Roman"/>
            <w:noProof/>
            <w:color w:val="000000" w:themeColor="text1"/>
            <w:sz w:val="24"/>
            <w:szCs w:val="24"/>
          </w:rPr>
          <w:t>2</w:t>
        </w:r>
        <w:r w:rsidRPr="008427B0">
          <w:rPr>
            <w:rFonts w:ascii="Times New Roman" w:hAnsi="Times New Roman" w:cs="Times New Roman"/>
            <w:noProof/>
            <w:color w:val="000000" w:themeColor="text1"/>
            <w:sz w:val="24"/>
            <w:szCs w:val="24"/>
          </w:rPr>
          <w:fldChar w:fldCharType="end"/>
        </w:r>
      </w:p>
    </w:sdtContent>
  </w:sdt>
  <w:p w14:paraId="7E7CA690" w14:textId="77777777" w:rsidR="008427B0" w:rsidRDefault="008427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96C"/>
    <w:rsid w:val="0006009A"/>
    <w:rsid w:val="00133D44"/>
    <w:rsid w:val="0022556A"/>
    <w:rsid w:val="00247C87"/>
    <w:rsid w:val="002B32E3"/>
    <w:rsid w:val="004144D9"/>
    <w:rsid w:val="00475DB7"/>
    <w:rsid w:val="00484FB6"/>
    <w:rsid w:val="004A24B0"/>
    <w:rsid w:val="004D6F21"/>
    <w:rsid w:val="0055096C"/>
    <w:rsid w:val="00576A37"/>
    <w:rsid w:val="0061459B"/>
    <w:rsid w:val="006376F9"/>
    <w:rsid w:val="006B3956"/>
    <w:rsid w:val="008427B0"/>
    <w:rsid w:val="008B276E"/>
    <w:rsid w:val="008B2B0C"/>
    <w:rsid w:val="008D479A"/>
    <w:rsid w:val="009270A5"/>
    <w:rsid w:val="009670F8"/>
    <w:rsid w:val="00984C21"/>
    <w:rsid w:val="00A61729"/>
    <w:rsid w:val="00A842C6"/>
    <w:rsid w:val="00B57BB4"/>
    <w:rsid w:val="00C63562"/>
    <w:rsid w:val="00CC7174"/>
    <w:rsid w:val="00D43018"/>
    <w:rsid w:val="00F2339E"/>
    <w:rsid w:val="00F417C8"/>
    <w:rsid w:val="00FB1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87AB56"/>
  <w15:chartTrackingRefBased/>
  <w15:docId w15:val="{1319F508-F435-452F-8533-8DE2E39A4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7B0"/>
    <w:pPr>
      <w:keepNext/>
      <w:keepLines/>
      <w:spacing w:before="240" w:after="0"/>
      <w:outlineLvl w:val="0"/>
    </w:pPr>
    <w:rPr>
      <w:rFonts w:ascii="Times New Roman" w:eastAsiaTheme="majorEastAsia" w:hAnsi="Times New Roman" w:cs="Times New Roman"/>
      <w:b/>
      <w:bCs/>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7B0"/>
    <w:rPr>
      <w:rFonts w:ascii="Times New Roman" w:eastAsiaTheme="majorEastAsia" w:hAnsi="Times New Roman" w:cs="Times New Roman"/>
      <w:b/>
      <w:bCs/>
      <w:color w:val="000000" w:themeColor="text1"/>
      <w:sz w:val="24"/>
      <w:szCs w:val="24"/>
      <w:lang w:val="en-GB"/>
    </w:rPr>
  </w:style>
  <w:style w:type="paragraph" w:styleId="Header">
    <w:name w:val="header"/>
    <w:basedOn w:val="Normal"/>
    <w:link w:val="HeaderChar"/>
    <w:uiPriority w:val="99"/>
    <w:unhideWhenUsed/>
    <w:rsid w:val="008427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7B0"/>
  </w:style>
  <w:style w:type="paragraph" w:styleId="Footer">
    <w:name w:val="footer"/>
    <w:basedOn w:val="Normal"/>
    <w:link w:val="FooterChar"/>
    <w:uiPriority w:val="99"/>
    <w:unhideWhenUsed/>
    <w:rsid w:val="008427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7B0"/>
  </w:style>
  <w:style w:type="paragraph" w:styleId="TOCHeading">
    <w:name w:val="TOC Heading"/>
    <w:basedOn w:val="Heading1"/>
    <w:next w:val="Normal"/>
    <w:uiPriority w:val="39"/>
    <w:unhideWhenUsed/>
    <w:qFormat/>
    <w:rsid w:val="00B57BB4"/>
    <w:pPr>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B57BB4"/>
    <w:pPr>
      <w:spacing w:after="100"/>
    </w:pPr>
  </w:style>
  <w:style w:type="character" w:styleId="Hyperlink">
    <w:name w:val="Hyperlink"/>
    <w:basedOn w:val="DefaultParagraphFont"/>
    <w:uiPriority w:val="99"/>
    <w:unhideWhenUsed/>
    <w:rsid w:val="00B57B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078413">
      <w:bodyDiv w:val="1"/>
      <w:marLeft w:val="0"/>
      <w:marRight w:val="0"/>
      <w:marTop w:val="0"/>
      <w:marBottom w:val="0"/>
      <w:divBdr>
        <w:top w:val="none" w:sz="0" w:space="0" w:color="auto"/>
        <w:left w:val="none" w:sz="0" w:space="0" w:color="auto"/>
        <w:bottom w:val="none" w:sz="0" w:space="0" w:color="auto"/>
        <w:right w:val="none" w:sz="0" w:space="0" w:color="auto"/>
      </w:divBdr>
      <w:divsChild>
        <w:div w:id="421605870">
          <w:marLeft w:val="0"/>
          <w:marRight w:val="0"/>
          <w:marTop w:val="0"/>
          <w:marBottom w:val="0"/>
          <w:divBdr>
            <w:top w:val="none" w:sz="0" w:space="0" w:color="auto"/>
            <w:left w:val="none" w:sz="0" w:space="0" w:color="auto"/>
            <w:bottom w:val="none" w:sz="0" w:space="0" w:color="auto"/>
            <w:right w:val="none" w:sz="0" w:space="0" w:color="auto"/>
          </w:divBdr>
          <w:divsChild>
            <w:div w:id="138693434">
              <w:marLeft w:val="0"/>
              <w:marRight w:val="0"/>
              <w:marTop w:val="0"/>
              <w:marBottom w:val="0"/>
              <w:divBdr>
                <w:top w:val="none" w:sz="0" w:space="0" w:color="auto"/>
                <w:left w:val="none" w:sz="0" w:space="0" w:color="auto"/>
                <w:bottom w:val="none" w:sz="0" w:space="0" w:color="auto"/>
                <w:right w:val="none" w:sz="0" w:space="0" w:color="auto"/>
              </w:divBdr>
              <w:divsChild>
                <w:div w:id="391387625">
                  <w:marLeft w:val="0"/>
                  <w:marRight w:val="0"/>
                  <w:marTop w:val="0"/>
                  <w:marBottom w:val="0"/>
                  <w:divBdr>
                    <w:top w:val="none" w:sz="0" w:space="0" w:color="auto"/>
                    <w:left w:val="none" w:sz="0" w:space="0" w:color="auto"/>
                    <w:bottom w:val="none" w:sz="0" w:space="0" w:color="auto"/>
                    <w:right w:val="none" w:sz="0" w:space="0" w:color="auto"/>
                  </w:divBdr>
                  <w:divsChild>
                    <w:div w:id="1025179985">
                      <w:marLeft w:val="0"/>
                      <w:marRight w:val="0"/>
                      <w:marTop w:val="0"/>
                      <w:marBottom w:val="0"/>
                      <w:divBdr>
                        <w:top w:val="none" w:sz="0" w:space="0" w:color="auto"/>
                        <w:left w:val="none" w:sz="0" w:space="0" w:color="auto"/>
                        <w:bottom w:val="none" w:sz="0" w:space="0" w:color="auto"/>
                        <w:right w:val="none" w:sz="0" w:space="0" w:color="auto"/>
                      </w:divBdr>
                      <w:divsChild>
                        <w:div w:id="1200704455">
                          <w:marLeft w:val="0"/>
                          <w:marRight w:val="0"/>
                          <w:marTop w:val="0"/>
                          <w:marBottom w:val="0"/>
                          <w:divBdr>
                            <w:top w:val="none" w:sz="0" w:space="0" w:color="auto"/>
                            <w:left w:val="none" w:sz="0" w:space="0" w:color="auto"/>
                            <w:bottom w:val="none" w:sz="0" w:space="0" w:color="auto"/>
                            <w:right w:val="none" w:sz="0" w:space="0" w:color="auto"/>
                          </w:divBdr>
                          <w:divsChild>
                            <w:div w:id="2497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755368">
      <w:bodyDiv w:val="1"/>
      <w:marLeft w:val="0"/>
      <w:marRight w:val="0"/>
      <w:marTop w:val="0"/>
      <w:marBottom w:val="0"/>
      <w:divBdr>
        <w:top w:val="none" w:sz="0" w:space="0" w:color="auto"/>
        <w:left w:val="none" w:sz="0" w:space="0" w:color="auto"/>
        <w:bottom w:val="none" w:sz="0" w:space="0" w:color="auto"/>
        <w:right w:val="none" w:sz="0" w:space="0" w:color="auto"/>
      </w:divBdr>
      <w:divsChild>
        <w:div w:id="673609658">
          <w:marLeft w:val="0"/>
          <w:marRight w:val="0"/>
          <w:marTop w:val="0"/>
          <w:marBottom w:val="0"/>
          <w:divBdr>
            <w:top w:val="none" w:sz="0" w:space="0" w:color="auto"/>
            <w:left w:val="none" w:sz="0" w:space="0" w:color="auto"/>
            <w:bottom w:val="none" w:sz="0" w:space="0" w:color="auto"/>
            <w:right w:val="none" w:sz="0" w:space="0" w:color="auto"/>
          </w:divBdr>
          <w:divsChild>
            <w:div w:id="2066443943">
              <w:marLeft w:val="0"/>
              <w:marRight w:val="0"/>
              <w:marTop w:val="0"/>
              <w:marBottom w:val="0"/>
              <w:divBdr>
                <w:top w:val="none" w:sz="0" w:space="0" w:color="auto"/>
                <w:left w:val="none" w:sz="0" w:space="0" w:color="auto"/>
                <w:bottom w:val="none" w:sz="0" w:space="0" w:color="auto"/>
                <w:right w:val="none" w:sz="0" w:space="0" w:color="auto"/>
              </w:divBdr>
              <w:divsChild>
                <w:div w:id="1375235777">
                  <w:marLeft w:val="0"/>
                  <w:marRight w:val="0"/>
                  <w:marTop w:val="0"/>
                  <w:marBottom w:val="0"/>
                  <w:divBdr>
                    <w:top w:val="none" w:sz="0" w:space="0" w:color="auto"/>
                    <w:left w:val="none" w:sz="0" w:space="0" w:color="auto"/>
                    <w:bottom w:val="none" w:sz="0" w:space="0" w:color="auto"/>
                    <w:right w:val="none" w:sz="0" w:space="0" w:color="auto"/>
                  </w:divBdr>
                  <w:divsChild>
                    <w:div w:id="150339970">
                      <w:marLeft w:val="0"/>
                      <w:marRight w:val="0"/>
                      <w:marTop w:val="0"/>
                      <w:marBottom w:val="0"/>
                      <w:divBdr>
                        <w:top w:val="none" w:sz="0" w:space="0" w:color="auto"/>
                        <w:left w:val="none" w:sz="0" w:space="0" w:color="auto"/>
                        <w:bottom w:val="none" w:sz="0" w:space="0" w:color="auto"/>
                        <w:right w:val="none" w:sz="0" w:space="0" w:color="auto"/>
                      </w:divBdr>
                      <w:divsChild>
                        <w:div w:id="1106929471">
                          <w:marLeft w:val="0"/>
                          <w:marRight w:val="0"/>
                          <w:marTop w:val="0"/>
                          <w:marBottom w:val="0"/>
                          <w:divBdr>
                            <w:top w:val="none" w:sz="0" w:space="0" w:color="auto"/>
                            <w:left w:val="none" w:sz="0" w:space="0" w:color="auto"/>
                            <w:bottom w:val="none" w:sz="0" w:space="0" w:color="auto"/>
                            <w:right w:val="none" w:sz="0" w:space="0" w:color="auto"/>
                          </w:divBdr>
                          <w:divsChild>
                            <w:div w:id="182820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9066414">
      <w:bodyDiv w:val="1"/>
      <w:marLeft w:val="0"/>
      <w:marRight w:val="0"/>
      <w:marTop w:val="0"/>
      <w:marBottom w:val="0"/>
      <w:divBdr>
        <w:top w:val="none" w:sz="0" w:space="0" w:color="auto"/>
        <w:left w:val="none" w:sz="0" w:space="0" w:color="auto"/>
        <w:bottom w:val="none" w:sz="0" w:space="0" w:color="auto"/>
        <w:right w:val="none" w:sz="0" w:space="0" w:color="auto"/>
      </w:divBdr>
      <w:divsChild>
        <w:div w:id="63138885">
          <w:marLeft w:val="0"/>
          <w:marRight w:val="0"/>
          <w:marTop w:val="0"/>
          <w:marBottom w:val="0"/>
          <w:divBdr>
            <w:top w:val="none" w:sz="0" w:space="0" w:color="auto"/>
            <w:left w:val="none" w:sz="0" w:space="0" w:color="auto"/>
            <w:bottom w:val="none" w:sz="0" w:space="0" w:color="auto"/>
            <w:right w:val="none" w:sz="0" w:space="0" w:color="auto"/>
          </w:divBdr>
          <w:divsChild>
            <w:div w:id="1005865896">
              <w:marLeft w:val="0"/>
              <w:marRight w:val="0"/>
              <w:marTop w:val="0"/>
              <w:marBottom w:val="0"/>
              <w:divBdr>
                <w:top w:val="none" w:sz="0" w:space="0" w:color="auto"/>
                <w:left w:val="none" w:sz="0" w:space="0" w:color="auto"/>
                <w:bottom w:val="none" w:sz="0" w:space="0" w:color="auto"/>
                <w:right w:val="none" w:sz="0" w:space="0" w:color="auto"/>
              </w:divBdr>
              <w:divsChild>
                <w:div w:id="2114280436">
                  <w:marLeft w:val="0"/>
                  <w:marRight w:val="0"/>
                  <w:marTop w:val="0"/>
                  <w:marBottom w:val="0"/>
                  <w:divBdr>
                    <w:top w:val="none" w:sz="0" w:space="0" w:color="auto"/>
                    <w:left w:val="none" w:sz="0" w:space="0" w:color="auto"/>
                    <w:bottom w:val="none" w:sz="0" w:space="0" w:color="auto"/>
                    <w:right w:val="none" w:sz="0" w:space="0" w:color="auto"/>
                  </w:divBdr>
                  <w:divsChild>
                    <w:div w:id="1235897286">
                      <w:marLeft w:val="0"/>
                      <w:marRight w:val="0"/>
                      <w:marTop w:val="0"/>
                      <w:marBottom w:val="0"/>
                      <w:divBdr>
                        <w:top w:val="none" w:sz="0" w:space="0" w:color="auto"/>
                        <w:left w:val="none" w:sz="0" w:space="0" w:color="auto"/>
                        <w:bottom w:val="none" w:sz="0" w:space="0" w:color="auto"/>
                        <w:right w:val="none" w:sz="0" w:space="0" w:color="auto"/>
                      </w:divBdr>
                      <w:divsChild>
                        <w:div w:id="48693597">
                          <w:marLeft w:val="0"/>
                          <w:marRight w:val="0"/>
                          <w:marTop w:val="0"/>
                          <w:marBottom w:val="0"/>
                          <w:divBdr>
                            <w:top w:val="none" w:sz="0" w:space="0" w:color="auto"/>
                            <w:left w:val="none" w:sz="0" w:space="0" w:color="auto"/>
                            <w:bottom w:val="none" w:sz="0" w:space="0" w:color="auto"/>
                            <w:right w:val="none" w:sz="0" w:space="0" w:color="auto"/>
                          </w:divBdr>
                          <w:divsChild>
                            <w:div w:id="212588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8624819">
      <w:bodyDiv w:val="1"/>
      <w:marLeft w:val="0"/>
      <w:marRight w:val="0"/>
      <w:marTop w:val="0"/>
      <w:marBottom w:val="0"/>
      <w:divBdr>
        <w:top w:val="none" w:sz="0" w:space="0" w:color="auto"/>
        <w:left w:val="none" w:sz="0" w:space="0" w:color="auto"/>
        <w:bottom w:val="none" w:sz="0" w:space="0" w:color="auto"/>
        <w:right w:val="none" w:sz="0" w:space="0" w:color="auto"/>
      </w:divBdr>
    </w:div>
    <w:div w:id="1853908357">
      <w:bodyDiv w:val="1"/>
      <w:marLeft w:val="0"/>
      <w:marRight w:val="0"/>
      <w:marTop w:val="0"/>
      <w:marBottom w:val="0"/>
      <w:divBdr>
        <w:top w:val="none" w:sz="0" w:space="0" w:color="auto"/>
        <w:left w:val="none" w:sz="0" w:space="0" w:color="auto"/>
        <w:bottom w:val="none" w:sz="0" w:space="0" w:color="auto"/>
        <w:right w:val="none" w:sz="0" w:space="0" w:color="auto"/>
      </w:divBdr>
    </w:div>
    <w:div w:id="2022734595">
      <w:bodyDiv w:val="1"/>
      <w:marLeft w:val="0"/>
      <w:marRight w:val="0"/>
      <w:marTop w:val="0"/>
      <w:marBottom w:val="0"/>
      <w:divBdr>
        <w:top w:val="none" w:sz="0" w:space="0" w:color="auto"/>
        <w:left w:val="none" w:sz="0" w:space="0" w:color="auto"/>
        <w:bottom w:val="none" w:sz="0" w:space="0" w:color="auto"/>
        <w:right w:val="none" w:sz="0" w:space="0" w:color="auto"/>
      </w:divBdr>
      <w:divsChild>
        <w:div w:id="2136408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F34CC-FD6B-401E-91E0-8AD6F206F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Brandon Kuavita-Visipedro (HABH)</cp:lastModifiedBy>
  <cp:revision>2</cp:revision>
  <dcterms:created xsi:type="dcterms:W3CDTF">2025-12-05T12:55:00Z</dcterms:created>
  <dcterms:modified xsi:type="dcterms:W3CDTF">2025-12-05T12:55:00Z</dcterms:modified>
</cp:coreProperties>
</file>