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left"/>
        <w:rPr/>
      </w:pPr>
      <w:r w:rsidDel="00000000" w:rsidR="00000000" w:rsidRPr="00000000">
        <w:rPr>
          <w:rtl w:val="0"/>
        </w:rPr>
      </w:r>
    </w:p>
    <w:p w:rsidR="00000000" w:rsidDel="00000000" w:rsidP="00000000" w:rsidRDefault="00000000" w:rsidRPr="00000000" w14:paraId="00000001">
      <w:pPr>
        <w:contextualSpacing w:val="0"/>
        <w:rPr>
          <w:b w:val="1"/>
        </w:rPr>
      </w:pPr>
      <w:r w:rsidDel="00000000" w:rsidR="00000000" w:rsidRPr="00000000">
        <w:rPr>
          <w:b w:val="1"/>
          <w:rtl w:val="0"/>
        </w:rPr>
        <w:t xml:space="preserve">In what ways can touring theatre affect its audience in terms of addressing social, political and cultural issues? Base your response on your specific piece of theatre you are creating.</w:t>
      </w:r>
    </w:p>
    <w:p w:rsidR="00000000" w:rsidDel="00000000" w:rsidP="00000000" w:rsidRDefault="00000000" w:rsidRPr="00000000" w14:paraId="00000002">
      <w:pPr>
        <w:contextualSpacing w:val="0"/>
        <w:rPr/>
      </w:pPr>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03">
      <w:pPr>
        <w:contextualSpacing w:val="0"/>
        <w:rPr/>
      </w:pPr>
      <w:r w:rsidDel="00000000" w:rsidR="00000000" w:rsidRPr="00000000">
        <w:rPr>
          <w:rtl w:val="0"/>
        </w:rPr>
        <w:t xml:space="preserve">In terms of addressing social, political and cultural issues, touring theatre can affect its audience in many different ways. I would say it depends on the delivery method of the message. For example, Small World Theatre created the Cragen, a sea monster, out of recycled materials found on shorelines to bring awareness of our oceans, and how we need to keep them clean. Touring theatre is an effective way to address many an issue due to the fact that it isn’t presented in just one location, but rather can travel to areas where the issue needs to be heard the most.</w:t>
      </w:r>
    </w:p>
    <w:p w:rsidR="00000000" w:rsidDel="00000000" w:rsidP="00000000" w:rsidRDefault="00000000" w:rsidRPr="00000000" w14:paraId="00000004">
      <w:pPr>
        <w:contextualSpacing w:val="0"/>
        <w:rPr/>
      </w:pPr>
      <w:r w:rsidDel="00000000" w:rsidR="00000000" w:rsidRPr="00000000">
        <w:rPr>
          <w:rtl w:val="0"/>
        </w:rPr>
      </w:r>
    </w:p>
    <w:p w:rsidR="00000000" w:rsidDel="00000000" w:rsidP="00000000" w:rsidRDefault="00000000" w:rsidRPr="00000000" w14:paraId="00000005">
      <w:pPr>
        <w:contextualSpacing w:val="0"/>
        <w:rPr/>
      </w:pPr>
      <w:r w:rsidDel="00000000" w:rsidR="00000000" w:rsidRPr="00000000">
        <w:rPr>
          <w:rtl w:val="0"/>
        </w:rPr>
        <w:t xml:space="preserve">The theme we were given for this particular piece was “the environment”. From that, my touring group came up with the message of “celebrating nature”. The question of how could a strong message, whether it be social, political, cultural, or in this instance, environmental, be delivered in a way that would understand was brought up because of the projected age of our audience (5 to 7). We came to the conclusion that having a statement message could be unclear or confusing to such a young age. We then decided we would rather have fun with the piece we were creating and creating a message out of it could come later. We subtly address issues such as climate change, deforestation, pollution, inclusivity, and responsibility. </w:t>
      </w:r>
    </w:p>
    <w:p w:rsidR="00000000" w:rsidDel="00000000" w:rsidP="00000000" w:rsidRDefault="00000000" w:rsidRPr="00000000" w14:paraId="00000006">
      <w:pPr>
        <w:contextualSpacing w:val="0"/>
        <w:rPr/>
      </w:pPr>
      <w:r w:rsidDel="00000000" w:rsidR="00000000" w:rsidRPr="00000000">
        <w:rPr>
          <w:rtl w:val="0"/>
        </w:rPr>
      </w:r>
    </w:p>
    <w:p w:rsidR="00000000" w:rsidDel="00000000" w:rsidP="00000000" w:rsidRDefault="00000000" w:rsidRPr="00000000" w14:paraId="00000007">
      <w:pPr>
        <w:contextualSpacing w:val="0"/>
        <w:rPr/>
      </w:pPr>
      <w:r w:rsidDel="00000000" w:rsidR="00000000" w:rsidRPr="00000000">
        <w:rPr>
          <w:rtl w:val="0"/>
        </w:rPr>
        <w:t xml:space="preserve">Whether or not these issues are clear to our audience, is yet to be seen, but they have affected the members of our group. As a collective, we were wary of this piece as it’s such an extensive subject. Personally, this subject has always interested me and a lot of the research we did I had already had some knowledge of, but some of my groupmates have said that had the environment not been the focus of this module, they never would’ve gone out and researched any of this, or shown any interest at all. </w:t>
      </w:r>
    </w:p>
    <w:p w:rsidR="00000000" w:rsidDel="00000000" w:rsidP="00000000" w:rsidRDefault="00000000" w:rsidRPr="00000000" w14:paraId="00000008">
      <w:pPr>
        <w:contextualSpacing w:val="0"/>
        <w:rPr/>
      </w:pPr>
      <w:r w:rsidDel="00000000" w:rsidR="00000000" w:rsidRPr="00000000">
        <w:rPr>
          <w:rtl w:val="0"/>
        </w:rPr>
      </w:r>
    </w:p>
    <w:p w:rsidR="00000000" w:rsidDel="00000000" w:rsidP="00000000" w:rsidRDefault="00000000" w:rsidRPr="00000000" w14:paraId="00000009">
      <w:pPr>
        <w:contextualSpacing w:val="0"/>
        <w:rPr/>
      </w:pPr>
      <w:r w:rsidDel="00000000" w:rsidR="00000000" w:rsidRPr="00000000">
        <w:rPr>
          <w:rtl w:val="0"/>
        </w:rPr>
        <w:t xml:space="preserve">Overall, this task of devising and researching a piece to bring to tour has opened my eyes to the many ways a message can be delivered, as well as the many issues that our world faces.</w:t>
      </w:r>
    </w:p>
    <w:p w:rsidR="00000000" w:rsidDel="00000000" w:rsidP="00000000" w:rsidRDefault="00000000" w:rsidRPr="00000000" w14:paraId="0000000A">
      <w:pPr>
        <w:contextualSpacing w:val="0"/>
        <w:rPr/>
      </w:pPr>
      <w:r w:rsidDel="00000000" w:rsidR="00000000" w:rsidRPr="00000000">
        <w:rPr>
          <w:rtl w:val="0"/>
        </w:rPr>
      </w:r>
    </w:p>
    <w:p w:rsidR="00000000" w:rsidDel="00000000" w:rsidP="00000000" w:rsidRDefault="00000000" w:rsidRPr="00000000" w14:paraId="0000000B">
      <w:pPr>
        <w:contextualSpacing w:val="0"/>
        <w:rPr/>
      </w:pPr>
      <w:r w:rsidDel="00000000" w:rsidR="00000000" w:rsidRPr="00000000">
        <w:rPr>
          <w:rtl w:val="0"/>
        </w:rPr>
      </w:r>
    </w:p>
    <w:p w:rsidR="00000000" w:rsidDel="00000000" w:rsidP="00000000" w:rsidRDefault="00000000" w:rsidRPr="00000000" w14:paraId="0000000C">
      <w:pPr>
        <w:contextualSpacing w:val="0"/>
        <w:rPr/>
      </w:pPr>
      <w:r w:rsidDel="00000000" w:rsidR="00000000" w:rsidRPr="00000000">
        <w:rPr>
          <w:rtl w:val="0"/>
        </w:rPr>
      </w:r>
    </w:p>
    <w:p w:rsidR="00000000" w:rsidDel="00000000" w:rsidP="00000000" w:rsidRDefault="00000000" w:rsidRPr="00000000" w14:paraId="0000000D">
      <w:pPr>
        <w:contextualSpacing w:val="0"/>
        <w:rPr/>
      </w:pPr>
      <w:r w:rsidDel="00000000" w:rsidR="00000000" w:rsidRPr="00000000">
        <w:rPr>
          <w:rtl w:val="0"/>
        </w:rPr>
      </w:r>
    </w:p>
    <w:p w:rsidR="00000000" w:rsidDel="00000000" w:rsidP="00000000" w:rsidRDefault="00000000" w:rsidRPr="00000000" w14:paraId="0000000E">
      <w:pPr>
        <w:contextualSpacing w:val="0"/>
        <w:rPr/>
      </w:pPr>
      <w:r w:rsidDel="00000000" w:rsidR="00000000" w:rsidRPr="00000000">
        <w:rPr>
          <w:rtl w:val="0"/>
        </w:rPr>
      </w:r>
    </w:p>
    <w:p w:rsidR="00000000" w:rsidDel="00000000" w:rsidP="00000000" w:rsidRDefault="00000000" w:rsidRPr="00000000" w14:paraId="0000000F">
      <w:pPr>
        <w:contextualSpacing w:val="0"/>
        <w:rPr/>
      </w:pPr>
      <w:r w:rsidDel="00000000" w:rsidR="00000000" w:rsidRPr="00000000">
        <w:rPr>
          <w:rtl w:val="0"/>
        </w:rPr>
      </w:r>
    </w:p>
    <w:p w:rsidR="00000000" w:rsidDel="00000000" w:rsidP="00000000" w:rsidRDefault="00000000" w:rsidRPr="00000000" w14:paraId="00000010">
      <w:pPr>
        <w:contextualSpacing w:val="0"/>
        <w:rPr/>
      </w:pPr>
      <w:r w:rsidDel="00000000" w:rsidR="00000000" w:rsidRPr="00000000">
        <w:rPr>
          <w:rtl w:val="0"/>
        </w:rPr>
      </w:r>
    </w:p>
    <w:p w:rsidR="00000000" w:rsidDel="00000000" w:rsidP="00000000" w:rsidRDefault="00000000" w:rsidRPr="00000000" w14:paraId="00000011">
      <w:pPr>
        <w:contextualSpacing w:val="0"/>
        <w:rPr/>
      </w:pPr>
      <w:r w:rsidDel="00000000" w:rsidR="00000000" w:rsidRPr="00000000">
        <w:rPr>
          <w:rtl w:val="0"/>
        </w:rPr>
      </w:r>
    </w:p>
    <w:p w:rsidR="00000000" w:rsidDel="00000000" w:rsidP="00000000" w:rsidRDefault="00000000" w:rsidRPr="00000000" w14:paraId="00000012">
      <w:pPr>
        <w:contextualSpacing w:val="0"/>
        <w:rPr/>
      </w:pPr>
      <w:r w:rsidDel="00000000" w:rsidR="00000000" w:rsidRPr="00000000">
        <w:rPr>
          <w:rtl w:val="0"/>
        </w:rPr>
      </w:r>
    </w:p>
    <w:p w:rsidR="00000000" w:rsidDel="00000000" w:rsidP="00000000" w:rsidRDefault="00000000" w:rsidRPr="00000000" w14:paraId="00000013">
      <w:pPr>
        <w:contextualSpacing w:val="0"/>
        <w:rPr/>
      </w:pPr>
      <w:r w:rsidDel="00000000" w:rsidR="00000000" w:rsidRPr="00000000">
        <w:rPr>
          <w:rtl w:val="0"/>
        </w:rPr>
      </w:r>
    </w:p>
    <w:p w:rsidR="00000000" w:rsidDel="00000000" w:rsidP="00000000" w:rsidRDefault="00000000" w:rsidRPr="00000000" w14:paraId="00000014">
      <w:pPr>
        <w:contextualSpacing w:val="0"/>
        <w:rPr/>
      </w:pPr>
      <w:r w:rsidDel="00000000" w:rsidR="00000000" w:rsidRPr="00000000">
        <w:rPr>
          <w:rtl w:val="0"/>
        </w:rPr>
      </w:r>
    </w:p>
    <w:p w:rsidR="00000000" w:rsidDel="00000000" w:rsidP="00000000" w:rsidRDefault="00000000" w:rsidRPr="00000000" w14:paraId="00000015">
      <w:pPr>
        <w:contextualSpacing w:val="0"/>
        <w:rPr/>
      </w:pPr>
      <w:r w:rsidDel="00000000" w:rsidR="00000000" w:rsidRPr="00000000">
        <w:rPr>
          <w:rtl w:val="0"/>
        </w:rPr>
      </w:r>
    </w:p>
    <w:p w:rsidR="00000000" w:rsidDel="00000000" w:rsidP="00000000" w:rsidRDefault="00000000" w:rsidRPr="00000000" w14:paraId="00000016">
      <w:pPr>
        <w:contextualSpacing w:val="0"/>
        <w:rPr/>
      </w:pPr>
      <w:r w:rsidDel="00000000" w:rsidR="00000000" w:rsidRPr="00000000">
        <w:rPr>
          <w:rtl w:val="0"/>
        </w:rPr>
        <w:t xml:space="preserve">BIBLIOGRAPHY</w:t>
      </w:r>
    </w:p>
    <w:p w:rsidR="00000000" w:rsidDel="00000000" w:rsidP="00000000" w:rsidRDefault="00000000" w:rsidRPr="00000000" w14:paraId="00000017">
      <w:pPr>
        <w:contextualSpacing w:val="0"/>
        <w:rPr/>
      </w:pPr>
      <w:r w:rsidDel="00000000" w:rsidR="00000000" w:rsidRPr="00000000">
        <w:rPr>
          <w:rtl w:val="0"/>
        </w:rPr>
      </w:r>
    </w:p>
    <w:p w:rsidR="00000000" w:rsidDel="00000000" w:rsidP="00000000" w:rsidRDefault="00000000" w:rsidRPr="00000000" w14:paraId="00000018">
      <w:pPr>
        <w:contextualSpacing w:val="0"/>
        <w:rPr/>
      </w:pPr>
      <w:r w:rsidDel="00000000" w:rsidR="00000000" w:rsidRPr="00000000">
        <w:rPr>
          <w:rtl w:val="0"/>
        </w:rPr>
        <w:t xml:space="preserve">Anderson, K. Good Grief! Using the Grief Sheet to Improve Community Theatre Production: telling the story better than it has ever been told.</w:t>
        <w:br w:type="textWrapping"/>
        <w:t xml:space="preserve">Barr, Richard Lewis. Rooms with a View: the Stages of Community in the Modern Theatre.</w:t>
        <w:br w:type="textWrapping"/>
        <w:t xml:space="preserve">Billingham, P. Radical Initiatives in Interventionist and Community Drama.</w:t>
        <w:br w:type="textWrapping"/>
        <w:t xml:space="preserve">Billingham, P. Theatres of Conscience 1939-53: a Study of Four Touring British Community Theatres. Beddow, Neil. Turning Points: the Impact of Participation in Community Theatre.</w:t>
        <w:br w:type="textWrapping"/>
        <w:t xml:space="preserve">Boon, R &amp; Plaistow, J. Theatre and Empowerment: Community Drama on the World Stage</w:t>
        <w:br w:type="textWrapping"/>
        <w:t xml:space="preserve">Cohen. Community Theatre Handbook</w:t>
        <w:br w:type="textWrapping"/>
        <w:t xml:space="preserve">Dellar, P. People Make Plays: Aspects of Community Theatre in Hull since 1955.</w:t>
        <w:br w:type="textWrapping"/>
        <w:t xml:space="preserve">Downing, D. In Our Neighbourhood: a Regional Theatre and its Local Community</w:t>
        <w:br w:type="textWrapping"/>
        <w:t xml:space="preserve">Gooch, S. Altogether Now: An Alternative View of Theatre and the Community, London: Methuen, 1984. Kershaw, B. &amp; Coult, T. Engineers of the Imagination: the Welfare State Handbook, London: Methuen, 1990.</w:t>
        <w:br w:type="textWrapping"/>
        <w:t xml:space="preserve">Kershaw, B. The Politics of Performance: Radical Theatre as Cultural Intervention, London: Routledge, 1992.</w:t>
        <w:br w:type="textWrapping"/>
        <w:t xml:space="preserve">McCarthy, J. &amp; Galvao, K. Enacting Participatory Development: Theatre-based Techniques.</w:t>
        <w:br w:type="textWrapping"/>
        <w:t xml:space="preserve">McGrath, J. A Good Night Out, London: Methuen, 1981.</w:t>
        <w:br w:type="textWrapping"/>
        <w:t xml:space="preserve">Nicholson, H. Applied Drama, Basingstoke: Macmillan, 2005.</w:t>
        <w:br w:type="textWrapping"/>
        <w:t xml:space="preserve">Oddey, A. Devising Theatre, London: Routledge, 1994.</w:t>
        <w:br w:type="textWrapping"/>
        <w:t xml:space="preserve">Rohd, M. Theatre for Community.</w:t>
        <w:br w:type="textWrapping"/>
        <w:t xml:space="preserve">Schweitzer, P. Reminiscence Theatre: Making Theatre from Memories. </w:t>
      </w:r>
    </w:p>
    <w:p w:rsidR="00000000" w:rsidDel="00000000" w:rsidP="00000000" w:rsidRDefault="00000000" w:rsidRPr="00000000" w14:paraId="00000019">
      <w:pPr>
        <w:contextualSpacing w:val="0"/>
        <w:rPr/>
      </w:pPr>
      <w:r w:rsidDel="00000000" w:rsidR="00000000" w:rsidRPr="00000000">
        <w:rPr>
          <w:rtl w:val="0"/>
        </w:rPr>
        <w:t xml:space="preserve">Taylor, P. Applied Theatre, Portsmouth: Heinemann, 2003.</w:t>
        <w:br w:type="textWrapping"/>
        <w:t xml:space="preserve">Thompson, J. Applied Theatre: Bewilderment and Beyond.</w:t>
        <w:br w:type="textWrapping"/>
        <w:t xml:space="preserve">Van Erven, E. Community Theatre: Global Perspectives.</w:t>
      </w:r>
    </w:p>
    <w:p w:rsidR="00000000" w:rsidDel="00000000" w:rsidP="00000000" w:rsidRDefault="00000000" w:rsidRPr="00000000" w14:paraId="0000001A">
      <w:pPr>
        <w:contextualSpacing w:val="0"/>
        <w:rPr/>
      </w:pPr>
      <w:r w:rsidDel="00000000" w:rsidR="00000000" w:rsidRPr="00000000">
        <w:rPr>
          <w:rtl w:val="0"/>
        </w:rPr>
      </w:r>
    </w:p>
    <w:p w:rsidR="00000000" w:rsidDel="00000000" w:rsidP="00000000" w:rsidRDefault="00000000" w:rsidRPr="00000000" w14:paraId="0000001B">
      <w:pPr>
        <w:contextualSpacing w:val="0"/>
        <w:rPr/>
      </w:pPr>
      <w:r w:rsidDel="00000000" w:rsidR="00000000" w:rsidRPr="00000000">
        <w:rPr>
          <w:rtl w:val="0"/>
        </w:rPr>
        <w:t xml:space="preserve">"Cragen – Wales' New Legendary Sea Monster." Cleanseascragen.wales. N. p., 2018. Web. 25 Oct. 2018.</w:t>
      </w:r>
    </w:p>
    <w:p w:rsidR="00000000" w:rsidDel="00000000" w:rsidP="00000000" w:rsidRDefault="00000000" w:rsidRPr="00000000" w14:paraId="0000001C">
      <w:pPr>
        <w:pStyle w:val="Heading4"/>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contextualSpacing w:val="0"/>
        <w:rPr/>
      </w:pPr>
      <w:bookmarkStart w:colFirst="0" w:colLast="0" w:name="_w2k97rdx0vy9" w:id="0"/>
      <w:bookmarkEnd w:id="0"/>
      <w:r w:rsidDel="00000000" w:rsidR="00000000" w:rsidRPr="00000000">
        <w:rPr>
          <w:color w:val="000000"/>
          <w:sz w:val="22"/>
          <w:szCs w:val="22"/>
          <w:rtl w:val="0"/>
        </w:rPr>
        <w:t xml:space="preserve">"Did Canada Buy An Oil Pipeline In Fear Of Being Sued By China?." </w:t>
      </w:r>
      <w:r w:rsidDel="00000000" w:rsidR="00000000" w:rsidRPr="00000000">
        <w:rPr>
          <w:i w:val="1"/>
          <w:color w:val="000000"/>
          <w:sz w:val="22"/>
          <w:szCs w:val="22"/>
          <w:rtl w:val="0"/>
        </w:rPr>
        <w:t xml:space="preserve">the Guardian</w:t>
      </w:r>
      <w:r w:rsidDel="00000000" w:rsidR="00000000" w:rsidRPr="00000000">
        <w:rPr>
          <w:color w:val="000000"/>
          <w:sz w:val="22"/>
          <w:szCs w:val="22"/>
          <w:rtl w:val="0"/>
        </w:rPr>
        <w:t xml:space="preserve">. N. p., 2018. Web. 25 Oct. 2018.</w:t>
      </w:r>
      <w:r w:rsidDel="00000000" w:rsidR="00000000" w:rsidRPr="00000000">
        <w:rPr>
          <w:rtl w:val="0"/>
        </w:rPr>
      </w:r>
    </w:p>
    <w:p w:rsidR="00000000" w:rsidDel="00000000" w:rsidP="00000000" w:rsidRDefault="00000000" w:rsidRPr="00000000" w14:paraId="0000001D">
      <w:pPr>
        <w:pStyle w:val="Heading4"/>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contextualSpacing w:val="0"/>
        <w:rPr>
          <w:color w:val="000000"/>
          <w:sz w:val="22"/>
          <w:szCs w:val="22"/>
        </w:rPr>
      </w:pPr>
      <w:bookmarkStart w:colFirst="0" w:colLast="0" w:name="_1rzglittamff" w:id="1"/>
      <w:bookmarkEnd w:id="1"/>
      <w:r w:rsidDel="00000000" w:rsidR="00000000" w:rsidRPr="00000000">
        <w:rPr>
          <w:color w:val="000000"/>
          <w:sz w:val="22"/>
          <w:szCs w:val="22"/>
          <w:rtl w:val="0"/>
        </w:rPr>
        <w:t xml:space="preserve">Theatre, book et al. "Small World Theatre." </w:t>
      </w:r>
      <w:r w:rsidDel="00000000" w:rsidR="00000000" w:rsidRPr="00000000">
        <w:rPr>
          <w:i w:val="1"/>
          <w:color w:val="000000"/>
          <w:sz w:val="22"/>
          <w:szCs w:val="22"/>
          <w:rtl w:val="0"/>
        </w:rPr>
        <w:t xml:space="preserve">Small World Theatre</w:t>
      </w:r>
      <w:r w:rsidDel="00000000" w:rsidR="00000000" w:rsidRPr="00000000">
        <w:rPr>
          <w:color w:val="000000"/>
          <w:sz w:val="22"/>
          <w:szCs w:val="22"/>
          <w:rtl w:val="0"/>
        </w:rPr>
        <w:t xml:space="preserve">. N. p., 2018. Web. 25 Oct. 2018.</w:t>
      </w:r>
    </w:p>
    <w:p w:rsidR="00000000" w:rsidDel="00000000" w:rsidP="00000000" w:rsidRDefault="00000000" w:rsidRPr="00000000" w14:paraId="0000001E">
      <w:pPr>
        <w:pStyle w:val="Heading4"/>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contextualSpacing w:val="0"/>
        <w:rPr>
          <w:color w:val="000000"/>
          <w:sz w:val="22"/>
          <w:szCs w:val="22"/>
        </w:rPr>
      </w:pPr>
      <w:bookmarkStart w:colFirst="0" w:colLast="0" w:name="_mkux90o0wbmu" w:id="2"/>
      <w:bookmarkEnd w:id="2"/>
      <w:r w:rsidDel="00000000" w:rsidR="00000000" w:rsidRPr="00000000">
        <w:rPr>
          <w:color w:val="000000"/>
          <w:sz w:val="22"/>
          <w:szCs w:val="22"/>
          <w:rtl w:val="0"/>
        </w:rPr>
        <w:t xml:space="preserve">"Touring Theatre." </w:t>
      </w:r>
      <w:r w:rsidDel="00000000" w:rsidR="00000000" w:rsidRPr="00000000">
        <w:rPr>
          <w:i w:val="1"/>
          <w:color w:val="000000"/>
          <w:sz w:val="22"/>
          <w:szCs w:val="22"/>
          <w:rtl w:val="0"/>
        </w:rPr>
        <w:t xml:space="preserve">En.wikipedia.org</w:t>
      </w:r>
      <w:r w:rsidDel="00000000" w:rsidR="00000000" w:rsidRPr="00000000">
        <w:rPr>
          <w:color w:val="000000"/>
          <w:sz w:val="22"/>
          <w:szCs w:val="22"/>
          <w:rtl w:val="0"/>
        </w:rPr>
        <w:t xml:space="preserve">. N. p., 2018. Web. 25 Oct. 2018.</w:t>
      </w:r>
    </w:p>
    <w:p w:rsidR="00000000" w:rsidDel="00000000" w:rsidP="00000000" w:rsidRDefault="00000000" w:rsidRPr="00000000" w14:paraId="0000001F">
      <w:pPr>
        <w:pStyle w:val="Heading4"/>
        <w:keepNext w:val="0"/>
        <w:keepLines w:val="0"/>
        <w:pBdr>
          <w:top w:color="auto" w:space="0" w:sz="0" w:val="none"/>
          <w:left w:color="auto" w:space="0" w:sz="0" w:val="none"/>
          <w:bottom w:color="auto" w:space="0" w:sz="0" w:val="none"/>
          <w:right w:color="auto" w:space="0" w:sz="0" w:val="none"/>
          <w:between w:color="auto" w:space="0" w:sz="0" w:val="none"/>
        </w:pBdr>
        <w:spacing w:after="0" w:before="0" w:line="360" w:lineRule="auto"/>
        <w:contextualSpacing w:val="0"/>
        <w:rPr>
          <w:color w:val="000000"/>
          <w:sz w:val="22"/>
          <w:szCs w:val="22"/>
        </w:rPr>
      </w:pPr>
      <w:bookmarkStart w:colFirst="0" w:colLast="0" w:name="_l864fhmvkwqd" w:id="3"/>
      <w:bookmarkEnd w:id="3"/>
      <w:r w:rsidDel="00000000" w:rsidR="00000000" w:rsidRPr="00000000">
        <w:rPr>
          <w:rtl w:val="0"/>
        </w:rPr>
      </w:r>
    </w:p>
    <w:p w:rsidR="00000000" w:rsidDel="00000000" w:rsidP="00000000" w:rsidRDefault="00000000" w:rsidRPr="00000000" w14:paraId="00000020">
      <w:pPr>
        <w:contextualSpacing w:val="0"/>
        <w:rPr/>
      </w:pPr>
      <w:r w:rsidDel="00000000" w:rsidR="00000000" w:rsidRPr="00000000">
        <w:rPr>
          <w:rtl w:val="0"/>
        </w:rPr>
      </w:r>
    </w:p>
    <w:sectPr>
      <w:headerReference r:id="rId6" w:type="default"/>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1">
    <w:pPr>
      <w:contextualSpacing w:val="0"/>
      <w:rPr/>
    </w:pPr>
    <w:r w:rsidDel="00000000" w:rsidR="00000000" w:rsidRPr="00000000">
      <w:rPr>
        <w:rtl w:val="0"/>
      </w:rPr>
      <w:t xml:space="preserve">Etella Keenan 1804111</w:t>
    </w:r>
  </w:p>
  <w:p w:rsidR="00000000" w:rsidDel="00000000" w:rsidP="00000000" w:rsidRDefault="00000000" w:rsidRPr="00000000" w14:paraId="00000022">
    <w:pPr>
      <w:contextualSpacing w:val="0"/>
      <w:rPr/>
    </w:pPr>
    <w:r w:rsidDel="00000000" w:rsidR="00000000" w:rsidRPr="00000000">
      <w:rPr>
        <w:rtl w:val="0"/>
      </w:rPr>
      <w:t xml:space="preserve">Touring Theatre HP AC 6001</w:t>
    </w:r>
  </w:p>
  <w:p w:rsidR="00000000" w:rsidDel="00000000" w:rsidP="00000000" w:rsidRDefault="00000000" w:rsidRPr="00000000" w14:paraId="00000023">
    <w:pPr>
      <w:contextualSpacing w:val="0"/>
      <w:rPr/>
    </w:pPr>
    <w:r w:rsidDel="00000000" w:rsidR="00000000" w:rsidRPr="00000000">
      <w:rPr>
        <w:rtl w:val="0"/>
      </w:rPr>
      <w:t xml:space="preserve">Tour Group 1</w:t>
    </w:r>
  </w:p>
  <w:p w:rsidR="00000000" w:rsidDel="00000000" w:rsidP="00000000" w:rsidRDefault="00000000" w:rsidRPr="00000000" w14:paraId="00000024">
    <w:pPr>
      <w:contextualSpacing w:val="0"/>
      <w:rPr/>
    </w:pPr>
    <w:r w:rsidDel="00000000" w:rsidR="00000000" w:rsidRPr="00000000">
      <w:rPr>
        <w:rtl w:val="0"/>
      </w:rPr>
      <w:t xml:space="preserve">24/10/2018</w:t>
    </w:r>
  </w:p>
  <w:p w:rsidR="00000000" w:rsidDel="00000000" w:rsidP="00000000" w:rsidRDefault="00000000" w:rsidRPr="00000000" w14:paraId="00000025">
    <w:pPr>
      <w:contextualSpacing w:val="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