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C46015" w:rsidRDefault="0064714F" w14:paraId="03AAFA2F" w14:textId="77777777">
      <w:pPr>
        <w:rPr>
          <w:b/>
          <w:sz w:val="32"/>
          <w:szCs w:val="32"/>
        </w:rPr>
      </w:pPr>
      <w:r>
        <w:rPr>
          <w:b/>
          <w:sz w:val="32"/>
          <w:szCs w:val="32"/>
        </w:rPr>
        <w:br/>
      </w:r>
      <w:r>
        <w:rPr>
          <w:b/>
          <w:noProof/>
          <w:sz w:val="32"/>
          <w:szCs w:val="32"/>
        </w:rPr>
        <w:drawing>
          <wp:inline distT="114300" distB="114300" distL="114300" distR="114300" wp14:anchorId="186BEFE3" wp14:editId="7FDEA829">
            <wp:extent cx="1981200" cy="7620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981200" cy="762000"/>
                    </a:xfrm>
                    <a:prstGeom prst="rect">
                      <a:avLst/>
                    </a:prstGeom>
                    <a:ln/>
                  </pic:spPr>
                </pic:pic>
              </a:graphicData>
            </a:graphic>
          </wp:inline>
        </w:drawing>
      </w:r>
    </w:p>
    <w:p w:rsidR="00C46015" w:rsidRDefault="00C46015" w14:paraId="514C9186" w14:textId="77777777">
      <w:pPr>
        <w:jc w:val="center"/>
        <w:rPr>
          <w:b/>
          <w:sz w:val="32"/>
          <w:szCs w:val="32"/>
        </w:rPr>
      </w:pPr>
    </w:p>
    <w:p w:rsidR="00C46015" w:rsidRDefault="00C46015" w14:paraId="0177A138" w14:textId="77777777">
      <w:pPr>
        <w:jc w:val="center"/>
        <w:rPr>
          <w:b/>
          <w:sz w:val="32"/>
          <w:szCs w:val="32"/>
        </w:rPr>
      </w:pPr>
    </w:p>
    <w:p w:rsidR="00C46015" w:rsidRDefault="00C46015" w14:paraId="65708528" w14:textId="77777777">
      <w:pPr>
        <w:jc w:val="center"/>
        <w:rPr>
          <w:b/>
          <w:sz w:val="32"/>
          <w:szCs w:val="32"/>
        </w:rPr>
      </w:pPr>
    </w:p>
    <w:p w:rsidR="00C46015" w:rsidRDefault="0064714F" w14:paraId="28B148FE" w14:textId="77777777">
      <w:pPr>
        <w:jc w:val="center"/>
        <w:rPr>
          <w:b/>
          <w:sz w:val="32"/>
          <w:szCs w:val="32"/>
        </w:rPr>
      </w:pPr>
      <w:r>
        <w:rPr>
          <w:b/>
          <w:sz w:val="32"/>
          <w:szCs w:val="32"/>
        </w:rPr>
        <w:t>MODULE NAME: INTERNATIONAL BUSINESS COMMUNICATIONS</w:t>
      </w:r>
    </w:p>
    <w:p w:rsidR="00C46015" w:rsidRDefault="00C46015" w14:paraId="344A0813" w14:textId="77777777">
      <w:pPr>
        <w:jc w:val="center"/>
        <w:rPr>
          <w:b/>
          <w:sz w:val="32"/>
          <w:szCs w:val="32"/>
        </w:rPr>
      </w:pPr>
    </w:p>
    <w:p w:rsidR="00C46015" w:rsidRDefault="00C46015" w14:paraId="1724858A" w14:textId="77777777">
      <w:pPr>
        <w:jc w:val="center"/>
        <w:rPr>
          <w:b/>
          <w:sz w:val="32"/>
          <w:szCs w:val="32"/>
        </w:rPr>
      </w:pPr>
    </w:p>
    <w:p w:rsidR="00C46015" w:rsidRDefault="0064714F" w14:paraId="6F23C14B" w14:textId="77777777">
      <w:pPr>
        <w:jc w:val="center"/>
        <w:rPr>
          <w:b/>
          <w:sz w:val="32"/>
          <w:szCs w:val="32"/>
        </w:rPr>
      </w:pPr>
      <w:r>
        <w:rPr>
          <w:b/>
          <w:sz w:val="32"/>
          <w:szCs w:val="32"/>
        </w:rPr>
        <w:t>MODULE CODE: LCBB6001</w:t>
      </w:r>
    </w:p>
    <w:p w:rsidR="00C46015" w:rsidRDefault="00C46015" w14:paraId="49BB42FF" w14:textId="77777777">
      <w:pPr>
        <w:jc w:val="center"/>
        <w:rPr>
          <w:b/>
          <w:sz w:val="32"/>
          <w:szCs w:val="32"/>
        </w:rPr>
      </w:pPr>
    </w:p>
    <w:p w:rsidR="00C46015" w:rsidRDefault="00C46015" w14:paraId="30060814" w14:textId="77777777">
      <w:pPr>
        <w:jc w:val="center"/>
        <w:rPr>
          <w:b/>
          <w:sz w:val="32"/>
          <w:szCs w:val="32"/>
        </w:rPr>
      </w:pPr>
    </w:p>
    <w:p w:rsidR="00C46015" w:rsidRDefault="0064714F" w14:paraId="7270C021" w14:textId="77777777">
      <w:pPr>
        <w:jc w:val="center"/>
        <w:rPr>
          <w:b/>
          <w:sz w:val="32"/>
          <w:szCs w:val="32"/>
        </w:rPr>
      </w:pPr>
      <w:r>
        <w:rPr>
          <w:b/>
          <w:sz w:val="32"/>
          <w:szCs w:val="32"/>
        </w:rPr>
        <w:t>MODULE LEADER: DR CHARLES NWAOGWUGWU ZAINAB ATTA</w:t>
      </w:r>
    </w:p>
    <w:p w:rsidR="00C46015" w:rsidRDefault="00C46015" w14:paraId="6A879C29" w14:textId="77777777">
      <w:pPr>
        <w:jc w:val="center"/>
        <w:rPr>
          <w:b/>
          <w:sz w:val="32"/>
          <w:szCs w:val="32"/>
        </w:rPr>
      </w:pPr>
    </w:p>
    <w:p w:rsidR="00C46015" w:rsidRDefault="00C46015" w14:paraId="6F7EB991" w14:textId="77777777">
      <w:pPr>
        <w:jc w:val="center"/>
        <w:rPr>
          <w:b/>
          <w:sz w:val="32"/>
          <w:szCs w:val="32"/>
        </w:rPr>
      </w:pPr>
    </w:p>
    <w:p w:rsidR="00C46015" w:rsidRDefault="0064714F" w14:paraId="6BA1E65C" w14:textId="77777777">
      <w:pPr>
        <w:jc w:val="center"/>
        <w:rPr>
          <w:b/>
          <w:sz w:val="32"/>
          <w:szCs w:val="32"/>
        </w:rPr>
      </w:pPr>
      <w:r>
        <w:rPr>
          <w:b/>
          <w:sz w:val="32"/>
          <w:szCs w:val="32"/>
        </w:rPr>
        <w:t>ASSIGNMENT TITLE: COMPONENT 1 COURSEWORK: ESSAY</w:t>
      </w:r>
    </w:p>
    <w:p w:rsidR="00C46015" w:rsidRDefault="00C46015" w14:paraId="3D0F4CD6" w14:textId="77777777">
      <w:pPr>
        <w:jc w:val="center"/>
        <w:rPr>
          <w:b/>
          <w:sz w:val="32"/>
          <w:szCs w:val="32"/>
        </w:rPr>
      </w:pPr>
    </w:p>
    <w:p w:rsidR="00C46015" w:rsidRDefault="00C46015" w14:paraId="0F03797F" w14:textId="77777777">
      <w:pPr>
        <w:jc w:val="center"/>
        <w:rPr>
          <w:b/>
          <w:sz w:val="32"/>
          <w:szCs w:val="32"/>
        </w:rPr>
      </w:pPr>
    </w:p>
    <w:p w:rsidR="00C46015" w:rsidRDefault="0064714F" w14:paraId="1358C91E" w14:textId="77777777">
      <w:pPr>
        <w:jc w:val="center"/>
        <w:rPr>
          <w:b/>
          <w:sz w:val="32"/>
          <w:szCs w:val="32"/>
        </w:rPr>
      </w:pPr>
      <w:r>
        <w:rPr>
          <w:b/>
          <w:sz w:val="32"/>
          <w:szCs w:val="32"/>
        </w:rPr>
        <w:t>STUDENT NAME: CERASELA LAVINIA</w:t>
      </w:r>
    </w:p>
    <w:p w:rsidR="00C46015" w:rsidP="6B718DEE" w:rsidRDefault="0064714F" w14:paraId="50283E6B" w14:textId="76D80A9B">
      <w:pPr>
        <w:jc w:val="center"/>
        <w:rPr>
          <w:b w:val="1"/>
          <w:bCs w:val="1"/>
          <w:sz w:val="32"/>
          <w:szCs w:val="32"/>
        </w:rPr>
      </w:pPr>
      <w:r w:rsidRPr="6B718DEE" w:rsidR="0064714F">
        <w:rPr>
          <w:b w:val="1"/>
          <w:bCs w:val="1"/>
          <w:sz w:val="32"/>
          <w:szCs w:val="32"/>
        </w:rPr>
        <w:t>STUDENT ID:</w:t>
      </w:r>
      <w:r w:rsidRPr="6B718DEE" w:rsidR="1ABFC385">
        <w:rPr>
          <w:b w:val="1"/>
          <w:bCs w:val="1"/>
          <w:sz w:val="32"/>
          <w:szCs w:val="32"/>
        </w:rPr>
        <w:t>2125057</w:t>
      </w:r>
      <w:r w:rsidRPr="6B718DEE" w:rsidR="0064714F">
        <w:rPr>
          <w:b w:val="1"/>
          <w:bCs w:val="1"/>
          <w:sz w:val="32"/>
          <w:szCs w:val="32"/>
        </w:rPr>
        <w:t xml:space="preserve"> </w:t>
      </w:r>
      <w:r>
        <w:br w:type="page"/>
      </w:r>
    </w:p>
    <w:p w:rsidR="00C46015" w:rsidRDefault="0064714F" w14:paraId="32EF6364" w14:textId="77777777">
      <w:pPr>
        <w:rPr>
          <w:b/>
        </w:rPr>
      </w:pPr>
      <w:r>
        <w:rPr>
          <w:b/>
        </w:rPr>
        <w:lastRenderedPageBreak/>
        <w:t>Introduction</w:t>
      </w:r>
    </w:p>
    <w:p w:rsidR="00C46015" w:rsidRDefault="0064714F" w14:paraId="24C4C8F9" w14:textId="77777777">
      <w:r>
        <w:t xml:space="preserve">Business communication can be understood to be the processes of interaction which takes place between businesses to carry out all its operations effectively (Guffey </w:t>
      </w:r>
      <w:r>
        <w:rPr>
          <w:i/>
        </w:rPr>
        <w:t>et al</w:t>
      </w:r>
      <w:r>
        <w:t xml:space="preserve">., 2021). The system of effective communication is seen to be beneficial for the information sharing options in and outside of the businesses. This is thus helpful for achieving the business purpose of an organisation and acquiring all operational objectives. The following essay will be based on suggesting a suitable company for the expansion of Linde, a British multinational company into an EU-based country. Moreover, this essay will also state the different communication barriers which can be involved in the expansion process and ways to address them. </w:t>
      </w:r>
    </w:p>
    <w:p w:rsidR="00C46015" w:rsidRDefault="0064714F" w14:paraId="2C5EC389" w14:textId="77777777">
      <w:pPr>
        <w:rPr>
          <w:b/>
        </w:rPr>
      </w:pPr>
      <w:r>
        <w:rPr>
          <w:b/>
        </w:rPr>
        <w:t>Discussion</w:t>
      </w:r>
    </w:p>
    <w:p w:rsidR="00C46015" w:rsidRDefault="0064714F" w14:paraId="4A8038C2" w14:textId="77777777">
      <w:pPr>
        <w:rPr>
          <w:b/>
          <w:i/>
        </w:rPr>
      </w:pPr>
      <w:r>
        <w:rPr>
          <w:b/>
          <w:i/>
        </w:rPr>
        <w:t>Overviewing the Organisation - Linde</w:t>
      </w:r>
    </w:p>
    <w:p w:rsidR="00C46015" w:rsidRDefault="0064714F" w14:paraId="340E4A16" w14:textId="77777777">
      <w:r>
        <w:t xml:space="preserve">Linde has been found to originate in the German market of Europe in 2018 as an industrial and commercial gas company. However, post-BREXIT the company was adversely affected in the EU markets for which its headquarters had to be shifted to the UK. Linde is extensively dedicated to producing more hydrogen as a part of its sustainability initiative to support the growth of hydrogen-fuelled vehicles (linde.com, 2024). The primary aim of Linde has been determined to encourage sustainability and contribute to decarbonisation of the globe. This has been initiated by increasing the use of innovative technologies to capture carbon and produce clean hydrogen. Linde, the multinational gas company, has accounted for a global revenue of £26.12 billion in 2022 from £11.61 in 2018 (statista.com, 2024). Currently, the company has been seeking to expand its business again into the EU markets to gain potential service revenue and operational growth. </w:t>
      </w:r>
    </w:p>
    <w:p w:rsidR="00C46015" w:rsidRDefault="0064714F" w14:paraId="233CFF24" w14:textId="77777777">
      <w:pPr>
        <w:rPr>
          <w:b/>
          <w:i/>
        </w:rPr>
      </w:pPr>
      <w:r>
        <w:rPr>
          <w:b/>
          <w:i/>
        </w:rPr>
        <w:t>Evaluation of Finland’s Cultural Contexts</w:t>
      </w:r>
    </w:p>
    <w:p w:rsidR="00C46015" w:rsidRDefault="0064714F" w14:paraId="7614D70D" w14:textId="77777777">
      <w:r>
        <w:t xml:space="preserve">Finland has been considered to be associated with a potential number of cultural factors which impact the operations of an organisation in the cultural contexts. The cultural and social dimensions of Finland can be discussed with the help of </w:t>
      </w:r>
      <w:proofErr w:type="spellStart"/>
      <w:r>
        <w:t>Hofstsede’s</w:t>
      </w:r>
      <w:proofErr w:type="spellEnd"/>
      <w:r>
        <w:t xml:space="preserve"> cultural model. As per the evaluations of </w:t>
      </w:r>
      <w:proofErr w:type="spellStart"/>
      <w:r>
        <w:t>Minkov</w:t>
      </w:r>
      <w:proofErr w:type="spellEnd"/>
      <w:r>
        <w:t xml:space="preserve"> and </w:t>
      </w:r>
      <w:proofErr w:type="spellStart"/>
      <w:r>
        <w:t>Kaasa</w:t>
      </w:r>
      <w:proofErr w:type="spellEnd"/>
      <w:r>
        <w:t xml:space="preserve"> (2021), Hofstede’s cultural dimension model has been analysed to be based on six indexes or dimensions. First, the power distance index (PDI) of Finland has been estimated to be low which shows that people in Finland are not in support of inequality. Finland has been found to score approximately 33 in this dimension which shows a low PDI (hofstede-insights.com, 2024). Further, a low PDI shows that organisations in Finland should be mostly flat in structure and democracy in decision-making should be encouraged. Secondly, individualism according to Hofstede's model has been understood to be the perception of the people in social contexts. Finland has been found to have a higher score in </w:t>
      </w:r>
      <w:r>
        <w:lastRenderedPageBreak/>
        <w:t xml:space="preserve">the individualism aspects, which show that people in the country are more likely to enjoy their freedom and are more interested in staying concerned about themselves and their immediate surroundings. </w:t>
      </w:r>
    </w:p>
    <w:p w:rsidR="00C46015" w:rsidRDefault="0064714F" w14:paraId="188AF8CC" w14:textId="0FA1AA57">
      <w:r>
        <w:t xml:space="preserve">Next, it has found that motivation towards success and achievement index has accounted for a lower score for Finland. According to Roy (2020), a lower score for people’s motivation towards success has been evidence that the labour force in a country </w:t>
      </w:r>
      <w:r w:rsidR="00645916">
        <w:t>is</w:t>
      </w:r>
      <w:r>
        <w:t xml:space="preserve"> more likely to work to meet their basic needs and living. This means that Finland’s culture has more of a feminist nature, where work-life and quality are valued over competition and achievements. People in the cultural contexts of Finland are not driven by motivation or rewards to get a competitive advantage over the others, as equality in life is given more priority. Moreover, the uncertainty avoidance index has been explained as the processes of controlling the ambiguity and risks in the future contexts (Roy, 2020). This is further evidenced to manage the risks of rising anxiety due to sudden adversities. Finland has been found to have a higher score of 59 for this cultural dimension which shows that people are supportive in avoiding the ambiguities through a rigid belief system and behavioural features (hofstede-insights.com, 2024). Furthermore, it has been found that countries with higher scores in uncertainty avoidance have been strict on their value system and are less likely to change it. Therefore, Finland has been slightly conservative in nature, for its strategy to deal with ambiguities. </w:t>
      </w:r>
    </w:p>
    <w:p w:rsidR="00C46015" w:rsidRDefault="0064714F" w14:paraId="26777351" w14:textId="0385B276">
      <w:r>
        <w:t xml:space="preserve">The next dimension as per Hofstede's model is the long-term orientation model, that highlights where a country is normative or pragmatic in its approach. A pragmatic approach in the social or cultural contexts of a country has been evidenced to benefit the long-term approach of a country (Jan </w:t>
      </w:r>
      <w:r>
        <w:rPr>
          <w:i/>
        </w:rPr>
        <w:t>et al</w:t>
      </w:r>
      <w:r>
        <w:t xml:space="preserve">., 2022). Finland has been observed to bear a score of 63 for its long-term orientation, which highlights that the country is focussed on open-attitudes toward change. Moreover, it highlights </w:t>
      </w:r>
      <w:r w:rsidR="008027F6">
        <w:t>educational thrifts and efforts</w:t>
      </w:r>
      <w:r>
        <w:t xml:space="preserve"> are highly encouraged in the organisational contexts to adapt to changing situations. The high score of Finland further shows that the country is more concerned about the future developmental aspects. Lastly, the dimension of indulgence, according to Jan </w:t>
      </w:r>
      <w:r>
        <w:rPr>
          <w:i/>
        </w:rPr>
        <w:t>et al.</w:t>
      </w:r>
      <w:r>
        <w:t xml:space="preserve"> (2022), has highlighted the aspect of optimism and freedom to enjoy their life. Finland has been found to score nearly 57 in this aspect which shows that its culture is mostly indulgent where people are more focussed about their personal happiness and have a positive attitude to their works (hofstede-insights.com, 2024). Therefore, it has been observed that the indulgent behavioural attributes of the people of Finland </w:t>
      </w:r>
      <w:r w:rsidR="00645916">
        <w:t>have</w:t>
      </w:r>
      <w:r>
        <w:t xml:space="preserve"> been supportive of an independent and flatter structure of the cultural aspects of the country. </w:t>
      </w:r>
    </w:p>
    <w:p w:rsidR="00C46015" w:rsidRDefault="0064714F" w14:paraId="4F8FAFA9" w14:textId="77777777">
      <w:r>
        <w:t>Therefore, to summarise the cultural aspects and differences of Finland it can be said that its social attitudes are mostly based on freedom aspects. The long-term orientation and uncertainty avoidance attributes of the cultural settings of the country has shown the cultural profile of Finland is based on the virtues and are focussed on perseverance for long-term benefits. The language which is most applicably used in Finland is Finnish or Swedish. However, foreign languages like English are also encouraged in the social settings of Finland. As per the records of Statista (2023), it has been observed that almost 4.7 million people have been speaking Finnish or Swedish while nearly 0.5 million are speaking other foreign languages (statista.com, 2023). The risks can arise from communication barriers, lack of motivation for achievement and success, rigid social structure and value system for managing ambiguities. Lastly, labourers of Finland have demanded equality and participation in different contexts. Additionally, their independent outlook and behavioural attributes highlight their indulgent nature have shown that they value individualistic approach in the social settings more (</w:t>
      </w:r>
      <w:proofErr w:type="spellStart"/>
      <w:r>
        <w:t>Minkov</w:t>
      </w:r>
      <w:proofErr w:type="spellEnd"/>
      <w:r>
        <w:t xml:space="preserve"> and </w:t>
      </w:r>
      <w:proofErr w:type="spellStart"/>
      <w:r>
        <w:t>Kaasa</w:t>
      </w:r>
      <w:proofErr w:type="spellEnd"/>
      <w:r>
        <w:t xml:space="preserve">, 2021). </w:t>
      </w:r>
    </w:p>
    <w:p w:rsidR="00C46015" w:rsidRDefault="0064714F" w14:paraId="5652B9F0" w14:textId="77777777">
      <w:pPr>
        <w:jc w:val="center"/>
      </w:pPr>
      <w:r>
        <w:rPr>
          <w:noProof/>
        </w:rPr>
        <w:drawing>
          <wp:inline distT="114300" distB="114300" distL="114300" distR="114300" wp14:anchorId="1BE61ECA" wp14:editId="6637E274">
            <wp:extent cx="5178115" cy="2915915"/>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178115" cy="2915915"/>
                    </a:xfrm>
                    <a:prstGeom prst="rect">
                      <a:avLst/>
                    </a:prstGeom>
                    <a:ln w="12700">
                      <a:solidFill>
                        <a:srgbClr val="000000"/>
                      </a:solidFill>
                      <a:prstDash val="solid"/>
                    </a:ln>
                  </pic:spPr>
                </pic:pic>
              </a:graphicData>
            </a:graphic>
          </wp:inline>
        </w:drawing>
      </w:r>
    </w:p>
    <w:p w:rsidR="00C46015" w:rsidRDefault="0064714F" w14:paraId="3EB41A55" w14:textId="77777777">
      <w:pPr>
        <w:jc w:val="center"/>
        <w:rPr>
          <w:b/>
        </w:rPr>
      </w:pPr>
      <w:r>
        <w:rPr>
          <w:b/>
        </w:rPr>
        <w:t>Figure 1: Finland’s Cultural Scores</w:t>
      </w:r>
    </w:p>
    <w:p w:rsidR="00C46015" w:rsidRDefault="0064714F" w14:paraId="1E63092B" w14:textId="77777777">
      <w:pPr>
        <w:jc w:val="center"/>
        <w:rPr>
          <w:b/>
        </w:rPr>
      </w:pPr>
      <w:r>
        <w:rPr>
          <w:b/>
        </w:rPr>
        <w:t>(Source: hofstede-insights.com, 2024)</w:t>
      </w:r>
    </w:p>
    <w:p w:rsidR="00C46015" w:rsidRDefault="0064714F" w14:paraId="58638BBD" w14:textId="77777777">
      <w:pPr>
        <w:rPr>
          <w:b/>
          <w:i/>
        </w:rPr>
      </w:pPr>
      <w:r>
        <w:rPr>
          <w:b/>
          <w:i/>
        </w:rPr>
        <w:t>Evaluation of Germany’s Cultural Contexts</w:t>
      </w:r>
    </w:p>
    <w:p w:rsidR="00C46015" w:rsidRDefault="0064714F" w14:paraId="7DF4B8AF" w14:textId="77777777">
      <w:r>
        <w:t xml:space="preserve">Germany is another EU-based country which can be suitable for the expansion purposes of Linde. The country is also characterised by certain levels of cultural elements which can be used effectively to differentiate the cultural and social focus of the organisation. The cultural dimensions of Germany will also be discussed using Hofstede's cultural model. From the analyses of </w:t>
      </w:r>
      <w:proofErr w:type="spellStart"/>
      <w:r>
        <w:t>Taras</w:t>
      </w:r>
      <w:proofErr w:type="spellEnd"/>
      <w:r>
        <w:t xml:space="preserve"> </w:t>
      </w:r>
      <w:r>
        <w:rPr>
          <w:i/>
        </w:rPr>
        <w:t>et al</w:t>
      </w:r>
      <w:r>
        <w:t xml:space="preserve">. (2023), it has been observed that the six dimensions of the cultural model of Hofstede have played a crucial role in critically assessing the differences between the cultural elements of a country with another one. Firstly, it has been observed that the PDI dimension of Germany has been higher than Finland. With a score of 35, it has been evaluated to encourage the attitude of co-determination among the people. As per </w:t>
      </w:r>
      <w:proofErr w:type="spellStart"/>
      <w:r>
        <w:t>Jäger</w:t>
      </w:r>
      <w:proofErr w:type="spellEnd"/>
      <w:r>
        <w:t xml:space="preserve"> </w:t>
      </w:r>
      <w:r>
        <w:rPr>
          <w:i/>
        </w:rPr>
        <w:t xml:space="preserve">et al. </w:t>
      </w:r>
      <w:r>
        <w:t xml:space="preserve">(2022), codetermination in the organisational contexts has been understood to be the rights of selecting the leader while having equal voting rights. These codetermination rights have been also encouraged by the organisational management, which is the most attractive element in Germany’s cultural prospect. Further, from the PDI dimension of Germany it has been also determined that leadership knowledge and expertise are widely important for leaders (hofstede-insights.com, 2024). </w:t>
      </w:r>
    </w:p>
    <w:p w:rsidR="00C46015" w:rsidRDefault="0064714F" w14:paraId="305E0869" w14:textId="77777777">
      <w:r>
        <w:t xml:space="preserve">The second dimension of individualism has been studied to account for a score of 79 for Germany. According to </w:t>
      </w:r>
      <w:proofErr w:type="spellStart"/>
      <w:r>
        <w:t>Artina</w:t>
      </w:r>
      <w:proofErr w:type="spellEnd"/>
      <w:r>
        <w:t xml:space="preserve"> </w:t>
      </w:r>
      <w:r>
        <w:rPr>
          <w:i/>
        </w:rPr>
        <w:t>et al</w:t>
      </w:r>
      <w:r>
        <w:t>. (2020), a high individualism score has been understood to show a lower degree of interdependence, where direct surroundings and people are given greater priority by the people. Therefore, from the score in this aspect it has been analysed that Germany has individuality in the social contexts and is given greater priority, rather than social engagements and loyalty. Therefore, self-actualisation needs are given more priority in this context along with fair communication are mostly desired by the people here. The third dimension of Hofstede's model has been assessed to include the motivation or need of the people for achievement and success in their life (</w:t>
      </w:r>
      <w:proofErr w:type="spellStart"/>
      <w:r>
        <w:t>Artina</w:t>
      </w:r>
      <w:proofErr w:type="spellEnd"/>
      <w:r>
        <w:t xml:space="preserve"> </w:t>
      </w:r>
      <w:r>
        <w:rPr>
          <w:i/>
        </w:rPr>
        <w:t>et al</w:t>
      </w:r>
      <w:r>
        <w:t xml:space="preserve">., 2020). Germany has been analysed to have a greater score of 66 in this aspect, which shows that people in this country are goal-oriented in their lives. Furthermore, it has been observed that German society is a decisive society where performance and growth of careers are valuable for the individuals. Self-actualisation and esteem needs are more important for the people in Germany's cultural contexts which help in growth of the society (hofstede-insights.com, 2024). </w:t>
      </w:r>
    </w:p>
    <w:p w:rsidR="00C46015" w:rsidRDefault="0064714F" w14:paraId="22758148" w14:textId="77777777">
      <w:r>
        <w:t xml:space="preserve">Next, the uncertainty avoidance score of Germany has been estimated to be higher than that of Finland, which highlights that the country is more determined to avoid unprecedented circumstances. Therefore, deductive approaches are given more priority in order to avoid risks (Zeb </w:t>
      </w:r>
      <w:r>
        <w:rPr>
          <w:i/>
        </w:rPr>
        <w:t>et al</w:t>
      </w:r>
      <w:r>
        <w:t xml:space="preserve">., 2021). Further, it has been highlighted that German culture has given more priority to detailed assessment of the problem. Therefore, decision-making through proper expertise and knowledge have been given more importance under the uncertainty avoidance index of Germany. Furthermore, the long-term orientation of Germany has been found to score around 57, which has highlighted the pragmatic attitude of German culture (hofstede-insights.com, 2024). However, the long-term propensity has been found to be lower than that of Finland. Therefore, people have been goal-orientated for which investing and patience for long-term results have been given a strategic importance. Lastly, the factor of indulgence has been noticed to have a score of around 40 for Germany. This has been evaluated to be lower than that of Finland which further shows that the culture of German is restraining in type. As per Zeb </w:t>
      </w:r>
      <w:r>
        <w:rPr>
          <w:i/>
        </w:rPr>
        <w:t>et al.</w:t>
      </w:r>
      <w:r>
        <w:t xml:space="preserve"> (2021), a restraining culture has been understood to lack elements of positivity and indulgence into social settings. </w:t>
      </w:r>
    </w:p>
    <w:p w:rsidR="00C46015" w:rsidRDefault="0064714F" w14:paraId="10ED7888" w14:textId="77777777">
      <w:r>
        <w:t xml:space="preserve">Therefore, to summarise, the cultural framework of German has been a mixture of both independent and restraining cultures. The cultural profile of the country has been focussed ta long-term goals and leadership expertise and strategy. The language in the cultural settings have been understood to include German as the native or main language, followed by Russian, French and English (worldatlas.com, 2023). Moreover, possible risks have been found to arise from its lower indulgence nature which might reduce the optimistic behavioural aspects. This can also result in challenges in communication and leadership as engagement in the social settings is found to be limited in Germany. According to worldatlas.com (2023), communication risks are further possible due to lack of knowledge in foreign languages. Further, the people of Germany have been understood to have a self-centred attitude to please their self-actualisation needs. For this, they have not been very interested in having an attraction for workforce inclusion and diversity. </w:t>
      </w:r>
    </w:p>
    <w:p w:rsidR="00C46015" w:rsidRDefault="0064714F" w14:paraId="0135B6ED" w14:textId="77777777">
      <w:pPr>
        <w:jc w:val="center"/>
      </w:pPr>
      <w:r>
        <w:rPr>
          <w:noProof/>
        </w:rPr>
        <w:drawing>
          <wp:inline distT="114300" distB="114300" distL="114300" distR="114300" wp14:anchorId="08F76964" wp14:editId="1692CE5D">
            <wp:extent cx="5063214" cy="2851212"/>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063214" cy="2851212"/>
                    </a:xfrm>
                    <a:prstGeom prst="rect">
                      <a:avLst/>
                    </a:prstGeom>
                    <a:ln w="12700">
                      <a:solidFill>
                        <a:srgbClr val="000000"/>
                      </a:solidFill>
                      <a:prstDash val="solid"/>
                    </a:ln>
                  </pic:spPr>
                </pic:pic>
              </a:graphicData>
            </a:graphic>
          </wp:inline>
        </w:drawing>
      </w:r>
    </w:p>
    <w:p w:rsidR="00C46015" w:rsidRDefault="0064714F" w14:paraId="04B75A73" w14:textId="77777777">
      <w:pPr>
        <w:jc w:val="center"/>
        <w:rPr>
          <w:b/>
        </w:rPr>
      </w:pPr>
      <w:r>
        <w:rPr>
          <w:b/>
        </w:rPr>
        <w:t>Figure 2: Germany’s Cultural Dimensions</w:t>
      </w:r>
    </w:p>
    <w:p w:rsidR="00C46015" w:rsidRDefault="0064714F" w14:paraId="091591AC" w14:textId="77777777">
      <w:pPr>
        <w:jc w:val="center"/>
        <w:rPr>
          <w:b/>
        </w:rPr>
      </w:pPr>
      <w:r>
        <w:rPr>
          <w:b/>
        </w:rPr>
        <w:t>(Source: hofstede-insights.com, 2024)</w:t>
      </w:r>
    </w:p>
    <w:p w:rsidR="00C46015" w:rsidRDefault="0064714F" w14:paraId="1B8232AF" w14:textId="77777777">
      <w:pPr>
        <w:rPr>
          <w:b/>
          <w:i/>
        </w:rPr>
      </w:pPr>
      <w:r>
        <w:rPr>
          <w:b/>
          <w:i/>
        </w:rPr>
        <w:t>Analysing Communication Barriers in Both EU Countries</w:t>
      </w:r>
    </w:p>
    <w:p w:rsidR="00C46015" w:rsidRDefault="0064714F" w14:paraId="6CDF2ACF" w14:textId="77777777">
      <w:r>
        <w:t xml:space="preserve">Communication barriers have been analysed to impact the quality of information transfer and knowledge sharing processes (Clavijo-Olmos, 2022). This might result due to a variety of reasons which have included lack of knowledge in foreign languages, lower indulgence, rising individualism attitudes. Firstly, lack of knowledge has been a potential gap in effective communication processes. It has been evidenced from statistical evidence that very few people in both the EU countries, Finland and Germany, have ensured effective communication processes with the knowledge of English. Linde being a British multinational company has been using English as its chief communication language. However, from the reports of Statista, it has been found that almost 36.39 million people are unaware or have poor knowledge in English speaking skills (statista.com, 2023). Therefore, this can be a potential communication barrier. Moreover, the varying levels of indulgence which has been observed from the cultural differences between both the countries might present a challenge in expansion for the company, Linde. This will be more specifically observed in the case of Germany whose social indulgence has been estimated to be very low. Furthermore, it has been found that individualism rises for both the countries might have a limitation over the social communication processes. According to Clavijo-Olmos (2022), individualism has reduced the concern about the communities and others which further decreases engagement levels further, adding up to communication barriers.  </w:t>
      </w:r>
    </w:p>
    <w:p w:rsidR="00C46015" w:rsidRDefault="0064714F" w14:paraId="487A454E" w14:textId="77777777">
      <w:pPr>
        <w:rPr>
          <w:b/>
          <w:i/>
        </w:rPr>
      </w:pPr>
      <w:r>
        <w:rPr>
          <w:b/>
          <w:i/>
        </w:rPr>
        <w:t>Recommendations for Country Selection</w:t>
      </w:r>
    </w:p>
    <w:p w:rsidR="00C46015" w:rsidRDefault="0064714F" w14:paraId="15C18FCA" w14:textId="77777777">
      <w:r>
        <w:t xml:space="preserve">The country which has been selected for the expansion of Linde in the EU markets has been selected to be Germany. The potential reason behind this is the higher PDI score which has given importance to leadership knowledge and expertise besides individual rise to decision-making. Further, the greater interest in achieving success and goals have been considered to be beneficial for the achieving the organisational objectives of Linde. From the reports of linde.com (2024), it has been found that the company has been determined to create a sustainable impact from its gas production and industrial processes through performance-driven and value-based missions. The higher perspective of culture towards achievements and goal-oriented vision will be supportive in meeting the business objective. Further, the long-term vision and planning strategies adopted by the people will help in achieving the business vision. In addition to this, the risk mitigation strategies which are carried out by the team of Linde for mitigating operational and strategic risks have been aligned with the cultural perspectives of Germany (linde.com, 2024). For all these reasons, Germany can be chosen as a country to undergo expansion. </w:t>
      </w:r>
    </w:p>
    <w:p w:rsidR="00C46015" w:rsidRDefault="0064714F" w14:paraId="3DB5F2AD" w14:textId="77777777">
      <w:pPr>
        <w:rPr>
          <w:b/>
          <w:i/>
        </w:rPr>
      </w:pPr>
      <w:r>
        <w:rPr>
          <w:b/>
          <w:i/>
        </w:rPr>
        <w:t>Evaluation of Strategies to Overcome Communication Challenges</w:t>
      </w:r>
    </w:p>
    <w:p w:rsidR="00C46015" w:rsidRDefault="0064714F" w14:paraId="082BBCD4" w14:textId="77777777">
      <w:r>
        <w:t>The communication barriers might have a negative impact over the operations of the company, in the long-term progress. Therefore, some strategies have been identified to help the organisations mitigate the possible communication challenges. Firstly, hiring local talent can be considered to be a help in reducing the communication barriers (van Vuuren</w:t>
      </w:r>
      <w:r>
        <w:rPr>
          <w:i/>
        </w:rPr>
        <w:t xml:space="preserve"> et al., </w:t>
      </w:r>
      <w:r>
        <w:t>2021). They will help in transferring information quickly and effectively among the targeted people. Since, people of Germany have been identified to be goal-oriented and motivated by self-esteem needs, they will ensure proper performance and smooth communication processes. Secondly, use of communication tools can also be used to reduce the communication challenges (</w:t>
      </w:r>
      <w:proofErr w:type="spellStart"/>
      <w:r>
        <w:t>Katsikeas</w:t>
      </w:r>
      <w:proofErr w:type="spellEnd"/>
      <w:r>
        <w:t xml:space="preserve"> </w:t>
      </w:r>
      <w:r>
        <w:rPr>
          <w:i/>
        </w:rPr>
        <w:t>et al</w:t>
      </w:r>
      <w:r>
        <w:t xml:space="preserve">., 2020). These tools can include technology-based automation tools to translate native languages into English and vice versa. Moreover, since Linde has been keen on encouraging the use of technologies and innovation in its operational processes, this strategy can come to the benefit of the company. </w:t>
      </w:r>
    </w:p>
    <w:p w:rsidR="00C46015" w:rsidRDefault="0064714F" w14:paraId="10F7CCA9" w14:textId="77777777">
      <w:pPr>
        <w:rPr>
          <w:b/>
        </w:rPr>
      </w:pPr>
      <w:r>
        <w:rPr>
          <w:b/>
        </w:rPr>
        <w:t>Conclusion</w:t>
      </w:r>
    </w:p>
    <w:p w:rsidR="008027F6" w:rsidRDefault="0064714F" w14:paraId="0D73395A" w14:textId="52F2D3DA">
      <w:r>
        <w:t>Linde has been one of the largest global industrial gas manufacturing companies, headquartered in the UK. The cultural factors of Finland have been evaluated to have lower tolerance of inequality with lower PDI and have an individualist approach in the operational processes. However, Germany has been found to have a better PDI and motivation for achievement and success factors. Therefore, Germany has been analysed to be the most suitable country in the EU for expansion of the business. Additionally, the barriers of communication have been analysed to include lack of language knowledge and restrain</w:t>
      </w:r>
      <w:r w:rsidR="008027F6">
        <w:t>s</w:t>
      </w:r>
      <w:r>
        <w:t xml:space="preserve"> of cultural values. </w:t>
      </w:r>
    </w:p>
    <w:p w:rsidR="008027F6" w:rsidRDefault="008027F6" w14:paraId="48B6407D" w14:textId="77777777">
      <w:r>
        <w:br w:type="page"/>
      </w:r>
    </w:p>
    <w:p w:rsidRPr="008027F6" w:rsidR="00C46015" w:rsidRDefault="008027F6" w14:paraId="36256079" w14:textId="60DD4344">
      <w:pPr>
        <w:rPr>
          <w:b/>
          <w:bCs/>
        </w:rPr>
      </w:pPr>
      <w:r w:rsidRPr="008027F6">
        <w:rPr>
          <w:b/>
          <w:bCs/>
        </w:rPr>
        <w:t>References</w:t>
      </w:r>
    </w:p>
    <w:p w:rsidR="008027F6" w:rsidP="008027F6" w:rsidRDefault="008027F6" w14:paraId="4DEA47E4" w14:textId="77777777">
      <w:proofErr w:type="spellStart"/>
      <w:r w:rsidRPr="001446B2">
        <w:t>Artina</w:t>
      </w:r>
      <w:proofErr w:type="spellEnd"/>
      <w:r w:rsidRPr="001446B2">
        <w:t xml:space="preserve">, B.S., </w:t>
      </w:r>
      <w:proofErr w:type="spellStart"/>
      <w:r w:rsidRPr="001446B2">
        <w:t>Desnasari</w:t>
      </w:r>
      <w:proofErr w:type="spellEnd"/>
      <w:r w:rsidRPr="001446B2">
        <w:t xml:space="preserve">, D., </w:t>
      </w:r>
      <w:proofErr w:type="spellStart"/>
      <w:r w:rsidRPr="001446B2">
        <w:t>Fitriyah</w:t>
      </w:r>
      <w:proofErr w:type="spellEnd"/>
      <w:r w:rsidRPr="001446B2">
        <w:t xml:space="preserve">, F. and </w:t>
      </w:r>
      <w:proofErr w:type="spellStart"/>
      <w:r w:rsidRPr="001446B2">
        <w:t>Rizkita</w:t>
      </w:r>
      <w:proofErr w:type="spellEnd"/>
      <w:r w:rsidRPr="001446B2">
        <w:t xml:space="preserve">, R.G., </w:t>
      </w:r>
      <w:r>
        <w:t>(</w:t>
      </w:r>
      <w:r w:rsidRPr="001446B2">
        <w:t>2020</w:t>
      </w:r>
      <w:r>
        <w:t>).</w:t>
      </w:r>
      <w:r w:rsidRPr="001446B2">
        <w:t xml:space="preserve"> The workforce in Indonesian organizations: An analysis based upon the cultural dimensions of Hofstede’s model. In </w:t>
      </w:r>
      <w:r w:rsidRPr="00507597">
        <w:rPr>
          <w:i/>
          <w:iCs/>
        </w:rPr>
        <w:t>Journal of International Conference Proceedings</w:t>
      </w:r>
      <w:r w:rsidRPr="001446B2">
        <w:t> (Vol. 3, No. 1, pp. 56-64).</w:t>
      </w:r>
    </w:p>
    <w:p w:rsidR="008027F6" w:rsidP="008027F6" w:rsidRDefault="008027F6" w14:paraId="2FD4E3E6" w14:textId="77777777">
      <w:r w:rsidRPr="00A42C51">
        <w:t xml:space="preserve">Clavijo-Olmos, S.B., </w:t>
      </w:r>
      <w:r>
        <w:t>(</w:t>
      </w:r>
      <w:r w:rsidRPr="00A42C51">
        <w:t>2022</w:t>
      </w:r>
      <w:r>
        <w:t>)</w:t>
      </w:r>
      <w:r w:rsidRPr="00A42C51">
        <w:t>. Breaking language and cultural barriers: A key to improve stakeholder relationships of SMEs. In </w:t>
      </w:r>
      <w:r w:rsidRPr="00507597">
        <w:rPr>
          <w:i/>
          <w:iCs/>
        </w:rPr>
        <w:t>Research Anthology on Applied Linguistics and Language Practices</w:t>
      </w:r>
      <w:r w:rsidRPr="00A42C51">
        <w:t> (pp. 183-204). IGI Global.</w:t>
      </w:r>
    </w:p>
    <w:p w:rsidR="008027F6" w:rsidP="008027F6" w:rsidRDefault="008027F6" w14:paraId="1537C1E1" w14:textId="77777777">
      <w:r w:rsidRPr="00117D92">
        <w:t xml:space="preserve">Guffey, M.E., Loewy, D. and Griffin, E., </w:t>
      </w:r>
      <w:r>
        <w:t>(</w:t>
      </w:r>
      <w:r w:rsidRPr="00117D92">
        <w:t>2021</w:t>
      </w:r>
      <w:r>
        <w:t>)</w:t>
      </w:r>
      <w:r w:rsidRPr="00117D92">
        <w:t>. </w:t>
      </w:r>
      <w:r w:rsidRPr="00507597">
        <w:rPr>
          <w:i/>
          <w:iCs/>
        </w:rPr>
        <w:t>Business Communication Process and Product, Brief Edition</w:t>
      </w:r>
      <w:r w:rsidRPr="00117D92">
        <w:t>. Cengage Canada.</w:t>
      </w:r>
    </w:p>
    <w:p w:rsidR="008027F6" w:rsidP="008027F6" w:rsidRDefault="008027F6" w14:paraId="1715879E" w14:textId="77777777">
      <w:r w:rsidRPr="001446B2">
        <w:t>hofstede-insights.com</w:t>
      </w:r>
      <w:r>
        <w:t xml:space="preserve">, (2024). </w:t>
      </w:r>
      <w:r w:rsidRPr="00507597">
        <w:rPr>
          <w:i/>
          <w:iCs/>
        </w:rPr>
        <w:t>COUNTRY COMPARISON TOOL</w:t>
      </w:r>
      <w:r>
        <w:t xml:space="preserve">. Available at: </w:t>
      </w:r>
      <w:r w:rsidRPr="001446B2">
        <w:t>https://www.hofstede-insights.com/country-comparison-tool?countries=germany</w:t>
      </w:r>
      <w:r>
        <w:t xml:space="preserve"> [Accessed on: 15</w:t>
      </w:r>
      <w:r w:rsidRPr="00507597">
        <w:rPr>
          <w:vertAlign w:val="superscript"/>
        </w:rPr>
        <w:t>th</w:t>
      </w:r>
      <w:r>
        <w:t xml:space="preserve"> March, 2024].</w:t>
      </w:r>
    </w:p>
    <w:p w:rsidR="008027F6" w:rsidP="008027F6" w:rsidRDefault="008027F6" w14:paraId="300078B0" w14:textId="77777777">
      <w:r w:rsidRPr="0056314D">
        <w:t>hofstede-insights.com</w:t>
      </w:r>
      <w:r>
        <w:t xml:space="preserve">, (2024). </w:t>
      </w:r>
      <w:r w:rsidRPr="00507597">
        <w:rPr>
          <w:i/>
          <w:iCs/>
        </w:rPr>
        <w:t>COUNTRY COMPARISON TOOL</w:t>
      </w:r>
      <w:r>
        <w:t xml:space="preserve">. Available at: </w:t>
      </w:r>
      <w:r w:rsidRPr="0056314D">
        <w:t>https://www.hofstede-insights.com/country-comparison-tool?countries=finland</w:t>
      </w:r>
      <w:r>
        <w:t xml:space="preserve"> [Accessed on: 15</w:t>
      </w:r>
      <w:r w:rsidRPr="00507597">
        <w:rPr>
          <w:vertAlign w:val="superscript"/>
        </w:rPr>
        <w:t>th</w:t>
      </w:r>
      <w:r>
        <w:t xml:space="preserve"> March, 2024].</w:t>
      </w:r>
    </w:p>
    <w:p w:rsidR="008027F6" w:rsidP="008027F6" w:rsidRDefault="008027F6" w14:paraId="1D22CBEF" w14:textId="77777777">
      <w:proofErr w:type="spellStart"/>
      <w:r w:rsidRPr="001446B2">
        <w:t>Jäger</w:t>
      </w:r>
      <w:proofErr w:type="spellEnd"/>
      <w:r w:rsidRPr="001446B2">
        <w:t xml:space="preserve">, S., Noy, S. and </w:t>
      </w:r>
      <w:proofErr w:type="spellStart"/>
      <w:r w:rsidRPr="001446B2">
        <w:t>Schoefer</w:t>
      </w:r>
      <w:proofErr w:type="spellEnd"/>
      <w:r w:rsidRPr="001446B2">
        <w:t xml:space="preserve">, B., </w:t>
      </w:r>
      <w:r>
        <w:t>(</w:t>
      </w:r>
      <w:r w:rsidRPr="001446B2">
        <w:t>2022</w:t>
      </w:r>
      <w:r>
        <w:t>)</w:t>
      </w:r>
      <w:r w:rsidRPr="001446B2">
        <w:t xml:space="preserve">. What does codetermination </w:t>
      </w:r>
      <w:proofErr w:type="gramStart"/>
      <w:r w:rsidRPr="001446B2">
        <w:t>do?.</w:t>
      </w:r>
      <w:proofErr w:type="gramEnd"/>
      <w:r w:rsidRPr="001446B2">
        <w:t> </w:t>
      </w:r>
      <w:r w:rsidRPr="00507597">
        <w:rPr>
          <w:i/>
          <w:iCs/>
        </w:rPr>
        <w:t>ILR Review</w:t>
      </w:r>
      <w:r w:rsidRPr="001446B2">
        <w:t>, </w:t>
      </w:r>
      <w:r w:rsidRPr="00507597">
        <w:rPr>
          <w:i/>
          <w:iCs/>
        </w:rPr>
        <w:t>75</w:t>
      </w:r>
      <w:r w:rsidRPr="001446B2">
        <w:t>(4), pp.857-890.</w:t>
      </w:r>
    </w:p>
    <w:p w:rsidR="008027F6" w:rsidP="008027F6" w:rsidRDefault="008027F6" w14:paraId="5AF65B0D" w14:textId="77777777">
      <w:r w:rsidRPr="0056314D">
        <w:t xml:space="preserve">Jan, J., </w:t>
      </w:r>
      <w:proofErr w:type="spellStart"/>
      <w:r w:rsidRPr="0056314D">
        <w:t>Alshare</w:t>
      </w:r>
      <w:proofErr w:type="spellEnd"/>
      <w:r w:rsidRPr="0056314D">
        <w:t xml:space="preserve">, K.A. and Lane, P.L., </w:t>
      </w:r>
      <w:r>
        <w:t>(</w:t>
      </w:r>
      <w:r w:rsidRPr="0056314D">
        <w:t>2022</w:t>
      </w:r>
      <w:r>
        <w:t>)</w:t>
      </w:r>
      <w:r w:rsidRPr="0056314D">
        <w:t>. Hofstede’s cultural dimensions in technology acceptance models: a meta-analysis. </w:t>
      </w:r>
      <w:r w:rsidRPr="00507597">
        <w:rPr>
          <w:i/>
          <w:iCs/>
        </w:rPr>
        <w:t>Universal Access in the Information Society</w:t>
      </w:r>
      <w:r w:rsidRPr="0056314D">
        <w:t>, pp.1-25.</w:t>
      </w:r>
    </w:p>
    <w:p w:rsidR="008027F6" w:rsidP="008027F6" w:rsidRDefault="008027F6" w14:paraId="380FE9A6" w14:textId="77777777">
      <w:proofErr w:type="spellStart"/>
      <w:r w:rsidRPr="00507597">
        <w:t>Katsikeas</w:t>
      </w:r>
      <w:proofErr w:type="spellEnd"/>
      <w:r w:rsidRPr="00507597">
        <w:t xml:space="preserve">, C., </w:t>
      </w:r>
      <w:proofErr w:type="spellStart"/>
      <w:r w:rsidRPr="00507597">
        <w:t>Leonidou</w:t>
      </w:r>
      <w:proofErr w:type="spellEnd"/>
      <w:r w:rsidRPr="00507597">
        <w:t xml:space="preserve">, L. and </w:t>
      </w:r>
      <w:proofErr w:type="spellStart"/>
      <w:r w:rsidRPr="00507597">
        <w:t>Zeriti</w:t>
      </w:r>
      <w:proofErr w:type="spellEnd"/>
      <w:r w:rsidRPr="00507597">
        <w:t xml:space="preserve">, A., </w:t>
      </w:r>
      <w:r>
        <w:t>(</w:t>
      </w:r>
      <w:r w:rsidRPr="00507597">
        <w:t>2020</w:t>
      </w:r>
      <w:r>
        <w:t>)</w:t>
      </w:r>
      <w:r w:rsidRPr="00507597">
        <w:t>. Revisiting international marketing strategy in a digital era: Opportunities, challenges, and research directions. </w:t>
      </w:r>
      <w:r w:rsidRPr="00507597">
        <w:rPr>
          <w:i/>
          <w:iCs/>
        </w:rPr>
        <w:t>International Marketing Review</w:t>
      </w:r>
      <w:r w:rsidRPr="00507597">
        <w:t>, </w:t>
      </w:r>
      <w:r w:rsidRPr="00507597">
        <w:rPr>
          <w:i/>
          <w:iCs/>
        </w:rPr>
        <w:t>37</w:t>
      </w:r>
      <w:r w:rsidRPr="00507597">
        <w:t>(3), pp.405-424.</w:t>
      </w:r>
    </w:p>
    <w:p w:rsidR="008027F6" w:rsidP="008027F6" w:rsidRDefault="008027F6" w14:paraId="55835CAC" w14:textId="77777777">
      <w:r w:rsidRPr="0033698C">
        <w:t>linde.com</w:t>
      </w:r>
      <w:r>
        <w:t xml:space="preserve">, (2024). </w:t>
      </w:r>
      <w:r w:rsidRPr="00507597">
        <w:rPr>
          <w:i/>
          <w:iCs/>
        </w:rPr>
        <w:t>About US</w:t>
      </w:r>
      <w:r>
        <w:t xml:space="preserve">. Available at: </w:t>
      </w:r>
      <w:r w:rsidRPr="0033698C">
        <w:t>https://www.linde.com/about-us</w:t>
      </w:r>
      <w:r>
        <w:t xml:space="preserve"> [Accessed on: 15</w:t>
      </w:r>
      <w:r w:rsidRPr="00507597">
        <w:rPr>
          <w:vertAlign w:val="superscript"/>
        </w:rPr>
        <w:t>th</w:t>
      </w:r>
      <w:r>
        <w:t xml:space="preserve"> March, 2024]. </w:t>
      </w:r>
    </w:p>
    <w:p w:rsidR="008027F6" w:rsidP="008027F6" w:rsidRDefault="008027F6" w14:paraId="2B870462" w14:textId="77777777">
      <w:r w:rsidRPr="00507597">
        <w:t>linde.com</w:t>
      </w:r>
      <w:r>
        <w:t xml:space="preserve">, (2024). </w:t>
      </w:r>
      <w:r w:rsidRPr="00507597">
        <w:rPr>
          <w:i/>
          <w:iCs/>
        </w:rPr>
        <w:t>Our Expertise</w:t>
      </w:r>
      <w:r>
        <w:t xml:space="preserve">. Available at: </w:t>
      </w:r>
      <w:r w:rsidRPr="00507597">
        <w:t>https://www.linde.com/about-us/our-expertise</w:t>
      </w:r>
      <w:r>
        <w:t xml:space="preserve"> [Accessed on: 15</w:t>
      </w:r>
      <w:r w:rsidRPr="00507597">
        <w:rPr>
          <w:vertAlign w:val="superscript"/>
        </w:rPr>
        <w:t>th</w:t>
      </w:r>
      <w:r>
        <w:t xml:space="preserve"> March, 2024].</w:t>
      </w:r>
    </w:p>
    <w:p w:rsidR="008027F6" w:rsidP="008027F6" w:rsidRDefault="008027F6" w14:paraId="75BFEB88" w14:textId="77777777">
      <w:proofErr w:type="spellStart"/>
      <w:r w:rsidRPr="0056314D">
        <w:t>Minkov</w:t>
      </w:r>
      <w:proofErr w:type="spellEnd"/>
      <w:r w:rsidRPr="0056314D">
        <w:t xml:space="preserve">, M. and </w:t>
      </w:r>
      <w:proofErr w:type="spellStart"/>
      <w:r w:rsidRPr="0056314D">
        <w:t>Kaasa</w:t>
      </w:r>
      <w:proofErr w:type="spellEnd"/>
      <w:r w:rsidRPr="0056314D">
        <w:t xml:space="preserve">, A., </w:t>
      </w:r>
      <w:r>
        <w:t>(</w:t>
      </w:r>
      <w:r w:rsidRPr="0056314D">
        <w:t>2021</w:t>
      </w:r>
      <w:r>
        <w:t>)</w:t>
      </w:r>
      <w:r w:rsidRPr="0056314D">
        <w:t>. A test of Hofstede's model of culture following his own approach. </w:t>
      </w:r>
      <w:r w:rsidRPr="00507597">
        <w:rPr>
          <w:i/>
          <w:iCs/>
        </w:rPr>
        <w:t>Cross Cultural &amp; Strategic Management</w:t>
      </w:r>
      <w:r w:rsidRPr="0056314D">
        <w:t>, </w:t>
      </w:r>
      <w:r w:rsidRPr="00507597">
        <w:rPr>
          <w:i/>
          <w:iCs/>
        </w:rPr>
        <w:t>28</w:t>
      </w:r>
      <w:r w:rsidRPr="0056314D">
        <w:t>(2), pp.384-406.</w:t>
      </w:r>
    </w:p>
    <w:p w:rsidR="008027F6" w:rsidP="008027F6" w:rsidRDefault="008027F6" w14:paraId="5EBBA8A1" w14:textId="77777777">
      <w:r w:rsidRPr="0056314D">
        <w:t xml:space="preserve">Roy, D., </w:t>
      </w:r>
      <w:r>
        <w:t>(</w:t>
      </w:r>
      <w:r w:rsidRPr="0056314D">
        <w:t>2020</w:t>
      </w:r>
      <w:r>
        <w:t>)</w:t>
      </w:r>
      <w:r w:rsidRPr="0056314D">
        <w:t>. Formulation of Hofstede’s global cultural dimension index (HGCDI): A cross-country study. </w:t>
      </w:r>
      <w:r w:rsidRPr="00507597">
        <w:rPr>
          <w:i/>
          <w:iCs/>
        </w:rPr>
        <w:t>Journal of transnational management</w:t>
      </w:r>
      <w:r w:rsidRPr="0056314D">
        <w:t>, </w:t>
      </w:r>
      <w:r w:rsidRPr="00507597">
        <w:rPr>
          <w:i/>
          <w:iCs/>
        </w:rPr>
        <w:t>25</w:t>
      </w:r>
      <w:r w:rsidRPr="0056314D">
        <w:t>(3), pp.195-224.</w:t>
      </w:r>
    </w:p>
    <w:p w:rsidR="008027F6" w:rsidP="008027F6" w:rsidRDefault="008027F6" w14:paraId="60411BCD" w14:textId="77777777">
      <w:r w:rsidRPr="00D636BF">
        <w:t>statista.com</w:t>
      </w:r>
      <w:r>
        <w:t>,</w:t>
      </w:r>
      <w:r w:rsidRPr="00D636BF">
        <w:t xml:space="preserve"> </w:t>
      </w:r>
      <w:r>
        <w:t xml:space="preserve">(2023). </w:t>
      </w:r>
      <w:r w:rsidRPr="00507597">
        <w:rPr>
          <w:i/>
          <w:iCs/>
        </w:rPr>
        <w:t>English skills of people in Germany 2023</w:t>
      </w:r>
      <w:r>
        <w:t xml:space="preserve">. Available at: </w:t>
      </w:r>
      <w:r w:rsidRPr="00A42C51">
        <w:t>https://www.statista.com/statistics/1337198/english-language-skills-people-germany/</w:t>
      </w:r>
      <w:r>
        <w:t xml:space="preserve"> [Accessed on: 15</w:t>
      </w:r>
      <w:r w:rsidRPr="00507597">
        <w:rPr>
          <w:vertAlign w:val="superscript"/>
        </w:rPr>
        <w:t>th</w:t>
      </w:r>
      <w:r>
        <w:t xml:space="preserve"> March, 2024].</w:t>
      </w:r>
    </w:p>
    <w:p w:rsidR="008027F6" w:rsidP="008027F6" w:rsidRDefault="008027F6" w14:paraId="3CD47638" w14:textId="77777777">
      <w:r w:rsidRPr="00D636BF">
        <w:t>statista.com</w:t>
      </w:r>
      <w:r>
        <w:t>,</w:t>
      </w:r>
      <w:r w:rsidRPr="00D636BF">
        <w:t xml:space="preserve"> </w:t>
      </w:r>
      <w:r>
        <w:t xml:space="preserve">(2023). </w:t>
      </w:r>
      <w:r w:rsidRPr="00507597">
        <w:rPr>
          <w:i/>
          <w:iCs/>
        </w:rPr>
        <w:t>Population of Finland 2012-2022, by language</w:t>
      </w:r>
      <w:r>
        <w:t xml:space="preserve">. Available at: </w:t>
      </w:r>
      <w:r w:rsidRPr="00D636BF">
        <w:t>https://www.statista.com/statistics/529490/population-of-finland-by-language/</w:t>
      </w:r>
      <w:r>
        <w:t xml:space="preserve"> [Accessed on: 15</w:t>
      </w:r>
      <w:r w:rsidRPr="00507597">
        <w:rPr>
          <w:vertAlign w:val="superscript"/>
        </w:rPr>
        <w:t>th</w:t>
      </w:r>
      <w:r>
        <w:t xml:space="preserve"> March, 2024]. </w:t>
      </w:r>
    </w:p>
    <w:p w:rsidR="008027F6" w:rsidP="008027F6" w:rsidRDefault="008027F6" w14:paraId="3DC807A7" w14:textId="77777777">
      <w:r w:rsidRPr="0033698C">
        <w:t>statista.com</w:t>
      </w:r>
      <w:r>
        <w:t xml:space="preserve">, (2024). </w:t>
      </w:r>
      <w:r w:rsidRPr="00507597">
        <w:rPr>
          <w:i/>
          <w:iCs/>
        </w:rPr>
        <w:t>Linde plc's sales 2014-2022</w:t>
      </w:r>
      <w:r>
        <w:t xml:space="preserve">. Available at: </w:t>
      </w:r>
      <w:r w:rsidRPr="0033698C">
        <w:t>https://www.statista.com/statistics/264037/revenue-of-the-linde-group-since-2000/</w:t>
      </w:r>
      <w:r>
        <w:t xml:space="preserve"> [Accessed on: 15</w:t>
      </w:r>
      <w:r w:rsidRPr="00507597">
        <w:rPr>
          <w:vertAlign w:val="superscript"/>
        </w:rPr>
        <w:t>th</w:t>
      </w:r>
      <w:r>
        <w:t xml:space="preserve"> March, 2024]. </w:t>
      </w:r>
    </w:p>
    <w:p w:rsidR="008027F6" w:rsidP="008027F6" w:rsidRDefault="008027F6" w14:paraId="3DDA6C2F" w14:textId="77777777">
      <w:proofErr w:type="spellStart"/>
      <w:r w:rsidRPr="001446B2">
        <w:t>Taras</w:t>
      </w:r>
      <w:proofErr w:type="spellEnd"/>
      <w:r w:rsidRPr="001446B2">
        <w:t xml:space="preserve">, V., Steel, P. and Stackhouse, M., </w:t>
      </w:r>
      <w:r>
        <w:t>(</w:t>
      </w:r>
      <w:r w:rsidRPr="001446B2">
        <w:t>2023</w:t>
      </w:r>
      <w:r>
        <w:t>)</w:t>
      </w:r>
      <w:r w:rsidRPr="001446B2">
        <w:t>. A comparative evaluation of seven instruments for measuring values comprising Hofstede's model of culture. </w:t>
      </w:r>
      <w:r w:rsidRPr="00507597">
        <w:rPr>
          <w:i/>
          <w:iCs/>
        </w:rPr>
        <w:t>Journal of World Business</w:t>
      </w:r>
      <w:r w:rsidRPr="001446B2">
        <w:t>, </w:t>
      </w:r>
      <w:r w:rsidRPr="00507597">
        <w:rPr>
          <w:i/>
          <w:iCs/>
        </w:rPr>
        <w:t>58</w:t>
      </w:r>
      <w:r w:rsidRPr="001446B2">
        <w:t>(1), p.101386.</w:t>
      </w:r>
    </w:p>
    <w:p w:rsidR="008027F6" w:rsidP="008027F6" w:rsidRDefault="008027F6" w14:paraId="7F750ABB" w14:textId="77777777">
      <w:r w:rsidRPr="00507597">
        <w:t xml:space="preserve">van Vuuren, C.J., van Dyk, B. and Mokoena, P.L., </w:t>
      </w:r>
      <w:r>
        <w:t>(</w:t>
      </w:r>
      <w:r w:rsidRPr="00507597">
        <w:t>2021</w:t>
      </w:r>
      <w:r>
        <w:t>)</w:t>
      </w:r>
      <w:r w:rsidRPr="00507597">
        <w:t>. Overcoming communication barriers in a multicultural radiography setting. </w:t>
      </w:r>
      <w:r w:rsidRPr="00507597">
        <w:rPr>
          <w:i/>
          <w:iCs/>
        </w:rPr>
        <w:t xml:space="preserve">Health SA </w:t>
      </w:r>
      <w:proofErr w:type="spellStart"/>
      <w:r w:rsidRPr="00507597">
        <w:rPr>
          <w:i/>
          <w:iCs/>
        </w:rPr>
        <w:t>Gesondheid</w:t>
      </w:r>
      <w:proofErr w:type="spellEnd"/>
      <w:r w:rsidRPr="00507597">
        <w:t>, </w:t>
      </w:r>
      <w:r w:rsidRPr="00507597">
        <w:rPr>
          <w:i/>
          <w:iCs/>
        </w:rPr>
        <w:t>26</w:t>
      </w:r>
      <w:r w:rsidRPr="00507597">
        <w:t>(1).</w:t>
      </w:r>
    </w:p>
    <w:p w:rsidR="008027F6" w:rsidP="008027F6" w:rsidRDefault="008027F6" w14:paraId="4829A8F6" w14:textId="77777777">
      <w:r w:rsidRPr="001446B2">
        <w:t>worldatlas.com</w:t>
      </w:r>
      <w:r>
        <w:t xml:space="preserve">, (2023). </w:t>
      </w:r>
      <w:r w:rsidRPr="00507597">
        <w:rPr>
          <w:i/>
          <w:iCs/>
        </w:rPr>
        <w:t xml:space="preserve">What Languages Are Spoken In </w:t>
      </w:r>
      <w:proofErr w:type="gramStart"/>
      <w:r w:rsidRPr="00507597">
        <w:rPr>
          <w:i/>
          <w:iCs/>
        </w:rPr>
        <w:t>Germany?.</w:t>
      </w:r>
      <w:proofErr w:type="gramEnd"/>
      <w:r>
        <w:t xml:space="preserve"> Available at: </w:t>
      </w:r>
      <w:r w:rsidRPr="001446B2">
        <w:t>https://www.worldatlas.com/articles/what-languages-are-spoken-in-germany.html</w:t>
      </w:r>
      <w:r>
        <w:t xml:space="preserve"> [Accessed on: 15</w:t>
      </w:r>
      <w:r w:rsidRPr="00507597">
        <w:rPr>
          <w:vertAlign w:val="superscript"/>
        </w:rPr>
        <w:t>th</w:t>
      </w:r>
      <w:r>
        <w:t xml:space="preserve"> March, 2024].</w:t>
      </w:r>
    </w:p>
    <w:p w:rsidR="008027F6" w:rsidP="008027F6" w:rsidRDefault="008027F6" w14:paraId="0143B71E" w14:textId="77777777">
      <w:r w:rsidRPr="001446B2">
        <w:t xml:space="preserve">Zeb, A., Akbar, F., Hussain, K., Safi, A., </w:t>
      </w:r>
      <w:proofErr w:type="spellStart"/>
      <w:r w:rsidRPr="001446B2">
        <w:t>Rabnawaz</w:t>
      </w:r>
      <w:proofErr w:type="spellEnd"/>
      <w:r w:rsidRPr="001446B2">
        <w:t xml:space="preserve">, M. and Zeb, F., </w:t>
      </w:r>
      <w:r>
        <w:t>(</w:t>
      </w:r>
      <w:r w:rsidRPr="001446B2">
        <w:t>2021</w:t>
      </w:r>
      <w:r>
        <w:t>)</w:t>
      </w:r>
      <w:r w:rsidRPr="001446B2">
        <w:t>. The competing value framework model of organizational culture, innovation and performance. </w:t>
      </w:r>
      <w:r w:rsidRPr="00507597">
        <w:rPr>
          <w:i/>
          <w:iCs/>
        </w:rPr>
        <w:t>Business process management journal</w:t>
      </w:r>
      <w:r w:rsidRPr="001446B2">
        <w:t>, </w:t>
      </w:r>
      <w:r w:rsidRPr="00507597">
        <w:rPr>
          <w:i/>
          <w:iCs/>
        </w:rPr>
        <w:t>27</w:t>
      </w:r>
      <w:r w:rsidRPr="001446B2">
        <w:t>(2), pp.658-683.</w:t>
      </w:r>
    </w:p>
    <w:p w:rsidR="008027F6" w:rsidRDefault="008027F6" w14:paraId="236A7985" w14:textId="77777777"/>
    <w:sectPr w:rsidR="008027F6" w:rsidSect="005D198F">
      <w:footerReference w:type="default" r:id="rId9"/>
      <w:pgSz w:w="11909" w:h="16834" w:orient="portrait"/>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3134D" w:rsidP="005D198F" w:rsidRDefault="0073134D" w14:paraId="21A06482" w14:textId="77777777">
      <w:pPr>
        <w:spacing w:line="240" w:lineRule="auto"/>
      </w:pPr>
      <w:r>
        <w:separator/>
      </w:r>
    </w:p>
  </w:endnote>
  <w:endnote w:type="continuationSeparator" w:id="0">
    <w:p w:rsidR="0073134D" w:rsidP="005D198F" w:rsidRDefault="0073134D" w14:paraId="292CE80A"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196289048"/>
      <w:docPartObj>
        <w:docPartGallery w:val="Page Numbers (Bottom of Page)"/>
        <w:docPartUnique/>
      </w:docPartObj>
    </w:sdtPr>
    <w:sdtEndPr>
      <w:rPr>
        <w:b w:val="1"/>
        <w:bCs w:val="1"/>
      </w:rPr>
    </w:sdtEndPr>
    <w:sdtContent>
      <w:sdt>
        <w:sdtPr>
          <w:rPr>
            <w:b/>
            <w:bCs/>
          </w:rPr>
          <w:id w:val="-1769616900"/>
          <w:docPartObj>
            <w:docPartGallery w:val="Page Numbers (Top of Page)"/>
            <w:docPartUnique/>
          </w:docPartObj>
        </w:sdtPr>
        <w:sdtEndPr>
          <w:rPr>
            <w:b w:val="1"/>
            <w:bCs w:val="1"/>
          </w:rPr>
        </w:sdtEndPr>
        <w:sdtContent>
          <w:p w:rsidRPr="005D198F" w:rsidR="005D198F" w:rsidRDefault="005D198F" w14:paraId="14BE9E49" w14:textId="5E450B09">
            <w:pPr>
              <w:pStyle w:val="Footer"/>
              <w:jc w:val="right"/>
              <w:rPr>
                <w:b/>
                <w:bCs/>
              </w:rPr>
            </w:pPr>
            <w:r w:rsidRPr="005D198F">
              <w:rPr>
                <w:b/>
                <w:bCs/>
              </w:rPr>
              <w:t xml:space="preserve">Page </w:t>
            </w:r>
            <w:r w:rsidRPr="005D198F">
              <w:rPr>
                <w:b/>
                <w:bCs/>
              </w:rPr>
              <w:fldChar w:fldCharType="begin"/>
            </w:r>
            <w:r w:rsidRPr="005D198F">
              <w:rPr>
                <w:b/>
                <w:bCs/>
              </w:rPr>
              <w:instrText xml:space="preserve"> PAGE </w:instrText>
            </w:r>
            <w:r w:rsidRPr="005D198F">
              <w:rPr>
                <w:b/>
                <w:bCs/>
              </w:rPr>
              <w:fldChar w:fldCharType="separate"/>
            </w:r>
            <w:r w:rsidRPr="005D198F">
              <w:rPr>
                <w:b/>
                <w:bCs/>
                <w:noProof/>
              </w:rPr>
              <w:t>2</w:t>
            </w:r>
            <w:r w:rsidRPr="005D198F">
              <w:rPr>
                <w:b/>
                <w:bCs/>
              </w:rPr>
              <w:fldChar w:fldCharType="end"/>
            </w:r>
            <w:r w:rsidRPr="005D198F">
              <w:rPr>
                <w:b/>
                <w:bCs/>
              </w:rPr>
              <w:t xml:space="preserve"> of </w:t>
            </w:r>
            <w:r w:rsidRPr="005D198F">
              <w:rPr>
                <w:b/>
                <w:bCs/>
              </w:rPr>
              <w:fldChar w:fldCharType="begin"/>
            </w:r>
            <w:r w:rsidRPr="005D198F">
              <w:rPr>
                <w:b/>
                <w:bCs/>
              </w:rPr>
              <w:instrText xml:space="preserve"> NUMPAGES  </w:instrText>
            </w:r>
            <w:r w:rsidRPr="005D198F">
              <w:rPr>
                <w:b/>
                <w:bCs/>
              </w:rPr>
              <w:fldChar w:fldCharType="separate"/>
            </w:r>
            <w:r w:rsidRPr="005D198F">
              <w:rPr>
                <w:b/>
                <w:bCs/>
                <w:noProof/>
              </w:rPr>
              <w:t>2</w:t>
            </w:r>
            <w:r w:rsidRPr="005D198F">
              <w:rPr>
                <w:b/>
                <w:bCs/>
              </w:rPr>
              <w:fldChar w:fldCharType="end"/>
            </w:r>
          </w:p>
        </w:sdtContent>
      </w:sdt>
    </w:sdtContent>
  </w:sdt>
  <w:p w:rsidR="005D198F" w:rsidRDefault="005D198F" w14:paraId="5557E25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3134D" w:rsidP="005D198F" w:rsidRDefault="0073134D" w14:paraId="14F2264B" w14:textId="77777777">
      <w:pPr>
        <w:spacing w:line="240" w:lineRule="auto"/>
      </w:pPr>
      <w:r>
        <w:separator/>
      </w:r>
    </w:p>
  </w:footnote>
  <w:footnote w:type="continuationSeparator" w:id="0">
    <w:p w:rsidR="0073134D" w:rsidP="005D198F" w:rsidRDefault="0073134D" w14:paraId="129E8156"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6015"/>
    <w:rsid w:val="005D198F"/>
    <w:rsid w:val="00645916"/>
    <w:rsid w:val="0064714F"/>
    <w:rsid w:val="0073134D"/>
    <w:rsid w:val="008027F6"/>
    <w:rsid w:val="00AB2B1F"/>
    <w:rsid w:val="00C46015"/>
    <w:rsid w:val="1ABFC385"/>
    <w:rsid w:val="6B718DEE"/>
    <w:rsid w:val="6EE757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42605"/>
  <w15:docId w15:val="{10A9DB63-C27D-4330-93BD-B0CDA18D1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eastAsia="Arial" w:cs="Arial"/>
      <w:color w:val="666666"/>
      <w:sz w:val="30"/>
      <w:szCs w:val="30"/>
    </w:rPr>
  </w:style>
  <w:style w:type="paragraph" w:styleId="Header">
    <w:name w:val="header"/>
    <w:basedOn w:val="Normal"/>
    <w:link w:val="HeaderChar"/>
    <w:uiPriority w:val="99"/>
    <w:unhideWhenUsed/>
    <w:rsid w:val="005D198F"/>
    <w:pPr>
      <w:tabs>
        <w:tab w:val="center" w:pos="4680"/>
        <w:tab w:val="right" w:pos="9360"/>
      </w:tabs>
      <w:spacing w:line="240" w:lineRule="auto"/>
    </w:pPr>
  </w:style>
  <w:style w:type="character" w:styleId="HeaderChar" w:customStyle="1">
    <w:name w:val="Header Char"/>
    <w:basedOn w:val="DefaultParagraphFont"/>
    <w:link w:val="Header"/>
    <w:uiPriority w:val="99"/>
    <w:rsid w:val="005D198F"/>
  </w:style>
  <w:style w:type="paragraph" w:styleId="Footer">
    <w:name w:val="footer"/>
    <w:basedOn w:val="Normal"/>
    <w:link w:val="FooterChar"/>
    <w:uiPriority w:val="99"/>
    <w:unhideWhenUsed/>
    <w:rsid w:val="005D198F"/>
    <w:pPr>
      <w:tabs>
        <w:tab w:val="center" w:pos="4680"/>
        <w:tab w:val="right" w:pos="9360"/>
      </w:tabs>
      <w:spacing w:line="240" w:lineRule="auto"/>
    </w:pPr>
  </w:style>
  <w:style w:type="character" w:styleId="FooterChar" w:customStyle="1">
    <w:name w:val="Footer Char"/>
    <w:basedOn w:val="DefaultParagraphFont"/>
    <w:link w:val="Footer"/>
    <w:uiPriority w:val="99"/>
    <w:rsid w:val="005D19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3.png" Id="rId8" /><Relationship Type="http://schemas.openxmlformats.org/officeDocument/2006/relationships/webSettings" Target="webSettings.xml" Id="rId3" /><Relationship Type="http://schemas.openxmlformats.org/officeDocument/2006/relationships/image" Target="media/image2.png"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theme" Target="theme/theme1.xml" Id="rId11" /><Relationship Type="http://schemas.openxmlformats.org/officeDocument/2006/relationships/endnotes" Target="endnotes.xml" Id="rId5" /><Relationship Type="http://schemas.openxmlformats.org/officeDocument/2006/relationships/fontTable" Target="fontTable.xml" Id="rId10" /><Relationship Type="http://schemas.openxmlformats.org/officeDocument/2006/relationships/footnotes" Target="footnotes.xml" Id="rId4" /><Relationship Type="http://schemas.openxmlformats.org/officeDocument/2006/relationships/footer" Target="footer1.xml" Id="rId9" /><Relationship Type="http://schemas.openxmlformats.org/officeDocument/2006/relationships/glossaryDocument" Target="glossary/document.xml" Id="Red07fbd24c1940d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52d188e-73fb-4b74-b414-50d02fb4066a}"/>
      </w:docPartPr>
      <w:docPartBody>
        <w:p w14:paraId="5148B99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2024-03-19T10:43:00.0000000Z</dcterms:created>
  <dcterms:modified xsi:type="dcterms:W3CDTF">2024-04-27T16:07:27.2716145Z</dcterms:modified>
  <lastModifiedBy>cerasela stoica</lastModifiedBy>
</coreProperties>
</file>