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341FB"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8"/>
          <w:szCs w:val="28"/>
          <w:lang w:eastAsia="en-GB"/>
        </w:rPr>
        <w:t>Reform of Homicide</w:t>
      </w:r>
    </w:p>
    <w:p w14:paraId="78571C1D"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p>
    <w:p w14:paraId="40DE6DE2" w14:textId="21C9043D" w:rsidR="001B60DF" w:rsidRPr="001B60DF" w:rsidRDefault="001B60DF" w:rsidP="001B60DF">
      <w:pPr>
        <w:spacing w:after="0" w:line="240" w:lineRule="auto"/>
        <w:rPr>
          <w:rFonts w:ascii="Times New Roman" w:eastAsia="Times New Roman" w:hAnsi="Times New Roman" w:cs="Times New Roman"/>
          <w:sz w:val="24"/>
          <w:szCs w:val="24"/>
          <w:lang w:eastAsia="en-GB"/>
        </w:rPr>
      </w:pPr>
      <w:r w:rsidRPr="001B60DF">
        <w:rPr>
          <w:rFonts w:ascii="Arial" w:eastAsia="Times New Roman" w:hAnsi="Arial" w:cs="Arial"/>
          <w:color w:val="000000"/>
          <w:sz w:val="24"/>
          <w:szCs w:val="24"/>
          <w:lang w:eastAsia="en-GB"/>
        </w:rPr>
        <w:t xml:space="preserve">According to the CPS (2019) there are two main criminal offences, both of which are considered common law offences. These offences consist of both murder and manslaughter. Murder is known to be the most serious crime out of all criminal offences, the reason for this is that it requires the individual to have both an actus rea as well as a </w:t>
      </w:r>
      <w:r w:rsidRPr="001B60DF">
        <w:rPr>
          <w:rFonts w:ascii="Arial" w:eastAsia="Times New Roman" w:hAnsi="Arial" w:cs="Arial"/>
          <w:color w:val="000000"/>
          <w:sz w:val="24"/>
          <w:szCs w:val="24"/>
          <w:lang w:eastAsia="en-GB"/>
        </w:rPr>
        <w:t>men</w:t>
      </w:r>
      <w:r>
        <w:rPr>
          <w:rFonts w:ascii="Arial" w:eastAsia="Times New Roman" w:hAnsi="Arial" w:cs="Arial"/>
          <w:color w:val="000000"/>
          <w:sz w:val="24"/>
          <w:szCs w:val="24"/>
          <w:lang w:eastAsia="en-GB"/>
        </w:rPr>
        <w:t xml:space="preserve">s </w:t>
      </w:r>
      <w:r w:rsidRPr="001B60DF">
        <w:rPr>
          <w:rFonts w:ascii="Arial" w:eastAsia="Times New Roman" w:hAnsi="Arial" w:cs="Arial"/>
          <w:color w:val="000000"/>
          <w:sz w:val="24"/>
          <w:szCs w:val="24"/>
          <w:lang w:eastAsia="en-GB"/>
        </w:rPr>
        <w:t xml:space="preserve">rea. This would mean the individual's act was intended and has caused grievous bodily harm or death to someone who is under the Queen’s peace.  Manslaughter on the other hand goes into two different categories, involuntary manslaughter and voluntary manslaughter. In both cases of manslaughter there has been a death, however, the CPS (2019) states that involuntary manslaughter is when the individual had no intention to </w:t>
      </w:r>
      <w:r w:rsidRPr="001B60DF">
        <w:rPr>
          <w:rFonts w:ascii="Arial" w:eastAsia="Times New Roman" w:hAnsi="Arial" w:cs="Arial"/>
          <w:color w:val="000000"/>
          <w:sz w:val="24"/>
          <w:szCs w:val="24"/>
          <w:lang w:eastAsia="en-GB"/>
        </w:rPr>
        <w:t>kill but</w:t>
      </w:r>
      <w:r w:rsidRPr="001B60DF">
        <w:rPr>
          <w:rFonts w:ascii="Arial" w:eastAsia="Times New Roman" w:hAnsi="Arial" w:cs="Arial"/>
          <w:color w:val="000000"/>
          <w:sz w:val="24"/>
          <w:szCs w:val="24"/>
          <w:lang w:eastAsia="en-GB"/>
        </w:rPr>
        <w:t xml:space="preserve"> has physically killed someone. Voluntary manslaughter is when the individual originally had no intention to kill, but due to an event that has taken place has physically killed someone. </w:t>
      </w:r>
    </w:p>
    <w:p w14:paraId="302A5FED"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p>
    <w:p w14:paraId="64AEE55B"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4"/>
          <w:szCs w:val="24"/>
          <w:lang w:eastAsia="en-GB"/>
        </w:rPr>
        <w:t>Body 1</w:t>
      </w:r>
    </w:p>
    <w:p w14:paraId="24A1C13B" w14:textId="77777777" w:rsidR="001B60DF" w:rsidRPr="001B60DF" w:rsidRDefault="001B60DF" w:rsidP="001B60DF">
      <w:pPr>
        <w:spacing w:after="240" w:line="240" w:lineRule="auto"/>
        <w:rPr>
          <w:rFonts w:ascii="Times New Roman" w:eastAsia="Times New Roman" w:hAnsi="Times New Roman" w:cs="Times New Roman"/>
          <w:sz w:val="24"/>
          <w:szCs w:val="24"/>
          <w:lang w:eastAsia="en-GB"/>
        </w:rPr>
      </w:pPr>
      <w:r w:rsidRPr="001B60DF">
        <w:rPr>
          <w:rFonts w:ascii="Times New Roman" w:eastAsia="Times New Roman" w:hAnsi="Times New Roman" w:cs="Times New Roman"/>
          <w:sz w:val="24"/>
          <w:szCs w:val="24"/>
          <w:lang w:eastAsia="en-GB"/>
        </w:rPr>
        <w:br/>
      </w:r>
    </w:p>
    <w:p w14:paraId="6C7EC0DC" w14:textId="3FBC7177" w:rsidR="001B60DF" w:rsidRPr="001B60DF" w:rsidRDefault="001B60DF" w:rsidP="001B60DF">
      <w:pPr>
        <w:spacing w:after="0" w:line="240" w:lineRule="auto"/>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4"/>
          <w:szCs w:val="24"/>
          <w:lang w:eastAsia="en-GB"/>
        </w:rPr>
        <w:t xml:space="preserve">Murder, Different </w:t>
      </w:r>
      <w:r>
        <w:rPr>
          <w:rFonts w:ascii="Arial" w:eastAsia="Times New Roman" w:hAnsi="Arial" w:cs="Arial"/>
          <w:b/>
          <w:bCs/>
          <w:color w:val="000000"/>
          <w:sz w:val="24"/>
          <w:szCs w:val="24"/>
          <w:lang w:eastAsia="en-GB"/>
        </w:rPr>
        <w:t>d</w:t>
      </w:r>
      <w:r w:rsidRPr="001B60DF">
        <w:rPr>
          <w:rFonts w:ascii="Arial" w:eastAsia="Times New Roman" w:hAnsi="Arial" w:cs="Arial"/>
          <w:b/>
          <w:bCs/>
          <w:color w:val="000000"/>
          <w:sz w:val="24"/>
          <w:szCs w:val="24"/>
          <w:lang w:eastAsia="en-GB"/>
        </w:rPr>
        <w:t>egrees</w:t>
      </w:r>
      <w:r w:rsidRPr="001B60DF">
        <w:rPr>
          <w:rFonts w:ascii="Arial" w:eastAsia="Times New Roman" w:hAnsi="Arial" w:cs="Arial"/>
          <w:b/>
          <w:bCs/>
          <w:color w:val="000000"/>
          <w:sz w:val="24"/>
          <w:szCs w:val="24"/>
          <w:lang w:eastAsia="en-GB"/>
        </w:rPr>
        <w:t xml:space="preserve"> of murder and a court case which shows this, Also include </w:t>
      </w:r>
      <w:r>
        <w:rPr>
          <w:rFonts w:ascii="Arial" w:eastAsia="Times New Roman" w:hAnsi="Arial" w:cs="Arial"/>
          <w:b/>
          <w:bCs/>
          <w:color w:val="000000"/>
          <w:sz w:val="24"/>
          <w:szCs w:val="24"/>
          <w:lang w:eastAsia="en-GB"/>
        </w:rPr>
        <w:t>i</w:t>
      </w:r>
      <w:r w:rsidRPr="001B60DF">
        <w:rPr>
          <w:rFonts w:ascii="Arial" w:eastAsia="Times New Roman" w:hAnsi="Arial" w:cs="Arial"/>
          <w:b/>
          <w:bCs/>
          <w:color w:val="000000"/>
          <w:sz w:val="24"/>
          <w:szCs w:val="24"/>
          <w:lang w:eastAsia="en-GB"/>
        </w:rPr>
        <w:t>nfanticide and state any examples where it could have been handled or dealt with differently.</w:t>
      </w:r>
    </w:p>
    <w:p w14:paraId="55B99C40" w14:textId="77777777" w:rsidR="001B60DF" w:rsidRPr="001B60DF" w:rsidRDefault="001B60DF" w:rsidP="001B60DF">
      <w:pPr>
        <w:spacing w:after="240" w:line="240" w:lineRule="auto"/>
        <w:rPr>
          <w:rFonts w:ascii="Times New Roman" w:eastAsia="Times New Roman" w:hAnsi="Times New Roman" w:cs="Times New Roman"/>
          <w:sz w:val="24"/>
          <w:szCs w:val="24"/>
          <w:lang w:eastAsia="en-GB"/>
        </w:rPr>
      </w:pPr>
      <w:r w:rsidRPr="001B60DF">
        <w:rPr>
          <w:rFonts w:ascii="Times New Roman" w:eastAsia="Times New Roman" w:hAnsi="Times New Roman" w:cs="Times New Roman"/>
          <w:sz w:val="24"/>
          <w:szCs w:val="24"/>
          <w:lang w:eastAsia="en-GB"/>
        </w:rPr>
        <w:br/>
      </w:r>
    </w:p>
    <w:p w14:paraId="4CAC257B"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4"/>
          <w:szCs w:val="24"/>
          <w:lang w:eastAsia="en-GB"/>
        </w:rPr>
        <w:t>Body 2 </w:t>
      </w:r>
    </w:p>
    <w:p w14:paraId="0326BE8C"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p>
    <w:p w14:paraId="0068B2B1"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4"/>
          <w:szCs w:val="24"/>
          <w:lang w:eastAsia="en-GB"/>
        </w:rPr>
        <w:t>Manslaughter, Voluntary and Involuntary and different court cases which show this.</w:t>
      </w:r>
    </w:p>
    <w:p w14:paraId="4B9BDBC3"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p>
    <w:p w14:paraId="354A9FCD"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4"/>
          <w:szCs w:val="24"/>
          <w:lang w:eastAsia="en-GB"/>
        </w:rPr>
        <w:t>Conclusion</w:t>
      </w:r>
    </w:p>
    <w:p w14:paraId="0AE14E7F"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p>
    <w:p w14:paraId="008D1B82"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4"/>
          <w:szCs w:val="24"/>
          <w:lang w:eastAsia="en-GB"/>
        </w:rPr>
        <w:t>Have a quote and analyse this, explaining the good and bad points.</w:t>
      </w:r>
    </w:p>
    <w:p w14:paraId="4064F4A3" w14:textId="77777777" w:rsidR="001B60DF" w:rsidRPr="001B60DF" w:rsidRDefault="001B60DF" w:rsidP="001B60DF">
      <w:pPr>
        <w:spacing w:after="240" w:line="240" w:lineRule="auto"/>
        <w:rPr>
          <w:rFonts w:ascii="Times New Roman" w:eastAsia="Times New Roman" w:hAnsi="Times New Roman" w:cs="Times New Roman"/>
          <w:sz w:val="24"/>
          <w:szCs w:val="24"/>
          <w:lang w:eastAsia="en-GB"/>
        </w:rPr>
      </w:pPr>
      <w:r w:rsidRPr="001B60DF">
        <w:rPr>
          <w:rFonts w:ascii="Times New Roman" w:eastAsia="Times New Roman" w:hAnsi="Times New Roman" w:cs="Times New Roman"/>
          <w:sz w:val="24"/>
          <w:szCs w:val="24"/>
          <w:lang w:eastAsia="en-GB"/>
        </w:rPr>
        <w:br/>
      </w:r>
      <w:r w:rsidRPr="001B60DF">
        <w:rPr>
          <w:rFonts w:ascii="Times New Roman" w:eastAsia="Times New Roman" w:hAnsi="Times New Roman" w:cs="Times New Roman"/>
          <w:sz w:val="24"/>
          <w:szCs w:val="24"/>
          <w:lang w:eastAsia="en-GB"/>
        </w:rPr>
        <w:br/>
      </w:r>
      <w:r w:rsidRPr="001B60DF">
        <w:rPr>
          <w:rFonts w:ascii="Times New Roman" w:eastAsia="Times New Roman" w:hAnsi="Times New Roman" w:cs="Times New Roman"/>
          <w:sz w:val="24"/>
          <w:szCs w:val="24"/>
          <w:lang w:eastAsia="en-GB"/>
        </w:rPr>
        <w:br/>
      </w:r>
      <w:r w:rsidRPr="001B60DF">
        <w:rPr>
          <w:rFonts w:ascii="Times New Roman" w:eastAsia="Times New Roman" w:hAnsi="Times New Roman" w:cs="Times New Roman"/>
          <w:sz w:val="24"/>
          <w:szCs w:val="24"/>
          <w:lang w:eastAsia="en-GB"/>
        </w:rPr>
        <w:br/>
      </w:r>
    </w:p>
    <w:p w14:paraId="7C09E3B5" w14:textId="77777777" w:rsidR="001B60DF" w:rsidRPr="001B60DF" w:rsidRDefault="001B60DF" w:rsidP="001B60DF">
      <w:pPr>
        <w:spacing w:after="0" w:line="240" w:lineRule="auto"/>
        <w:jc w:val="center"/>
        <w:rPr>
          <w:rFonts w:ascii="Times New Roman" w:eastAsia="Times New Roman" w:hAnsi="Times New Roman" w:cs="Times New Roman"/>
          <w:sz w:val="24"/>
          <w:szCs w:val="24"/>
          <w:lang w:eastAsia="en-GB"/>
        </w:rPr>
      </w:pPr>
      <w:r w:rsidRPr="001B60DF">
        <w:rPr>
          <w:rFonts w:ascii="Arial" w:eastAsia="Times New Roman" w:hAnsi="Arial" w:cs="Arial"/>
          <w:b/>
          <w:bCs/>
          <w:color w:val="000000"/>
          <w:sz w:val="28"/>
          <w:szCs w:val="28"/>
          <w:lang w:eastAsia="en-GB"/>
        </w:rPr>
        <w:t>References</w:t>
      </w:r>
    </w:p>
    <w:p w14:paraId="2271A1E6"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p>
    <w:p w14:paraId="7C5CB3DE"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r w:rsidRPr="001B60DF">
        <w:rPr>
          <w:rFonts w:ascii="Arial" w:eastAsia="Times New Roman" w:hAnsi="Arial" w:cs="Arial"/>
          <w:color w:val="000000"/>
          <w:sz w:val="24"/>
          <w:szCs w:val="24"/>
          <w:lang w:eastAsia="en-GB"/>
        </w:rPr>
        <w:t>Crown Prosecution Service (CPS, 2019)</w:t>
      </w:r>
    </w:p>
    <w:p w14:paraId="0B6D3826" w14:textId="77777777" w:rsidR="001B60DF" w:rsidRPr="001B60DF" w:rsidRDefault="001B60DF" w:rsidP="001B60DF">
      <w:pPr>
        <w:spacing w:after="0" w:line="240" w:lineRule="auto"/>
        <w:rPr>
          <w:rFonts w:ascii="Times New Roman" w:eastAsia="Times New Roman" w:hAnsi="Times New Roman" w:cs="Times New Roman"/>
          <w:sz w:val="24"/>
          <w:szCs w:val="24"/>
          <w:lang w:eastAsia="en-GB"/>
        </w:rPr>
      </w:pPr>
      <w:hyperlink r:id="rId4" w:history="1">
        <w:r w:rsidRPr="001B60DF">
          <w:rPr>
            <w:rFonts w:ascii="Arial" w:eastAsia="Times New Roman" w:hAnsi="Arial" w:cs="Arial"/>
            <w:color w:val="1155CC"/>
            <w:sz w:val="24"/>
            <w:szCs w:val="24"/>
            <w:u w:val="single"/>
            <w:lang w:eastAsia="en-GB"/>
          </w:rPr>
          <w:t>https://www.cps.gov.uk/legal-guidance/homicide-murder-and-manslaughter</w:t>
        </w:r>
      </w:hyperlink>
    </w:p>
    <w:p w14:paraId="780FBDE0" w14:textId="77777777" w:rsidR="00995E15" w:rsidRDefault="00995E15"/>
    <w:sectPr w:rsidR="00995E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0DF"/>
    <w:rsid w:val="001B60DF"/>
    <w:rsid w:val="00995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FDAD1"/>
  <w15:chartTrackingRefBased/>
  <w15:docId w15:val="{8AB253C4-9C99-4457-97DA-71B7DA050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60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B60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380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ps.gov.uk/legal-guidance/homicide-murder-and-manslaugh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232</Words>
  <Characters>1329</Characters>
  <Application>Microsoft Office Word</Application>
  <DocSecurity>0</DocSecurity>
  <Lines>11</Lines>
  <Paragraphs>3</Paragraphs>
  <ScaleCrop>false</ScaleCrop>
  <Company/>
  <LinksUpToDate>false</LinksUpToDate>
  <CharactersWithSpaces>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Sinclair</dc:creator>
  <cp:keywords/>
  <dc:description/>
  <cp:lastModifiedBy>Tom Sinclair</cp:lastModifiedBy>
  <cp:revision>1</cp:revision>
  <dcterms:created xsi:type="dcterms:W3CDTF">2021-10-25T19:52:00Z</dcterms:created>
  <dcterms:modified xsi:type="dcterms:W3CDTF">2021-10-25T19:53:00Z</dcterms:modified>
</cp:coreProperties>
</file>